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1C6B0">
      <w:pPr>
        <w:jc w:val="both"/>
        <w:rPr>
          <w:rFonts w:hint="eastAsia" w:cs="宋体"/>
          <w:b/>
          <w:bCs/>
          <w:color w:val="auto"/>
          <w:kern w:val="0"/>
          <w:sz w:val="48"/>
          <w:szCs w:val="48"/>
          <w:highlight w:val="none"/>
        </w:rPr>
      </w:pPr>
    </w:p>
    <w:p w14:paraId="16ABA187">
      <w:pPr>
        <w:jc w:val="center"/>
        <w:rPr>
          <w:rFonts w:hint="eastAsia" w:eastAsia="宋体" w:cs="宋体"/>
          <w:b/>
          <w:bCs/>
          <w:color w:val="auto"/>
          <w:sz w:val="48"/>
          <w:szCs w:val="48"/>
          <w:highlight w:val="none"/>
          <w:lang w:eastAsia="zh-CN"/>
        </w:rPr>
      </w:pPr>
      <w:r>
        <w:rPr>
          <w:rFonts w:hint="eastAsia" w:cs="宋体"/>
          <w:b/>
          <w:bCs/>
          <w:color w:val="auto"/>
          <w:kern w:val="0"/>
          <w:sz w:val="48"/>
          <w:szCs w:val="48"/>
          <w:highlight w:val="none"/>
          <w:lang w:eastAsia="zh-CN"/>
        </w:rPr>
        <w:t>新疆维吾尔自治区疾病预防控制中心布鲁氏菌靶向核心细胞群体、基因表达及免疫应答核心机制相关试剂采购项目（二次）</w:t>
      </w:r>
    </w:p>
    <w:p w14:paraId="43002B1E">
      <w:pPr>
        <w:jc w:val="center"/>
        <w:rPr>
          <w:rFonts w:hint="eastAsia" w:cs="宋体"/>
          <w:b/>
          <w:bCs/>
          <w:color w:val="auto"/>
          <w:sz w:val="52"/>
          <w:szCs w:val="52"/>
          <w:highlight w:val="none"/>
        </w:rPr>
      </w:pPr>
    </w:p>
    <w:p w14:paraId="60CAA9AF">
      <w:pPr>
        <w:jc w:val="center"/>
        <w:rPr>
          <w:rFonts w:hint="eastAsia" w:cs="宋体"/>
          <w:b/>
          <w:bCs/>
          <w:color w:val="auto"/>
          <w:sz w:val="52"/>
          <w:szCs w:val="52"/>
          <w:highlight w:val="none"/>
        </w:rPr>
      </w:pPr>
    </w:p>
    <w:p w14:paraId="0F876434">
      <w:pPr>
        <w:jc w:val="center"/>
        <w:rPr>
          <w:rFonts w:hint="eastAsia" w:cs="宋体"/>
          <w:b/>
          <w:bCs/>
          <w:color w:val="auto"/>
          <w:sz w:val="52"/>
          <w:szCs w:val="52"/>
          <w:highlight w:val="none"/>
        </w:rPr>
      </w:pPr>
    </w:p>
    <w:p w14:paraId="2828E25E">
      <w:pPr>
        <w:jc w:val="center"/>
        <w:rPr>
          <w:rFonts w:hint="eastAsia" w:cs="宋体"/>
          <w:b/>
          <w:bCs/>
          <w:color w:val="auto"/>
          <w:sz w:val="52"/>
          <w:szCs w:val="52"/>
          <w:highlight w:val="none"/>
        </w:rPr>
      </w:pPr>
      <w:r>
        <w:rPr>
          <w:rFonts w:hint="eastAsia" w:cs="宋体"/>
          <w:b/>
          <w:bCs/>
          <w:color w:val="auto"/>
          <w:sz w:val="52"/>
          <w:szCs w:val="52"/>
          <w:highlight w:val="none"/>
        </w:rPr>
        <w:t>公开招标文件</w:t>
      </w:r>
    </w:p>
    <w:p w14:paraId="6FEFFE91">
      <w:pPr>
        <w:pStyle w:val="2"/>
        <w:rPr>
          <w:rFonts w:hint="eastAsia" w:ascii="黑体" w:hAnsi="黑体" w:eastAsia="黑体"/>
          <w:color w:val="auto"/>
          <w:sz w:val="52"/>
          <w:szCs w:val="52"/>
          <w:highlight w:val="none"/>
        </w:rPr>
      </w:pPr>
    </w:p>
    <w:p w14:paraId="042DDE94">
      <w:pPr>
        <w:pStyle w:val="2"/>
        <w:rPr>
          <w:rFonts w:hint="eastAsia" w:ascii="黑体" w:hAnsi="黑体" w:eastAsia="黑体"/>
          <w:color w:val="auto"/>
          <w:sz w:val="52"/>
          <w:szCs w:val="52"/>
          <w:highlight w:val="none"/>
        </w:rPr>
      </w:pPr>
    </w:p>
    <w:p w14:paraId="0549EC2E">
      <w:pPr>
        <w:rPr>
          <w:rFonts w:hint="eastAsia" w:cs="宋体"/>
          <w:color w:val="auto"/>
          <w:sz w:val="32"/>
          <w:szCs w:val="32"/>
          <w:highlight w:val="none"/>
        </w:rPr>
      </w:pPr>
    </w:p>
    <w:p w14:paraId="679AF29B">
      <w:pPr>
        <w:rPr>
          <w:rFonts w:hint="eastAsia" w:eastAsia="宋体" w:cs="宋体"/>
          <w:color w:val="auto"/>
          <w:sz w:val="32"/>
          <w:szCs w:val="32"/>
          <w:highlight w:val="none"/>
          <w:lang w:eastAsia="zh-CN"/>
        </w:rPr>
      </w:pPr>
      <w:r>
        <w:rPr>
          <w:rFonts w:hint="eastAsia" w:cs="宋体"/>
          <w:color w:val="auto"/>
          <w:sz w:val="32"/>
          <w:szCs w:val="32"/>
          <w:highlight w:val="none"/>
        </w:rPr>
        <w:t>项目编号：</w:t>
      </w:r>
      <w:r>
        <w:rPr>
          <w:rFonts w:hint="eastAsia" w:cs="宋体"/>
          <w:color w:val="auto"/>
          <w:sz w:val="32"/>
          <w:szCs w:val="32"/>
          <w:highlight w:val="none"/>
          <w:lang w:eastAsia="zh-CN"/>
        </w:rPr>
        <w:t>XSY-2026-Z-086-2</w:t>
      </w:r>
    </w:p>
    <w:p w14:paraId="5FBA27F4">
      <w:pPr>
        <w:ind w:left="1600" w:hanging="1600" w:hangingChars="500"/>
        <w:rPr>
          <w:rFonts w:hint="eastAsia" w:eastAsia="宋体" w:cs="宋体"/>
          <w:color w:val="auto"/>
          <w:sz w:val="32"/>
          <w:szCs w:val="32"/>
          <w:highlight w:val="none"/>
          <w:lang w:eastAsia="zh-CN"/>
        </w:rPr>
      </w:pPr>
      <w:r>
        <w:rPr>
          <w:rFonts w:hint="eastAsia" w:cs="宋体"/>
          <w:color w:val="auto"/>
          <w:sz w:val="32"/>
          <w:szCs w:val="32"/>
          <w:highlight w:val="none"/>
        </w:rPr>
        <w:t>项目名称：</w:t>
      </w:r>
      <w:r>
        <w:rPr>
          <w:rFonts w:hint="eastAsia" w:cs="宋体"/>
          <w:color w:val="auto"/>
          <w:sz w:val="32"/>
          <w:szCs w:val="32"/>
          <w:highlight w:val="none"/>
          <w:lang w:eastAsia="zh-CN"/>
        </w:rPr>
        <w:t>新疆维吾尔自治区疾病预防控制中心布鲁氏菌靶向核心细胞群体、基因表达及免疫应答核心机制相关试剂采购项目（二次）</w:t>
      </w:r>
    </w:p>
    <w:p w14:paraId="2063AD35">
      <w:pPr>
        <w:ind w:left="1600" w:hanging="1600" w:hangingChars="500"/>
        <w:rPr>
          <w:rFonts w:hint="eastAsia" w:cs="宋体"/>
          <w:color w:val="auto"/>
          <w:sz w:val="32"/>
          <w:szCs w:val="32"/>
          <w:highlight w:val="none"/>
        </w:rPr>
      </w:pPr>
      <w:r>
        <w:rPr>
          <w:rFonts w:hint="eastAsia" w:cs="宋体"/>
          <w:color w:val="auto"/>
          <w:sz w:val="32"/>
          <w:szCs w:val="32"/>
          <w:highlight w:val="none"/>
        </w:rPr>
        <w:t>采 购 人：新疆维吾尔自治区疾病预防控制中心</w:t>
      </w:r>
    </w:p>
    <w:p w14:paraId="1B0D7BE2">
      <w:pPr>
        <w:rPr>
          <w:rFonts w:hint="eastAsia" w:cs="宋体"/>
          <w:color w:val="auto"/>
          <w:sz w:val="32"/>
          <w:szCs w:val="32"/>
          <w:highlight w:val="none"/>
        </w:rPr>
      </w:pPr>
      <w:r>
        <w:rPr>
          <w:rFonts w:hint="eastAsia" w:cs="宋体"/>
          <w:color w:val="auto"/>
          <w:sz w:val="32"/>
          <w:szCs w:val="32"/>
          <w:highlight w:val="none"/>
        </w:rPr>
        <w:t>采购代理机构：新疆星圣源工程项目管理有限公司</w:t>
      </w:r>
    </w:p>
    <w:p w14:paraId="3226D647">
      <w:pPr>
        <w:rPr>
          <w:rFonts w:hint="eastAsia" w:cs="宋体"/>
          <w:color w:val="auto"/>
          <w:sz w:val="32"/>
          <w:szCs w:val="32"/>
          <w:highlight w:val="none"/>
        </w:rPr>
      </w:pPr>
    </w:p>
    <w:p w14:paraId="5A5A5825">
      <w:pPr>
        <w:jc w:val="center"/>
        <w:rPr>
          <w:rFonts w:hint="eastAsia" w:cs="宋体"/>
          <w:b/>
          <w:bCs/>
          <w:color w:val="auto"/>
          <w:sz w:val="36"/>
          <w:szCs w:val="36"/>
          <w:highlight w:val="none"/>
        </w:rPr>
      </w:pPr>
      <w:r>
        <w:rPr>
          <w:rFonts w:hint="eastAsia" w:cs="宋体"/>
          <w:b/>
          <w:bCs/>
          <w:color w:val="auto"/>
          <w:sz w:val="36"/>
          <w:szCs w:val="36"/>
          <w:highlight w:val="none"/>
        </w:rPr>
        <w:t>目  录</w:t>
      </w:r>
    </w:p>
    <w:p w14:paraId="72348907">
      <w:pPr>
        <w:pStyle w:val="2"/>
        <w:rPr>
          <w:color w:val="auto"/>
          <w:highlight w:val="none"/>
        </w:rPr>
      </w:pPr>
    </w:p>
    <w:p w14:paraId="7FC59651">
      <w:pPr>
        <w:pStyle w:val="14"/>
        <w:tabs>
          <w:tab w:val="right" w:leader="dot" w:pos="8306"/>
        </w:tabs>
        <w:spacing w:before="0" w:after="0"/>
        <w:rPr>
          <w:rFonts w:hint="eastAsia" w:ascii="宋体" w:eastAsia="宋体" w:cs="宋体"/>
          <w:color w:val="auto"/>
          <w:sz w:val="24"/>
          <w:szCs w:val="24"/>
          <w:highlight w:val="none"/>
        </w:rPr>
      </w:pP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TOC \o "1-2" \h \u </w:instrText>
      </w:r>
      <w:r>
        <w:rPr>
          <w:rFonts w:hint="eastAsia" w:ascii="宋体" w:eastAsia="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"_Toc3968" </w:instrText>
      </w:r>
      <w:r>
        <w:rPr>
          <w:color w:val="auto"/>
          <w:highlight w:val="none"/>
        </w:rPr>
        <w:fldChar w:fldCharType="separate"/>
      </w:r>
      <w:r>
        <w:rPr>
          <w:rFonts w:hint="eastAsia" w:ascii="宋体" w:eastAsia="宋体" w:cs="宋体"/>
          <w:color w:val="auto"/>
          <w:kern w:val="44"/>
          <w:sz w:val="24"/>
          <w:szCs w:val="24"/>
          <w:highlight w:val="none"/>
        </w:rPr>
        <w:t xml:space="preserve">第一章 </w:t>
      </w:r>
      <w:r>
        <w:rPr>
          <w:rFonts w:hint="eastAsia" w:ascii="宋体" w:eastAsia="宋体" w:cs="宋体"/>
          <w:color w:val="auto"/>
          <w:sz w:val="24"/>
          <w:szCs w:val="24"/>
          <w:highlight w:val="none"/>
        </w:rPr>
        <w:t>招标公告</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_Toc3968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1</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2FB8E2D1">
      <w:pPr>
        <w:pStyle w:val="14"/>
        <w:tabs>
          <w:tab w:val="right" w:leader="dot" w:pos="8306"/>
        </w:tabs>
        <w:spacing w:before="0" w:after="0"/>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"_Toc29609" </w:instrText>
      </w:r>
      <w:r>
        <w:rPr>
          <w:color w:val="auto"/>
          <w:highlight w:val="none"/>
        </w:rPr>
        <w:fldChar w:fldCharType="separate"/>
      </w:r>
      <w:r>
        <w:rPr>
          <w:rFonts w:hint="eastAsia" w:ascii="宋体" w:eastAsia="宋体" w:cs="宋体"/>
          <w:color w:val="auto"/>
          <w:kern w:val="44"/>
          <w:sz w:val="24"/>
          <w:szCs w:val="24"/>
          <w:highlight w:val="none"/>
        </w:rPr>
        <w:t>第二章 投标人须知</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_Toc29609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5</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724AFEA9">
      <w:pPr>
        <w:pStyle w:val="14"/>
        <w:tabs>
          <w:tab w:val="right" w:leader="dot" w:pos="8306"/>
        </w:tabs>
        <w:spacing w:before="0" w:after="0"/>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"_Toc22090" </w:instrText>
      </w:r>
      <w:r>
        <w:rPr>
          <w:color w:val="auto"/>
          <w:highlight w:val="none"/>
        </w:rPr>
        <w:fldChar w:fldCharType="separate"/>
      </w:r>
      <w:r>
        <w:rPr>
          <w:rFonts w:hint="eastAsia" w:ascii="宋体" w:eastAsia="宋体" w:cs="宋体"/>
          <w:color w:val="auto"/>
          <w:kern w:val="44"/>
          <w:sz w:val="24"/>
          <w:szCs w:val="24"/>
          <w:highlight w:val="none"/>
        </w:rPr>
        <w:t>第三章 采购需求</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_Toc22090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39</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77674C0A">
      <w:pPr>
        <w:pStyle w:val="14"/>
        <w:tabs>
          <w:tab w:val="right" w:leader="dot" w:pos="8306"/>
        </w:tabs>
        <w:spacing w:before="0" w:after="0"/>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"_Toc12252" </w:instrText>
      </w:r>
      <w:r>
        <w:rPr>
          <w:color w:val="auto"/>
          <w:highlight w:val="none"/>
        </w:rPr>
        <w:fldChar w:fldCharType="separate"/>
      </w:r>
      <w:r>
        <w:rPr>
          <w:rFonts w:hint="eastAsia" w:ascii="宋体" w:eastAsia="宋体" w:cs="宋体"/>
          <w:color w:val="auto"/>
          <w:kern w:val="44"/>
          <w:sz w:val="24"/>
          <w:szCs w:val="24"/>
          <w:highlight w:val="none"/>
        </w:rPr>
        <w:t>第四章 资格审查</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_Toc12252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51</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1322D9E0">
      <w:pPr>
        <w:pStyle w:val="14"/>
        <w:tabs>
          <w:tab w:val="right" w:leader="dot" w:pos="8306"/>
        </w:tabs>
        <w:spacing w:before="0" w:after="0"/>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"_Toc23606" </w:instrText>
      </w:r>
      <w:r>
        <w:rPr>
          <w:color w:val="auto"/>
          <w:highlight w:val="none"/>
        </w:rPr>
        <w:fldChar w:fldCharType="separate"/>
      </w:r>
      <w:r>
        <w:rPr>
          <w:rFonts w:hint="eastAsia" w:ascii="宋体" w:eastAsia="宋体" w:cs="宋体"/>
          <w:color w:val="auto"/>
          <w:kern w:val="44"/>
          <w:sz w:val="24"/>
          <w:szCs w:val="24"/>
          <w:highlight w:val="none"/>
        </w:rPr>
        <w:t>第五章 评标方法及标准</w:t>
      </w:r>
      <w:r>
        <w:rPr>
          <w:rFonts w:hint="eastAsia" w:ascii="宋体" w:eastAsia="宋体" w:cs="宋体"/>
          <w:color w:val="auto"/>
          <w:kern w:val="44"/>
          <w:sz w:val="24"/>
          <w:szCs w:val="24"/>
          <w:highlight w:val="none"/>
          <w:lang w:eastAsia="zh-CN"/>
        </w:rPr>
        <w:t>（</w:t>
      </w:r>
      <w:r>
        <w:rPr>
          <w:rFonts w:hint="eastAsia" w:ascii="宋体" w:eastAsia="宋体" w:cs="宋体"/>
          <w:color w:val="auto"/>
          <w:kern w:val="44"/>
          <w:sz w:val="24"/>
          <w:szCs w:val="24"/>
          <w:highlight w:val="none"/>
        </w:rPr>
        <w:t>综合评分法</w:t>
      </w:r>
      <w:r>
        <w:rPr>
          <w:rFonts w:hint="eastAsia" w:ascii="宋体" w:eastAsia="宋体" w:cs="宋体"/>
          <w:color w:val="auto"/>
          <w:kern w:val="44"/>
          <w:sz w:val="24"/>
          <w:szCs w:val="24"/>
          <w:highlight w:val="none"/>
          <w:lang w:eastAsia="zh-CN"/>
        </w:rPr>
        <w:t>）</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_Toc23606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54</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64975AAB">
      <w:pPr>
        <w:pStyle w:val="14"/>
        <w:tabs>
          <w:tab w:val="right" w:leader="dot" w:pos="8306"/>
        </w:tabs>
        <w:spacing w:before="0" w:after="0"/>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"_Toc23323" </w:instrText>
      </w:r>
      <w:r>
        <w:rPr>
          <w:color w:val="auto"/>
          <w:highlight w:val="none"/>
        </w:rPr>
        <w:fldChar w:fldCharType="separate"/>
      </w:r>
      <w:r>
        <w:rPr>
          <w:rFonts w:hint="eastAsia" w:ascii="宋体" w:eastAsia="宋体" w:cs="宋体"/>
          <w:color w:val="auto"/>
          <w:kern w:val="44"/>
          <w:sz w:val="24"/>
          <w:szCs w:val="24"/>
          <w:highlight w:val="none"/>
          <w:lang w:val="zh-CN"/>
        </w:rPr>
        <w:t>第六章 合同草案</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_Toc23323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66</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0D243CAA">
      <w:pPr>
        <w:pStyle w:val="14"/>
        <w:tabs>
          <w:tab w:val="right" w:leader="dot" w:pos="8306"/>
        </w:tabs>
        <w:spacing w:before="0" w:after="0"/>
        <w:rPr>
          <w:rFonts w:hint="eastAsia" w:asci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"_Toc15820" </w:instrText>
      </w:r>
      <w:r>
        <w:rPr>
          <w:color w:val="auto"/>
          <w:highlight w:val="none"/>
        </w:rPr>
        <w:fldChar w:fldCharType="separate"/>
      </w:r>
      <w:r>
        <w:rPr>
          <w:rFonts w:hint="eastAsia" w:ascii="宋体" w:eastAsia="宋体" w:cs="宋体"/>
          <w:color w:val="auto"/>
          <w:kern w:val="44"/>
          <w:sz w:val="24"/>
          <w:szCs w:val="24"/>
          <w:highlight w:val="none"/>
        </w:rPr>
        <w:t>第七章 投标文件格式</w:t>
      </w:r>
      <w:r>
        <w:rPr>
          <w:rFonts w:hint="eastAsia" w:ascii="宋体" w:eastAsia="宋体" w:cs="宋体"/>
          <w:color w:val="auto"/>
          <w:sz w:val="24"/>
          <w:szCs w:val="24"/>
          <w:highlight w:val="none"/>
        </w:rPr>
        <w:tab/>
      </w:r>
      <w:r>
        <w:rPr>
          <w:rFonts w:hint="eastAsia" w:ascii="宋体" w:eastAsia="宋体" w:cs="宋体"/>
          <w:color w:val="auto"/>
          <w:sz w:val="24"/>
          <w:szCs w:val="24"/>
          <w:highlight w:val="none"/>
          <w:lang w:val="en-US" w:eastAsia="zh-CN"/>
        </w:rPr>
        <w:t>7</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lang w:val="en-US" w:eastAsia="zh-CN"/>
        </w:rPr>
        <w:t>8</w:t>
      </w:r>
    </w:p>
    <w:p w14:paraId="566BD677">
      <w:pPr>
        <w:rPr>
          <w:rFonts w:hint="eastAsia"/>
          <w:color w:val="auto"/>
          <w:highlight w:val="none"/>
        </w:rPr>
      </w:pPr>
      <w:r>
        <w:rPr>
          <w:rFonts w:hint="eastAsia" w:cs="宋体"/>
          <w:color w:val="auto"/>
          <w:szCs w:val="24"/>
          <w:highlight w:val="none"/>
        </w:rPr>
        <w:fldChar w:fldCharType="end"/>
      </w:r>
    </w:p>
    <w:p w14:paraId="3D1DC46A">
      <w:pPr>
        <w:jc w:val="center"/>
        <w:rPr>
          <w:rFonts w:hint="eastAsia" w:ascii="黑体" w:hAnsi="黑体" w:eastAsia="黑体"/>
          <w:b/>
          <w:bCs/>
          <w:color w:val="auto"/>
          <w:sz w:val="32"/>
          <w:szCs w:val="32"/>
          <w:highlight w:val="none"/>
        </w:rPr>
        <w:sectPr>
          <w:headerReference r:id="rId5" w:type="default"/>
          <w:pgSz w:w="11906" w:h="16838"/>
          <w:pgMar w:top="1440" w:right="1800" w:bottom="1440" w:left="1800" w:header="851" w:footer="992" w:gutter="0"/>
          <w:cols w:space="425" w:num="1"/>
          <w:docGrid w:type="lines" w:linePitch="312" w:charSpace="0"/>
        </w:sectPr>
      </w:pPr>
    </w:p>
    <w:p w14:paraId="5B99CE61">
      <w:pPr>
        <w:pStyle w:val="4"/>
        <w:spacing w:before="220" w:after="220" w:line="480" w:lineRule="auto"/>
        <w:ind w:left="420" w:hanging="420"/>
        <w:rPr>
          <w:rFonts w:hint="eastAsia" w:eastAsia="宋体" w:cs="宋体"/>
          <w:color w:val="auto"/>
          <w:sz w:val="36"/>
          <w:szCs w:val="36"/>
          <w:highlight w:val="none"/>
        </w:rPr>
      </w:pPr>
      <w:bookmarkStart w:id="0" w:name="_Toc155185859"/>
      <w:bookmarkStart w:id="1" w:name="_Toc163492811"/>
      <w:bookmarkStart w:id="2" w:name="_Toc3968"/>
      <w:r>
        <w:rPr>
          <w:rFonts w:hint="eastAsia" w:eastAsia="宋体" w:cs="宋体"/>
          <w:color w:val="auto"/>
          <w:sz w:val="36"/>
          <w:szCs w:val="36"/>
          <w:highlight w:val="none"/>
        </w:rPr>
        <w:t xml:space="preserve">第一章 </w:t>
      </w:r>
      <w:bookmarkEnd w:id="0"/>
      <w:bookmarkEnd w:id="1"/>
      <w:bookmarkStart w:id="3" w:name="_Hlk130458318"/>
      <w:r>
        <w:rPr>
          <w:rFonts w:hint="eastAsia" w:eastAsia="宋体" w:cs="宋体"/>
          <w:color w:val="auto"/>
          <w:sz w:val="36"/>
          <w:szCs w:val="36"/>
          <w:highlight w:val="none"/>
        </w:rPr>
        <w:t>招标公告</w:t>
      </w:r>
      <w:bookmarkEnd w:id="2"/>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E8CB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9B9E7ED">
            <w:pPr>
              <w:pStyle w:val="5"/>
              <w:spacing w:before="100" w:after="100" w:line="360" w:lineRule="auto"/>
              <w:ind w:left="420" w:hanging="420"/>
              <w:rPr>
                <w:color w:val="auto"/>
                <w:sz w:val="24"/>
                <w:szCs w:val="24"/>
                <w:highlight w:val="none"/>
              </w:rPr>
            </w:pPr>
            <w:bookmarkStart w:id="4" w:name="_Toc17609"/>
            <w:bookmarkStart w:id="5" w:name="_Toc28359012"/>
            <w:bookmarkStart w:id="6" w:name="_Toc140132745"/>
            <w:bookmarkStart w:id="7" w:name="_Toc163492812"/>
            <w:bookmarkStart w:id="8" w:name="_Toc28359089"/>
            <w:bookmarkStart w:id="9" w:name="_Toc35393629"/>
            <w:bookmarkStart w:id="10" w:name="_Toc109899410"/>
            <w:bookmarkStart w:id="11" w:name="_Toc44583628"/>
            <w:bookmarkStart w:id="12" w:name="_Toc155185860"/>
            <w:bookmarkStart w:id="13" w:name="_Toc35393798"/>
            <w:bookmarkStart w:id="14" w:name="_Toc109899829"/>
            <w:bookmarkStart w:id="15" w:name="_Toc109900248"/>
            <w:r>
              <w:rPr>
                <w:rFonts w:hint="eastAsia"/>
                <w:color w:val="auto"/>
                <w:sz w:val="24"/>
                <w:szCs w:val="24"/>
                <w:highlight w:val="none"/>
              </w:rPr>
              <w:t>项目概况：</w:t>
            </w:r>
            <w:bookmarkEnd w:id="4"/>
          </w:p>
          <w:p w14:paraId="580C8011">
            <w:pPr>
              <w:ind w:firstLine="480" w:firstLineChars="200"/>
              <w:rPr>
                <w:rFonts w:hint="eastAsia"/>
                <w:color w:val="auto"/>
                <w:highlight w:val="none"/>
              </w:rPr>
            </w:pPr>
            <w:r>
              <w:rPr>
                <w:rFonts w:hint="eastAsia"/>
                <w:iCs/>
                <w:color w:val="auto"/>
                <w:szCs w:val="24"/>
                <w:highlight w:val="none"/>
                <w:u w:val="single"/>
                <w:shd w:val="clear" w:color="auto" w:fill="FFFFFF" w:themeFill="background1"/>
                <w:lang w:val="hr-HR"/>
              </w:rPr>
              <w:t xml:space="preserve"> </w:t>
            </w:r>
            <w:r>
              <w:rPr>
                <w:rFonts w:hint="eastAsia"/>
                <w:iCs/>
                <w:color w:val="auto"/>
                <w:szCs w:val="24"/>
                <w:highlight w:val="none"/>
                <w:u w:val="single"/>
                <w:shd w:val="clear" w:color="auto" w:fill="FFFFFF" w:themeFill="background1"/>
                <w:lang w:val="hr-HR" w:eastAsia="zh-CN"/>
              </w:rPr>
              <w:t>新疆维吾尔自治区疾病预防控制中心布鲁氏菌靶向核心细胞群体、基因表达及免疫应答核心机制相关试剂采购项目（二次）</w:t>
            </w:r>
            <w:r>
              <w:rPr>
                <w:rFonts w:hint="eastAsia"/>
                <w:iCs/>
                <w:color w:val="auto"/>
                <w:szCs w:val="24"/>
                <w:highlight w:val="none"/>
                <w:u w:val="single"/>
                <w:shd w:val="clear" w:color="auto" w:fill="FFFFFF" w:themeFill="background1"/>
                <w:lang w:val="hr-HR"/>
              </w:rPr>
              <w:t xml:space="preserve"> </w:t>
            </w:r>
            <w:r>
              <w:rPr>
                <w:rFonts w:hint="eastAsia"/>
                <w:iCs/>
                <w:color w:val="auto"/>
                <w:szCs w:val="24"/>
                <w:highlight w:val="none"/>
                <w:shd w:val="clear" w:color="auto" w:fill="FFFFFF" w:themeFill="background1"/>
                <w:lang w:val="hr-HR"/>
              </w:rPr>
              <w:t>招标项目的潜在投标人应在</w:t>
            </w:r>
            <w:r>
              <w:rPr>
                <w:rFonts w:hint="eastAsia"/>
                <w:iCs/>
                <w:color w:val="auto"/>
                <w:szCs w:val="24"/>
                <w:highlight w:val="none"/>
                <w:u w:val="single"/>
                <w:shd w:val="clear" w:color="auto" w:fill="FFFFFF" w:themeFill="background1"/>
                <w:lang w:val="hr-HR"/>
              </w:rPr>
              <w:t>（政采云平台http：//www.zcygov.cn/）</w:t>
            </w:r>
            <w:r>
              <w:rPr>
                <w:rFonts w:hint="eastAsia"/>
                <w:iCs/>
                <w:color w:val="auto"/>
                <w:szCs w:val="24"/>
                <w:highlight w:val="none"/>
                <w:shd w:val="clear" w:color="auto" w:fill="FFFFFF" w:themeFill="background1"/>
                <w:lang w:val="hr-HR"/>
              </w:rPr>
              <w:t>获取招标文件，并于</w:t>
            </w:r>
            <w:r>
              <w:rPr>
                <w:rFonts w:hint="eastAsia" w:cs="宋体"/>
                <w:color w:val="auto"/>
                <w:highlight w:val="cyan"/>
                <w:u w:val="single"/>
              </w:rPr>
              <w:t>2026年</w:t>
            </w:r>
            <w:r>
              <w:rPr>
                <w:rFonts w:hint="eastAsia" w:cs="宋体"/>
                <w:color w:val="auto"/>
                <w:highlight w:val="cyan"/>
                <w:u w:val="single"/>
                <w:lang w:val="en-US" w:eastAsia="zh-CN"/>
              </w:rPr>
              <w:t>06</w:t>
            </w:r>
            <w:r>
              <w:rPr>
                <w:rFonts w:hint="eastAsia" w:cs="宋体"/>
                <w:color w:val="auto"/>
                <w:highlight w:val="cyan"/>
                <w:u w:val="single"/>
              </w:rPr>
              <w:t>月</w:t>
            </w:r>
            <w:r>
              <w:rPr>
                <w:rFonts w:hint="eastAsia" w:cs="宋体"/>
                <w:color w:val="auto"/>
                <w:highlight w:val="cyan"/>
                <w:u w:val="single"/>
                <w:lang w:val="en-US" w:eastAsia="zh-CN"/>
              </w:rPr>
              <w:t>15</w:t>
            </w:r>
            <w:r>
              <w:rPr>
                <w:rFonts w:hint="eastAsia" w:cs="宋体"/>
                <w:color w:val="auto"/>
                <w:highlight w:val="cyan"/>
                <w:u w:val="single"/>
              </w:rPr>
              <w:t>日11时00分</w:t>
            </w:r>
            <w:r>
              <w:rPr>
                <w:rFonts w:hint="eastAsia"/>
                <w:iCs/>
                <w:color w:val="auto"/>
                <w:szCs w:val="24"/>
                <w:highlight w:val="none"/>
                <w:shd w:val="clear" w:color="auto" w:fill="FFFFFF" w:themeFill="background1"/>
                <w:lang w:val="hr-HR"/>
              </w:rPr>
              <w:t>（北京时间）前递交投标文件。</w:t>
            </w:r>
          </w:p>
        </w:tc>
      </w:tr>
    </w:tbl>
    <w:p w14:paraId="21287FAD">
      <w:pPr>
        <w:pStyle w:val="5"/>
        <w:spacing w:before="156" w:beforeLines="50" w:after="156" w:afterLines="50" w:line="360" w:lineRule="auto"/>
        <w:ind w:left="420" w:hanging="420"/>
        <w:rPr>
          <w:rFonts w:hint="eastAsia" w:ascii="宋体" w:hAnsi="宋体" w:cs="宋体"/>
          <w:color w:val="auto"/>
          <w:sz w:val="24"/>
          <w:szCs w:val="24"/>
          <w:highlight w:val="none"/>
          <w:lang w:val="hr-HR"/>
        </w:rPr>
      </w:pPr>
      <w:bookmarkStart w:id="16" w:name="_Toc32499"/>
      <w:r>
        <w:rPr>
          <w:rFonts w:hint="eastAsia" w:ascii="宋体" w:hAnsi="宋体" w:cs="宋体"/>
          <w:color w:val="auto"/>
          <w:sz w:val="24"/>
          <w:szCs w:val="24"/>
          <w:highlight w:val="none"/>
          <w:lang w:val="hr-HR"/>
        </w:rPr>
        <w:t>一、项目基本情况</w:t>
      </w:r>
      <w:bookmarkEnd w:id="5"/>
      <w:bookmarkEnd w:id="6"/>
      <w:bookmarkEnd w:id="7"/>
      <w:bookmarkEnd w:id="8"/>
      <w:bookmarkEnd w:id="9"/>
      <w:bookmarkEnd w:id="10"/>
      <w:bookmarkEnd w:id="11"/>
      <w:bookmarkEnd w:id="12"/>
      <w:bookmarkEnd w:id="13"/>
      <w:bookmarkEnd w:id="14"/>
      <w:bookmarkEnd w:id="15"/>
      <w:bookmarkEnd w:id="16"/>
    </w:p>
    <w:p w14:paraId="07D61188">
      <w:pPr>
        <w:pStyle w:val="20"/>
        <w:rPr>
          <w:rFonts w:hint="eastAsia" w:eastAsia="宋体" w:cs="宋体"/>
          <w:color w:val="auto"/>
          <w:highlight w:val="none"/>
          <w:lang w:val="en-US" w:eastAsia="zh-CN"/>
        </w:rPr>
      </w:pPr>
      <w:r>
        <w:rPr>
          <w:rFonts w:hint="eastAsia" w:cs="宋体"/>
          <w:color w:val="auto"/>
          <w:highlight w:val="none"/>
          <w:lang w:val="hr-HR"/>
        </w:rPr>
        <w:t>1.项目编号：</w:t>
      </w:r>
      <w:r>
        <w:rPr>
          <w:rFonts w:hint="eastAsia" w:cs="宋体"/>
          <w:color w:val="auto"/>
          <w:highlight w:val="none"/>
          <w:lang w:val="en-US" w:eastAsia="zh-CN"/>
        </w:rPr>
        <w:t>XSY-2026-Z-086-2</w:t>
      </w:r>
    </w:p>
    <w:p w14:paraId="570F3986">
      <w:pPr>
        <w:pStyle w:val="20"/>
        <w:ind w:left="1920" w:leftChars="200" w:hanging="1440" w:hangingChars="600"/>
        <w:rPr>
          <w:rFonts w:hint="eastAsia" w:cs="宋体"/>
          <w:color w:val="auto"/>
          <w:highlight w:val="none"/>
          <w:lang w:val="hr-HR"/>
        </w:rPr>
      </w:pPr>
      <w:r>
        <w:rPr>
          <w:rFonts w:hint="eastAsia" w:cs="宋体"/>
          <w:color w:val="auto"/>
          <w:highlight w:val="none"/>
          <w:lang w:val="en-US"/>
        </w:rPr>
        <w:t>2</w:t>
      </w:r>
      <w:r>
        <w:rPr>
          <w:rFonts w:hint="eastAsia" w:cs="宋体"/>
          <w:color w:val="auto"/>
          <w:highlight w:val="none"/>
          <w:lang w:val="hr-HR"/>
        </w:rPr>
        <w:t>.项目名称：</w:t>
      </w:r>
      <w:r>
        <w:rPr>
          <w:rFonts w:hint="eastAsia" w:cs="宋体"/>
          <w:color w:val="auto"/>
          <w:highlight w:val="none"/>
          <w:lang w:val="en-US" w:eastAsia="zh-CN"/>
        </w:rPr>
        <w:t>新疆维吾尔自治区疾病预防控制中心布鲁氏菌靶向核心细胞群体、基因表达及免疫应答核心机制相关试剂采购项目（二次）</w:t>
      </w:r>
      <w:r>
        <w:rPr>
          <w:rFonts w:hint="eastAsia" w:cs="宋体"/>
          <w:color w:val="auto"/>
          <w:highlight w:val="none"/>
          <w:lang w:val="hr-HR"/>
        </w:rPr>
        <w:t xml:space="preserve"> </w:t>
      </w:r>
    </w:p>
    <w:p w14:paraId="271A9B05">
      <w:pPr>
        <w:pStyle w:val="20"/>
        <w:rPr>
          <w:rFonts w:hint="eastAsia" w:cs="宋体"/>
          <w:color w:val="auto"/>
          <w:highlight w:val="none"/>
          <w:lang w:val="hr-HR"/>
        </w:rPr>
      </w:pPr>
      <w:r>
        <w:rPr>
          <w:rFonts w:hint="eastAsia" w:cs="宋体"/>
          <w:color w:val="auto"/>
          <w:highlight w:val="none"/>
          <w:lang w:val="en-US"/>
        </w:rPr>
        <w:t>3</w:t>
      </w:r>
      <w:r>
        <w:rPr>
          <w:rFonts w:hint="eastAsia" w:cs="宋体"/>
          <w:color w:val="auto"/>
          <w:highlight w:val="none"/>
        </w:rPr>
        <w:t>.采购方式：公开招标</w:t>
      </w:r>
    </w:p>
    <w:p w14:paraId="6C4CFC01">
      <w:pPr>
        <w:pStyle w:val="20"/>
        <w:ind w:left="2400" w:leftChars="200" w:hanging="1920" w:hangingChars="800"/>
        <w:rPr>
          <w:rFonts w:hint="eastAsia" w:cs="宋体"/>
          <w:color w:val="auto"/>
          <w:highlight w:val="none"/>
          <w:lang w:val="en-US"/>
        </w:rPr>
      </w:pPr>
      <w:r>
        <w:rPr>
          <w:rFonts w:hint="eastAsia" w:cs="宋体"/>
          <w:color w:val="auto"/>
          <w:highlight w:val="none"/>
          <w:lang w:val="en-US"/>
        </w:rPr>
        <w:t>4</w:t>
      </w:r>
      <w:r>
        <w:rPr>
          <w:rFonts w:hint="eastAsia" w:cs="宋体"/>
          <w:color w:val="auto"/>
          <w:highlight w:val="none"/>
          <w:lang w:val="hr-HR"/>
        </w:rPr>
        <w:t>.</w:t>
      </w:r>
      <w:r>
        <w:rPr>
          <w:rFonts w:hint="eastAsia" w:cs="宋体"/>
          <w:color w:val="auto"/>
          <w:highlight w:val="none"/>
          <w:lang w:val="en-US"/>
        </w:rPr>
        <w:t>项目</w:t>
      </w:r>
      <w:r>
        <w:rPr>
          <w:rFonts w:hint="eastAsia" w:cs="宋体"/>
          <w:color w:val="auto"/>
          <w:highlight w:val="none"/>
          <w:lang w:val="hr-HR"/>
        </w:rPr>
        <w:t>预算金额：</w:t>
      </w:r>
      <w:r>
        <w:rPr>
          <w:rFonts w:hint="eastAsia" w:cs="宋体"/>
          <w:color w:val="auto"/>
          <w:highlight w:val="none"/>
          <w:lang w:val="hr-HR" w:eastAsia="zh-CN"/>
        </w:rPr>
        <w:t>224800</w:t>
      </w:r>
      <w:r>
        <w:rPr>
          <w:rFonts w:hint="eastAsia" w:cs="宋体"/>
          <w:color w:val="auto"/>
          <w:highlight w:val="none"/>
          <w:lang w:val="en-US"/>
        </w:rPr>
        <w:t>元</w:t>
      </w:r>
    </w:p>
    <w:p w14:paraId="10034620">
      <w:pPr>
        <w:pStyle w:val="20"/>
        <w:ind w:left="1680" w:leftChars="200" w:hanging="1200" w:hangingChars="500"/>
        <w:rPr>
          <w:rFonts w:hint="eastAsia" w:cs="宋体"/>
          <w:color w:val="auto"/>
          <w:highlight w:val="none"/>
          <w:lang w:val="hr-HR"/>
        </w:rPr>
      </w:pPr>
      <w:r>
        <w:rPr>
          <w:rFonts w:hint="eastAsia" w:cs="宋体"/>
          <w:color w:val="auto"/>
          <w:highlight w:val="none"/>
          <w:lang w:val="en-US"/>
        </w:rPr>
        <w:t>5</w:t>
      </w:r>
      <w:r>
        <w:rPr>
          <w:rFonts w:hint="eastAsia" w:cs="宋体"/>
          <w:color w:val="auto"/>
          <w:highlight w:val="none"/>
          <w:lang w:val="hr-HR"/>
        </w:rPr>
        <w:t>.</w:t>
      </w:r>
      <w:r>
        <w:rPr>
          <w:rFonts w:hint="eastAsia" w:cs="宋体"/>
          <w:color w:val="auto"/>
          <w:highlight w:val="none"/>
        </w:rPr>
        <w:t>最高限价</w:t>
      </w:r>
      <w:r>
        <w:rPr>
          <w:rFonts w:hint="eastAsia" w:cs="宋体"/>
          <w:color w:val="auto"/>
          <w:highlight w:val="none"/>
          <w:lang w:val="hr-HR"/>
        </w:rPr>
        <w:t>：</w:t>
      </w:r>
      <w:r>
        <w:rPr>
          <w:rFonts w:hint="eastAsia" w:cs="宋体"/>
          <w:color w:val="auto"/>
          <w:highlight w:val="none"/>
          <w:lang w:val="hr-HR" w:eastAsia="zh-CN"/>
        </w:rPr>
        <w:t>224800</w:t>
      </w:r>
      <w:r>
        <w:rPr>
          <w:rFonts w:hint="eastAsia" w:cs="宋体"/>
          <w:color w:val="auto"/>
          <w:highlight w:val="none"/>
          <w:lang w:val="hr-HR"/>
        </w:rPr>
        <w:t>元</w:t>
      </w:r>
    </w:p>
    <w:p w14:paraId="6D60ECBF">
      <w:pPr>
        <w:pStyle w:val="20"/>
        <w:ind w:left="1920" w:leftChars="200" w:hanging="1440" w:hangingChars="600"/>
        <w:rPr>
          <w:rFonts w:hint="default" w:cs="宋体"/>
          <w:color w:val="auto"/>
          <w:highlight w:val="none"/>
          <w:lang w:val="en-US"/>
        </w:rPr>
      </w:pPr>
      <w:r>
        <w:rPr>
          <w:rFonts w:hint="eastAsia" w:cs="宋体"/>
          <w:color w:val="auto"/>
          <w:highlight w:val="none"/>
          <w:lang w:val="en-US"/>
        </w:rPr>
        <w:t>6</w:t>
      </w:r>
      <w:r>
        <w:rPr>
          <w:rFonts w:hint="eastAsia" w:cs="宋体"/>
          <w:color w:val="auto"/>
          <w:highlight w:val="none"/>
          <w:lang w:val="hr-HR"/>
        </w:rPr>
        <w:t>.采购需求：</w:t>
      </w:r>
      <w:r>
        <w:rPr>
          <w:rFonts w:hint="eastAsia" w:cs="宋体"/>
          <w:color w:val="auto"/>
          <w:highlight w:val="none"/>
          <w:lang w:val="en-US" w:eastAsia="zh-CN"/>
        </w:rPr>
        <w:t>布鲁氏菌靶向核心细胞群体、基因表达及免疫应答核心机制相关试剂采购，详见第三章采购需求。</w:t>
      </w:r>
    </w:p>
    <w:p w14:paraId="150118ED">
      <w:pPr>
        <w:pStyle w:val="20"/>
        <w:ind w:firstLine="482"/>
        <w:rPr>
          <w:rFonts w:hint="eastAsia" w:cs="宋体"/>
          <w:color w:val="auto"/>
          <w:highlight w:val="none"/>
          <w:lang w:val="en-US" w:eastAsia="zh-CN"/>
        </w:rPr>
      </w:pPr>
      <w:r>
        <w:rPr>
          <w:rFonts w:hint="eastAsia" w:cs="宋体"/>
          <w:color w:val="auto"/>
          <w:highlight w:val="none"/>
          <w:lang w:val="en-US"/>
        </w:rPr>
        <w:t>7</w:t>
      </w:r>
      <w:r>
        <w:rPr>
          <w:rFonts w:hint="eastAsia" w:cs="宋体"/>
          <w:color w:val="auto"/>
          <w:highlight w:val="none"/>
        </w:rPr>
        <w:t>.合同履行期限</w:t>
      </w:r>
      <w:r>
        <w:rPr>
          <w:rFonts w:hint="eastAsia" w:cs="宋体"/>
          <w:color w:val="auto"/>
          <w:highlight w:val="none"/>
          <w:lang w:eastAsia="zh-CN"/>
        </w:rPr>
        <w:t>（供货期）</w:t>
      </w:r>
      <w:r>
        <w:rPr>
          <w:rFonts w:hint="eastAsia" w:cs="宋体"/>
          <w:color w:val="auto"/>
          <w:highlight w:val="none"/>
        </w:rPr>
        <w:t>：</w:t>
      </w:r>
      <w:r>
        <w:rPr>
          <w:rFonts w:hint="eastAsia" w:ascii="宋体" w:hAnsi="宋体" w:eastAsia="宋体" w:cs="宋体"/>
          <w:color w:val="auto"/>
          <w:kern w:val="0"/>
          <w:sz w:val="24"/>
          <w:szCs w:val="24"/>
          <w:highlight w:val="none"/>
          <w:lang w:val="en-US" w:eastAsia="zh-CN" w:bidi="ar"/>
        </w:rPr>
        <w:t>合同签订后，接到甲方供货通知15日内完成供货，90日内完成全部交货及验收工作</w:t>
      </w:r>
      <w:r>
        <w:rPr>
          <w:rFonts w:hint="eastAsia" w:cs="宋体"/>
          <w:color w:val="auto"/>
          <w:kern w:val="0"/>
          <w:sz w:val="24"/>
          <w:szCs w:val="24"/>
          <w:highlight w:val="none"/>
          <w:lang w:val="en-US" w:eastAsia="zh-CN" w:bidi="ar"/>
        </w:rPr>
        <w:t>。</w:t>
      </w:r>
    </w:p>
    <w:p w14:paraId="54C67091">
      <w:pPr>
        <w:pStyle w:val="20"/>
        <w:rPr>
          <w:rFonts w:hint="eastAsia" w:cs="宋体"/>
          <w:color w:val="auto"/>
          <w:highlight w:val="none"/>
          <w:lang w:val="en-US"/>
        </w:rPr>
      </w:pPr>
      <w:bookmarkStart w:id="17" w:name="_Toc44583629"/>
      <w:bookmarkStart w:id="18" w:name="_Toc35393630"/>
      <w:bookmarkStart w:id="19" w:name="_Toc28359013"/>
      <w:bookmarkStart w:id="20" w:name="_Toc35393799"/>
      <w:bookmarkStart w:id="21" w:name="_Toc28359090"/>
      <w:r>
        <w:rPr>
          <w:rFonts w:hint="eastAsia" w:cs="宋体"/>
          <w:color w:val="auto"/>
          <w:highlight w:val="none"/>
          <w:lang w:val="en-US" w:eastAsia="zh-CN"/>
        </w:rPr>
        <w:t>8</w:t>
      </w:r>
      <w:r>
        <w:rPr>
          <w:rFonts w:hint="eastAsia" w:cs="宋体"/>
          <w:color w:val="auto"/>
          <w:highlight w:val="none"/>
          <w:lang w:val="en-US"/>
        </w:rPr>
        <w:t>.</w:t>
      </w:r>
      <w:bookmarkStart w:id="22" w:name="_Hlk162011358"/>
      <w:r>
        <w:rPr>
          <w:rFonts w:hint="eastAsia" w:cs="宋体"/>
          <w:color w:val="auto"/>
          <w:highlight w:val="none"/>
          <w:lang w:val="en-US"/>
        </w:rPr>
        <w:t>本项目是否接受联合体投标：□是</w:t>
      </w:r>
      <w:bookmarkEnd w:id="22"/>
      <w:r>
        <w:rPr>
          <w:rFonts w:hint="eastAsia" w:cs="宋体"/>
          <w:color w:val="auto"/>
          <w:highlight w:val="none"/>
          <w:lang w:val="en-US"/>
        </w:rPr>
        <w:t xml:space="preserve">   ☑否</w:t>
      </w:r>
    </w:p>
    <w:p w14:paraId="124A6FEB">
      <w:pPr>
        <w:pStyle w:val="5"/>
        <w:spacing w:before="156" w:beforeLines="50" w:after="156" w:afterLines="50" w:line="360" w:lineRule="auto"/>
        <w:ind w:left="420" w:hanging="420"/>
        <w:rPr>
          <w:rFonts w:hint="eastAsia" w:ascii="宋体" w:hAnsi="宋体" w:cs="宋体"/>
          <w:color w:val="auto"/>
          <w:sz w:val="24"/>
          <w:szCs w:val="24"/>
          <w:highlight w:val="none"/>
          <w:lang w:val="hr-HR"/>
        </w:rPr>
      </w:pPr>
      <w:bookmarkStart w:id="23" w:name="_Toc140132746"/>
      <w:bookmarkStart w:id="24" w:name="_Toc109900249"/>
      <w:bookmarkStart w:id="25" w:name="_Toc3089"/>
      <w:bookmarkStart w:id="26" w:name="_Toc109899830"/>
      <w:bookmarkStart w:id="27" w:name="_Toc163492813"/>
      <w:bookmarkStart w:id="28" w:name="_Toc109899411"/>
      <w:bookmarkStart w:id="29" w:name="_Toc155185861"/>
      <w:r>
        <w:rPr>
          <w:rFonts w:hint="eastAsia" w:ascii="宋体" w:hAnsi="宋体" w:cs="宋体"/>
          <w:color w:val="auto"/>
          <w:sz w:val="24"/>
          <w:szCs w:val="24"/>
          <w:highlight w:val="none"/>
        </w:rPr>
        <w:t>二、申请</w:t>
      </w:r>
      <w:r>
        <w:rPr>
          <w:rFonts w:hint="eastAsia" w:ascii="宋体" w:hAnsi="宋体" w:cs="宋体"/>
          <w:color w:val="auto"/>
          <w:sz w:val="24"/>
          <w:szCs w:val="24"/>
          <w:highlight w:val="none"/>
          <w:lang w:val="hr-HR"/>
        </w:rPr>
        <w:t>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hr-HR"/>
        </w:rPr>
        <w:t>资格要求</w:t>
      </w:r>
      <w:bookmarkEnd w:id="17"/>
      <w:bookmarkEnd w:id="18"/>
      <w:bookmarkEnd w:id="19"/>
      <w:bookmarkEnd w:id="20"/>
      <w:bookmarkEnd w:id="21"/>
      <w:bookmarkEnd w:id="23"/>
      <w:bookmarkEnd w:id="24"/>
      <w:bookmarkEnd w:id="25"/>
      <w:bookmarkEnd w:id="26"/>
      <w:bookmarkEnd w:id="27"/>
      <w:bookmarkEnd w:id="28"/>
      <w:bookmarkEnd w:id="29"/>
    </w:p>
    <w:p w14:paraId="24028D7F">
      <w:pPr>
        <w:ind w:firstLine="480" w:firstLineChars="200"/>
        <w:rPr>
          <w:rFonts w:hint="eastAsia" w:ascii="宋体" w:hAnsi="宋体" w:eastAsia="宋体" w:cs="宋体"/>
          <w:color w:val="auto"/>
          <w:highlight w:val="none"/>
        </w:rPr>
      </w:pPr>
      <w:bookmarkStart w:id="30" w:name="_Toc44583630"/>
      <w:bookmarkStart w:id="31" w:name="_Toc28359014"/>
      <w:bookmarkStart w:id="32" w:name="_Toc28359091"/>
      <w:bookmarkStart w:id="33" w:name="_Toc35393631"/>
      <w:bookmarkStart w:id="34" w:name="_Toc35393800"/>
      <w:r>
        <w:rPr>
          <w:rFonts w:hint="eastAsia" w:ascii="宋体" w:hAnsi="宋体" w:eastAsia="宋体" w:cs="宋体"/>
          <w:color w:val="auto"/>
          <w:highlight w:val="none"/>
        </w:rPr>
        <w:t>1.满足《中华人民共和国政府采购法》第二十二条规定；</w:t>
      </w:r>
    </w:p>
    <w:p w14:paraId="0613C1A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2.落实政府采购政策需满足的资格要求：</w:t>
      </w:r>
      <w:r>
        <w:rPr>
          <w:rFonts w:hint="eastAsia" w:ascii="宋体" w:hAnsi="宋体" w:eastAsia="宋体" w:cs="宋体"/>
          <w:color w:val="auto"/>
          <w:highlight w:val="none"/>
          <w:lang w:val="en-US" w:eastAsia="zh-CN"/>
        </w:rPr>
        <w:t>本项目面向中小企业采购。</w:t>
      </w:r>
    </w:p>
    <w:p w14:paraId="0182F215">
      <w:pPr>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3.本项目的特定资格要求：</w:t>
      </w:r>
    </w:p>
    <w:p w14:paraId="49D8DB3F">
      <w:pPr>
        <w:widowControl/>
        <w:shd w:val="clear" w:color="auto" w:fill="FFFFFF"/>
        <w:spacing w:line="312" w:lineRule="auto"/>
        <w:ind w:firstLine="560"/>
        <w:rPr>
          <w:rFonts w:hint="eastAsia" w:ascii="宋体" w:hAnsi="宋体" w:eastAsia="宋体" w:cs="宋体"/>
          <w:color w:val="auto"/>
          <w:sz w:val="24"/>
          <w:highlight w:val="none"/>
        </w:rPr>
      </w:pPr>
      <w:r>
        <w:rPr>
          <w:rFonts w:hint="eastAsia" w:ascii="宋体" w:hAnsi="宋体" w:eastAsia="宋体" w:cs="宋体"/>
          <w:color w:val="auto"/>
          <w:highlight w:val="none"/>
        </w:rPr>
        <w:t>3.1</w:t>
      </w:r>
      <w:r>
        <w:rPr>
          <w:rFonts w:hint="eastAsia" w:ascii="宋体" w:hAnsi="宋体" w:eastAsia="宋体" w:cs="宋体"/>
          <w:color w:val="auto"/>
          <w:kern w:val="0"/>
          <w:sz w:val="24"/>
          <w:szCs w:val="24"/>
          <w:highlight w:val="none"/>
          <w:lang w:val="en-US" w:eastAsia="zh-CN" w:bidi="ar"/>
        </w:rPr>
        <w:t>所投产品属于第二类医疗器械的，须提供有效的医疗器械经营备案凭证；属于第三类医疗器械的，须提供有效的医疗器械经营许可证；属于医疗器械管理的产品须按《医疗器械监督管理条例》完成注册 / 备案；不属于医疗器械的无需提供”</w:t>
      </w:r>
      <w:r>
        <w:rPr>
          <w:rFonts w:hint="eastAsia" w:ascii="宋体" w:hAnsi="宋体" w:eastAsia="宋体" w:cs="宋体"/>
          <w:color w:val="auto"/>
          <w:sz w:val="24"/>
          <w:highlight w:val="none"/>
        </w:rPr>
        <w:t>投标人具有医疗器械经营资格；属于医疗器械管理的产品需根据《医疗器械监督管理条例》（国务院令第650号）有关内容办理医疗器械产品注册或备案。所投产品不属于医疗器械的可不提供以上内容。</w:t>
      </w:r>
    </w:p>
    <w:p w14:paraId="76BE0CA5">
      <w:pPr>
        <w:pStyle w:val="20"/>
        <w:rPr>
          <w:rFonts w:hint="eastAsia" w:ascii="宋体" w:hAnsi="宋体" w:eastAsia="宋体" w:cs="宋体"/>
          <w:color w:val="auto"/>
          <w:highlight w:val="none"/>
          <w:lang w:val="hr-HR"/>
        </w:rPr>
      </w:pPr>
      <w:r>
        <w:rPr>
          <w:rFonts w:hint="eastAsia" w:ascii="宋体" w:hAnsi="宋体" w:eastAsia="宋体" w:cs="宋体"/>
          <w:color w:val="auto"/>
          <w:highlight w:val="none"/>
          <w:lang w:val="en-US"/>
        </w:rPr>
        <w:t>3.2</w:t>
      </w:r>
      <w:r>
        <w:rPr>
          <w:rFonts w:hint="eastAsia" w:ascii="宋体" w:hAnsi="宋体" w:eastAsia="宋体" w:cs="宋体"/>
          <w:color w:val="auto"/>
          <w:highlight w:val="none"/>
          <w:lang w:val="hr-HR"/>
        </w:rPr>
        <w:t>法定代表人或</w:t>
      </w:r>
      <w:r>
        <w:rPr>
          <w:rFonts w:hint="eastAsia" w:ascii="宋体" w:hAnsi="宋体" w:eastAsia="宋体" w:cs="宋体"/>
          <w:color w:val="auto"/>
          <w:highlight w:val="none"/>
          <w:lang w:val="en-US"/>
        </w:rPr>
        <w:t>单位</w:t>
      </w:r>
      <w:r>
        <w:rPr>
          <w:rFonts w:hint="eastAsia" w:ascii="宋体" w:hAnsi="宋体" w:eastAsia="宋体" w:cs="宋体"/>
          <w:color w:val="auto"/>
          <w:highlight w:val="none"/>
          <w:lang w:val="hr-HR"/>
        </w:rPr>
        <w:t>负责人为同一人或者存在</w:t>
      </w:r>
      <w:r>
        <w:rPr>
          <w:rFonts w:hint="eastAsia" w:ascii="宋体" w:hAnsi="宋体" w:eastAsia="宋体" w:cs="宋体"/>
          <w:color w:val="auto"/>
          <w:highlight w:val="none"/>
          <w:lang w:val="en-US"/>
        </w:rPr>
        <w:t>直接</w:t>
      </w:r>
      <w:r>
        <w:rPr>
          <w:rFonts w:hint="eastAsia" w:ascii="宋体" w:hAnsi="宋体" w:eastAsia="宋体" w:cs="宋体"/>
          <w:color w:val="auto"/>
          <w:highlight w:val="none"/>
          <w:lang w:val="hr-HR"/>
        </w:rPr>
        <w:t>控股、管理关系的</w:t>
      </w:r>
      <w:r>
        <w:rPr>
          <w:rFonts w:hint="eastAsia" w:ascii="宋体" w:hAnsi="宋体" w:eastAsia="宋体" w:cs="宋体"/>
          <w:color w:val="auto"/>
          <w:highlight w:val="none"/>
          <w:lang w:val="en-US"/>
        </w:rPr>
        <w:t>不同供应商</w:t>
      </w:r>
      <w:r>
        <w:rPr>
          <w:rFonts w:hint="eastAsia" w:ascii="宋体" w:hAnsi="宋体" w:eastAsia="宋体" w:cs="宋体"/>
          <w:color w:val="auto"/>
          <w:highlight w:val="none"/>
          <w:lang w:val="hr-HR"/>
        </w:rPr>
        <w:t>，不得参加同一合同项下的政府采购活动。</w:t>
      </w:r>
    </w:p>
    <w:p w14:paraId="3DEBB22D">
      <w:pPr>
        <w:pStyle w:val="20"/>
        <w:rPr>
          <w:rFonts w:hint="eastAsia" w:ascii="宋体" w:hAnsi="宋体" w:eastAsia="宋体" w:cs="宋体"/>
          <w:color w:val="auto"/>
          <w:highlight w:val="none"/>
          <w:lang w:val="hr-HR"/>
        </w:rPr>
      </w:pPr>
      <w:r>
        <w:rPr>
          <w:rFonts w:hint="eastAsia" w:ascii="宋体" w:hAnsi="宋体" w:eastAsia="宋体" w:cs="宋体"/>
          <w:color w:val="auto"/>
          <w:highlight w:val="none"/>
          <w:lang w:val="en-US"/>
        </w:rPr>
        <w:t>3.3</w:t>
      </w:r>
      <w:r>
        <w:rPr>
          <w:rFonts w:hint="eastAsia" w:ascii="宋体" w:hAnsi="宋体" w:eastAsia="宋体" w:cs="宋体"/>
          <w:color w:val="auto"/>
          <w:highlight w:val="none"/>
          <w:lang w:val="hr-HR"/>
        </w:rPr>
        <w:t>除单一来源采购项目外，为采购项目提供整体设计、规范编制或者项目管理、监理、检测等服务的供应商，不得再参加该采购项目的其他采购活动。</w:t>
      </w:r>
    </w:p>
    <w:p w14:paraId="1E4CF543">
      <w:pPr>
        <w:pStyle w:val="20"/>
        <w:rPr>
          <w:rFonts w:hint="eastAsia" w:ascii="宋体" w:hAnsi="宋体" w:eastAsia="宋体" w:cs="宋体"/>
          <w:color w:val="auto"/>
          <w:highlight w:val="none"/>
          <w:lang w:val="en-US"/>
        </w:rPr>
      </w:pPr>
      <w:r>
        <w:rPr>
          <w:rFonts w:hint="eastAsia" w:ascii="宋体" w:hAnsi="宋体" w:eastAsia="宋体" w:cs="宋体"/>
          <w:color w:val="auto"/>
          <w:highlight w:val="none"/>
          <w:lang w:val="en-US"/>
        </w:rPr>
        <w:t>3.4</w:t>
      </w:r>
      <w:r>
        <w:rPr>
          <w:rFonts w:hint="eastAsia" w:ascii="宋体" w:hAnsi="宋体" w:eastAsia="宋体" w:cs="宋体"/>
          <w:color w:val="auto"/>
          <w:highlight w:val="none"/>
          <w:lang w:val="hr-HR"/>
        </w:rPr>
        <w:t>供应商的信用行为：在</w:t>
      </w:r>
      <w:r>
        <w:rPr>
          <w:rFonts w:hint="eastAsia" w:ascii="宋体" w:hAnsi="宋体" w:eastAsia="宋体" w:cs="宋体"/>
          <w:color w:val="auto"/>
          <w:highlight w:val="none"/>
          <w:lang w:val="en-US"/>
        </w:rPr>
        <w:t>资格审查阶段经查询</w:t>
      </w:r>
      <w:r>
        <w:rPr>
          <w:rFonts w:hint="eastAsia" w:ascii="宋体" w:hAnsi="宋体" w:eastAsia="宋体" w:cs="宋体"/>
          <w:color w:val="auto"/>
          <w:highlight w:val="none"/>
          <w:lang w:val="hr-HR"/>
        </w:rPr>
        <w:t>，</w:t>
      </w:r>
      <w:r>
        <w:rPr>
          <w:rFonts w:hint="eastAsia" w:ascii="宋体" w:hAnsi="宋体" w:eastAsia="宋体" w:cs="宋体"/>
          <w:color w:val="auto"/>
          <w:highlight w:val="none"/>
          <w:lang w:val="en-US"/>
        </w:rPr>
        <w:t>未被列入“失信被执行人”、“重大税收违法失信主体”、“政府采购严重违法失信行为记录名单”</w:t>
      </w:r>
      <w:r>
        <w:rPr>
          <w:rFonts w:hint="eastAsia" w:ascii="宋体" w:hAnsi="宋体" w:eastAsia="宋体" w:cs="宋体"/>
          <w:color w:val="auto"/>
          <w:highlight w:val="none"/>
          <w:lang w:val="hr-HR"/>
        </w:rPr>
        <w:t>其中之一。如有以上不良信用记录</w:t>
      </w:r>
      <w:r>
        <w:rPr>
          <w:rFonts w:hint="eastAsia" w:ascii="宋体" w:hAnsi="宋体" w:eastAsia="宋体" w:cs="宋体"/>
          <w:color w:val="auto"/>
          <w:highlight w:val="none"/>
          <w:lang w:val="en-US"/>
        </w:rPr>
        <w:t>之一的，</w:t>
      </w:r>
      <w:r>
        <w:rPr>
          <w:rFonts w:hint="eastAsia" w:ascii="宋体" w:hAnsi="宋体" w:eastAsia="宋体" w:cs="宋体"/>
          <w:color w:val="auto"/>
          <w:highlight w:val="none"/>
          <w:lang w:val="hr-HR"/>
        </w:rPr>
        <w:t>其</w:t>
      </w:r>
      <w:r>
        <w:rPr>
          <w:rFonts w:hint="eastAsia" w:ascii="宋体" w:hAnsi="宋体" w:eastAsia="宋体" w:cs="宋体"/>
          <w:b/>
          <w:bCs/>
          <w:color w:val="auto"/>
          <w:highlight w:val="none"/>
          <w:lang w:val="hr-HR"/>
        </w:rPr>
        <w:t>投标</w:t>
      </w:r>
      <w:r>
        <w:rPr>
          <w:rFonts w:hint="eastAsia" w:ascii="宋体" w:hAnsi="宋体" w:eastAsia="宋体" w:cs="宋体"/>
          <w:b/>
          <w:bCs/>
          <w:color w:val="auto"/>
          <w:highlight w:val="none"/>
          <w:lang w:val="en-US"/>
        </w:rPr>
        <w:t>无效</w:t>
      </w:r>
      <w:r>
        <w:rPr>
          <w:rFonts w:hint="eastAsia" w:ascii="宋体" w:hAnsi="宋体" w:eastAsia="宋体" w:cs="宋体"/>
          <w:color w:val="auto"/>
          <w:highlight w:val="none"/>
          <w:lang w:val="hr-HR"/>
        </w:rPr>
        <w:t>。</w:t>
      </w:r>
    </w:p>
    <w:p w14:paraId="0B83CF55">
      <w:pPr>
        <w:pStyle w:val="5"/>
        <w:spacing w:before="156" w:beforeLines="50" w:after="156" w:afterLines="50" w:line="360" w:lineRule="auto"/>
        <w:ind w:left="420" w:hanging="420"/>
        <w:rPr>
          <w:rFonts w:hint="eastAsia" w:ascii="宋体" w:hAnsi="宋体" w:cs="宋体"/>
          <w:color w:val="auto"/>
          <w:sz w:val="24"/>
          <w:szCs w:val="24"/>
          <w:highlight w:val="none"/>
          <w:lang w:val="hr-HR"/>
        </w:rPr>
      </w:pPr>
      <w:bookmarkStart w:id="35" w:name="_Toc163492814"/>
      <w:bookmarkStart w:id="36" w:name="_Toc140132747"/>
      <w:bookmarkStart w:id="37" w:name="_Toc5330"/>
      <w:bookmarkStart w:id="38" w:name="_Toc109899831"/>
      <w:bookmarkStart w:id="39" w:name="_Toc109900250"/>
      <w:bookmarkStart w:id="40" w:name="_Toc109899412"/>
      <w:bookmarkStart w:id="41" w:name="_Toc155185862"/>
      <w:r>
        <w:rPr>
          <w:rFonts w:hint="eastAsia" w:ascii="宋体" w:hAnsi="宋体" w:cs="宋体"/>
          <w:color w:val="auto"/>
          <w:sz w:val="24"/>
          <w:szCs w:val="24"/>
          <w:highlight w:val="none"/>
        </w:rPr>
        <w:t>三、</w:t>
      </w:r>
      <w:r>
        <w:rPr>
          <w:rFonts w:hint="eastAsia" w:ascii="宋体" w:hAnsi="宋体" w:cs="宋体"/>
          <w:color w:val="auto"/>
          <w:sz w:val="24"/>
          <w:szCs w:val="24"/>
          <w:highlight w:val="none"/>
          <w:lang w:val="hr-HR"/>
        </w:rPr>
        <w:t>获取招标文件</w:t>
      </w:r>
      <w:bookmarkEnd w:id="30"/>
      <w:bookmarkEnd w:id="31"/>
      <w:bookmarkEnd w:id="32"/>
      <w:bookmarkEnd w:id="33"/>
      <w:bookmarkEnd w:id="34"/>
      <w:bookmarkEnd w:id="35"/>
      <w:bookmarkEnd w:id="36"/>
      <w:bookmarkEnd w:id="37"/>
      <w:bookmarkEnd w:id="38"/>
      <w:bookmarkEnd w:id="39"/>
      <w:bookmarkEnd w:id="40"/>
      <w:bookmarkEnd w:id="41"/>
      <w:r>
        <w:rPr>
          <w:rFonts w:hint="eastAsia" w:ascii="宋体" w:hAnsi="宋体" w:cs="宋体"/>
          <w:color w:val="auto"/>
          <w:sz w:val="24"/>
          <w:szCs w:val="24"/>
          <w:highlight w:val="none"/>
          <w:lang w:val="hr-HR"/>
        </w:rPr>
        <w:t xml:space="preserve"> </w:t>
      </w:r>
    </w:p>
    <w:p w14:paraId="22DA6E71">
      <w:pPr>
        <w:pStyle w:val="20"/>
        <w:rPr>
          <w:rFonts w:hint="eastAsia" w:cs="宋体"/>
          <w:color w:val="auto"/>
          <w:highlight w:val="none"/>
          <w:lang w:val="hr-HR"/>
        </w:rPr>
      </w:pPr>
      <w:bookmarkStart w:id="42" w:name="_Hlk130457234"/>
      <w:bookmarkStart w:id="43" w:name="_Toc28359015"/>
      <w:bookmarkStart w:id="44" w:name="_Toc35393801"/>
      <w:bookmarkStart w:id="45" w:name="_Hlk130457327"/>
      <w:bookmarkStart w:id="46" w:name="_Toc28359092"/>
      <w:bookmarkStart w:id="47" w:name="_Hlk130457261"/>
      <w:bookmarkStart w:id="48" w:name="_Toc35393632"/>
      <w:r>
        <w:rPr>
          <w:rFonts w:hint="eastAsia" w:cs="宋体"/>
          <w:color w:val="auto"/>
          <w:highlight w:val="none"/>
          <w:lang w:val="hr-HR"/>
        </w:rPr>
        <w:t>1.时间：</w:t>
      </w:r>
      <w:r>
        <w:rPr>
          <w:rFonts w:hint="eastAsia" w:cs="宋体"/>
          <w:iCs w:val="0"/>
          <w:color w:val="auto"/>
          <w:szCs w:val="24"/>
          <w:highlight w:val="cyan"/>
          <w:u w:val="single"/>
          <w:lang w:val="en-US"/>
        </w:rPr>
        <w:t>2026</w:t>
      </w:r>
      <w:r>
        <w:rPr>
          <w:rFonts w:hint="eastAsia" w:cs="宋体"/>
          <w:iCs w:val="0"/>
          <w:color w:val="auto"/>
          <w:szCs w:val="24"/>
          <w:highlight w:val="cyan"/>
          <w:u w:val="single"/>
        </w:rPr>
        <w:t>年</w:t>
      </w:r>
      <w:r>
        <w:rPr>
          <w:rFonts w:hint="eastAsia" w:cs="宋体"/>
          <w:iCs w:val="0"/>
          <w:color w:val="auto"/>
          <w:szCs w:val="24"/>
          <w:highlight w:val="cyan"/>
          <w:u w:val="single"/>
          <w:lang w:val="en-US" w:eastAsia="zh-CN"/>
        </w:rPr>
        <w:t>05</w:t>
      </w:r>
      <w:r>
        <w:rPr>
          <w:rFonts w:hint="eastAsia" w:cs="宋体"/>
          <w:iCs w:val="0"/>
          <w:color w:val="auto"/>
          <w:szCs w:val="24"/>
          <w:highlight w:val="cyan"/>
          <w:u w:val="single"/>
        </w:rPr>
        <w:t>月</w:t>
      </w:r>
      <w:r>
        <w:rPr>
          <w:rFonts w:hint="eastAsia" w:cs="宋体"/>
          <w:iCs w:val="0"/>
          <w:color w:val="auto"/>
          <w:szCs w:val="24"/>
          <w:highlight w:val="cyan"/>
          <w:u w:val="single"/>
          <w:lang w:val="en-US" w:eastAsia="zh-CN"/>
        </w:rPr>
        <w:t>25</w:t>
      </w:r>
      <w:r>
        <w:rPr>
          <w:rFonts w:hint="eastAsia" w:cs="宋体"/>
          <w:iCs w:val="0"/>
          <w:color w:val="auto"/>
          <w:szCs w:val="24"/>
          <w:highlight w:val="cyan"/>
          <w:u w:val="single"/>
        </w:rPr>
        <w:t>日</w:t>
      </w:r>
      <w:r>
        <w:rPr>
          <w:rFonts w:hint="eastAsia" w:cs="宋体"/>
          <w:iCs w:val="0"/>
          <w:color w:val="auto"/>
          <w:szCs w:val="24"/>
          <w:highlight w:val="cyan"/>
        </w:rPr>
        <w:t>至</w:t>
      </w:r>
      <w:r>
        <w:rPr>
          <w:rFonts w:hint="eastAsia" w:cs="宋体"/>
          <w:iCs w:val="0"/>
          <w:color w:val="auto"/>
          <w:szCs w:val="24"/>
          <w:highlight w:val="cyan"/>
          <w:u w:val="single"/>
          <w:lang w:val="en-US"/>
        </w:rPr>
        <w:t>2026</w:t>
      </w:r>
      <w:r>
        <w:rPr>
          <w:rFonts w:hint="eastAsia" w:cs="宋体"/>
          <w:iCs w:val="0"/>
          <w:color w:val="auto"/>
          <w:szCs w:val="24"/>
          <w:highlight w:val="cyan"/>
          <w:u w:val="single"/>
        </w:rPr>
        <w:t>年</w:t>
      </w:r>
      <w:r>
        <w:rPr>
          <w:rFonts w:hint="eastAsia" w:cs="宋体"/>
          <w:iCs w:val="0"/>
          <w:color w:val="auto"/>
          <w:szCs w:val="24"/>
          <w:highlight w:val="cyan"/>
          <w:u w:val="single"/>
          <w:lang w:val="en-US" w:eastAsia="zh-CN"/>
        </w:rPr>
        <w:t>06</w:t>
      </w:r>
      <w:r>
        <w:rPr>
          <w:rFonts w:hint="eastAsia" w:cs="宋体"/>
          <w:iCs w:val="0"/>
          <w:color w:val="auto"/>
          <w:szCs w:val="24"/>
          <w:highlight w:val="cyan"/>
          <w:u w:val="single"/>
        </w:rPr>
        <w:t>月</w:t>
      </w:r>
      <w:r>
        <w:rPr>
          <w:rFonts w:hint="eastAsia" w:cs="宋体"/>
          <w:iCs w:val="0"/>
          <w:color w:val="auto"/>
          <w:szCs w:val="24"/>
          <w:highlight w:val="cyan"/>
          <w:u w:val="single"/>
          <w:lang w:val="en-US" w:eastAsia="zh-CN"/>
        </w:rPr>
        <w:t>04</w:t>
      </w:r>
      <w:r>
        <w:rPr>
          <w:rFonts w:hint="eastAsia" w:cs="宋体"/>
          <w:iCs w:val="0"/>
          <w:color w:val="auto"/>
          <w:szCs w:val="24"/>
          <w:highlight w:val="cyan"/>
          <w:u w:val="single"/>
        </w:rPr>
        <w:t>日</w:t>
      </w:r>
      <w:r>
        <w:rPr>
          <w:rFonts w:hint="eastAsia" w:cs="宋体"/>
          <w:iCs w:val="0"/>
          <w:color w:val="auto"/>
          <w:szCs w:val="24"/>
          <w:highlight w:val="none"/>
        </w:rPr>
        <w:t>，</w:t>
      </w:r>
      <w:r>
        <w:rPr>
          <w:rFonts w:hint="eastAsia" w:cs="宋体"/>
          <w:color w:val="auto"/>
          <w:highlight w:val="none"/>
        </w:rPr>
        <w:t>每天上午</w:t>
      </w:r>
      <w:r>
        <w:rPr>
          <w:rFonts w:hint="eastAsia" w:cs="宋体"/>
          <w:color w:val="auto"/>
          <w:highlight w:val="none"/>
          <w:lang w:val="en-US"/>
        </w:rPr>
        <w:t>00：00</w:t>
      </w:r>
      <w:r>
        <w:rPr>
          <w:rFonts w:hint="eastAsia" w:cs="宋体"/>
          <w:color w:val="auto"/>
          <w:highlight w:val="none"/>
        </w:rPr>
        <w:t xml:space="preserve">至 </w:t>
      </w:r>
      <w:r>
        <w:rPr>
          <w:rFonts w:hint="eastAsia" w:cs="宋体"/>
          <w:color w:val="auto"/>
          <w:highlight w:val="none"/>
          <w:lang w:val="en-US"/>
        </w:rPr>
        <w:t>14：00</w:t>
      </w:r>
      <w:r>
        <w:rPr>
          <w:rFonts w:hint="eastAsia" w:cs="宋体"/>
          <w:color w:val="auto"/>
          <w:highlight w:val="none"/>
        </w:rPr>
        <w:t>，下午</w:t>
      </w:r>
      <w:r>
        <w:rPr>
          <w:rFonts w:hint="eastAsia" w:cs="宋体"/>
          <w:color w:val="auto"/>
          <w:highlight w:val="none"/>
          <w:lang w:val="en-US"/>
        </w:rPr>
        <w:t>14：00</w:t>
      </w:r>
      <w:r>
        <w:rPr>
          <w:rFonts w:hint="eastAsia" w:cs="宋体"/>
          <w:color w:val="auto"/>
          <w:highlight w:val="none"/>
        </w:rPr>
        <w:t>至</w:t>
      </w:r>
      <w:r>
        <w:rPr>
          <w:rFonts w:hint="eastAsia" w:cs="宋体"/>
          <w:color w:val="auto"/>
          <w:highlight w:val="none"/>
          <w:lang w:val="en-US"/>
        </w:rPr>
        <w:t>23：59</w:t>
      </w:r>
      <w:r>
        <w:rPr>
          <w:rFonts w:hint="eastAsia" w:cs="宋体"/>
          <w:color w:val="auto"/>
          <w:highlight w:val="none"/>
        </w:rPr>
        <w:t>（北京时间，法定节假日除外）</w:t>
      </w:r>
      <w:r>
        <w:rPr>
          <w:rFonts w:hint="eastAsia" w:cs="宋体"/>
          <w:color w:val="auto"/>
          <w:highlight w:val="none"/>
          <w:lang w:val="hr-HR"/>
        </w:rPr>
        <w:t>。</w:t>
      </w:r>
    </w:p>
    <w:bookmarkEnd w:id="42"/>
    <w:p w14:paraId="3113C8E8">
      <w:pPr>
        <w:pStyle w:val="20"/>
        <w:rPr>
          <w:rFonts w:hint="eastAsia" w:cs="宋体"/>
          <w:color w:val="auto"/>
          <w:highlight w:val="none"/>
          <w:lang w:val="hr-HR"/>
        </w:rPr>
      </w:pPr>
      <w:r>
        <w:rPr>
          <w:rFonts w:hint="eastAsia" w:cs="宋体"/>
          <w:color w:val="auto"/>
          <w:highlight w:val="none"/>
          <w:lang w:val="hr-HR"/>
        </w:rPr>
        <w:t>2.</w:t>
      </w:r>
      <w:r>
        <w:rPr>
          <w:rFonts w:hint="eastAsia" w:cs="宋体"/>
          <w:color w:val="auto"/>
          <w:highlight w:val="none"/>
        </w:rPr>
        <w:t>地点</w:t>
      </w:r>
      <w:r>
        <w:rPr>
          <w:rFonts w:hint="eastAsia" w:cs="宋体"/>
          <w:color w:val="auto"/>
          <w:highlight w:val="none"/>
          <w:lang w:val="hr-HR"/>
        </w:rPr>
        <w:t>：</w:t>
      </w:r>
      <w:bookmarkStart w:id="49" w:name="_Hlk89807779"/>
      <w:r>
        <w:rPr>
          <w:rFonts w:hint="eastAsia" w:cs="宋体"/>
          <w:color w:val="auto"/>
          <w:highlight w:val="none"/>
          <w:lang w:val="hr-HR"/>
        </w:rPr>
        <w:t>新疆政府采购电子交易云平台（网址：http：//www.ccgp-xinjiang.gov.cn/）</w:t>
      </w:r>
      <w:r>
        <w:rPr>
          <w:rFonts w:hint="eastAsia" w:cs="宋体"/>
          <w:color w:val="auto"/>
          <w:highlight w:val="none"/>
        </w:rPr>
        <w:t>。</w:t>
      </w:r>
      <w:bookmarkEnd w:id="49"/>
    </w:p>
    <w:p w14:paraId="21D2986A">
      <w:pPr>
        <w:pStyle w:val="20"/>
        <w:rPr>
          <w:rFonts w:hint="eastAsia" w:cs="宋体"/>
          <w:color w:val="auto"/>
          <w:highlight w:val="none"/>
          <w:lang w:val="hr-HR"/>
        </w:rPr>
      </w:pPr>
      <w:r>
        <w:rPr>
          <w:rFonts w:hint="eastAsia" w:cs="宋体"/>
          <w:color w:val="auto"/>
          <w:highlight w:val="none"/>
          <w:lang w:val="hr-HR"/>
        </w:rPr>
        <w:t>3.</w:t>
      </w:r>
      <w:r>
        <w:rPr>
          <w:rFonts w:hint="eastAsia" w:cs="宋体"/>
          <w:color w:val="auto"/>
          <w:highlight w:val="none"/>
        </w:rPr>
        <w:t>方式</w:t>
      </w:r>
      <w:r>
        <w:rPr>
          <w:rFonts w:hint="eastAsia" w:cs="宋体"/>
          <w:color w:val="auto"/>
          <w:highlight w:val="none"/>
          <w:lang w:val="hr-HR"/>
        </w:rPr>
        <w:t>：</w:t>
      </w:r>
      <w:r>
        <w:rPr>
          <w:rFonts w:hint="eastAsia" w:cs="宋体"/>
          <w:color w:val="auto"/>
          <w:highlight w:val="none"/>
          <w:lang w:val="en-US"/>
        </w:rPr>
        <w:t>投标供应商登录政采云平台</w:t>
      </w:r>
      <w:r>
        <w:rPr>
          <w:rFonts w:hint="eastAsia" w:cs="宋体"/>
          <w:color w:val="auto"/>
          <w:highlight w:val="none"/>
          <w:lang w:val="hr-HR"/>
        </w:rPr>
        <w:t>https：//www.zcygov.cn/</w:t>
      </w:r>
      <w:r>
        <w:rPr>
          <w:rFonts w:hint="eastAsia" w:cs="宋体"/>
          <w:color w:val="auto"/>
          <w:highlight w:val="none"/>
          <w:lang w:val="en-US"/>
        </w:rPr>
        <w:t>在线申请</w:t>
      </w:r>
      <w:r>
        <w:rPr>
          <w:rFonts w:hint="eastAsia" w:cs="宋体"/>
          <w:color w:val="auto"/>
          <w:highlight w:val="none"/>
          <w:lang w:val="hr-HR"/>
        </w:rPr>
        <w:t>，</w:t>
      </w:r>
      <w:r>
        <w:rPr>
          <w:rFonts w:hint="eastAsia" w:cs="宋体"/>
          <w:color w:val="auto"/>
          <w:highlight w:val="none"/>
          <w:lang w:val="en-US"/>
        </w:rPr>
        <w:t>免费获取电子采购文件</w:t>
      </w:r>
      <w:r>
        <w:rPr>
          <w:rFonts w:hint="eastAsia" w:cs="宋体"/>
          <w:color w:val="auto"/>
          <w:highlight w:val="none"/>
          <w:lang w:val="hr-HR"/>
        </w:rPr>
        <w:t>（</w:t>
      </w:r>
      <w:r>
        <w:rPr>
          <w:rFonts w:hint="eastAsia" w:cs="宋体"/>
          <w:color w:val="auto"/>
          <w:highlight w:val="none"/>
          <w:lang w:val="en-US"/>
        </w:rPr>
        <w:t>进入</w:t>
      </w:r>
      <w:r>
        <w:rPr>
          <w:rFonts w:hint="eastAsia" w:cs="宋体"/>
          <w:color w:val="auto"/>
          <w:highlight w:val="none"/>
          <w:lang w:val="hr-HR"/>
        </w:rPr>
        <w:t>“</w:t>
      </w:r>
      <w:r>
        <w:rPr>
          <w:rFonts w:hint="eastAsia" w:cs="宋体"/>
          <w:color w:val="auto"/>
          <w:highlight w:val="none"/>
          <w:lang w:val="en-US"/>
        </w:rPr>
        <w:t>项目采购</w:t>
      </w:r>
      <w:r>
        <w:rPr>
          <w:rFonts w:hint="eastAsia" w:cs="宋体"/>
          <w:color w:val="auto"/>
          <w:highlight w:val="none"/>
          <w:lang w:val="hr-HR"/>
        </w:rPr>
        <w:t>”</w:t>
      </w:r>
      <w:r>
        <w:rPr>
          <w:rFonts w:hint="eastAsia" w:cs="宋体"/>
          <w:color w:val="auto"/>
          <w:highlight w:val="none"/>
          <w:lang w:val="en-US"/>
        </w:rPr>
        <w:t>应用</w:t>
      </w:r>
      <w:r>
        <w:rPr>
          <w:rFonts w:hint="eastAsia" w:cs="宋体"/>
          <w:color w:val="auto"/>
          <w:highlight w:val="none"/>
          <w:lang w:val="hr-HR"/>
        </w:rPr>
        <w:t>，</w:t>
      </w:r>
      <w:r>
        <w:rPr>
          <w:rFonts w:hint="eastAsia" w:cs="宋体"/>
          <w:color w:val="auto"/>
          <w:highlight w:val="none"/>
          <w:lang w:val="en-US"/>
        </w:rPr>
        <w:t>在获取采购文件菜单中选择项目</w:t>
      </w:r>
      <w:r>
        <w:rPr>
          <w:rFonts w:hint="eastAsia" w:cs="宋体"/>
          <w:color w:val="auto"/>
          <w:highlight w:val="none"/>
          <w:lang w:val="hr-HR"/>
        </w:rPr>
        <w:t>，</w:t>
      </w:r>
      <w:r>
        <w:rPr>
          <w:rFonts w:hint="eastAsia" w:cs="宋体"/>
          <w:color w:val="auto"/>
          <w:highlight w:val="none"/>
          <w:lang w:val="en-US"/>
        </w:rPr>
        <w:t>申请获取采购文件</w:t>
      </w:r>
      <w:r>
        <w:rPr>
          <w:rFonts w:hint="eastAsia" w:cs="宋体"/>
          <w:color w:val="auto"/>
          <w:highlight w:val="none"/>
          <w:lang w:val="hr-HR"/>
        </w:rPr>
        <w:t>）</w:t>
      </w:r>
      <w:r>
        <w:rPr>
          <w:rFonts w:hint="eastAsia" w:cs="宋体"/>
          <w:color w:val="auto"/>
          <w:highlight w:val="none"/>
          <w:lang w:val="en-US"/>
        </w:rPr>
        <w:t>。</w:t>
      </w:r>
    </w:p>
    <w:p w14:paraId="05760FAF">
      <w:pPr>
        <w:pStyle w:val="20"/>
        <w:rPr>
          <w:rFonts w:hint="eastAsia" w:cs="宋体"/>
          <w:color w:val="auto"/>
          <w:highlight w:val="none"/>
          <w:lang w:val="en-US"/>
        </w:rPr>
      </w:pPr>
      <w:r>
        <w:rPr>
          <w:rFonts w:hint="eastAsia" w:cs="宋体"/>
          <w:color w:val="auto"/>
          <w:highlight w:val="none"/>
          <w:lang w:val="en-US"/>
        </w:rPr>
        <w:t>4.售价：0元。</w:t>
      </w:r>
    </w:p>
    <w:bookmarkEnd w:id="43"/>
    <w:bookmarkEnd w:id="44"/>
    <w:bookmarkEnd w:id="45"/>
    <w:bookmarkEnd w:id="46"/>
    <w:bookmarkEnd w:id="47"/>
    <w:bookmarkEnd w:id="48"/>
    <w:p w14:paraId="03894698">
      <w:pPr>
        <w:pStyle w:val="5"/>
        <w:spacing w:before="156" w:beforeLines="50" w:after="156" w:afterLines="50" w:line="360" w:lineRule="auto"/>
        <w:ind w:left="420" w:hanging="420"/>
        <w:rPr>
          <w:rFonts w:hint="eastAsia" w:ascii="宋体" w:hAnsi="宋体" w:cs="宋体"/>
          <w:color w:val="auto"/>
          <w:sz w:val="24"/>
          <w:szCs w:val="24"/>
          <w:highlight w:val="none"/>
          <w:lang w:val="hr-HR"/>
        </w:rPr>
      </w:pPr>
      <w:bookmarkStart w:id="50" w:name="_Toc163492815"/>
      <w:bookmarkStart w:id="51" w:name="_Toc109899413"/>
      <w:bookmarkStart w:id="52" w:name="_Toc109899832"/>
      <w:bookmarkStart w:id="53" w:name="_Toc109900251"/>
      <w:bookmarkStart w:id="54" w:name="_Toc155185863"/>
      <w:bookmarkStart w:id="55" w:name="_Toc140132748"/>
      <w:bookmarkStart w:id="56" w:name="_Toc363"/>
      <w:r>
        <w:rPr>
          <w:rFonts w:hint="eastAsia" w:ascii="宋体" w:hAnsi="宋体" w:cs="宋体"/>
          <w:color w:val="auto"/>
          <w:sz w:val="24"/>
          <w:szCs w:val="24"/>
          <w:highlight w:val="none"/>
        </w:rPr>
        <w:t>四、</w:t>
      </w:r>
      <w:bookmarkEnd w:id="50"/>
      <w:bookmarkEnd w:id="51"/>
      <w:bookmarkEnd w:id="52"/>
      <w:bookmarkEnd w:id="53"/>
      <w:bookmarkEnd w:id="54"/>
      <w:bookmarkEnd w:id="55"/>
      <w:r>
        <w:rPr>
          <w:rFonts w:hint="eastAsia" w:ascii="宋体" w:hAnsi="宋体" w:cs="宋体"/>
          <w:color w:val="auto"/>
          <w:sz w:val="24"/>
          <w:szCs w:val="24"/>
          <w:highlight w:val="none"/>
          <w:lang w:val="hr-HR"/>
        </w:rPr>
        <w:t>提交投标文件截止时间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hr-HR"/>
        </w:rPr>
        <w:t>开标时间、递交方式和</w:t>
      </w:r>
      <w:r>
        <w:rPr>
          <w:rFonts w:hint="eastAsia" w:ascii="宋体" w:hAnsi="宋体" w:cs="宋体"/>
          <w:color w:val="auto"/>
          <w:sz w:val="24"/>
          <w:szCs w:val="24"/>
          <w:highlight w:val="none"/>
        </w:rPr>
        <w:t>开标</w:t>
      </w:r>
      <w:r>
        <w:rPr>
          <w:rFonts w:hint="eastAsia" w:ascii="宋体" w:hAnsi="宋体" w:cs="宋体"/>
          <w:color w:val="auto"/>
          <w:sz w:val="24"/>
          <w:szCs w:val="24"/>
          <w:highlight w:val="none"/>
          <w:lang w:val="hr-HR"/>
        </w:rPr>
        <w:t>地点</w:t>
      </w:r>
      <w:bookmarkEnd w:id="56"/>
      <w:bookmarkStart w:id="57" w:name="_Hlk130457395"/>
      <w:bookmarkStart w:id="58" w:name="_Toc28359017"/>
      <w:bookmarkStart w:id="59" w:name="_Toc44583633"/>
      <w:bookmarkStart w:id="60" w:name="_Toc28359094"/>
      <w:bookmarkStart w:id="61" w:name="_Toc35393634"/>
      <w:bookmarkStart w:id="62" w:name="_Toc35393803"/>
    </w:p>
    <w:p w14:paraId="27C5ED1F">
      <w:pPr>
        <w:pStyle w:val="5"/>
        <w:spacing w:before="0" w:after="0" w:line="360" w:lineRule="auto"/>
        <w:ind w:firstLine="480" w:firstLineChars="200"/>
        <w:rPr>
          <w:rFonts w:hint="eastAsia" w:ascii="宋体" w:hAnsi="宋体" w:cs="宋体"/>
          <w:b w:val="0"/>
          <w:bCs w:val="0"/>
          <w:color w:val="auto"/>
          <w:sz w:val="24"/>
          <w:highlight w:val="none"/>
        </w:rPr>
      </w:pPr>
      <w:bookmarkStart w:id="63" w:name="_Toc8573"/>
      <w:r>
        <w:rPr>
          <w:rFonts w:hint="eastAsia" w:ascii="宋体" w:hAnsi="宋体" w:cs="宋体"/>
          <w:b w:val="0"/>
          <w:bCs w:val="0"/>
          <w:color w:val="auto"/>
          <w:sz w:val="24"/>
          <w:highlight w:val="none"/>
        </w:rPr>
        <w:t>1.截止时间/开标时间：</w:t>
      </w:r>
      <w:r>
        <w:rPr>
          <w:rFonts w:hint="eastAsia" w:ascii="宋体" w:hAnsi="宋体" w:cs="宋体"/>
          <w:b w:val="0"/>
          <w:bCs w:val="0"/>
          <w:color w:val="auto"/>
          <w:sz w:val="24"/>
          <w:highlight w:val="cyan"/>
        </w:rPr>
        <w:t>2026年</w:t>
      </w:r>
      <w:r>
        <w:rPr>
          <w:rFonts w:hint="eastAsia" w:ascii="宋体" w:hAnsi="宋体" w:cs="宋体"/>
          <w:b w:val="0"/>
          <w:bCs w:val="0"/>
          <w:color w:val="auto"/>
          <w:sz w:val="24"/>
          <w:highlight w:val="cyan"/>
          <w:lang w:val="en-US" w:eastAsia="zh-CN"/>
        </w:rPr>
        <w:t>06</w:t>
      </w:r>
      <w:r>
        <w:rPr>
          <w:rFonts w:hint="eastAsia" w:ascii="宋体" w:hAnsi="宋体" w:cs="宋体"/>
          <w:b w:val="0"/>
          <w:bCs w:val="0"/>
          <w:color w:val="auto"/>
          <w:sz w:val="24"/>
          <w:highlight w:val="cyan"/>
        </w:rPr>
        <w:t>月</w:t>
      </w:r>
      <w:r>
        <w:rPr>
          <w:rFonts w:hint="eastAsia" w:ascii="宋体" w:hAnsi="宋体" w:cs="宋体"/>
          <w:b w:val="0"/>
          <w:bCs w:val="0"/>
          <w:color w:val="auto"/>
          <w:sz w:val="24"/>
          <w:highlight w:val="cyan"/>
          <w:lang w:val="en-US" w:eastAsia="zh-CN"/>
        </w:rPr>
        <w:t>15</w:t>
      </w:r>
      <w:r>
        <w:rPr>
          <w:rFonts w:hint="eastAsia" w:ascii="宋体" w:hAnsi="宋体" w:cs="宋体"/>
          <w:b w:val="0"/>
          <w:bCs w:val="0"/>
          <w:color w:val="auto"/>
          <w:sz w:val="24"/>
          <w:highlight w:val="cyan"/>
        </w:rPr>
        <w:t>日11时00分</w:t>
      </w:r>
      <w:r>
        <w:rPr>
          <w:rFonts w:hint="eastAsia" w:ascii="宋体" w:hAnsi="宋体" w:cs="宋体"/>
          <w:b w:val="0"/>
          <w:bCs w:val="0"/>
          <w:color w:val="auto"/>
          <w:sz w:val="24"/>
          <w:highlight w:val="none"/>
        </w:rPr>
        <w:t>（北京时间）。</w:t>
      </w:r>
      <w:bookmarkEnd w:id="63"/>
    </w:p>
    <w:p w14:paraId="3A1FFDBE">
      <w:pPr>
        <w:pStyle w:val="20"/>
        <w:rPr>
          <w:rFonts w:hint="eastAsia" w:cs="宋体"/>
          <w:color w:val="auto"/>
          <w:highlight w:val="none"/>
          <w:lang w:val="en-US"/>
        </w:rPr>
      </w:pPr>
      <w:r>
        <w:rPr>
          <w:rFonts w:hint="eastAsia" w:cs="宋体"/>
          <w:color w:val="auto"/>
          <w:highlight w:val="none"/>
          <w:lang w:val="en-US"/>
        </w:rPr>
        <w:t>2.</w:t>
      </w:r>
      <w:r>
        <w:rPr>
          <w:rFonts w:hint="eastAsia" w:cs="宋体"/>
          <w:color w:val="auto"/>
          <w:highlight w:val="none"/>
        </w:rPr>
        <w:t>递交方式</w:t>
      </w:r>
      <w:r>
        <w:rPr>
          <w:rFonts w:hint="eastAsia" w:cs="宋体"/>
          <w:color w:val="auto"/>
          <w:highlight w:val="none"/>
          <w:lang w:val="en-US"/>
        </w:rPr>
        <w:t>：</w:t>
      </w:r>
      <w:bookmarkStart w:id="64" w:name="_Hlk89807823"/>
      <w:r>
        <w:rPr>
          <w:rFonts w:hint="eastAsia" w:cs="宋体"/>
          <w:color w:val="auto"/>
          <w:highlight w:val="none"/>
        </w:rPr>
        <w:t>在</w:t>
      </w:r>
      <w:r>
        <w:rPr>
          <w:rFonts w:hint="eastAsia" w:cs="宋体"/>
          <w:color w:val="auto"/>
          <w:highlight w:val="none"/>
          <w:lang w:val="en-US"/>
        </w:rPr>
        <w:t>新疆</w:t>
      </w:r>
      <w:r>
        <w:rPr>
          <w:rFonts w:hint="eastAsia" w:cs="宋体"/>
          <w:color w:val="auto"/>
          <w:highlight w:val="none"/>
        </w:rPr>
        <w:t>政府采购电子交易云平台</w:t>
      </w:r>
      <w:r>
        <w:rPr>
          <w:rFonts w:hint="eastAsia" w:cs="宋体"/>
          <w:color w:val="auto"/>
          <w:highlight w:val="none"/>
          <w:lang w:val="en-US"/>
        </w:rPr>
        <w:t>（</w:t>
      </w:r>
      <w:r>
        <w:rPr>
          <w:rFonts w:hint="eastAsia" w:cs="宋体"/>
          <w:color w:val="auto"/>
          <w:highlight w:val="none"/>
        </w:rPr>
        <w:t>网址</w:t>
      </w:r>
      <w:r>
        <w:rPr>
          <w:rFonts w:hint="eastAsia" w:cs="宋体"/>
          <w:color w:val="auto"/>
          <w:highlight w:val="none"/>
          <w:lang w:val="en-US"/>
        </w:rPr>
        <w:t>：http：//www.ccgp-xinjiang.gov.cn/）</w:t>
      </w:r>
      <w:r>
        <w:rPr>
          <w:rFonts w:hint="eastAsia" w:cs="宋体"/>
          <w:color w:val="auto"/>
          <w:highlight w:val="none"/>
        </w:rPr>
        <w:t>进入</w:t>
      </w:r>
      <w:r>
        <w:rPr>
          <w:rFonts w:hint="eastAsia" w:cs="宋体"/>
          <w:color w:val="auto"/>
          <w:highlight w:val="none"/>
          <w:lang w:val="en-US"/>
        </w:rPr>
        <w:t>“</w:t>
      </w:r>
      <w:r>
        <w:rPr>
          <w:rFonts w:hint="eastAsia" w:cs="宋体"/>
          <w:color w:val="auto"/>
          <w:highlight w:val="none"/>
        </w:rPr>
        <w:t>项目采购</w:t>
      </w:r>
      <w:r>
        <w:rPr>
          <w:rFonts w:hint="eastAsia" w:cs="宋体"/>
          <w:color w:val="auto"/>
          <w:highlight w:val="none"/>
          <w:lang w:val="en-US"/>
        </w:rPr>
        <w:t>”</w:t>
      </w:r>
      <w:r>
        <w:rPr>
          <w:rFonts w:hint="eastAsia" w:cs="宋体"/>
          <w:color w:val="auto"/>
          <w:highlight w:val="none"/>
        </w:rPr>
        <w:t>应用</w:t>
      </w:r>
      <w:r>
        <w:rPr>
          <w:rFonts w:hint="eastAsia" w:cs="宋体"/>
          <w:color w:val="auto"/>
          <w:highlight w:val="none"/>
          <w:lang w:val="en-US"/>
        </w:rPr>
        <w:t>，</w:t>
      </w:r>
      <w:r>
        <w:rPr>
          <w:rFonts w:hint="eastAsia" w:cs="宋体"/>
          <w:color w:val="auto"/>
          <w:highlight w:val="none"/>
        </w:rPr>
        <w:t>在投标文件上传菜单中选择项目进行上传。</w:t>
      </w:r>
      <w:bookmarkEnd w:id="64"/>
    </w:p>
    <w:p w14:paraId="4B648400">
      <w:pPr>
        <w:pStyle w:val="20"/>
        <w:rPr>
          <w:rFonts w:hint="eastAsia" w:cs="宋体"/>
          <w:color w:val="auto"/>
          <w:highlight w:val="none"/>
          <w:lang w:val="en-US"/>
        </w:rPr>
      </w:pPr>
      <w:r>
        <w:rPr>
          <w:rFonts w:hint="eastAsia" w:cs="宋体"/>
          <w:color w:val="auto"/>
          <w:highlight w:val="none"/>
          <w:lang w:val="en-US"/>
        </w:rPr>
        <w:t>3.</w:t>
      </w:r>
      <w:r>
        <w:rPr>
          <w:rFonts w:hint="eastAsia" w:cs="宋体"/>
          <w:color w:val="auto"/>
          <w:highlight w:val="none"/>
        </w:rPr>
        <w:t>开标</w:t>
      </w:r>
      <w:r>
        <w:rPr>
          <w:rFonts w:hint="eastAsia" w:cs="宋体"/>
          <w:color w:val="auto"/>
          <w:highlight w:val="none"/>
          <w:lang w:val="en-US"/>
        </w:rPr>
        <w:t>地点：投标人登录政采云平台https：//www.zcygov.cn/，进入项目采购-开标评标-右边选择对应项目点击“进入项目”进入开标大厅</w:t>
      </w:r>
      <w:r>
        <w:rPr>
          <w:rFonts w:hint="eastAsia" w:cs="宋体"/>
          <w:color w:val="auto"/>
          <w:highlight w:val="none"/>
        </w:rPr>
        <w:t>。</w:t>
      </w:r>
    </w:p>
    <w:bookmarkEnd w:id="57"/>
    <w:p w14:paraId="53B3A861">
      <w:pPr>
        <w:pStyle w:val="5"/>
        <w:spacing w:before="156" w:beforeLines="50" w:after="156" w:afterLines="50" w:line="360" w:lineRule="auto"/>
        <w:ind w:left="420" w:hanging="420"/>
        <w:rPr>
          <w:rFonts w:hint="eastAsia" w:ascii="宋体" w:hAnsi="宋体" w:cs="宋体"/>
          <w:color w:val="auto"/>
          <w:sz w:val="24"/>
          <w:szCs w:val="24"/>
          <w:highlight w:val="none"/>
          <w:lang w:val="hr-HR"/>
        </w:rPr>
      </w:pPr>
      <w:bookmarkStart w:id="65" w:name="_Toc140132749"/>
      <w:bookmarkStart w:id="66" w:name="_Toc109899414"/>
      <w:bookmarkStart w:id="67" w:name="_Toc163492816"/>
      <w:bookmarkStart w:id="68" w:name="_Toc109900252"/>
      <w:bookmarkStart w:id="69" w:name="_Toc155185864"/>
      <w:bookmarkStart w:id="70" w:name="_Toc109899833"/>
      <w:bookmarkStart w:id="71" w:name="_Toc24676"/>
      <w:r>
        <w:rPr>
          <w:rFonts w:hint="eastAsia" w:ascii="宋体" w:hAnsi="宋体" w:cs="宋体"/>
          <w:color w:val="auto"/>
          <w:sz w:val="24"/>
          <w:szCs w:val="24"/>
          <w:highlight w:val="none"/>
        </w:rPr>
        <w:t>五、</w:t>
      </w:r>
      <w:r>
        <w:rPr>
          <w:rFonts w:hint="eastAsia" w:ascii="宋体" w:hAnsi="宋体" w:cs="宋体"/>
          <w:color w:val="auto"/>
          <w:sz w:val="24"/>
          <w:szCs w:val="24"/>
          <w:highlight w:val="none"/>
          <w:lang w:val="hr-HR"/>
        </w:rPr>
        <w:t>公告期限</w:t>
      </w:r>
      <w:bookmarkEnd w:id="58"/>
      <w:bookmarkEnd w:id="59"/>
      <w:bookmarkEnd w:id="60"/>
      <w:bookmarkEnd w:id="61"/>
      <w:bookmarkEnd w:id="62"/>
      <w:bookmarkEnd w:id="65"/>
      <w:bookmarkEnd w:id="66"/>
      <w:bookmarkEnd w:id="67"/>
      <w:bookmarkEnd w:id="68"/>
      <w:bookmarkEnd w:id="69"/>
      <w:bookmarkEnd w:id="70"/>
      <w:bookmarkEnd w:id="71"/>
    </w:p>
    <w:p w14:paraId="1DF1DCED">
      <w:pPr>
        <w:pStyle w:val="20"/>
        <w:rPr>
          <w:rFonts w:hint="eastAsia" w:cs="宋体"/>
          <w:color w:val="auto"/>
          <w:highlight w:val="none"/>
        </w:rPr>
      </w:pPr>
      <w:r>
        <w:rPr>
          <w:rFonts w:hint="eastAsia" w:cs="宋体"/>
          <w:color w:val="auto"/>
          <w:highlight w:val="none"/>
        </w:rPr>
        <w:t>自招标公告发布之日起5个工作日。</w:t>
      </w:r>
    </w:p>
    <w:p w14:paraId="3F5CC735">
      <w:pPr>
        <w:pStyle w:val="5"/>
        <w:spacing w:before="156" w:beforeLines="50" w:after="156" w:afterLines="50" w:line="360" w:lineRule="auto"/>
        <w:ind w:left="420" w:hanging="420"/>
        <w:rPr>
          <w:rFonts w:hint="eastAsia" w:ascii="宋体" w:hAnsi="宋体" w:cs="宋体"/>
          <w:color w:val="auto"/>
          <w:sz w:val="24"/>
          <w:szCs w:val="24"/>
          <w:highlight w:val="none"/>
          <w:lang w:val="hr-HR"/>
        </w:rPr>
      </w:pPr>
      <w:bookmarkStart w:id="72" w:name="_Toc5198"/>
      <w:bookmarkStart w:id="73" w:name="_Toc140132750"/>
      <w:bookmarkStart w:id="74" w:name="_Toc35393804"/>
      <w:bookmarkStart w:id="75" w:name="_Toc109899415"/>
      <w:bookmarkStart w:id="76" w:name="_Toc44583634"/>
      <w:bookmarkStart w:id="77" w:name="_Toc163492817"/>
      <w:bookmarkStart w:id="78" w:name="_Toc109900253"/>
      <w:bookmarkStart w:id="79" w:name="_Toc155185865"/>
      <w:bookmarkStart w:id="80" w:name="_Toc35393635"/>
      <w:bookmarkStart w:id="81" w:name="_Toc109899834"/>
      <w:r>
        <w:rPr>
          <w:rFonts w:hint="eastAsia" w:ascii="宋体" w:hAnsi="宋体" w:cs="宋体"/>
          <w:color w:val="auto"/>
          <w:sz w:val="24"/>
          <w:szCs w:val="24"/>
          <w:highlight w:val="none"/>
        </w:rPr>
        <w:t>六、</w:t>
      </w:r>
      <w:r>
        <w:rPr>
          <w:rFonts w:hint="eastAsia" w:ascii="宋体" w:hAnsi="宋体" w:cs="宋体"/>
          <w:color w:val="auto"/>
          <w:sz w:val="24"/>
          <w:szCs w:val="24"/>
          <w:highlight w:val="none"/>
          <w:lang w:val="hr-HR"/>
        </w:rPr>
        <w:t>其他补充事宜</w:t>
      </w:r>
      <w:bookmarkEnd w:id="72"/>
      <w:bookmarkEnd w:id="73"/>
      <w:bookmarkEnd w:id="74"/>
      <w:bookmarkEnd w:id="75"/>
      <w:bookmarkEnd w:id="76"/>
      <w:bookmarkEnd w:id="77"/>
      <w:bookmarkEnd w:id="78"/>
      <w:bookmarkEnd w:id="79"/>
      <w:bookmarkEnd w:id="80"/>
      <w:bookmarkEnd w:id="81"/>
    </w:p>
    <w:p w14:paraId="0473AAD5">
      <w:pPr>
        <w:pStyle w:val="20"/>
        <w:rPr>
          <w:rFonts w:hint="eastAsia" w:cs="宋体"/>
          <w:color w:val="auto"/>
          <w:highlight w:val="none"/>
          <w:lang w:val="en-US"/>
        </w:rPr>
      </w:pPr>
      <w:r>
        <w:rPr>
          <w:rFonts w:hint="eastAsia" w:cs="宋体"/>
          <w:color w:val="auto"/>
          <w:highlight w:val="none"/>
          <w:lang w:val="en-US"/>
        </w:rPr>
        <w:t>1、本项目实行网上投标，采用电子投标文件；</w:t>
      </w:r>
    </w:p>
    <w:p w14:paraId="6AA8ACEB">
      <w:pPr>
        <w:pStyle w:val="20"/>
        <w:rPr>
          <w:rFonts w:hint="eastAsia" w:cs="宋体"/>
          <w:color w:val="auto"/>
          <w:highlight w:val="none"/>
          <w:lang w:val="en-US"/>
        </w:rPr>
      </w:pPr>
      <w:r>
        <w:rPr>
          <w:rFonts w:hint="eastAsia" w:cs="宋体"/>
          <w:color w:val="auto"/>
          <w:highlight w:val="none"/>
          <w:lang w:val="en-US"/>
        </w:rPr>
        <w:t>2、各供应商应在开标前确保成为正式注册入库供应商，并完成CA数字证书</w:t>
      </w:r>
      <w:r>
        <w:rPr>
          <w:rFonts w:hint="eastAsia" w:cs="宋体"/>
          <w:color w:val="auto"/>
          <w:highlight w:val="none"/>
          <w:lang w:val="en-US" w:eastAsia="zh-CN"/>
        </w:rPr>
        <w:t>（</w:t>
      </w:r>
      <w:r>
        <w:rPr>
          <w:rFonts w:hint="eastAsia" w:cs="宋体"/>
          <w:color w:val="auto"/>
          <w:highlight w:val="none"/>
          <w:lang w:val="en-US"/>
        </w:rPr>
        <w:t>符合国密标准</w:t>
      </w:r>
      <w:r>
        <w:rPr>
          <w:rFonts w:hint="eastAsia" w:cs="宋体"/>
          <w:color w:val="auto"/>
          <w:highlight w:val="none"/>
          <w:lang w:val="en-US" w:eastAsia="zh-CN"/>
        </w:rPr>
        <w:t>）</w:t>
      </w:r>
      <w:r>
        <w:rPr>
          <w:rFonts w:hint="eastAsia" w:cs="宋体"/>
          <w:color w:val="auto"/>
          <w:highlight w:val="none"/>
          <w:lang w:val="en-US"/>
        </w:rPr>
        <w:t>申领。因未注册入库、未办理CA数字证书等原因造成无法投标或投标失败等后果由供应商自行承担。如需咨询，请联系新疆-安信CA服务热线0991-7810912；翔晟CA服务热线025-66085508；新疆CA服务热线4000921999。</w:t>
      </w:r>
    </w:p>
    <w:p w14:paraId="510D7453">
      <w:pPr>
        <w:pStyle w:val="20"/>
        <w:rPr>
          <w:rFonts w:hint="eastAsia" w:cs="宋体"/>
          <w:color w:val="auto"/>
          <w:highlight w:val="none"/>
          <w:lang w:val="en-US"/>
        </w:rPr>
      </w:pPr>
      <w:r>
        <w:rPr>
          <w:rFonts w:hint="eastAsia" w:cs="宋体"/>
          <w:color w:val="auto"/>
          <w:highlight w:val="none"/>
          <w:lang w:val="en-US"/>
        </w:rPr>
        <w:t>3、供应商将政采云电子交易客户端下载、安装完成后，可通过账号密码或CA登录客户端进行投标文件的制作。在使用政采云投标客户端时，建议使用WIN7及以上操作系统。</w:t>
      </w:r>
    </w:p>
    <w:p w14:paraId="53EE6FEB">
      <w:pPr>
        <w:pStyle w:val="20"/>
        <w:rPr>
          <w:rFonts w:hint="eastAsia" w:cs="宋体"/>
          <w:color w:val="auto"/>
          <w:highlight w:val="none"/>
          <w:lang w:val="en-US"/>
        </w:rPr>
      </w:pPr>
      <w:r>
        <w:rPr>
          <w:rFonts w:hint="eastAsia" w:cs="宋体"/>
          <w:color w:val="auto"/>
          <w:highlight w:val="none"/>
          <w:lang w:val="en-US"/>
        </w:rPr>
        <w:t>4、其他事项： </w:t>
      </w:r>
    </w:p>
    <w:p w14:paraId="116D283C">
      <w:pPr>
        <w:pStyle w:val="20"/>
        <w:rPr>
          <w:rFonts w:hint="eastAsia" w:cs="宋体"/>
          <w:color w:val="auto"/>
          <w:highlight w:val="none"/>
          <w:lang w:val="en-US"/>
        </w:rPr>
      </w:pPr>
      <w:r>
        <w:rPr>
          <w:rFonts w:hint="eastAsia" w:cs="宋体"/>
          <w:color w:val="auto"/>
          <w:highlight w:val="none"/>
          <w:lang w:val="en-US"/>
        </w:rPr>
        <w:t>（1）本项目实行电子招投标，供应商须登录政采云平台申请获取采购文件，并需要使用CA锁，登录政采云电子投标客户端制作投标文件，若供应商参与投标,自行承担与投标有关的一切费用。</w:t>
      </w:r>
    </w:p>
    <w:p w14:paraId="6AD8BACB">
      <w:pPr>
        <w:pStyle w:val="20"/>
        <w:rPr>
          <w:rFonts w:hint="eastAsia" w:cs="宋体"/>
          <w:color w:val="auto"/>
          <w:highlight w:val="none"/>
          <w:lang w:val="en-US"/>
        </w:rPr>
      </w:pPr>
      <w:r>
        <w:rPr>
          <w:rFonts w:hint="eastAsia" w:cs="宋体"/>
          <w:color w:val="auto"/>
          <w:highlight w:val="none"/>
          <w:lang w:val="en-US"/>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6B061D36">
      <w:pPr>
        <w:pStyle w:val="20"/>
        <w:rPr>
          <w:rFonts w:hint="eastAsia" w:cs="宋体"/>
          <w:color w:val="auto"/>
          <w:highlight w:val="none"/>
          <w:lang w:val="en-US"/>
        </w:rPr>
      </w:pPr>
      <w:r>
        <w:rPr>
          <w:rFonts w:hint="eastAsia" w:cs="宋体"/>
          <w:color w:val="auto"/>
          <w:highlight w:val="none"/>
          <w:lang w:val="en-US"/>
        </w:rPr>
        <w:t>（3）供应商可前往新疆政府采购网（http：//www.ccgp-xinjiang.gov.cn/）下载专区，下载政采云电子投标客户端，安装完成后，可通过账号密码或CA登录客户端进行投标文件制作。</w:t>
      </w:r>
    </w:p>
    <w:p w14:paraId="7C22D8BC">
      <w:pPr>
        <w:pStyle w:val="20"/>
        <w:rPr>
          <w:rFonts w:hint="eastAsia" w:cs="宋体"/>
          <w:color w:val="auto"/>
          <w:highlight w:val="none"/>
          <w:lang w:val="en-US"/>
        </w:rPr>
      </w:pPr>
      <w:r>
        <w:rPr>
          <w:rFonts w:hint="eastAsia" w:cs="宋体"/>
          <w:color w:val="auto"/>
          <w:highlight w:val="none"/>
          <w:lang w:val="en-US"/>
        </w:rPr>
        <w:t>（4）供应商在开标时须携带制作加密电子投标文件所使用的CA锁，电脑须提前配置好浏览器，以便开标时在线解密。</w:t>
      </w:r>
    </w:p>
    <w:p w14:paraId="45B1D8B9">
      <w:pPr>
        <w:pStyle w:val="20"/>
        <w:rPr>
          <w:rFonts w:hint="eastAsia" w:cs="宋体"/>
          <w:color w:val="auto"/>
          <w:highlight w:val="none"/>
          <w:lang w:val="en-US"/>
        </w:rPr>
      </w:pPr>
      <w:r>
        <w:rPr>
          <w:rFonts w:hint="eastAsia" w:cs="宋体"/>
          <w:color w:val="auto"/>
          <w:highlight w:val="none"/>
          <w:lang w:val="en-US"/>
        </w:rPr>
        <w:t>（5）投标供应商应当在投标截止时间前，将生成的“电子加密投标文件”上传递交至“政府采购云平台”，投标截止时间以后上传递交的投标文件将被“政府采购云平台”拒收。</w:t>
      </w:r>
    </w:p>
    <w:p w14:paraId="78DBC05B">
      <w:pPr>
        <w:pStyle w:val="5"/>
        <w:spacing w:before="156" w:beforeLines="50" w:after="156" w:afterLines="50" w:line="360" w:lineRule="auto"/>
        <w:ind w:left="420" w:hanging="420"/>
        <w:rPr>
          <w:rFonts w:hint="eastAsia" w:ascii="宋体" w:hAnsi="宋体" w:cs="宋体"/>
          <w:color w:val="auto"/>
          <w:sz w:val="24"/>
          <w:szCs w:val="24"/>
          <w:highlight w:val="none"/>
          <w:lang w:val="hr-HR"/>
        </w:rPr>
      </w:pPr>
      <w:bookmarkStart w:id="82" w:name="_Toc163492818"/>
      <w:bookmarkStart w:id="83" w:name="_Toc109899416"/>
      <w:bookmarkStart w:id="84" w:name="_Toc28359018"/>
      <w:bookmarkStart w:id="85" w:name="_Toc140132751"/>
      <w:bookmarkStart w:id="86" w:name="_Toc28359095"/>
      <w:bookmarkStart w:id="87" w:name="_Toc35393805"/>
      <w:bookmarkStart w:id="88" w:name="_Toc155185866"/>
      <w:bookmarkStart w:id="89" w:name="_Toc109899835"/>
      <w:bookmarkStart w:id="90" w:name="_Toc35393636"/>
      <w:bookmarkStart w:id="91" w:name="_Toc44583635"/>
      <w:bookmarkStart w:id="92" w:name="_Toc109900254"/>
      <w:bookmarkStart w:id="93" w:name="_Toc31968"/>
      <w:r>
        <w:rPr>
          <w:rFonts w:hint="eastAsia" w:ascii="宋体" w:hAnsi="宋体" w:cs="宋体"/>
          <w:color w:val="auto"/>
          <w:sz w:val="24"/>
          <w:szCs w:val="24"/>
          <w:highlight w:val="none"/>
        </w:rPr>
        <w:t>七、</w:t>
      </w:r>
      <w:bookmarkEnd w:id="82"/>
      <w:bookmarkEnd w:id="83"/>
      <w:bookmarkEnd w:id="84"/>
      <w:bookmarkEnd w:id="85"/>
      <w:bookmarkEnd w:id="86"/>
      <w:bookmarkEnd w:id="87"/>
      <w:bookmarkEnd w:id="88"/>
      <w:bookmarkEnd w:id="89"/>
      <w:bookmarkEnd w:id="90"/>
      <w:bookmarkEnd w:id="91"/>
      <w:bookmarkEnd w:id="92"/>
      <w:r>
        <w:rPr>
          <w:rFonts w:hint="eastAsia" w:ascii="宋体" w:hAnsi="宋体" w:cs="宋体"/>
          <w:color w:val="auto"/>
          <w:sz w:val="24"/>
          <w:szCs w:val="24"/>
          <w:highlight w:val="none"/>
          <w:lang w:val="hr-HR"/>
        </w:rPr>
        <w:t>对本次</w:t>
      </w:r>
      <w:r>
        <w:rPr>
          <w:rFonts w:hint="eastAsia" w:ascii="宋体" w:hAnsi="宋体" w:cs="宋体"/>
          <w:color w:val="auto"/>
          <w:sz w:val="24"/>
          <w:szCs w:val="24"/>
          <w:highlight w:val="none"/>
        </w:rPr>
        <w:t>招标</w:t>
      </w:r>
      <w:r>
        <w:rPr>
          <w:rFonts w:hint="eastAsia" w:ascii="宋体" w:hAnsi="宋体" w:cs="宋体"/>
          <w:color w:val="auto"/>
          <w:sz w:val="24"/>
          <w:szCs w:val="24"/>
          <w:highlight w:val="none"/>
          <w:lang w:val="hr-HR"/>
        </w:rPr>
        <w:t>提出询问，请按以下方式联系</w:t>
      </w:r>
      <w:bookmarkEnd w:id="93"/>
    </w:p>
    <w:p w14:paraId="14807777">
      <w:pPr>
        <w:pStyle w:val="20"/>
        <w:ind w:firstLine="482"/>
        <w:rPr>
          <w:rFonts w:hint="eastAsia" w:cs="宋体"/>
          <w:color w:val="auto"/>
          <w:highlight w:val="none"/>
        </w:rPr>
      </w:pPr>
      <w:bookmarkStart w:id="94" w:name="_Toc35393806"/>
      <w:bookmarkStart w:id="95" w:name="_Toc28359096"/>
      <w:bookmarkStart w:id="96" w:name="_Toc35393637"/>
      <w:bookmarkStart w:id="97" w:name="_Toc28359019"/>
      <w:r>
        <w:rPr>
          <w:rFonts w:hint="eastAsia" w:cs="宋体"/>
          <w:color w:val="auto"/>
          <w:highlight w:val="none"/>
        </w:rPr>
        <w:t>1.采购人信息</w:t>
      </w:r>
      <w:bookmarkEnd w:id="94"/>
      <w:bookmarkEnd w:id="95"/>
      <w:bookmarkEnd w:id="96"/>
      <w:bookmarkEnd w:id="97"/>
    </w:p>
    <w:p w14:paraId="22D9C9B0">
      <w:pPr>
        <w:pStyle w:val="20"/>
        <w:ind w:left="1200" w:leftChars="200" w:hanging="720" w:hangingChars="300"/>
        <w:rPr>
          <w:rFonts w:hint="eastAsia" w:cs="宋体"/>
          <w:color w:val="auto"/>
          <w:highlight w:val="none"/>
        </w:rPr>
      </w:pPr>
      <w:r>
        <w:rPr>
          <w:rFonts w:hint="eastAsia" w:cs="宋体"/>
          <w:color w:val="auto"/>
          <w:highlight w:val="none"/>
        </w:rPr>
        <w:t>名称：</w:t>
      </w:r>
      <w:r>
        <w:rPr>
          <w:rFonts w:hint="eastAsia" w:cs="宋体"/>
          <w:color w:val="auto"/>
          <w:highlight w:val="none"/>
          <w:lang w:val="hr-HR"/>
        </w:rPr>
        <w:t>新疆维吾尔自治区疾病预防控制中心</w:t>
      </w:r>
      <w:r>
        <w:rPr>
          <w:rFonts w:hint="eastAsia" w:cs="宋体"/>
          <w:color w:val="auto"/>
          <w:highlight w:val="none"/>
        </w:rPr>
        <w:t xml:space="preserve">         </w:t>
      </w:r>
      <w:r>
        <w:rPr>
          <w:rFonts w:hint="eastAsia" w:cs="宋体"/>
          <w:color w:val="auto"/>
          <w:highlight w:val="none"/>
          <w:lang w:val="en-US"/>
        </w:rPr>
        <w:t xml:space="preserve">    </w:t>
      </w:r>
      <w:r>
        <w:rPr>
          <w:rFonts w:hint="eastAsia" w:cs="宋体"/>
          <w:color w:val="auto"/>
          <w:highlight w:val="none"/>
        </w:rPr>
        <w:t xml:space="preserve">    </w:t>
      </w:r>
    </w:p>
    <w:p w14:paraId="3DADFE45">
      <w:pPr>
        <w:pStyle w:val="20"/>
        <w:ind w:firstLine="482"/>
        <w:rPr>
          <w:rFonts w:hint="eastAsia" w:cs="宋体"/>
          <w:color w:val="auto"/>
          <w:highlight w:val="none"/>
        </w:rPr>
      </w:pPr>
      <w:r>
        <w:rPr>
          <w:rFonts w:hint="eastAsia" w:cs="宋体"/>
          <w:color w:val="auto"/>
          <w:highlight w:val="none"/>
        </w:rPr>
        <w:t>地址：</w:t>
      </w:r>
      <w:r>
        <w:rPr>
          <w:color w:val="auto"/>
          <w:highlight w:val="none"/>
        </w:rPr>
        <w:t>乌鲁木齐市天山区碱泉一街380号</w:t>
      </w:r>
      <w:r>
        <w:rPr>
          <w:rFonts w:hint="eastAsia" w:cs="宋体"/>
          <w:color w:val="auto"/>
          <w:highlight w:val="none"/>
        </w:rPr>
        <w:t xml:space="preserve">        </w:t>
      </w:r>
      <w:r>
        <w:rPr>
          <w:rFonts w:hint="eastAsia" w:cs="宋体"/>
          <w:color w:val="auto"/>
          <w:highlight w:val="none"/>
          <w:lang w:val="en-US"/>
        </w:rPr>
        <w:t xml:space="preserve">    </w:t>
      </w:r>
      <w:r>
        <w:rPr>
          <w:rFonts w:hint="eastAsia" w:cs="宋体"/>
          <w:color w:val="auto"/>
          <w:highlight w:val="none"/>
        </w:rPr>
        <w:t xml:space="preserve">     </w:t>
      </w:r>
    </w:p>
    <w:p w14:paraId="24163051">
      <w:pPr>
        <w:pStyle w:val="20"/>
        <w:ind w:firstLine="482"/>
        <w:rPr>
          <w:rFonts w:hint="eastAsia" w:cs="宋体"/>
          <w:color w:val="auto"/>
          <w:highlight w:val="none"/>
        </w:rPr>
      </w:pPr>
      <w:r>
        <w:rPr>
          <w:rFonts w:hint="eastAsia" w:cs="宋体"/>
          <w:color w:val="auto"/>
          <w:highlight w:val="none"/>
        </w:rPr>
        <w:t>联系方式：</w:t>
      </w:r>
      <w:bookmarkStart w:id="98" w:name="_Hlk46775675"/>
      <w:r>
        <w:rPr>
          <w:rFonts w:hint="eastAsia"/>
          <w:color w:val="auto"/>
          <w:highlight w:val="none"/>
          <w:lang w:eastAsia="zh-CN"/>
        </w:rPr>
        <w:t>王</w:t>
      </w:r>
      <w:r>
        <w:rPr>
          <w:rFonts w:hint="eastAsia"/>
          <w:color w:val="auto"/>
          <w:highlight w:val="none"/>
        </w:rPr>
        <w:t>老师、</w:t>
      </w:r>
      <w:r>
        <w:rPr>
          <w:rFonts w:hint="eastAsia"/>
          <w:color w:val="auto"/>
          <w:highlight w:val="none"/>
          <w:lang w:val="en-US" w:eastAsia="zh-CN"/>
        </w:rPr>
        <w:t>18290833549</w:t>
      </w:r>
      <w:r>
        <w:rPr>
          <w:rFonts w:hint="eastAsia" w:cs="宋体"/>
          <w:color w:val="auto"/>
          <w:highlight w:val="none"/>
        </w:rPr>
        <w:t xml:space="preserve">     </w:t>
      </w:r>
      <w:r>
        <w:rPr>
          <w:rFonts w:hint="eastAsia" w:cs="宋体"/>
          <w:color w:val="auto"/>
          <w:highlight w:val="none"/>
          <w:lang w:val="en-US"/>
        </w:rPr>
        <w:t xml:space="preserve"> </w:t>
      </w:r>
      <w:r>
        <w:rPr>
          <w:rFonts w:hint="eastAsia" w:cs="宋体"/>
          <w:color w:val="auto"/>
          <w:highlight w:val="none"/>
        </w:rPr>
        <w:t xml:space="preserve">      </w:t>
      </w:r>
    </w:p>
    <w:bookmarkEnd w:id="98"/>
    <w:p w14:paraId="2EC50FE4">
      <w:pPr>
        <w:pStyle w:val="20"/>
        <w:ind w:firstLine="482"/>
        <w:rPr>
          <w:rFonts w:hint="eastAsia" w:cs="宋体"/>
          <w:color w:val="auto"/>
          <w:highlight w:val="none"/>
        </w:rPr>
      </w:pPr>
      <w:bookmarkStart w:id="99" w:name="_Toc35393638"/>
      <w:bookmarkStart w:id="100" w:name="_Toc28359020"/>
      <w:bookmarkStart w:id="101" w:name="_Toc35393807"/>
      <w:bookmarkStart w:id="102" w:name="_Toc28359097"/>
      <w:r>
        <w:rPr>
          <w:rFonts w:hint="eastAsia" w:cs="宋体"/>
          <w:color w:val="auto"/>
          <w:highlight w:val="none"/>
        </w:rPr>
        <w:t>2.采购代理机构信息</w:t>
      </w:r>
      <w:bookmarkEnd w:id="99"/>
      <w:bookmarkEnd w:id="100"/>
      <w:bookmarkEnd w:id="101"/>
      <w:bookmarkEnd w:id="102"/>
    </w:p>
    <w:p w14:paraId="6BE7719B">
      <w:pPr>
        <w:pStyle w:val="20"/>
        <w:ind w:firstLine="482"/>
        <w:rPr>
          <w:rFonts w:hint="eastAsia" w:cs="宋体"/>
          <w:color w:val="auto"/>
          <w:highlight w:val="none"/>
        </w:rPr>
      </w:pPr>
      <w:r>
        <w:rPr>
          <w:rFonts w:hint="eastAsia" w:cs="宋体"/>
          <w:color w:val="auto"/>
          <w:highlight w:val="none"/>
        </w:rPr>
        <w:t>名称：</w:t>
      </w:r>
      <w:r>
        <w:rPr>
          <w:rFonts w:hint="eastAsia" w:cs="宋体"/>
          <w:color w:val="auto"/>
          <w:highlight w:val="none"/>
          <w:lang w:val="en-US"/>
        </w:rPr>
        <w:t xml:space="preserve">新疆星圣源工程项目管理有限公司 </w:t>
      </w:r>
    </w:p>
    <w:p w14:paraId="61D52BA4">
      <w:pPr>
        <w:pStyle w:val="20"/>
        <w:ind w:left="1200" w:leftChars="200" w:hanging="720" w:hangingChars="300"/>
        <w:rPr>
          <w:rFonts w:hint="eastAsia" w:cs="宋体"/>
          <w:color w:val="auto"/>
          <w:highlight w:val="none"/>
          <w:lang w:val="en-US"/>
        </w:rPr>
      </w:pPr>
      <w:bookmarkStart w:id="103" w:name="_Toc35393639"/>
      <w:bookmarkStart w:id="104" w:name="_Toc28359021"/>
      <w:bookmarkStart w:id="105" w:name="_Toc35393808"/>
      <w:bookmarkStart w:id="106" w:name="_Toc28359098"/>
      <w:r>
        <w:rPr>
          <w:rFonts w:hint="eastAsia" w:cs="宋体"/>
          <w:color w:val="auto"/>
          <w:highlight w:val="none"/>
          <w:lang w:val="en-US"/>
        </w:rPr>
        <w:t xml:space="preserve">地址：新疆乌鲁木齐市沙依巴克区奇台路658号德汇万达E2写字楼1703-02室 </w:t>
      </w:r>
    </w:p>
    <w:p w14:paraId="205A1C20">
      <w:pPr>
        <w:pStyle w:val="20"/>
        <w:ind w:firstLine="482"/>
        <w:rPr>
          <w:rFonts w:hint="eastAsia" w:cs="宋体"/>
          <w:color w:val="auto"/>
          <w:highlight w:val="none"/>
          <w:lang w:val="en-US"/>
        </w:rPr>
      </w:pPr>
      <w:r>
        <w:rPr>
          <w:rFonts w:hint="eastAsia" w:cs="宋体"/>
          <w:color w:val="auto"/>
          <w:highlight w:val="none"/>
          <w:lang w:val="en-US"/>
        </w:rPr>
        <w:t xml:space="preserve">联系方式：0991-5803779 </w:t>
      </w:r>
    </w:p>
    <w:p w14:paraId="2FBE47CC">
      <w:pPr>
        <w:pStyle w:val="20"/>
        <w:ind w:firstLine="482"/>
        <w:rPr>
          <w:rFonts w:hint="eastAsia" w:cs="宋体"/>
          <w:color w:val="auto"/>
          <w:szCs w:val="24"/>
          <w:highlight w:val="none"/>
          <w:lang w:val="en-US"/>
        </w:rPr>
      </w:pPr>
      <w:r>
        <w:rPr>
          <w:rFonts w:hint="eastAsia" w:cs="宋体"/>
          <w:color w:val="auto"/>
          <w:highlight w:val="none"/>
          <w:lang w:val="en-US"/>
        </w:rPr>
        <w:t>3</w:t>
      </w:r>
      <w:r>
        <w:rPr>
          <w:rFonts w:hint="eastAsia" w:cs="宋体"/>
          <w:color w:val="auto"/>
          <w:highlight w:val="none"/>
        </w:rPr>
        <w:t>.</w:t>
      </w:r>
      <w:r>
        <w:rPr>
          <w:rFonts w:hint="eastAsia" w:cs="宋体"/>
          <w:color w:val="auto"/>
          <w:highlight w:val="none"/>
          <w:lang w:val="en-US"/>
        </w:rPr>
        <w:t>项目联系方式</w:t>
      </w:r>
    </w:p>
    <w:bookmarkEnd w:id="103"/>
    <w:bookmarkEnd w:id="104"/>
    <w:bookmarkEnd w:id="105"/>
    <w:bookmarkEnd w:id="106"/>
    <w:p w14:paraId="0DC70DF0">
      <w:pPr>
        <w:ind w:firstLine="480" w:firstLineChars="200"/>
        <w:rPr>
          <w:rFonts w:hint="eastAsia" w:cs="宋体"/>
          <w:color w:val="auto"/>
          <w:highlight w:val="none"/>
        </w:rPr>
      </w:pPr>
      <w:r>
        <w:rPr>
          <w:rFonts w:hint="eastAsia" w:cs="宋体"/>
          <w:color w:val="auto"/>
          <w:highlight w:val="none"/>
        </w:rPr>
        <w:t>项目联系人：俞</w:t>
      </w:r>
      <w:r>
        <w:rPr>
          <w:rFonts w:hint="eastAsia" w:cs="宋体"/>
          <w:color w:val="auto"/>
          <w:highlight w:val="none"/>
          <w:lang w:eastAsia="zh-CN"/>
        </w:rPr>
        <w:t>彩妮、郄云龙</w:t>
      </w:r>
      <w:r>
        <w:rPr>
          <w:rFonts w:hint="eastAsia" w:cs="宋体"/>
          <w:color w:val="auto"/>
          <w:highlight w:val="none"/>
        </w:rPr>
        <w:t xml:space="preserve">                 </w:t>
      </w:r>
    </w:p>
    <w:p w14:paraId="53E5E3A0">
      <w:pPr>
        <w:ind w:firstLine="480" w:firstLineChars="200"/>
        <w:rPr>
          <w:rFonts w:hint="eastAsia" w:cs="宋体"/>
          <w:color w:val="auto"/>
          <w:highlight w:val="none"/>
        </w:rPr>
      </w:pPr>
      <w:r>
        <w:rPr>
          <w:rFonts w:hint="eastAsia" w:cs="宋体"/>
          <w:color w:val="auto"/>
          <w:highlight w:val="none"/>
        </w:rPr>
        <w:t xml:space="preserve">电话：0991-5803779 </w:t>
      </w:r>
    </w:p>
    <w:p w14:paraId="298D4059">
      <w:pPr>
        <w:rPr>
          <w:rFonts w:hint="eastAsia" w:cs="宋体"/>
          <w:color w:val="auto"/>
          <w:highlight w:val="none"/>
        </w:rPr>
      </w:pPr>
    </w:p>
    <w:p w14:paraId="613E0BC5">
      <w:pPr>
        <w:rPr>
          <w:rFonts w:hint="eastAsia" w:cs="宋体"/>
          <w:color w:val="auto"/>
          <w:highlight w:val="none"/>
        </w:rPr>
      </w:pPr>
    </w:p>
    <w:p w14:paraId="2298B7D6">
      <w:pPr>
        <w:rPr>
          <w:rFonts w:hint="eastAsia" w:cs="宋体"/>
          <w:color w:val="auto"/>
          <w:highlight w:val="none"/>
        </w:rPr>
      </w:pPr>
    </w:p>
    <w:p w14:paraId="77551927">
      <w:pPr>
        <w:rPr>
          <w:rFonts w:hint="eastAsia" w:cs="宋体"/>
          <w:color w:val="auto"/>
          <w:highlight w:val="none"/>
        </w:rPr>
        <w:sectPr>
          <w:footerReference r:id="rId6" w:type="default"/>
          <w:pgSz w:w="11906" w:h="16838"/>
          <w:pgMar w:top="1440" w:right="1800" w:bottom="1440" w:left="1800" w:header="851" w:footer="992" w:gutter="0"/>
          <w:pgNumType w:fmt="decimal" w:start="1"/>
          <w:cols w:space="425" w:num="1"/>
          <w:docGrid w:type="lines" w:linePitch="312" w:charSpace="0"/>
        </w:sectPr>
      </w:pPr>
    </w:p>
    <w:p w14:paraId="3F601AAE">
      <w:pPr>
        <w:pStyle w:val="4"/>
        <w:spacing w:before="220" w:after="220" w:line="480" w:lineRule="auto"/>
        <w:ind w:left="420" w:hanging="420"/>
        <w:rPr>
          <w:rFonts w:hint="eastAsia" w:eastAsia="宋体" w:cs="宋体"/>
          <w:color w:val="auto"/>
          <w:sz w:val="36"/>
          <w:szCs w:val="36"/>
          <w:highlight w:val="none"/>
        </w:rPr>
      </w:pPr>
      <w:bookmarkStart w:id="107" w:name="_Toc163492819"/>
      <w:bookmarkStart w:id="108" w:name="_Toc155185867"/>
      <w:bookmarkStart w:id="109" w:name="_Toc29609"/>
      <w:r>
        <w:rPr>
          <w:rFonts w:hint="eastAsia" w:eastAsia="宋体" w:cs="宋体"/>
          <w:color w:val="auto"/>
          <w:sz w:val="36"/>
          <w:szCs w:val="36"/>
          <w:highlight w:val="none"/>
        </w:rPr>
        <w:t>第二章 投标人须知</w:t>
      </w:r>
      <w:bookmarkEnd w:id="107"/>
      <w:bookmarkEnd w:id="108"/>
      <w:bookmarkEnd w:id="109"/>
    </w:p>
    <w:bookmarkEnd w:id="3"/>
    <w:p w14:paraId="5473BADC">
      <w:pPr>
        <w:pStyle w:val="5"/>
        <w:spacing w:before="80" w:after="80" w:line="360" w:lineRule="auto"/>
        <w:ind w:left="420" w:hanging="420"/>
        <w:rPr>
          <w:color w:val="auto"/>
          <w:sz w:val="28"/>
          <w:szCs w:val="28"/>
          <w:highlight w:val="none"/>
        </w:rPr>
      </w:pPr>
      <w:bookmarkStart w:id="110" w:name="_Toc163492820"/>
      <w:bookmarkStart w:id="111" w:name="_Toc155185868"/>
      <w:bookmarkStart w:id="112" w:name="_Toc1412"/>
      <w:r>
        <w:rPr>
          <w:rFonts w:hint="eastAsia"/>
          <w:color w:val="auto"/>
          <w:sz w:val="28"/>
          <w:szCs w:val="28"/>
          <w:highlight w:val="none"/>
        </w:rPr>
        <w:t>一、投标人须知前附表</w:t>
      </w:r>
      <w:bookmarkEnd w:id="110"/>
      <w:bookmarkEnd w:id="111"/>
      <w:bookmarkEnd w:id="112"/>
    </w:p>
    <w:p w14:paraId="5E230BF3">
      <w:pPr>
        <w:pStyle w:val="20"/>
        <w:rPr>
          <w:rFonts w:hint="eastAsia"/>
          <w:color w:val="auto"/>
          <w:szCs w:val="24"/>
          <w:highlight w:val="none"/>
          <w:lang w:val="en-US"/>
        </w:rPr>
      </w:pPr>
      <w:r>
        <w:rPr>
          <w:rFonts w:hint="eastAsia"/>
          <w:color w:val="auto"/>
          <w:szCs w:val="24"/>
          <w:highlight w:val="none"/>
        </w:rPr>
        <w:t>投标人应仔细阅读本招标文件的第二章“投标人须知”，下面所列资料是对“投标人须知”的具体补充和说明，如有矛盾，应以本表为准。</w:t>
      </w:r>
      <w:r>
        <w:rPr>
          <w:rFonts w:hint="eastAsia"/>
          <w:color w:val="auto"/>
          <w:szCs w:val="24"/>
          <w:highlight w:val="none"/>
          <w:lang w:val="en-US"/>
        </w:rPr>
        <w:t>标记“☑”的选项意为适用于本项目，标记“□”的选项意为不适用于本项目。</w:t>
      </w:r>
    </w:p>
    <w:tbl>
      <w:tblPr>
        <w:tblStyle w:val="1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5BCB31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B247C84">
            <w:pPr>
              <w:pStyle w:val="2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5DAD63C">
            <w:pPr>
              <w:pStyle w:val="2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71E59499">
            <w:pPr>
              <w:pStyle w:val="21"/>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C623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1CE1814">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w:t>
            </w:r>
          </w:p>
        </w:tc>
        <w:tc>
          <w:tcPr>
            <w:tcW w:w="1738" w:type="dxa"/>
            <w:vAlign w:val="center"/>
          </w:tcPr>
          <w:p w14:paraId="3FE42C41">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6700" w:type="dxa"/>
            <w:vAlign w:val="center"/>
          </w:tcPr>
          <w:p w14:paraId="2BB4A727">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□本项目不适用。 </w:t>
            </w:r>
          </w:p>
          <w:p w14:paraId="69F0E2E6">
            <w:pPr>
              <w:pStyle w:val="21"/>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本项目为单一产品采购项目。 </w:t>
            </w:r>
          </w:p>
          <w:p w14:paraId="5A26D910">
            <w:pPr>
              <w:pStyle w:val="21"/>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本项目为非单一产品采购项目，</w:t>
            </w:r>
            <w:r>
              <w:rPr>
                <w:rFonts w:hint="eastAsia" w:ascii="宋体" w:hAnsi="宋体" w:eastAsia="宋体" w:cs="宋体"/>
                <w:color w:val="auto"/>
                <w:sz w:val="24"/>
                <w:szCs w:val="24"/>
                <w:highlight w:val="none"/>
                <w:u w:val="single"/>
              </w:rPr>
              <w:t>其中核心产品为：人白细胞介素-1β释放检测试剂盒（双抗体夹心法）</w:t>
            </w:r>
          </w:p>
        </w:tc>
      </w:tr>
      <w:tr w14:paraId="08CB60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23B523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w:t>
            </w:r>
          </w:p>
        </w:tc>
        <w:tc>
          <w:tcPr>
            <w:tcW w:w="1738" w:type="dxa"/>
            <w:vAlign w:val="center"/>
          </w:tcPr>
          <w:p w14:paraId="028B273B">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询问</w:t>
            </w:r>
          </w:p>
        </w:tc>
        <w:tc>
          <w:tcPr>
            <w:tcW w:w="6700" w:type="dxa"/>
            <w:vAlign w:val="center"/>
          </w:tcPr>
          <w:p w14:paraId="75006627">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1.方式：</w:t>
            </w:r>
            <w:r>
              <w:rPr>
                <w:rFonts w:hint="eastAsia" w:ascii="宋体" w:hAnsi="宋体" w:eastAsia="宋体" w:cs="宋体"/>
                <w:color w:val="auto"/>
                <w:sz w:val="24"/>
                <w:szCs w:val="24"/>
                <w:highlight w:val="none"/>
                <w:u w:val="single"/>
              </w:rPr>
              <w:t xml:space="preserve"> 电话询问或书面形式 </w:t>
            </w:r>
            <w:r>
              <w:rPr>
                <w:rFonts w:hint="eastAsia" w:ascii="宋体" w:hAnsi="宋体" w:eastAsia="宋体" w:cs="宋体"/>
                <w:color w:val="auto"/>
                <w:sz w:val="24"/>
                <w:szCs w:val="24"/>
                <w:highlight w:val="none"/>
              </w:rPr>
              <w:t>。</w:t>
            </w:r>
          </w:p>
          <w:p w14:paraId="5F14083F">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2.联系电话：</w:t>
            </w:r>
            <w:r>
              <w:rPr>
                <w:rFonts w:hint="eastAsia" w:ascii="宋体" w:hAnsi="宋体" w:eastAsia="宋体" w:cs="宋体"/>
                <w:color w:val="auto"/>
                <w:sz w:val="24"/>
                <w:szCs w:val="24"/>
                <w:highlight w:val="none"/>
                <w:u w:val="single"/>
              </w:rPr>
              <w:t xml:space="preserve"> 0991-5803779 </w:t>
            </w:r>
            <w:r>
              <w:rPr>
                <w:rFonts w:hint="eastAsia" w:ascii="宋体" w:hAnsi="宋体" w:eastAsia="宋体" w:cs="宋体"/>
                <w:color w:val="auto"/>
                <w:sz w:val="24"/>
                <w:szCs w:val="24"/>
                <w:highlight w:val="none"/>
              </w:rPr>
              <w:t>。</w:t>
            </w:r>
          </w:p>
        </w:tc>
      </w:tr>
      <w:tr w14:paraId="62FCA6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852922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3</w:t>
            </w:r>
          </w:p>
        </w:tc>
        <w:tc>
          <w:tcPr>
            <w:tcW w:w="1738" w:type="dxa"/>
            <w:vAlign w:val="center"/>
          </w:tcPr>
          <w:p w14:paraId="43EBEFDD">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734853C3">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30A711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74" w:hRule="atLeast"/>
        </w:trPr>
        <w:tc>
          <w:tcPr>
            <w:tcW w:w="970" w:type="dxa"/>
            <w:vAlign w:val="center"/>
          </w:tcPr>
          <w:p w14:paraId="16D0C6D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4</w:t>
            </w:r>
          </w:p>
        </w:tc>
        <w:tc>
          <w:tcPr>
            <w:tcW w:w="1738" w:type="dxa"/>
            <w:vAlign w:val="center"/>
          </w:tcPr>
          <w:p w14:paraId="3350E8D7">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700" w:type="dxa"/>
            <w:vAlign w:val="center"/>
          </w:tcPr>
          <w:p w14:paraId="763E1C64">
            <w:pPr>
              <w:pStyle w:val="22"/>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1.金额：</w:t>
            </w:r>
          </w:p>
          <w:p w14:paraId="476960D3">
            <w:pPr>
              <w:pStyle w:val="22"/>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□免收</w:t>
            </w:r>
          </w:p>
          <w:p w14:paraId="22D82FBF">
            <w:pPr>
              <w:pStyle w:val="22"/>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☑预算金额的</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w:t>
            </w:r>
          </w:p>
          <w:p w14:paraId="4D020ACE">
            <w:pPr>
              <w:pStyle w:val="22"/>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小写：4496元；大写：肆仟肆佰玖拾陆元整</w:t>
            </w:r>
            <w:r>
              <w:rPr>
                <w:rFonts w:hint="eastAsia" w:ascii="宋体" w:hAnsi="宋体" w:eastAsia="宋体" w:cs="宋体"/>
                <w:color w:val="auto"/>
                <w:sz w:val="24"/>
                <w:szCs w:val="24"/>
                <w:highlight w:val="none"/>
              </w:rPr>
              <w:t>）</w:t>
            </w:r>
          </w:p>
          <w:p w14:paraId="19D3B7BF">
            <w:pPr>
              <w:pStyle w:val="22"/>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w:t>
            </w:r>
          </w:p>
          <w:p w14:paraId="08584AF9">
            <w:pPr>
              <w:pStyle w:val="22"/>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2.支付方式：投标人可自主选择以支票、汇票、本票、电汇、转账、网银、保函等非现金形式缴纳或提交保证金。</w:t>
            </w:r>
          </w:p>
          <w:p w14:paraId="593C34AA">
            <w:pPr>
              <w:pStyle w:val="22"/>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3.收取单位：新疆星圣源工程项目管理有限公司                            </w:t>
            </w:r>
          </w:p>
          <w:p w14:paraId="37DFA7C6">
            <w:pPr>
              <w:pStyle w:val="22"/>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4.收取账号：0000020080110031013587              </w:t>
            </w:r>
          </w:p>
          <w:p w14:paraId="2539295E">
            <w:pPr>
              <w:pStyle w:val="22"/>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5.开户行：乌鲁木齐银行黄河支行</w:t>
            </w:r>
          </w:p>
          <w:p w14:paraId="63F6315B">
            <w:pPr>
              <w:pStyle w:val="22"/>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6.行号：313881000490</w:t>
            </w:r>
          </w:p>
          <w:p w14:paraId="612DCAA6">
            <w:pPr>
              <w:pStyle w:val="22"/>
              <w:spacing w:line="3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退还时间：未中标投标人的投标保证金应当自中标通知书发出之日起5个工作日内退还（需要未中标投标人将保证金缴纳凭证发送至邮箱1753471790@qq.com），中标投标人的投标保证金自采购合同签订之日起5个工作日内退还（需要中标投标人将保证金缴纳凭证及采</w:t>
            </w:r>
            <w:bookmarkStart w:id="402" w:name="_GoBack"/>
            <w:bookmarkEnd w:id="402"/>
            <w:r>
              <w:rPr>
                <w:rFonts w:hint="eastAsia" w:ascii="宋体" w:hAnsi="宋体" w:eastAsia="宋体" w:cs="宋体"/>
                <w:color w:val="auto"/>
                <w:sz w:val="24"/>
                <w:szCs w:val="24"/>
                <w:highlight w:val="none"/>
              </w:rPr>
              <w:t xml:space="preserve">购合同扫描件发送至邮箱1753471790@qq.com）。              </w:t>
            </w:r>
          </w:p>
          <w:p w14:paraId="2582EAB9">
            <w:pPr>
              <w:pStyle w:val="22"/>
              <w:spacing w:line="34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注意事项：</w:t>
            </w:r>
          </w:p>
          <w:p w14:paraId="4C482385">
            <w:pPr>
              <w:pStyle w:val="22"/>
              <w:spacing w:line="3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1.以上各类机构出具的以担保函、保证保险承担责任的方式均须满足无条件见索即付条件。</w:t>
            </w:r>
            <w:r>
              <w:rPr>
                <w:rFonts w:hint="eastAsia" w:ascii="宋体" w:hAnsi="宋体" w:eastAsia="宋体" w:cs="宋体"/>
                <w:b/>
                <w:bCs/>
                <w:color w:val="auto"/>
                <w:sz w:val="24"/>
                <w:szCs w:val="24"/>
                <w:highlight w:val="none"/>
              </w:rPr>
              <w:t>若提供保函，请在</w:t>
            </w:r>
            <w:r>
              <w:rPr>
                <w:rFonts w:hint="eastAsia" w:ascii="宋体" w:hAnsi="宋体" w:eastAsia="宋体" w:cs="宋体"/>
                <w:b/>
                <w:bCs/>
                <w:color w:val="auto"/>
                <w:kern w:val="2"/>
                <w:sz w:val="24"/>
                <w:szCs w:val="24"/>
                <w:highlight w:val="none"/>
                <w:lang w:val="hr-HR"/>
              </w:rPr>
              <w:t>提交投标文件截止时间前</w:t>
            </w:r>
            <w:r>
              <w:rPr>
                <w:rFonts w:hint="eastAsia" w:ascii="宋体" w:hAnsi="宋体" w:eastAsia="宋体" w:cs="宋体"/>
                <w:b/>
                <w:bCs/>
                <w:color w:val="auto"/>
                <w:sz w:val="24"/>
                <w:szCs w:val="24"/>
                <w:highlight w:val="none"/>
              </w:rPr>
              <w:t>将保函扫描件发送至邮箱：1753471790@qq.com</w:t>
            </w:r>
          </w:p>
          <w:p w14:paraId="30FF69F5">
            <w:pPr>
              <w:pStyle w:val="22"/>
              <w:spacing w:line="3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2.以担保函、保证保险形式缴纳投标保证金的，受益人和收取单位须为新疆星圣源工程项目管理有限公司 。</w:t>
            </w:r>
          </w:p>
          <w:p w14:paraId="260B8CF8">
            <w:pPr>
              <w:pStyle w:val="22"/>
              <w:spacing w:line="3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3.汇款单上必需备注项目编号、标项号（若有）、联系方式。投标保证金于截止日之前确认到账，若投标人未按照上述规定缴纳保证金,投标文件将被拒绝评审。 </w:t>
            </w:r>
          </w:p>
          <w:p w14:paraId="6C2A31C0">
            <w:pPr>
              <w:pStyle w:val="22"/>
              <w:spacing w:line="340" w:lineRule="exact"/>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例：</w:t>
            </w:r>
            <w:r>
              <w:rPr>
                <w:rFonts w:hint="eastAsia" w:ascii="宋体" w:hAnsi="宋体" w:cs="宋体"/>
                <w:b/>
                <w:bCs/>
                <w:color w:val="auto"/>
                <w:sz w:val="24"/>
                <w:szCs w:val="24"/>
                <w:highlight w:val="none"/>
                <w:lang w:eastAsia="zh-CN"/>
              </w:rPr>
              <w:t>XSY-2026-Z-086-2</w:t>
            </w:r>
            <w:r>
              <w:rPr>
                <w:rFonts w:hint="eastAsia" w:ascii="宋体" w:hAnsi="宋体" w:eastAsia="宋体" w:cs="宋体"/>
                <w:b/>
                <w:bCs/>
                <w:color w:val="auto"/>
                <w:sz w:val="24"/>
                <w:szCs w:val="24"/>
                <w:highlight w:val="none"/>
              </w:rPr>
              <w:t xml:space="preserve"> 保证金+联系方式</w:t>
            </w:r>
          </w:p>
          <w:p w14:paraId="1C3BC596">
            <w:pPr>
              <w:pStyle w:val="22"/>
              <w:spacing w:line="3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财务办公室：新疆乌鲁木齐市沙依巴克区奇台路658号德汇万达E2写字楼1703-02室</w:t>
            </w:r>
          </w:p>
          <w:p w14:paraId="4AA04D22">
            <w:pPr>
              <w:pStyle w:val="22"/>
              <w:spacing w:line="34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财务联系电话：0991-5803779</w:t>
            </w:r>
          </w:p>
        </w:tc>
      </w:tr>
      <w:tr w14:paraId="4BA3A8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965E88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5</w:t>
            </w:r>
          </w:p>
        </w:tc>
        <w:tc>
          <w:tcPr>
            <w:tcW w:w="1738" w:type="dxa"/>
            <w:vAlign w:val="center"/>
          </w:tcPr>
          <w:p w14:paraId="5B8CF82A">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593B210E">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 xml:space="preserve">分钟。 </w:t>
            </w:r>
          </w:p>
          <w:p w14:paraId="723D5FA8">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除因交易平台发生故障导致投标文件无法按时解密外，投标文件未按时解密的，视为未按规定提交投标文件。</w:t>
            </w:r>
          </w:p>
        </w:tc>
      </w:tr>
      <w:tr w14:paraId="69AB30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11" w:hRule="atLeast"/>
        </w:trPr>
        <w:tc>
          <w:tcPr>
            <w:tcW w:w="970" w:type="dxa"/>
            <w:vAlign w:val="center"/>
          </w:tcPr>
          <w:p w14:paraId="48487D6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6</w:t>
            </w:r>
          </w:p>
        </w:tc>
        <w:tc>
          <w:tcPr>
            <w:tcW w:w="1738" w:type="dxa"/>
            <w:vAlign w:val="center"/>
          </w:tcPr>
          <w:p w14:paraId="60C66842">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评标方法</w:t>
            </w:r>
          </w:p>
        </w:tc>
        <w:tc>
          <w:tcPr>
            <w:tcW w:w="6700" w:type="dxa"/>
            <w:vAlign w:val="center"/>
          </w:tcPr>
          <w:p w14:paraId="7C6376A5">
            <w:pPr>
              <w:pStyle w:val="21"/>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综合评分法</w:t>
            </w:r>
          </w:p>
          <w:p w14:paraId="72A3214A">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□最低评标价法</w:t>
            </w:r>
          </w:p>
        </w:tc>
      </w:tr>
      <w:tr w14:paraId="1B86C0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93" w:hRule="atLeast"/>
        </w:trPr>
        <w:tc>
          <w:tcPr>
            <w:tcW w:w="970" w:type="dxa"/>
            <w:vAlign w:val="center"/>
          </w:tcPr>
          <w:p w14:paraId="2B178277">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7</w:t>
            </w:r>
          </w:p>
        </w:tc>
        <w:tc>
          <w:tcPr>
            <w:tcW w:w="1738" w:type="dxa"/>
            <w:vAlign w:val="center"/>
          </w:tcPr>
          <w:p w14:paraId="2F695100">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B6BE9F5">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家</w:t>
            </w:r>
          </w:p>
        </w:tc>
      </w:tr>
      <w:tr w14:paraId="315AA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77" w:hRule="atLeast"/>
        </w:trPr>
        <w:tc>
          <w:tcPr>
            <w:tcW w:w="970" w:type="dxa"/>
            <w:vAlign w:val="center"/>
          </w:tcPr>
          <w:p w14:paraId="6C162DF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8</w:t>
            </w:r>
          </w:p>
        </w:tc>
        <w:tc>
          <w:tcPr>
            <w:tcW w:w="1738" w:type="dxa"/>
            <w:vAlign w:val="center"/>
          </w:tcPr>
          <w:p w14:paraId="1A923B3B">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03358909">
            <w:pPr>
              <w:pStyle w:val="21"/>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采购人按评审报告中推荐的中标候选人排序确定中标人。</w:t>
            </w:r>
          </w:p>
          <w:p w14:paraId="41C77F35">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□采购人委托评标委员会直接确定中标人。</w:t>
            </w:r>
          </w:p>
        </w:tc>
      </w:tr>
      <w:tr w14:paraId="70BB72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5" w:hRule="atLeast"/>
        </w:trPr>
        <w:tc>
          <w:tcPr>
            <w:tcW w:w="970" w:type="dxa"/>
            <w:vAlign w:val="center"/>
          </w:tcPr>
          <w:p w14:paraId="29FA89E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9</w:t>
            </w:r>
          </w:p>
        </w:tc>
        <w:tc>
          <w:tcPr>
            <w:tcW w:w="1738" w:type="dxa"/>
            <w:vAlign w:val="center"/>
          </w:tcPr>
          <w:p w14:paraId="333BD48A">
            <w:pPr>
              <w:pStyle w:val="21"/>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提供相同品牌产品的不同投标人确定中标候选人的规定</w:t>
            </w:r>
          </w:p>
        </w:tc>
        <w:tc>
          <w:tcPr>
            <w:tcW w:w="6700" w:type="dxa"/>
            <w:vAlign w:val="center"/>
          </w:tcPr>
          <w:p w14:paraId="2564AA40">
            <w:pPr>
              <w:pStyle w:val="21"/>
              <w:ind w:firstLine="480" w:firstLineChars="200"/>
              <w:rPr>
                <w:rFonts w:hint="eastAsia" w:ascii="宋体" w:hAnsi="宋体" w:eastAsia="宋体" w:cs="宋体"/>
                <w:color w:val="auto"/>
                <w:kern w:val="0"/>
                <w:sz w:val="24"/>
                <w:szCs w:val="24"/>
                <w:highlight w:val="none"/>
                <w:lang w:bidi="ar"/>
              </w:rPr>
            </w:pPr>
            <w:r>
              <w:rPr>
                <w:rFonts w:hint="eastAsia" w:cs="宋体"/>
                <w:color w:val="auto"/>
                <w:sz w:val="24"/>
                <w:szCs w:val="24"/>
                <w:highlight w:val="none"/>
                <w:lang w:eastAsia="zh-CN"/>
              </w:rPr>
              <w:t>☑</w:t>
            </w:r>
            <w:r>
              <w:rPr>
                <w:rFonts w:hint="eastAsia" w:ascii="宋体" w:hAnsi="宋体" w:eastAsia="宋体" w:cs="宋体"/>
                <w:color w:val="auto"/>
                <w:kern w:val="0"/>
                <w:sz w:val="24"/>
                <w:szCs w:val="24"/>
                <w:highlight w:val="none"/>
                <w:lang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bidi="ar"/>
              </w:rPr>
              <w:t xml:space="preserve"> 商务技术得分最高 </w:t>
            </w:r>
            <w:r>
              <w:rPr>
                <w:rFonts w:hint="eastAsia" w:ascii="宋体" w:hAnsi="宋体" w:eastAsia="宋体" w:cs="宋体"/>
                <w:color w:val="auto"/>
                <w:kern w:val="0"/>
                <w:sz w:val="24"/>
                <w:szCs w:val="24"/>
                <w:highlight w:val="none"/>
                <w:lang w:bidi="ar"/>
              </w:rPr>
              <w:t>方式确定一个投标人获得中标人推荐资格，其他同品牌投标人不作为中标候选人。</w:t>
            </w:r>
          </w:p>
          <w:p w14:paraId="5BBEFE91">
            <w:pPr>
              <w:pStyle w:val="21"/>
              <w:ind w:firstLine="480" w:firstLineChars="200"/>
              <w:rPr>
                <w:rFonts w:hint="eastAsia" w:ascii="宋体" w:hAnsi="宋体" w:eastAsia="宋体" w:cs="宋体"/>
                <w:color w:val="auto"/>
                <w:kern w:val="0"/>
                <w:sz w:val="24"/>
                <w:szCs w:val="24"/>
                <w:highlight w:val="none"/>
                <w:lang w:bidi="ar"/>
              </w:rPr>
            </w:pP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bidi="ar"/>
              </w:rPr>
              <w:t xml:space="preserve"> / </w:t>
            </w:r>
            <w:r>
              <w:rPr>
                <w:rFonts w:hint="eastAsia" w:ascii="宋体" w:hAnsi="宋体" w:eastAsia="宋体" w:cs="宋体"/>
                <w:color w:val="auto"/>
                <w:kern w:val="0"/>
                <w:sz w:val="24"/>
                <w:szCs w:val="24"/>
                <w:highlight w:val="none"/>
                <w:lang w:bidi="ar"/>
              </w:rPr>
              <w:t>方式确定一个参加评标的投标人，其他投标无效。</w:t>
            </w:r>
          </w:p>
        </w:tc>
      </w:tr>
      <w:tr w14:paraId="7D7DD8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0B5A4BE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10</w:t>
            </w:r>
          </w:p>
        </w:tc>
        <w:tc>
          <w:tcPr>
            <w:tcW w:w="1738" w:type="dxa"/>
            <w:vAlign w:val="center"/>
          </w:tcPr>
          <w:p w14:paraId="0FFA1EB4">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208D5380">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1.金额：</w:t>
            </w:r>
          </w:p>
          <w:p w14:paraId="77BFFF8A">
            <w:pPr>
              <w:pStyle w:val="21"/>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55E48F26">
            <w:pPr>
              <w:pStyle w:val="21"/>
              <w:ind w:firstLine="480" w:firstLineChars="200"/>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合同价的</w:t>
            </w:r>
            <w:r>
              <w:rPr>
                <w:rFonts w:hint="eastAsia" w:ascii="宋体" w:hAnsi="宋体" w:eastAsia="宋体" w:cs="宋体"/>
                <w:color w:val="auto"/>
                <w:sz w:val="24"/>
                <w:szCs w:val="24"/>
                <w:highlight w:val="none"/>
                <w:u w:val="single"/>
              </w:rPr>
              <w:t xml:space="preserve"> 10 </w:t>
            </w:r>
            <w:r>
              <w:rPr>
                <w:rFonts w:hint="eastAsia" w:ascii="宋体" w:hAnsi="宋体" w:eastAsia="宋体" w:cs="宋体"/>
                <w:color w:val="auto"/>
                <w:sz w:val="24"/>
                <w:szCs w:val="24"/>
                <w:highlight w:val="none"/>
              </w:rPr>
              <w:t>%</w:t>
            </w:r>
          </w:p>
          <w:p w14:paraId="0325C324">
            <w:pPr>
              <w:pStyle w:val="2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w:t>
            </w:r>
          </w:p>
          <w:p w14:paraId="156A4B00">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2.支付方式：</w:t>
            </w:r>
          </w:p>
          <w:p w14:paraId="09B9B201">
            <w:pPr>
              <w:pStyle w:val="22"/>
              <w:spacing w:line="3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投标人可自主选择以支票、汇票、本票、电汇、转账、网银、保函等非现金形式缴纳或提交保证金。</w:t>
            </w:r>
          </w:p>
          <w:p w14:paraId="2B7EE426">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3.收取单位：/                            </w:t>
            </w:r>
          </w:p>
          <w:p w14:paraId="5A16B8EA">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4.收取账号：/              </w:t>
            </w:r>
          </w:p>
          <w:p w14:paraId="3C807533">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5.退还时间：/              </w:t>
            </w:r>
          </w:p>
          <w:p w14:paraId="59A017FA">
            <w:pPr>
              <w:pStyle w:val="2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备注：履约保证金的支付最终以和甲方单位签订合同为准。</w:t>
            </w:r>
          </w:p>
          <w:p w14:paraId="0DEB0582">
            <w:pPr>
              <w:pStyle w:val="2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FFAA12B">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1.以上各类机构出具的以担保函、保证保险承担责任的方式均须满足无条件见索即付条件。</w:t>
            </w:r>
          </w:p>
          <w:p w14:paraId="2CDE47CC">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2.以担保函、保证保险形式缴纳履约保证金的，受益人和收取单位须为采购人。</w:t>
            </w:r>
          </w:p>
        </w:tc>
      </w:tr>
      <w:tr w14:paraId="72C48C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1" w:hRule="atLeast"/>
        </w:trPr>
        <w:tc>
          <w:tcPr>
            <w:tcW w:w="970" w:type="dxa"/>
            <w:vAlign w:val="center"/>
          </w:tcPr>
          <w:p w14:paraId="28FB13E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11</w:t>
            </w:r>
          </w:p>
        </w:tc>
        <w:tc>
          <w:tcPr>
            <w:tcW w:w="1738" w:type="dxa"/>
            <w:vAlign w:val="center"/>
          </w:tcPr>
          <w:p w14:paraId="3FAAF51D">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付款方式及币种</w:t>
            </w:r>
          </w:p>
        </w:tc>
        <w:tc>
          <w:tcPr>
            <w:tcW w:w="6700" w:type="dxa"/>
            <w:vAlign w:val="center"/>
          </w:tcPr>
          <w:p w14:paraId="7D8315B5">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合同总价包含到达交货地点的运杂费、技术服务（相关技术指导）、运输费、保险费、培训、税费及其他各项费用</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本合同按以下 </w:t>
            </w:r>
            <w:r>
              <w:rPr>
                <w:rFonts w:hint="eastAsia" w:cs="宋体"/>
                <w:color w:val="auto"/>
                <w:sz w:val="24"/>
                <w:szCs w:val="24"/>
                <w:highlight w:val="none"/>
                <w:lang w:eastAsia="zh-CN"/>
              </w:rPr>
              <w:t>（</w:t>
            </w:r>
            <w:r>
              <w:rPr>
                <w:rFonts w:hint="eastAsia" w:cs="宋体"/>
                <w:color w:val="auto"/>
                <w:sz w:val="24"/>
                <w:szCs w:val="24"/>
                <w:highlight w:val="none"/>
                <w:lang w:val="en-US" w:eastAsia="zh-CN"/>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和（5） 条款执行</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p>
          <w:p w14:paraId="0245ACE4">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（1）双方约定，试剂及耗材产品合同签订后，乙方向甲方交纳10%履约金</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 w:val="24"/>
                <w:szCs w:val="24"/>
                <w:highlight w:val="none"/>
              </w:rPr>
              <w:t xml:space="preserve"> 元</w:t>
            </w:r>
            <w:r>
              <w:rPr>
                <w:rFonts w:hint="eastAsia" w:ascii="宋体" w:hAnsi="宋体" w:eastAsia="宋体" w:cs="宋体"/>
                <w:color w:val="auto"/>
                <w:sz w:val="24"/>
                <w:szCs w:val="24"/>
                <w:highlight w:val="none"/>
                <w:lang w:val="en-US" w:eastAsia="zh-CN"/>
              </w:rPr>
              <w:t>或向甲方提供合同总额10%</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 w:val="24"/>
                <w:szCs w:val="24"/>
                <w:highlight w:val="none"/>
                <w:lang w:val="en-US" w:eastAsia="zh-CN"/>
              </w:rPr>
              <w:t>元的银行保函（若保函预到期时本合同还未履行完毕，乙方须在保函到期前一个月内向甲方提供新的银行保函或对原保函进行延期，否则乙方须向甲方支付合同总额20%的违约金）</w:t>
            </w:r>
            <w:r>
              <w:rPr>
                <w:rFonts w:hint="eastAsia" w:ascii="宋体" w:hAnsi="宋体" w:eastAsia="宋体" w:cs="宋体"/>
                <w:color w:val="auto"/>
                <w:sz w:val="24"/>
                <w:szCs w:val="24"/>
                <w:highlight w:val="none"/>
              </w:rPr>
              <w:t>，并向甲方开具合同全额发票，甲方收到履约金和全额发票后向乙方支付全额货款。待所有货物验收合格后（无违约责任）后返还履约金（无息）。如乙方有违约行为，甲方可用该履约保证金冲抵甲方的损失及乙方的违约金。</w:t>
            </w:r>
          </w:p>
          <w:p w14:paraId="4B025962">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（2）乙方按照甲方需求供货，按合同约定支付比例开具发票。甲方收到合同约定的分批支付的货款后，甲方先向乙方预付合同总额的 </w:t>
            </w:r>
            <w:r>
              <w:rPr>
                <w:rFonts w:hint="eastAsia" w:ascii="宋体" w:hAnsi="宋体"/>
                <w:color w:val="auto"/>
                <w:szCs w:val="21"/>
                <w:highlight w:val="none"/>
                <w:u w:val="single"/>
                <w:lang w:val="en-US" w:eastAsia="zh-CN"/>
              </w:rPr>
              <w:t xml:space="preserve">  </w:t>
            </w:r>
            <w:r>
              <w:rPr>
                <w:rFonts w:hint="eastAsia"/>
                <w:color w:val="auto"/>
                <w:szCs w:val="21"/>
                <w:highlight w:val="none"/>
                <w:u w:val="single"/>
                <w:lang w:val="en-US" w:eastAsia="zh-CN"/>
              </w:rPr>
              <w:t>50</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 w:val="24"/>
                <w:szCs w:val="24"/>
                <w:highlight w:val="none"/>
              </w:rPr>
              <w:t xml:space="preserve"> %，即 </w:t>
            </w:r>
            <w:r>
              <w:rPr>
                <w:rFonts w:hint="eastAsia" w:ascii="宋体" w:hAnsi="宋体"/>
                <w:color w:val="auto"/>
                <w:szCs w:val="21"/>
                <w:highlight w:val="none"/>
                <w:u w:val="single"/>
                <w:lang w:val="en-US" w:eastAsia="zh-CN"/>
              </w:rPr>
              <w:t xml:space="preserve"> </w:t>
            </w:r>
            <w:r>
              <w:rPr>
                <w:rFonts w:hint="eastAsia"/>
                <w:color w:val="auto"/>
                <w:szCs w:val="21"/>
                <w:highlight w:val="none"/>
                <w:u w:val="single"/>
                <w:lang w:val="en-US" w:eastAsia="zh-CN"/>
              </w:rPr>
              <w:t>112400</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 w:val="24"/>
                <w:szCs w:val="24"/>
                <w:highlight w:val="none"/>
              </w:rPr>
              <w:t xml:space="preserve">元（大写：拾壹万贰仟肆佰元）；待甲方收到货物总额的50%，经乙方书面通知甲方后，甲方向乙方支付合同总额的 </w:t>
            </w:r>
            <w:r>
              <w:rPr>
                <w:rFonts w:hint="eastAsia" w:ascii="宋体" w:hAnsi="宋体"/>
                <w:color w:val="auto"/>
                <w:szCs w:val="21"/>
                <w:highlight w:val="none"/>
                <w:u w:val="single"/>
                <w:lang w:val="en-US" w:eastAsia="zh-CN"/>
              </w:rPr>
              <w:t xml:space="preserve">  </w:t>
            </w:r>
            <w:r>
              <w:rPr>
                <w:rFonts w:hint="eastAsia"/>
                <w:color w:val="auto"/>
                <w:szCs w:val="21"/>
                <w:highlight w:val="none"/>
                <w:u w:val="single"/>
                <w:lang w:val="en-US" w:eastAsia="zh-CN"/>
              </w:rPr>
              <w:t>30</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 w:val="24"/>
                <w:szCs w:val="24"/>
                <w:highlight w:val="none"/>
              </w:rPr>
              <w:t xml:space="preserve">%，即 </w:t>
            </w:r>
            <w:r>
              <w:rPr>
                <w:rFonts w:hint="eastAsia" w:ascii="宋体" w:hAnsi="宋体"/>
                <w:color w:val="auto"/>
                <w:szCs w:val="21"/>
                <w:highlight w:val="none"/>
                <w:u w:val="single"/>
                <w:lang w:val="en-US" w:eastAsia="zh-CN"/>
              </w:rPr>
              <w:t xml:space="preserve">  </w:t>
            </w:r>
            <w:r>
              <w:rPr>
                <w:rFonts w:hint="eastAsia"/>
                <w:color w:val="auto"/>
                <w:szCs w:val="21"/>
                <w:highlight w:val="none"/>
                <w:u w:val="single"/>
                <w:lang w:val="en-US" w:eastAsia="zh-CN"/>
              </w:rPr>
              <w:t>67440</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 w:val="24"/>
                <w:szCs w:val="24"/>
                <w:highlight w:val="none"/>
              </w:rPr>
              <w:t xml:space="preserve">元（大写：陆万柒仟肆佰肆拾元）；待全部货物验收合格后（无违约责任），甲方支付剩余 </w:t>
            </w:r>
            <w:r>
              <w:rPr>
                <w:rFonts w:hint="eastAsia" w:ascii="宋体" w:hAnsi="宋体"/>
                <w:color w:val="auto"/>
                <w:szCs w:val="21"/>
                <w:highlight w:val="none"/>
                <w:u w:val="single"/>
                <w:lang w:val="en-US" w:eastAsia="zh-CN"/>
              </w:rPr>
              <w:t xml:space="preserve">  </w:t>
            </w:r>
            <w:r>
              <w:rPr>
                <w:rFonts w:hint="eastAsia"/>
                <w:color w:val="auto"/>
                <w:szCs w:val="21"/>
                <w:highlight w:val="none"/>
                <w:u w:val="single"/>
                <w:lang w:val="en-US" w:eastAsia="zh-CN"/>
              </w:rPr>
              <w:t>20</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 w:val="24"/>
                <w:szCs w:val="24"/>
                <w:highlight w:val="none"/>
              </w:rPr>
              <w:t>%的货款。甲方需于</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工作日付清全款。   </w:t>
            </w:r>
          </w:p>
          <w:p w14:paraId="718EAECC">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（3）双方约定，合同签订后，乙方按照甲方需求一次性供货，所有货物验收合格后，乙方向甲方开具合同全额发票，甲方收到发票后向乙方支付100%货款</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 w:val="24"/>
                <w:szCs w:val="24"/>
                <w:highlight w:val="none"/>
              </w:rPr>
              <w:t>元。</w:t>
            </w:r>
          </w:p>
          <w:p w14:paraId="2EB9A541">
            <w:pPr>
              <w:overflowPunct w:val="0"/>
              <w:spacing w:line="440" w:lineRule="exact"/>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4）双方约定,设备产品合同签订后，乙方向甲方交纳10%履约金</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 w:val="24"/>
                <w:szCs w:val="24"/>
                <w:highlight w:val="none"/>
              </w:rPr>
              <w:t>元，并向甲方开具合同全额发票，甲方收到履约金和全额发票后向乙方支付全额货款。如乙方有违约行为，甲方可用该履约保证金冲抵甲方的损失及乙方的违约金。乙方按照甲方需求完成设备类供货， 所有设备经甲方验收合格后无异议，退10%履约保证金</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无息</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元 ，于</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工作日返回。</w:t>
            </w:r>
          </w:p>
          <w:p w14:paraId="454671B7">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（5）付款要求：甲方财务凭下列单据支付货款（按甲乙各方的义务提交）：</w:t>
            </w:r>
          </w:p>
          <w:p w14:paraId="06F28DC1">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全额发票（原件及复印件各1份）；（b）中标通知书复印件（1份）（c）自治区疾控中心采购验收单；（d）乙方供货清单（盖章）；（e）自治区疾控中心采购合同（包括附件1和附件2）；（f）自治区疾控中心使用科室付款说明 ；（g）供应商评价表（见附件3需由使用科室签字确认）；（h）自治区疾控中心物资配发通知单（附件4）。以上资料因乙方提交单据不全导致甲方财务未能付款的，甲方不承担逾期付款责任。</w:t>
            </w:r>
          </w:p>
          <w:p w14:paraId="39E041FD">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付款信息:</w:t>
            </w:r>
          </w:p>
          <w:p w14:paraId="0B8E40AF">
            <w:pPr>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 xml:space="preserve">税号：1265000074224934XX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乙方：税号：           </w:t>
            </w:r>
          </w:p>
          <w:p w14:paraId="7870F5A3">
            <w:pPr>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 户 行：招商银行乌鲁木齐新华北路支行    开 户 行：</w:t>
            </w:r>
          </w:p>
          <w:p w14:paraId="42A38747">
            <w:pPr>
              <w:adjustRightInd w:val="0"/>
              <w:snapToGrid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开户行号：308881029026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开户行号：</w:t>
            </w:r>
          </w:p>
          <w:p w14:paraId="4C096D8C">
            <w:pPr>
              <w:overflowPunct w:val="0"/>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帐   号: 991902334910906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帐   号：  </w:t>
            </w:r>
          </w:p>
          <w:p w14:paraId="5D09BCFD">
            <w:pPr>
              <w:pStyle w:val="2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备注：最终付款方式以和甲方单位签订合同为准。</w:t>
            </w:r>
          </w:p>
        </w:tc>
      </w:tr>
      <w:tr w14:paraId="2B4988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42" w:hRule="atLeast"/>
        </w:trPr>
        <w:tc>
          <w:tcPr>
            <w:tcW w:w="970" w:type="dxa"/>
            <w:vAlign w:val="center"/>
          </w:tcPr>
          <w:p w14:paraId="271F8EA8">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12</w:t>
            </w:r>
          </w:p>
        </w:tc>
        <w:tc>
          <w:tcPr>
            <w:tcW w:w="1738" w:type="dxa"/>
            <w:vAlign w:val="center"/>
          </w:tcPr>
          <w:p w14:paraId="5E6DCBE1">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中标后分包</w:t>
            </w:r>
          </w:p>
        </w:tc>
        <w:tc>
          <w:tcPr>
            <w:tcW w:w="6700" w:type="dxa"/>
            <w:vAlign w:val="center"/>
          </w:tcPr>
          <w:p w14:paraId="52E3D363">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本项目的非主体、非关键性工作是否允许分包： </w:t>
            </w:r>
          </w:p>
          <w:p w14:paraId="0FB1B89D">
            <w:pPr>
              <w:pStyle w:val="2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☑不允许 </w:t>
            </w:r>
          </w:p>
          <w:p w14:paraId="0FFFB957">
            <w:pPr>
              <w:pStyle w:val="21"/>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□允许，具体要求： </w:t>
            </w:r>
          </w:p>
          <w:p w14:paraId="3CCCF920">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1.可以分包履行的具体内容：</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3950D925">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2.允许分包的金额或者比例：</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p w14:paraId="47D97D5D">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3.其他要求：</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p>
        </w:tc>
      </w:tr>
      <w:tr w14:paraId="3D733B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3E617113">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13</w:t>
            </w:r>
          </w:p>
        </w:tc>
        <w:tc>
          <w:tcPr>
            <w:tcW w:w="1738" w:type="dxa"/>
            <w:vAlign w:val="center"/>
          </w:tcPr>
          <w:p w14:paraId="2DAC05F9">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w:t>
            </w:r>
          </w:p>
        </w:tc>
        <w:tc>
          <w:tcPr>
            <w:tcW w:w="6700" w:type="dxa"/>
            <w:vAlign w:val="center"/>
          </w:tcPr>
          <w:p w14:paraId="79FE098B">
            <w:pPr>
              <w:pStyle w:val="23"/>
              <w:autoSpaceDE w:val="0"/>
              <w:autoSpaceDN w:val="0"/>
              <w:adjustRightInd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递交方式：</w:t>
            </w:r>
            <w:r>
              <w:rPr>
                <w:rFonts w:hint="eastAsia" w:ascii="宋体" w:hAnsi="宋体" w:eastAsia="宋体" w:cs="宋体"/>
                <w:color w:val="auto"/>
                <w:sz w:val="24"/>
                <w:szCs w:val="24"/>
                <w:highlight w:val="none"/>
                <w:u w:val="single"/>
              </w:rPr>
              <w:t xml:space="preserve"> 书面形式  </w:t>
            </w:r>
            <w:r>
              <w:rPr>
                <w:rFonts w:hint="eastAsia" w:ascii="宋体" w:hAnsi="宋体" w:eastAsia="宋体" w:cs="宋体"/>
                <w:color w:val="auto"/>
                <w:sz w:val="24"/>
                <w:szCs w:val="24"/>
                <w:highlight w:val="none"/>
                <w:lang w:val="zh-CN"/>
              </w:rPr>
              <w:t xml:space="preserve">              </w:t>
            </w:r>
          </w:p>
          <w:p w14:paraId="779E1DC6">
            <w:pPr>
              <w:pStyle w:val="23"/>
              <w:autoSpaceDE w:val="0"/>
              <w:autoSpaceDN w:val="0"/>
              <w:adjustRightInd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接收部门：</w:t>
            </w:r>
            <w:r>
              <w:rPr>
                <w:rFonts w:hint="eastAsia" w:ascii="宋体" w:hAnsi="宋体" w:eastAsia="宋体" w:cs="宋体"/>
                <w:color w:val="auto"/>
                <w:sz w:val="24"/>
                <w:szCs w:val="24"/>
                <w:highlight w:val="none"/>
                <w:u w:val="single"/>
              </w:rPr>
              <w:t xml:space="preserve"> 新疆星圣源工程项目管理有限公司 </w:t>
            </w:r>
            <w:r>
              <w:rPr>
                <w:rFonts w:hint="eastAsia" w:ascii="宋体" w:hAnsi="宋体" w:eastAsia="宋体" w:cs="宋体"/>
                <w:color w:val="auto"/>
                <w:sz w:val="24"/>
                <w:szCs w:val="24"/>
                <w:highlight w:val="none"/>
                <w:lang w:val="zh-CN"/>
              </w:rPr>
              <w:t xml:space="preserve">              </w:t>
            </w:r>
          </w:p>
          <w:p w14:paraId="6FEB9E31">
            <w:pPr>
              <w:pStyle w:val="23"/>
              <w:autoSpaceDE w:val="0"/>
              <w:autoSpaceDN w:val="0"/>
              <w:adjustRightInd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联系电话：</w:t>
            </w:r>
            <w:r>
              <w:rPr>
                <w:rFonts w:hint="eastAsia" w:ascii="宋体" w:hAnsi="宋体" w:eastAsia="宋体" w:cs="宋体"/>
                <w:color w:val="auto"/>
                <w:sz w:val="24"/>
                <w:szCs w:val="24"/>
                <w:highlight w:val="none"/>
                <w:u w:val="single"/>
              </w:rPr>
              <w:t xml:space="preserve"> 0991-5803779 </w:t>
            </w:r>
            <w:r>
              <w:rPr>
                <w:rFonts w:hint="eastAsia" w:ascii="宋体" w:hAnsi="宋体" w:eastAsia="宋体" w:cs="宋体"/>
                <w:color w:val="auto"/>
                <w:sz w:val="24"/>
                <w:szCs w:val="24"/>
                <w:highlight w:val="none"/>
                <w:lang w:val="zh-CN"/>
              </w:rPr>
              <w:t xml:space="preserve">              </w:t>
            </w:r>
          </w:p>
          <w:p w14:paraId="7C4B7CED">
            <w:pPr>
              <w:pStyle w:val="23"/>
              <w:autoSpaceDE w:val="0"/>
              <w:autoSpaceDN w:val="0"/>
              <w:adjustRightInd w:val="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通讯地址：</w:t>
            </w:r>
            <w:r>
              <w:rPr>
                <w:rFonts w:hint="eastAsia" w:ascii="宋体" w:hAnsi="宋体" w:eastAsia="宋体" w:cs="宋体"/>
                <w:color w:val="auto"/>
                <w:sz w:val="24"/>
                <w:szCs w:val="24"/>
                <w:highlight w:val="none"/>
                <w:u w:val="single"/>
              </w:rPr>
              <w:t xml:space="preserve"> 新疆乌鲁木齐市沙依巴克区奇台路658号德汇万达E2写字楼1703-02室 </w:t>
            </w:r>
            <w:r>
              <w:rPr>
                <w:rFonts w:hint="eastAsia" w:ascii="宋体" w:hAnsi="宋体" w:eastAsia="宋体" w:cs="宋体"/>
                <w:color w:val="auto"/>
                <w:sz w:val="24"/>
                <w:szCs w:val="24"/>
                <w:highlight w:val="none"/>
                <w:lang w:val="zh-CN"/>
              </w:rPr>
              <w:t xml:space="preserve">            </w:t>
            </w:r>
          </w:p>
        </w:tc>
      </w:tr>
      <w:tr w14:paraId="281E8B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B21A6C5">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14</w:t>
            </w:r>
          </w:p>
        </w:tc>
        <w:tc>
          <w:tcPr>
            <w:tcW w:w="1738" w:type="dxa"/>
            <w:vAlign w:val="center"/>
          </w:tcPr>
          <w:p w14:paraId="5149AF84">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027D9DF2">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1.收费对象：</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采购人支付 </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中标人支付 </w:t>
            </w:r>
          </w:p>
          <w:p w14:paraId="09D6FD23">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2.收费标准：</w:t>
            </w:r>
            <w:r>
              <w:rPr>
                <w:rFonts w:hint="eastAsia" w:ascii="宋体" w:hAnsi="宋体" w:eastAsia="宋体" w:cs="宋体"/>
                <w:color w:val="auto"/>
                <w:sz w:val="24"/>
                <w:szCs w:val="24"/>
                <w:highlight w:val="none"/>
                <w:u w:val="single"/>
              </w:rPr>
              <w:t xml:space="preserve"> 参照原国家发展计划委员会文件（计价格[2002]1980号文）和（发改办价格[2003]857号文件），所规定标准计算由中标人向招标代理机构支付。 </w:t>
            </w:r>
          </w:p>
          <w:p w14:paraId="54B650DC">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3.收取时间：</w:t>
            </w:r>
            <w:r>
              <w:rPr>
                <w:rFonts w:hint="eastAsia" w:ascii="宋体" w:hAnsi="宋体" w:eastAsia="宋体" w:cs="宋体"/>
                <w:color w:val="auto"/>
                <w:sz w:val="24"/>
                <w:szCs w:val="24"/>
                <w:highlight w:val="none"/>
                <w:u w:val="single"/>
              </w:rPr>
              <w:t xml:space="preserve"> 在领取中标通知书前由中标供应商向采购代理机构一次性付清。 </w:t>
            </w:r>
          </w:p>
          <w:p w14:paraId="24F89630">
            <w:pPr>
              <w:pStyle w:val="21"/>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4.收取方式：</w:t>
            </w:r>
            <w:r>
              <w:rPr>
                <w:rFonts w:hint="eastAsia" w:ascii="宋体" w:hAnsi="宋体" w:eastAsia="宋体" w:cs="宋体"/>
                <w:color w:val="auto"/>
                <w:sz w:val="24"/>
                <w:szCs w:val="24"/>
                <w:highlight w:val="none"/>
                <w:u w:val="single"/>
              </w:rPr>
              <w:t xml:space="preserve"> 公对公打款 </w:t>
            </w:r>
          </w:p>
          <w:p w14:paraId="7BDD40E1">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5.代理服务费不予退还的情形：</w:t>
            </w:r>
          </w:p>
          <w:p w14:paraId="6B0F6B8C">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后无正当理由弃标：中标通知书发出后，中标人明确表示放弃中标项目，属于严重违约。此时招标代理机构已完成招标、评标、确定中标人等核心工作，依据合同约定和行业惯例，已收取的代理服务费不予退还。</w:t>
            </w:r>
          </w:p>
          <w:p w14:paraId="50839328">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违反中标相关合同义务：中标人未按招标文件要求按时与招标人签订合同，或签订合同时提出附加不合理条件，又或是不按规定提交履约保证金等，均属于违约行为。这种情况下，招标代理服务费会因中标人的违约行为不予退还，同时中标人还可能面临其他处罚。</w:t>
            </w:r>
          </w:p>
          <w:p w14:paraId="6E9805BE">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过程存在违法违规行为：若中标人通过弄虚作假、串通投标、借用资质等违法手段谋取中标，即便后续中标资格被取消，其已缴纳的代理服务费也不予退还。因为该违法违规行为是中标人自身过错导致，且代理机构已完成既定招标流程。</w:t>
            </w:r>
          </w:p>
        </w:tc>
      </w:tr>
      <w:tr w14:paraId="249E1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3D503046">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15</w:t>
            </w:r>
          </w:p>
        </w:tc>
        <w:tc>
          <w:tcPr>
            <w:tcW w:w="1738" w:type="dxa"/>
            <w:vAlign w:val="center"/>
          </w:tcPr>
          <w:p w14:paraId="346F9F4D">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76DBE84C">
            <w:pPr>
              <w:pStyle w:val="21"/>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不接受</w:t>
            </w:r>
          </w:p>
          <w:p w14:paraId="42BD162A">
            <w:pPr>
              <w:pStyle w:val="21"/>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接受</w:t>
            </w:r>
          </w:p>
        </w:tc>
      </w:tr>
      <w:tr w14:paraId="6FE53D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17DCD9AF">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16</w:t>
            </w:r>
          </w:p>
        </w:tc>
        <w:tc>
          <w:tcPr>
            <w:tcW w:w="1738" w:type="dxa"/>
            <w:vAlign w:val="center"/>
          </w:tcPr>
          <w:p w14:paraId="40DD61BA">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对本国产品的支持政策的相关要求</w:t>
            </w:r>
          </w:p>
        </w:tc>
        <w:tc>
          <w:tcPr>
            <w:tcW w:w="6700" w:type="dxa"/>
            <w:vAlign w:val="center"/>
          </w:tcPr>
          <w:p w14:paraId="06806E75">
            <w:pPr>
              <w:pStyle w:val="24"/>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（1）政府采购活动中既有本国产品又有非本国产品参与竞争的，依法对本国产品给予价格评审优惠，对本国产品的报价给予20%的价格扣除，用扣除后的价格参与评审。 </w:t>
            </w:r>
          </w:p>
          <w:p w14:paraId="528408C1">
            <w:pPr>
              <w:pStyle w:val="24"/>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4EFC493">
            <w:pPr>
              <w:pStyle w:val="24"/>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（3）供应商按照文件要求提供《关于符合本国产品标准的声明函》的享受上述价格扣除；未提供《关于符合本国产品标准的声明函》的，不享受本国产品价格优惠与政策支持。</w:t>
            </w:r>
          </w:p>
        </w:tc>
      </w:tr>
      <w:tr w14:paraId="23F875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4B07FA51">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17</w:t>
            </w:r>
          </w:p>
        </w:tc>
        <w:tc>
          <w:tcPr>
            <w:tcW w:w="1738" w:type="dxa"/>
            <w:vAlign w:val="center"/>
          </w:tcPr>
          <w:p w14:paraId="268FE5D9">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支持中小企业政策</w:t>
            </w:r>
            <w:r>
              <w:rPr>
                <w:rStyle w:val="18"/>
                <w:rFonts w:hint="eastAsia" w:ascii="宋体" w:hAnsi="宋体" w:eastAsia="宋体" w:cs="宋体"/>
                <w:b w:val="0"/>
                <w:color w:val="auto"/>
                <w:sz w:val="24"/>
                <w:szCs w:val="24"/>
                <w:highlight w:val="none"/>
              </w:rPr>
              <w:t>（非专门面向中小企业采购项目适用）</w:t>
            </w:r>
          </w:p>
        </w:tc>
        <w:tc>
          <w:tcPr>
            <w:tcW w:w="6700" w:type="dxa"/>
            <w:vAlign w:val="center"/>
          </w:tcPr>
          <w:p w14:paraId="5B7EC930">
            <w:pPr>
              <w:pStyle w:val="24"/>
              <w:widowControl w:val="0"/>
              <w:numPr>
                <w:ilvl w:val="-1"/>
                <w:numId w:val="0"/>
              </w:numPr>
              <w:spacing w:before="0" w:beforeAutospacing="0" w:after="0" w:afterAutospacing="0" w:line="240" w:lineRule="auto"/>
              <w:ind w:left="120" w:leftChars="0" w:firstLine="0" w:firstLineChars="0"/>
              <w:jc w:val="both"/>
              <w:rPr>
                <w:rFonts w:hint="eastAsia" w:cs="宋体"/>
                <w:b w:val="0"/>
                <w:color w:val="auto"/>
                <w:sz w:val="24"/>
                <w:szCs w:val="24"/>
                <w:highlight w:val="none"/>
                <w:u w:val="single"/>
                <w:lang w:val="en-US" w:eastAsia="zh-CN"/>
              </w:rPr>
            </w:pPr>
            <w:r>
              <w:rPr>
                <w:rFonts w:hint="eastAsia" w:cs="宋体"/>
                <w:b w:val="0"/>
                <w:color w:val="auto"/>
                <w:sz w:val="24"/>
                <w:szCs w:val="24"/>
                <w:highlight w:val="none"/>
                <w:lang w:val="en-US" w:eastAsia="zh-CN"/>
              </w:rPr>
              <w:t>1.</w:t>
            </w:r>
            <w:r>
              <w:rPr>
                <w:rFonts w:hint="eastAsia" w:ascii="宋体" w:hAnsi="宋体" w:eastAsia="宋体" w:cs="宋体"/>
                <w:b w:val="0"/>
                <w:color w:val="auto"/>
                <w:sz w:val="24"/>
                <w:szCs w:val="24"/>
                <w:highlight w:val="none"/>
              </w:rPr>
              <w:t>小型和微型企业价格扣除：</w:t>
            </w:r>
            <w:r>
              <w:rPr>
                <w:rFonts w:hint="eastAsia" w:ascii="宋体" w:hAnsi="宋体" w:eastAsia="宋体" w:cs="宋体"/>
                <w:b w:val="0"/>
                <w:color w:val="auto"/>
                <w:sz w:val="24"/>
                <w:szCs w:val="24"/>
                <w:highlight w:val="none"/>
                <w:u w:val="single"/>
              </w:rPr>
              <w:t xml:space="preserve"> 无</w:t>
            </w:r>
            <w:r>
              <w:rPr>
                <w:rFonts w:hint="eastAsia" w:cs="宋体"/>
                <w:b w:val="0"/>
                <w:color w:val="auto"/>
                <w:sz w:val="24"/>
                <w:szCs w:val="24"/>
                <w:highlight w:val="none"/>
                <w:u w:val="single"/>
                <w:lang w:val="en-US" w:eastAsia="zh-CN"/>
              </w:rPr>
              <w:t>。</w:t>
            </w:r>
          </w:p>
          <w:p w14:paraId="22247191">
            <w:pPr>
              <w:pStyle w:val="24"/>
              <w:widowControl w:val="0"/>
              <w:numPr>
                <w:ilvl w:val="0"/>
                <w:numId w:val="0"/>
              </w:numPr>
              <w:spacing w:before="0" w:beforeAutospacing="0" w:after="0" w:afterAutospacing="0" w:line="240" w:lineRule="auto"/>
              <w:ind w:left="120" w:leftChars="0"/>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2.监狱企业价格扣除：同小型和微型企业。</w:t>
            </w:r>
          </w:p>
          <w:p w14:paraId="50EA774C">
            <w:pPr>
              <w:pStyle w:val="24"/>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3.残疾人福利性单位价格扣除：同小型和微型企业。</w:t>
            </w:r>
          </w:p>
          <w:p w14:paraId="313C1109">
            <w:pPr>
              <w:pStyle w:val="24"/>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4.符合条件的联合体价格扣除：</w:t>
            </w:r>
            <w:r>
              <w:rPr>
                <w:rFonts w:hint="eastAsia" w:ascii="宋体" w:hAnsi="宋体" w:eastAsia="宋体" w:cs="宋体"/>
                <w:b w:val="0"/>
                <w:color w:val="auto"/>
                <w:sz w:val="24"/>
                <w:szCs w:val="24"/>
                <w:highlight w:val="none"/>
                <w:u w:val="single"/>
              </w:rPr>
              <w:t xml:space="preserve"> 无 </w:t>
            </w:r>
            <w:r>
              <w:rPr>
                <w:rFonts w:hint="eastAsia" w:ascii="宋体" w:hAnsi="宋体" w:eastAsia="宋体" w:cs="宋体"/>
                <w:b w:val="0"/>
                <w:color w:val="auto"/>
                <w:sz w:val="24"/>
                <w:szCs w:val="24"/>
                <w:highlight w:val="none"/>
              </w:rPr>
              <w:t>。</w:t>
            </w:r>
          </w:p>
          <w:p w14:paraId="5ABE17ED">
            <w:pPr>
              <w:pStyle w:val="24"/>
              <w:widowControl w:val="0"/>
              <w:spacing w:before="0" w:beforeAutospacing="0" w:after="0" w:afterAutospacing="0" w:line="240" w:lineRule="auto"/>
              <w:jc w:val="both"/>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5.符合条件的向小微企业分包的大中型企业价格扣除：</w:t>
            </w:r>
            <w:r>
              <w:rPr>
                <w:rFonts w:hint="eastAsia" w:ascii="宋体" w:hAnsi="宋体" w:eastAsia="宋体" w:cs="宋体"/>
                <w:b w:val="0"/>
                <w:color w:val="auto"/>
                <w:sz w:val="24"/>
                <w:szCs w:val="24"/>
                <w:highlight w:val="none"/>
                <w:u w:val="single"/>
              </w:rPr>
              <w:t xml:space="preserve"> 无 </w:t>
            </w:r>
            <w:r>
              <w:rPr>
                <w:rFonts w:hint="eastAsia" w:ascii="宋体" w:hAnsi="宋体" w:eastAsia="宋体" w:cs="宋体"/>
                <w:b w:val="0"/>
                <w:color w:val="auto"/>
                <w:sz w:val="24"/>
                <w:szCs w:val="24"/>
                <w:highlight w:val="none"/>
              </w:rPr>
              <w:t>。</w:t>
            </w:r>
          </w:p>
        </w:tc>
      </w:tr>
      <w:tr w14:paraId="00664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757CDDB0">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18</w:t>
            </w:r>
          </w:p>
        </w:tc>
        <w:tc>
          <w:tcPr>
            <w:tcW w:w="1738" w:type="dxa"/>
            <w:vAlign w:val="center"/>
          </w:tcPr>
          <w:p w14:paraId="74D3983B">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标的所属行业</w:t>
            </w:r>
          </w:p>
          <w:p w14:paraId="0051B5BD">
            <w:pPr>
              <w:pStyle w:val="21"/>
              <w:rPr>
                <w:rFonts w:hint="eastAsia" w:ascii="宋体" w:hAnsi="宋体" w:eastAsia="宋体" w:cs="宋体"/>
                <w:color w:val="auto"/>
                <w:sz w:val="24"/>
                <w:szCs w:val="24"/>
                <w:highlight w:val="none"/>
              </w:rPr>
            </w:pPr>
            <w:r>
              <w:rPr>
                <w:rStyle w:val="18"/>
                <w:rFonts w:hint="eastAsia" w:ascii="宋体" w:hAnsi="宋体" w:eastAsia="宋体" w:cs="宋体"/>
                <w:b w:val="0"/>
                <w:color w:val="auto"/>
                <w:sz w:val="24"/>
                <w:szCs w:val="24"/>
                <w:highlight w:val="none"/>
              </w:rPr>
              <w:t>参照后附《工信部联企业〔2011〕300号》</w:t>
            </w:r>
          </w:p>
        </w:tc>
        <w:tc>
          <w:tcPr>
            <w:tcW w:w="6700" w:type="dxa"/>
            <w:vAlign w:val="center"/>
          </w:tcPr>
          <w:p w14:paraId="37D6E424">
            <w:pPr>
              <w:widowControl/>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本项目采购标的对应的中小企业划分标准所属行业：工业</w:t>
            </w:r>
          </w:p>
        </w:tc>
      </w:tr>
      <w:tr w14:paraId="7BFF47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187" w:hRule="atLeast"/>
        </w:trPr>
        <w:tc>
          <w:tcPr>
            <w:tcW w:w="970" w:type="dxa"/>
            <w:vAlign w:val="center"/>
          </w:tcPr>
          <w:p w14:paraId="05B6EDA2">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19</w:t>
            </w:r>
          </w:p>
        </w:tc>
        <w:tc>
          <w:tcPr>
            <w:tcW w:w="1738" w:type="dxa"/>
            <w:vAlign w:val="center"/>
          </w:tcPr>
          <w:p w14:paraId="4A2D1FCB">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vAlign w:val="center"/>
          </w:tcPr>
          <w:p w14:paraId="209AABF1">
            <w:pPr>
              <w:pStyle w:val="26"/>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退还保证金说明</w:t>
            </w:r>
          </w:p>
          <w:p w14:paraId="53D2C263">
            <w:pPr>
              <w:pStyle w:val="26"/>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（1）未中标单位：自中标（成交）通知书发出之日起5个工作日内退还；</w:t>
            </w:r>
          </w:p>
          <w:p w14:paraId="4A871C85">
            <w:pPr>
              <w:pStyle w:val="26"/>
              <w:autoSpaceDE w:val="0"/>
              <w:autoSpaceDN w:val="0"/>
              <w:adjustRightInd w:val="0"/>
              <w:spacing w:line="360" w:lineRule="auto"/>
              <w:rPr>
                <w:rFonts w:hint="default" w:ascii="宋体" w:hAnsi="宋体" w:cs="宋体"/>
                <w:snapToGrid/>
                <w:color w:val="auto"/>
                <w:kern w:val="2"/>
                <w:sz w:val="24"/>
                <w:szCs w:val="24"/>
                <w:highlight w:val="none"/>
                <w:lang w:val="en-US" w:eastAsia="zh-CN"/>
              </w:rPr>
            </w:pPr>
            <w:r>
              <w:rPr>
                <w:rFonts w:hint="eastAsia" w:ascii="宋体" w:hAnsi="宋体" w:eastAsia="宋体" w:cs="宋体"/>
                <w:color w:val="auto"/>
                <w:sz w:val="24"/>
                <w:szCs w:val="24"/>
                <w:highlight w:val="none"/>
              </w:rPr>
              <w:t>（2）中标单位：中标（成交）单位需在中标通知书发出之日起30日内与采购单位签订采购合同（除不可抗力因素外），并将签订的完整版合同交由招标代理公司1份后退还（原件或电子清晰扫描件均可发至负责人邮箱。</w:t>
            </w:r>
          </w:p>
        </w:tc>
      </w:tr>
      <w:tr w14:paraId="3D7768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2B60E296">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8E68C2F">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7DAB04F7">
            <w:pPr>
              <w:pStyle w:val="2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2D48C4CD">
      <w:pPr>
        <w:rPr>
          <w:rFonts w:hint="eastAsia"/>
          <w:color w:val="auto"/>
          <w:highlight w:val="none"/>
        </w:rPr>
      </w:pPr>
      <w:r>
        <w:rPr>
          <w:color w:val="auto"/>
          <w:highlight w:val="none"/>
        </w:rPr>
        <w:br w:type="page"/>
      </w:r>
    </w:p>
    <w:p w14:paraId="2ECD3365">
      <w:pPr>
        <w:pStyle w:val="5"/>
        <w:spacing w:before="80" w:after="80" w:line="360" w:lineRule="auto"/>
        <w:ind w:left="420" w:hanging="420"/>
        <w:rPr>
          <w:color w:val="auto"/>
          <w:sz w:val="28"/>
          <w:szCs w:val="28"/>
          <w:highlight w:val="none"/>
        </w:rPr>
      </w:pPr>
      <w:bookmarkStart w:id="113" w:name="_Toc5698"/>
      <w:bookmarkStart w:id="114" w:name="_Toc155185869"/>
      <w:bookmarkStart w:id="115" w:name="_Toc163492821"/>
      <w:r>
        <w:rPr>
          <w:rFonts w:hint="eastAsia"/>
          <w:color w:val="auto"/>
          <w:sz w:val="28"/>
          <w:szCs w:val="28"/>
          <w:highlight w:val="none"/>
        </w:rPr>
        <w:t>二、投标人须知</w:t>
      </w:r>
      <w:bookmarkEnd w:id="113"/>
      <w:bookmarkEnd w:id="114"/>
      <w:bookmarkEnd w:id="115"/>
    </w:p>
    <w:p w14:paraId="5BB0E1E2">
      <w:pPr>
        <w:pStyle w:val="6"/>
        <w:keepNext w:val="0"/>
        <w:keepLines w:val="0"/>
        <w:spacing w:before="180" w:after="180" w:line="240" w:lineRule="auto"/>
        <w:ind w:left="420" w:hanging="420"/>
        <w:rPr>
          <w:rFonts w:hint="eastAsia" w:cs="宋体"/>
          <w:color w:val="auto"/>
          <w:sz w:val="24"/>
          <w:highlight w:val="none"/>
        </w:rPr>
      </w:pPr>
      <w:bookmarkStart w:id="116" w:name="_Toc155185870"/>
      <w:bookmarkStart w:id="117" w:name="_Toc163492822"/>
      <w:r>
        <w:rPr>
          <w:rFonts w:hint="eastAsia" w:cs="宋体"/>
          <w:color w:val="auto"/>
          <w:sz w:val="24"/>
          <w:highlight w:val="none"/>
        </w:rPr>
        <w:t>（一）总则</w:t>
      </w:r>
      <w:bookmarkEnd w:id="116"/>
      <w:bookmarkEnd w:id="117"/>
    </w:p>
    <w:p w14:paraId="6ED77D1F">
      <w:pPr>
        <w:pStyle w:val="7"/>
        <w:keepNext w:val="0"/>
        <w:keepLines w:val="0"/>
        <w:spacing w:before="80" w:after="60" w:line="240" w:lineRule="auto"/>
        <w:ind w:left="420" w:hanging="420"/>
        <w:rPr>
          <w:rFonts w:hint="eastAsia" w:ascii="宋体" w:hAnsi="宋体" w:cs="宋体"/>
          <w:color w:val="auto"/>
          <w:sz w:val="24"/>
          <w:highlight w:val="none"/>
        </w:rPr>
      </w:pPr>
      <w:bookmarkStart w:id="118" w:name="_Toc109900050"/>
      <w:bookmarkStart w:id="119" w:name="_Toc109899631"/>
      <w:bookmarkStart w:id="120" w:name="_Toc155095689"/>
      <w:bookmarkStart w:id="121" w:name="_Toc109900469"/>
      <w:bookmarkStart w:id="122" w:name="_Toc31233"/>
      <w:bookmarkStart w:id="123" w:name="_Toc163492823"/>
      <w:bookmarkStart w:id="124" w:name="_Toc109897532"/>
      <w:r>
        <w:rPr>
          <w:rFonts w:hint="eastAsia" w:ascii="宋体" w:hAnsi="宋体" w:cs="宋体"/>
          <w:color w:val="auto"/>
          <w:sz w:val="24"/>
          <w:highlight w:val="none"/>
        </w:rPr>
        <w:t>1.适用范围</w:t>
      </w:r>
      <w:bookmarkEnd w:id="118"/>
      <w:bookmarkEnd w:id="119"/>
      <w:bookmarkEnd w:id="120"/>
      <w:bookmarkEnd w:id="121"/>
      <w:bookmarkEnd w:id="122"/>
      <w:bookmarkEnd w:id="123"/>
      <w:bookmarkEnd w:id="124"/>
    </w:p>
    <w:p w14:paraId="2282CF03">
      <w:pPr>
        <w:pStyle w:val="20"/>
        <w:rPr>
          <w:rFonts w:hint="eastAsia" w:cs="宋体"/>
          <w:snapToGrid w:val="0"/>
          <w:color w:val="auto"/>
          <w:highlight w:val="none"/>
        </w:rPr>
      </w:pPr>
      <w:r>
        <w:rPr>
          <w:rFonts w:hint="eastAsia" w:cs="宋体"/>
          <w:snapToGrid w:val="0"/>
          <w:color w:val="auto"/>
          <w:highlight w:val="none"/>
        </w:rPr>
        <w:t>1.1本招标文件仅适用于本项目的采购活动。</w:t>
      </w:r>
    </w:p>
    <w:p w14:paraId="271C1BFF">
      <w:pPr>
        <w:pStyle w:val="7"/>
        <w:keepNext w:val="0"/>
        <w:keepLines w:val="0"/>
        <w:spacing w:before="80" w:after="60" w:line="240" w:lineRule="auto"/>
        <w:ind w:left="420" w:hanging="420"/>
        <w:rPr>
          <w:rFonts w:hint="eastAsia" w:ascii="宋体" w:hAnsi="宋体" w:cs="宋体"/>
          <w:color w:val="auto"/>
          <w:sz w:val="24"/>
          <w:highlight w:val="none"/>
        </w:rPr>
      </w:pPr>
      <w:bookmarkStart w:id="125" w:name="_Toc163492824"/>
      <w:r>
        <w:rPr>
          <w:rFonts w:hint="eastAsia" w:ascii="宋体" w:hAnsi="宋体" w:cs="宋体"/>
          <w:color w:val="auto"/>
          <w:sz w:val="24"/>
          <w:highlight w:val="none"/>
        </w:rPr>
        <w:t>2.基本定义</w:t>
      </w:r>
      <w:bookmarkEnd w:id="125"/>
    </w:p>
    <w:p w14:paraId="2BA4B2F3">
      <w:pPr>
        <w:pStyle w:val="20"/>
        <w:rPr>
          <w:rFonts w:hint="eastAsia" w:cs="宋体"/>
          <w:color w:val="auto"/>
          <w:highlight w:val="none"/>
        </w:rPr>
      </w:pPr>
      <w:r>
        <w:rPr>
          <w:rFonts w:hint="eastAsia" w:cs="宋体"/>
          <w:color w:val="auto"/>
          <w:highlight w:val="none"/>
        </w:rPr>
        <w:t>2.1根据《中华人民共和国政府采购法》及其实施条例等有关法律、法规和规章的规定，制定本招标文件。</w:t>
      </w:r>
    </w:p>
    <w:p w14:paraId="141A02FC">
      <w:pPr>
        <w:ind w:firstLine="480" w:firstLineChars="200"/>
        <w:rPr>
          <w:rFonts w:hint="eastAsia"/>
          <w:color w:val="auto"/>
          <w:highlight w:val="none"/>
        </w:rPr>
      </w:pPr>
      <w:r>
        <w:rPr>
          <w:rFonts w:hint="eastAsia"/>
          <w:color w:val="auto"/>
          <w:highlight w:val="none"/>
        </w:rPr>
        <w:t>2.2采购人：</w:t>
      </w:r>
      <w:r>
        <w:rPr>
          <w:rFonts w:hint="eastAsia" w:cs="宋体"/>
          <w:color w:val="auto"/>
          <w:kern w:val="0"/>
          <w:szCs w:val="24"/>
          <w:highlight w:val="none"/>
          <w:lang w:bidi="ar"/>
        </w:rPr>
        <w:t>指依法进行政府采购的国家机关、事业单位、团体组织</w:t>
      </w:r>
      <w:r>
        <w:rPr>
          <w:rFonts w:hint="eastAsia"/>
          <w:color w:val="auto"/>
          <w:highlight w:val="none"/>
        </w:rPr>
        <w:t>。</w:t>
      </w:r>
    </w:p>
    <w:p w14:paraId="77FC2050">
      <w:pPr>
        <w:ind w:firstLine="480" w:firstLineChars="200"/>
        <w:rPr>
          <w:rFonts w:hint="eastAsia"/>
          <w:color w:val="auto"/>
          <w:highlight w:val="none"/>
        </w:rPr>
      </w:pPr>
      <w:r>
        <w:rPr>
          <w:rFonts w:hint="eastAsia"/>
          <w:color w:val="auto"/>
          <w:highlight w:val="none"/>
        </w:rPr>
        <w:t>2.3采购代理机构：</w:t>
      </w:r>
      <w:r>
        <w:rPr>
          <w:rFonts w:hint="eastAsia" w:cs="宋体"/>
          <w:color w:val="auto"/>
          <w:kern w:val="0"/>
          <w:szCs w:val="24"/>
          <w:highlight w:val="none"/>
          <w:lang w:bidi="ar"/>
        </w:rPr>
        <w:t>指依法进行政府采购的国家机关、事业单位、团体组织</w:t>
      </w:r>
      <w:r>
        <w:rPr>
          <w:rFonts w:hint="eastAsia"/>
          <w:color w:val="auto"/>
          <w:highlight w:val="none"/>
        </w:rPr>
        <w:t>委托的采购代理机构。</w:t>
      </w:r>
    </w:p>
    <w:p w14:paraId="50038270">
      <w:pPr>
        <w:pStyle w:val="20"/>
        <w:rPr>
          <w:rFonts w:hint="eastAsia"/>
          <w:color w:val="auto"/>
          <w:highlight w:val="none"/>
        </w:rPr>
      </w:pPr>
      <w:r>
        <w:rPr>
          <w:rFonts w:hint="eastAsia"/>
          <w:color w:val="auto"/>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520EC872">
      <w:pPr>
        <w:pStyle w:val="20"/>
        <w:rPr>
          <w:rFonts w:hint="eastAsia"/>
          <w:color w:val="auto"/>
          <w:highlight w:val="none"/>
          <w:lang w:val="en-US"/>
        </w:rPr>
      </w:pPr>
      <w:r>
        <w:rPr>
          <w:rFonts w:hint="eastAsia"/>
          <w:color w:val="auto"/>
          <w:highlight w:val="none"/>
          <w:lang w:val="en-US"/>
        </w:rPr>
        <w:t>2.5 核心产品见</w:t>
      </w:r>
      <w:r>
        <w:rPr>
          <w:rFonts w:hint="eastAsia"/>
          <w:color w:val="auto"/>
          <w:highlight w:val="none"/>
        </w:rPr>
        <w:t>“投标人须知前附表”</w:t>
      </w:r>
      <w:r>
        <w:rPr>
          <w:rFonts w:hint="eastAsia"/>
          <w:color w:val="auto"/>
          <w:highlight w:val="none"/>
          <w:lang w:val="en-US"/>
        </w:rPr>
        <w:t>。</w:t>
      </w:r>
    </w:p>
    <w:p w14:paraId="5A0DD41F">
      <w:pPr>
        <w:pStyle w:val="20"/>
        <w:rPr>
          <w:rFonts w:hint="eastAsia"/>
          <w:color w:val="auto"/>
          <w:highlight w:val="none"/>
          <w:lang w:val="en-US"/>
        </w:rPr>
      </w:pPr>
      <w:r>
        <w:rPr>
          <w:rFonts w:hint="eastAsia"/>
          <w:color w:val="auto"/>
          <w:highlight w:val="none"/>
          <w:lang w:val="en-US"/>
        </w:rPr>
        <w:t>2.6是否属于</w:t>
      </w:r>
      <w:r>
        <w:rPr>
          <w:rFonts w:ascii="FZShuSong-Z01" w:hAnsi="FZShuSong-Z01" w:cs="FZShuSong-Z01"/>
          <w:color w:val="auto"/>
          <w:kern w:val="0"/>
          <w:szCs w:val="24"/>
          <w:highlight w:val="none"/>
          <w:lang w:val="en-US" w:bidi="ar"/>
        </w:rPr>
        <w:t>科研仪器设备</w:t>
      </w:r>
      <w:r>
        <w:rPr>
          <w:rFonts w:hint="eastAsia" w:ascii="FZShuSong-Z01" w:hAnsi="FZShuSong-Z01" w:cs="FZShuSong-Z01"/>
          <w:color w:val="auto"/>
          <w:kern w:val="0"/>
          <w:szCs w:val="24"/>
          <w:highlight w:val="none"/>
          <w:lang w:val="en-US" w:bidi="ar"/>
        </w:rPr>
        <w:t>采购</w:t>
      </w:r>
      <w:r>
        <w:rPr>
          <w:rFonts w:hint="eastAsia"/>
          <w:color w:val="auto"/>
          <w:highlight w:val="none"/>
          <w:lang w:val="en-US"/>
        </w:rPr>
        <w:t>见</w:t>
      </w:r>
      <w:r>
        <w:rPr>
          <w:rFonts w:hint="eastAsia"/>
          <w:color w:val="auto"/>
          <w:highlight w:val="none"/>
        </w:rPr>
        <w:t>“</w:t>
      </w:r>
      <w:r>
        <w:rPr>
          <w:rFonts w:hint="eastAsia"/>
          <w:color w:val="auto"/>
          <w:highlight w:val="none"/>
          <w:lang w:val="en-US"/>
        </w:rPr>
        <w:t>投标人</w:t>
      </w:r>
      <w:r>
        <w:rPr>
          <w:rFonts w:hint="eastAsia"/>
          <w:color w:val="auto"/>
          <w:highlight w:val="none"/>
        </w:rPr>
        <w:t>须知前附表”</w:t>
      </w:r>
      <w:r>
        <w:rPr>
          <w:rFonts w:hint="eastAsia"/>
          <w:color w:val="auto"/>
          <w:highlight w:val="none"/>
          <w:lang w:val="en-US"/>
        </w:rPr>
        <w:t>。</w:t>
      </w:r>
    </w:p>
    <w:p w14:paraId="0A7D7290">
      <w:pPr>
        <w:ind w:firstLine="480" w:firstLineChars="200"/>
        <w:rPr>
          <w:rFonts w:hint="eastAsia"/>
          <w:color w:val="auto"/>
          <w:highlight w:val="none"/>
        </w:rPr>
      </w:pPr>
      <w:r>
        <w:rPr>
          <w:rFonts w:hint="eastAsia"/>
          <w:iCs/>
          <w:color w:val="auto"/>
          <w:highlight w:val="none"/>
          <w:shd w:val="clear" w:color="auto" w:fill="FFFFFF" w:themeFill="background1"/>
        </w:rPr>
        <w:t>2.7投标人（也称“供应商”、“申请人”）：指向采购人提供货物、工程或者服务的法人、其他组织或者自然人。</w:t>
      </w:r>
      <w:r>
        <w:rPr>
          <w:rFonts w:hint="eastAsia"/>
          <w:color w:val="auto"/>
          <w:highlight w:val="none"/>
        </w:rPr>
        <w:t>分支机构不得参加政府采购活动，但银行、保险、石油石化、电力、电信等有行业特殊情况的除外。</w:t>
      </w:r>
      <w:r>
        <w:rPr>
          <w:color w:val="auto"/>
          <w:highlight w:val="none"/>
        </w:rPr>
        <w:t>本项目的投标人须满足以下条件：</w:t>
      </w:r>
    </w:p>
    <w:p w14:paraId="5BA81F55">
      <w:pPr>
        <w:ind w:firstLine="480" w:firstLineChars="200"/>
        <w:rPr>
          <w:rFonts w:hint="eastAsia"/>
          <w:color w:val="auto"/>
          <w:highlight w:val="none"/>
        </w:rPr>
      </w:pPr>
      <w:r>
        <w:rPr>
          <w:rFonts w:hint="eastAsia"/>
          <w:color w:val="auto"/>
          <w:highlight w:val="none"/>
        </w:rPr>
        <w:t>2.7</w:t>
      </w:r>
      <w:r>
        <w:rPr>
          <w:color w:val="auto"/>
          <w:highlight w:val="none"/>
        </w:rPr>
        <w:t>.</w:t>
      </w:r>
      <w:r>
        <w:rPr>
          <w:rFonts w:hint="eastAsia"/>
          <w:color w:val="auto"/>
          <w:highlight w:val="none"/>
        </w:rPr>
        <w:t>1</w:t>
      </w:r>
      <w:r>
        <w:rPr>
          <w:color w:val="auto"/>
          <w:highlight w:val="none"/>
        </w:rPr>
        <w:t>具备《中华人民共和国政府采购法》第二十二条规定的</w:t>
      </w:r>
      <w:r>
        <w:rPr>
          <w:rFonts w:hint="eastAsia"/>
          <w:color w:val="auto"/>
          <w:highlight w:val="none"/>
        </w:rPr>
        <w:t>条件</w:t>
      </w:r>
      <w:r>
        <w:rPr>
          <w:color w:val="auto"/>
          <w:highlight w:val="none"/>
        </w:rPr>
        <w:t>，遵守本项目采购人本级和上级财政部门政府采购的有关规定。</w:t>
      </w:r>
    </w:p>
    <w:p w14:paraId="38527F70">
      <w:pPr>
        <w:ind w:firstLine="480" w:firstLineChars="200"/>
        <w:rPr>
          <w:rFonts w:hint="eastAsia"/>
          <w:color w:val="auto"/>
          <w:highlight w:val="none"/>
        </w:rPr>
      </w:pPr>
      <w:r>
        <w:rPr>
          <w:rFonts w:hint="eastAsia"/>
          <w:color w:val="auto"/>
          <w:highlight w:val="none"/>
        </w:rPr>
        <w:t>2.7.2以招标公告中发布的方式依法获得了本项目的招标文件。</w:t>
      </w:r>
    </w:p>
    <w:p w14:paraId="1AD25BAB">
      <w:pPr>
        <w:ind w:firstLine="480" w:firstLineChars="200"/>
        <w:rPr>
          <w:rFonts w:hint="eastAsia"/>
          <w:color w:val="auto"/>
          <w:highlight w:val="none"/>
        </w:rPr>
      </w:pPr>
      <w:r>
        <w:rPr>
          <w:rFonts w:hint="eastAsia"/>
          <w:color w:val="auto"/>
          <w:highlight w:val="none"/>
        </w:rPr>
        <w:t>2.7.3符合本招标文件规定并参加投标的供应商。</w:t>
      </w:r>
    </w:p>
    <w:p w14:paraId="56FA80D9">
      <w:pPr>
        <w:ind w:firstLine="480" w:firstLineChars="200"/>
        <w:rPr>
          <w:rFonts w:hint="eastAsia"/>
          <w:color w:val="auto"/>
          <w:highlight w:val="none"/>
        </w:rPr>
      </w:pPr>
      <w:r>
        <w:rPr>
          <w:rFonts w:hint="eastAsia"/>
          <w:color w:val="auto"/>
          <w:highlight w:val="none"/>
        </w:rPr>
        <w:t>2.8</w:t>
      </w:r>
      <w:r>
        <w:rPr>
          <w:rFonts w:hint="eastAsia"/>
          <w:iCs/>
          <w:color w:val="auto"/>
          <w:highlight w:val="none"/>
          <w:shd w:val="clear" w:color="auto" w:fill="FFFFFF" w:themeFill="background1"/>
        </w:rPr>
        <w:t>潜在投标人、潜在供应商：指</w:t>
      </w:r>
      <w:r>
        <w:rPr>
          <w:rFonts w:hint="eastAsia"/>
          <w:color w:val="auto"/>
          <w:highlight w:val="none"/>
        </w:rPr>
        <w:t>符合本招标文件规定的供应商。</w:t>
      </w:r>
    </w:p>
    <w:p w14:paraId="45C2A3B6">
      <w:pPr>
        <w:pStyle w:val="7"/>
        <w:keepNext w:val="0"/>
        <w:keepLines w:val="0"/>
        <w:spacing w:before="80" w:after="60" w:line="240" w:lineRule="auto"/>
        <w:ind w:left="420" w:hanging="420"/>
        <w:rPr>
          <w:rFonts w:hint="eastAsia" w:ascii="宋体" w:hAnsi="宋体" w:cs="宋体"/>
          <w:color w:val="auto"/>
          <w:sz w:val="24"/>
          <w:highlight w:val="none"/>
        </w:rPr>
      </w:pPr>
      <w:bookmarkStart w:id="126" w:name="_Toc140132758"/>
      <w:bookmarkStart w:id="127" w:name="_Toc163492825"/>
      <w:r>
        <w:rPr>
          <w:rFonts w:hint="eastAsia" w:ascii="宋体" w:hAnsi="宋体" w:cs="宋体"/>
          <w:color w:val="auto"/>
          <w:sz w:val="24"/>
          <w:highlight w:val="none"/>
        </w:rPr>
        <w:t>3.资金来源</w:t>
      </w:r>
      <w:bookmarkEnd w:id="126"/>
      <w:bookmarkEnd w:id="127"/>
    </w:p>
    <w:p w14:paraId="70C8B238">
      <w:pPr>
        <w:pStyle w:val="20"/>
        <w:rPr>
          <w:rFonts w:hint="eastAsia"/>
          <w:color w:val="auto"/>
          <w:highlight w:val="none"/>
        </w:rPr>
      </w:pPr>
      <w:r>
        <w:rPr>
          <w:rFonts w:hint="eastAsia"/>
          <w:color w:val="auto"/>
          <w:highlight w:val="none"/>
        </w:rPr>
        <w:t>3.1资金来源：</w:t>
      </w:r>
      <w:r>
        <w:rPr>
          <w:rFonts w:hint="eastAsia"/>
          <w:color w:val="auto"/>
          <w:highlight w:val="none"/>
          <w:lang w:val="en-US"/>
        </w:rPr>
        <w:t>为财政性资金即</w:t>
      </w:r>
      <w:r>
        <w:rPr>
          <w:rFonts w:hint="eastAsia"/>
          <w:color w:val="auto"/>
          <w:highlight w:val="none"/>
        </w:rPr>
        <w:t>纳入预算管理的资金。以财政性资金作为还款来源的借贷资金，视同财政性资金。财政性资金与非财政性资金无法分割采购的，统一适用《中华人民共和国政府采购法》及其实施条例。</w:t>
      </w:r>
    </w:p>
    <w:p w14:paraId="1BDD3C0C">
      <w:pPr>
        <w:pStyle w:val="7"/>
        <w:keepNext w:val="0"/>
        <w:keepLines w:val="0"/>
        <w:spacing w:before="80" w:after="60" w:line="240" w:lineRule="auto"/>
        <w:ind w:left="420" w:hanging="420"/>
        <w:rPr>
          <w:rFonts w:hint="eastAsia" w:ascii="宋体" w:hAnsi="宋体" w:cs="宋体"/>
          <w:color w:val="auto"/>
          <w:sz w:val="24"/>
          <w:highlight w:val="none"/>
        </w:rPr>
      </w:pPr>
      <w:bookmarkStart w:id="128" w:name="_Toc140132760"/>
      <w:bookmarkStart w:id="129" w:name="_Toc163492826"/>
      <w:r>
        <w:rPr>
          <w:rFonts w:hint="eastAsia" w:ascii="宋体" w:hAnsi="宋体" w:cs="宋体"/>
          <w:color w:val="auto"/>
          <w:sz w:val="24"/>
          <w:highlight w:val="none"/>
        </w:rPr>
        <w:t>4.投标人资格要求</w:t>
      </w:r>
      <w:bookmarkEnd w:id="128"/>
      <w:bookmarkEnd w:id="129"/>
    </w:p>
    <w:p w14:paraId="66215BA8">
      <w:pPr>
        <w:pStyle w:val="20"/>
        <w:rPr>
          <w:rFonts w:hint="eastAsia"/>
          <w:color w:val="auto"/>
          <w:highlight w:val="none"/>
        </w:rPr>
      </w:pPr>
      <w:r>
        <w:rPr>
          <w:rFonts w:hint="eastAsia"/>
          <w:color w:val="auto"/>
          <w:highlight w:val="none"/>
        </w:rPr>
        <w:t>4.1投标人资格要求：见“</w:t>
      </w:r>
      <w:r>
        <w:rPr>
          <w:rFonts w:hint="eastAsia"/>
          <w:color w:val="auto"/>
          <w:highlight w:val="none"/>
          <w:lang w:val="en-US"/>
        </w:rPr>
        <w:t>第一章 招标公告</w:t>
      </w:r>
      <w:r>
        <w:rPr>
          <w:rFonts w:hint="eastAsia"/>
          <w:color w:val="auto"/>
          <w:highlight w:val="none"/>
        </w:rPr>
        <w:t>”；</w:t>
      </w:r>
    </w:p>
    <w:p w14:paraId="0C596806">
      <w:pPr>
        <w:pStyle w:val="20"/>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w:t>
      </w:r>
      <w:r>
        <w:rPr>
          <w:rFonts w:hint="eastAsia"/>
          <w:color w:val="auto"/>
          <w:highlight w:val="none"/>
          <w:lang w:val="en-US"/>
        </w:rPr>
        <w:t>第一章 招标公告</w:t>
      </w:r>
      <w:r>
        <w:rPr>
          <w:rFonts w:hint="eastAsia"/>
          <w:color w:val="auto"/>
          <w:highlight w:val="none"/>
        </w:rPr>
        <w:t>”规定接受联合体投标的，还应遵守以下规定：</w:t>
      </w:r>
    </w:p>
    <w:p w14:paraId="09546FCA">
      <w:pPr>
        <w:pStyle w:val="20"/>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1两个以上的自然人、法人或者其他组织可以组成一个联合体，以一个</w:t>
      </w:r>
      <w:r>
        <w:rPr>
          <w:rFonts w:hint="eastAsia"/>
          <w:color w:val="auto"/>
          <w:highlight w:val="none"/>
          <w:lang w:val="en-US"/>
        </w:rPr>
        <w:t>投标人</w:t>
      </w:r>
      <w:r>
        <w:rPr>
          <w:rFonts w:hint="eastAsia"/>
          <w:color w:val="auto"/>
          <w:highlight w:val="none"/>
        </w:rPr>
        <w:t>的身份共同参加政府采购。以联合体形式进行政府采购的，参加联合体的供应商均应当具备《中华人民共和国政府采购法》第二十二条规定的条件。</w:t>
      </w:r>
    </w:p>
    <w:p w14:paraId="619DA27D">
      <w:pPr>
        <w:pStyle w:val="20"/>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2.2</w:t>
      </w:r>
      <w:r>
        <w:rPr>
          <w:rFonts w:hint="eastAsia"/>
          <w:color w:val="auto"/>
          <w:highlight w:val="none"/>
        </w:rPr>
        <w:t>联合体各方应按招标文件提供的格式签订联合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，明确约定联合体各方承担的工作和相应的责任，并将联合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作为投标文件的一部分提交，该协议书对联合</w:t>
      </w:r>
      <w:r>
        <w:rPr>
          <w:rFonts w:hint="eastAsia"/>
          <w:color w:val="auto"/>
          <w:highlight w:val="none"/>
          <w:lang w:val="en-US"/>
        </w:rPr>
        <w:t>体所有成员</w:t>
      </w:r>
      <w:r>
        <w:rPr>
          <w:rFonts w:hint="eastAsia"/>
          <w:color w:val="auto"/>
          <w:highlight w:val="none"/>
        </w:rPr>
        <w:t>均具有法律约束力。</w:t>
      </w:r>
    </w:p>
    <w:p w14:paraId="1DE053BD">
      <w:pPr>
        <w:pStyle w:val="20"/>
        <w:rPr>
          <w:rFonts w:hint="eastAsia"/>
          <w:color w:val="auto"/>
          <w:highlight w:val="none"/>
        </w:rPr>
      </w:pPr>
      <w:r>
        <w:rPr>
          <w:rFonts w:hint="eastAsia"/>
          <w:color w:val="auto"/>
          <w:highlight w:val="none"/>
          <w:lang w:val="en-US"/>
        </w:rPr>
        <w:t>4.2.3</w:t>
      </w:r>
      <w:r>
        <w:rPr>
          <w:rFonts w:hint="eastAsia"/>
          <w:color w:val="auto"/>
          <w:highlight w:val="none"/>
        </w:rPr>
        <w:t>联合体中有同类资质的供应商按照联合体分工承担相同工作的，应当按照资质等级较低的供应商确定资质等级。</w:t>
      </w:r>
    </w:p>
    <w:p w14:paraId="7EEB6D20">
      <w:pPr>
        <w:pStyle w:val="20"/>
        <w:rPr>
          <w:rFonts w:hint="eastAsia"/>
          <w:color w:val="auto"/>
          <w:highlight w:val="none"/>
        </w:rPr>
      </w:pPr>
      <w:r>
        <w:rPr>
          <w:rFonts w:hint="eastAsia"/>
          <w:color w:val="auto"/>
          <w:highlight w:val="none"/>
          <w:lang w:val="en-US"/>
        </w:rPr>
        <w:t>4.2</w:t>
      </w:r>
      <w:r>
        <w:rPr>
          <w:rFonts w:hint="eastAsia"/>
          <w:color w:val="auto"/>
          <w:highlight w:val="none"/>
        </w:rPr>
        <w:t>.</w:t>
      </w:r>
      <w:r>
        <w:rPr>
          <w:rFonts w:hint="eastAsia"/>
          <w:color w:val="auto"/>
          <w:highlight w:val="none"/>
          <w:lang w:val="en-US"/>
        </w:rPr>
        <w:t>4</w:t>
      </w:r>
      <w:r>
        <w:rPr>
          <w:rFonts w:hint="eastAsia"/>
          <w:color w:val="auto"/>
          <w:highlight w:val="none"/>
        </w:rPr>
        <w:t>以联合体形式参加政府采购活动的，联合体各方不得再单独参加或者与其他供应商另外组成联合体参加</w:t>
      </w:r>
      <w:r>
        <w:rPr>
          <w:rFonts w:hint="eastAsia"/>
          <w:color w:val="auto"/>
          <w:highlight w:val="none"/>
          <w:lang w:val="en-US"/>
        </w:rPr>
        <w:t>同一合同项下的</w:t>
      </w:r>
      <w:r>
        <w:rPr>
          <w:rFonts w:hint="eastAsia"/>
          <w:color w:val="auto"/>
          <w:highlight w:val="none"/>
        </w:rPr>
        <w:t>投标，否则相关投标将被认定为</w:t>
      </w:r>
      <w:r>
        <w:rPr>
          <w:rFonts w:hint="eastAsia"/>
          <w:b/>
          <w:bCs/>
          <w:color w:val="auto"/>
          <w:highlight w:val="none"/>
        </w:rPr>
        <w:t>投标无效</w:t>
      </w:r>
      <w:r>
        <w:rPr>
          <w:rFonts w:hint="eastAsia"/>
          <w:color w:val="auto"/>
          <w:highlight w:val="none"/>
        </w:rPr>
        <w:t>。</w:t>
      </w:r>
    </w:p>
    <w:p w14:paraId="336855EE">
      <w:pPr>
        <w:pStyle w:val="20"/>
        <w:rPr>
          <w:rFonts w:hint="eastAsia"/>
          <w:color w:val="auto"/>
          <w:highlight w:val="none"/>
        </w:rPr>
      </w:pPr>
      <w:r>
        <w:rPr>
          <w:rFonts w:hint="eastAsia"/>
          <w:color w:val="auto"/>
          <w:highlight w:val="none"/>
          <w:lang w:val="en-US"/>
        </w:rPr>
        <w:t>4.2</w:t>
      </w:r>
      <w:r>
        <w:rPr>
          <w:rFonts w:hint="eastAsia"/>
          <w:color w:val="auto"/>
          <w:highlight w:val="none"/>
        </w:rPr>
        <w:t>.5大中型企业、其他自然人、法人或者非法人组织与小型、微型企业组成联合体共同参加投标</w:t>
      </w:r>
      <w:r>
        <w:rPr>
          <w:rFonts w:hint="eastAsia"/>
          <w:color w:val="auto"/>
          <w:highlight w:val="none"/>
          <w:lang w:val="en-US"/>
        </w:rPr>
        <w:t>的</w:t>
      </w:r>
      <w:r>
        <w:rPr>
          <w:rFonts w:hint="eastAsia"/>
          <w:color w:val="auto"/>
          <w:highlight w:val="none"/>
        </w:rPr>
        <w:t>，联合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中应写明小型、微型企业的合同金额占到联合</w:t>
      </w:r>
      <w:r>
        <w:rPr>
          <w:rFonts w:hint="eastAsia"/>
          <w:color w:val="auto"/>
          <w:highlight w:val="none"/>
          <w:lang w:val="en-US"/>
        </w:rPr>
        <w:t>体</w:t>
      </w:r>
      <w:r>
        <w:rPr>
          <w:rFonts w:hint="eastAsia"/>
          <w:color w:val="auto"/>
          <w:highlight w:val="none"/>
        </w:rPr>
        <w:t>投标</w:t>
      </w:r>
      <w:r>
        <w:rPr>
          <w:rFonts w:hint="eastAsia"/>
          <w:color w:val="auto"/>
          <w:highlight w:val="none"/>
          <w:lang w:val="en-US"/>
        </w:rPr>
        <w:t>合同</w:t>
      </w:r>
      <w:r>
        <w:rPr>
          <w:rFonts w:hint="eastAsia"/>
          <w:color w:val="auto"/>
          <w:highlight w:val="none"/>
        </w:rPr>
        <w:t>总金额的比例。</w:t>
      </w:r>
    </w:p>
    <w:p w14:paraId="2558EC48">
      <w:pPr>
        <w:pStyle w:val="20"/>
        <w:rPr>
          <w:rFonts w:hint="eastAsia"/>
          <w:color w:val="auto"/>
          <w:highlight w:val="none"/>
        </w:rPr>
      </w:pPr>
      <w:r>
        <w:rPr>
          <w:rFonts w:hint="eastAsia"/>
          <w:color w:val="auto"/>
          <w:highlight w:val="none"/>
        </w:rPr>
        <w:t>4.2</w:t>
      </w:r>
      <w:r>
        <w:rPr>
          <w:rFonts w:hint="eastAsia"/>
          <w:color w:val="auto"/>
          <w:highlight w:val="none"/>
          <w:lang w:val="en-US"/>
        </w:rPr>
        <w:t>.6</w:t>
      </w:r>
      <w:r>
        <w:rPr>
          <w:rFonts w:hint="eastAsia"/>
          <w:color w:val="auto"/>
          <w:highlight w:val="none"/>
        </w:rPr>
        <w:t>联合体中标</w:t>
      </w:r>
      <w:r>
        <w:rPr>
          <w:rFonts w:hint="eastAsia"/>
          <w:color w:val="auto"/>
          <w:highlight w:val="none"/>
          <w:lang w:val="en-US"/>
        </w:rPr>
        <w:t>的</w:t>
      </w:r>
      <w:r>
        <w:rPr>
          <w:rFonts w:hint="eastAsia"/>
          <w:color w:val="auto"/>
          <w:highlight w:val="none"/>
        </w:rPr>
        <w:t>，</w:t>
      </w:r>
      <w:r>
        <w:rPr>
          <w:rFonts w:hint="eastAsia"/>
          <w:color w:val="auto"/>
          <w:highlight w:val="none"/>
          <w:lang w:val="en-US"/>
        </w:rPr>
        <w:t>采购</w:t>
      </w:r>
      <w:r>
        <w:rPr>
          <w:rFonts w:hint="eastAsia"/>
          <w:color w:val="auto"/>
          <w:highlight w:val="none"/>
        </w:rPr>
        <w:t>合同应由</w:t>
      </w:r>
      <w:r>
        <w:rPr>
          <w:rFonts w:hint="eastAsia"/>
          <w:color w:val="auto"/>
          <w:highlight w:val="none"/>
          <w:lang w:val="en-US"/>
        </w:rPr>
        <w:t>联合体</w:t>
      </w:r>
      <w:r>
        <w:rPr>
          <w:rFonts w:hint="eastAsia"/>
          <w:color w:val="auto"/>
          <w:highlight w:val="none"/>
        </w:rPr>
        <w:t>各成员的合法授权代表签字</w:t>
      </w:r>
      <w:r>
        <w:rPr>
          <w:rFonts w:hint="eastAsia"/>
          <w:color w:val="auto"/>
          <w:highlight w:val="none"/>
          <w:lang w:val="en-US"/>
        </w:rPr>
        <w:t>及</w:t>
      </w:r>
      <w:r>
        <w:rPr>
          <w:rFonts w:hint="eastAsia"/>
          <w:color w:val="auto"/>
          <w:highlight w:val="none"/>
        </w:rPr>
        <w:t>加盖</w:t>
      </w:r>
      <w:r>
        <w:rPr>
          <w:rFonts w:hint="eastAsia"/>
          <w:color w:val="auto"/>
          <w:highlight w:val="none"/>
          <w:lang w:val="en-US"/>
        </w:rPr>
        <w:t>联合体</w:t>
      </w:r>
      <w:r>
        <w:rPr>
          <w:rFonts w:hint="eastAsia"/>
          <w:color w:val="auto"/>
          <w:highlight w:val="none"/>
        </w:rPr>
        <w:t>各成员公章，</w:t>
      </w:r>
      <w:r>
        <w:rPr>
          <w:rFonts w:hint="eastAsia"/>
          <w:color w:val="auto"/>
          <w:highlight w:val="none"/>
          <w:lang w:val="en-US"/>
        </w:rPr>
        <w:t>并</w:t>
      </w:r>
      <w:r>
        <w:rPr>
          <w:rFonts w:hint="eastAsia"/>
          <w:color w:val="auto"/>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5CCFB207">
      <w:pPr>
        <w:pStyle w:val="20"/>
        <w:rPr>
          <w:rFonts w:hint="eastAsia"/>
          <w:color w:val="auto"/>
          <w:highlight w:val="none"/>
        </w:rPr>
      </w:pPr>
      <w:r>
        <w:rPr>
          <w:rFonts w:hint="eastAsia"/>
          <w:color w:val="auto"/>
          <w:highlight w:val="none"/>
        </w:rPr>
        <w:t>4.2</w:t>
      </w:r>
      <w:r>
        <w:rPr>
          <w:rFonts w:hint="eastAsia"/>
          <w:color w:val="auto"/>
          <w:highlight w:val="none"/>
          <w:lang w:val="en-US"/>
        </w:rPr>
        <w:t>.7</w:t>
      </w:r>
      <w:r>
        <w:rPr>
          <w:rFonts w:hint="eastAsia"/>
          <w:color w:val="auto"/>
          <w:highlight w:val="none"/>
        </w:rPr>
        <w:t>联合体或其成员不得将其在合同项下的权利或义务全部或部分转让给第三人，有关分包事项须事先取得采购</w:t>
      </w:r>
      <w:r>
        <w:rPr>
          <w:rFonts w:hint="eastAsia"/>
          <w:color w:val="auto"/>
          <w:highlight w:val="none"/>
          <w:lang w:val="en-US"/>
        </w:rPr>
        <w:t>人</w:t>
      </w:r>
      <w:r>
        <w:rPr>
          <w:rFonts w:hint="eastAsia"/>
          <w:color w:val="auto"/>
          <w:highlight w:val="none"/>
        </w:rPr>
        <w:t>书面同意并且须遵守相关法律、法规、本次招标的全部相关规定。</w:t>
      </w:r>
    </w:p>
    <w:p w14:paraId="6972DFB3">
      <w:pPr>
        <w:pStyle w:val="20"/>
        <w:rPr>
          <w:rFonts w:hint="eastAsia"/>
          <w:color w:val="auto"/>
          <w:highlight w:val="none"/>
        </w:rPr>
      </w:pPr>
      <w:r>
        <w:rPr>
          <w:rFonts w:hint="eastAsia"/>
          <w:color w:val="auto"/>
          <w:highlight w:val="none"/>
          <w:lang w:val="en-US"/>
        </w:rPr>
        <w:t>4.2</w:t>
      </w:r>
      <w:r>
        <w:rPr>
          <w:rFonts w:hint="eastAsia"/>
          <w:color w:val="auto"/>
          <w:highlight w:val="none"/>
        </w:rPr>
        <w:t>.</w:t>
      </w:r>
      <w:r>
        <w:rPr>
          <w:rFonts w:hint="eastAsia"/>
          <w:color w:val="auto"/>
          <w:highlight w:val="none"/>
          <w:lang w:val="en-US"/>
        </w:rPr>
        <w:t>8</w:t>
      </w:r>
      <w:r>
        <w:rPr>
          <w:rFonts w:hint="eastAsia"/>
          <w:color w:val="auto"/>
          <w:highlight w:val="none"/>
        </w:rPr>
        <w:t>对联合体投标的其他资格要求见“</w:t>
      </w:r>
      <w:r>
        <w:rPr>
          <w:rFonts w:hint="eastAsia"/>
          <w:color w:val="auto"/>
          <w:highlight w:val="none"/>
          <w:lang w:val="en-US"/>
        </w:rPr>
        <w:t>第一章 招标公告</w:t>
      </w:r>
      <w:r>
        <w:rPr>
          <w:rFonts w:hint="eastAsia"/>
          <w:color w:val="auto"/>
          <w:highlight w:val="none"/>
        </w:rPr>
        <w:t>”</w:t>
      </w:r>
      <w:r>
        <w:rPr>
          <w:rFonts w:hint="eastAsia"/>
          <w:color w:val="auto"/>
          <w:highlight w:val="none"/>
          <w:lang w:val="en-US"/>
        </w:rPr>
        <w:t>中的“二、申请人的</w:t>
      </w:r>
      <w:r>
        <w:rPr>
          <w:rFonts w:hint="eastAsia"/>
          <w:color w:val="auto"/>
          <w:highlight w:val="none"/>
        </w:rPr>
        <w:t>资格</w:t>
      </w:r>
      <w:r>
        <w:rPr>
          <w:rFonts w:hint="eastAsia"/>
          <w:color w:val="auto"/>
          <w:highlight w:val="none"/>
          <w:lang w:val="en-US"/>
        </w:rPr>
        <w:t>要求”</w:t>
      </w:r>
      <w:r>
        <w:rPr>
          <w:rFonts w:hint="eastAsia"/>
          <w:color w:val="auto"/>
          <w:highlight w:val="none"/>
        </w:rPr>
        <w:t>。</w:t>
      </w:r>
    </w:p>
    <w:p w14:paraId="6C002F3E">
      <w:pPr>
        <w:pStyle w:val="7"/>
        <w:keepNext w:val="0"/>
        <w:keepLines w:val="0"/>
        <w:spacing w:before="80" w:after="60" w:line="240" w:lineRule="auto"/>
        <w:ind w:left="420" w:hanging="420"/>
        <w:rPr>
          <w:rFonts w:hint="eastAsia" w:ascii="宋体" w:hAnsi="宋体" w:cs="宋体"/>
          <w:color w:val="auto"/>
          <w:sz w:val="24"/>
          <w:highlight w:val="none"/>
        </w:rPr>
      </w:pPr>
      <w:bookmarkStart w:id="130" w:name="_Toc163492827"/>
      <w:r>
        <w:rPr>
          <w:rFonts w:hint="eastAsia" w:ascii="宋体" w:hAnsi="宋体" w:cs="宋体"/>
          <w:color w:val="auto"/>
          <w:sz w:val="24"/>
          <w:highlight w:val="none"/>
        </w:rPr>
        <w:t>5.费用承担</w:t>
      </w:r>
      <w:bookmarkEnd w:id="130"/>
    </w:p>
    <w:p w14:paraId="695DE0BD">
      <w:pPr>
        <w:pStyle w:val="20"/>
        <w:rPr>
          <w:rFonts w:hint="eastAsia"/>
          <w:color w:val="auto"/>
          <w:highlight w:val="none"/>
        </w:rPr>
      </w:pPr>
      <w:r>
        <w:rPr>
          <w:rFonts w:hint="eastAsia"/>
          <w:color w:val="auto"/>
          <w:highlight w:val="none"/>
        </w:rPr>
        <w:t>5.1</w:t>
      </w:r>
      <w:r>
        <w:rPr>
          <w:rFonts w:hint="eastAsia"/>
          <w:color w:val="auto"/>
          <w:highlight w:val="none"/>
          <w:lang w:val="en-US"/>
        </w:rPr>
        <w:t>不论投标的结果如何，投标人应承担所有与准备和参加投标有关的费用。</w:t>
      </w:r>
    </w:p>
    <w:p w14:paraId="4A312619">
      <w:pPr>
        <w:pStyle w:val="7"/>
        <w:keepNext w:val="0"/>
        <w:keepLines w:val="0"/>
        <w:spacing w:before="80" w:after="60" w:line="240" w:lineRule="auto"/>
        <w:ind w:left="420" w:hanging="420"/>
        <w:rPr>
          <w:rFonts w:hint="eastAsia" w:ascii="宋体" w:hAnsi="宋体" w:cs="宋体"/>
          <w:color w:val="auto"/>
          <w:sz w:val="24"/>
          <w:highlight w:val="none"/>
        </w:rPr>
      </w:pPr>
      <w:bookmarkStart w:id="131" w:name="_Toc140132761"/>
      <w:bookmarkStart w:id="132" w:name="_Toc163492828"/>
      <w:r>
        <w:rPr>
          <w:rFonts w:hint="eastAsia" w:ascii="宋体" w:hAnsi="宋体" w:cs="宋体"/>
          <w:color w:val="auto"/>
          <w:sz w:val="24"/>
          <w:highlight w:val="none"/>
        </w:rPr>
        <w:t>6.保密</w:t>
      </w:r>
      <w:bookmarkEnd w:id="131"/>
      <w:bookmarkEnd w:id="132"/>
    </w:p>
    <w:p w14:paraId="3BDE1D6C">
      <w:pPr>
        <w:pStyle w:val="20"/>
        <w:rPr>
          <w:rFonts w:hint="eastAsia"/>
          <w:color w:val="auto"/>
          <w:highlight w:val="none"/>
        </w:rPr>
      </w:pPr>
      <w:r>
        <w:rPr>
          <w:rFonts w:hint="eastAsia"/>
          <w:color w:val="auto"/>
          <w:highlight w:val="none"/>
        </w:rPr>
        <w:t>6.1</w:t>
      </w:r>
      <w:r>
        <w:rPr>
          <w:rFonts w:hint="eastAsia"/>
          <w:color w:val="auto"/>
          <w:highlight w:val="none"/>
          <w:lang w:val="en-US"/>
        </w:rPr>
        <w:t xml:space="preserve"> </w:t>
      </w:r>
      <w:r>
        <w:rPr>
          <w:rFonts w:hint="eastAsia"/>
          <w:color w:val="auto"/>
          <w:highlight w:val="none"/>
        </w:rPr>
        <w:t>参与招标投标活动的各方应对招标文件和投标文件中的商业和技术等秘密保密，否则应承担相应的法律责任。</w:t>
      </w:r>
    </w:p>
    <w:p w14:paraId="7DA47994">
      <w:pPr>
        <w:pStyle w:val="27"/>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5642F901">
      <w:pPr>
        <w:pStyle w:val="27"/>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6.3 采购代理机构有权将投标人提供的所有资料向有关政府部门或评审投标文件的有关人员披露。</w:t>
      </w:r>
    </w:p>
    <w:p w14:paraId="78A1E892">
      <w:pPr>
        <w:pStyle w:val="27"/>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6.4 各级人民政府财政部门对政府采购活动进行监督检查，有权查阅、复制有关文件、资料，相关单位和人员应当予以配合。</w:t>
      </w:r>
    </w:p>
    <w:p w14:paraId="5FC7FCF6">
      <w:pPr>
        <w:pStyle w:val="7"/>
        <w:keepNext w:val="0"/>
        <w:keepLines w:val="0"/>
        <w:spacing w:before="80" w:after="60" w:line="240" w:lineRule="auto"/>
        <w:ind w:left="420" w:hanging="420"/>
        <w:rPr>
          <w:rFonts w:hint="eastAsia" w:ascii="宋体" w:hAnsi="宋体" w:cs="宋体"/>
          <w:color w:val="auto"/>
          <w:sz w:val="24"/>
          <w:highlight w:val="none"/>
        </w:rPr>
      </w:pPr>
      <w:bookmarkStart w:id="133" w:name="_Toc140132762"/>
      <w:bookmarkStart w:id="134" w:name="_Toc163492829"/>
      <w:r>
        <w:rPr>
          <w:rFonts w:hint="eastAsia" w:ascii="宋体" w:hAnsi="宋体" w:cs="宋体"/>
          <w:color w:val="auto"/>
          <w:sz w:val="24"/>
          <w:highlight w:val="none"/>
        </w:rPr>
        <w:t>7.语言文字</w:t>
      </w:r>
      <w:bookmarkEnd w:id="133"/>
      <w:bookmarkEnd w:id="134"/>
    </w:p>
    <w:p w14:paraId="28723C84">
      <w:pPr>
        <w:pStyle w:val="20"/>
        <w:rPr>
          <w:rFonts w:hint="eastAsia"/>
          <w:color w:val="auto"/>
          <w:highlight w:val="none"/>
        </w:rPr>
      </w:pPr>
      <w:r>
        <w:rPr>
          <w:rFonts w:hint="eastAsia"/>
          <w:color w:val="auto"/>
          <w:highlight w:val="none"/>
        </w:rPr>
        <w:t>7.1招标投标</w:t>
      </w:r>
      <w:r>
        <w:rPr>
          <w:rFonts w:hint="eastAsia"/>
          <w:color w:val="auto"/>
          <w:highlight w:val="none"/>
          <w:lang w:val="en-US"/>
        </w:rPr>
        <w:t>过程</w:t>
      </w:r>
      <w:r>
        <w:rPr>
          <w:rFonts w:hint="eastAsia"/>
          <w:color w:val="auto"/>
          <w:highlight w:val="none"/>
        </w:rPr>
        <w:t>文件使用的语言文字为中文。专用术语使用外文的，应附有中文注释。</w:t>
      </w:r>
      <w:r>
        <w:rPr>
          <w:rFonts w:hint="eastAsia"/>
          <w:color w:val="auto"/>
          <w:highlight w:val="none"/>
          <w:lang w:val="en-US"/>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8CFDC8F">
      <w:pPr>
        <w:pStyle w:val="7"/>
        <w:keepNext w:val="0"/>
        <w:keepLines w:val="0"/>
        <w:spacing w:before="80" w:after="60" w:line="240" w:lineRule="auto"/>
        <w:ind w:left="420" w:hanging="420"/>
        <w:rPr>
          <w:rFonts w:hint="eastAsia" w:ascii="宋体" w:hAnsi="宋体" w:cs="宋体"/>
          <w:color w:val="auto"/>
          <w:sz w:val="24"/>
          <w:highlight w:val="none"/>
        </w:rPr>
      </w:pPr>
      <w:bookmarkStart w:id="135" w:name="_Toc140132763"/>
      <w:bookmarkStart w:id="136" w:name="_Toc163492830"/>
      <w:r>
        <w:rPr>
          <w:rFonts w:hint="eastAsia" w:ascii="宋体" w:hAnsi="宋体" w:cs="宋体"/>
          <w:color w:val="auto"/>
          <w:sz w:val="24"/>
          <w:highlight w:val="none"/>
        </w:rPr>
        <w:t>8.计量单位</w:t>
      </w:r>
      <w:bookmarkEnd w:id="135"/>
      <w:bookmarkEnd w:id="136"/>
    </w:p>
    <w:p w14:paraId="6446A97E">
      <w:pPr>
        <w:pStyle w:val="20"/>
        <w:rPr>
          <w:rFonts w:hint="eastAsia"/>
          <w:color w:val="auto"/>
          <w:highlight w:val="none"/>
        </w:rPr>
      </w:pPr>
      <w:r>
        <w:rPr>
          <w:rFonts w:hint="eastAsia"/>
          <w:color w:val="auto"/>
          <w:highlight w:val="none"/>
        </w:rPr>
        <w:t>8.1所有计量均采用中华人民共和国法定计量单位。</w:t>
      </w:r>
    </w:p>
    <w:p w14:paraId="05F4B679">
      <w:pPr>
        <w:pStyle w:val="7"/>
        <w:keepNext w:val="0"/>
        <w:keepLines w:val="0"/>
        <w:spacing w:before="80" w:after="60" w:line="240" w:lineRule="auto"/>
        <w:ind w:left="420" w:hanging="420"/>
        <w:rPr>
          <w:rFonts w:hint="eastAsia" w:ascii="宋体" w:hAnsi="宋体" w:cs="宋体"/>
          <w:color w:val="auto"/>
          <w:sz w:val="24"/>
          <w:highlight w:val="none"/>
        </w:rPr>
      </w:pPr>
      <w:bookmarkStart w:id="137" w:name="_Toc163492831"/>
      <w:bookmarkStart w:id="138" w:name="_Toc140132764"/>
      <w:r>
        <w:rPr>
          <w:rFonts w:hint="eastAsia" w:ascii="宋体" w:hAnsi="宋体" w:cs="宋体"/>
          <w:color w:val="auto"/>
          <w:sz w:val="24"/>
          <w:highlight w:val="none"/>
        </w:rPr>
        <w:t>9.现场考察和答疑会</w:t>
      </w:r>
      <w:bookmarkEnd w:id="137"/>
      <w:bookmarkEnd w:id="138"/>
    </w:p>
    <w:p w14:paraId="0CA8D591">
      <w:pPr>
        <w:pStyle w:val="20"/>
        <w:rPr>
          <w:rFonts w:hint="eastAsia"/>
          <w:color w:val="auto"/>
          <w:highlight w:val="none"/>
        </w:rPr>
      </w:pPr>
      <w:bookmarkStart w:id="139" w:name="_Hlk143529198"/>
      <w:r>
        <w:rPr>
          <w:rFonts w:hint="eastAsia"/>
          <w:color w:val="auto"/>
          <w:highlight w:val="none"/>
        </w:rPr>
        <w:t xml:space="preserve">9.1 “投标人须知前附表”规定组织现场考察的，采购代理机构按“投标人须知前附表”规定的时间、地点组织投标人项目现场考察。 </w:t>
      </w:r>
    </w:p>
    <w:p w14:paraId="696CB946">
      <w:pPr>
        <w:pStyle w:val="20"/>
        <w:rPr>
          <w:rFonts w:hint="eastAsia"/>
          <w:color w:val="auto"/>
          <w:highlight w:val="none"/>
        </w:rPr>
      </w:pPr>
      <w:r>
        <w:rPr>
          <w:rFonts w:hint="eastAsia"/>
          <w:color w:val="auto"/>
          <w:highlight w:val="none"/>
        </w:rPr>
        <w:t>9.2 投标人现场考察发生的费用自理。</w:t>
      </w:r>
    </w:p>
    <w:p w14:paraId="1375107D">
      <w:pPr>
        <w:pStyle w:val="20"/>
        <w:rPr>
          <w:rFonts w:hint="eastAsia"/>
          <w:color w:val="auto"/>
          <w:highlight w:val="none"/>
        </w:rPr>
      </w:pPr>
      <w:r>
        <w:rPr>
          <w:rFonts w:hint="eastAsia"/>
          <w:color w:val="auto"/>
          <w:highlight w:val="none"/>
        </w:rPr>
        <w:t>9.3 在现场考察中，因投标人自身原因发生的人员伤亡和财产损失，由投标人自行负责。</w:t>
      </w:r>
    </w:p>
    <w:p w14:paraId="38CB5979">
      <w:pPr>
        <w:pStyle w:val="20"/>
        <w:rPr>
          <w:rFonts w:hint="eastAsia"/>
          <w:color w:val="auto"/>
          <w:highlight w:val="none"/>
        </w:rPr>
      </w:pPr>
      <w:r>
        <w:rPr>
          <w:rFonts w:hint="eastAsia"/>
          <w:color w:val="auto"/>
          <w:highlight w:val="none"/>
        </w:rPr>
        <w:t>9.4 采购人在现场考察中介绍的项目场地和相关的周边环境情况，仅供投标人在编制投标文件时参考，采购人和采购代理机构不对投标人据此作出的判断和决策负责。</w:t>
      </w:r>
    </w:p>
    <w:p w14:paraId="565D6BC3">
      <w:pPr>
        <w:pStyle w:val="20"/>
        <w:rPr>
          <w:rFonts w:hint="eastAsia"/>
          <w:color w:val="auto"/>
          <w:highlight w:val="none"/>
        </w:rPr>
      </w:pPr>
      <w:r>
        <w:rPr>
          <w:rFonts w:hint="eastAsia"/>
          <w:color w:val="auto"/>
          <w:highlight w:val="none"/>
        </w:rPr>
        <w:t>9.5 “投标人须知前附表”规定召开答疑会的，采购代理机构按“投标人须知前附表”规定的时间和地点召开答疑会，澄清投标人提出的问题。</w:t>
      </w:r>
    </w:p>
    <w:p w14:paraId="3DEED4F5">
      <w:pPr>
        <w:pStyle w:val="20"/>
        <w:rPr>
          <w:rFonts w:hint="eastAsia"/>
          <w:color w:val="auto"/>
          <w:highlight w:val="none"/>
          <w:lang w:val="en-US"/>
        </w:rPr>
      </w:pPr>
      <w:r>
        <w:rPr>
          <w:rFonts w:hint="eastAsia"/>
          <w:color w:val="auto"/>
          <w:highlight w:val="none"/>
          <w:lang w:val="en-US"/>
        </w:rPr>
        <w:t>9.6 由于未参加现场考察或未参加标前答疑会而导致对项目实际情况不了解，影响投标文件编制、投标报价准确性、综合因素响应不全面等问题的，由投标人自行承担不利评审后果。</w:t>
      </w:r>
    </w:p>
    <w:bookmarkEnd w:id="139"/>
    <w:p w14:paraId="5CF91454">
      <w:pPr>
        <w:pStyle w:val="7"/>
        <w:keepNext w:val="0"/>
        <w:keepLines w:val="0"/>
        <w:spacing w:before="80" w:after="60" w:line="240" w:lineRule="auto"/>
        <w:ind w:left="420" w:hanging="420"/>
        <w:rPr>
          <w:rFonts w:hint="eastAsia" w:ascii="宋体" w:hAnsi="宋体" w:cs="宋体"/>
          <w:color w:val="auto"/>
          <w:sz w:val="24"/>
          <w:highlight w:val="none"/>
        </w:rPr>
      </w:pPr>
      <w:bookmarkStart w:id="140" w:name="_Toc155185858"/>
      <w:bookmarkStart w:id="141" w:name="_Toc163492833"/>
      <w:bookmarkStart w:id="142" w:name="_Toc155185871"/>
      <w:r>
        <w:rPr>
          <w:rFonts w:hint="eastAsia" w:ascii="宋体" w:hAnsi="宋体" w:cs="宋体"/>
          <w:color w:val="auto"/>
          <w:sz w:val="24"/>
          <w:highlight w:val="none"/>
        </w:rPr>
        <w:t>10.电子投标说明</w:t>
      </w:r>
      <w:bookmarkEnd w:id="140"/>
      <w:bookmarkEnd w:id="141"/>
      <w:r>
        <w:rPr>
          <w:rFonts w:hint="eastAsia" w:ascii="宋体" w:hAnsi="宋体" w:cs="宋体"/>
          <w:color w:val="auto"/>
          <w:sz w:val="24"/>
          <w:highlight w:val="none"/>
        </w:rPr>
        <w:t xml:space="preserve">   </w:t>
      </w:r>
    </w:p>
    <w:p w14:paraId="134FEDBE">
      <w:pPr>
        <w:pStyle w:val="20"/>
        <w:rPr>
          <w:rFonts w:hint="eastAsia"/>
          <w:color w:val="auto"/>
          <w:highlight w:val="none"/>
          <w:lang w:val="en-US"/>
        </w:rPr>
      </w:pPr>
      <w:r>
        <w:rPr>
          <w:rFonts w:hint="eastAsia"/>
          <w:color w:val="auto"/>
          <w:highlight w:val="none"/>
          <w:lang w:val="en-US"/>
        </w:rPr>
        <w:t xml:space="preserve">10.1 </w:t>
      </w:r>
      <w:r>
        <w:rPr>
          <w:rFonts w:hint="eastAsia"/>
          <w:color w:val="auto"/>
          <w:highlight w:val="none"/>
        </w:rPr>
        <w:t>本次采购采用电子交易方式，电子交易平台为</w:t>
      </w:r>
      <w:r>
        <w:rPr>
          <w:rFonts w:hint="eastAsia"/>
          <w:color w:val="auto"/>
          <w:highlight w:val="none"/>
          <w:lang w:val="en-US"/>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w:t>
      </w:r>
      <w:r>
        <w:rPr>
          <w:rFonts w:hint="eastAsia"/>
          <w:color w:val="auto"/>
          <w:highlight w:val="none"/>
          <w:lang w:val="hr-HR"/>
        </w:rPr>
        <w:t>（</w:t>
      </w:r>
      <w:r>
        <w:rPr>
          <w:rFonts w:hint="eastAsia"/>
          <w:color w:val="auto"/>
          <w:highlight w:val="none"/>
        </w:rPr>
        <w:t>网址</w:t>
      </w:r>
      <w:r>
        <w:rPr>
          <w:rFonts w:hint="eastAsia"/>
          <w:color w:val="auto"/>
          <w:highlight w:val="none"/>
          <w:lang w:val="hr-HR"/>
        </w:rPr>
        <w:t>：http：//www.ccgp-xinjiang.gov.cn/）</w:t>
      </w:r>
      <w:r>
        <w:rPr>
          <w:rFonts w:hint="eastAsia"/>
          <w:color w:val="auto"/>
          <w:highlight w:val="none"/>
        </w:rPr>
        <w:t>。投标人参与本项目电子交易活动前，应</w:t>
      </w:r>
      <w:r>
        <w:rPr>
          <w:rFonts w:hint="eastAsia"/>
          <w:color w:val="auto"/>
          <w:highlight w:val="none"/>
          <w:lang w:val="en-US"/>
        </w:rPr>
        <w:t>在</w:t>
      </w:r>
      <w:r>
        <w:rPr>
          <w:rFonts w:hint="eastAsia"/>
          <w:color w:val="auto"/>
          <w:highlight w:val="none"/>
        </w:rPr>
        <w:t>政</w:t>
      </w:r>
      <w:r>
        <w:rPr>
          <w:rFonts w:hint="eastAsia"/>
          <w:color w:val="auto"/>
          <w:highlight w:val="none"/>
          <w:lang w:val="en-US"/>
        </w:rPr>
        <w:t>采云</w:t>
      </w:r>
      <w:r>
        <w:rPr>
          <w:rFonts w:hint="eastAsia"/>
          <w:color w:val="auto"/>
          <w:highlight w:val="none"/>
        </w:rPr>
        <w:t>平台</w:t>
      </w:r>
      <w:r>
        <w:rPr>
          <w:rFonts w:hint="eastAsia"/>
          <w:color w:val="auto"/>
          <w:highlight w:val="none"/>
          <w:lang w:val="en-US"/>
        </w:rPr>
        <w:t>上</w:t>
      </w:r>
      <w:r>
        <w:rPr>
          <w:rFonts w:hint="eastAsia"/>
          <w:color w:val="auto"/>
          <w:highlight w:val="none"/>
        </w:rPr>
        <w:t>注册</w:t>
      </w:r>
      <w:r>
        <w:rPr>
          <w:rFonts w:hint="eastAsia"/>
          <w:color w:val="auto"/>
          <w:highlight w:val="none"/>
          <w:lang w:val="en-US"/>
        </w:rPr>
        <w:t>供应商账号</w:t>
      </w:r>
      <w:r>
        <w:rPr>
          <w:rFonts w:hint="eastAsia"/>
          <w:color w:val="auto"/>
          <w:highlight w:val="none"/>
        </w:rPr>
        <w:t>。编制电子</w:t>
      </w:r>
      <w:r>
        <w:rPr>
          <w:rFonts w:hint="eastAsia"/>
          <w:color w:val="auto"/>
          <w:highlight w:val="none"/>
          <w:lang w:val="en-US"/>
        </w:rPr>
        <w:t>投标</w:t>
      </w:r>
      <w:r>
        <w:rPr>
          <w:rFonts w:hint="eastAsia"/>
          <w:color w:val="auto"/>
          <w:highlight w:val="none"/>
        </w:rPr>
        <w:t>文件前还需</w:t>
      </w:r>
      <w:r>
        <w:rPr>
          <w:rFonts w:hint="eastAsia"/>
          <w:color w:val="auto"/>
          <w:highlight w:val="none"/>
          <w:lang w:val="en-US"/>
        </w:rPr>
        <w:t>申领CA证书并绑定帐号。投标人应充分考虑完成平台注册、申领CA证书等所需的时间。</w:t>
      </w:r>
      <w:r>
        <w:rPr>
          <w:rFonts w:hint="eastAsia"/>
          <w:color w:val="auto"/>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color w:val="auto"/>
          <w:highlight w:val="none"/>
          <w:lang w:val="en-US"/>
        </w:rPr>
        <w:t>投标人</w:t>
      </w:r>
      <w:r>
        <w:rPr>
          <w:rFonts w:hint="eastAsia"/>
          <w:color w:val="auto"/>
          <w:highlight w:val="none"/>
        </w:rPr>
        <w:t>登录</w:t>
      </w:r>
      <w:r>
        <w:rPr>
          <w:rFonts w:hint="eastAsia"/>
          <w:color w:val="auto"/>
          <w:highlight w:val="none"/>
          <w:lang w:val="en-US"/>
        </w:rPr>
        <w:t>新疆</w:t>
      </w:r>
      <w:r>
        <w:rPr>
          <w:rFonts w:hint="eastAsia"/>
          <w:color w:val="auto"/>
          <w:highlight w:val="none"/>
        </w:rPr>
        <w:t>政府采购网“供应商注册”—“政府采购供应商入驻登记”—“立即登记”进行自助注册绑定。</w:t>
      </w:r>
    </w:p>
    <w:p w14:paraId="29858F07">
      <w:pPr>
        <w:pStyle w:val="20"/>
        <w:rPr>
          <w:rFonts w:hint="eastAsia"/>
          <w:color w:val="auto"/>
          <w:highlight w:val="none"/>
        </w:rPr>
      </w:pPr>
      <w:r>
        <w:rPr>
          <w:rFonts w:hint="eastAsia"/>
          <w:color w:val="auto"/>
          <w:highlight w:val="none"/>
          <w:lang w:val="en-US"/>
        </w:rPr>
        <w:t>10.</w:t>
      </w:r>
      <w:r>
        <w:rPr>
          <w:rFonts w:hint="eastAsia"/>
          <w:color w:val="auto"/>
          <w:highlight w:val="none"/>
        </w:rPr>
        <w:t>2</w:t>
      </w:r>
      <w:r>
        <w:rPr>
          <w:rFonts w:hint="eastAsia"/>
          <w:color w:val="auto"/>
          <w:highlight w:val="none"/>
          <w:lang w:val="en-US"/>
        </w:rPr>
        <w:t xml:space="preserve"> </w:t>
      </w:r>
      <w:r>
        <w:rPr>
          <w:rFonts w:hint="eastAsia"/>
          <w:color w:val="auto"/>
          <w:highlight w:val="none"/>
        </w:rPr>
        <w:t>投标人将</w:t>
      </w:r>
      <w:r>
        <w:rPr>
          <w:rFonts w:hint="eastAsia"/>
          <w:color w:val="auto"/>
          <w:highlight w:val="none"/>
          <w:lang w:val="en-US"/>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平台电子交易客户端下载、安装完成后，可通过账号密码或CA登录客户端进行投标文件制作。在使用政采云“投标客户端”时，建议使用WIN7及以上操作系统。</w:t>
      </w:r>
      <w:r>
        <w:rPr>
          <w:rFonts w:hint="eastAsia"/>
          <w:color w:val="auto"/>
          <w:highlight w:val="none"/>
          <w:lang w:val="en-US"/>
        </w:rPr>
        <w:t>投标人</w:t>
      </w:r>
      <w:r>
        <w:rPr>
          <w:rFonts w:hint="eastAsia"/>
          <w:color w:val="auto"/>
          <w:highlight w:val="none"/>
        </w:rPr>
        <w:t>登录</w:t>
      </w:r>
      <w:r>
        <w:rPr>
          <w:rFonts w:hint="eastAsia"/>
          <w:color w:val="auto"/>
          <w:highlight w:val="none"/>
          <w:lang w:val="en-US"/>
        </w:rPr>
        <w:t>新疆</w:t>
      </w:r>
      <w:r>
        <w:rPr>
          <w:rFonts w:hint="eastAsia"/>
          <w:color w:val="auto"/>
          <w:highlight w:val="none"/>
        </w:rPr>
        <w:t>政府采购网“下载专区”—“电子招投标客户端下载”下载相关客户端，如有问题可拨打政采云客户服务热线95763进行咨询。</w:t>
      </w:r>
    </w:p>
    <w:p w14:paraId="3B428868">
      <w:pPr>
        <w:pStyle w:val="20"/>
        <w:rPr>
          <w:rFonts w:hint="eastAsia"/>
          <w:color w:val="auto"/>
          <w:highlight w:val="none"/>
        </w:rPr>
      </w:pPr>
      <w:r>
        <w:rPr>
          <w:rFonts w:hint="eastAsia"/>
          <w:color w:val="auto"/>
          <w:highlight w:val="none"/>
          <w:lang w:val="en-US"/>
        </w:rPr>
        <w:t>10.</w:t>
      </w:r>
      <w:r>
        <w:rPr>
          <w:rFonts w:hint="eastAsia"/>
          <w:color w:val="auto"/>
          <w:highlight w:val="none"/>
        </w:rPr>
        <w:t>3</w:t>
      </w:r>
      <w:r>
        <w:rPr>
          <w:rFonts w:hint="eastAsia"/>
          <w:color w:val="auto"/>
          <w:highlight w:val="none"/>
          <w:lang w:val="en-US"/>
        </w:rPr>
        <w:t xml:space="preserve"> </w:t>
      </w:r>
      <w:r>
        <w:rPr>
          <w:rFonts w:hint="eastAsia"/>
          <w:color w:val="auto"/>
          <w:highlight w:val="none"/>
        </w:rPr>
        <w:t>加密的电子投标文件应在投标文件递交截止时间前通过政采云平台上传完成。逾期上传或者未上传指定地点的投标文件，不予受理。</w:t>
      </w:r>
    </w:p>
    <w:p w14:paraId="4273C681">
      <w:pPr>
        <w:pStyle w:val="20"/>
        <w:rPr>
          <w:rFonts w:hint="eastAsia"/>
          <w:color w:val="auto"/>
          <w:highlight w:val="none"/>
        </w:rPr>
      </w:pPr>
      <w:r>
        <w:rPr>
          <w:rFonts w:hint="eastAsia"/>
          <w:color w:val="auto"/>
          <w:highlight w:val="none"/>
          <w:lang w:val="en-US"/>
        </w:rPr>
        <w:t>10.</w:t>
      </w:r>
      <w:r>
        <w:rPr>
          <w:rFonts w:hint="eastAsia"/>
          <w:color w:val="auto"/>
          <w:highlight w:val="none"/>
        </w:rPr>
        <w:t>4</w:t>
      </w:r>
      <w:r>
        <w:rPr>
          <w:rFonts w:hint="eastAsia"/>
          <w:color w:val="auto"/>
          <w:highlight w:val="none"/>
          <w:lang w:val="en-US"/>
        </w:rPr>
        <w:t xml:space="preserve"> </w:t>
      </w:r>
      <w:r>
        <w:rPr>
          <w:rFonts w:hint="eastAsia"/>
          <w:color w:val="auto"/>
          <w:highlight w:val="none"/>
        </w:rPr>
        <w:t>投标人在开标前须提前配置好电脑</w:t>
      </w:r>
      <w:r>
        <w:rPr>
          <w:rFonts w:hint="eastAsia"/>
          <w:color w:val="auto"/>
          <w:highlight w:val="none"/>
          <w:lang w:val="en-US"/>
        </w:rPr>
        <w:t>及</w:t>
      </w:r>
      <w:r>
        <w:rPr>
          <w:rFonts w:hint="eastAsia"/>
          <w:color w:val="auto"/>
          <w:highlight w:val="none"/>
        </w:rPr>
        <w:t>浏览器，开标时请使用制作加密电子投标文件的CA锁进行解密及报价确认。本项目投标文件解密时间</w:t>
      </w:r>
      <w:r>
        <w:rPr>
          <w:rFonts w:hint="eastAsia"/>
          <w:color w:val="auto"/>
          <w:highlight w:val="none"/>
          <w:lang w:val="en-US"/>
        </w:rPr>
        <w:t>详见“投标人须知前附表”</w:t>
      </w:r>
      <w:r>
        <w:rPr>
          <w:rFonts w:hint="eastAsia"/>
          <w:color w:val="auto"/>
          <w:highlight w:val="none"/>
        </w:rPr>
        <w:t>，如因自身原因导致无法正常解密，后果由投标人自行承担。</w:t>
      </w:r>
    </w:p>
    <w:p w14:paraId="11B6A208">
      <w:pPr>
        <w:pStyle w:val="20"/>
        <w:rPr>
          <w:rFonts w:hint="eastAsia"/>
          <w:color w:val="auto"/>
          <w:highlight w:val="none"/>
        </w:rPr>
      </w:pPr>
      <w:r>
        <w:rPr>
          <w:rFonts w:hint="eastAsia"/>
          <w:color w:val="auto"/>
          <w:highlight w:val="none"/>
          <w:lang w:val="en-US"/>
        </w:rPr>
        <w:t>10.</w:t>
      </w:r>
      <w:r>
        <w:rPr>
          <w:rFonts w:hint="eastAsia"/>
          <w:color w:val="auto"/>
          <w:highlight w:val="none"/>
        </w:rPr>
        <w:t>5</w:t>
      </w:r>
      <w:r>
        <w:rPr>
          <w:rFonts w:hint="eastAsia"/>
          <w:color w:val="auto"/>
          <w:highlight w:val="none"/>
          <w:lang w:val="en-US"/>
        </w:rPr>
        <w:t xml:space="preserve"> </w:t>
      </w:r>
      <w:r>
        <w:rPr>
          <w:rFonts w:hint="eastAsia"/>
          <w:color w:val="auto"/>
          <w:highlight w:val="none"/>
        </w:rPr>
        <w:t>如遇“</w:t>
      </w:r>
      <w:r>
        <w:rPr>
          <w:rFonts w:hint="eastAsia"/>
          <w:color w:val="auto"/>
          <w:highlight w:val="none"/>
          <w:lang w:val="en-US"/>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w:t>
      </w:r>
      <w:r>
        <w:rPr>
          <w:rFonts w:hint="eastAsia"/>
          <w:color w:val="auto"/>
          <w:highlight w:val="none"/>
          <w:lang w:val="hr-HR"/>
        </w:rPr>
        <w:t>（</w:t>
      </w:r>
      <w:r>
        <w:rPr>
          <w:rFonts w:hint="eastAsia"/>
          <w:color w:val="auto"/>
          <w:highlight w:val="none"/>
        </w:rPr>
        <w:t>网址</w:t>
      </w:r>
      <w:r>
        <w:rPr>
          <w:rFonts w:hint="eastAsia"/>
          <w:color w:val="auto"/>
          <w:highlight w:val="none"/>
          <w:lang w:val="hr-HR"/>
        </w:rPr>
        <w:t>：http：//www.ccgp-xinjiang.gov.cn/）</w:t>
      </w:r>
      <w:r>
        <w:rPr>
          <w:rFonts w:hint="eastAsia"/>
          <w:color w:val="auto"/>
          <w:highlight w:val="none"/>
        </w:rPr>
        <w:t>”电子交易规则调整，以最新要求为准。</w:t>
      </w:r>
    </w:p>
    <w:p w14:paraId="25354051">
      <w:pPr>
        <w:pStyle w:val="20"/>
        <w:rPr>
          <w:rFonts w:hint="eastAsia"/>
          <w:color w:val="auto"/>
          <w:highlight w:val="none"/>
          <w:lang w:val="en-US"/>
        </w:rPr>
      </w:pPr>
      <w:r>
        <w:rPr>
          <w:rFonts w:hint="eastAsia"/>
          <w:color w:val="auto"/>
          <w:highlight w:val="none"/>
          <w:lang w:val="en-US"/>
        </w:rPr>
        <w:t>10.6 电子交易系统咨询：投标人应当充分考虑到电子投标可能会发生的各种问题和风险，特别是投标文件签署、提交等问题，可按照“第一章 招标公告”的联系方式咨询相关人员。</w:t>
      </w:r>
    </w:p>
    <w:p w14:paraId="76D008F6">
      <w:pPr>
        <w:pStyle w:val="20"/>
        <w:rPr>
          <w:rFonts w:hint="eastAsia"/>
          <w:color w:val="auto"/>
          <w:highlight w:val="none"/>
          <w:lang w:val="en-US"/>
        </w:rPr>
      </w:pPr>
      <w:r>
        <w:rPr>
          <w:rFonts w:hint="eastAsia"/>
          <w:color w:val="auto"/>
          <w:highlight w:val="none"/>
          <w:lang w:val="en-US"/>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6B197DBF">
      <w:pPr>
        <w:pStyle w:val="6"/>
        <w:keepNext w:val="0"/>
        <w:keepLines w:val="0"/>
        <w:spacing w:before="180" w:after="180" w:line="240" w:lineRule="auto"/>
        <w:ind w:left="420" w:hanging="420"/>
        <w:rPr>
          <w:rFonts w:hint="eastAsia" w:cs="宋体"/>
          <w:color w:val="auto"/>
          <w:sz w:val="24"/>
          <w:highlight w:val="none"/>
        </w:rPr>
      </w:pPr>
      <w:bookmarkStart w:id="143" w:name="_Toc163492834"/>
      <w:r>
        <w:rPr>
          <w:rFonts w:hint="eastAsia" w:cs="宋体"/>
          <w:color w:val="auto"/>
          <w:sz w:val="24"/>
          <w:highlight w:val="none"/>
        </w:rPr>
        <w:t>（二）招标文件</w:t>
      </w:r>
      <w:bookmarkEnd w:id="142"/>
      <w:bookmarkEnd w:id="143"/>
    </w:p>
    <w:p w14:paraId="019993D0">
      <w:pPr>
        <w:pStyle w:val="7"/>
        <w:keepNext w:val="0"/>
        <w:keepLines w:val="0"/>
        <w:spacing w:before="80" w:after="60" w:line="240" w:lineRule="auto"/>
        <w:ind w:left="420" w:hanging="420"/>
        <w:rPr>
          <w:rFonts w:hint="eastAsia" w:ascii="宋体" w:hAnsi="宋体" w:cs="宋体"/>
          <w:color w:val="auto"/>
          <w:sz w:val="24"/>
          <w:highlight w:val="none"/>
        </w:rPr>
      </w:pPr>
      <w:bookmarkStart w:id="144" w:name="_Toc140132768"/>
      <w:bookmarkStart w:id="145" w:name="_Toc163492835"/>
      <w:r>
        <w:rPr>
          <w:rFonts w:hint="eastAsia" w:ascii="宋体" w:hAnsi="宋体" w:cs="宋体"/>
          <w:color w:val="auto"/>
          <w:sz w:val="24"/>
          <w:highlight w:val="none"/>
        </w:rPr>
        <w:t>11.招标文件的组成</w:t>
      </w:r>
      <w:bookmarkEnd w:id="144"/>
      <w:bookmarkEnd w:id="145"/>
    </w:p>
    <w:p w14:paraId="7B2F2B9E">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1.1本招标文件包括下列文件及根据本章第9款、第</w:t>
      </w:r>
      <w:r>
        <w:rPr>
          <w:rFonts w:cs="仿宋_GB2312"/>
          <w:color w:val="auto"/>
          <w:szCs w:val="24"/>
          <w:highlight w:val="none"/>
        </w:rPr>
        <w:t>1</w:t>
      </w:r>
      <w:r>
        <w:rPr>
          <w:rFonts w:hint="eastAsia" w:cs="仿宋_GB2312"/>
          <w:color w:val="auto"/>
          <w:szCs w:val="24"/>
          <w:highlight w:val="none"/>
        </w:rPr>
        <w:t>2款对招标文件所作的澄清或者修改。</w:t>
      </w:r>
    </w:p>
    <w:p w14:paraId="6784FAD0">
      <w:pPr>
        <w:ind w:firstLine="480" w:firstLineChars="200"/>
        <w:rPr>
          <w:rFonts w:hint="eastAsia" w:cs="仿宋_GB2312"/>
          <w:color w:val="auto"/>
          <w:szCs w:val="24"/>
          <w:highlight w:val="none"/>
        </w:rPr>
      </w:pPr>
      <w:r>
        <w:rPr>
          <w:rFonts w:hint="eastAsia" w:cs="仿宋_GB2312"/>
          <w:color w:val="auto"/>
          <w:szCs w:val="24"/>
          <w:highlight w:val="none"/>
        </w:rPr>
        <w:t xml:space="preserve">第一章 </w:t>
      </w:r>
      <w:r>
        <w:rPr>
          <w:rFonts w:hint="eastAsia"/>
          <w:color w:val="auto"/>
          <w:highlight w:val="none"/>
        </w:rPr>
        <w:t>招标公告</w:t>
      </w:r>
    </w:p>
    <w:p w14:paraId="4A5B9203">
      <w:pPr>
        <w:ind w:firstLine="480" w:firstLineChars="200"/>
        <w:rPr>
          <w:rFonts w:hint="eastAsia" w:cs="仿宋_GB2312"/>
          <w:color w:val="auto"/>
          <w:szCs w:val="24"/>
          <w:highlight w:val="none"/>
        </w:rPr>
      </w:pPr>
      <w:r>
        <w:rPr>
          <w:rFonts w:hint="eastAsia" w:cs="仿宋_GB2312"/>
          <w:color w:val="auto"/>
          <w:szCs w:val="24"/>
          <w:highlight w:val="none"/>
        </w:rPr>
        <w:t>第二章 投标人须知</w:t>
      </w:r>
    </w:p>
    <w:p w14:paraId="088913C7">
      <w:pPr>
        <w:ind w:firstLine="480" w:firstLineChars="200"/>
        <w:rPr>
          <w:rFonts w:hint="eastAsia" w:cs="仿宋_GB2312"/>
          <w:color w:val="auto"/>
          <w:szCs w:val="24"/>
          <w:highlight w:val="none"/>
        </w:rPr>
      </w:pPr>
      <w:r>
        <w:rPr>
          <w:rFonts w:hint="eastAsia" w:cs="仿宋_GB2312"/>
          <w:color w:val="auto"/>
          <w:szCs w:val="24"/>
          <w:highlight w:val="none"/>
        </w:rPr>
        <w:t>第三章 采购需求</w:t>
      </w:r>
    </w:p>
    <w:p w14:paraId="2FF6D78D">
      <w:pPr>
        <w:ind w:firstLine="480" w:firstLineChars="200"/>
        <w:rPr>
          <w:rFonts w:hint="eastAsia" w:cs="仿宋_GB2312"/>
          <w:color w:val="auto"/>
          <w:szCs w:val="24"/>
          <w:highlight w:val="none"/>
        </w:rPr>
      </w:pPr>
      <w:r>
        <w:rPr>
          <w:rFonts w:hint="eastAsia" w:cs="仿宋_GB2312"/>
          <w:color w:val="auto"/>
          <w:szCs w:val="24"/>
          <w:highlight w:val="none"/>
        </w:rPr>
        <w:t>第四章 资格审查</w:t>
      </w:r>
    </w:p>
    <w:p w14:paraId="6C1ED111">
      <w:pPr>
        <w:ind w:firstLine="480" w:firstLineChars="200"/>
        <w:rPr>
          <w:rFonts w:hint="eastAsia" w:cs="仿宋_GB2312"/>
          <w:color w:val="auto"/>
          <w:szCs w:val="24"/>
          <w:highlight w:val="none"/>
        </w:rPr>
      </w:pPr>
      <w:r>
        <w:rPr>
          <w:rFonts w:hint="eastAsia" w:cs="仿宋_GB2312"/>
          <w:color w:val="auto"/>
          <w:szCs w:val="24"/>
          <w:highlight w:val="none"/>
        </w:rPr>
        <w:t>第五章 评标方法及标准</w:t>
      </w:r>
    </w:p>
    <w:p w14:paraId="2C0DC9C2">
      <w:pPr>
        <w:ind w:firstLine="480" w:firstLineChars="200"/>
        <w:rPr>
          <w:rFonts w:hint="eastAsia" w:cs="仿宋_GB2312"/>
          <w:color w:val="auto"/>
          <w:szCs w:val="24"/>
          <w:highlight w:val="none"/>
        </w:rPr>
      </w:pPr>
      <w:r>
        <w:rPr>
          <w:rFonts w:hint="eastAsia" w:cs="仿宋_GB2312"/>
          <w:color w:val="auto"/>
          <w:szCs w:val="24"/>
          <w:highlight w:val="none"/>
        </w:rPr>
        <w:t>第六章 合同草案</w:t>
      </w:r>
    </w:p>
    <w:p w14:paraId="23194CE9">
      <w:pPr>
        <w:ind w:firstLine="480" w:firstLineChars="200"/>
        <w:rPr>
          <w:rFonts w:hint="eastAsia" w:cs="仿宋_GB2312"/>
          <w:color w:val="auto"/>
          <w:szCs w:val="24"/>
          <w:highlight w:val="none"/>
        </w:rPr>
      </w:pPr>
      <w:r>
        <w:rPr>
          <w:rFonts w:hint="eastAsia" w:cs="仿宋_GB2312"/>
          <w:color w:val="auto"/>
          <w:szCs w:val="24"/>
          <w:highlight w:val="none"/>
        </w:rPr>
        <w:t>第七章 投标文件的格式</w:t>
      </w:r>
    </w:p>
    <w:p w14:paraId="231BABF0">
      <w:pPr>
        <w:pStyle w:val="7"/>
        <w:keepNext w:val="0"/>
        <w:keepLines w:val="0"/>
        <w:spacing w:before="80" w:after="60" w:line="240" w:lineRule="auto"/>
        <w:ind w:left="420" w:hanging="420"/>
        <w:rPr>
          <w:rFonts w:hint="eastAsia" w:ascii="宋体" w:hAnsi="宋体" w:cs="宋体"/>
          <w:color w:val="auto"/>
          <w:sz w:val="24"/>
          <w:highlight w:val="none"/>
        </w:rPr>
      </w:pPr>
      <w:bookmarkStart w:id="146" w:name="_Toc163492836"/>
      <w:bookmarkStart w:id="147" w:name="_Toc140132769"/>
      <w:r>
        <w:rPr>
          <w:rFonts w:hint="eastAsia" w:ascii="宋体" w:hAnsi="宋体" w:cs="宋体"/>
          <w:color w:val="auto"/>
          <w:sz w:val="24"/>
          <w:highlight w:val="none"/>
        </w:rPr>
        <w:t>12.招标文件的询问、澄清或者修改</w:t>
      </w:r>
      <w:bookmarkEnd w:id="146"/>
      <w:bookmarkEnd w:id="147"/>
    </w:p>
    <w:p w14:paraId="5FA1505F">
      <w:pPr>
        <w:ind w:firstLine="480" w:firstLineChars="200"/>
        <w:rPr>
          <w:rFonts w:hint="eastAsia" w:cs="仿宋_GB2312"/>
          <w:color w:val="auto"/>
          <w:szCs w:val="24"/>
          <w:highlight w:val="none"/>
        </w:rPr>
      </w:pPr>
      <w:r>
        <w:rPr>
          <w:rFonts w:hint="eastAsia" w:cs="仿宋_GB2312"/>
          <w:color w:val="auto"/>
          <w:szCs w:val="24"/>
          <w:highlight w:val="none"/>
        </w:rPr>
        <w:t>12</w:t>
      </w:r>
      <w:r>
        <w:rPr>
          <w:rFonts w:cs="仿宋_GB2312"/>
          <w:color w:val="auto"/>
          <w:szCs w:val="24"/>
          <w:highlight w:val="none"/>
        </w:rPr>
        <w:t>.</w:t>
      </w:r>
      <w:r>
        <w:rPr>
          <w:rFonts w:hint="eastAsia" w:cs="仿宋_GB2312"/>
          <w:color w:val="auto"/>
          <w:szCs w:val="24"/>
          <w:highlight w:val="none"/>
        </w:rPr>
        <w:t>1</w:t>
      </w:r>
      <w:r>
        <w:rPr>
          <w:rFonts w:cs="仿宋_GB2312"/>
          <w:color w:val="auto"/>
          <w:szCs w:val="24"/>
          <w:highlight w:val="none"/>
        </w:rPr>
        <w:t>投标人如对招标文件内容有疑问，须在</w:t>
      </w:r>
      <w:r>
        <w:rPr>
          <w:rFonts w:hint="eastAsia" w:cs="仿宋_GB2312"/>
          <w:color w:val="auto"/>
          <w:szCs w:val="24"/>
          <w:highlight w:val="none"/>
        </w:rPr>
        <w:t>“</w:t>
      </w:r>
      <w:r>
        <w:rPr>
          <w:rFonts w:cs="仿宋_GB2312"/>
          <w:color w:val="auto"/>
          <w:szCs w:val="24"/>
          <w:highlight w:val="none"/>
        </w:rPr>
        <w:t>投标人须知前附表</w:t>
      </w:r>
      <w:r>
        <w:rPr>
          <w:rFonts w:hint="eastAsia" w:cs="仿宋_GB2312"/>
          <w:color w:val="auto"/>
          <w:szCs w:val="24"/>
          <w:highlight w:val="none"/>
        </w:rPr>
        <w:t>”</w:t>
      </w:r>
      <w:r>
        <w:rPr>
          <w:rFonts w:cs="仿宋_GB2312"/>
          <w:color w:val="auto"/>
          <w:szCs w:val="24"/>
          <w:highlight w:val="none"/>
        </w:rPr>
        <w:t>规定的</w:t>
      </w:r>
      <w:r>
        <w:rPr>
          <w:rFonts w:hint="eastAsia" w:cs="仿宋_GB2312"/>
          <w:color w:val="auto"/>
          <w:szCs w:val="24"/>
          <w:highlight w:val="none"/>
        </w:rPr>
        <w:t>询问方式和</w:t>
      </w:r>
      <w:r>
        <w:rPr>
          <w:rFonts w:cs="仿宋_GB2312"/>
          <w:color w:val="auto"/>
          <w:szCs w:val="24"/>
          <w:highlight w:val="none"/>
        </w:rPr>
        <w:t>时间提交给</w:t>
      </w:r>
      <w:r>
        <w:rPr>
          <w:rFonts w:hint="eastAsia" w:cs="仿宋_GB2312"/>
          <w:color w:val="auto"/>
          <w:szCs w:val="24"/>
          <w:highlight w:val="none"/>
        </w:rPr>
        <w:t>采购人或</w:t>
      </w:r>
      <w:r>
        <w:rPr>
          <w:rFonts w:cs="仿宋_GB2312"/>
          <w:color w:val="auto"/>
          <w:szCs w:val="24"/>
          <w:highlight w:val="none"/>
        </w:rPr>
        <w:t>采购代理机构。</w:t>
      </w:r>
    </w:p>
    <w:p w14:paraId="57ECC5B6">
      <w:pPr>
        <w:ind w:firstLine="480" w:firstLineChars="200"/>
        <w:rPr>
          <w:rFonts w:hint="eastAsia" w:cs="仿宋_GB2312"/>
          <w:color w:val="auto"/>
          <w:szCs w:val="24"/>
          <w:highlight w:val="none"/>
        </w:rPr>
      </w:pPr>
      <w:r>
        <w:rPr>
          <w:rFonts w:hint="eastAsia" w:cs="仿宋_GB2312"/>
          <w:color w:val="auto"/>
          <w:szCs w:val="24"/>
          <w:highlight w:val="none"/>
        </w:rPr>
        <w:t>12</w:t>
      </w:r>
      <w:r>
        <w:rPr>
          <w:rFonts w:cs="仿宋_GB2312"/>
          <w:color w:val="auto"/>
          <w:szCs w:val="24"/>
          <w:highlight w:val="none"/>
        </w:rPr>
        <w:t>.</w:t>
      </w:r>
      <w:r>
        <w:rPr>
          <w:rFonts w:hint="eastAsia" w:cs="仿宋_GB2312"/>
          <w:color w:val="auto"/>
          <w:szCs w:val="24"/>
          <w:highlight w:val="none"/>
        </w:rPr>
        <w:t>2采购人可主动地或在答复投标人提出的询问时对招标文件进行澄清与修改。</w:t>
      </w:r>
      <w:r>
        <w:rPr>
          <w:rFonts w:cs="仿宋_GB2312"/>
          <w:color w:val="auto"/>
          <w:szCs w:val="24"/>
          <w:highlight w:val="none"/>
        </w:rPr>
        <w:t>采购代理机构将</w:t>
      </w:r>
      <w:r>
        <w:rPr>
          <w:rFonts w:hint="eastAsia" w:cs="仿宋_GB2312"/>
          <w:color w:val="auto"/>
          <w:szCs w:val="24"/>
          <w:highlight w:val="none"/>
        </w:rPr>
        <w:t>在</w:t>
      </w:r>
      <w:r>
        <w:rPr>
          <w:rFonts w:hint="eastAsia"/>
          <w:color w:val="auto"/>
          <w:highlight w:val="none"/>
        </w:rPr>
        <w:t>新疆</w:t>
      </w:r>
      <w:r>
        <w:rPr>
          <w:rFonts w:hint="eastAsia" w:cs="仿宋_GB2312"/>
          <w:color w:val="auto"/>
          <w:szCs w:val="24"/>
          <w:highlight w:val="none"/>
        </w:rPr>
        <w:t>政府采购云平台以发布更正公告的方式澄清或修改招标文件，更正公告的</w:t>
      </w:r>
      <w:r>
        <w:rPr>
          <w:rFonts w:cs="仿宋_GB2312"/>
          <w:color w:val="auto"/>
          <w:szCs w:val="24"/>
          <w:highlight w:val="none"/>
        </w:rPr>
        <w:t>内容</w:t>
      </w:r>
      <w:r>
        <w:rPr>
          <w:rFonts w:hint="eastAsia" w:cs="仿宋_GB2312"/>
          <w:color w:val="auto"/>
          <w:szCs w:val="24"/>
          <w:highlight w:val="none"/>
        </w:rPr>
        <w:t>作</w:t>
      </w:r>
      <w:r>
        <w:rPr>
          <w:rFonts w:cs="仿宋_GB2312"/>
          <w:color w:val="auto"/>
          <w:szCs w:val="24"/>
          <w:highlight w:val="none"/>
        </w:rPr>
        <w:t>为招标文件</w:t>
      </w:r>
      <w:r>
        <w:rPr>
          <w:rFonts w:hint="eastAsia" w:cs="仿宋_GB2312"/>
          <w:color w:val="auto"/>
          <w:szCs w:val="24"/>
          <w:highlight w:val="none"/>
        </w:rPr>
        <w:t>的</w:t>
      </w:r>
      <w:r>
        <w:rPr>
          <w:rFonts w:cs="仿宋_GB2312"/>
          <w:color w:val="auto"/>
          <w:szCs w:val="24"/>
          <w:highlight w:val="none"/>
        </w:rPr>
        <w:t>组成部分，对投标人起约束作用</w:t>
      </w:r>
      <w:r>
        <w:rPr>
          <w:rFonts w:hint="eastAsia" w:cs="仿宋_GB2312"/>
          <w:color w:val="auto"/>
          <w:szCs w:val="24"/>
          <w:highlight w:val="none"/>
        </w:rPr>
        <w:t>。投标人应主动上网查询。采购代理机构不承担投标人未及时关注相关信息引发的相关责任。</w:t>
      </w:r>
    </w:p>
    <w:p w14:paraId="2D9B5E98">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2.3 招标文件的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19752C58">
      <w:pPr>
        <w:ind w:firstLine="480" w:firstLineChars="200"/>
        <w:rPr>
          <w:rFonts w:hint="eastAsia" w:cs="仿宋_GB2312"/>
          <w:color w:val="auto"/>
          <w:szCs w:val="24"/>
          <w:highlight w:val="none"/>
        </w:rPr>
      </w:pPr>
      <w:r>
        <w:rPr>
          <w:rFonts w:hint="eastAsia" w:cs="仿宋_GB2312"/>
          <w:color w:val="auto"/>
          <w:szCs w:val="24"/>
          <w:highlight w:val="none"/>
        </w:rPr>
        <w:t>12.4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2C48CE55">
      <w:pPr>
        <w:ind w:firstLine="480" w:firstLineChars="200"/>
        <w:rPr>
          <w:rFonts w:hint="eastAsia" w:cs="仿宋_GB2312"/>
          <w:color w:val="auto"/>
          <w:szCs w:val="24"/>
          <w:highlight w:val="none"/>
        </w:rPr>
      </w:pPr>
      <w:r>
        <w:rPr>
          <w:rFonts w:hint="eastAsia" w:cs="仿宋_GB2312"/>
          <w:color w:val="auto"/>
          <w:szCs w:val="24"/>
          <w:highlight w:val="none"/>
        </w:rPr>
        <w:t>12.5</w:t>
      </w:r>
      <w:r>
        <w:rPr>
          <w:rFonts w:cs="仿宋_GB2312"/>
          <w:color w:val="auto"/>
          <w:szCs w:val="24"/>
          <w:highlight w:val="none"/>
        </w:rPr>
        <w:t>对于没有提出</w:t>
      </w:r>
      <w:r>
        <w:rPr>
          <w:rFonts w:hint="eastAsia" w:cs="仿宋_GB2312"/>
          <w:color w:val="auto"/>
          <w:szCs w:val="24"/>
          <w:highlight w:val="none"/>
        </w:rPr>
        <w:t>疑问</w:t>
      </w:r>
      <w:r>
        <w:rPr>
          <w:rFonts w:cs="仿宋_GB2312"/>
          <w:color w:val="auto"/>
          <w:szCs w:val="24"/>
          <w:highlight w:val="none"/>
        </w:rPr>
        <w:t>又参与了</w:t>
      </w:r>
      <w:r>
        <w:rPr>
          <w:rFonts w:hint="eastAsia" w:cs="仿宋_GB2312"/>
          <w:color w:val="auto"/>
          <w:szCs w:val="24"/>
          <w:highlight w:val="none"/>
        </w:rPr>
        <w:t>本</w:t>
      </w:r>
      <w:r>
        <w:rPr>
          <w:rFonts w:cs="仿宋_GB2312"/>
          <w:color w:val="auto"/>
          <w:szCs w:val="24"/>
          <w:highlight w:val="none"/>
        </w:rPr>
        <w:t>项目投标的</w:t>
      </w:r>
      <w:r>
        <w:rPr>
          <w:rFonts w:hint="eastAsia" w:cs="仿宋_GB2312"/>
          <w:color w:val="auto"/>
          <w:szCs w:val="24"/>
          <w:highlight w:val="none"/>
        </w:rPr>
        <w:t>投标人</w:t>
      </w:r>
      <w:r>
        <w:rPr>
          <w:rFonts w:cs="仿宋_GB2312"/>
          <w:color w:val="auto"/>
          <w:szCs w:val="24"/>
          <w:highlight w:val="none"/>
        </w:rPr>
        <w:t>将被视为完全认同</w:t>
      </w:r>
      <w:r>
        <w:rPr>
          <w:rFonts w:hint="eastAsia" w:cs="仿宋_GB2312"/>
          <w:color w:val="auto"/>
          <w:szCs w:val="24"/>
          <w:highlight w:val="none"/>
        </w:rPr>
        <w:t>本</w:t>
      </w:r>
      <w:r>
        <w:rPr>
          <w:rFonts w:cs="仿宋_GB2312"/>
          <w:color w:val="auto"/>
          <w:szCs w:val="24"/>
          <w:highlight w:val="none"/>
        </w:rPr>
        <w:t>招标文件</w:t>
      </w:r>
      <w:r>
        <w:rPr>
          <w:rFonts w:hint="eastAsia" w:cs="仿宋_GB2312"/>
          <w:color w:val="auto"/>
          <w:szCs w:val="24"/>
          <w:highlight w:val="none"/>
        </w:rPr>
        <w:t>（</w:t>
      </w:r>
      <w:r>
        <w:rPr>
          <w:rFonts w:cs="仿宋_GB2312"/>
          <w:color w:val="auto"/>
          <w:szCs w:val="24"/>
          <w:highlight w:val="none"/>
        </w:rPr>
        <w:t>含</w:t>
      </w:r>
      <w:r>
        <w:rPr>
          <w:rFonts w:hint="eastAsia" w:cs="仿宋_GB2312"/>
          <w:color w:val="auto"/>
          <w:szCs w:val="24"/>
          <w:highlight w:val="none"/>
        </w:rPr>
        <w:t>更正公告的</w:t>
      </w:r>
      <w:r>
        <w:rPr>
          <w:rFonts w:cs="仿宋_GB2312"/>
          <w:color w:val="auto"/>
          <w:szCs w:val="24"/>
          <w:highlight w:val="none"/>
        </w:rPr>
        <w:t>内容）</w:t>
      </w:r>
      <w:r>
        <w:rPr>
          <w:rFonts w:hint="eastAsia" w:cs="仿宋_GB2312"/>
          <w:color w:val="auto"/>
          <w:szCs w:val="24"/>
          <w:highlight w:val="none"/>
        </w:rPr>
        <w:t>。</w:t>
      </w:r>
    </w:p>
    <w:p w14:paraId="10649062">
      <w:pPr>
        <w:pStyle w:val="20"/>
        <w:rPr>
          <w:rFonts w:hint="eastAsia"/>
          <w:color w:val="auto"/>
          <w:highlight w:val="none"/>
        </w:rPr>
      </w:pPr>
      <w:r>
        <w:rPr>
          <w:color w:val="auto"/>
          <w:highlight w:val="none"/>
        </w:rPr>
        <w:t>1</w:t>
      </w:r>
      <w:r>
        <w:rPr>
          <w:rFonts w:hint="eastAsia"/>
          <w:color w:val="auto"/>
          <w:highlight w:val="none"/>
          <w:lang w:val="en-US"/>
        </w:rPr>
        <w:t>2</w:t>
      </w:r>
      <w:r>
        <w:rPr>
          <w:color w:val="auto"/>
          <w:highlight w:val="none"/>
        </w:rPr>
        <w:t>.</w:t>
      </w:r>
      <w:r>
        <w:rPr>
          <w:rFonts w:hint="eastAsia"/>
          <w:color w:val="auto"/>
          <w:highlight w:val="none"/>
          <w:lang w:val="en-US"/>
        </w:rPr>
        <w:t>6</w:t>
      </w:r>
      <w:r>
        <w:rPr>
          <w:rFonts w:hint="eastAsia"/>
          <w:color w:val="auto"/>
          <w:highlight w:val="none"/>
        </w:rPr>
        <w:t xml:space="preserve"> </w:t>
      </w:r>
      <w:r>
        <w:rPr>
          <w:rFonts w:hint="eastAsia" w:cs="仿宋_GB2312"/>
          <w:color w:val="auto"/>
          <w:szCs w:val="24"/>
          <w:highlight w:val="none"/>
          <w:lang w:val="en-US"/>
        </w:rPr>
        <w:t>“</w:t>
      </w:r>
      <w:r>
        <w:rPr>
          <w:rFonts w:hint="eastAsia" w:cs="仿宋_GB2312"/>
          <w:color w:val="auto"/>
          <w:szCs w:val="24"/>
          <w:highlight w:val="none"/>
        </w:rPr>
        <w:t>投标人须知”所称“</w:t>
      </w:r>
      <w:r>
        <w:rPr>
          <w:rFonts w:hint="eastAsia"/>
          <w:color w:val="auto"/>
          <w:highlight w:val="none"/>
        </w:rPr>
        <w:t>书面形式</w:t>
      </w:r>
      <w:r>
        <w:rPr>
          <w:rFonts w:hint="eastAsia" w:cs="仿宋_GB2312"/>
          <w:color w:val="auto"/>
          <w:szCs w:val="24"/>
          <w:highlight w:val="none"/>
        </w:rPr>
        <w:t>”</w:t>
      </w:r>
      <w:r>
        <w:rPr>
          <w:rFonts w:hint="eastAsia"/>
          <w:color w:val="auto"/>
          <w:highlight w:val="none"/>
        </w:rPr>
        <w:t>包括系统消息、政府采购</w:t>
      </w:r>
      <w:r>
        <w:rPr>
          <w:rFonts w:hint="eastAsia"/>
          <w:color w:val="auto"/>
          <w:highlight w:val="none"/>
          <w:lang w:val="en-US"/>
        </w:rPr>
        <w:t>云平台</w:t>
      </w:r>
      <w:r>
        <w:rPr>
          <w:rFonts w:hint="eastAsia"/>
          <w:color w:val="auto"/>
          <w:highlight w:val="none"/>
        </w:rPr>
        <w:t>发布的公告。</w:t>
      </w:r>
    </w:p>
    <w:p w14:paraId="11A73605">
      <w:pPr>
        <w:pStyle w:val="27"/>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12.7当招标文件的澄清、修改及其他答复等就同一内容的表述不一致时，以最后发布的内容为准。</w:t>
      </w:r>
    </w:p>
    <w:p w14:paraId="111A5698">
      <w:pPr>
        <w:pStyle w:val="6"/>
        <w:keepNext w:val="0"/>
        <w:keepLines w:val="0"/>
        <w:spacing w:before="180" w:after="180" w:line="240" w:lineRule="auto"/>
        <w:ind w:left="420" w:hanging="420"/>
        <w:rPr>
          <w:rFonts w:hint="eastAsia" w:cs="宋体"/>
          <w:color w:val="auto"/>
          <w:sz w:val="24"/>
          <w:highlight w:val="none"/>
        </w:rPr>
      </w:pPr>
      <w:bookmarkStart w:id="148" w:name="_Toc163492837"/>
      <w:bookmarkStart w:id="149" w:name="_Toc155185872"/>
      <w:r>
        <w:rPr>
          <w:rFonts w:hint="eastAsia" w:cs="宋体"/>
          <w:color w:val="auto"/>
          <w:sz w:val="24"/>
          <w:highlight w:val="none"/>
        </w:rPr>
        <w:t>（三）投标文件</w:t>
      </w:r>
      <w:bookmarkEnd w:id="148"/>
      <w:bookmarkEnd w:id="149"/>
    </w:p>
    <w:p w14:paraId="642B3EC0">
      <w:pPr>
        <w:pStyle w:val="7"/>
        <w:keepNext w:val="0"/>
        <w:keepLines w:val="0"/>
        <w:spacing w:before="80" w:after="60" w:line="240" w:lineRule="auto"/>
        <w:ind w:left="420" w:hanging="420"/>
        <w:rPr>
          <w:rFonts w:hint="eastAsia" w:ascii="宋体" w:hAnsi="宋体" w:cs="宋体"/>
          <w:color w:val="auto"/>
          <w:sz w:val="24"/>
          <w:highlight w:val="none"/>
        </w:rPr>
      </w:pPr>
      <w:bookmarkStart w:id="150" w:name="_Toc163492838"/>
      <w:r>
        <w:rPr>
          <w:rFonts w:hint="eastAsia" w:ascii="宋体" w:hAnsi="宋体" w:cs="宋体"/>
          <w:color w:val="auto"/>
          <w:sz w:val="24"/>
          <w:highlight w:val="none"/>
        </w:rPr>
        <w:t>13.投标文件的组成</w:t>
      </w:r>
      <w:bookmarkEnd w:id="150"/>
    </w:p>
    <w:p w14:paraId="2E29B3B1">
      <w:pPr>
        <w:pStyle w:val="27"/>
        <w:spacing w:line="360" w:lineRule="auto"/>
        <w:ind w:firstLine="480" w:firstLineChars="200"/>
        <w:rPr>
          <w:rFonts w:hint="eastAsia" w:ascii="宋体" w:hAnsi="宋体" w:eastAsia="宋体" w:cs="宋体"/>
          <w:color w:val="auto"/>
          <w:kern w:val="2"/>
          <w:sz w:val="24"/>
          <w:szCs w:val="22"/>
          <w:highlight w:val="none"/>
        </w:rPr>
      </w:pPr>
      <w:bookmarkStart w:id="151" w:name="_Toc163492839"/>
      <w:bookmarkStart w:id="152" w:name="_Toc140132772"/>
      <w:r>
        <w:rPr>
          <w:rFonts w:hint="eastAsia" w:ascii="宋体" w:hAnsi="宋体" w:eastAsia="宋体" w:cs="宋体"/>
          <w:color w:val="auto"/>
          <w:kern w:val="2"/>
          <w:sz w:val="24"/>
          <w:szCs w:val="22"/>
          <w:highlight w:val="none"/>
        </w:rPr>
        <w:t>13.1投标人应完整地按招标文件提供的投标文件格式及要求编写投标文件，具体内容详见“第七章 投标文件格式”的相关内容。</w:t>
      </w:r>
    </w:p>
    <w:p w14:paraId="72F5F3EC">
      <w:pPr>
        <w:pStyle w:val="27"/>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153" w:name="_Hlk11703583"/>
      <w:r>
        <w:rPr>
          <w:rFonts w:hint="eastAsia" w:ascii="宋体" w:hAnsi="宋体" w:eastAsia="宋体" w:cs="宋体"/>
          <w:color w:val="auto"/>
          <w:kern w:val="2"/>
          <w:sz w:val="24"/>
          <w:szCs w:val="22"/>
          <w:highlight w:val="none"/>
        </w:rPr>
        <w:t>等。</w:t>
      </w:r>
    </w:p>
    <w:bookmarkEnd w:id="153"/>
    <w:p w14:paraId="731C6B46">
      <w:pPr>
        <w:pStyle w:val="27"/>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13.3为保证公平公正，除非本招标文件另有规定或说明，投标人对同一项目投标时，不得同时提供备选投标方案。</w:t>
      </w:r>
    </w:p>
    <w:p w14:paraId="002998E5">
      <w:pPr>
        <w:pStyle w:val="7"/>
        <w:keepNext w:val="0"/>
        <w:keepLines w:val="0"/>
        <w:spacing w:before="80" w:after="60" w:line="240" w:lineRule="auto"/>
        <w:ind w:left="420" w:hanging="420"/>
        <w:rPr>
          <w:rFonts w:hint="eastAsia" w:ascii="宋体" w:hAnsi="宋体" w:cs="宋体"/>
          <w:color w:val="auto"/>
          <w:sz w:val="24"/>
          <w:highlight w:val="none"/>
        </w:rPr>
      </w:pPr>
      <w:r>
        <w:rPr>
          <w:rFonts w:hint="eastAsia" w:ascii="宋体" w:hAnsi="宋体" w:cs="宋体"/>
          <w:color w:val="auto"/>
          <w:sz w:val="24"/>
          <w:highlight w:val="none"/>
        </w:rPr>
        <w:t>14.投标报价</w:t>
      </w:r>
      <w:bookmarkEnd w:id="151"/>
      <w:bookmarkEnd w:id="152"/>
    </w:p>
    <w:p w14:paraId="417F704B">
      <w:pPr>
        <w:ind w:firstLine="480" w:firstLineChars="200"/>
        <w:rPr>
          <w:rFonts w:hint="eastAsia" w:cs="宋体"/>
          <w:snapToGrid w:val="0"/>
          <w:color w:val="auto"/>
          <w:szCs w:val="24"/>
          <w:highlight w:val="none"/>
          <w:lang w:val="zh-CN"/>
        </w:rPr>
      </w:pPr>
      <w:r>
        <w:rPr>
          <w:rFonts w:cs="宋体"/>
          <w:snapToGrid w:val="0"/>
          <w:color w:val="auto"/>
          <w:szCs w:val="24"/>
          <w:highlight w:val="none"/>
        </w:rPr>
        <w:t>1</w:t>
      </w:r>
      <w:r>
        <w:rPr>
          <w:rFonts w:hint="eastAsia" w:cs="宋体"/>
          <w:snapToGrid w:val="0"/>
          <w:color w:val="auto"/>
          <w:szCs w:val="24"/>
          <w:highlight w:val="none"/>
        </w:rPr>
        <w:t xml:space="preserve">4.1 </w:t>
      </w:r>
      <w:r>
        <w:rPr>
          <w:rFonts w:hint="eastAsia" w:cs="宋体"/>
          <w:snapToGrid w:val="0"/>
          <w:color w:val="auto"/>
          <w:szCs w:val="24"/>
          <w:highlight w:val="none"/>
          <w:lang w:val="zh-CN"/>
        </w:rPr>
        <w:t>投标人的报价均应以人民币进行报价。</w:t>
      </w:r>
    </w:p>
    <w:p w14:paraId="3540EEDE">
      <w:pPr>
        <w:ind w:firstLine="480" w:firstLineChars="200"/>
        <w:rPr>
          <w:rFonts w:hint="eastAsia" w:cs="宋体"/>
          <w:snapToGrid w:val="0"/>
          <w:color w:val="auto"/>
          <w:szCs w:val="24"/>
          <w:highlight w:val="none"/>
        </w:rPr>
      </w:pPr>
      <w:r>
        <w:rPr>
          <w:rFonts w:cs="宋体"/>
          <w:snapToGrid w:val="0"/>
          <w:color w:val="auto"/>
          <w:szCs w:val="24"/>
          <w:highlight w:val="none"/>
        </w:rPr>
        <w:t>1</w:t>
      </w:r>
      <w:r>
        <w:rPr>
          <w:rFonts w:hint="eastAsia" w:cs="宋体"/>
          <w:snapToGrid w:val="0"/>
          <w:color w:val="auto"/>
          <w:szCs w:val="24"/>
          <w:highlight w:val="none"/>
        </w:rPr>
        <w:t>4.2 投标人应按照本招标文件规定的报价方式进行报价，投标报价中不得包含招标文件要求以外的内容，否则，在评标时不予核减。投标报价中也不得缺漏招标文件所要求的内容，否则其</w:t>
      </w:r>
      <w:r>
        <w:rPr>
          <w:rFonts w:hint="eastAsia" w:cs="宋体"/>
          <w:b/>
          <w:bCs/>
          <w:snapToGrid w:val="0"/>
          <w:color w:val="auto"/>
          <w:szCs w:val="24"/>
          <w:highlight w:val="none"/>
        </w:rPr>
        <w:t>投标无效</w:t>
      </w:r>
      <w:r>
        <w:rPr>
          <w:rFonts w:hint="eastAsia" w:cs="宋体"/>
          <w:snapToGrid w:val="0"/>
          <w:color w:val="auto"/>
          <w:szCs w:val="24"/>
          <w:highlight w:val="none"/>
        </w:rPr>
        <w:t>。</w:t>
      </w:r>
    </w:p>
    <w:p w14:paraId="577DD934">
      <w:pPr>
        <w:ind w:firstLine="480" w:firstLineChars="200"/>
        <w:rPr>
          <w:rFonts w:hint="eastAsia" w:cs="宋体"/>
          <w:color w:val="auto"/>
          <w:highlight w:val="none"/>
        </w:rPr>
      </w:pPr>
      <w:r>
        <w:rPr>
          <w:rFonts w:hint="eastAsia" w:cs="宋体"/>
          <w:color w:val="auto"/>
          <w:highlight w:val="none"/>
        </w:rPr>
        <w:t>投标人的报价应包括为完成本项目所发生的一切费用和税费，采购人将不再支付报价以外的任何费用。只要投报了一个确定数额的总价，无论分项价格是否全部填报了相应的金额或免费字样，该报价应被视为已包含但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2B27CB28">
      <w:pPr>
        <w:pStyle w:val="8"/>
        <w:ind w:firstLine="480"/>
        <w:rPr>
          <w:rFonts w:cs="宋体"/>
          <w:color w:val="auto"/>
          <w:highlight w:val="none"/>
        </w:rPr>
      </w:pPr>
      <w:r>
        <w:rPr>
          <w:rFonts w:hint="eastAsia" w:cs="宋体"/>
          <w:color w:val="auto"/>
          <w:highlight w:val="none"/>
        </w:rPr>
        <w:t xml:space="preserve">投标人的报价应包括但不限于下列内容： </w:t>
      </w:r>
    </w:p>
    <w:p w14:paraId="71203E38">
      <w:pPr>
        <w:pStyle w:val="8"/>
        <w:ind w:firstLine="480"/>
        <w:rPr>
          <w:rFonts w:cs="宋体"/>
          <w:color w:val="auto"/>
          <w:highlight w:val="none"/>
        </w:rPr>
      </w:pPr>
      <w:r>
        <w:rPr>
          <w:rFonts w:hint="eastAsia" w:ascii="宋体" w:hAnsi="宋体" w:cs="宋体"/>
          <w:snapToGrid w:val="0"/>
          <w:color w:val="auto"/>
          <w:szCs w:val="24"/>
          <w:highlight w:val="none"/>
        </w:rPr>
        <w:t>14.2.1 投标货物及标准附件、备品备件、专用工具等的出厂价（包括已在中</w:t>
      </w:r>
      <w:r>
        <w:rPr>
          <w:rFonts w:hint="eastAsia" w:cs="宋体"/>
          <w:color w:val="auto"/>
          <w:highlight w:val="none"/>
        </w:rPr>
        <w:t xml:space="preserve">国国内的进口货物完税后的仓库交货价、展室交货价或货架交货价）和运至最终目的地的运输费和保险费，安装调试、检验、技术服务、培训、质量保证、售后服务、税费等； </w:t>
      </w:r>
    </w:p>
    <w:p w14:paraId="5D4E2FE6">
      <w:pPr>
        <w:pStyle w:val="8"/>
        <w:ind w:firstLine="480"/>
        <w:rPr>
          <w:rFonts w:hint="eastAsia" w:ascii="宋体" w:hAnsi="宋体" w:cs="宋体"/>
          <w:snapToGrid w:val="0"/>
          <w:color w:val="auto"/>
          <w:szCs w:val="24"/>
          <w:highlight w:val="none"/>
        </w:rPr>
      </w:pPr>
      <w:r>
        <w:rPr>
          <w:rFonts w:hint="eastAsia" w:ascii="宋体" w:hAnsi="宋体" w:cs="宋体"/>
          <w:snapToGrid w:val="0"/>
          <w:color w:val="auto"/>
          <w:szCs w:val="24"/>
          <w:highlight w:val="none"/>
        </w:rPr>
        <w:t>14.2.2 按照招标文件要求完成本项目的全部相关费用。</w:t>
      </w:r>
    </w:p>
    <w:p w14:paraId="08465AEA">
      <w:pPr>
        <w:ind w:firstLine="480" w:firstLineChars="200"/>
        <w:rPr>
          <w:rFonts w:hint="eastAsia" w:cs="宋体"/>
          <w:snapToGrid w:val="0"/>
          <w:color w:val="auto"/>
          <w:szCs w:val="24"/>
          <w:highlight w:val="none"/>
          <w:lang w:val="zh-CN"/>
        </w:rPr>
      </w:pPr>
      <w:r>
        <w:rPr>
          <w:rFonts w:cs="宋体"/>
          <w:snapToGrid w:val="0"/>
          <w:color w:val="auto"/>
          <w:szCs w:val="24"/>
          <w:highlight w:val="none"/>
        </w:rPr>
        <w:t>1</w:t>
      </w:r>
      <w:r>
        <w:rPr>
          <w:rFonts w:hint="eastAsia" w:cs="宋体"/>
          <w:snapToGrid w:val="0"/>
          <w:color w:val="auto"/>
          <w:szCs w:val="24"/>
          <w:highlight w:val="none"/>
        </w:rPr>
        <w:t xml:space="preserve">4.3 </w:t>
      </w:r>
      <w:r>
        <w:rPr>
          <w:rFonts w:hint="eastAsia" w:cs="宋体"/>
          <w:color w:val="auto"/>
          <w:highlight w:val="none"/>
        </w:rPr>
        <w:t>投标人须严格按照分项报价表规定的内容填写货物单价以及其他事项。</w:t>
      </w:r>
      <w:r>
        <w:rPr>
          <w:rFonts w:hint="eastAsia" w:cs="宋体"/>
          <w:snapToGrid w:val="0"/>
          <w:color w:val="auto"/>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cs="宋体"/>
          <w:snapToGrid w:val="0"/>
          <w:color w:val="auto"/>
          <w:szCs w:val="24"/>
          <w:highlight w:val="none"/>
        </w:rPr>
        <w:t>缴</w:t>
      </w:r>
      <w:r>
        <w:rPr>
          <w:rFonts w:hint="eastAsia" w:cs="宋体"/>
          <w:snapToGrid w:val="0"/>
          <w:color w:val="auto"/>
          <w:szCs w:val="24"/>
          <w:highlight w:val="none"/>
          <w:lang w:val="zh-CN"/>
        </w:rPr>
        <w:t>纳的费用都应包括在投标人提交的投标报价中。</w:t>
      </w:r>
    </w:p>
    <w:p w14:paraId="54A0AC8C">
      <w:pPr>
        <w:ind w:firstLine="480" w:firstLineChars="200"/>
        <w:rPr>
          <w:rFonts w:hint="eastAsia" w:cs="宋体"/>
          <w:snapToGrid w:val="0"/>
          <w:color w:val="auto"/>
          <w:szCs w:val="24"/>
          <w:highlight w:val="none"/>
        </w:rPr>
      </w:pPr>
      <w:r>
        <w:rPr>
          <w:rFonts w:cs="宋体"/>
          <w:snapToGrid w:val="0"/>
          <w:color w:val="auto"/>
          <w:szCs w:val="24"/>
          <w:highlight w:val="none"/>
        </w:rPr>
        <w:t>1</w:t>
      </w:r>
      <w:r>
        <w:rPr>
          <w:rFonts w:hint="eastAsia" w:cs="宋体"/>
          <w:snapToGrid w:val="0"/>
          <w:color w:val="auto"/>
          <w:szCs w:val="24"/>
          <w:highlight w:val="none"/>
        </w:rPr>
        <w:t>4.4 投标人在投标文件中注明免费的项目将视为包含在投标报价中。</w:t>
      </w:r>
    </w:p>
    <w:p w14:paraId="319785E7">
      <w:pPr>
        <w:pStyle w:val="8"/>
        <w:ind w:firstLine="480"/>
        <w:rPr>
          <w:color w:val="auto"/>
          <w:highlight w:val="none"/>
        </w:rPr>
      </w:pPr>
      <w:r>
        <w:rPr>
          <w:rFonts w:ascii="宋体" w:hAnsi="宋体" w:cs="宋体"/>
          <w:snapToGrid w:val="0"/>
          <w:color w:val="auto"/>
          <w:szCs w:val="24"/>
          <w:highlight w:val="none"/>
        </w:rPr>
        <w:t>1</w:t>
      </w:r>
      <w:r>
        <w:rPr>
          <w:rFonts w:hint="eastAsia" w:ascii="宋体" w:hAnsi="宋体" w:cs="宋体"/>
          <w:snapToGrid w:val="0"/>
          <w:color w:val="auto"/>
          <w:szCs w:val="24"/>
          <w:highlight w:val="none"/>
        </w:rPr>
        <w:t>4.5 每一</w:t>
      </w:r>
      <w:r>
        <w:rPr>
          <w:rFonts w:hint="eastAsia" w:cs="宋体"/>
          <w:snapToGrid w:val="0"/>
          <w:color w:val="auto"/>
          <w:szCs w:val="24"/>
          <w:highlight w:val="none"/>
        </w:rPr>
        <w:t>种采购内容只允许有一个报价，否则其</w:t>
      </w:r>
      <w:r>
        <w:rPr>
          <w:rFonts w:hint="eastAsia" w:cs="宋体"/>
          <w:b/>
          <w:bCs/>
          <w:snapToGrid w:val="0"/>
          <w:color w:val="auto"/>
          <w:szCs w:val="24"/>
          <w:highlight w:val="none"/>
        </w:rPr>
        <w:t>投标无效</w:t>
      </w:r>
      <w:r>
        <w:rPr>
          <w:rFonts w:hint="eastAsia" w:cs="宋体"/>
          <w:snapToGrid w:val="0"/>
          <w:color w:val="auto"/>
          <w:szCs w:val="24"/>
          <w:highlight w:val="none"/>
        </w:rPr>
        <w:t>。</w:t>
      </w:r>
      <w:r>
        <w:rPr>
          <w:rFonts w:hint="eastAsia" w:ascii="宋体" w:hAnsi="宋体" w:cs="宋体"/>
          <w:color w:val="auto"/>
          <w:highlight w:val="none"/>
        </w:rPr>
        <w:t>除非招标文件另有规定，不接受可选择或可调整的投标方案和报价，任何有选择的或可调整的投标方案和报价将被视为非实质性响应招标文件,其</w:t>
      </w:r>
      <w:r>
        <w:rPr>
          <w:rFonts w:hint="eastAsia" w:cs="宋体"/>
          <w:b/>
          <w:bCs/>
          <w:snapToGrid w:val="0"/>
          <w:color w:val="auto"/>
          <w:szCs w:val="24"/>
          <w:highlight w:val="none"/>
        </w:rPr>
        <w:t>投标无效</w:t>
      </w:r>
      <w:r>
        <w:rPr>
          <w:rFonts w:hint="eastAsia" w:ascii="宋体" w:hAnsi="宋体" w:cs="宋体"/>
          <w:color w:val="auto"/>
          <w:highlight w:val="none"/>
        </w:rPr>
        <w:t>。</w:t>
      </w:r>
    </w:p>
    <w:p w14:paraId="16E01DA2">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4</w:t>
      </w:r>
      <w:r>
        <w:rPr>
          <w:rFonts w:cs="仿宋_GB2312"/>
          <w:color w:val="auto"/>
          <w:szCs w:val="24"/>
          <w:highlight w:val="none"/>
        </w:rPr>
        <w:t>.</w:t>
      </w:r>
      <w:r>
        <w:rPr>
          <w:rFonts w:hint="eastAsia" w:cs="仿宋_GB2312"/>
          <w:color w:val="auto"/>
          <w:szCs w:val="24"/>
          <w:highlight w:val="none"/>
        </w:rPr>
        <w:t>6 投标报价不得超过“</w:t>
      </w:r>
      <w:r>
        <w:rPr>
          <w:rFonts w:hint="eastAsia"/>
          <w:color w:val="auto"/>
          <w:highlight w:val="none"/>
        </w:rPr>
        <w:t>第一章 招标公告</w:t>
      </w:r>
      <w:r>
        <w:rPr>
          <w:rFonts w:hint="eastAsia" w:cs="仿宋_GB2312"/>
          <w:color w:val="auto"/>
          <w:szCs w:val="24"/>
          <w:highlight w:val="none"/>
        </w:rPr>
        <w:t>”中规定的最高投标限价</w:t>
      </w:r>
      <w:r>
        <w:rPr>
          <w:rFonts w:hint="eastAsia"/>
          <w:color w:val="auto"/>
          <w:highlight w:val="none"/>
        </w:rPr>
        <w:t>或者预算金额</w:t>
      </w:r>
      <w:r>
        <w:rPr>
          <w:rFonts w:hint="eastAsia" w:cs="仿宋_GB2312"/>
          <w:color w:val="auto"/>
          <w:szCs w:val="24"/>
          <w:highlight w:val="none"/>
        </w:rPr>
        <w:t>，否则</w:t>
      </w:r>
      <w:r>
        <w:rPr>
          <w:rFonts w:cs="仿宋_GB2312"/>
          <w:color w:val="auto"/>
          <w:szCs w:val="24"/>
          <w:highlight w:val="none"/>
        </w:rPr>
        <w:t>评标委员会将</w:t>
      </w:r>
      <w:r>
        <w:rPr>
          <w:rFonts w:hint="eastAsia" w:cs="仿宋_GB2312"/>
          <w:color w:val="auto"/>
          <w:szCs w:val="24"/>
          <w:highlight w:val="none"/>
        </w:rPr>
        <w:t>对</w:t>
      </w:r>
      <w:r>
        <w:rPr>
          <w:rFonts w:cs="仿宋_GB2312"/>
          <w:color w:val="auto"/>
          <w:szCs w:val="24"/>
          <w:highlight w:val="none"/>
        </w:rPr>
        <w:t>其</w:t>
      </w:r>
      <w:r>
        <w:rPr>
          <w:rFonts w:hint="eastAsia" w:cs="仿宋_GB2312"/>
          <w:color w:val="auto"/>
          <w:szCs w:val="24"/>
          <w:highlight w:val="none"/>
        </w:rPr>
        <w:t>作</w:t>
      </w:r>
      <w:r>
        <w:rPr>
          <w:rFonts w:hint="eastAsia" w:cs="仿宋_GB2312"/>
          <w:b/>
          <w:bCs/>
          <w:color w:val="auto"/>
          <w:szCs w:val="24"/>
          <w:highlight w:val="none"/>
        </w:rPr>
        <w:t>无效</w:t>
      </w:r>
      <w:r>
        <w:rPr>
          <w:rFonts w:cs="仿宋_GB2312"/>
          <w:b/>
          <w:bCs/>
          <w:color w:val="auto"/>
          <w:szCs w:val="24"/>
          <w:highlight w:val="none"/>
        </w:rPr>
        <w:t>投标</w:t>
      </w:r>
      <w:r>
        <w:rPr>
          <w:rFonts w:hint="eastAsia" w:cs="仿宋_GB2312"/>
          <w:b/>
          <w:bCs/>
          <w:color w:val="auto"/>
          <w:szCs w:val="24"/>
          <w:highlight w:val="none"/>
        </w:rPr>
        <w:t>处理</w:t>
      </w:r>
      <w:r>
        <w:rPr>
          <w:rFonts w:cs="仿宋_GB2312"/>
          <w:color w:val="auto"/>
          <w:szCs w:val="24"/>
          <w:highlight w:val="none"/>
        </w:rPr>
        <w:t>。</w:t>
      </w:r>
    </w:p>
    <w:p w14:paraId="4EABDFAE">
      <w:pPr>
        <w:pStyle w:val="27"/>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14.7 投标人对投标报价若有说明应在投标文件中显著处注明。</w:t>
      </w:r>
    </w:p>
    <w:p w14:paraId="0397363B">
      <w:pPr>
        <w:pStyle w:val="27"/>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991BA32">
      <w:pPr>
        <w:pStyle w:val="27"/>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17620524">
      <w:pPr>
        <w:pStyle w:val="27"/>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14.9 最低报价不能作为中标的保证。</w:t>
      </w:r>
    </w:p>
    <w:p w14:paraId="2FD61A8C">
      <w:pPr>
        <w:ind w:firstLine="480" w:firstLineChars="200"/>
        <w:rPr>
          <w:rFonts w:hint="eastAsia" w:cs="宋体"/>
          <w:color w:val="auto"/>
          <w:highlight w:val="none"/>
        </w:rPr>
      </w:pPr>
      <w:r>
        <w:rPr>
          <w:rFonts w:hint="eastAsia" w:cs="宋体"/>
          <w:color w:val="auto"/>
          <w:highlight w:val="none"/>
        </w:rPr>
        <w:t>14.10</w:t>
      </w:r>
      <w:r>
        <w:rPr>
          <w:rFonts w:hint="eastAsia" w:cs="宋体"/>
          <w:color w:val="auto"/>
          <w:kern w:val="0"/>
          <w:szCs w:val="24"/>
          <w:highlight w:val="none"/>
          <w:lang w:bidi="ar"/>
        </w:rPr>
        <w:t>采购人不得向投标人索要或者接受其给予的赠品、回扣或者与采购无关的其他商品、服务。</w:t>
      </w:r>
    </w:p>
    <w:p w14:paraId="7A30230E">
      <w:pPr>
        <w:pStyle w:val="7"/>
        <w:keepNext w:val="0"/>
        <w:keepLines w:val="0"/>
        <w:spacing w:before="80" w:after="60" w:line="240" w:lineRule="auto"/>
        <w:ind w:left="420" w:hanging="420"/>
        <w:rPr>
          <w:rFonts w:hint="eastAsia" w:ascii="宋体" w:hAnsi="宋体" w:cs="宋体"/>
          <w:color w:val="auto"/>
          <w:sz w:val="24"/>
          <w:highlight w:val="none"/>
        </w:rPr>
      </w:pPr>
      <w:bookmarkStart w:id="154" w:name="_Toc140132773"/>
      <w:bookmarkStart w:id="155" w:name="_Toc163492840"/>
      <w:r>
        <w:rPr>
          <w:rFonts w:hint="eastAsia" w:ascii="宋体" w:hAnsi="宋体" w:cs="宋体"/>
          <w:color w:val="auto"/>
          <w:sz w:val="24"/>
          <w:highlight w:val="none"/>
        </w:rPr>
        <w:t>15.投标有效期</w:t>
      </w:r>
      <w:bookmarkEnd w:id="154"/>
      <w:bookmarkEnd w:id="155"/>
    </w:p>
    <w:p w14:paraId="1F11DE8E">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 xml:space="preserve">5.1 </w:t>
      </w:r>
      <w:r>
        <w:rPr>
          <w:rFonts w:ascii="Arial" w:hAnsi="Arial" w:cs="Arial"/>
          <w:color w:val="auto"/>
          <w:kern w:val="0"/>
          <w:szCs w:val="21"/>
          <w:highlight w:val="none"/>
          <w:lang w:val="en"/>
        </w:rPr>
        <w:t>投标有效期</w:t>
      </w:r>
      <w:r>
        <w:rPr>
          <w:rFonts w:hint="eastAsia" w:cs="仿宋_GB2312"/>
          <w:color w:val="auto"/>
          <w:szCs w:val="24"/>
          <w:highlight w:val="none"/>
        </w:rPr>
        <w:t xml:space="preserve">见“第二章 </w:t>
      </w:r>
      <w:r>
        <w:rPr>
          <w:rFonts w:cs="仿宋_GB2312"/>
          <w:color w:val="auto"/>
          <w:szCs w:val="24"/>
          <w:highlight w:val="none"/>
        </w:rPr>
        <w:t>投标人须知前附表</w:t>
      </w:r>
      <w:r>
        <w:rPr>
          <w:rFonts w:hint="eastAsia" w:cs="仿宋_GB2312"/>
          <w:color w:val="auto"/>
          <w:szCs w:val="24"/>
          <w:highlight w:val="none"/>
        </w:rPr>
        <w:t>”，投标人承诺的投标有效期</w:t>
      </w:r>
      <w:r>
        <w:rPr>
          <w:rFonts w:hint="eastAsia"/>
          <w:snapToGrid w:val="0"/>
          <w:color w:val="auto"/>
          <w:highlight w:val="none"/>
          <w:lang w:val="zh-CN"/>
        </w:rPr>
        <w:t>少于</w:t>
      </w:r>
      <w:r>
        <w:rPr>
          <w:rFonts w:hint="eastAsia"/>
          <w:snapToGrid w:val="0"/>
          <w:color w:val="auto"/>
          <w:highlight w:val="none"/>
        </w:rPr>
        <w:t>招标</w:t>
      </w:r>
      <w:r>
        <w:rPr>
          <w:rFonts w:hint="eastAsia"/>
          <w:snapToGrid w:val="0"/>
          <w:color w:val="auto"/>
          <w:highlight w:val="none"/>
          <w:lang w:val="zh-CN"/>
        </w:rPr>
        <w:t>文件规定期限的，其</w:t>
      </w:r>
      <w:r>
        <w:rPr>
          <w:rFonts w:hint="eastAsia"/>
          <w:b/>
          <w:bCs/>
          <w:snapToGrid w:val="0"/>
          <w:color w:val="auto"/>
          <w:highlight w:val="none"/>
        </w:rPr>
        <w:t>投标</w:t>
      </w:r>
      <w:r>
        <w:rPr>
          <w:rFonts w:hint="eastAsia"/>
          <w:b/>
          <w:bCs/>
          <w:snapToGrid w:val="0"/>
          <w:color w:val="auto"/>
          <w:highlight w:val="none"/>
          <w:lang w:val="zh-CN"/>
        </w:rPr>
        <w:t>无效</w:t>
      </w:r>
      <w:r>
        <w:rPr>
          <w:rFonts w:hint="eastAsia"/>
          <w:snapToGrid w:val="0"/>
          <w:color w:val="auto"/>
          <w:highlight w:val="none"/>
          <w:lang w:val="zh-CN"/>
        </w:rPr>
        <w:t>。</w:t>
      </w:r>
    </w:p>
    <w:p w14:paraId="33659BBF">
      <w:pPr>
        <w:ind w:firstLine="480" w:firstLineChars="200"/>
        <w:rPr>
          <w:rFonts w:hint="eastAsia" w:cs="仿宋_GB2312"/>
          <w:color w:val="auto"/>
          <w:szCs w:val="24"/>
          <w:highlight w:val="none"/>
        </w:rPr>
      </w:pPr>
      <w:r>
        <w:rPr>
          <w:rFonts w:hint="eastAsia" w:cs="仿宋_GB2312"/>
          <w:color w:val="auto"/>
          <w:szCs w:val="24"/>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508273A">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5</w:t>
      </w:r>
      <w:r>
        <w:rPr>
          <w:rFonts w:cs="仿宋_GB2312"/>
          <w:color w:val="auto"/>
          <w:szCs w:val="24"/>
          <w:highlight w:val="none"/>
        </w:rPr>
        <w:t>.</w:t>
      </w:r>
      <w:r>
        <w:rPr>
          <w:rFonts w:hint="eastAsia" w:cs="仿宋_GB2312"/>
          <w:color w:val="auto"/>
          <w:szCs w:val="24"/>
          <w:highlight w:val="none"/>
        </w:rPr>
        <w:t>3</w:t>
      </w:r>
      <w:r>
        <w:rPr>
          <w:rFonts w:cs="仿宋_GB2312"/>
          <w:color w:val="auto"/>
          <w:szCs w:val="24"/>
          <w:highlight w:val="none"/>
        </w:rPr>
        <w:t>特殊情况下，在原</w:t>
      </w:r>
      <w:r>
        <w:rPr>
          <w:rFonts w:hint="eastAsia" w:cs="仿宋_GB2312"/>
          <w:color w:val="auto"/>
          <w:szCs w:val="24"/>
          <w:highlight w:val="none"/>
        </w:rPr>
        <w:t>投标文件</w:t>
      </w:r>
      <w:r>
        <w:rPr>
          <w:rFonts w:cs="仿宋_GB2312"/>
          <w:color w:val="auto"/>
          <w:szCs w:val="24"/>
          <w:highlight w:val="none"/>
        </w:rPr>
        <w:t>有效期截止之前，采购代理机构或采购人可要求</w:t>
      </w:r>
      <w:r>
        <w:rPr>
          <w:rFonts w:hint="eastAsia" w:cs="仿宋_GB2312"/>
          <w:color w:val="auto"/>
          <w:szCs w:val="24"/>
          <w:highlight w:val="none"/>
        </w:rPr>
        <w:t>投标人</w:t>
      </w:r>
      <w:r>
        <w:rPr>
          <w:rFonts w:cs="仿宋_GB2312"/>
          <w:color w:val="auto"/>
          <w:szCs w:val="24"/>
          <w:highlight w:val="none"/>
        </w:rPr>
        <w:t>延长</w:t>
      </w:r>
      <w:r>
        <w:rPr>
          <w:rFonts w:hint="eastAsia" w:cs="仿宋_GB2312"/>
          <w:color w:val="auto"/>
          <w:szCs w:val="24"/>
          <w:highlight w:val="none"/>
        </w:rPr>
        <w:t>投标</w:t>
      </w:r>
      <w:r>
        <w:rPr>
          <w:rFonts w:cs="仿宋_GB2312"/>
          <w:color w:val="auto"/>
          <w:szCs w:val="24"/>
          <w:highlight w:val="none"/>
        </w:rPr>
        <w:t>有效期。需要延长</w:t>
      </w:r>
      <w:r>
        <w:rPr>
          <w:rFonts w:hint="eastAsia" w:cs="仿宋_GB2312"/>
          <w:color w:val="auto"/>
          <w:szCs w:val="24"/>
          <w:highlight w:val="none"/>
        </w:rPr>
        <w:t>投标</w:t>
      </w:r>
      <w:r>
        <w:rPr>
          <w:rFonts w:cs="仿宋_GB2312"/>
          <w:color w:val="auto"/>
          <w:szCs w:val="24"/>
          <w:highlight w:val="none"/>
        </w:rPr>
        <w:t>有效期时，采购代理机构或采购人将以书面形式通知所有</w:t>
      </w:r>
      <w:r>
        <w:rPr>
          <w:rFonts w:hint="eastAsia" w:cs="仿宋_GB2312"/>
          <w:color w:val="auto"/>
          <w:szCs w:val="24"/>
          <w:highlight w:val="none"/>
        </w:rPr>
        <w:t>投标人</w:t>
      </w:r>
      <w:r>
        <w:rPr>
          <w:rFonts w:cs="仿宋_GB2312"/>
          <w:color w:val="auto"/>
          <w:szCs w:val="24"/>
          <w:highlight w:val="none"/>
        </w:rPr>
        <w:t>，</w:t>
      </w:r>
      <w:r>
        <w:rPr>
          <w:rFonts w:hint="eastAsia" w:cs="仿宋_GB2312"/>
          <w:color w:val="auto"/>
          <w:szCs w:val="24"/>
          <w:highlight w:val="none"/>
        </w:rPr>
        <w:t>投标人</w:t>
      </w:r>
      <w:r>
        <w:rPr>
          <w:rFonts w:cs="仿宋_GB2312"/>
          <w:color w:val="auto"/>
          <w:szCs w:val="24"/>
          <w:highlight w:val="none"/>
        </w:rPr>
        <w:t>应以书面形式答复是否同意延长</w:t>
      </w:r>
      <w:r>
        <w:rPr>
          <w:rFonts w:hint="eastAsia" w:cs="仿宋_GB2312"/>
          <w:color w:val="auto"/>
          <w:szCs w:val="24"/>
          <w:highlight w:val="none"/>
        </w:rPr>
        <w:t>投标</w:t>
      </w:r>
      <w:r>
        <w:rPr>
          <w:rFonts w:cs="仿宋_GB2312"/>
          <w:color w:val="auto"/>
          <w:szCs w:val="24"/>
          <w:highlight w:val="none"/>
        </w:rPr>
        <w:t>有效期。</w:t>
      </w:r>
    </w:p>
    <w:p w14:paraId="73DE50F7">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5</w:t>
      </w:r>
      <w:r>
        <w:rPr>
          <w:rFonts w:cs="仿宋_GB2312"/>
          <w:color w:val="auto"/>
          <w:szCs w:val="24"/>
          <w:highlight w:val="none"/>
        </w:rPr>
        <w:t>.</w:t>
      </w:r>
      <w:r>
        <w:rPr>
          <w:rFonts w:hint="eastAsia" w:cs="仿宋_GB2312"/>
          <w:color w:val="auto"/>
          <w:szCs w:val="24"/>
          <w:highlight w:val="none"/>
        </w:rPr>
        <w:t>4投标人</w:t>
      </w:r>
      <w:r>
        <w:rPr>
          <w:rFonts w:cs="仿宋_GB2312"/>
          <w:color w:val="auto"/>
          <w:szCs w:val="24"/>
          <w:highlight w:val="none"/>
        </w:rPr>
        <w:t>同意延长的，</w:t>
      </w:r>
      <w:r>
        <w:rPr>
          <w:rFonts w:hint="eastAsia" w:cs="宋体"/>
          <w:color w:val="auto"/>
          <w:highlight w:val="none"/>
        </w:rPr>
        <w:t>其投标保证金的有效期也相应延长，但</w:t>
      </w:r>
      <w:r>
        <w:rPr>
          <w:rFonts w:cs="仿宋_GB2312"/>
          <w:color w:val="auto"/>
          <w:szCs w:val="24"/>
          <w:highlight w:val="none"/>
        </w:rPr>
        <w:t>不得要求或被允许修改或撤销其</w:t>
      </w:r>
      <w:r>
        <w:rPr>
          <w:rFonts w:hint="eastAsia" w:cs="仿宋_GB2312"/>
          <w:color w:val="auto"/>
          <w:szCs w:val="24"/>
          <w:highlight w:val="none"/>
        </w:rPr>
        <w:t>投标文件</w:t>
      </w:r>
      <w:r>
        <w:rPr>
          <w:rFonts w:cs="仿宋_GB2312"/>
          <w:color w:val="auto"/>
          <w:szCs w:val="24"/>
          <w:highlight w:val="none"/>
        </w:rPr>
        <w:t>；</w:t>
      </w:r>
      <w:r>
        <w:rPr>
          <w:rFonts w:hint="eastAsia" w:cs="仿宋_GB2312"/>
          <w:color w:val="auto"/>
          <w:szCs w:val="24"/>
          <w:highlight w:val="none"/>
        </w:rPr>
        <w:t>投标人</w:t>
      </w:r>
      <w:r>
        <w:rPr>
          <w:rFonts w:cs="仿宋_GB2312"/>
          <w:color w:val="auto"/>
          <w:szCs w:val="24"/>
          <w:highlight w:val="none"/>
        </w:rPr>
        <w:t>拒绝延长的，其</w:t>
      </w:r>
      <w:r>
        <w:rPr>
          <w:rFonts w:hint="eastAsia" w:cs="仿宋_GB2312"/>
          <w:color w:val="auto"/>
          <w:szCs w:val="24"/>
          <w:highlight w:val="none"/>
        </w:rPr>
        <w:t>投标文件</w:t>
      </w:r>
      <w:r>
        <w:rPr>
          <w:rFonts w:cs="仿宋_GB2312"/>
          <w:color w:val="auto"/>
          <w:szCs w:val="24"/>
          <w:highlight w:val="none"/>
        </w:rPr>
        <w:t>在原</w:t>
      </w:r>
      <w:r>
        <w:rPr>
          <w:rFonts w:hint="eastAsia" w:cs="仿宋_GB2312"/>
          <w:color w:val="auto"/>
          <w:szCs w:val="24"/>
          <w:highlight w:val="none"/>
        </w:rPr>
        <w:t>投标</w:t>
      </w:r>
      <w:r>
        <w:rPr>
          <w:rFonts w:cs="仿宋_GB2312"/>
          <w:color w:val="auto"/>
          <w:szCs w:val="24"/>
          <w:highlight w:val="none"/>
        </w:rPr>
        <w:t>有效期满后将不再有效</w:t>
      </w:r>
      <w:r>
        <w:rPr>
          <w:rFonts w:hint="eastAsia" w:cs="仿宋_GB2312"/>
          <w:color w:val="auto"/>
          <w:szCs w:val="24"/>
          <w:highlight w:val="none"/>
        </w:rPr>
        <w:t>，但其提交的投标保证金可予以退还</w:t>
      </w:r>
      <w:r>
        <w:rPr>
          <w:rFonts w:cs="仿宋_GB2312"/>
          <w:color w:val="auto"/>
          <w:szCs w:val="24"/>
          <w:highlight w:val="none"/>
        </w:rPr>
        <w:t>。</w:t>
      </w:r>
    </w:p>
    <w:p w14:paraId="2173BDB7">
      <w:pPr>
        <w:pStyle w:val="7"/>
        <w:keepNext w:val="0"/>
        <w:keepLines w:val="0"/>
        <w:spacing w:before="80" w:after="60" w:line="240" w:lineRule="auto"/>
        <w:ind w:left="420" w:hanging="420"/>
        <w:rPr>
          <w:rFonts w:hint="eastAsia" w:ascii="宋体" w:hAnsi="宋体" w:cs="宋体"/>
          <w:color w:val="auto"/>
          <w:sz w:val="24"/>
          <w:highlight w:val="none"/>
        </w:rPr>
      </w:pPr>
      <w:bookmarkStart w:id="156" w:name="_Toc163492841"/>
      <w:bookmarkStart w:id="157" w:name="_Toc140132774"/>
      <w:r>
        <w:rPr>
          <w:rFonts w:hint="eastAsia" w:ascii="宋体" w:hAnsi="宋体" w:cs="宋体"/>
          <w:color w:val="auto"/>
          <w:sz w:val="24"/>
          <w:highlight w:val="none"/>
        </w:rPr>
        <w:t>16.投标文件的编制</w:t>
      </w:r>
      <w:bookmarkEnd w:id="156"/>
      <w:bookmarkEnd w:id="157"/>
    </w:p>
    <w:p w14:paraId="473E108D">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6.1投标文件应在</w:t>
      </w:r>
      <w:r>
        <w:rPr>
          <w:rFonts w:hint="eastAsia" w:cs="宋体"/>
          <w:color w:val="auto"/>
          <w:szCs w:val="24"/>
          <w:highlight w:val="none"/>
        </w:rPr>
        <w:t>“</w:t>
      </w:r>
      <w:r>
        <w:rPr>
          <w:rFonts w:hint="eastAsia" w:cs="仿宋_GB2312"/>
          <w:color w:val="auto"/>
          <w:szCs w:val="24"/>
          <w:highlight w:val="none"/>
        </w:rPr>
        <w:t>投标客户端”中进行编制，在投标文件中要求加盖印章的，除有特殊说明之外，可使用电子签章签署。</w:t>
      </w:r>
    </w:p>
    <w:p w14:paraId="6495234D">
      <w:pPr>
        <w:pStyle w:val="20"/>
        <w:rPr>
          <w:rFonts w:hint="eastAsia"/>
          <w:color w:val="auto"/>
          <w:highlight w:val="none"/>
        </w:rPr>
      </w:pPr>
      <w:r>
        <w:rPr>
          <w:color w:val="auto"/>
          <w:highlight w:val="none"/>
        </w:rPr>
        <w:t>1</w:t>
      </w:r>
      <w:r>
        <w:rPr>
          <w:rFonts w:hint="eastAsia"/>
          <w:color w:val="auto"/>
          <w:highlight w:val="none"/>
          <w:lang w:val="en-US"/>
        </w:rPr>
        <w:t>6</w:t>
      </w:r>
      <w:r>
        <w:rPr>
          <w:rFonts w:hint="eastAsia"/>
          <w:color w:val="auto"/>
          <w:highlight w:val="none"/>
        </w:rPr>
        <w:t>.</w:t>
      </w:r>
      <w:bookmarkStart w:id="158" w:name="_Hlk143528557"/>
      <w:r>
        <w:rPr>
          <w:color w:val="auto"/>
          <w:highlight w:val="none"/>
        </w:rPr>
        <w:t>2</w:t>
      </w:r>
      <w:r>
        <w:rPr>
          <w:rFonts w:hint="eastAsia"/>
          <w:color w:val="auto"/>
          <w:highlight w:val="none"/>
        </w:rPr>
        <w:t>投标人在</w:t>
      </w:r>
      <w:r>
        <w:rPr>
          <w:rFonts w:hint="eastAsia" w:cs="宋体"/>
          <w:color w:val="auto"/>
          <w:szCs w:val="24"/>
          <w:highlight w:val="none"/>
        </w:rPr>
        <w:t>“</w:t>
      </w:r>
      <w:r>
        <w:rPr>
          <w:rFonts w:hint="eastAsia" w:cs="仿宋_GB2312"/>
          <w:color w:val="auto"/>
          <w:szCs w:val="24"/>
          <w:highlight w:val="none"/>
          <w:lang w:val="en-US"/>
        </w:rPr>
        <w:t>投标</w:t>
      </w:r>
      <w:r>
        <w:rPr>
          <w:rFonts w:hint="eastAsia" w:cs="仿宋_GB2312"/>
          <w:color w:val="auto"/>
          <w:szCs w:val="24"/>
          <w:highlight w:val="none"/>
        </w:rPr>
        <w:t>客户端”</w:t>
      </w:r>
      <w:r>
        <w:rPr>
          <w:rFonts w:hint="eastAsia"/>
          <w:color w:val="auto"/>
          <w:highlight w:val="none"/>
        </w:rPr>
        <w:t>中按照</w:t>
      </w:r>
      <w:r>
        <w:rPr>
          <w:rFonts w:hint="eastAsia" w:cs="宋体"/>
          <w:color w:val="auto"/>
          <w:szCs w:val="24"/>
          <w:highlight w:val="none"/>
        </w:rPr>
        <w:t>“</w:t>
      </w:r>
      <w:r>
        <w:rPr>
          <w:rFonts w:hint="eastAsia" w:cs="仿宋_GB2312"/>
          <w:color w:val="auto"/>
          <w:szCs w:val="24"/>
          <w:highlight w:val="none"/>
          <w:lang w:val="en-US"/>
        </w:rPr>
        <w:t>投标</w:t>
      </w:r>
      <w:r>
        <w:rPr>
          <w:rFonts w:hint="eastAsia" w:cs="仿宋_GB2312"/>
          <w:color w:val="auto"/>
          <w:szCs w:val="24"/>
          <w:highlight w:val="none"/>
        </w:rPr>
        <w:t>客户端”</w:t>
      </w:r>
      <w:r>
        <w:rPr>
          <w:rFonts w:hint="eastAsia"/>
          <w:color w:val="auto"/>
          <w:highlight w:val="none"/>
        </w:rPr>
        <w:t>中的格式要求填写响应内容后，生成投标文件。投标人须按照招标文件的要求使用电子签章对要求加盖印章的部分逐一进行签章。</w:t>
      </w:r>
      <w:bookmarkEnd w:id="158"/>
    </w:p>
    <w:p w14:paraId="457039A3">
      <w:pPr>
        <w:pStyle w:val="20"/>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3</w:t>
      </w:r>
      <w:r>
        <w:rPr>
          <w:rFonts w:hint="eastAsia"/>
          <w:color w:val="auto"/>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color w:val="auto"/>
          <w:highlight w:val="none"/>
        </w:rPr>
        <w:t>导致</w:t>
      </w:r>
      <w:r>
        <w:rPr>
          <w:rFonts w:hint="eastAsia"/>
          <w:b/>
          <w:bCs/>
          <w:color w:val="auto"/>
          <w:highlight w:val="none"/>
          <w:lang w:val="en-US"/>
        </w:rPr>
        <w:t>其</w:t>
      </w:r>
      <w:r>
        <w:rPr>
          <w:rFonts w:hint="eastAsia"/>
          <w:b/>
          <w:bCs/>
          <w:color w:val="auto"/>
          <w:highlight w:val="none"/>
        </w:rPr>
        <w:t>投标</w:t>
      </w:r>
      <w:r>
        <w:rPr>
          <w:rFonts w:hint="eastAsia"/>
          <w:b/>
          <w:bCs/>
          <w:color w:val="auto"/>
          <w:highlight w:val="none"/>
          <w:lang w:val="en-US"/>
        </w:rPr>
        <w:t>无效</w:t>
      </w:r>
      <w:r>
        <w:rPr>
          <w:rFonts w:hint="eastAsia"/>
          <w:color w:val="auto"/>
          <w:highlight w:val="none"/>
        </w:rPr>
        <w:t>。</w:t>
      </w:r>
    </w:p>
    <w:p w14:paraId="7252332F">
      <w:pPr>
        <w:pStyle w:val="20"/>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4</w:t>
      </w:r>
      <w:r>
        <w:rPr>
          <w:rFonts w:hint="eastAsia"/>
          <w:color w:val="auto"/>
          <w:highlight w:val="none"/>
        </w:rPr>
        <w:t>投标文件须严格按照</w:t>
      </w:r>
      <w:r>
        <w:rPr>
          <w:rFonts w:hint="eastAsia"/>
          <w:color w:val="auto"/>
          <w:highlight w:val="none"/>
          <w:lang w:val="en-US"/>
        </w:rPr>
        <w:t>本</w:t>
      </w:r>
      <w:r>
        <w:rPr>
          <w:rFonts w:hint="eastAsia"/>
          <w:color w:val="auto"/>
          <w:highlight w:val="none"/>
        </w:rPr>
        <w:t>招标文件第</w:t>
      </w:r>
      <w:r>
        <w:rPr>
          <w:rFonts w:hint="eastAsia"/>
          <w:color w:val="auto"/>
          <w:highlight w:val="none"/>
          <w:lang w:val="en-US"/>
        </w:rPr>
        <w:t>七章</w:t>
      </w:r>
      <w:r>
        <w:rPr>
          <w:rFonts w:hint="eastAsia"/>
          <w:color w:val="auto"/>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0E22EFDE">
      <w:pPr>
        <w:pStyle w:val="20"/>
        <w:rPr>
          <w:rFonts w:hint="eastAsia"/>
          <w:color w:val="auto"/>
          <w:highlight w:val="none"/>
        </w:rPr>
      </w:pPr>
      <w:r>
        <w:rPr>
          <w:rFonts w:hint="eastAsia"/>
          <w:color w:val="auto"/>
          <w:highlight w:val="none"/>
          <w:lang w:val="en-US"/>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color w:val="auto"/>
          <w:highlight w:val="none"/>
          <w:lang w:val="en-US"/>
        </w:rPr>
        <w:t>视为未响应</w:t>
      </w:r>
      <w:r>
        <w:rPr>
          <w:rFonts w:hint="eastAsia"/>
          <w:color w:val="auto"/>
          <w:highlight w:val="none"/>
          <w:lang w:val="en-US"/>
        </w:rPr>
        <w:t>。</w:t>
      </w:r>
    </w:p>
    <w:p w14:paraId="5CA3E233">
      <w:pPr>
        <w:pStyle w:val="20"/>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6</w:t>
      </w:r>
      <w:r>
        <w:rPr>
          <w:rFonts w:hint="eastAsia"/>
          <w:color w:val="auto"/>
          <w:highlight w:val="none"/>
        </w:rPr>
        <w:t>开标一览表为在开标</w:t>
      </w:r>
      <w:r>
        <w:rPr>
          <w:rFonts w:hint="eastAsia"/>
          <w:color w:val="auto"/>
          <w:highlight w:val="none"/>
          <w:lang w:val="en-US"/>
        </w:rPr>
        <w:t>时</w:t>
      </w:r>
      <w:r>
        <w:rPr>
          <w:rFonts w:hint="eastAsia"/>
          <w:color w:val="auto"/>
          <w:highlight w:val="none"/>
        </w:rPr>
        <w:t>唱标的内容，要求按格式统一填写，不得自行增减内容。</w:t>
      </w:r>
    </w:p>
    <w:p w14:paraId="6590EF4F">
      <w:pPr>
        <w:pStyle w:val="20"/>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7</w:t>
      </w:r>
      <w:r>
        <w:rPr>
          <w:rFonts w:hint="eastAsia"/>
          <w:color w:val="auto"/>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color w:val="auto"/>
          <w:highlight w:val="none"/>
          <w:lang w:val="en-US"/>
        </w:rPr>
        <w:t>按</w:t>
      </w:r>
      <w:r>
        <w:rPr>
          <w:rFonts w:hint="eastAsia"/>
          <w:b/>
          <w:bCs/>
          <w:color w:val="auto"/>
          <w:highlight w:val="none"/>
          <w:lang w:val="en-US"/>
        </w:rPr>
        <w:t>无效投标</w:t>
      </w:r>
      <w:r>
        <w:rPr>
          <w:rFonts w:hint="eastAsia"/>
          <w:color w:val="auto"/>
          <w:highlight w:val="none"/>
        </w:rPr>
        <w:t>处理。</w:t>
      </w:r>
    </w:p>
    <w:p w14:paraId="34C672FF">
      <w:pPr>
        <w:pStyle w:val="20"/>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8</w:t>
      </w:r>
      <w:r>
        <w:rPr>
          <w:rFonts w:hint="eastAsia"/>
          <w:color w:val="auto"/>
          <w:highlight w:val="none"/>
        </w:rPr>
        <w:t>投标人必须保证投标文件所提供的全部资料真实可靠，并接受采购</w:t>
      </w:r>
      <w:r>
        <w:rPr>
          <w:rFonts w:hint="eastAsia"/>
          <w:color w:val="auto"/>
          <w:highlight w:val="none"/>
          <w:lang w:val="en-US"/>
        </w:rPr>
        <w:t>人、采购</w:t>
      </w:r>
      <w:r>
        <w:rPr>
          <w:rFonts w:hint="eastAsia"/>
          <w:color w:val="auto"/>
          <w:highlight w:val="none"/>
        </w:rPr>
        <w:t>代理机构或评标委员会对其中任何资料进一步审查的要求。</w:t>
      </w:r>
    </w:p>
    <w:p w14:paraId="2C36E724">
      <w:pPr>
        <w:pStyle w:val="20"/>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9</w:t>
      </w:r>
      <w:r>
        <w:rPr>
          <w:rFonts w:hint="eastAsia"/>
          <w:color w:val="auto"/>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color w:val="auto"/>
          <w:highlight w:val="none"/>
        </w:rPr>
        <w:t>无效投标</w:t>
      </w:r>
      <w:r>
        <w:rPr>
          <w:rFonts w:hint="eastAsia"/>
          <w:color w:val="auto"/>
          <w:highlight w:val="none"/>
        </w:rPr>
        <w:t>处理。</w:t>
      </w:r>
    </w:p>
    <w:p w14:paraId="7322D26D">
      <w:pPr>
        <w:pStyle w:val="27"/>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16.10电子投标文件的编制</w:t>
      </w:r>
    </w:p>
    <w:p w14:paraId="28790466">
      <w:pPr>
        <w:pStyle w:val="27"/>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 xml:space="preserve">16.10.1电子投标文件需按招标文件要求进行制作编制。投标文件制作时，不同内容按标签提示制作导入，按照招标文件中明确的投标文件目录和格式进行编制，保证目录清晰、内容完整；           </w:t>
      </w:r>
    </w:p>
    <w:p w14:paraId="6514F631">
      <w:pPr>
        <w:pStyle w:val="27"/>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rPr>
        <w:t>其投标无效</w:t>
      </w:r>
      <w:r>
        <w:rPr>
          <w:rFonts w:hint="eastAsia" w:ascii="宋体" w:hAnsi="宋体" w:eastAsia="宋体" w:cstheme="minorBidi"/>
          <w:iCs/>
          <w:color w:val="auto"/>
          <w:kern w:val="2"/>
          <w:sz w:val="24"/>
          <w:szCs w:val="22"/>
          <w:highlight w:val="none"/>
          <w:shd w:val="clear" w:color="auto" w:fill="FFFFFF" w:themeFill="background1"/>
        </w:rPr>
        <w:t xml:space="preserve">。 </w:t>
      </w:r>
    </w:p>
    <w:p w14:paraId="27B9442C">
      <w:pPr>
        <w:pStyle w:val="6"/>
        <w:keepNext w:val="0"/>
        <w:keepLines w:val="0"/>
        <w:spacing w:before="180" w:after="180" w:line="240" w:lineRule="auto"/>
        <w:ind w:left="420" w:hanging="420"/>
        <w:rPr>
          <w:rFonts w:hint="eastAsia" w:cs="宋体"/>
          <w:color w:val="auto"/>
          <w:sz w:val="24"/>
          <w:highlight w:val="none"/>
        </w:rPr>
      </w:pPr>
      <w:bookmarkStart w:id="159" w:name="_Toc163492842"/>
      <w:bookmarkStart w:id="160" w:name="_Toc155185873"/>
      <w:r>
        <w:rPr>
          <w:rFonts w:hint="eastAsia" w:cs="宋体"/>
          <w:color w:val="auto"/>
          <w:sz w:val="24"/>
          <w:highlight w:val="none"/>
        </w:rPr>
        <w:t>（四）投标</w:t>
      </w:r>
      <w:bookmarkEnd w:id="159"/>
      <w:bookmarkEnd w:id="160"/>
    </w:p>
    <w:p w14:paraId="2A767F80">
      <w:pPr>
        <w:pStyle w:val="7"/>
        <w:keepNext w:val="0"/>
        <w:keepLines w:val="0"/>
        <w:spacing w:before="80" w:after="60" w:line="240" w:lineRule="auto"/>
        <w:ind w:left="420" w:hanging="420"/>
        <w:rPr>
          <w:rFonts w:hint="eastAsia" w:ascii="宋体" w:hAnsi="宋体" w:cs="宋体"/>
          <w:color w:val="auto"/>
          <w:sz w:val="24"/>
          <w:highlight w:val="none"/>
        </w:rPr>
      </w:pPr>
      <w:bookmarkStart w:id="161" w:name="_Toc163492843"/>
      <w:r>
        <w:rPr>
          <w:rFonts w:hint="eastAsia" w:ascii="宋体" w:hAnsi="宋体" w:cs="宋体"/>
          <w:color w:val="auto"/>
          <w:sz w:val="24"/>
          <w:highlight w:val="none"/>
        </w:rPr>
        <w:t>17.投标保证金</w:t>
      </w:r>
    </w:p>
    <w:p w14:paraId="501003B6">
      <w:pPr>
        <w:pStyle w:val="27"/>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17.1投标人应按照招标文件“第二章 投标人须知前附表”规定的金额及要求提交投标保证金。投标人自愿超额缴纳投标保证金的，投标文件不做无效处理。</w:t>
      </w:r>
    </w:p>
    <w:p w14:paraId="033F8036">
      <w:pPr>
        <w:ind w:firstLine="480" w:firstLineChars="200"/>
        <w:rPr>
          <w:rFonts w:hint="eastAsia" w:cs="宋体"/>
          <w:color w:val="auto"/>
          <w:highlight w:val="none"/>
        </w:rPr>
      </w:pPr>
      <w:r>
        <w:rPr>
          <w:rFonts w:hint="eastAsia"/>
          <w:iCs/>
          <w:color w:val="auto"/>
          <w:highlight w:val="none"/>
          <w:shd w:val="clear" w:color="auto" w:fill="FFFFFF" w:themeFill="background1"/>
        </w:rPr>
        <w:t>17.2提交投标保证金可采用的形式：政府采购法律法规接受的支票、汇票、本票、网上银行支付或者金融机构、担保机构出具的保函等非现金形式。</w:t>
      </w:r>
      <w:r>
        <w:rPr>
          <w:rFonts w:hint="eastAsia" w:cs="宋体"/>
          <w:color w:val="auto"/>
          <w:highlight w:val="none"/>
        </w:rPr>
        <w:t>投标人未按照招标文件要求提交投标保证金的，其</w:t>
      </w:r>
      <w:r>
        <w:rPr>
          <w:rFonts w:hint="eastAsia" w:cs="宋体"/>
          <w:b/>
          <w:bCs/>
          <w:color w:val="auto"/>
          <w:highlight w:val="none"/>
        </w:rPr>
        <w:t>投标无效</w:t>
      </w:r>
      <w:r>
        <w:rPr>
          <w:rFonts w:hint="eastAsia" w:cs="宋体"/>
          <w:color w:val="auto"/>
          <w:highlight w:val="none"/>
        </w:rPr>
        <w:t>。</w:t>
      </w:r>
      <w:r>
        <w:rPr>
          <w:rFonts w:hint="eastAsia"/>
          <w:color w:val="auto"/>
          <w:highlight w:val="none"/>
        </w:rPr>
        <w:t>投标保证金有效期同投标有效期。</w:t>
      </w:r>
    </w:p>
    <w:p w14:paraId="69672483">
      <w:pPr>
        <w:pStyle w:val="8"/>
        <w:ind w:firstLine="480"/>
        <w:rPr>
          <w:rFonts w:hint="eastAsia" w:ascii="宋体" w:hAnsi="宋体" w:cs="宋体"/>
          <w:color w:val="auto"/>
          <w:highlight w:val="none"/>
        </w:rPr>
      </w:pPr>
      <w:r>
        <w:rPr>
          <w:rFonts w:hint="eastAsia" w:ascii="宋体" w:hAnsi="宋体" w:cs="宋体"/>
          <w:color w:val="auto"/>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cs="宋体"/>
          <w:b/>
          <w:bCs/>
          <w:color w:val="auto"/>
          <w:highlight w:val="none"/>
        </w:rPr>
        <w:t>投标无效</w:t>
      </w:r>
      <w:r>
        <w:rPr>
          <w:rFonts w:hint="eastAsia" w:ascii="宋体" w:hAnsi="宋体" w:cs="宋体"/>
          <w:color w:val="auto"/>
          <w:highlight w:val="none"/>
        </w:rPr>
        <w:t>。</w:t>
      </w:r>
    </w:p>
    <w:p w14:paraId="27F42E02">
      <w:pPr>
        <w:pStyle w:val="27"/>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4</w:t>
      </w:r>
      <w:r>
        <w:rPr>
          <w:rFonts w:ascii="宋体" w:hAnsi="宋体" w:eastAsia="宋体" w:cstheme="minorBidi"/>
          <w:iCs/>
          <w:color w:val="auto"/>
          <w:kern w:val="2"/>
          <w:sz w:val="24"/>
          <w:szCs w:val="22"/>
          <w:highlight w:val="none"/>
          <w:shd w:val="clear" w:color="auto" w:fill="FFFFFF" w:themeFill="background1"/>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rPr>
        <w:t>提交</w:t>
      </w:r>
      <w:r>
        <w:rPr>
          <w:rFonts w:ascii="宋体" w:hAnsi="宋体" w:eastAsia="宋体" w:cstheme="minorBidi"/>
          <w:iCs/>
          <w:color w:val="auto"/>
          <w:kern w:val="2"/>
          <w:sz w:val="24"/>
          <w:szCs w:val="22"/>
          <w:highlight w:val="none"/>
          <w:shd w:val="clear" w:color="auto" w:fill="FFFFFF" w:themeFill="background1"/>
        </w:rPr>
        <w:t>投标保证金，其</w:t>
      </w:r>
      <w:r>
        <w:rPr>
          <w:rFonts w:hint="eastAsia" w:ascii="宋体" w:hAnsi="宋体" w:eastAsia="宋体" w:cstheme="minorBidi"/>
          <w:iCs/>
          <w:color w:val="auto"/>
          <w:kern w:val="2"/>
          <w:sz w:val="24"/>
          <w:szCs w:val="22"/>
          <w:highlight w:val="none"/>
          <w:shd w:val="clear" w:color="auto" w:fill="FFFFFF" w:themeFill="background1"/>
        </w:rPr>
        <w:t>提交</w:t>
      </w:r>
      <w:r>
        <w:rPr>
          <w:rFonts w:ascii="宋体" w:hAnsi="宋体" w:eastAsia="宋体" w:cstheme="minorBidi"/>
          <w:iCs/>
          <w:color w:val="auto"/>
          <w:kern w:val="2"/>
          <w:sz w:val="24"/>
          <w:szCs w:val="22"/>
          <w:highlight w:val="none"/>
          <w:shd w:val="clear" w:color="auto" w:fill="FFFFFF" w:themeFill="background1"/>
        </w:rPr>
        <w:t>的投标保证金对联合体各方均具有约束力。</w:t>
      </w:r>
    </w:p>
    <w:p w14:paraId="12CEC56F">
      <w:pPr>
        <w:pStyle w:val="27"/>
        <w:spacing w:line="360" w:lineRule="auto"/>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 xml:space="preserve">    17.5</w:t>
      </w:r>
      <w:r>
        <w:rPr>
          <w:rFonts w:ascii="宋体" w:hAnsi="宋体" w:eastAsia="宋体" w:cstheme="minorBidi"/>
          <w:iCs/>
          <w:color w:val="auto"/>
          <w:kern w:val="2"/>
          <w:sz w:val="24"/>
          <w:szCs w:val="22"/>
          <w:highlight w:val="none"/>
          <w:shd w:val="clear" w:color="auto" w:fill="FFFFFF" w:themeFill="background1"/>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保证金，经</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rPr>
        <w:t>中标投标人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rPr>
        <w:t>中标投标人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 xml:space="preserve">保证金应当自采购合同签订之日起 5 个工作日内退还。 </w:t>
      </w:r>
    </w:p>
    <w:p w14:paraId="2277FD44">
      <w:pPr>
        <w:pStyle w:val="27"/>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6</w:t>
      </w:r>
      <w:r>
        <w:rPr>
          <w:rFonts w:ascii="宋体" w:hAnsi="宋体" w:eastAsia="宋体" w:cstheme="minorBidi"/>
          <w:iCs/>
          <w:color w:val="auto"/>
          <w:kern w:val="2"/>
          <w:sz w:val="24"/>
          <w:szCs w:val="22"/>
          <w:highlight w:val="none"/>
          <w:shd w:val="clear" w:color="auto" w:fill="FFFFFF" w:themeFill="background1"/>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rPr>
        <w:t>提</w:t>
      </w:r>
      <w:r>
        <w:rPr>
          <w:rFonts w:ascii="宋体" w:hAnsi="宋体" w:eastAsia="宋体" w:cstheme="minorBidi"/>
          <w:iCs/>
          <w:color w:val="auto"/>
          <w:kern w:val="2"/>
          <w:sz w:val="24"/>
          <w:szCs w:val="22"/>
          <w:highlight w:val="none"/>
          <w:shd w:val="clear" w:color="auto" w:fill="FFFFFF" w:themeFill="background1"/>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rPr>
        <w:t>。</w:t>
      </w:r>
      <w:r>
        <w:rPr>
          <w:rFonts w:ascii="宋体" w:hAnsi="宋体" w:eastAsia="宋体" w:cstheme="minorBidi"/>
          <w:iCs/>
          <w:color w:val="auto"/>
          <w:kern w:val="2"/>
          <w:sz w:val="24"/>
          <w:szCs w:val="22"/>
          <w:highlight w:val="none"/>
          <w:shd w:val="clear" w:color="auto" w:fill="FFFFFF" w:themeFill="background1"/>
        </w:rPr>
        <w:t xml:space="preserve"> </w:t>
      </w:r>
    </w:p>
    <w:p w14:paraId="50BDB659">
      <w:pPr>
        <w:pStyle w:val="27"/>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 xml:space="preserve"> 终止招标项目已经收取投标保证金的，自终止采购活动后 5 个工作日内退还已收取的投标保证金及其在银行产生的孳息。</w:t>
      </w:r>
    </w:p>
    <w:p w14:paraId="7F998065">
      <w:pPr>
        <w:pStyle w:val="27"/>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宋体"/>
          <w:color w:val="auto"/>
          <w:kern w:val="2"/>
          <w:sz w:val="24"/>
          <w:szCs w:val="22"/>
          <w:highlight w:val="none"/>
        </w:rPr>
        <w:t>情节严重的将其列入不良记录名单</w:t>
      </w:r>
      <w:r>
        <w:rPr>
          <w:rFonts w:ascii="宋体" w:hAnsi="宋体" w:eastAsia="宋体" w:cstheme="minorBidi"/>
          <w:iCs/>
          <w:color w:val="auto"/>
          <w:kern w:val="2"/>
          <w:sz w:val="24"/>
          <w:szCs w:val="22"/>
          <w:highlight w:val="none"/>
          <w:shd w:val="clear" w:color="auto" w:fill="FFFFFF" w:themeFill="background1"/>
        </w:rPr>
        <w:t xml:space="preserve">： </w:t>
      </w:r>
    </w:p>
    <w:p w14:paraId="57F89447">
      <w:pPr>
        <w:pStyle w:val="27"/>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.1 </w:t>
      </w:r>
      <w:r>
        <w:rPr>
          <w:rFonts w:hint="eastAsia" w:ascii="宋体" w:hAnsi="宋体" w:eastAsia="宋体" w:cs="宋体"/>
          <w:color w:val="auto"/>
          <w:kern w:val="2"/>
          <w:sz w:val="24"/>
          <w:szCs w:val="22"/>
          <w:highlight w:val="none"/>
        </w:rPr>
        <w:t>开标后在投标有效期内，投标人撤销其投标的；</w:t>
      </w:r>
      <w:r>
        <w:rPr>
          <w:rFonts w:ascii="宋体" w:hAnsi="宋体" w:eastAsia="宋体" w:cstheme="minorBidi"/>
          <w:iCs/>
          <w:color w:val="auto"/>
          <w:kern w:val="2"/>
          <w:sz w:val="24"/>
          <w:szCs w:val="22"/>
          <w:highlight w:val="none"/>
          <w:shd w:val="clear" w:color="auto" w:fill="FFFFFF" w:themeFill="background1"/>
        </w:rPr>
        <w:t xml:space="preserve"> </w:t>
      </w:r>
    </w:p>
    <w:p w14:paraId="109A77E1">
      <w:pPr>
        <w:pStyle w:val="27"/>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.2 </w:t>
      </w:r>
      <w:r>
        <w:rPr>
          <w:rFonts w:hint="eastAsia" w:ascii="宋体" w:hAnsi="宋体" w:eastAsia="宋体" w:cs="宋体"/>
          <w:color w:val="auto"/>
          <w:kern w:val="2"/>
          <w:sz w:val="24"/>
          <w:szCs w:val="22"/>
          <w:highlight w:val="none"/>
        </w:rPr>
        <w:t>中标后无正当理由不与采购人签订合同的；</w:t>
      </w:r>
    </w:p>
    <w:p w14:paraId="38487DD1">
      <w:pPr>
        <w:pStyle w:val="27"/>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6983560F">
      <w:pPr>
        <w:pStyle w:val="27"/>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4 将中标项目转让给他人，或者在投标文件中未说明，且未经采购人同意，将中标项目分包给他人的；</w:t>
      </w:r>
    </w:p>
    <w:p w14:paraId="4B02D93E">
      <w:pPr>
        <w:pStyle w:val="27"/>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5 存在串通投标行为的；</w:t>
      </w:r>
    </w:p>
    <w:p w14:paraId="1B8D005C">
      <w:pPr>
        <w:pStyle w:val="27"/>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6 存在弄虚作假或提供虚假材料谋取中标的；</w:t>
      </w:r>
    </w:p>
    <w:p w14:paraId="0A2BD79B">
      <w:pPr>
        <w:pStyle w:val="27"/>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7 投标人其他未按招标文件规定和合同约定履行义务的行为。</w:t>
      </w:r>
    </w:p>
    <w:p w14:paraId="13C53FF2">
      <w:pPr>
        <w:pStyle w:val="27"/>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17.9如开标时投标人对本单位投标保证金缴纳情况有疑义，投标人应在开标结束前向采购人提交书面申请核实保证金缴纳情况。由银行或保险公司核实后出具书面材料予以答复。</w:t>
      </w:r>
    </w:p>
    <w:p w14:paraId="4A36869E">
      <w:pPr>
        <w:pStyle w:val="27"/>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color w:val="auto"/>
          <w:sz w:val="24"/>
          <w:highlight w:val="none"/>
        </w:rPr>
        <w:t>新疆</w:t>
      </w:r>
      <w:r>
        <w:rPr>
          <w:rFonts w:hint="eastAsia" w:ascii="宋体" w:hAnsi="宋体" w:eastAsia="宋体" w:cstheme="minorBidi"/>
          <w:iCs/>
          <w:color w:val="auto"/>
          <w:kern w:val="2"/>
          <w:sz w:val="24"/>
          <w:szCs w:val="22"/>
          <w:highlight w:val="none"/>
          <w:shd w:val="clear" w:color="auto" w:fill="FFFFFF" w:themeFill="background1"/>
        </w:rPr>
        <w:t>政府采购网”—顶部通栏“信用融资”或者“</w:t>
      </w:r>
      <w:r>
        <w:rPr>
          <w:rFonts w:hint="eastAsia"/>
          <w:color w:val="auto"/>
          <w:sz w:val="24"/>
          <w:highlight w:val="none"/>
        </w:rPr>
        <w:t>新疆</w:t>
      </w:r>
      <w:r>
        <w:rPr>
          <w:rFonts w:hint="eastAsia" w:ascii="宋体" w:hAnsi="宋体" w:eastAsia="宋体" w:cstheme="minorBidi"/>
          <w:iCs/>
          <w:color w:val="auto"/>
          <w:kern w:val="2"/>
          <w:sz w:val="24"/>
          <w:szCs w:val="22"/>
          <w:highlight w:val="none"/>
          <w:shd w:val="clear" w:color="auto" w:fill="FFFFFF" w:themeFill="background1"/>
        </w:rPr>
        <w:t>政府采购网”首页“政采贷｜电子保函”快捷模块查看：</w:t>
      </w:r>
    </w:p>
    <w:p w14:paraId="28EDEE35">
      <w:pPr>
        <w:pStyle w:val="27"/>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直达链接（电子保函）：</w:t>
      </w:r>
    </w:p>
    <w:p w14:paraId="49AA5292">
      <w:pPr>
        <w:pStyle w:val="27"/>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https：//jinrong.zcygov.cn/luban/finance/xinjiang?utm=site.site-PC-4838.1473-pc-wsg-customFloatWindow-front.1.b9d627301e6311efb796b33a13fe0d0a</w:t>
      </w:r>
    </w:p>
    <w:p w14:paraId="7438CE4E">
      <w:pPr>
        <w:pStyle w:val="27"/>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金融服务支撑热线：</w:t>
      </w:r>
      <w:r>
        <w:rPr>
          <w:rFonts w:hint="eastAsia" w:ascii="宋体" w:hAnsi="宋体" w:eastAsia="宋体" w:cstheme="minorBidi"/>
          <w:b/>
          <w:bCs/>
          <w:iCs/>
          <w:color w:val="auto"/>
          <w:kern w:val="2"/>
          <w:sz w:val="24"/>
          <w:szCs w:val="22"/>
          <w:highlight w:val="none"/>
          <w:shd w:val="clear" w:color="auto" w:fill="FFFFFF" w:themeFill="background1"/>
        </w:rPr>
        <w:t>95763</w:t>
      </w:r>
      <w:r>
        <w:rPr>
          <w:rFonts w:hint="eastAsia" w:ascii="宋体" w:hAnsi="宋体" w:eastAsia="宋体" w:cstheme="minorBidi"/>
          <w:iCs/>
          <w:color w:val="auto"/>
          <w:kern w:val="2"/>
          <w:sz w:val="24"/>
          <w:szCs w:val="22"/>
          <w:highlight w:val="none"/>
          <w:shd w:val="clear" w:color="auto" w:fill="FFFFFF" w:themeFill="background1"/>
        </w:rPr>
        <w:t xml:space="preserve">     </w:t>
      </w:r>
    </w:p>
    <w:p w14:paraId="4AD8B6E4">
      <w:pPr>
        <w:pStyle w:val="7"/>
        <w:keepNext w:val="0"/>
        <w:keepLines w:val="0"/>
        <w:spacing w:before="80" w:after="60" w:line="240" w:lineRule="auto"/>
        <w:ind w:left="420" w:hanging="420"/>
        <w:rPr>
          <w:rFonts w:hint="eastAsia" w:ascii="宋体" w:hAnsi="宋体" w:cs="宋体"/>
          <w:color w:val="auto"/>
          <w:sz w:val="24"/>
          <w:highlight w:val="none"/>
        </w:rPr>
      </w:pPr>
      <w:r>
        <w:rPr>
          <w:rFonts w:hint="eastAsia" w:ascii="宋体" w:hAnsi="宋体" w:cs="宋体"/>
          <w:color w:val="auto"/>
          <w:sz w:val="24"/>
          <w:highlight w:val="none"/>
        </w:rPr>
        <w:t>18.投标文件的加密</w:t>
      </w:r>
      <w:bookmarkEnd w:id="161"/>
    </w:p>
    <w:p w14:paraId="0C2146B1">
      <w:pPr>
        <w:ind w:firstLine="480" w:firstLineChars="200"/>
        <w:rPr>
          <w:rFonts w:hint="eastAsia" w:cs="仿宋_GB2312"/>
          <w:color w:val="auto"/>
          <w:szCs w:val="24"/>
          <w:highlight w:val="none"/>
          <w:u w:val="single"/>
        </w:rPr>
      </w:pPr>
      <w:bookmarkStart w:id="162" w:name="_Hlk143531864"/>
      <w:r>
        <w:rPr>
          <w:rFonts w:cs="仿宋_GB2312"/>
          <w:color w:val="auto"/>
          <w:szCs w:val="24"/>
          <w:highlight w:val="none"/>
        </w:rPr>
        <w:t>1</w:t>
      </w:r>
      <w:r>
        <w:rPr>
          <w:rFonts w:hint="eastAsia" w:cs="仿宋_GB2312"/>
          <w:color w:val="auto"/>
          <w:szCs w:val="24"/>
          <w:highlight w:val="none"/>
        </w:rPr>
        <w:t>8.1投标人在</w:t>
      </w:r>
      <w:r>
        <w:rPr>
          <w:rFonts w:hint="eastAsia" w:cs="宋体"/>
          <w:color w:val="auto"/>
          <w:szCs w:val="24"/>
          <w:highlight w:val="none"/>
        </w:rPr>
        <w:t>“</w:t>
      </w:r>
      <w:r>
        <w:rPr>
          <w:rFonts w:hint="eastAsia" w:cs="仿宋_GB2312"/>
          <w:color w:val="auto"/>
          <w:szCs w:val="24"/>
          <w:highlight w:val="none"/>
        </w:rPr>
        <w:t>投标客户端”中生成投标文件并完成签章之后，使用CA证书在</w:t>
      </w:r>
      <w:r>
        <w:rPr>
          <w:rFonts w:hint="eastAsia" w:cs="宋体"/>
          <w:color w:val="auto"/>
          <w:szCs w:val="24"/>
          <w:highlight w:val="none"/>
        </w:rPr>
        <w:t>“</w:t>
      </w:r>
      <w:r>
        <w:rPr>
          <w:rFonts w:hint="eastAsia" w:cs="仿宋_GB2312"/>
          <w:color w:val="auto"/>
          <w:szCs w:val="24"/>
          <w:highlight w:val="none"/>
        </w:rPr>
        <w:t>投标客户端”中对投标文件进行加密。</w:t>
      </w:r>
    </w:p>
    <w:p w14:paraId="268E386D">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8.2投标人应在</w:t>
      </w:r>
      <w:r>
        <w:rPr>
          <w:rFonts w:hint="eastAsia" w:cs="宋体"/>
          <w:color w:val="auto"/>
          <w:szCs w:val="24"/>
          <w:highlight w:val="none"/>
        </w:rPr>
        <w:t>“</w:t>
      </w:r>
      <w:r>
        <w:rPr>
          <w:rFonts w:hint="eastAsia" w:cs="仿宋_GB2312"/>
          <w:color w:val="auto"/>
          <w:szCs w:val="24"/>
          <w:highlight w:val="none"/>
        </w:rPr>
        <w:t>投标客户端”中对加密的投标文件进行解密验证，以防止投标文件加密异常，在开标时无法解密。</w:t>
      </w:r>
    </w:p>
    <w:p w14:paraId="63872B8B">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8.3 投标人应保证加密投标文件的CA证书有效期在开标时间之前。若CA证书有效期临近开标时间，建议投标人提前办理CA证书续期，以免开标时无法进行解密。</w:t>
      </w:r>
    </w:p>
    <w:p w14:paraId="4AE6BBD6">
      <w:pPr>
        <w:wordWrap w:val="0"/>
        <w:ind w:firstLine="480" w:firstLineChars="200"/>
        <w:rPr>
          <w:rFonts w:hint="eastAsia" w:cs="仿宋_GB2312"/>
          <w:color w:val="auto"/>
          <w:szCs w:val="24"/>
          <w:highlight w:val="none"/>
        </w:rPr>
      </w:pPr>
      <w:r>
        <w:rPr>
          <w:rFonts w:hint="eastAsia" w:cs="仿宋_GB2312"/>
          <w:color w:val="auto"/>
          <w:szCs w:val="24"/>
          <w:highlight w:val="none"/>
        </w:rPr>
        <w:t>18.4投标人在投标文件递交截止时间前通过</w:t>
      </w:r>
      <w:r>
        <w:rPr>
          <w:rFonts w:hint="eastAsia"/>
          <w:color w:val="auto"/>
          <w:highlight w:val="none"/>
        </w:rPr>
        <w:t>新疆</w:t>
      </w:r>
      <w:r>
        <w:rPr>
          <w:rFonts w:hint="eastAsia" w:cs="仿宋_GB2312"/>
          <w:color w:val="auto"/>
          <w:szCs w:val="24"/>
          <w:highlight w:val="none"/>
        </w:rPr>
        <w:t>政府采购网（</w:t>
      </w:r>
      <w:r>
        <w:rPr>
          <w:rFonts w:hint="eastAsia"/>
          <w:color w:val="auto"/>
          <w:highlight w:val="none"/>
          <w:lang w:val="hr-HR"/>
        </w:rPr>
        <w:t>http：//www.ccgp-xinjiang.gov.cn/</w:t>
      </w:r>
      <w:r>
        <w:rPr>
          <w:rFonts w:hint="eastAsia" w:cs="仿宋_GB2312"/>
          <w:color w:val="auto"/>
          <w:szCs w:val="24"/>
          <w:highlight w:val="none"/>
        </w:rPr>
        <w:t>）的”政采云登录入口”登录后，将加密电子投标文件（为.jmbs后缀格式）上传到对应项目的指定位置，投标人认为有必要提交的其他资料请于投标截止时间前一并提交。</w:t>
      </w:r>
    </w:p>
    <w:p w14:paraId="1895A1D8">
      <w:pPr>
        <w:ind w:firstLine="480" w:firstLineChars="200"/>
        <w:rPr>
          <w:rFonts w:hint="eastAsia" w:cs="仿宋_GB2312"/>
          <w:color w:val="auto"/>
          <w:szCs w:val="24"/>
          <w:highlight w:val="none"/>
        </w:rPr>
      </w:pPr>
      <w:r>
        <w:rPr>
          <w:rFonts w:hint="eastAsia" w:cs="仿宋_GB2312"/>
          <w:color w:val="auto"/>
          <w:szCs w:val="24"/>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530ACEF8">
      <w:pPr>
        <w:ind w:firstLine="480" w:firstLineChars="200"/>
        <w:rPr>
          <w:rFonts w:hint="eastAsia" w:cs="仿宋_GB2312"/>
          <w:color w:val="auto"/>
          <w:szCs w:val="24"/>
          <w:highlight w:val="none"/>
        </w:rPr>
      </w:pPr>
      <w:r>
        <w:rPr>
          <w:rFonts w:hint="eastAsia" w:cs="仿宋_GB2312"/>
          <w:color w:val="auto"/>
          <w:szCs w:val="24"/>
          <w:highlight w:val="none"/>
        </w:rPr>
        <w:t>18.6本项目采用不见面开标，无需提供电子投标文件U盘。</w:t>
      </w:r>
    </w:p>
    <w:bookmarkEnd w:id="162"/>
    <w:p w14:paraId="17771E67">
      <w:pPr>
        <w:pStyle w:val="7"/>
        <w:keepNext w:val="0"/>
        <w:keepLines w:val="0"/>
        <w:spacing w:before="80" w:after="60" w:line="240" w:lineRule="auto"/>
        <w:ind w:left="420" w:hanging="420"/>
        <w:rPr>
          <w:rFonts w:hint="eastAsia" w:ascii="宋体" w:hAnsi="宋体" w:cs="宋体"/>
          <w:color w:val="auto"/>
          <w:sz w:val="24"/>
          <w:highlight w:val="none"/>
        </w:rPr>
      </w:pPr>
      <w:bookmarkStart w:id="163" w:name="_Toc140132777"/>
      <w:bookmarkStart w:id="164" w:name="_Toc163492844"/>
      <w:r>
        <w:rPr>
          <w:rFonts w:hint="eastAsia" w:ascii="宋体" w:hAnsi="宋体" w:cs="宋体"/>
          <w:color w:val="auto"/>
          <w:sz w:val="24"/>
          <w:highlight w:val="none"/>
        </w:rPr>
        <w:t>19.投标文件的递交</w:t>
      </w:r>
      <w:bookmarkEnd w:id="163"/>
      <w:r>
        <w:rPr>
          <w:rFonts w:hint="eastAsia" w:ascii="宋体" w:hAnsi="宋体" w:cs="宋体"/>
          <w:color w:val="auto"/>
          <w:sz w:val="24"/>
          <w:highlight w:val="none"/>
        </w:rPr>
        <w:t>（上传）</w:t>
      </w:r>
      <w:bookmarkEnd w:id="164"/>
    </w:p>
    <w:p w14:paraId="65947316">
      <w:pPr>
        <w:ind w:firstLine="480" w:firstLineChars="200"/>
        <w:rPr>
          <w:rFonts w:hint="eastAsia" w:cs="仿宋_GB2312"/>
          <w:color w:val="auto"/>
          <w:szCs w:val="24"/>
          <w:highlight w:val="none"/>
        </w:rPr>
      </w:pPr>
      <w:bookmarkStart w:id="165" w:name="_Hlk143531977"/>
      <w:r>
        <w:rPr>
          <w:rFonts w:hint="eastAsia" w:cs="仿宋_GB2312"/>
          <w:color w:val="auto"/>
          <w:szCs w:val="24"/>
          <w:highlight w:val="none"/>
        </w:rPr>
        <w:t xml:space="preserve">19.1 投标人应在“第一章 </w:t>
      </w:r>
      <w:r>
        <w:rPr>
          <w:rFonts w:hint="eastAsia"/>
          <w:color w:val="auto"/>
          <w:highlight w:val="none"/>
        </w:rPr>
        <w:t>招标公告</w:t>
      </w:r>
      <w:r>
        <w:rPr>
          <w:rFonts w:hint="eastAsia" w:cs="仿宋_GB2312"/>
          <w:color w:val="auto"/>
          <w:szCs w:val="24"/>
          <w:highlight w:val="none"/>
        </w:rPr>
        <w:t>”规定的投标截止时间前递交（上传）投标文件。</w:t>
      </w:r>
    </w:p>
    <w:p w14:paraId="5E57AEE4">
      <w:pPr>
        <w:ind w:firstLine="480" w:firstLineChars="200"/>
        <w:rPr>
          <w:rFonts w:hint="eastAsia" w:cs="仿宋_GB2312"/>
          <w:color w:val="auto"/>
          <w:szCs w:val="24"/>
          <w:highlight w:val="none"/>
        </w:rPr>
      </w:pPr>
      <w:r>
        <w:rPr>
          <w:rFonts w:hint="eastAsia" w:cs="仿宋_GB2312"/>
          <w:color w:val="auto"/>
          <w:szCs w:val="24"/>
          <w:highlight w:val="none"/>
        </w:rPr>
        <w:t xml:space="preserve">19.2 投标人递交（上传）投标文件的地点见“第一章 </w:t>
      </w:r>
      <w:r>
        <w:rPr>
          <w:rFonts w:hint="eastAsia"/>
          <w:color w:val="auto"/>
          <w:highlight w:val="none"/>
        </w:rPr>
        <w:t>招标公告</w:t>
      </w:r>
      <w:r>
        <w:rPr>
          <w:rFonts w:hint="eastAsia" w:cs="仿宋_GB2312"/>
          <w:color w:val="auto"/>
          <w:szCs w:val="24"/>
          <w:highlight w:val="none"/>
        </w:rPr>
        <w:t>”。</w:t>
      </w:r>
    </w:p>
    <w:p w14:paraId="73F820F3">
      <w:pPr>
        <w:ind w:firstLine="480" w:firstLineChars="200"/>
        <w:rPr>
          <w:rFonts w:hint="eastAsia" w:cs="仿宋_GB2312"/>
          <w:color w:val="auto"/>
          <w:szCs w:val="24"/>
          <w:highlight w:val="none"/>
        </w:rPr>
      </w:pPr>
      <w:r>
        <w:rPr>
          <w:rFonts w:hint="eastAsia" w:cs="仿宋_GB2312"/>
          <w:color w:val="auto"/>
          <w:szCs w:val="24"/>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6D283D04">
      <w:pPr>
        <w:ind w:firstLine="480" w:firstLineChars="200"/>
        <w:rPr>
          <w:rFonts w:hint="eastAsia" w:cs="仿宋_GB2312"/>
          <w:color w:val="auto"/>
          <w:szCs w:val="24"/>
          <w:highlight w:val="none"/>
        </w:rPr>
      </w:pPr>
      <w:r>
        <w:rPr>
          <w:rFonts w:hint="eastAsia" w:cs="仿宋_GB2312"/>
          <w:color w:val="auto"/>
          <w:szCs w:val="24"/>
          <w:highlight w:val="none"/>
        </w:rPr>
        <w:t>19.4 投标人应在</w:t>
      </w:r>
      <w:r>
        <w:rPr>
          <w:rFonts w:hint="eastAsia" w:cs="宋体"/>
          <w:color w:val="auto"/>
          <w:szCs w:val="24"/>
          <w:highlight w:val="none"/>
        </w:rPr>
        <w:t>“</w:t>
      </w:r>
      <w:r>
        <w:rPr>
          <w:rFonts w:hint="eastAsia" w:cs="仿宋_GB2312"/>
          <w:color w:val="auto"/>
          <w:szCs w:val="24"/>
          <w:highlight w:val="none"/>
        </w:rPr>
        <w:t>投标客户端”中下载未加密且完成签章的投标文件妥善保存，以便启动应急开标程序时使用。</w:t>
      </w:r>
    </w:p>
    <w:p w14:paraId="51C774D9">
      <w:pPr>
        <w:ind w:firstLine="480" w:firstLineChars="200"/>
        <w:rPr>
          <w:rFonts w:hint="eastAsia" w:cs="仿宋_GB2312"/>
          <w:color w:val="auto"/>
          <w:szCs w:val="24"/>
          <w:highlight w:val="none"/>
        </w:rPr>
      </w:pPr>
      <w:r>
        <w:rPr>
          <w:rFonts w:hint="eastAsia" w:cs="仿宋_GB2312"/>
          <w:color w:val="auto"/>
          <w:szCs w:val="24"/>
          <w:highlight w:val="none"/>
        </w:rPr>
        <w:t>19.5投标人所递交的投标文件不予退还。</w:t>
      </w:r>
    </w:p>
    <w:bookmarkEnd w:id="165"/>
    <w:p w14:paraId="20F33A1F">
      <w:pPr>
        <w:pStyle w:val="7"/>
        <w:keepNext w:val="0"/>
        <w:keepLines w:val="0"/>
        <w:spacing w:before="80" w:after="60" w:line="240" w:lineRule="auto"/>
        <w:ind w:left="420" w:hanging="420"/>
        <w:rPr>
          <w:rFonts w:hint="eastAsia" w:ascii="宋体" w:hAnsi="宋体" w:cs="宋体"/>
          <w:color w:val="auto"/>
          <w:sz w:val="24"/>
          <w:highlight w:val="none"/>
        </w:rPr>
      </w:pPr>
      <w:bookmarkStart w:id="166" w:name="_Toc163492845"/>
      <w:r>
        <w:rPr>
          <w:rFonts w:hint="eastAsia" w:ascii="宋体" w:hAnsi="宋体" w:cs="宋体"/>
          <w:color w:val="auto"/>
          <w:sz w:val="24"/>
          <w:highlight w:val="none"/>
        </w:rPr>
        <w:t>20.拒收</w:t>
      </w:r>
      <w:bookmarkEnd w:id="166"/>
    </w:p>
    <w:p w14:paraId="6CEB64C4">
      <w:pPr>
        <w:ind w:firstLine="480" w:firstLineChars="200"/>
        <w:rPr>
          <w:rFonts w:hint="eastAsia" w:cs="仿宋_GB2312"/>
          <w:color w:val="auto"/>
          <w:szCs w:val="24"/>
          <w:highlight w:val="none"/>
        </w:rPr>
      </w:pPr>
      <w:r>
        <w:rPr>
          <w:rFonts w:hint="eastAsia" w:cs="仿宋_GB2312"/>
          <w:color w:val="auto"/>
          <w:szCs w:val="24"/>
          <w:highlight w:val="none"/>
        </w:rPr>
        <w:t>20.1 超过投标文件提交截止时间</w:t>
      </w:r>
      <w:bookmarkStart w:id="167" w:name="_Hlk143532404"/>
      <w:r>
        <w:rPr>
          <w:rFonts w:hint="eastAsia" w:cs="仿宋_GB2312"/>
          <w:color w:val="auto"/>
          <w:szCs w:val="24"/>
          <w:highlight w:val="none"/>
        </w:rPr>
        <w:t>或者不按照本章要求加密的投标文件，交易系统应当拒收</w:t>
      </w:r>
      <w:bookmarkEnd w:id="167"/>
      <w:r>
        <w:rPr>
          <w:rFonts w:hint="eastAsia" w:cs="仿宋_GB2312"/>
          <w:color w:val="auto"/>
          <w:szCs w:val="24"/>
          <w:highlight w:val="none"/>
        </w:rPr>
        <w:t>。</w:t>
      </w:r>
    </w:p>
    <w:p w14:paraId="6B6F5DA3">
      <w:pPr>
        <w:pStyle w:val="7"/>
        <w:keepNext w:val="0"/>
        <w:keepLines w:val="0"/>
        <w:spacing w:before="80" w:after="80" w:line="240" w:lineRule="auto"/>
        <w:ind w:left="420" w:hanging="420"/>
        <w:rPr>
          <w:rFonts w:hint="eastAsia" w:ascii="宋体" w:hAnsi="宋体" w:cs="宋体"/>
          <w:color w:val="auto"/>
          <w:sz w:val="24"/>
          <w:highlight w:val="none"/>
        </w:rPr>
      </w:pPr>
      <w:bookmarkStart w:id="168" w:name="_Toc140132778"/>
      <w:bookmarkStart w:id="169" w:name="_Toc163492846"/>
      <w:r>
        <w:rPr>
          <w:rFonts w:hint="eastAsia" w:ascii="宋体" w:hAnsi="宋体" w:cs="宋体"/>
          <w:color w:val="auto"/>
          <w:sz w:val="24"/>
          <w:highlight w:val="none"/>
        </w:rPr>
        <w:t>21.投标文件的修改与撤回</w:t>
      </w:r>
      <w:bookmarkEnd w:id="168"/>
      <w:bookmarkEnd w:id="169"/>
    </w:p>
    <w:p w14:paraId="7A67CBB8">
      <w:pPr>
        <w:ind w:firstLine="480" w:firstLineChars="200"/>
        <w:rPr>
          <w:rFonts w:hint="eastAsia" w:cs="仿宋_GB2312"/>
          <w:color w:val="auto"/>
          <w:szCs w:val="24"/>
          <w:highlight w:val="none"/>
        </w:rPr>
      </w:pPr>
      <w:r>
        <w:rPr>
          <w:rFonts w:hint="eastAsia" w:cs="仿宋_GB2312"/>
          <w:color w:val="auto"/>
          <w:szCs w:val="24"/>
          <w:highlight w:val="none"/>
        </w:rPr>
        <w:t>21.1</w:t>
      </w:r>
      <w:bookmarkStart w:id="170" w:name="_Hlk143532466"/>
      <w:r>
        <w:rPr>
          <w:rFonts w:hint="eastAsia" w:cs="仿宋_GB2312"/>
          <w:color w:val="auto"/>
          <w:szCs w:val="24"/>
          <w:highlight w:val="none"/>
        </w:rPr>
        <w:t>投标人在“</w:t>
      </w:r>
      <w:r>
        <w:rPr>
          <w:rFonts w:hint="eastAsia"/>
          <w:color w:val="auto"/>
          <w:highlight w:val="none"/>
        </w:rPr>
        <w:t>第一章 招标公告</w:t>
      </w:r>
      <w:r>
        <w:rPr>
          <w:rFonts w:hint="eastAsia" w:cs="仿宋_GB2312"/>
          <w:color w:val="auto"/>
          <w:szCs w:val="24"/>
          <w:highlight w:val="none"/>
        </w:rPr>
        <w:t>”规定的投标文件递交截止时间之前，可在新疆政府采购电子交易云平台上随时撤回已上传的电子投标文件，将修改好的电子投标文件在投标文件递交截止时间前重新上传到新疆政府采购电子交易云平台的指定位置。</w:t>
      </w:r>
    </w:p>
    <w:bookmarkEnd w:id="170"/>
    <w:p w14:paraId="70470A28">
      <w:pPr>
        <w:pStyle w:val="7"/>
        <w:keepNext w:val="0"/>
        <w:keepLines w:val="0"/>
        <w:spacing w:before="80" w:after="80" w:line="240" w:lineRule="auto"/>
        <w:ind w:left="420" w:hanging="420"/>
        <w:rPr>
          <w:rFonts w:hint="eastAsia" w:ascii="宋体" w:hAnsi="宋体" w:cs="宋体"/>
          <w:color w:val="auto"/>
          <w:sz w:val="24"/>
          <w:highlight w:val="none"/>
        </w:rPr>
      </w:pPr>
      <w:bookmarkStart w:id="171" w:name="_Toc155185874"/>
      <w:bookmarkStart w:id="172" w:name="_Toc163492847"/>
      <w:r>
        <w:rPr>
          <w:rFonts w:hint="eastAsia" w:ascii="宋体" w:hAnsi="宋体" w:cs="宋体"/>
          <w:color w:val="auto"/>
          <w:sz w:val="24"/>
          <w:highlight w:val="none"/>
        </w:rPr>
        <w:t>22.实物样品</w:t>
      </w:r>
      <w:bookmarkEnd w:id="171"/>
      <w:bookmarkEnd w:id="172"/>
    </w:p>
    <w:p w14:paraId="2C78EEB0">
      <w:pPr>
        <w:pStyle w:val="20"/>
        <w:rPr>
          <w:rFonts w:hint="eastAsia"/>
          <w:color w:val="auto"/>
          <w:highlight w:val="none"/>
        </w:rPr>
      </w:pPr>
      <w:r>
        <w:rPr>
          <w:rFonts w:hint="eastAsia"/>
          <w:color w:val="auto"/>
          <w:highlight w:val="none"/>
        </w:rPr>
        <w:t>2</w:t>
      </w:r>
      <w:r>
        <w:rPr>
          <w:rFonts w:hint="eastAsia"/>
          <w:color w:val="auto"/>
          <w:highlight w:val="none"/>
          <w:lang w:val="en-US"/>
        </w:rPr>
        <w:t>2</w:t>
      </w:r>
      <w:r>
        <w:rPr>
          <w:rFonts w:hint="eastAsia"/>
          <w:color w:val="auto"/>
          <w:highlight w:val="none"/>
        </w:rPr>
        <w:t>.1“投标人须知前附表”要求提供样品的，样品的具体要求及评审详见“第三章 采购需求”和“第五章 评标</w:t>
      </w:r>
      <w:r>
        <w:rPr>
          <w:rFonts w:hint="eastAsia"/>
          <w:color w:val="auto"/>
          <w:highlight w:val="none"/>
          <w:lang w:val="en-US"/>
        </w:rPr>
        <w:t>方</w:t>
      </w:r>
      <w:r>
        <w:rPr>
          <w:rFonts w:hint="eastAsia"/>
          <w:color w:val="auto"/>
          <w:highlight w:val="none"/>
        </w:rPr>
        <w:t>法及标准”。</w:t>
      </w:r>
    </w:p>
    <w:p w14:paraId="116C0EAE">
      <w:pPr>
        <w:pStyle w:val="20"/>
        <w:rPr>
          <w:rFonts w:hint="eastAsia" w:cs="仿宋_GB2312"/>
          <w:b/>
          <w:color w:val="auto"/>
          <w:szCs w:val="24"/>
          <w:highlight w:val="none"/>
        </w:rPr>
      </w:pPr>
      <w:r>
        <w:rPr>
          <w:color w:val="auto"/>
          <w:highlight w:val="none"/>
        </w:rPr>
        <w:t>2</w:t>
      </w:r>
      <w:r>
        <w:rPr>
          <w:rFonts w:hint="eastAsia"/>
          <w:color w:val="auto"/>
          <w:highlight w:val="none"/>
          <w:lang w:val="en-US"/>
        </w:rPr>
        <w:t>2</w:t>
      </w:r>
      <w:r>
        <w:rPr>
          <w:rFonts w:hint="eastAsia"/>
          <w:color w:val="auto"/>
          <w:highlight w:val="none"/>
        </w:rPr>
        <w:t>.2样品退还：未中标的投标人应</w:t>
      </w:r>
      <w:r>
        <w:rPr>
          <w:rFonts w:hint="eastAsia"/>
          <w:color w:val="auto"/>
          <w:highlight w:val="none"/>
          <w:lang w:val="en-US"/>
        </w:rPr>
        <w:t>按照</w:t>
      </w:r>
      <w:r>
        <w:rPr>
          <w:rFonts w:hint="eastAsia"/>
          <w:color w:val="auto"/>
          <w:highlight w:val="none"/>
        </w:rPr>
        <w:t>“投标人须知前附表”</w:t>
      </w:r>
      <w:r>
        <w:rPr>
          <w:rFonts w:hint="eastAsia"/>
          <w:color w:val="auto"/>
          <w:highlight w:val="none"/>
          <w:lang w:val="en-US"/>
        </w:rPr>
        <w:t>要求</w:t>
      </w:r>
      <w:r>
        <w:rPr>
          <w:rFonts w:hint="eastAsia"/>
          <w:color w:val="auto"/>
          <w:highlight w:val="none"/>
        </w:rPr>
        <w:t>自行联系采购人取回投标样品；中标人的样品由采购人进行保管、封存，并作为履约验收的参考（招标文件另有规定的从其规定）。</w:t>
      </w:r>
    </w:p>
    <w:p w14:paraId="31115E64">
      <w:pPr>
        <w:pStyle w:val="7"/>
        <w:keepNext w:val="0"/>
        <w:keepLines w:val="0"/>
        <w:spacing w:before="80" w:after="80" w:line="240" w:lineRule="auto"/>
        <w:ind w:left="420" w:hanging="420"/>
        <w:rPr>
          <w:rFonts w:hint="eastAsia" w:ascii="宋体" w:hAnsi="宋体" w:cs="宋体"/>
          <w:color w:val="auto"/>
          <w:sz w:val="24"/>
          <w:highlight w:val="none"/>
        </w:rPr>
      </w:pPr>
      <w:bookmarkStart w:id="173" w:name="_Toc163492848"/>
      <w:bookmarkStart w:id="174" w:name="_Toc155185875"/>
      <w:r>
        <w:rPr>
          <w:rFonts w:hint="eastAsia" w:ascii="宋体" w:hAnsi="宋体" w:cs="宋体"/>
          <w:color w:val="auto"/>
          <w:sz w:val="24"/>
          <w:highlight w:val="none"/>
        </w:rPr>
        <w:t>23.演示</w:t>
      </w:r>
      <w:bookmarkEnd w:id="173"/>
      <w:bookmarkEnd w:id="174"/>
    </w:p>
    <w:p w14:paraId="74989679">
      <w:pPr>
        <w:pStyle w:val="20"/>
        <w:rPr>
          <w:rFonts w:hint="eastAsia"/>
          <w:color w:val="auto"/>
          <w:highlight w:val="none"/>
        </w:rPr>
      </w:pPr>
      <w:r>
        <w:rPr>
          <w:color w:val="auto"/>
          <w:highlight w:val="none"/>
        </w:rPr>
        <w:t>2</w:t>
      </w:r>
      <w:r>
        <w:rPr>
          <w:rFonts w:hint="eastAsia"/>
          <w:color w:val="auto"/>
          <w:highlight w:val="none"/>
          <w:lang w:val="en-US"/>
        </w:rPr>
        <w:t>3</w:t>
      </w:r>
      <w:r>
        <w:rPr>
          <w:rFonts w:hint="eastAsia"/>
          <w:color w:val="auto"/>
          <w:highlight w:val="none"/>
        </w:rPr>
        <w:t>.1要求投标人进行演示的，演示要求详见“投标人须知前附表”。</w:t>
      </w:r>
    </w:p>
    <w:p w14:paraId="30B10740">
      <w:pPr>
        <w:pStyle w:val="20"/>
        <w:rPr>
          <w:rFonts w:hint="eastAsia"/>
          <w:color w:val="auto"/>
          <w:highlight w:val="none"/>
        </w:rPr>
      </w:pPr>
      <w:r>
        <w:rPr>
          <w:color w:val="auto"/>
          <w:highlight w:val="none"/>
        </w:rPr>
        <w:t>2</w:t>
      </w:r>
      <w:r>
        <w:rPr>
          <w:rFonts w:hint="eastAsia"/>
          <w:color w:val="auto"/>
          <w:highlight w:val="none"/>
          <w:lang w:val="en-US"/>
        </w:rPr>
        <w:t>3</w:t>
      </w:r>
      <w:r>
        <w:rPr>
          <w:rFonts w:hint="eastAsia"/>
          <w:color w:val="auto"/>
          <w:highlight w:val="none"/>
        </w:rPr>
        <w:t>.2演示的评审详见“第三章 采购需求”和“第五章 评标</w:t>
      </w:r>
      <w:r>
        <w:rPr>
          <w:rFonts w:hint="eastAsia"/>
          <w:color w:val="auto"/>
          <w:highlight w:val="none"/>
          <w:lang w:val="en-US"/>
        </w:rPr>
        <w:t>方</w:t>
      </w:r>
      <w:r>
        <w:rPr>
          <w:rFonts w:hint="eastAsia"/>
          <w:color w:val="auto"/>
          <w:highlight w:val="none"/>
        </w:rPr>
        <w:t>法及标准”。</w:t>
      </w:r>
    </w:p>
    <w:p w14:paraId="4AF8B4D2">
      <w:pPr>
        <w:pStyle w:val="6"/>
        <w:keepNext w:val="0"/>
        <w:keepLines w:val="0"/>
        <w:spacing w:before="180" w:after="180" w:line="240" w:lineRule="auto"/>
        <w:ind w:left="420" w:hanging="420"/>
        <w:rPr>
          <w:rFonts w:hint="eastAsia" w:cs="宋体"/>
          <w:color w:val="auto"/>
          <w:sz w:val="24"/>
          <w:highlight w:val="none"/>
        </w:rPr>
      </w:pPr>
      <w:bookmarkStart w:id="175" w:name="_Toc163492849"/>
      <w:bookmarkStart w:id="176" w:name="_Toc140132779"/>
      <w:bookmarkStart w:id="177" w:name="_Toc155185876"/>
      <w:r>
        <w:rPr>
          <w:rFonts w:hint="eastAsia" w:cs="宋体"/>
          <w:color w:val="auto"/>
          <w:sz w:val="24"/>
          <w:highlight w:val="none"/>
        </w:rPr>
        <w:t>（五）开标</w:t>
      </w:r>
      <w:bookmarkEnd w:id="175"/>
      <w:bookmarkEnd w:id="176"/>
      <w:bookmarkEnd w:id="177"/>
    </w:p>
    <w:p w14:paraId="2DBF2B7D">
      <w:pPr>
        <w:pStyle w:val="7"/>
        <w:keepNext w:val="0"/>
        <w:keepLines w:val="0"/>
        <w:spacing w:before="80" w:after="80" w:line="240" w:lineRule="auto"/>
        <w:ind w:left="420" w:hanging="420"/>
        <w:rPr>
          <w:rFonts w:hint="eastAsia" w:ascii="宋体" w:hAnsi="宋体" w:cs="宋体"/>
          <w:color w:val="auto"/>
          <w:sz w:val="24"/>
          <w:highlight w:val="none"/>
        </w:rPr>
      </w:pPr>
      <w:bookmarkStart w:id="178" w:name="_Toc140132780"/>
      <w:bookmarkStart w:id="179" w:name="_Toc163492850"/>
      <w:r>
        <w:rPr>
          <w:rFonts w:hint="eastAsia" w:ascii="宋体" w:hAnsi="宋体" w:cs="宋体"/>
          <w:color w:val="auto"/>
          <w:sz w:val="24"/>
          <w:highlight w:val="none"/>
        </w:rPr>
        <w:t>24.开标会议</w:t>
      </w:r>
      <w:bookmarkEnd w:id="178"/>
      <w:bookmarkEnd w:id="179"/>
    </w:p>
    <w:p w14:paraId="3D8C9C8A">
      <w:pPr>
        <w:ind w:firstLine="480" w:firstLineChars="200"/>
        <w:rPr>
          <w:rFonts w:hint="eastAsia" w:cs="仿宋_GB2312"/>
          <w:color w:val="auto"/>
          <w:szCs w:val="24"/>
          <w:highlight w:val="none"/>
        </w:rPr>
      </w:pPr>
      <w:bookmarkStart w:id="180" w:name="_Toc140132781"/>
      <w:r>
        <w:rPr>
          <w:rFonts w:cs="仿宋_GB2312"/>
          <w:color w:val="auto"/>
          <w:szCs w:val="24"/>
          <w:highlight w:val="none"/>
        </w:rPr>
        <w:t>2</w:t>
      </w:r>
      <w:r>
        <w:rPr>
          <w:rFonts w:hint="eastAsia" w:cs="仿宋_GB2312"/>
          <w:color w:val="auto"/>
          <w:szCs w:val="24"/>
          <w:highlight w:val="none"/>
        </w:rPr>
        <w:t xml:space="preserve">4.1开标会按“第一章 </w:t>
      </w:r>
      <w:r>
        <w:rPr>
          <w:rFonts w:hint="eastAsia"/>
          <w:color w:val="auto"/>
          <w:highlight w:val="none"/>
        </w:rPr>
        <w:t>招标公告</w:t>
      </w:r>
      <w:r>
        <w:rPr>
          <w:rFonts w:hint="eastAsia" w:cs="仿宋_GB2312"/>
          <w:color w:val="auto"/>
          <w:szCs w:val="24"/>
          <w:highlight w:val="none"/>
        </w:rPr>
        <w:t>”规定的开标时间和地点准时举行，采购人、采购代理机构邀请所有投标人准时参加开标会。</w:t>
      </w:r>
      <w:r>
        <w:rPr>
          <w:rFonts w:hint="eastAsia"/>
          <w:color w:val="auto"/>
          <w:highlight w:val="none"/>
        </w:rPr>
        <w:t>投标人应按照招标文件的要求参与不见面开标。</w:t>
      </w:r>
    </w:p>
    <w:p w14:paraId="4750DF23">
      <w:pPr>
        <w:wordWrap w:val="0"/>
        <w:ind w:firstLine="480" w:firstLineChars="200"/>
        <w:rPr>
          <w:rFonts w:hint="eastAsia" w:cs="宋体"/>
          <w:color w:val="auto"/>
          <w:highlight w:val="none"/>
        </w:rPr>
      </w:pPr>
      <w:r>
        <w:rPr>
          <w:color w:val="auto"/>
          <w:highlight w:val="none"/>
        </w:rPr>
        <w:t>2</w:t>
      </w:r>
      <w:r>
        <w:rPr>
          <w:rFonts w:hint="eastAsia"/>
          <w:color w:val="auto"/>
          <w:highlight w:val="none"/>
        </w:rPr>
        <w:t xml:space="preserve">4.2 </w:t>
      </w:r>
      <w:bookmarkEnd w:id="180"/>
      <w:r>
        <w:rPr>
          <w:rFonts w:hint="eastAsia" w:cs="宋体"/>
          <w:color w:val="auto"/>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新疆政府采购电子交易云平台（网址：</w:t>
      </w:r>
      <w:r>
        <w:rPr>
          <w:rFonts w:hint="eastAsia"/>
          <w:color w:val="auto"/>
          <w:highlight w:val="none"/>
          <w:lang w:val="hr-HR"/>
        </w:rPr>
        <w:t>http：//www.ccgp-xinjiang.gov.cn/</w:t>
      </w:r>
      <w:r>
        <w:rPr>
          <w:rFonts w:hint="eastAsia" w:cs="宋体"/>
          <w:color w:val="auto"/>
          <w:highlight w:val="none"/>
        </w:rPr>
        <w:t>）的“政采云登录入口”登录后，进入“政采云远程开标大厅”参加开标会议，并使用CA密钥完成远程解密、提疑澄清、开标唱标、结果公布等交互环节。</w:t>
      </w:r>
    </w:p>
    <w:p w14:paraId="70840916">
      <w:pPr>
        <w:ind w:firstLine="480" w:firstLineChars="200"/>
        <w:rPr>
          <w:rFonts w:hint="eastAsia" w:cs="宋体"/>
          <w:color w:val="auto"/>
          <w:highlight w:val="none"/>
        </w:rPr>
      </w:pPr>
      <w:r>
        <w:rPr>
          <w:rFonts w:hint="eastAsia" w:cs="宋体"/>
          <w:color w:val="auto"/>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019DC6A1">
      <w:pPr>
        <w:pStyle w:val="7"/>
        <w:keepNext w:val="0"/>
        <w:keepLines w:val="0"/>
        <w:spacing w:before="80" w:after="80" w:line="240" w:lineRule="auto"/>
        <w:ind w:left="420" w:hanging="420"/>
        <w:rPr>
          <w:rFonts w:hint="eastAsia" w:ascii="宋体" w:hAnsi="宋体" w:cs="宋体"/>
          <w:color w:val="auto"/>
          <w:sz w:val="24"/>
          <w:highlight w:val="none"/>
        </w:rPr>
      </w:pPr>
      <w:bookmarkStart w:id="181" w:name="_Toc163492852"/>
      <w:bookmarkStart w:id="182" w:name="_Toc140132783"/>
      <w:r>
        <w:rPr>
          <w:rFonts w:hint="eastAsia" w:ascii="宋体" w:hAnsi="宋体" w:cs="宋体"/>
          <w:color w:val="auto"/>
          <w:sz w:val="24"/>
          <w:highlight w:val="none"/>
        </w:rPr>
        <w:t>25.开标程序</w:t>
      </w:r>
      <w:bookmarkEnd w:id="181"/>
      <w:bookmarkEnd w:id="182"/>
    </w:p>
    <w:p w14:paraId="6A46ADA8">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5.1 投标人不足3家的，不得开标。</w:t>
      </w:r>
    </w:p>
    <w:p w14:paraId="2AD45BDF">
      <w:pPr>
        <w:ind w:firstLine="480" w:firstLineChars="200"/>
        <w:rPr>
          <w:rFonts w:hint="eastAsia"/>
          <w:color w:val="auto"/>
          <w:highlight w:val="none"/>
        </w:rPr>
      </w:pPr>
      <w:r>
        <w:rPr>
          <w:rFonts w:cs="仿宋_GB2312"/>
          <w:color w:val="auto"/>
          <w:szCs w:val="24"/>
          <w:highlight w:val="none"/>
        </w:rPr>
        <w:t>2</w:t>
      </w:r>
      <w:r>
        <w:rPr>
          <w:rFonts w:hint="eastAsia" w:cs="仿宋_GB2312"/>
          <w:color w:val="auto"/>
          <w:szCs w:val="24"/>
          <w:highlight w:val="none"/>
        </w:rPr>
        <w:t>5.2 评标委员会成员不得参加开标活动。</w:t>
      </w:r>
    </w:p>
    <w:p w14:paraId="5F448221">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5.3主持人按下列程序进行开标：</w:t>
      </w:r>
    </w:p>
    <w:p w14:paraId="6DB1EBA8">
      <w:pPr>
        <w:ind w:firstLine="398" w:firstLineChars="166"/>
        <w:rPr>
          <w:rFonts w:hint="eastAsia" w:cs="仿宋_GB2312"/>
          <w:color w:val="auto"/>
          <w:szCs w:val="24"/>
          <w:highlight w:val="none"/>
        </w:rPr>
      </w:pPr>
      <w:r>
        <w:rPr>
          <w:rFonts w:hint="eastAsia" w:cs="仿宋_GB2312"/>
          <w:color w:val="auto"/>
          <w:szCs w:val="24"/>
          <w:highlight w:val="none"/>
        </w:rPr>
        <w:t>（1）宣布开标会纪律；</w:t>
      </w:r>
    </w:p>
    <w:p w14:paraId="22AE196C">
      <w:pPr>
        <w:ind w:firstLine="398" w:firstLineChars="166"/>
        <w:rPr>
          <w:rFonts w:hint="eastAsia" w:cs="仿宋_GB2312"/>
          <w:color w:val="auto"/>
          <w:szCs w:val="24"/>
          <w:highlight w:val="none"/>
        </w:rPr>
      </w:pPr>
      <w:r>
        <w:rPr>
          <w:rFonts w:hint="eastAsia" w:cs="仿宋_GB2312"/>
          <w:color w:val="auto"/>
          <w:szCs w:val="24"/>
          <w:highlight w:val="none"/>
        </w:rPr>
        <w:t>（2）介绍参加开标会的单位和人员；</w:t>
      </w:r>
    </w:p>
    <w:p w14:paraId="327FFB6E">
      <w:pPr>
        <w:ind w:firstLine="398" w:firstLineChars="166"/>
        <w:rPr>
          <w:rFonts w:hint="eastAsia" w:cs="仿宋_GB2312"/>
          <w:color w:val="auto"/>
          <w:szCs w:val="24"/>
          <w:highlight w:val="none"/>
        </w:rPr>
      </w:pPr>
      <w:r>
        <w:rPr>
          <w:rFonts w:hint="eastAsia" w:cs="仿宋_GB2312"/>
          <w:color w:val="auto"/>
          <w:szCs w:val="24"/>
          <w:highlight w:val="none"/>
        </w:rPr>
        <w:t>（3）发起投标文件解密。投标人应在“投标人须知前附表”规定的时间内使用加密投标文件的CA证书在系统中完成投标文件的解密；投标人不足3家的，不予解密；</w:t>
      </w:r>
    </w:p>
    <w:p w14:paraId="3DD24EC9">
      <w:pPr>
        <w:ind w:firstLine="398" w:firstLineChars="166"/>
        <w:rPr>
          <w:rFonts w:hint="eastAsia" w:cs="仿宋_GB2312"/>
          <w:color w:val="auto"/>
          <w:szCs w:val="24"/>
          <w:highlight w:val="none"/>
        </w:rPr>
      </w:pPr>
      <w:r>
        <w:rPr>
          <w:rFonts w:hint="eastAsia" w:cs="仿宋_GB2312"/>
          <w:color w:val="auto"/>
          <w:szCs w:val="24"/>
          <w:highlight w:val="none"/>
        </w:rPr>
        <w:t>（4）解密完成后，系统自动显示投标人名称、投标价格和招标文件规定的需要宣布的其他内容；</w:t>
      </w:r>
    </w:p>
    <w:p w14:paraId="2DCDD4B5">
      <w:pPr>
        <w:ind w:left="564" w:leftChars="200" w:hanging="84" w:hangingChars="35"/>
        <w:rPr>
          <w:rFonts w:hint="eastAsia" w:cs="仿宋_GB2312"/>
          <w:color w:val="auto"/>
          <w:szCs w:val="24"/>
          <w:highlight w:val="none"/>
        </w:rPr>
      </w:pPr>
      <w:r>
        <w:rPr>
          <w:rFonts w:hint="eastAsia" w:cs="仿宋_GB2312"/>
          <w:color w:val="auto"/>
          <w:szCs w:val="24"/>
          <w:highlight w:val="none"/>
        </w:rPr>
        <w:t>（5）系统自动生成开标记录表，投标人应在线对开标记录进行签署确认；</w:t>
      </w:r>
    </w:p>
    <w:p w14:paraId="57450370">
      <w:pPr>
        <w:ind w:left="564" w:leftChars="200" w:hanging="84" w:hangingChars="35"/>
        <w:rPr>
          <w:rFonts w:hint="eastAsia" w:cs="仿宋_GB2312"/>
          <w:color w:val="auto"/>
          <w:szCs w:val="24"/>
          <w:highlight w:val="none"/>
        </w:rPr>
      </w:pPr>
      <w:r>
        <w:rPr>
          <w:rFonts w:hint="eastAsia" w:cs="仿宋_GB2312"/>
          <w:color w:val="auto"/>
          <w:szCs w:val="24"/>
          <w:highlight w:val="none"/>
        </w:rPr>
        <w:t>（6）开标会结束。</w:t>
      </w:r>
      <w:bookmarkStart w:id="183" w:name="_Toc140132784"/>
      <w:bookmarkStart w:id="184" w:name="_Toc163492853"/>
    </w:p>
    <w:p w14:paraId="7AA4C4EA">
      <w:pPr>
        <w:pStyle w:val="7"/>
        <w:keepNext w:val="0"/>
        <w:keepLines w:val="0"/>
        <w:spacing w:before="80" w:after="80" w:line="240" w:lineRule="auto"/>
        <w:ind w:left="420" w:hanging="420"/>
        <w:rPr>
          <w:rFonts w:hint="eastAsia" w:ascii="宋体" w:hAnsi="宋体" w:cs="宋体"/>
          <w:color w:val="auto"/>
          <w:sz w:val="24"/>
          <w:highlight w:val="none"/>
        </w:rPr>
      </w:pPr>
      <w:r>
        <w:rPr>
          <w:rFonts w:hint="eastAsia" w:ascii="宋体" w:hAnsi="宋体" w:cs="宋体"/>
          <w:color w:val="auto"/>
          <w:sz w:val="24"/>
          <w:highlight w:val="none"/>
        </w:rPr>
        <w:t>26.开标疑义及回避情形</w:t>
      </w:r>
      <w:bookmarkEnd w:id="183"/>
      <w:bookmarkEnd w:id="184"/>
    </w:p>
    <w:p w14:paraId="2124FB5D">
      <w:pPr>
        <w:pStyle w:val="20"/>
        <w:rPr>
          <w:rFonts w:hint="eastAsia"/>
          <w:color w:val="auto"/>
          <w:highlight w:val="none"/>
        </w:rPr>
      </w:pPr>
      <w:r>
        <w:rPr>
          <w:color w:val="auto"/>
          <w:highlight w:val="none"/>
        </w:rPr>
        <w:t>2</w:t>
      </w:r>
      <w:r>
        <w:rPr>
          <w:rFonts w:hint="eastAsia"/>
          <w:color w:val="auto"/>
          <w:highlight w:val="none"/>
          <w:lang w:val="en-US"/>
        </w:rPr>
        <w:t>6</w:t>
      </w:r>
      <w:r>
        <w:rPr>
          <w:rFonts w:hint="eastAsia"/>
          <w:color w:val="auto"/>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5C477A0">
      <w:pPr>
        <w:pStyle w:val="20"/>
        <w:rPr>
          <w:rFonts w:hint="eastAsia"/>
          <w:color w:val="auto"/>
          <w:highlight w:val="none"/>
        </w:rPr>
      </w:pPr>
      <w:r>
        <w:rPr>
          <w:rFonts w:hint="eastAsia"/>
          <w:color w:val="auto"/>
          <w:highlight w:val="none"/>
        </w:rPr>
        <w:t>2</w:t>
      </w:r>
      <w:r>
        <w:rPr>
          <w:rFonts w:hint="eastAsia"/>
          <w:color w:val="auto"/>
          <w:highlight w:val="none"/>
          <w:lang w:val="en-US"/>
        </w:rPr>
        <w:t>6</w:t>
      </w:r>
      <w:r>
        <w:rPr>
          <w:rFonts w:hint="eastAsia"/>
          <w:color w:val="auto"/>
          <w:highlight w:val="none"/>
        </w:rPr>
        <w:t>.2投标人未参加开标的，视同认可开标结果。</w:t>
      </w:r>
    </w:p>
    <w:p w14:paraId="01367250">
      <w:pPr>
        <w:pStyle w:val="6"/>
        <w:keepNext w:val="0"/>
        <w:keepLines w:val="0"/>
        <w:spacing w:before="180" w:after="180" w:line="240" w:lineRule="auto"/>
        <w:ind w:left="420" w:hanging="420"/>
        <w:rPr>
          <w:rFonts w:hint="eastAsia" w:cs="宋体"/>
          <w:color w:val="auto"/>
          <w:sz w:val="24"/>
          <w:highlight w:val="none"/>
        </w:rPr>
      </w:pPr>
      <w:bookmarkStart w:id="185" w:name="_Toc140132785"/>
      <w:bookmarkStart w:id="186" w:name="_Toc163492854"/>
      <w:bookmarkStart w:id="187" w:name="_Toc155185877"/>
      <w:r>
        <w:rPr>
          <w:rFonts w:hint="eastAsia" w:cs="宋体"/>
          <w:color w:val="auto"/>
          <w:sz w:val="24"/>
          <w:highlight w:val="none"/>
        </w:rPr>
        <w:t>（六）资格审查</w:t>
      </w:r>
      <w:bookmarkEnd w:id="185"/>
      <w:bookmarkEnd w:id="186"/>
      <w:bookmarkEnd w:id="187"/>
    </w:p>
    <w:p w14:paraId="6B0AD466">
      <w:pPr>
        <w:pStyle w:val="7"/>
        <w:keepNext w:val="0"/>
        <w:keepLines w:val="0"/>
        <w:spacing w:before="80" w:after="80" w:line="240" w:lineRule="auto"/>
        <w:ind w:left="420" w:hanging="420"/>
        <w:rPr>
          <w:rFonts w:hint="eastAsia" w:ascii="宋体" w:hAnsi="宋体" w:cs="宋体"/>
          <w:color w:val="auto"/>
          <w:sz w:val="24"/>
          <w:highlight w:val="none"/>
        </w:rPr>
      </w:pPr>
      <w:bookmarkStart w:id="188" w:name="_Toc163492855"/>
      <w:r>
        <w:rPr>
          <w:rFonts w:hint="eastAsia" w:ascii="宋体" w:hAnsi="宋体" w:cs="宋体"/>
          <w:color w:val="auto"/>
          <w:sz w:val="24"/>
          <w:highlight w:val="none"/>
        </w:rPr>
        <w:t>27.资格审查及审查主体</w:t>
      </w:r>
      <w:bookmarkEnd w:id="188"/>
    </w:p>
    <w:p w14:paraId="09AEA7D4">
      <w:pPr>
        <w:pStyle w:val="20"/>
        <w:rPr>
          <w:rFonts w:hint="eastAsia"/>
          <w:color w:val="auto"/>
          <w:highlight w:val="none"/>
        </w:rPr>
      </w:pPr>
      <w:bookmarkStart w:id="189" w:name="_Toc140132786"/>
      <w:r>
        <w:rPr>
          <w:rFonts w:hint="eastAsia"/>
          <w:color w:val="auto"/>
          <w:highlight w:val="none"/>
        </w:rPr>
        <w:t>2</w:t>
      </w:r>
      <w:r>
        <w:rPr>
          <w:rFonts w:hint="eastAsia"/>
          <w:color w:val="auto"/>
          <w:highlight w:val="none"/>
          <w:lang w:val="en-US"/>
        </w:rPr>
        <w:t>7</w:t>
      </w:r>
      <w:r>
        <w:rPr>
          <w:rFonts w:hint="eastAsia"/>
          <w:color w:val="auto"/>
          <w:highlight w:val="none"/>
        </w:rPr>
        <w:t>.1</w:t>
      </w:r>
      <w:bookmarkEnd w:id="189"/>
      <w:r>
        <w:rPr>
          <w:rFonts w:hint="eastAsia"/>
          <w:color w:val="auto"/>
          <w:highlight w:val="none"/>
        </w:rPr>
        <w:t>开标结束后，采购人或者采购代理机构应当依法对投标人的资格进行审查。</w:t>
      </w:r>
    </w:p>
    <w:p w14:paraId="057D9F49">
      <w:pPr>
        <w:pStyle w:val="20"/>
        <w:rPr>
          <w:rFonts w:hint="eastAsia"/>
          <w:color w:val="auto"/>
          <w:highlight w:val="none"/>
        </w:rPr>
      </w:pPr>
      <w:bookmarkStart w:id="190" w:name="_Toc140132787"/>
      <w:r>
        <w:rPr>
          <w:color w:val="auto"/>
          <w:highlight w:val="none"/>
        </w:rPr>
        <w:t>2</w:t>
      </w:r>
      <w:r>
        <w:rPr>
          <w:rFonts w:hint="eastAsia"/>
          <w:color w:val="auto"/>
          <w:highlight w:val="none"/>
          <w:lang w:val="en-US"/>
        </w:rPr>
        <w:t>7</w:t>
      </w:r>
      <w:r>
        <w:rPr>
          <w:rFonts w:hint="eastAsia"/>
          <w:color w:val="auto"/>
          <w:highlight w:val="none"/>
        </w:rPr>
        <w:t>.2</w:t>
      </w:r>
      <w:r>
        <w:rPr>
          <w:color w:val="auto"/>
          <w:highlight w:val="none"/>
        </w:rPr>
        <w:t>资格审查</w:t>
      </w:r>
      <w:r>
        <w:rPr>
          <w:rFonts w:hint="eastAsia"/>
          <w:color w:val="auto"/>
          <w:highlight w:val="none"/>
        </w:rPr>
        <w:t>按“第四章</w:t>
      </w:r>
      <w:r>
        <w:rPr>
          <w:rFonts w:hint="eastAsia"/>
          <w:color w:val="auto"/>
          <w:highlight w:val="none"/>
          <w:lang w:val="en-US"/>
        </w:rPr>
        <w:t xml:space="preserve"> </w:t>
      </w:r>
      <w:r>
        <w:rPr>
          <w:rFonts w:hint="eastAsia"/>
          <w:color w:val="auto"/>
          <w:highlight w:val="none"/>
        </w:rPr>
        <w:t>资格审查”的规定进行。</w:t>
      </w:r>
      <w:bookmarkEnd w:id="190"/>
    </w:p>
    <w:p w14:paraId="199E5834">
      <w:pPr>
        <w:pStyle w:val="20"/>
        <w:rPr>
          <w:rFonts w:hint="eastAsia"/>
          <w:color w:val="auto"/>
          <w:highlight w:val="none"/>
        </w:rPr>
      </w:pPr>
      <w:bookmarkStart w:id="191" w:name="_Toc140132788"/>
      <w:r>
        <w:rPr>
          <w:color w:val="auto"/>
          <w:highlight w:val="none"/>
        </w:rPr>
        <w:t>2</w:t>
      </w:r>
      <w:r>
        <w:rPr>
          <w:rFonts w:hint="eastAsia"/>
          <w:color w:val="auto"/>
          <w:highlight w:val="none"/>
          <w:lang w:val="en-US"/>
        </w:rPr>
        <w:t>7</w:t>
      </w:r>
      <w:r>
        <w:rPr>
          <w:rFonts w:hint="eastAsia"/>
          <w:color w:val="auto"/>
          <w:highlight w:val="none"/>
        </w:rPr>
        <w:t>.3</w:t>
      </w:r>
      <w:r>
        <w:rPr>
          <w:color w:val="auto"/>
          <w:highlight w:val="none"/>
        </w:rPr>
        <w:t>资格审查结束后，应及时对资格审查结果进行复核，对资格审查错误进行及时纠正并记录。</w:t>
      </w:r>
      <w:bookmarkEnd w:id="191"/>
    </w:p>
    <w:p w14:paraId="15E3B0C5">
      <w:pPr>
        <w:pStyle w:val="20"/>
        <w:rPr>
          <w:rFonts w:hint="eastAsia"/>
          <w:color w:val="auto"/>
          <w:highlight w:val="none"/>
          <w:lang w:val="en-US"/>
        </w:rPr>
      </w:pPr>
      <w:r>
        <w:rPr>
          <w:rFonts w:hint="eastAsia"/>
          <w:color w:val="auto"/>
          <w:highlight w:val="none"/>
          <w:lang w:val="en-US"/>
        </w:rPr>
        <w:t>27.4</w:t>
      </w:r>
      <w:r>
        <w:rPr>
          <w:color w:val="auto"/>
          <w:highlight w:val="none"/>
        </w:rPr>
        <w:t>资格审查</w:t>
      </w:r>
      <w:r>
        <w:rPr>
          <w:rFonts w:hint="eastAsia"/>
          <w:color w:val="auto"/>
          <w:highlight w:val="none"/>
        </w:rPr>
        <w:t>合格投标人不足3家的，不得评标。</w:t>
      </w:r>
    </w:p>
    <w:p w14:paraId="292FA667">
      <w:pPr>
        <w:pStyle w:val="6"/>
        <w:keepNext w:val="0"/>
        <w:keepLines w:val="0"/>
        <w:spacing w:before="180" w:after="180" w:line="240" w:lineRule="auto"/>
        <w:ind w:left="420" w:hanging="420"/>
        <w:rPr>
          <w:rFonts w:hint="eastAsia" w:cs="宋体"/>
          <w:color w:val="auto"/>
          <w:sz w:val="24"/>
          <w:highlight w:val="none"/>
        </w:rPr>
      </w:pPr>
      <w:bookmarkStart w:id="192" w:name="_Toc140132789"/>
      <w:bookmarkStart w:id="193" w:name="_Toc163492856"/>
      <w:bookmarkStart w:id="194" w:name="_Toc155185878"/>
      <w:r>
        <w:rPr>
          <w:rFonts w:hint="eastAsia" w:cs="宋体"/>
          <w:color w:val="auto"/>
          <w:sz w:val="24"/>
          <w:highlight w:val="none"/>
        </w:rPr>
        <w:t>（七）评标</w:t>
      </w:r>
      <w:bookmarkEnd w:id="192"/>
      <w:bookmarkEnd w:id="193"/>
      <w:bookmarkEnd w:id="194"/>
    </w:p>
    <w:p w14:paraId="2DEDD1CF">
      <w:pPr>
        <w:pStyle w:val="7"/>
        <w:keepNext w:val="0"/>
        <w:keepLines w:val="0"/>
        <w:spacing w:before="80" w:after="80" w:line="240" w:lineRule="auto"/>
        <w:ind w:left="420" w:hanging="420"/>
        <w:rPr>
          <w:rFonts w:hint="eastAsia" w:ascii="宋体" w:hAnsi="宋体" w:cs="宋体"/>
          <w:color w:val="auto"/>
          <w:sz w:val="24"/>
          <w:highlight w:val="none"/>
        </w:rPr>
      </w:pPr>
      <w:bookmarkStart w:id="195" w:name="_Toc163492857"/>
      <w:bookmarkStart w:id="196" w:name="_Toc140132790"/>
      <w:r>
        <w:rPr>
          <w:rFonts w:hint="eastAsia" w:ascii="宋体" w:hAnsi="宋体" w:cs="宋体"/>
          <w:color w:val="auto"/>
          <w:sz w:val="24"/>
          <w:highlight w:val="none"/>
        </w:rPr>
        <w:t>28.评标委员会</w:t>
      </w:r>
      <w:bookmarkEnd w:id="195"/>
      <w:bookmarkEnd w:id="196"/>
    </w:p>
    <w:p w14:paraId="65BE1C51">
      <w:pPr>
        <w:pStyle w:val="20"/>
        <w:rPr>
          <w:rFonts w:hint="eastAsia"/>
          <w:color w:val="auto"/>
          <w:highlight w:val="none"/>
        </w:rPr>
      </w:pPr>
      <w:r>
        <w:rPr>
          <w:color w:val="auto"/>
          <w:highlight w:val="none"/>
        </w:rPr>
        <w:t>2</w:t>
      </w:r>
      <w:r>
        <w:rPr>
          <w:rFonts w:hint="eastAsia"/>
          <w:color w:val="auto"/>
          <w:highlight w:val="none"/>
          <w:lang w:val="en-US"/>
        </w:rPr>
        <w:t>8</w:t>
      </w:r>
      <w:r>
        <w:rPr>
          <w:rFonts w:hint="eastAsia"/>
          <w:color w:val="auto"/>
          <w:highlight w:val="none"/>
        </w:rPr>
        <w:t>.1 评标由采购人依法组建的评标委员会负责。评标委员会由采购人代表和评审专家组成，</w:t>
      </w:r>
      <w:r>
        <w:rPr>
          <w:rFonts w:hint="eastAsia"/>
          <w:color w:val="auto"/>
          <w:highlight w:val="none"/>
          <w:lang w:val="en-US"/>
        </w:rPr>
        <w:t>成员人数应当为5</w:t>
      </w:r>
      <w:r>
        <w:rPr>
          <w:rFonts w:hint="eastAsia"/>
          <w:color w:val="auto"/>
          <w:highlight w:val="none"/>
        </w:rPr>
        <w:t>人以上单数，其中</w:t>
      </w:r>
      <w:r>
        <w:rPr>
          <w:rFonts w:hint="eastAsia"/>
          <w:color w:val="auto"/>
          <w:highlight w:val="none"/>
          <w:lang w:val="en-US"/>
        </w:rPr>
        <w:t>评审</w:t>
      </w:r>
      <w:r>
        <w:rPr>
          <w:rFonts w:hint="eastAsia"/>
          <w:color w:val="auto"/>
          <w:highlight w:val="none"/>
        </w:rPr>
        <w:t>专家不</w:t>
      </w:r>
      <w:r>
        <w:rPr>
          <w:rFonts w:hint="eastAsia"/>
          <w:color w:val="auto"/>
          <w:highlight w:val="none"/>
          <w:lang w:val="en-US"/>
        </w:rPr>
        <w:t>得</w:t>
      </w:r>
      <w:r>
        <w:rPr>
          <w:rFonts w:hint="eastAsia"/>
          <w:color w:val="auto"/>
          <w:highlight w:val="none"/>
        </w:rPr>
        <w:t>少于</w:t>
      </w:r>
      <w:r>
        <w:rPr>
          <w:rFonts w:hint="eastAsia"/>
          <w:color w:val="auto"/>
          <w:highlight w:val="none"/>
          <w:lang w:val="en-US"/>
        </w:rPr>
        <w:t>成员总数的</w:t>
      </w:r>
      <w:r>
        <w:rPr>
          <w:rFonts w:hint="eastAsia"/>
          <w:color w:val="auto"/>
          <w:highlight w:val="none"/>
        </w:rPr>
        <w:t>三分之二。</w:t>
      </w:r>
      <w:r>
        <w:rPr>
          <w:color w:val="auto"/>
          <w:highlight w:val="none"/>
          <w:lang w:val="en-US"/>
        </w:rPr>
        <w:t>采购人或者采购代理机构应当从省级以上财政部门设立的政府采购评审专家库中，通过随机方式抽取评审专家。</w:t>
      </w:r>
    </w:p>
    <w:p w14:paraId="421A9E5A">
      <w:pPr>
        <w:pStyle w:val="20"/>
        <w:rPr>
          <w:rFonts w:hint="eastAsia"/>
          <w:color w:val="auto"/>
          <w:highlight w:val="none"/>
        </w:rPr>
      </w:pPr>
      <w:r>
        <w:rPr>
          <w:rFonts w:hint="eastAsia"/>
          <w:color w:val="auto"/>
          <w:highlight w:val="none"/>
          <w:lang w:val="en-US"/>
        </w:rPr>
        <w:t xml:space="preserve">28.2 </w:t>
      </w:r>
      <w:r>
        <w:rPr>
          <w:color w:val="auto"/>
          <w:highlight w:val="none"/>
          <w:lang w:val="en-US"/>
        </w:rPr>
        <w:t>采购项目符合下列情形之一的，评标委员会成员人数应当为7人以上单数：</w:t>
      </w:r>
    </w:p>
    <w:p w14:paraId="02858C81">
      <w:pPr>
        <w:pStyle w:val="20"/>
        <w:rPr>
          <w:rFonts w:hint="eastAsia"/>
          <w:color w:val="auto"/>
          <w:highlight w:val="none"/>
        </w:rPr>
      </w:pPr>
      <w:r>
        <w:rPr>
          <w:rFonts w:hint="eastAsia"/>
          <w:color w:val="auto"/>
          <w:highlight w:val="none"/>
          <w:lang w:val="en-US"/>
        </w:rPr>
        <w:t>（1</w:t>
      </w:r>
      <w:r>
        <w:rPr>
          <w:color w:val="auto"/>
          <w:highlight w:val="none"/>
          <w:lang w:val="en-US"/>
        </w:rPr>
        <w:t>）采购预算金额在1000万元以上；</w:t>
      </w:r>
    </w:p>
    <w:p w14:paraId="06F9173D">
      <w:pPr>
        <w:pStyle w:val="20"/>
        <w:rPr>
          <w:rFonts w:hint="eastAsia"/>
          <w:color w:val="auto"/>
          <w:highlight w:val="none"/>
        </w:rPr>
      </w:pPr>
      <w:r>
        <w:rPr>
          <w:rFonts w:hint="eastAsia"/>
          <w:color w:val="auto"/>
          <w:highlight w:val="none"/>
          <w:lang w:val="en-US"/>
        </w:rPr>
        <w:t>（2</w:t>
      </w:r>
      <w:r>
        <w:rPr>
          <w:color w:val="auto"/>
          <w:highlight w:val="none"/>
          <w:lang w:val="en-US"/>
        </w:rPr>
        <w:t>）技术复杂；</w:t>
      </w:r>
    </w:p>
    <w:p w14:paraId="05E0C0BD">
      <w:pPr>
        <w:pStyle w:val="20"/>
        <w:rPr>
          <w:rFonts w:hint="eastAsia"/>
          <w:color w:val="auto"/>
          <w:highlight w:val="none"/>
        </w:rPr>
      </w:pPr>
      <w:r>
        <w:rPr>
          <w:rFonts w:hint="eastAsia"/>
          <w:color w:val="auto"/>
          <w:highlight w:val="none"/>
          <w:lang w:val="en-US"/>
        </w:rPr>
        <w:t>（3</w:t>
      </w:r>
      <w:r>
        <w:rPr>
          <w:color w:val="auto"/>
          <w:highlight w:val="none"/>
          <w:lang w:val="en-US"/>
        </w:rPr>
        <w:t>）社会影响较大。</w:t>
      </w:r>
    </w:p>
    <w:p w14:paraId="016BAD34">
      <w:pPr>
        <w:pStyle w:val="20"/>
        <w:rPr>
          <w:rFonts w:hint="eastAsia"/>
          <w:color w:val="auto"/>
          <w:highlight w:val="none"/>
        </w:rPr>
      </w:pPr>
      <w:r>
        <w:rPr>
          <w:rFonts w:hint="eastAsia"/>
          <w:color w:val="auto"/>
          <w:highlight w:val="none"/>
          <w:lang w:val="en-US"/>
        </w:rPr>
        <w:t>28.3</w:t>
      </w:r>
      <w:r>
        <w:rPr>
          <w:color w:val="auto"/>
          <w:highlight w:val="none"/>
          <w:lang w:val="en-US"/>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2754B623">
      <w:pPr>
        <w:pStyle w:val="20"/>
        <w:rPr>
          <w:rFonts w:hint="eastAsia"/>
          <w:color w:val="auto"/>
          <w:highlight w:val="none"/>
        </w:rPr>
      </w:pPr>
      <w:r>
        <w:rPr>
          <w:rFonts w:hint="eastAsia"/>
          <w:color w:val="auto"/>
          <w:highlight w:val="none"/>
          <w:lang w:val="en-US"/>
        </w:rPr>
        <w:t>28.4</w:t>
      </w:r>
      <w:r>
        <w:rPr>
          <w:color w:val="auto"/>
          <w:highlight w:val="none"/>
          <w:lang w:val="en-US"/>
        </w:rPr>
        <w:t>评标委员会成员名单在评标结果公告前应当保密。</w:t>
      </w:r>
    </w:p>
    <w:p w14:paraId="7F6F6285">
      <w:pPr>
        <w:pStyle w:val="20"/>
        <w:rPr>
          <w:rFonts w:hint="eastAsia"/>
          <w:color w:val="auto"/>
          <w:highlight w:val="none"/>
          <w:lang w:val="en-US"/>
        </w:rPr>
      </w:pPr>
      <w:r>
        <w:rPr>
          <w:rFonts w:hint="eastAsia"/>
          <w:color w:val="auto"/>
          <w:highlight w:val="none"/>
          <w:lang w:val="en-US"/>
        </w:rPr>
        <w:t>28.5</w:t>
      </w:r>
      <w:r>
        <w:rPr>
          <w:color w:val="auto"/>
          <w:highlight w:val="none"/>
          <w:lang w:val="en-US"/>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499F4FA3">
      <w:pPr>
        <w:pStyle w:val="20"/>
        <w:rPr>
          <w:rFonts w:hint="eastAsia"/>
          <w:color w:val="auto"/>
          <w:highlight w:val="none"/>
          <w:lang w:val="en-US"/>
        </w:rPr>
      </w:pPr>
      <w:r>
        <w:rPr>
          <w:rFonts w:hint="eastAsia"/>
          <w:color w:val="auto"/>
          <w:highlight w:val="none"/>
          <w:lang w:val="en-US"/>
        </w:rPr>
        <w:t>28.6</w:t>
      </w:r>
      <w:r>
        <w:rPr>
          <w:color w:val="auto"/>
          <w:highlight w:val="none"/>
          <w:lang w:val="en-US"/>
        </w:rPr>
        <w:t>无法及时补足评标委员会成员的，采购人或者采购代理机构应当停止评标活动，封存所有投标文件和开标、评标资料，依法重新组建评标委员会进行评标。原评标委员会所作出的评标意见无效。</w:t>
      </w:r>
    </w:p>
    <w:p w14:paraId="112035BE">
      <w:pPr>
        <w:pStyle w:val="20"/>
        <w:rPr>
          <w:rFonts w:hint="eastAsia"/>
          <w:color w:val="auto"/>
          <w:highlight w:val="none"/>
        </w:rPr>
      </w:pPr>
      <w:r>
        <w:rPr>
          <w:color w:val="auto"/>
          <w:highlight w:val="none"/>
        </w:rPr>
        <w:t>2</w:t>
      </w:r>
      <w:r>
        <w:rPr>
          <w:rFonts w:hint="eastAsia"/>
          <w:color w:val="auto"/>
          <w:highlight w:val="none"/>
          <w:lang w:val="en-US"/>
        </w:rPr>
        <w:t>8</w:t>
      </w:r>
      <w:r>
        <w:rPr>
          <w:rFonts w:hint="eastAsia"/>
          <w:color w:val="auto"/>
          <w:highlight w:val="none"/>
        </w:rPr>
        <w:t>.</w:t>
      </w:r>
      <w:r>
        <w:rPr>
          <w:rFonts w:hint="eastAsia"/>
          <w:color w:val="auto"/>
          <w:highlight w:val="none"/>
          <w:lang w:val="en-US"/>
        </w:rPr>
        <w:t>7</w:t>
      </w:r>
      <w:r>
        <w:rPr>
          <w:rFonts w:hint="eastAsia"/>
          <w:color w:val="auto"/>
          <w:highlight w:val="none"/>
        </w:rPr>
        <w:t xml:space="preserve"> 评标委员会成员有下列情形之一的，应当回避：</w:t>
      </w:r>
    </w:p>
    <w:p w14:paraId="6143C2D9">
      <w:pPr>
        <w:pStyle w:val="20"/>
        <w:rPr>
          <w:rFonts w:hint="eastAsia"/>
          <w:color w:val="auto"/>
          <w:highlight w:val="none"/>
        </w:rPr>
      </w:pPr>
      <w:r>
        <w:rPr>
          <w:rFonts w:hint="eastAsia"/>
          <w:color w:val="auto"/>
          <w:highlight w:val="none"/>
        </w:rPr>
        <w:t>（1）参加采购活动前3年内与投标人存在劳动关系；</w:t>
      </w:r>
    </w:p>
    <w:p w14:paraId="56CB778C">
      <w:pPr>
        <w:pStyle w:val="20"/>
        <w:rPr>
          <w:rFonts w:hint="eastAsia"/>
          <w:color w:val="auto"/>
          <w:highlight w:val="none"/>
        </w:rPr>
      </w:pPr>
      <w:r>
        <w:rPr>
          <w:rFonts w:hint="eastAsia"/>
          <w:color w:val="auto"/>
          <w:highlight w:val="none"/>
        </w:rPr>
        <w:t>（2）参加采购活动前3年内担任投标人的董事、监事；</w:t>
      </w:r>
    </w:p>
    <w:p w14:paraId="11D92A79">
      <w:pPr>
        <w:pStyle w:val="20"/>
        <w:rPr>
          <w:rFonts w:hint="eastAsia"/>
          <w:color w:val="auto"/>
          <w:highlight w:val="none"/>
        </w:rPr>
      </w:pPr>
      <w:r>
        <w:rPr>
          <w:rFonts w:hint="eastAsia"/>
          <w:color w:val="auto"/>
          <w:highlight w:val="none"/>
        </w:rPr>
        <w:t>（3）参加采购活动前3年内是投标人的控股股东或实际控制人；</w:t>
      </w:r>
    </w:p>
    <w:p w14:paraId="5CEA675A">
      <w:pPr>
        <w:pStyle w:val="20"/>
        <w:rPr>
          <w:rFonts w:hint="eastAsia"/>
          <w:color w:val="auto"/>
          <w:highlight w:val="none"/>
        </w:rPr>
      </w:pPr>
      <w:r>
        <w:rPr>
          <w:rFonts w:hint="eastAsia"/>
          <w:color w:val="auto"/>
          <w:highlight w:val="none"/>
        </w:rPr>
        <w:t>（4）与投标人的法定代表人或者负责人有夫妻、直系血亲、三代以内旁系血亲或者近姻亲关系；</w:t>
      </w:r>
    </w:p>
    <w:p w14:paraId="178D04E7">
      <w:pPr>
        <w:pStyle w:val="20"/>
        <w:rPr>
          <w:rFonts w:hint="eastAsia"/>
          <w:color w:val="auto"/>
          <w:highlight w:val="none"/>
        </w:rPr>
      </w:pPr>
      <w:r>
        <w:rPr>
          <w:rFonts w:hint="eastAsia"/>
          <w:color w:val="auto"/>
          <w:highlight w:val="none"/>
        </w:rPr>
        <w:t>（5）与投标人有其他可能影响采购活动公平、公正进行的关系。</w:t>
      </w:r>
    </w:p>
    <w:p w14:paraId="11827742">
      <w:pPr>
        <w:pStyle w:val="7"/>
        <w:keepNext w:val="0"/>
        <w:keepLines w:val="0"/>
        <w:spacing w:before="80" w:after="80" w:line="240" w:lineRule="auto"/>
        <w:ind w:left="420" w:hanging="420"/>
        <w:rPr>
          <w:rFonts w:hint="eastAsia" w:ascii="宋体" w:hAnsi="宋体" w:cs="宋体"/>
          <w:color w:val="auto"/>
          <w:sz w:val="24"/>
          <w:highlight w:val="none"/>
        </w:rPr>
      </w:pPr>
      <w:bookmarkStart w:id="197" w:name="_Toc163492858"/>
      <w:bookmarkStart w:id="198" w:name="_Toc140132791"/>
      <w:r>
        <w:rPr>
          <w:rFonts w:hint="eastAsia" w:ascii="宋体" w:hAnsi="宋体" w:cs="宋体"/>
          <w:color w:val="auto"/>
          <w:sz w:val="24"/>
          <w:highlight w:val="none"/>
        </w:rPr>
        <w:t>29.评标</w:t>
      </w:r>
      <w:bookmarkEnd w:id="197"/>
      <w:bookmarkEnd w:id="198"/>
    </w:p>
    <w:p w14:paraId="304CBB34">
      <w:pPr>
        <w:pStyle w:val="20"/>
        <w:rPr>
          <w:rFonts w:hint="eastAsia"/>
          <w:color w:val="auto"/>
          <w:highlight w:val="none"/>
        </w:rPr>
      </w:pPr>
      <w:r>
        <w:rPr>
          <w:rFonts w:hint="eastAsia"/>
          <w:color w:val="auto"/>
          <w:highlight w:val="none"/>
          <w:lang w:val="en-US"/>
        </w:rPr>
        <w:t>29</w:t>
      </w:r>
      <w:r>
        <w:rPr>
          <w:rFonts w:hint="eastAsia"/>
          <w:color w:val="auto"/>
          <w:highlight w:val="none"/>
        </w:rPr>
        <w:t>.1</w:t>
      </w:r>
      <w:r>
        <w:rPr>
          <w:rFonts w:hint="eastAsia"/>
          <w:color w:val="auto"/>
          <w:highlight w:val="none"/>
          <w:lang w:val="en-US"/>
        </w:rPr>
        <w:t xml:space="preserve"> 评标方法分为综合评分法和</w:t>
      </w:r>
      <w:r>
        <w:rPr>
          <w:color w:val="auto"/>
          <w:highlight w:val="none"/>
        </w:rPr>
        <w:t>最低评标价法</w:t>
      </w:r>
      <w:r>
        <w:rPr>
          <w:rFonts w:hint="eastAsia"/>
          <w:color w:val="auto"/>
          <w:highlight w:val="none"/>
        </w:rPr>
        <w:t>，</w:t>
      </w:r>
      <w:r>
        <w:rPr>
          <w:color w:val="auto"/>
          <w:highlight w:val="none"/>
        </w:rPr>
        <w:t>本项目</w:t>
      </w:r>
      <w:r>
        <w:rPr>
          <w:rFonts w:hint="eastAsia"/>
          <w:color w:val="auto"/>
          <w:highlight w:val="none"/>
        </w:rPr>
        <w:t>评标</w:t>
      </w:r>
      <w:r>
        <w:rPr>
          <w:rFonts w:hint="eastAsia"/>
          <w:color w:val="auto"/>
          <w:highlight w:val="none"/>
          <w:lang w:val="en-US"/>
        </w:rPr>
        <w:t>方法详见</w:t>
      </w:r>
      <w:r>
        <w:rPr>
          <w:rFonts w:hint="eastAsia"/>
          <w:color w:val="auto"/>
          <w:highlight w:val="none"/>
        </w:rPr>
        <w:t>“投标人须知前附表”。</w:t>
      </w:r>
    </w:p>
    <w:p w14:paraId="2043B9B0">
      <w:pPr>
        <w:pStyle w:val="20"/>
        <w:rPr>
          <w:rFonts w:hint="eastAsia"/>
          <w:color w:val="auto"/>
          <w:highlight w:val="none"/>
        </w:rPr>
      </w:pPr>
      <w:r>
        <w:rPr>
          <w:color w:val="auto"/>
          <w:highlight w:val="none"/>
        </w:rPr>
        <w:t>2</w:t>
      </w:r>
      <w:r>
        <w:rPr>
          <w:rFonts w:hint="eastAsia"/>
          <w:color w:val="auto"/>
          <w:highlight w:val="none"/>
          <w:lang w:val="en-US"/>
        </w:rPr>
        <w:t>9.1.1</w:t>
      </w:r>
      <w:r>
        <w:rPr>
          <w:color w:val="auto"/>
          <w:highlight w:val="none"/>
        </w:rPr>
        <w:t>综合评分法，是指投标文件满足招标文件全部实质性要求</w:t>
      </w:r>
      <w:r>
        <w:rPr>
          <w:rFonts w:hint="eastAsia"/>
          <w:color w:val="auto"/>
          <w:highlight w:val="none"/>
        </w:rPr>
        <w:t>，</w:t>
      </w:r>
      <w:r>
        <w:rPr>
          <w:color w:val="auto"/>
          <w:highlight w:val="none"/>
        </w:rPr>
        <w:t>且按照评审因素的量化指标评审得分最高的投标人为中标候选人的评标方法。</w:t>
      </w:r>
    </w:p>
    <w:p w14:paraId="79015646">
      <w:pPr>
        <w:pStyle w:val="20"/>
        <w:rPr>
          <w:rFonts w:hint="eastAsia"/>
          <w:color w:val="auto"/>
          <w:highlight w:val="none"/>
          <w:lang w:val="en-US"/>
        </w:rPr>
      </w:pPr>
      <w:r>
        <w:rPr>
          <w:rFonts w:hint="eastAsia"/>
          <w:color w:val="auto"/>
          <w:highlight w:val="none"/>
          <w:lang w:val="en-US"/>
        </w:rPr>
        <w:t>29.1.2.</w:t>
      </w:r>
      <w:r>
        <w:rPr>
          <w:color w:val="auto"/>
          <w:highlight w:val="none"/>
        </w:rPr>
        <w:t>最低评标价法，是指投标文件满足招标文件全部实质性要求</w:t>
      </w:r>
      <w:r>
        <w:rPr>
          <w:rFonts w:hint="eastAsia"/>
          <w:color w:val="auto"/>
          <w:highlight w:val="none"/>
        </w:rPr>
        <w:t>，</w:t>
      </w:r>
      <w:r>
        <w:rPr>
          <w:color w:val="auto"/>
          <w:highlight w:val="none"/>
        </w:rPr>
        <w:t>且投标报价最低的投标人为中标候选人的评标方法。</w:t>
      </w:r>
    </w:p>
    <w:p w14:paraId="62970463">
      <w:pPr>
        <w:pStyle w:val="20"/>
        <w:rPr>
          <w:rFonts w:hint="eastAsia"/>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2 </w:t>
      </w:r>
      <w:r>
        <w:rPr>
          <w:rFonts w:hint="eastAsia"/>
          <w:color w:val="auto"/>
          <w:highlight w:val="none"/>
        </w:rPr>
        <w:t>评标委员会按照“第五章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的</w:t>
      </w:r>
      <w:r>
        <w:rPr>
          <w:rFonts w:hint="eastAsia"/>
          <w:color w:val="auto"/>
          <w:highlight w:val="none"/>
        </w:rPr>
        <w:t>规定对投标文件进行评审。“第五章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法及标准”没有规定的方法、评审因素和标准，不作为评标依据。</w:t>
      </w:r>
    </w:p>
    <w:p w14:paraId="33AAB121">
      <w:pPr>
        <w:pStyle w:val="20"/>
        <w:rPr>
          <w:rFonts w:hint="eastAsia"/>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3 </w:t>
      </w:r>
      <w:r>
        <w:rPr>
          <w:rFonts w:hint="eastAsia"/>
          <w:color w:val="auto"/>
          <w:highlight w:val="none"/>
        </w:rPr>
        <w:t>评标委员会按“投标人须知前附表”规定的中标候选人数量在评标报告中向采购人推荐中标候选人。</w:t>
      </w:r>
    </w:p>
    <w:p w14:paraId="4094FF6F">
      <w:pPr>
        <w:pStyle w:val="20"/>
        <w:rPr>
          <w:rFonts w:hint="eastAsia"/>
          <w:color w:val="auto"/>
          <w:highlight w:val="none"/>
          <w:lang w:val="en-US"/>
        </w:rPr>
      </w:pPr>
      <w:r>
        <w:rPr>
          <w:rFonts w:hint="eastAsia"/>
          <w:color w:val="auto"/>
          <w:highlight w:val="none"/>
          <w:lang w:val="en-US"/>
        </w:rPr>
        <w:t>29.4 开标之后，直到签订合同止，凡是属于审查、澄清、评价和比较投标的有关资料以及定标意向等，均不得向投标人或者其他与评标无关的人员透露。</w:t>
      </w:r>
    </w:p>
    <w:p w14:paraId="04582B6F">
      <w:pPr>
        <w:pStyle w:val="20"/>
        <w:rPr>
          <w:rFonts w:hint="eastAsia"/>
          <w:color w:val="auto"/>
          <w:highlight w:val="none"/>
          <w:lang w:val="en-US"/>
        </w:rPr>
      </w:pPr>
      <w:r>
        <w:rPr>
          <w:rFonts w:hint="eastAsia"/>
          <w:color w:val="auto"/>
          <w:highlight w:val="none"/>
          <w:lang w:val="en-US"/>
        </w:rPr>
        <w:t>29.5 在确定中标人之前，投标人试图在投标文件审查、澄清、比较和评标时对评标委员会、采购人和采购代理机构施加任何影响都可能导致其</w:t>
      </w:r>
      <w:r>
        <w:rPr>
          <w:rFonts w:hint="eastAsia"/>
          <w:b/>
          <w:bCs/>
          <w:color w:val="auto"/>
          <w:highlight w:val="none"/>
          <w:lang w:val="en-US"/>
        </w:rPr>
        <w:t>投标无效</w:t>
      </w:r>
      <w:r>
        <w:rPr>
          <w:rFonts w:hint="eastAsia"/>
          <w:color w:val="auto"/>
          <w:highlight w:val="none"/>
          <w:lang w:val="en-US"/>
        </w:rPr>
        <w:t>。</w:t>
      </w:r>
    </w:p>
    <w:p w14:paraId="648AF3B0">
      <w:pPr>
        <w:pStyle w:val="20"/>
        <w:rPr>
          <w:rFonts w:hint="eastAsia"/>
          <w:color w:val="auto"/>
          <w:highlight w:val="none"/>
          <w:lang w:val="en-US"/>
        </w:rPr>
      </w:pPr>
      <w:r>
        <w:rPr>
          <w:rFonts w:hint="eastAsia"/>
          <w:color w:val="auto"/>
          <w:highlight w:val="none"/>
          <w:lang w:val="en-US"/>
        </w:rPr>
        <w:t>29.6 电子招投标的应急措施</w:t>
      </w:r>
    </w:p>
    <w:p w14:paraId="29996B89">
      <w:pPr>
        <w:pStyle w:val="20"/>
        <w:rPr>
          <w:rFonts w:hint="eastAsia"/>
          <w:color w:val="auto"/>
          <w:highlight w:val="none"/>
          <w:lang w:val="en-US"/>
        </w:rPr>
      </w:pPr>
      <w:r>
        <w:rPr>
          <w:rFonts w:hint="eastAsia"/>
          <w:color w:val="auto"/>
          <w:highlight w:val="none"/>
          <w:lang w:val="en-US"/>
        </w:rPr>
        <w:t>29.6.1电子开标、评标如出现下列原因，导致系统无法正常运行或无法正常评标时，应采取应急措施。</w:t>
      </w:r>
    </w:p>
    <w:p w14:paraId="5EA37188">
      <w:pPr>
        <w:pStyle w:val="20"/>
        <w:rPr>
          <w:rFonts w:hint="eastAsia"/>
          <w:color w:val="auto"/>
          <w:highlight w:val="none"/>
          <w:lang w:val="en-US"/>
        </w:rPr>
      </w:pPr>
      <w:r>
        <w:rPr>
          <w:rFonts w:hint="eastAsia"/>
          <w:color w:val="auto"/>
          <w:highlight w:val="none"/>
          <w:lang w:val="en-US"/>
        </w:rPr>
        <w:t>（1）系统服务器发生故障，无法访问或无法使用系统；</w:t>
      </w:r>
    </w:p>
    <w:p w14:paraId="779BC056">
      <w:pPr>
        <w:pStyle w:val="20"/>
        <w:rPr>
          <w:rFonts w:hint="eastAsia"/>
          <w:color w:val="auto"/>
          <w:highlight w:val="none"/>
          <w:lang w:val="en-US"/>
        </w:rPr>
      </w:pPr>
      <w:r>
        <w:rPr>
          <w:rFonts w:hint="eastAsia"/>
          <w:color w:val="auto"/>
          <w:highlight w:val="none"/>
          <w:lang w:val="en-US"/>
        </w:rPr>
        <w:t>（2）系统的软件或数据库出现错误，不能进行正常操作；</w:t>
      </w:r>
    </w:p>
    <w:p w14:paraId="65483140">
      <w:pPr>
        <w:pStyle w:val="20"/>
        <w:rPr>
          <w:rFonts w:hint="eastAsia"/>
          <w:color w:val="auto"/>
          <w:highlight w:val="none"/>
          <w:lang w:val="en-US"/>
        </w:rPr>
      </w:pPr>
      <w:r>
        <w:rPr>
          <w:rFonts w:hint="eastAsia"/>
          <w:color w:val="auto"/>
          <w:highlight w:val="none"/>
          <w:lang w:val="en-US"/>
        </w:rPr>
        <w:t>（3）系统发现有安全漏洞，有潜在的泄密危险；</w:t>
      </w:r>
    </w:p>
    <w:p w14:paraId="4E232AA4">
      <w:pPr>
        <w:pStyle w:val="20"/>
        <w:rPr>
          <w:rFonts w:hint="eastAsia"/>
          <w:color w:val="auto"/>
          <w:highlight w:val="none"/>
          <w:lang w:val="en-US"/>
        </w:rPr>
      </w:pPr>
      <w:r>
        <w:rPr>
          <w:rFonts w:hint="eastAsia"/>
          <w:color w:val="auto"/>
          <w:highlight w:val="none"/>
          <w:lang w:val="en-US"/>
        </w:rPr>
        <w:t>（4）病毒发作或受到外来病毒的攻击；</w:t>
      </w:r>
    </w:p>
    <w:p w14:paraId="202BDCDC">
      <w:pPr>
        <w:pStyle w:val="20"/>
        <w:rPr>
          <w:rFonts w:hint="eastAsia"/>
          <w:color w:val="auto"/>
          <w:highlight w:val="none"/>
          <w:lang w:val="en-US"/>
        </w:rPr>
      </w:pPr>
      <w:r>
        <w:rPr>
          <w:rFonts w:hint="eastAsia"/>
          <w:color w:val="auto"/>
          <w:highlight w:val="none"/>
          <w:lang w:val="en-US"/>
        </w:rPr>
        <w:t>（5）出现其他不可抗拒的客观原因造成开评标系统无法正常使用。</w:t>
      </w:r>
    </w:p>
    <w:p w14:paraId="5E9F505C">
      <w:pPr>
        <w:pStyle w:val="20"/>
        <w:rPr>
          <w:rFonts w:hint="eastAsia"/>
          <w:color w:val="auto"/>
          <w:highlight w:val="none"/>
          <w:lang w:val="en-US"/>
        </w:rPr>
      </w:pPr>
      <w:r>
        <w:rPr>
          <w:rFonts w:hint="eastAsia"/>
          <w:color w:val="auto"/>
          <w:highlight w:val="none"/>
          <w:lang w:val="en-US"/>
        </w:rPr>
        <w:t>出现上述情况时，应对未开标的暂停开标。已在系统内开标、评标的立即停止。采取应急措施时，必须对原有资料及信息作出妥善保密处理。</w:t>
      </w:r>
    </w:p>
    <w:p w14:paraId="521D4B87">
      <w:pPr>
        <w:pStyle w:val="20"/>
        <w:rPr>
          <w:rFonts w:hint="eastAsia"/>
          <w:color w:val="auto"/>
          <w:highlight w:val="none"/>
          <w:lang w:val="en-US"/>
        </w:rPr>
      </w:pPr>
      <w:r>
        <w:rPr>
          <w:rFonts w:hint="eastAsia"/>
          <w:color w:val="auto"/>
          <w:highlight w:val="none"/>
          <w:lang w:val="en-US"/>
        </w:rPr>
        <w:t>29.6.2因系统原因导致投标人均无法解密电子投标文件时，采购代理机构可在开标现场直接导入投标人在投标截止时间前递交的未加密的电子投标文件进行开标、评标。</w:t>
      </w:r>
    </w:p>
    <w:p w14:paraId="1BC378C8">
      <w:pPr>
        <w:pStyle w:val="20"/>
        <w:rPr>
          <w:rFonts w:hint="eastAsia"/>
          <w:color w:val="auto"/>
          <w:highlight w:val="none"/>
          <w:lang w:val="en-US"/>
        </w:rPr>
      </w:pPr>
      <w:r>
        <w:rPr>
          <w:rFonts w:hint="eastAsia"/>
          <w:color w:val="auto"/>
          <w:highlight w:val="none"/>
          <w:lang w:val="en-US"/>
        </w:rPr>
        <w:t>29.7 投标人瑕疵滞后发现的处理规则</w:t>
      </w:r>
    </w:p>
    <w:p w14:paraId="296A5BC5">
      <w:pPr>
        <w:pStyle w:val="20"/>
        <w:rPr>
          <w:rFonts w:hint="eastAsia"/>
          <w:color w:val="auto"/>
          <w:highlight w:val="none"/>
          <w:lang w:val="en-US"/>
        </w:rPr>
      </w:pPr>
      <w:r>
        <w:rPr>
          <w:rFonts w:hint="eastAsia"/>
          <w:color w:val="auto"/>
          <w:highlight w:val="none"/>
          <w:lang w:val="en-US"/>
        </w:rPr>
        <w:t>29.7.1无论基于何种原因，各项本应作</w:t>
      </w:r>
      <w:r>
        <w:rPr>
          <w:rFonts w:hint="eastAsia"/>
          <w:b/>
          <w:bCs/>
          <w:color w:val="auto"/>
          <w:highlight w:val="none"/>
          <w:lang w:val="en-US"/>
        </w:rPr>
        <w:t>无效投标</w:t>
      </w:r>
      <w:r>
        <w:rPr>
          <w:rFonts w:hint="eastAsia"/>
          <w:color w:val="auto"/>
          <w:highlight w:val="none"/>
          <w:lang w:val="en-US"/>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78552E1">
      <w:pPr>
        <w:pStyle w:val="6"/>
        <w:keepNext w:val="0"/>
        <w:keepLines w:val="0"/>
        <w:spacing w:before="180" w:after="180" w:line="240" w:lineRule="auto"/>
        <w:ind w:left="420" w:hanging="420"/>
        <w:rPr>
          <w:rFonts w:hint="eastAsia" w:cs="宋体"/>
          <w:color w:val="auto"/>
          <w:sz w:val="24"/>
          <w:highlight w:val="none"/>
        </w:rPr>
      </w:pPr>
      <w:bookmarkStart w:id="199" w:name="_Toc140132792"/>
      <w:bookmarkStart w:id="200" w:name="_Toc163492859"/>
      <w:bookmarkStart w:id="201" w:name="_Toc155185879"/>
      <w:r>
        <w:rPr>
          <w:rFonts w:hint="eastAsia" w:cs="宋体"/>
          <w:color w:val="auto"/>
          <w:sz w:val="24"/>
          <w:highlight w:val="none"/>
        </w:rPr>
        <w:t>（八）中标</w:t>
      </w:r>
      <w:bookmarkEnd w:id="199"/>
      <w:bookmarkEnd w:id="200"/>
      <w:bookmarkEnd w:id="201"/>
    </w:p>
    <w:p w14:paraId="3FA3677F">
      <w:pPr>
        <w:pStyle w:val="7"/>
        <w:keepNext w:val="0"/>
        <w:keepLines w:val="0"/>
        <w:spacing w:before="80" w:after="80" w:line="240" w:lineRule="auto"/>
        <w:ind w:left="420" w:hanging="420"/>
        <w:rPr>
          <w:rFonts w:hint="eastAsia" w:ascii="宋体" w:hAnsi="宋体" w:cs="宋体"/>
          <w:color w:val="auto"/>
          <w:sz w:val="24"/>
          <w:highlight w:val="none"/>
        </w:rPr>
      </w:pPr>
      <w:bookmarkStart w:id="202" w:name="_Toc163492860"/>
      <w:bookmarkStart w:id="203" w:name="_Toc140132793"/>
      <w:r>
        <w:rPr>
          <w:rFonts w:hint="eastAsia" w:ascii="宋体" w:hAnsi="宋体" w:cs="宋体"/>
          <w:color w:val="auto"/>
          <w:sz w:val="24"/>
          <w:highlight w:val="none"/>
        </w:rPr>
        <w:t>30.确定中标人</w:t>
      </w:r>
      <w:bookmarkEnd w:id="202"/>
      <w:bookmarkEnd w:id="203"/>
    </w:p>
    <w:p w14:paraId="7D26518D">
      <w:pPr>
        <w:ind w:firstLine="480" w:firstLineChars="200"/>
        <w:rPr>
          <w:rFonts w:hint="eastAsia" w:cs="宋体"/>
          <w:color w:val="auto"/>
          <w:kern w:val="0"/>
          <w:szCs w:val="24"/>
          <w:highlight w:val="none"/>
          <w:lang w:bidi="ar"/>
        </w:rPr>
      </w:pPr>
      <w:r>
        <w:rPr>
          <w:rFonts w:hint="eastAsia"/>
          <w:color w:val="auto"/>
          <w:highlight w:val="none"/>
        </w:rPr>
        <w:t>30.1</w:t>
      </w:r>
      <w:r>
        <w:rPr>
          <w:rFonts w:hint="eastAsia" w:cs="宋体"/>
          <w:color w:val="auto"/>
          <w:kern w:val="0"/>
          <w:szCs w:val="24"/>
          <w:highlight w:val="none"/>
          <w:lang w:bidi="ar"/>
        </w:rPr>
        <w:t>采购人将在评标报告确定的中标候选人名单中按顺序确定中标人，中标候选人并列的，按照</w:t>
      </w:r>
      <w:r>
        <w:rPr>
          <w:rFonts w:hint="eastAsia"/>
          <w:color w:val="auto"/>
          <w:highlight w:val="none"/>
        </w:rPr>
        <w:t>“投标人须知前附表”</w:t>
      </w:r>
      <w:r>
        <w:rPr>
          <w:rFonts w:hint="eastAsia" w:cs="宋体"/>
          <w:color w:val="auto"/>
          <w:kern w:val="0"/>
          <w:szCs w:val="24"/>
          <w:highlight w:val="none"/>
          <w:lang w:bidi="ar"/>
        </w:rPr>
        <w:t>确定中标人；招标文件未规定的，采取随机抽取的方式确定。采购人是否委托评标委员会直接确定中标人，见</w:t>
      </w:r>
      <w:r>
        <w:rPr>
          <w:rFonts w:hint="eastAsia"/>
          <w:color w:val="auto"/>
          <w:highlight w:val="none"/>
        </w:rPr>
        <w:t>“投标人须知前附表”</w:t>
      </w:r>
      <w:r>
        <w:rPr>
          <w:rFonts w:hint="eastAsia" w:cs="宋体"/>
          <w:color w:val="auto"/>
          <w:kern w:val="0"/>
          <w:szCs w:val="24"/>
          <w:highlight w:val="none"/>
          <w:lang w:bidi="ar"/>
        </w:rPr>
        <w:t>。</w:t>
      </w:r>
    </w:p>
    <w:p w14:paraId="6D90CAA8">
      <w:pPr>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rPr>
        <w:t>“投标人须知前附表”</w:t>
      </w:r>
      <w:r>
        <w:rPr>
          <w:rFonts w:hint="eastAsia" w:cs="宋体"/>
          <w:color w:val="auto"/>
          <w:kern w:val="0"/>
          <w:szCs w:val="24"/>
          <w:highlight w:val="none"/>
          <w:lang w:bidi="ar"/>
        </w:rPr>
        <w:t>规定的方式确定一个投标人获得中标人推荐资格，招标文件未规定的采取随机抽取方式确定，其他同品牌投标人不作为中标候选人。</w:t>
      </w:r>
    </w:p>
    <w:p w14:paraId="5682BA79">
      <w:pPr>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color w:val="auto"/>
          <w:highlight w:val="none"/>
        </w:rPr>
        <w:t>“投标人须知前附表”</w:t>
      </w:r>
      <w:r>
        <w:rPr>
          <w:rFonts w:hint="eastAsia" w:cs="宋体"/>
          <w:color w:val="auto"/>
          <w:kern w:val="0"/>
          <w:szCs w:val="24"/>
          <w:highlight w:val="none"/>
          <w:lang w:bidi="ar"/>
        </w:rPr>
        <w:t>规定的方式确定一个参加评标的投标人，招标文件未规定的采取随机抽取方式确定，其他投标无效。</w:t>
      </w:r>
    </w:p>
    <w:p w14:paraId="176C5DB4">
      <w:pPr>
        <w:ind w:firstLine="480" w:firstLineChars="200"/>
        <w:rPr>
          <w:rFonts w:hint="eastAsia"/>
          <w:color w:val="auto"/>
          <w:highlight w:val="none"/>
        </w:rPr>
      </w:pPr>
      <w:r>
        <w:rPr>
          <w:rFonts w:hint="eastAsia" w:cs="宋体"/>
          <w:color w:val="auto"/>
          <w:kern w:val="0"/>
          <w:szCs w:val="24"/>
          <w:highlight w:val="none"/>
          <w:lang w:bidi="ar"/>
        </w:rPr>
        <w:t>30.4非单一产品采购项目，采购人应当根据采购项目技术构成、产品价格比重等合理确定核心产品，并在</w:t>
      </w:r>
      <w:r>
        <w:rPr>
          <w:rFonts w:hint="eastAsia"/>
          <w:color w:val="auto"/>
          <w:highlight w:val="none"/>
        </w:rPr>
        <w:t>“投标人须知前附表”</w:t>
      </w:r>
      <w:r>
        <w:rPr>
          <w:rFonts w:hint="eastAsia" w:cs="宋体"/>
          <w:color w:val="auto"/>
          <w:kern w:val="0"/>
          <w:szCs w:val="24"/>
          <w:highlight w:val="none"/>
          <w:lang w:bidi="ar"/>
        </w:rPr>
        <w:t xml:space="preserve">中载明。多家投标人提供的核心产品品牌相同的，按前两款规定处理。 </w:t>
      </w:r>
    </w:p>
    <w:p w14:paraId="2CF22259">
      <w:pPr>
        <w:pStyle w:val="7"/>
        <w:keepNext w:val="0"/>
        <w:keepLines w:val="0"/>
        <w:spacing w:before="80" w:after="80" w:line="240" w:lineRule="auto"/>
        <w:ind w:left="420" w:hanging="420"/>
        <w:rPr>
          <w:rFonts w:hint="eastAsia" w:ascii="宋体" w:hAnsi="宋体" w:cs="宋体"/>
          <w:color w:val="auto"/>
          <w:sz w:val="24"/>
          <w:highlight w:val="none"/>
        </w:rPr>
      </w:pPr>
      <w:bookmarkStart w:id="204" w:name="_Toc163492861"/>
      <w:bookmarkStart w:id="205" w:name="_Toc140132794"/>
      <w:r>
        <w:rPr>
          <w:rFonts w:hint="eastAsia" w:ascii="宋体" w:hAnsi="宋体" w:cs="宋体"/>
          <w:color w:val="auto"/>
          <w:sz w:val="24"/>
          <w:highlight w:val="none"/>
        </w:rPr>
        <w:t>31.中标结果公告</w:t>
      </w:r>
      <w:bookmarkEnd w:id="204"/>
      <w:bookmarkEnd w:id="205"/>
    </w:p>
    <w:p w14:paraId="183563BC">
      <w:pPr>
        <w:pStyle w:val="20"/>
        <w:rPr>
          <w:rFonts w:hint="eastAsia"/>
          <w:color w:val="auto"/>
          <w:highlight w:val="none"/>
        </w:rPr>
      </w:pPr>
      <w:r>
        <w:rPr>
          <w:bCs/>
          <w:color w:val="auto"/>
          <w:highlight w:val="none"/>
        </w:rPr>
        <w:t>3</w:t>
      </w:r>
      <w:r>
        <w:rPr>
          <w:rFonts w:hint="eastAsia"/>
          <w:bCs/>
          <w:color w:val="auto"/>
          <w:highlight w:val="none"/>
          <w:lang w:val="en-US"/>
        </w:rPr>
        <w:t>1</w:t>
      </w:r>
      <w:r>
        <w:rPr>
          <w:rFonts w:hint="eastAsia"/>
          <w:color w:val="auto"/>
          <w:highlight w:val="none"/>
        </w:rPr>
        <w:t>.1</w:t>
      </w:r>
      <w:r>
        <w:rPr>
          <w:rFonts w:hint="eastAsia"/>
          <w:color w:val="auto"/>
          <w:highlight w:val="none"/>
          <w:lang w:val="en-US"/>
        </w:rPr>
        <w:t>采购人或</w:t>
      </w:r>
      <w:r>
        <w:rPr>
          <w:rFonts w:hint="eastAsia"/>
          <w:color w:val="auto"/>
          <w:highlight w:val="none"/>
        </w:rPr>
        <w:t>采购代理机构应当自中标人确定之日起2个工作日内，在</w:t>
      </w:r>
      <w:r>
        <w:rPr>
          <w:rFonts w:hint="eastAsia"/>
          <w:color w:val="auto"/>
          <w:highlight w:val="none"/>
          <w:lang w:val="en-US"/>
        </w:rPr>
        <w:t>发布招标公告的同一</w:t>
      </w:r>
      <w:r>
        <w:rPr>
          <w:rFonts w:hint="eastAsia"/>
          <w:color w:val="auto"/>
          <w:highlight w:val="none"/>
        </w:rPr>
        <w:t>媒体上发布中标结果公告，</w:t>
      </w:r>
      <w:r>
        <w:rPr>
          <w:rFonts w:hint="eastAsia"/>
          <w:color w:val="auto"/>
          <w:highlight w:val="none"/>
          <w:lang w:val="en-US"/>
        </w:rPr>
        <w:t>同时向中标人</w:t>
      </w:r>
      <w:r>
        <w:rPr>
          <w:rFonts w:hint="eastAsia"/>
          <w:color w:val="auto"/>
          <w:highlight w:val="none"/>
        </w:rPr>
        <w:t>发出中标通知书。招标文件随中标结果同时公告，中标结果公告期限为1个工作日。</w:t>
      </w:r>
    </w:p>
    <w:p w14:paraId="5D38F38B">
      <w:pPr>
        <w:pStyle w:val="20"/>
        <w:rPr>
          <w:rFonts w:hint="eastAsia"/>
          <w:bCs/>
          <w:color w:val="auto"/>
          <w:highlight w:val="none"/>
        </w:rPr>
      </w:pPr>
      <w:r>
        <w:rPr>
          <w:rFonts w:hint="eastAsia"/>
          <w:bCs/>
          <w:color w:val="auto"/>
          <w:highlight w:val="none"/>
        </w:rPr>
        <w:t>3</w:t>
      </w:r>
      <w:r>
        <w:rPr>
          <w:rFonts w:hint="eastAsia"/>
          <w:bCs/>
          <w:color w:val="auto"/>
          <w:highlight w:val="none"/>
          <w:lang w:val="en-US"/>
        </w:rPr>
        <w:t>1</w:t>
      </w:r>
      <w:r>
        <w:rPr>
          <w:bCs/>
          <w:color w:val="auto"/>
          <w:highlight w:val="none"/>
        </w:rPr>
        <w:t>.2</w:t>
      </w:r>
      <w:r>
        <w:rPr>
          <w:rFonts w:hint="eastAsia"/>
          <w:bCs/>
          <w:color w:val="auto"/>
          <w:highlight w:val="none"/>
        </w:rPr>
        <w:t>中标</w:t>
      </w:r>
      <w:r>
        <w:rPr>
          <w:rFonts w:hint="eastAsia"/>
          <w:bCs/>
          <w:color w:val="auto"/>
          <w:highlight w:val="none"/>
          <w:lang w:val="en-US"/>
        </w:rPr>
        <w:t>人</w:t>
      </w:r>
      <w:r>
        <w:rPr>
          <w:rFonts w:hint="eastAsia"/>
          <w:bCs/>
          <w:color w:val="auto"/>
          <w:highlight w:val="none"/>
        </w:rPr>
        <w:t>为中小企业</w:t>
      </w:r>
      <w:r>
        <w:rPr>
          <w:rFonts w:hint="eastAsia"/>
          <w:bCs/>
          <w:color w:val="auto"/>
          <w:highlight w:val="none"/>
          <w:lang w:val="en-US"/>
        </w:rPr>
        <w:t>享受中小企业扶持政策的</w:t>
      </w:r>
      <w:r>
        <w:rPr>
          <w:rFonts w:hint="eastAsia"/>
          <w:bCs/>
          <w:color w:val="auto"/>
          <w:highlight w:val="none"/>
        </w:rPr>
        <w:t>，其“中小企业声明函”随中标结果同时公告。中标</w:t>
      </w:r>
      <w:r>
        <w:rPr>
          <w:rFonts w:hint="eastAsia"/>
          <w:bCs/>
          <w:color w:val="auto"/>
          <w:highlight w:val="none"/>
          <w:lang w:val="en-US"/>
        </w:rPr>
        <w:t>人</w:t>
      </w:r>
      <w:r>
        <w:rPr>
          <w:rFonts w:hint="eastAsia"/>
          <w:bCs/>
          <w:color w:val="auto"/>
          <w:highlight w:val="none"/>
        </w:rPr>
        <w:t>为残疾人福利性单位的，其“残疾人福利性单位声明函”随中标结果同时公告。</w:t>
      </w:r>
    </w:p>
    <w:p w14:paraId="58452FEE">
      <w:pPr>
        <w:pStyle w:val="20"/>
        <w:rPr>
          <w:rFonts w:hint="eastAsia"/>
          <w:bCs/>
          <w:color w:val="auto"/>
          <w:highlight w:val="none"/>
        </w:rPr>
      </w:pPr>
      <w:r>
        <w:rPr>
          <w:rFonts w:hint="eastAsia"/>
          <w:bCs/>
          <w:color w:val="auto"/>
          <w:highlight w:val="none"/>
          <w:lang w:val="en-US"/>
        </w:rPr>
        <w:t>31.3</w:t>
      </w:r>
      <w:r>
        <w:rPr>
          <w:rFonts w:hint="eastAsia"/>
          <w:bCs/>
          <w:color w:val="auto"/>
          <w:highlight w:val="none"/>
        </w:rPr>
        <w:t>项目采购采用最低评标价法的，公告中标结果时同时公告因落实政府采购政策等原因进行价格扣除后中标</w:t>
      </w:r>
      <w:r>
        <w:rPr>
          <w:rFonts w:hint="eastAsia"/>
          <w:bCs/>
          <w:color w:val="auto"/>
          <w:highlight w:val="none"/>
          <w:lang w:val="en-US"/>
        </w:rPr>
        <w:t>人</w:t>
      </w:r>
      <w:r>
        <w:rPr>
          <w:rFonts w:hint="eastAsia"/>
          <w:bCs/>
          <w:color w:val="auto"/>
          <w:highlight w:val="none"/>
        </w:rPr>
        <w:t>的评审报价；项目采购采用综合评分法的，公告中标结果时同时公告中标</w:t>
      </w:r>
      <w:r>
        <w:rPr>
          <w:rFonts w:hint="eastAsia"/>
          <w:bCs/>
          <w:color w:val="auto"/>
          <w:highlight w:val="none"/>
          <w:lang w:val="en-US"/>
        </w:rPr>
        <w:t>供应商</w:t>
      </w:r>
      <w:r>
        <w:rPr>
          <w:rFonts w:hint="eastAsia"/>
          <w:bCs/>
          <w:color w:val="auto"/>
          <w:highlight w:val="none"/>
        </w:rPr>
        <w:t>的评审总得分。</w:t>
      </w:r>
    </w:p>
    <w:p w14:paraId="66587017">
      <w:pPr>
        <w:pStyle w:val="7"/>
        <w:keepNext w:val="0"/>
        <w:keepLines w:val="0"/>
        <w:spacing w:before="80" w:after="80" w:line="240" w:lineRule="auto"/>
        <w:ind w:left="420" w:hanging="420"/>
        <w:rPr>
          <w:rFonts w:hint="eastAsia" w:ascii="宋体" w:hAnsi="宋体" w:cs="宋体"/>
          <w:color w:val="auto"/>
          <w:sz w:val="24"/>
          <w:highlight w:val="none"/>
        </w:rPr>
      </w:pPr>
      <w:bookmarkStart w:id="206" w:name="_Toc163492862"/>
      <w:bookmarkStart w:id="207" w:name="_Toc140132795"/>
      <w:r>
        <w:rPr>
          <w:rFonts w:hint="eastAsia" w:ascii="宋体" w:hAnsi="宋体" w:cs="宋体"/>
          <w:color w:val="auto"/>
          <w:sz w:val="24"/>
          <w:highlight w:val="none"/>
        </w:rPr>
        <w:t>32.中标通知</w:t>
      </w:r>
      <w:bookmarkEnd w:id="206"/>
      <w:bookmarkEnd w:id="207"/>
    </w:p>
    <w:p w14:paraId="7C639EA4">
      <w:pPr>
        <w:pStyle w:val="20"/>
        <w:rPr>
          <w:rFonts w:hint="eastAsia"/>
          <w:color w:val="auto"/>
          <w:highlight w:val="none"/>
        </w:rPr>
      </w:pPr>
      <w:r>
        <w:rPr>
          <w:bCs/>
          <w:color w:val="auto"/>
          <w:highlight w:val="none"/>
        </w:rPr>
        <w:t>3</w:t>
      </w:r>
      <w:r>
        <w:rPr>
          <w:rFonts w:hint="eastAsia"/>
          <w:bCs/>
          <w:color w:val="auto"/>
          <w:highlight w:val="none"/>
          <w:lang w:val="en-US"/>
        </w:rPr>
        <w:t>2</w:t>
      </w:r>
      <w:r>
        <w:rPr>
          <w:rFonts w:hint="eastAsia"/>
          <w:color w:val="auto"/>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3541EE1E">
      <w:pPr>
        <w:pStyle w:val="20"/>
        <w:rPr>
          <w:rFonts w:hint="eastAsia"/>
          <w:color w:val="auto"/>
          <w:highlight w:val="none"/>
          <w:lang w:val="en-US"/>
        </w:rPr>
      </w:pPr>
      <w:r>
        <w:rPr>
          <w:rFonts w:hint="eastAsia"/>
          <w:color w:val="auto"/>
          <w:highlight w:val="none"/>
          <w:lang w:val="en-US"/>
        </w:rPr>
        <w:t>32.2中标通知书对采购人和中标人均具有法律效力。中标通知书发出后，采购人改变中标结果的，或者中标人放弃中标项目的，应当依法承担法律责任。</w:t>
      </w:r>
    </w:p>
    <w:p w14:paraId="2CC4ED1C">
      <w:pPr>
        <w:pStyle w:val="6"/>
        <w:keepNext w:val="0"/>
        <w:keepLines w:val="0"/>
        <w:spacing w:before="180" w:after="180" w:line="240" w:lineRule="auto"/>
        <w:ind w:left="420" w:hanging="420"/>
        <w:rPr>
          <w:rFonts w:hint="eastAsia" w:cs="宋体"/>
          <w:color w:val="auto"/>
          <w:sz w:val="24"/>
          <w:highlight w:val="none"/>
        </w:rPr>
      </w:pPr>
      <w:bookmarkStart w:id="208" w:name="_Toc163492863"/>
      <w:r>
        <w:rPr>
          <w:rFonts w:hint="eastAsia" w:cs="宋体"/>
          <w:color w:val="auto"/>
          <w:sz w:val="24"/>
          <w:highlight w:val="none"/>
        </w:rPr>
        <w:t>（九）签订</w:t>
      </w:r>
      <w:bookmarkStart w:id="209" w:name="_Toc140132796"/>
      <w:bookmarkStart w:id="210" w:name="_Toc155185880"/>
      <w:r>
        <w:rPr>
          <w:rFonts w:hint="eastAsia" w:cs="宋体"/>
          <w:color w:val="auto"/>
          <w:sz w:val="24"/>
          <w:highlight w:val="none"/>
        </w:rPr>
        <w:t>合同</w:t>
      </w:r>
      <w:bookmarkEnd w:id="208"/>
      <w:bookmarkEnd w:id="209"/>
      <w:bookmarkEnd w:id="210"/>
    </w:p>
    <w:p w14:paraId="6E985394">
      <w:pPr>
        <w:pStyle w:val="7"/>
        <w:keepNext w:val="0"/>
        <w:keepLines w:val="0"/>
        <w:spacing w:before="80" w:after="80" w:line="240" w:lineRule="auto"/>
        <w:ind w:left="420" w:hanging="420"/>
        <w:rPr>
          <w:rFonts w:hint="eastAsia" w:ascii="宋体" w:hAnsi="宋体" w:cs="宋体"/>
          <w:color w:val="auto"/>
          <w:sz w:val="24"/>
          <w:highlight w:val="none"/>
        </w:rPr>
      </w:pPr>
      <w:bookmarkStart w:id="211" w:name="_Toc163492864"/>
      <w:bookmarkStart w:id="212" w:name="_Toc140132797"/>
      <w:r>
        <w:rPr>
          <w:rFonts w:hint="eastAsia" w:ascii="宋体" w:hAnsi="宋体" w:cs="宋体"/>
          <w:color w:val="auto"/>
          <w:sz w:val="24"/>
          <w:highlight w:val="none"/>
        </w:rPr>
        <w:t>33.履约保证金</w:t>
      </w:r>
      <w:bookmarkEnd w:id="211"/>
      <w:bookmarkEnd w:id="212"/>
    </w:p>
    <w:p w14:paraId="6FEE3A31">
      <w:pPr>
        <w:pStyle w:val="20"/>
        <w:rPr>
          <w:rFonts w:hint="eastAsia"/>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.1在签订合同前，中标人应按“投标人须知前附表”规定的金额、担保形式和采购人认可的履约担保格式向采购人提交履约保证金。</w:t>
      </w:r>
    </w:p>
    <w:p w14:paraId="2EBF74E4">
      <w:pPr>
        <w:pStyle w:val="20"/>
        <w:rPr>
          <w:rFonts w:hint="eastAsia"/>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.2中标人不能按本章第</w:t>
      </w:r>
      <w:r>
        <w:rPr>
          <w:color w:val="auto"/>
          <w:highlight w:val="none"/>
        </w:rPr>
        <w:t>3</w:t>
      </w:r>
      <w:r>
        <w:rPr>
          <w:rFonts w:hint="eastAsia"/>
          <w:color w:val="auto"/>
          <w:highlight w:val="none"/>
          <w:lang w:val="en-US"/>
        </w:rPr>
        <w:t>3</w:t>
      </w:r>
      <w:r>
        <w:rPr>
          <w:rFonts w:hint="eastAsia"/>
          <w:color w:val="auto"/>
          <w:highlight w:val="none"/>
        </w:rPr>
        <w:t>.1项要求提交履约担保的，视为放弃中标，给采购人造成损失的，中标人还应当承担民事责任。</w:t>
      </w:r>
    </w:p>
    <w:p w14:paraId="6364892E">
      <w:pPr>
        <w:pStyle w:val="7"/>
        <w:keepNext w:val="0"/>
        <w:keepLines w:val="0"/>
        <w:spacing w:before="80" w:after="80" w:line="240" w:lineRule="auto"/>
        <w:ind w:left="420" w:hanging="420"/>
        <w:rPr>
          <w:rFonts w:hint="eastAsia" w:ascii="宋体" w:hAnsi="宋体" w:cs="宋体"/>
          <w:color w:val="auto"/>
          <w:sz w:val="24"/>
          <w:highlight w:val="none"/>
        </w:rPr>
      </w:pPr>
      <w:bookmarkStart w:id="213" w:name="_Toc163492865"/>
      <w:bookmarkStart w:id="214" w:name="_Toc140132798"/>
      <w:r>
        <w:rPr>
          <w:rFonts w:hint="eastAsia" w:ascii="宋体" w:hAnsi="宋体" w:cs="宋体"/>
          <w:color w:val="auto"/>
          <w:sz w:val="24"/>
          <w:highlight w:val="none"/>
        </w:rPr>
        <w:t>34.签订合同</w:t>
      </w:r>
      <w:bookmarkEnd w:id="213"/>
      <w:bookmarkEnd w:id="214"/>
    </w:p>
    <w:p w14:paraId="50C700BF">
      <w:pPr>
        <w:pStyle w:val="20"/>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.1 采购人和中标人应当自中标通知书发出之日起</w:t>
      </w:r>
      <w:r>
        <w:rPr>
          <w:rFonts w:hint="eastAsia"/>
          <w:color w:val="auto"/>
          <w:highlight w:val="none"/>
          <w:lang w:val="en-US"/>
        </w:rPr>
        <w:t>25</w:t>
      </w:r>
      <w:r>
        <w:rPr>
          <w:rFonts w:hint="eastAsia"/>
          <w:color w:val="auto"/>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362C8D5E">
      <w:pPr>
        <w:pStyle w:val="20"/>
        <w:rPr>
          <w:rFonts w:hint="eastAsia"/>
          <w:color w:val="auto"/>
          <w:highlight w:val="none"/>
          <w:lang w:val="en-US"/>
        </w:rPr>
      </w:pPr>
      <w:r>
        <w:rPr>
          <w:rFonts w:hint="eastAsia"/>
          <w:color w:val="auto"/>
          <w:highlight w:val="none"/>
          <w:lang w:val="en-US"/>
        </w:rPr>
        <w:t>34.2 中标人拒绝与采购人签订合同的，采购人可以按照评标报告推荐的中标候选人名单排序，确定下一候选人为中标人，也可以重新开展政府采购活动。</w:t>
      </w:r>
    </w:p>
    <w:p w14:paraId="21131282">
      <w:pPr>
        <w:pStyle w:val="20"/>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3</w:t>
      </w:r>
      <w:r>
        <w:rPr>
          <w:rFonts w:hint="eastAsia"/>
          <w:color w:val="auto"/>
          <w:highlight w:val="none"/>
        </w:rPr>
        <w:t xml:space="preserve"> 采购人和中标人不得向对方提出任何不合理的要求，作为签订合同的条件，双方不得私下订立背离合同实质性内容的协议。</w:t>
      </w:r>
    </w:p>
    <w:p w14:paraId="5763848F">
      <w:pPr>
        <w:pStyle w:val="20"/>
        <w:rPr>
          <w:rFonts w:hint="eastAsia"/>
          <w:color w:val="auto"/>
          <w:highlight w:val="none"/>
          <w:lang w:val="en-US"/>
        </w:rPr>
      </w:pPr>
      <w:r>
        <w:rPr>
          <w:rFonts w:hint="eastAsia"/>
          <w:color w:val="auto"/>
          <w:highlight w:val="none"/>
          <w:lang w:val="en-US"/>
        </w:rPr>
        <w:t>34.4 联合体中标的，联合体各方应当共同与采购人签订合同，就采购合同约定的事项向采购人承担连带责任。</w:t>
      </w:r>
    </w:p>
    <w:p w14:paraId="094632F6">
      <w:pPr>
        <w:pStyle w:val="20"/>
        <w:rPr>
          <w:rFonts w:hint="eastAsia"/>
          <w:b/>
          <w:bCs/>
          <w:color w:val="auto"/>
          <w:highlight w:val="none"/>
          <w:lang w:val="en-US"/>
        </w:rPr>
      </w:pPr>
      <w:r>
        <w:rPr>
          <w:rFonts w:hint="eastAsia"/>
          <w:color w:val="auto"/>
          <w:highlight w:val="none"/>
          <w:lang w:val="en-US"/>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color w:val="auto"/>
          <w:highlight w:val="none"/>
          <w:lang w:val="en-US"/>
        </w:rPr>
        <w:t>投标无效</w:t>
      </w:r>
      <w:r>
        <w:rPr>
          <w:rFonts w:hint="eastAsia"/>
          <w:color w:val="auto"/>
          <w:highlight w:val="none"/>
          <w:lang w:val="en-US"/>
        </w:rPr>
        <w:t>。中标人就采购项目和分包项目向采购人负责，分包供应商就分包项目承担责任。</w:t>
      </w:r>
      <w:r>
        <w:rPr>
          <w:rFonts w:hint="eastAsia"/>
          <w:b/>
          <w:bCs/>
          <w:color w:val="auto"/>
          <w:highlight w:val="none"/>
          <w:lang w:val="en-US"/>
        </w:rPr>
        <w:t>政府采购合同不能转包。</w:t>
      </w:r>
    </w:p>
    <w:p w14:paraId="306B94F5">
      <w:pPr>
        <w:pStyle w:val="20"/>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6</w:t>
      </w:r>
      <w:r>
        <w:rPr>
          <w:rFonts w:hint="eastAsia"/>
          <w:color w:val="auto"/>
          <w:highlight w:val="none"/>
        </w:rPr>
        <w:t>采购合同履行中，采购人需追加与合同标的相同的</w:t>
      </w:r>
      <w:r>
        <w:rPr>
          <w:rFonts w:hint="eastAsia"/>
          <w:color w:val="auto"/>
          <w:highlight w:val="none"/>
          <w:lang w:val="en-US"/>
        </w:rPr>
        <w:t>货物、工程或者服务</w:t>
      </w:r>
      <w:r>
        <w:rPr>
          <w:rFonts w:hint="eastAsia"/>
          <w:color w:val="auto"/>
          <w:highlight w:val="none"/>
        </w:rPr>
        <w:t>的，在不改变合同其他条款的前提下，可以与中标人协商签订补充合同，但所有补充合同的采购金额不得超过原合同采购金额的百分之十。</w:t>
      </w:r>
    </w:p>
    <w:p w14:paraId="25339C86">
      <w:pPr>
        <w:pStyle w:val="20"/>
        <w:rPr>
          <w:rFonts w:hint="eastAsia"/>
          <w:color w:val="auto"/>
          <w:highlight w:val="none"/>
          <w:lang w:val="en-US"/>
        </w:rPr>
      </w:pPr>
      <w:r>
        <w:rPr>
          <w:rFonts w:hint="eastAsia"/>
          <w:color w:val="auto"/>
          <w:highlight w:val="none"/>
          <w:lang w:val="en-US"/>
        </w:rPr>
        <w:t>34.7 采购人应于签订合同之日起2个工作日内在政采云平台备案公示。</w:t>
      </w:r>
    </w:p>
    <w:p w14:paraId="5CA52F6B">
      <w:pPr>
        <w:pStyle w:val="6"/>
        <w:keepNext w:val="0"/>
        <w:keepLines w:val="0"/>
        <w:spacing w:before="180" w:after="180" w:line="240" w:lineRule="auto"/>
        <w:ind w:left="420" w:hanging="420"/>
        <w:rPr>
          <w:rFonts w:hint="eastAsia" w:cs="宋体"/>
          <w:color w:val="auto"/>
          <w:sz w:val="24"/>
          <w:highlight w:val="none"/>
        </w:rPr>
      </w:pPr>
      <w:bookmarkStart w:id="215" w:name="_Toc163492866"/>
      <w:bookmarkStart w:id="216" w:name="_Toc140132799"/>
      <w:bookmarkStart w:id="217" w:name="_Toc155185881"/>
      <w:r>
        <w:rPr>
          <w:rFonts w:hint="eastAsia" w:cs="宋体"/>
          <w:color w:val="auto"/>
          <w:sz w:val="24"/>
          <w:highlight w:val="none"/>
        </w:rPr>
        <w:t>（十）质疑和投诉</w:t>
      </w:r>
      <w:bookmarkEnd w:id="215"/>
      <w:bookmarkEnd w:id="216"/>
      <w:bookmarkEnd w:id="217"/>
    </w:p>
    <w:p w14:paraId="407C6FB2">
      <w:pPr>
        <w:pStyle w:val="7"/>
        <w:keepNext w:val="0"/>
        <w:keepLines w:val="0"/>
        <w:spacing w:before="80" w:after="80" w:line="240" w:lineRule="auto"/>
        <w:ind w:left="420" w:hanging="420"/>
        <w:rPr>
          <w:rFonts w:hint="eastAsia" w:ascii="宋体" w:hAnsi="宋体" w:cs="宋体"/>
          <w:color w:val="auto"/>
          <w:sz w:val="24"/>
          <w:highlight w:val="none"/>
        </w:rPr>
      </w:pPr>
      <w:bookmarkStart w:id="218" w:name="_Toc140132800"/>
      <w:bookmarkStart w:id="219" w:name="_Toc163492867"/>
      <w:r>
        <w:rPr>
          <w:rFonts w:hint="eastAsia" w:ascii="宋体" w:hAnsi="宋体" w:cs="宋体"/>
          <w:color w:val="auto"/>
          <w:sz w:val="24"/>
          <w:highlight w:val="none"/>
        </w:rPr>
        <w:t>35.质疑</w:t>
      </w:r>
      <w:bookmarkEnd w:id="218"/>
      <w:bookmarkEnd w:id="219"/>
    </w:p>
    <w:p w14:paraId="59AC96F9">
      <w:pPr>
        <w:pStyle w:val="20"/>
        <w:rPr>
          <w:rFonts w:hint="eastAsia"/>
          <w:color w:val="auto"/>
          <w:highlight w:val="none"/>
          <w:lang w:val="en-US"/>
        </w:rPr>
      </w:pPr>
      <w:r>
        <w:rPr>
          <w:color w:val="auto"/>
          <w:highlight w:val="none"/>
        </w:rPr>
        <w:t>3</w:t>
      </w:r>
      <w:r>
        <w:rPr>
          <w:rFonts w:hint="eastAsia"/>
          <w:color w:val="auto"/>
          <w:highlight w:val="none"/>
          <w:lang w:val="en-US"/>
        </w:rPr>
        <w:t>5</w:t>
      </w:r>
      <w:r>
        <w:rPr>
          <w:rFonts w:hint="eastAsia"/>
          <w:color w:val="auto"/>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color w:val="auto"/>
          <w:highlight w:val="none"/>
          <w:lang w:val="en-US"/>
        </w:rPr>
        <w:t>详见“投标人须知前附表”</w:t>
      </w:r>
      <w:r>
        <w:rPr>
          <w:rFonts w:hint="eastAsia"/>
          <w:color w:val="auto"/>
          <w:highlight w:val="none"/>
        </w:rPr>
        <w:t>。供应商在法定质疑期内一次性提出针对同一采购程序环节的质疑。</w:t>
      </w:r>
    </w:p>
    <w:p w14:paraId="60A3D6E0">
      <w:pPr>
        <w:pStyle w:val="20"/>
        <w:rPr>
          <w:rFonts w:hint="eastAsia"/>
          <w:color w:val="auto"/>
          <w:highlight w:val="none"/>
        </w:rPr>
      </w:pPr>
      <w:r>
        <w:rPr>
          <w:color w:val="auto"/>
          <w:highlight w:val="none"/>
        </w:rPr>
        <w:t>3</w:t>
      </w:r>
      <w:r>
        <w:rPr>
          <w:rFonts w:hint="eastAsia"/>
          <w:color w:val="auto"/>
          <w:highlight w:val="none"/>
          <w:lang w:val="en-US"/>
        </w:rPr>
        <w:t>5</w:t>
      </w:r>
      <w:r>
        <w:rPr>
          <w:rFonts w:hint="eastAsia"/>
          <w:color w:val="auto"/>
          <w:highlight w:val="none"/>
        </w:rPr>
        <w:t>.2提出质疑的供应商（以下简称质疑供应商）应当是参与所质疑项目采购活动的供应商。</w:t>
      </w:r>
    </w:p>
    <w:p w14:paraId="04C3C011">
      <w:pPr>
        <w:pStyle w:val="20"/>
        <w:rPr>
          <w:rFonts w:hint="eastAsia"/>
          <w:color w:val="auto"/>
          <w:highlight w:val="none"/>
        </w:rPr>
      </w:pPr>
      <w:r>
        <w:rPr>
          <w:rFonts w:hint="eastAsia"/>
          <w:color w:val="auto"/>
          <w:highlight w:val="none"/>
          <w:lang w:val="en-US"/>
        </w:rPr>
        <w:t>35.3</w:t>
      </w:r>
      <w:r>
        <w:rPr>
          <w:rFonts w:hint="eastAsia"/>
          <w:color w:val="auto"/>
          <w:highlight w:val="none"/>
        </w:rPr>
        <w:t>潜在供应商已依法获取其可质疑的采购文件的，可以对该文件提出质疑。对采购文件提出质疑的，应当在获取采购文件或者采购文件公告期限届满之日起7个工作日内提出。</w:t>
      </w:r>
    </w:p>
    <w:p w14:paraId="50042E71">
      <w:pPr>
        <w:pStyle w:val="20"/>
        <w:rPr>
          <w:rFonts w:hint="eastAsia"/>
          <w:color w:val="auto"/>
          <w:highlight w:val="none"/>
        </w:rPr>
      </w:pPr>
      <w:r>
        <w:rPr>
          <w:rFonts w:hint="eastAsia"/>
          <w:color w:val="auto"/>
          <w:highlight w:val="none"/>
          <w:lang w:val="en-US"/>
        </w:rPr>
        <w:t>35.4</w:t>
      </w:r>
      <w:r>
        <w:rPr>
          <w:rFonts w:hint="eastAsia"/>
          <w:color w:val="auto"/>
          <w:highlight w:val="none"/>
        </w:rPr>
        <w:t>供应商提出质疑应当提交质疑函和必要的证明材料。质疑函应当包括下列内容：</w:t>
      </w:r>
    </w:p>
    <w:p w14:paraId="2737F58C">
      <w:pPr>
        <w:pStyle w:val="20"/>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）供应商的姓名或者名称、地址、邮编、联系人及联系电话；</w:t>
      </w:r>
    </w:p>
    <w:p w14:paraId="4E099865">
      <w:pPr>
        <w:pStyle w:val="20"/>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）质疑项目的名称、</w:t>
      </w:r>
      <w:r>
        <w:rPr>
          <w:rFonts w:hint="eastAsia"/>
          <w:color w:val="auto"/>
          <w:highlight w:val="none"/>
          <w:lang w:val="en-US"/>
        </w:rPr>
        <w:t>项目</w:t>
      </w:r>
      <w:r>
        <w:rPr>
          <w:rFonts w:hint="eastAsia"/>
          <w:color w:val="auto"/>
          <w:highlight w:val="none"/>
        </w:rPr>
        <w:t>编号</w:t>
      </w:r>
      <w:r>
        <w:rPr>
          <w:rFonts w:hint="eastAsia"/>
          <w:color w:val="auto"/>
          <w:highlight w:val="none"/>
          <w:lang w:val="en-US"/>
        </w:rPr>
        <w:t>/包号</w:t>
      </w:r>
      <w:r>
        <w:rPr>
          <w:rFonts w:hint="eastAsia"/>
          <w:color w:val="auto"/>
          <w:highlight w:val="none"/>
        </w:rPr>
        <w:t>；</w:t>
      </w:r>
    </w:p>
    <w:p w14:paraId="7DD9035C">
      <w:pPr>
        <w:pStyle w:val="20"/>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）具体、明确的质疑事项和与质疑事项相关的请求；</w:t>
      </w:r>
    </w:p>
    <w:p w14:paraId="70BBCD49">
      <w:pPr>
        <w:pStyle w:val="20"/>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5C1282BE">
      <w:pPr>
        <w:pStyle w:val="20"/>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）必要的法律依据；</w:t>
      </w:r>
    </w:p>
    <w:p w14:paraId="163FB076">
      <w:pPr>
        <w:pStyle w:val="20"/>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）提出质疑的日期。</w:t>
      </w:r>
    </w:p>
    <w:p w14:paraId="3284D6DD">
      <w:pPr>
        <w:pStyle w:val="20"/>
        <w:rPr>
          <w:rFonts w:hint="eastAsia"/>
          <w:color w:val="auto"/>
          <w:highlight w:val="none"/>
        </w:rPr>
      </w:pPr>
      <w:r>
        <w:rPr>
          <w:rFonts w:hint="eastAsia"/>
          <w:color w:val="auto"/>
          <w:highlight w:val="none"/>
        </w:rPr>
        <w:t>供应商为自然人的，应当由本人签字；供应商为法人或者其他组织的，应当由法定代表人、主要负责人，或者其授权代表签字或者盖章，并加盖公章。</w:t>
      </w:r>
    </w:p>
    <w:p w14:paraId="1DC643BC">
      <w:pPr>
        <w:pStyle w:val="20"/>
        <w:rPr>
          <w:rFonts w:hint="eastAsia"/>
          <w:color w:val="auto"/>
          <w:highlight w:val="none"/>
        </w:rPr>
      </w:pPr>
      <w:r>
        <w:rPr>
          <w:color w:val="auto"/>
          <w:highlight w:val="none"/>
        </w:rPr>
        <w:t>3</w:t>
      </w:r>
      <w:r>
        <w:rPr>
          <w:rFonts w:hint="eastAsia"/>
          <w:color w:val="auto"/>
          <w:highlight w:val="none"/>
          <w:lang w:val="en-US"/>
        </w:rPr>
        <w:t>5</w:t>
      </w:r>
      <w:r>
        <w:rPr>
          <w:rFonts w:hint="eastAsia"/>
          <w:color w:val="auto"/>
          <w:highlight w:val="none"/>
        </w:rPr>
        <w:t>.5质疑函不符合上述要求的，采购人或代理机构应书面告知具体事项，质疑人应当按要求进行修改或补充，并在质疑有效期限内提交。</w:t>
      </w:r>
    </w:p>
    <w:p w14:paraId="79F5DC4D">
      <w:pPr>
        <w:pStyle w:val="20"/>
        <w:rPr>
          <w:rFonts w:hint="eastAsia"/>
          <w:snapToGrid w:val="0"/>
          <w:color w:val="auto"/>
          <w:highlight w:val="none"/>
        </w:rPr>
      </w:pPr>
      <w:r>
        <w:rPr>
          <w:rFonts w:hint="eastAsia"/>
          <w:snapToGrid w:val="0"/>
          <w:color w:val="auto"/>
          <w:highlight w:val="none"/>
        </w:rPr>
        <w:t>3</w:t>
      </w:r>
      <w:r>
        <w:rPr>
          <w:rFonts w:hint="eastAsia"/>
          <w:snapToGrid w:val="0"/>
          <w:color w:val="auto"/>
          <w:highlight w:val="none"/>
          <w:lang w:val="en-US"/>
        </w:rPr>
        <w:t>5</w:t>
      </w:r>
      <w:r>
        <w:rPr>
          <w:rFonts w:hint="eastAsia"/>
          <w:snapToGrid w:val="0"/>
          <w:color w:val="auto"/>
          <w:highlight w:val="none"/>
        </w:rPr>
        <w:t>.</w:t>
      </w:r>
      <w:r>
        <w:rPr>
          <w:rFonts w:hint="eastAsia"/>
          <w:snapToGrid w:val="0"/>
          <w:color w:val="auto"/>
          <w:highlight w:val="none"/>
          <w:lang w:val="en-US"/>
        </w:rPr>
        <w:t>6</w:t>
      </w:r>
      <w:r>
        <w:rPr>
          <w:rFonts w:hint="eastAsia"/>
          <w:snapToGrid w:val="0"/>
          <w:color w:val="auto"/>
          <w:highlight w:val="none"/>
        </w:rPr>
        <w:t>投标人进行虚假和恶意</w:t>
      </w:r>
      <w:r>
        <w:rPr>
          <w:rFonts w:hint="eastAsia"/>
          <w:snapToGrid w:val="0"/>
          <w:color w:val="auto"/>
          <w:highlight w:val="none"/>
          <w:lang w:val="en-US"/>
        </w:rPr>
        <w:t>质疑投诉</w:t>
      </w:r>
      <w:r>
        <w:rPr>
          <w:rFonts w:hint="eastAsia"/>
          <w:snapToGrid w:val="0"/>
          <w:color w:val="auto"/>
          <w:highlight w:val="none"/>
        </w:rPr>
        <w:t>的，采购代理机构将提请有关部门将其列入不良记录名单，在一至三年内禁止参加政府采购活动，并将处理决定在相关政府采购媒体上公布。</w:t>
      </w:r>
    </w:p>
    <w:p w14:paraId="181EB1EA">
      <w:pPr>
        <w:pStyle w:val="20"/>
        <w:rPr>
          <w:rFonts w:hint="eastAsia"/>
          <w:snapToGrid w:val="0"/>
          <w:color w:val="auto"/>
          <w:highlight w:val="none"/>
          <w:lang w:val="en-US"/>
        </w:rPr>
      </w:pPr>
      <w:r>
        <w:rPr>
          <w:rFonts w:hint="eastAsia"/>
          <w:snapToGrid w:val="0"/>
          <w:color w:val="auto"/>
          <w:highlight w:val="none"/>
          <w:lang w:val="en-US"/>
        </w:rPr>
        <w:t>35.7</w:t>
      </w:r>
      <w:r>
        <w:rPr>
          <w:rFonts w:hint="eastAsia"/>
          <w:color w:val="auto"/>
          <w:highlight w:val="none"/>
        </w:rPr>
        <w:t>质疑函</w:t>
      </w:r>
      <w:r>
        <w:rPr>
          <w:rFonts w:hint="eastAsia"/>
          <w:color w:val="auto"/>
          <w:highlight w:val="none"/>
          <w:lang w:val="en-US"/>
        </w:rPr>
        <w:t>应当使用中文，并采用财政部门制定的范本。</w:t>
      </w:r>
    </w:p>
    <w:p w14:paraId="3CCD03C5">
      <w:pPr>
        <w:pStyle w:val="7"/>
        <w:keepNext w:val="0"/>
        <w:keepLines w:val="0"/>
        <w:spacing w:before="80" w:after="80" w:line="240" w:lineRule="auto"/>
        <w:ind w:left="420" w:hanging="420"/>
        <w:rPr>
          <w:rFonts w:hint="eastAsia" w:ascii="宋体" w:hAnsi="宋体" w:cs="宋体"/>
          <w:color w:val="auto"/>
          <w:sz w:val="24"/>
          <w:highlight w:val="none"/>
        </w:rPr>
      </w:pPr>
      <w:bookmarkStart w:id="220" w:name="_Toc163492868"/>
      <w:bookmarkStart w:id="221" w:name="_Toc140132801"/>
      <w:r>
        <w:rPr>
          <w:rFonts w:hint="eastAsia" w:ascii="宋体" w:hAnsi="宋体" w:cs="宋体"/>
          <w:color w:val="auto"/>
          <w:sz w:val="24"/>
          <w:highlight w:val="none"/>
        </w:rPr>
        <w:t>36.质疑答复</w:t>
      </w:r>
      <w:bookmarkEnd w:id="220"/>
      <w:bookmarkEnd w:id="221"/>
    </w:p>
    <w:p w14:paraId="77221D82">
      <w:pPr>
        <w:pStyle w:val="20"/>
        <w:rPr>
          <w:rFonts w:hint="eastAsia"/>
          <w:color w:val="auto"/>
          <w:highlight w:val="none"/>
        </w:rPr>
      </w:pPr>
      <w:r>
        <w:rPr>
          <w:color w:val="auto"/>
          <w:highlight w:val="none"/>
        </w:rPr>
        <w:t>3</w:t>
      </w:r>
      <w:r>
        <w:rPr>
          <w:rFonts w:hint="eastAsia"/>
          <w:color w:val="auto"/>
          <w:highlight w:val="none"/>
          <w:lang w:val="en-US"/>
        </w:rPr>
        <w:t>6</w:t>
      </w:r>
      <w:r>
        <w:rPr>
          <w:rFonts w:hint="eastAsia"/>
          <w:color w:val="auto"/>
          <w:highlight w:val="none"/>
        </w:rPr>
        <w:t>.1采购人、采购代理机构不得拒收质疑供应商在法定质疑期内发出的质疑函，应当在收到质疑函后7个工作日内作出答复，并以书面形式通知质疑供应商和其他有关供应商。</w:t>
      </w:r>
    </w:p>
    <w:p w14:paraId="779038FC">
      <w:pPr>
        <w:pStyle w:val="20"/>
        <w:rPr>
          <w:rFonts w:hint="eastAsia"/>
          <w:color w:val="auto"/>
          <w:highlight w:val="none"/>
          <w:lang w:val="en-US"/>
        </w:rPr>
      </w:pPr>
      <w:r>
        <w:rPr>
          <w:rFonts w:hint="eastAsia"/>
          <w:color w:val="auto"/>
          <w:highlight w:val="none"/>
          <w:lang w:val="en-US"/>
        </w:rPr>
        <w:t>36.2供应商对评审过程、中标结果提出质疑的，采购人、采购代理机构可以组织原评标委员会协助答复质疑。</w:t>
      </w:r>
    </w:p>
    <w:p w14:paraId="458E31F9">
      <w:pPr>
        <w:pStyle w:val="20"/>
        <w:rPr>
          <w:rFonts w:hint="eastAsia"/>
          <w:color w:val="auto"/>
          <w:highlight w:val="none"/>
        </w:rPr>
      </w:pPr>
      <w:bookmarkStart w:id="222" w:name="_Toc140132802"/>
      <w:bookmarkStart w:id="223" w:name="_Toc163492869"/>
      <w:r>
        <w:rPr>
          <w:rFonts w:hint="eastAsia"/>
          <w:color w:val="auto"/>
          <w:highlight w:val="none"/>
        </w:rPr>
        <w:t>质疑答复应当包括下列内容：</w:t>
      </w:r>
    </w:p>
    <w:p w14:paraId="479BA93D">
      <w:pPr>
        <w:pStyle w:val="20"/>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）质疑供应商的姓名或者名称；</w:t>
      </w:r>
    </w:p>
    <w:p w14:paraId="2CB42DDB">
      <w:pPr>
        <w:pStyle w:val="20"/>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）收到质疑函的日期、质疑项目名称及</w:t>
      </w:r>
      <w:r>
        <w:rPr>
          <w:rFonts w:hint="eastAsia"/>
          <w:color w:val="auto"/>
          <w:highlight w:val="none"/>
          <w:lang w:val="en-US"/>
        </w:rPr>
        <w:t>项目</w:t>
      </w:r>
      <w:r>
        <w:rPr>
          <w:rFonts w:hint="eastAsia"/>
          <w:color w:val="auto"/>
          <w:highlight w:val="none"/>
        </w:rPr>
        <w:t>编号/包号；</w:t>
      </w:r>
    </w:p>
    <w:p w14:paraId="7897223B">
      <w:pPr>
        <w:pStyle w:val="20"/>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）质疑事项、质疑答复的具体内容、事实依据和法律依据；</w:t>
      </w:r>
    </w:p>
    <w:p w14:paraId="0D06903B">
      <w:pPr>
        <w:pStyle w:val="20"/>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）告知质疑供应商依法投诉的权利；</w:t>
      </w:r>
    </w:p>
    <w:p w14:paraId="48D43A32">
      <w:pPr>
        <w:pStyle w:val="20"/>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）质疑答复人名称；</w:t>
      </w:r>
    </w:p>
    <w:p w14:paraId="0139A3AB">
      <w:pPr>
        <w:pStyle w:val="20"/>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）答复质疑的日期。</w:t>
      </w:r>
    </w:p>
    <w:p w14:paraId="0BEDC9E3">
      <w:pPr>
        <w:pStyle w:val="20"/>
        <w:rPr>
          <w:rFonts w:hint="eastAsia"/>
          <w:color w:val="auto"/>
          <w:highlight w:val="none"/>
        </w:rPr>
      </w:pPr>
      <w:r>
        <w:rPr>
          <w:rFonts w:hint="eastAsia"/>
          <w:color w:val="auto"/>
          <w:highlight w:val="none"/>
        </w:rPr>
        <w:t>质疑答复的内容不得涉及商业秘密。</w:t>
      </w:r>
    </w:p>
    <w:p w14:paraId="579B7B1B">
      <w:pPr>
        <w:pStyle w:val="7"/>
        <w:keepNext w:val="0"/>
        <w:keepLines w:val="0"/>
        <w:spacing w:before="80" w:after="80" w:line="240" w:lineRule="auto"/>
        <w:ind w:left="420" w:hanging="420"/>
        <w:rPr>
          <w:rFonts w:hint="eastAsia" w:ascii="宋体" w:hAnsi="宋体" w:cs="宋体"/>
          <w:color w:val="auto"/>
          <w:sz w:val="24"/>
          <w:highlight w:val="none"/>
        </w:rPr>
      </w:pPr>
      <w:r>
        <w:rPr>
          <w:rFonts w:hint="eastAsia" w:ascii="宋体" w:hAnsi="宋体" w:cs="宋体"/>
          <w:color w:val="auto"/>
          <w:sz w:val="24"/>
          <w:highlight w:val="none"/>
        </w:rPr>
        <w:t>37.投诉</w:t>
      </w:r>
      <w:bookmarkEnd w:id="222"/>
      <w:bookmarkEnd w:id="223"/>
    </w:p>
    <w:p w14:paraId="305B3F78">
      <w:pPr>
        <w:pStyle w:val="20"/>
        <w:rPr>
          <w:rFonts w:hint="eastAsia"/>
          <w:color w:val="auto"/>
          <w:highlight w:val="none"/>
        </w:rPr>
      </w:pPr>
      <w:r>
        <w:rPr>
          <w:rFonts w:hint="eastAsia"/>
          <w:color w:val="auto"/>
          <w:highlight w:val="none"/>
          <w:lang w:val="en-US"/>
        </w:rPr>
        <w:t>37.1</w:t>
      </w:r>
      <w:r>
        <w:rPr>
          <w:rFonts w:hint="eastAsia"/>
          <w:color w:val="auto"/>
          <w:highlight w:val="none"/>
        </w:rPr>
        <w:t>质疑供应商对采购人、采购代理机构的答复不满意，或者采购人、采购代理机构未在规定时间内作出答复的，可以在答复期满后15个工作日内向</w:t>
      </w:r>
      <w:r>
        <w:rPr>
          <w:rFonts w:hint="eastAsia"/>
          <w:color w:val="auto"/>
          <w:highlight w:val="none"/>
          <w:lang w:val="en-US"/>
        </w:rPr>
        <w:t>同级政府采购监督管理部门</w:t>
      </w:r>
      <w:r>
        <w:rPr>
          <w:rFonts w:hint="eastAsia"/>
          <w:color w:val="auto"/>
          <w:highlight w:val="none"/>
        </w:rPr>
        <w:t>提起投诉。</w:t>
      </w:r>
    </w:p>
    <w:p w14:paraId="05C06FB8">
      <w:pPr>
        <w:pStyle w:val="20"/>
        <w:rPr>
          <w:rFonts w:hint="eastAsia"/>
          <w:color w:val="auto"/>
          <w:highlight w:val="none"/>
        </w:rPr>
      </w:pPr>
      <w:r>
        <w:rPr>
          <w:rFonts w:hint="eastAsia"/>
          <w:color w:val="auto"/>
          <w:highlight w:val="none"/>
          <w:lang w:val="en-US"/>
        </w:rPr>
        <w:t>37.2</w:t>
      </w:r>
      <w:r>
        <w:rPr>
          <w:rFonts w:hint="eastAsia"/>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1E709C1D">
      <w:pPr>
        <w:pStyle w:val="20"/>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）投诉人和被投诉人的姓名或者名称、通讯地址、邮编、联系人及联系电话；</w:t>
      </w:r>
    </w:p>
    <w:p w14:paraId="54EBFC3E">
      <w:pPr>
        <w:pStyle w:val="20"/>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）质疑和质疑答复情况说明及相关证明材料；</w:t>
      </w:r>
    </w:p>
    <w:p w14:paraId="118165FD">
      <w:pPr>
        <w:pStyle w:val="20"/>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）具体、明确的投诉事项和与投诉事项相关的投诉请求；</w:t>
      </w:r>
    </w:p>
    <w:p w14:paraId="59BE474C">
      <w:pPr>
        <w:pStyle w:val="20"/>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44017BD9">
      <w:pPr>
        <w:pStyle w:val="20"/>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）法律依据；</w:t>
      </w:r>
    </w:p>
    <w:p w14:paraId="1CF99D4F">
      <w:pPr>
        <w:pStyle w:val="20"/>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）提起投诉的日期。</w:t>
      </w:r>
    </w:p>
    <w:p w14:paraId="0DC7D6E8">
      <w:pPr>
        <w:pStyle w:val="20"/>
        <w:rPr>
          <w:rFonts w:hint="eastAsia"/>
          <w:color w:val="auto"/>
          <w:highlight w:val="none"/>
        </w:rPr>
      </w:pPr>
      <w:r>
        <w:rPr>
          <w:rFonts w:hint="eastAsia"/>
          <w:color w:val="auto"/>
          <w:highlight w:val="none"/>
        </w:rPr>
        <w:t>投诉人为自然人的，应当由本人签字；投诉人为法人或者其他组织的，应当由法定代表人、主要负责人，或者其授权代表签字或者盖章，并加盖公章。</w:t>
      </w:r>
    </w:p>
    <w:p w14:paraId="263D9135">
      <w:pPr>
        <w:pStyle w:val="20"/>
        <w:rPr>
          <w:rFonts w:hint="eastAsia"/>
          <w:color w:val="auto"/>
          <w:highlight w:val="none"/>
        </w:rPr>
      </w:pPr>
      <w:r>
        <w:rPr>
          <w:rFonts w:hint="eastAsia"/>
          <w:color w:val="auto"/>
          <w:highlight w:val="none"/>
          <w:lang w:val="en-US"/>
        </w:rPr>
        <w:t>37.3</w:t>
      </w:r>
      <w:r>
        <w:rPr>
          <w:rFonts w:hint="eastAsia"/>
          <w:color w:val="auto"/>
          <w:highlight w:val="none"/>
        </w:rPr>
        <w:t>供应商</w:t>
      </w:r>
      <w:r>
        <w:rPr>
          <w:rFonts w:hint="eastAsia"/>
          <w:color w:val="auto"/>
          <w:highlight w:val="none"/>
          <w:lang w:val="en-US"/>
        </w:rPr>
        <w:t>质疑、</w:t>
      </w:r>
      <w:r>
        <w:rPr>
          <w:rFonts w:hint="eastAsia"/>
          <w:color w:val="auto"/>
          <w:highlight w:val="none"/>
        </w:rPr>
        <w:t>投诉</w:t>
      </w:r>
      <w:r>
        <w:rPr>
          <w:rFonts w:hint="eastAsia"/>
          <w:color w:val="auto"/>
          <w:highlight w:val="none"/>
          <w:lang w:val="en-US"/>
        </w:rPr>
        <w:t>应当有明确的请求和必要的证明材料</w:t>
      </w:r>
      <w:r>
        <w:rPr>
          <w:rFonts w:hint="eastAsia"/>
          <w:color w:val="auto"/>
          <w:highlight w:val="none"/>
        </w:rPr>
        <w:t>。供应商投诉的事项不得超出</w:t>
      </w:r>
      <w:r>
        <w:rPr>
          <w:rFonts w:hint="eastAsia"/>
          <w:color w:val="auto"/>
          <w:highlight w:val="none"/>
          <w:lang w:val="en-US"/>
        </w:rPr>
        <w:t>已</w:t>
      </w:r>
      <w:r>
        <w:rPr>
          <w:rFonts w:hint="eastAsia"/>
          <w:color w:val="auto"/>
          <w:highlight w:val="none"/>
        </w:rPr>
        <w:t>质疑事项的范围，但基于质疑答复内容提出的投诉事项除外。</w:t>
      </w:r>
    </w:p>
    <w:p w14:paraId="69D7CA52">
      <w:pPr>
        <w:pStyle w:val="20"/>
        <w:rPr>
          <w:rFonts w:hint="eastAsia"/>
          <w:color w:val="auto"/>
          <w:highlight w:val="none"/>
        </w:rPr>
      </w:pPr>
      <w:r>
        <w:rPr>
          <w:rFonts w:hint="eastAsia"/>
          <w:snapToGrid w:val="0"/>
          <w:color w:val="auto"/>
          <w:highlight w:val="none"/>
          <w:lang w:val="en-US"/>
        </w:rPr>
        <w:t>37.4</w:t>
      </w:r>
      <w:r>
        <w:rPr>
          <w:rFonts w:hint="eastAsia"/>
          <w:color w:val="auto"/>
          <w:highlight w:val="none"/>
          <w:lang w:val="en-US"/>
        </w:rPr>
        <w:t>投诉书应当使用中文，并采用财政部门制定的范本。</w:t>
      </w:r>
    </w:p>
    <w:p w14:paraId="3F049093">
      <w:pPr>
        <w:pStyle w:val="6"/>
        <w:keepNext w:val="0"/>
        <w:keepLines w:val="0"/>
        <w:spacing w:before="180" w:after="180" w:line="240" w:lineRule="auto"/>
        <w:ind w:left="420" w:hanging="420"/>
        <w:rPr>
          <w:rFonts w:hint="eastAsia" w:cs="宋体"/>
          <w:color w:val="auto"/>
          <w:sz w:val="24"/>
          <w:highlight w:val="none"/>
        </w:rPr>
      </w:pPr>
      <w:bookmarkStart w:id="224" w:name="_Toc163492870"/>
      <w:bookmarkStart w:id="225" w:name="_Toc140132803"/>
      <w:bookmarkStart w:id="226" w:name="_Toc155185882"/>
      <w:r>
        <w:rPr>
          <w:rFonts w:hint="eastAsia" w:cs="宋体"/>
          <w:color w:val="auto"/>
          <w:sz w:val="24"/>
          <w:highlight w:val="none"/>
        </w:rPr>
        <w:t>（十一）采购代理服务费</w:t>
      </w:r>
      <w:bookmarkEnd w:id="224"/>
      <w:bookmarkEnd w:id="225"/>
      <w:bookmarkEnd w:id="226"/>
    </w:p>
    <w:p w14:paraId="778914CC">
      <w:pPr>
        <w:pStyle w:val="7"/>
        <w:keepNext w:val="0"/>
        <w:keepLines w:val="0"/>
        <w:spacing w:before="80" w:after="80" w:line="240" w:lineRule="auto"/>
        <w:ind w:left="420" w:hanging="420"/>
        <w:rPr>
          <w:rFonts w:hint="eastAsia" w:ascii="宋体" w:hAnsi="宋体" w:cs="宋体"/>
          <w:color w:val="auto"/>
          <w:sz w:val="24"/>
          <w:highlight w:val="none"/>
        </w:rPr>
      </w:pPr>
      <w:bookmarkStart w:id="227" w:name="_Toc140132804"/>
      <w:bookmarkStart w:id="228" w:name="_Toc163492871"/>
      <w:r>
        <w:rPr>
          <w:rFonts w:hint="eastAsia" w:ascii="宋体" w:hAnsi="宋体" w:cs="宋体"/>
          <w:color w:val="auto"/>
          <w:sz w:val="24"/>
          <w:highlight w:val="none"/>
        </w:rPr>
        <w:t>38.收取方式和标准</w:t>
      </w:r>
      <w:bookmarkEnd w:id="227"/>
      <w:bookmarkEnd w:id="228"/>
    </w:p>
    <w:p w14:paraId="4EFC2AC7">
      <w:pPr>
        <w:pStyle w:val="20"/>
        <w:rPr>
          <w:rFonts w:hint="eastAsia"/>
          <w:color w:val="auto"/>
          <w:highlight w:val="none"/>
        </w:rPr>
      </w:pPr>
      <w:r>
        <w:rPr>
          <w:bCs/>
          <w:color w:val="auto"/>
          <w:highlight w:val="none"/>
        </w:rPr>
        <w:t>3</w:t>
      </w:r>
      <w:r>
        <w:rPr>
          <w:rFonts w:hint="eastAsia"/>
          <w:bCs/>
          <w:color w:val="auto"/>
          <w:highlight w:val="none"/>
          <w:lang w:val="en-US"/>
        </w:rPr>
        <w:t>8</w:t>
      </w:r>
      <w:r>
        <w:rPr>
          <w:rFonts w:hint="eastAsia"/>
          <w:color w:val="auto"/>
          <w:highlight w:val="none"/>
        </w:rPr>
        <w:t>.1采购代理机构按“投标人须知前附表”规定的方式和标准收取采购代理服务费。</w:t>
      </w:r>
    </w:p>
    <w:p w14:paraId="5BF690E6">
      <w:pPr>
        <w:pStyle w:val="6"/>
        <w:keepNext w:val="0"/>
        <w:keepLines w:val="0"/>
        <w:spacing w:before="180" w:after="180" w:line="240" w:lineRule="auto"/>
        <w:ind w:left="420" w:hanging="420"/>
        <w:rPr>
          <w:rFonts w:hint="eastAsia" w:cs="宋体"/>
          <w:color w:val="auto"/>
          <w:sz w:val="24"/>
          <w:highlight w:val="none"/>
        </w:rPr>
      </w:pPr>
      <w:bookmarkStart w:id="229" w:name="_Toc163492872"/>
      <w:bookmarkStart w:id="230" w:name="_Toc140132805"/>
      <w:bookmarkStart w:id="231" w:name="_Toc155185883"/>
      <w:r>
        <w:rPr>
          <w:rFonts w:hint="eastAsia" w:cs="宋体"/>
          <w:color w:val="auto"/>
          <w:sz w:val="24"/>
          <w:highlight w:val="none"/>
        </w:rPr>
        <w:t>（十二）无效投标和废标</w:t>
      </w:r>
      <w:bookmarkEnd w:id="229"/>
      <w:bookmarkEnd w:id="230"/>
      <w:bookmarkEnd w:id="231"/>
    </w:p>
    <w:p w14:paraId="5AD4F8E5">
      <w:pPr>
        <w:pStyle w:val="7"/>
        <w:keepNext w:val="0"/>
        <w:keepLines w:val="0"/>
        <w:spacing w:before="80" w:after="80" w:line="240" w:lineRule="auto"/>
        <w:ind w:left="420" w:hanging="420"/>
        <w:rPr>
          <w:rFonts w:hint="eastAsia" w:ascii="宋体" w:hAnsi="宋体" w:cs="宋体"/>
          <w:color w:val="auto"/>
          <w:sz w:val="24"/>
          <w:highlight w:val="none"/>
        </w:rPr>
      </w:pPr>
      <w:bookmarkStart w:id="232" w:name="_Toc140132806"/>
      <w:bookmarkStart w:id="233" w:name="_Toc163492873"/>
      <w:r>
        <w:rPr>
          <w:rFonts w:hint="eastAsia" w:ascii="宋体" w:hAnsi="宋体" w:cs="宋体"/>
          <w:color w:val="auto"/>
          <w:sz w:val="24"/>
          <w:highlight w:val="none"/>
        </w:rPr>
        <w:t>39.无效投标</w:t>
      </w:r>
      <w:bookmarkEnd w:id="232"/>
      <w:bookmarkEnd w:id="233"/>
    </w:p>
    <w:p w14:paraId="4BB62B73">
      <w:pPr>
        <w:pStyle w:val="20"/>
        <w:rPr>
          <w:rFonts w:hint="eastAsia"/>
          <w:color w:val="auto"/>
          <w:highlight w:val="none"/>
        </w:rPr>
      </w:pPr>
      <w:r>
        <w:rPr>
          <w:rFonts w:hint="eastAsia"/>
          <w:color w:val="auto"/>
          <w:highlight w:val="none"/>
          <w:lang w:val="en-US"/>
        </w:rPr>
        <w:t>39</w:t>
      </w:r>
      <w:r>
        <w:rPr>
          <w:rFonts w:hint="eastAsia"/>
          <w:color w:val="auto"/>
          <w:highlight w:val="none"/>
        </w:rPr>
        <w:t>.1投标文件存在“第四章</w:t>
      </w:r>
      <w:r>
        <w:rPr>
          <w:rFonts w:hint="eastAsia"/>
          <w:color w:val="auto"/>
          <w:highlight w:val="none"/>
          <w:lang w:val="en-US"/>
        </w:rPr>
        <w:t xml:space="preserve"> </w:t>
      </w:r>
      <w:r>
        <w:rPr>
          <w:rFonts w:hint="eastAsia"/>
          <w:color w:val="auto"/>
          <w:highlight w:val="none"/>
        </w:rPr>
        <w:t>资格审查”、“第五章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规定的投标无效情形的，其</w:t>
      </w:r>
      <w:r>
        <w:rPr>
          <w:rFonts w:hint="eastAsia"/>
          <w:b/>
          <w:bCs/>
          <w:color w:val="auto"/>
          <w:highlight w:val="none"/>
        </w:rPr>
        <w:t>投标无效</w:t>
      </w:r>
      <w:r>
        <w:rPr>
          <w:rFonts w:hint="eastAsia"/>
          <w:color w:val="auto"/>
          <w:highlight w:val="none"/>
        </w:rPr>
        <w:t>。</w:t>
      </w:r>
    </w:p>
    <w:p w14:paraId="13EB3D28">
      <w:pPr>
        <w:pStyle w:val="7"/>
        <w:keepNext w:val="0"/>
        <w:keepLines w:val="0"/>
        <w:spacing w:before="80" w:after="80" w:line="240" w:lineRule="auto"/>
        <w:ind w:left="420" w:hanging="420"/>
        <w:rPr>
          <w:rFonts w:hint="eastAsia" w:ascii="宋体" w:hAnsi="宋体" w:cs="宋体"/>
          <w:color w:val="auto"/>
          <w:sz w:val="24"/>
          <w:highlight w:val="none"/>
        </w:rPr>
      </w:pPr>
      <w:bookmarkStart w:id="234" w:name="_Toc140132807"/>
      <w:bookmarkStart w:id="235" w:name="_Toc163492874"/>
      <w:r>
        <w:rPr>
          <w:rFonts w:hint="eastAsia" w:ascii="宋体" w:hAnsi="宋体" w:cs="宋体"/>
          <w:color w:val="auto"/>
          <w:sz w:val="24"/>
          <w:highlight w:val="none"/>
        </w:rPr>
        <w:t>40.废标</w:t>
      </w:r>
      <w:bookmarkEnd w:id="234"/>
      <w:bookmarkEnd w:id="235"/>
    </w:p>
    <w:p w14:paraId="758D3FD4">
      <w:pPr>
        <w:pStyle w:val="20"/>
        <w:rPr>
          <w:rFonts w:hint="eastAsia"/>
          <w:color w:val="auto"/>
          <w:highlight w:val="none"/>
        </w:rPr>
      </w:pPr>
      <w:r>
        <w:rPr>
          <w:color w:val="auto"/>
          <w:highlight w:val="none"/>
        </w:rPr>
        <w:t>4</w:t>
      </w:r>
      <w:r>
        <w:rPr>
          <w:rFonts w:hint="eastAsia"/>
          <w:color w:val="auto"/>
          <w:highlight w:val="none"/>
          <w:lang w:val="en-US"/>
        </w:rPr>
        <w:t>0</w:t>
      </w:r>
      <w:r>
        <w:rPr>
          <w:rFonts w:hint="eastAsia"/>
          <w:color w:val="auto"/>
          <w:highlight w:val="none"/>
        </w:rPr>
        <w:t>.1在招标采购中出现有“第五章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规定的废标情形的，应予以</w:t>
      </w:r>
      <w:r>
        <w:rPr>
          <w:rFonts w:hint="eastAsia"/>
          <w:b/>
          <w:bCs/>
          <w:color w:val="auto"/>
          <w:highlight w:val="none"/>
        </w:rPr>
        <w:t>废标</w:t>
      </w:r>
      <w:r>
        <w:rPr>
          <w:rFonts w:hint="eastAsia"/>
          <w:color w:val="auto"/>
          <w:highlight w:val="none"/>
        </w:rPr>
        <w:t>。</w:t>
      </w:r>
    </w:p>
    <w:p w14:paraId="774F4E4F">
      <w:pPr>
        <w:pStyle w:val="6"/>
        <w:keepNext w:val="0"/>
        <w:keepLines w:val="0"/>
        <w:spacing w:before="180" w:after="180" w:line="240" w:lineRule="auto"/>
        <w:ind w:left="420" w:hanging="420"/>
        <w:rPr>
          <w:rFonts w:hint="eastAsia" w:cs="宋体"/>
          <w:color w:val="auto"/>
          <w:sz w:val="24"/>
          <w:highlight w:val="none"/>
        </w:rPr>
      </w:pPr>
      <w:bookmarkStart w:id="236" w:name="_Toc163492875"/>
      <w:bookmarkStart w:id="237" w:name="_Toc140132766"/>
      <w:bookmarkStart w:id="238" w:name="_Toc140132808"/>
      <w:bookmarkStart w:id="239" w:name="_Toc155185884"/>
      <w:r>
        <w:rPr>
          <w:rFonts w:hint="eastAsia" w:cs="宋体"/>
          <w:color w:val="auto"/>
          <w:sz w:val="24"/>
          <w:highlight w:val="none"/>
        </w:rPr>
        <w:t>（十三）落实政府采购政策</w:t>
      </w:r>
      <w:bookmarkEnd w:id="236"/>
      <w:bookmarkEnd w:id="237"/>
      <w:r>
        <w:rPr>
          <w:rFonts w:hint="eastAsia" w:cs="宋体"/>
          <w:color w:val="auto"/>
          <w:sz w:val="24"/>
          <w:highlight w:val="none"/>
        </w:rPr>
        <w:t>（包括但不限于下列具体政策要求）</w:t>
      </w:r>
    </w:p>
    <w:p w14:paraId="506C047F">
      <w:pPr>
        <w:widowControl/>
        <w:rPr>
          <w:rFonts w:hint="eastAsia"/>
          <w:color w:val="auto"/>
          <w:highlight w:val="none"/>
        </w:rPr>
      </w:pPr>
      <w:r>
        <w:rPr>
          <w:rFonts w:hint="eastAsia" w:cs="宋体"/>
          <w:b/>
          <w:bCs/>
          <w:color w:val="auto"/>
          <w:kern w:val="0"/>
          <w:szCs w:val="24"/>
          <w:highlight w:val="none"/>
          <w:lang w:bidi="ar"/>
        </w:rPr>
        <w:t xml:space="preserve">41.采购本国货物、服务和工程 </w:t>
      </w:r>
    </w:p>
    <w:p w14:paraId="24A2B278">
      <w:pPr>
        <w:widowControl/>
        <w:ind w:firstLine="480" w:firstLineChars="200"/>
        <w:rPr>
          <w:rFonts w:hint="eastAsia"/>
          <w:color w:val="auto"/>
          <w:highlight w:val="none"/>
        </w:rPr>
      </w:pPr>
      <w:r>
        <w:rPr>
          <w:rFonts w:hint="eastAsia" w:cs="宋体"/>
          <w:color w:val="auto"/>
          <w:kern w:val="0"/>
          <w:szCs w:val="24"/>
          <w:highlight w:val="none"/>
          <w:lang w:bidi="ar"/>
        </w:rPr>
        <w:t xml:space="preserve">政府采购应当采购本国货物、工程和服务。但有《中华人民共和国政府采购 </w:t>
      </w:r>
    </w:p>
    <w:p w14:paraId="7105E964">
      <w:pPr>
        <w:widowControl/>
        <w:rPr>
          <w:rFonts w:hint="eastAsia"/>
          <w:color w:val="auto"/>
          <w:highlight w:val="none"/>
        </w:rPr>
      </w:pPr>
      <w:r>
        <w:rPr>
          <w:rFonts w:hint="eastAsia" w:cs="宋体"/>
          <w:color w:val="auto"/>
          <w:kern w:val="0"/>
          <w:szCs w:val="24"/>
          <w:highlight w:val="none"/>
          <w:lang w:bidi="ar"/>
        </w:rPr>
        <w:t xml:space="preserve">法》第十条规定情形的除外。 </w:t>
      </w:r>
    </w:p>
    <w:p w14:paraId="41FBD44A">
      <w:pPr>
        <w:widowControl/>
        <w:ind w:firstLine="480" w:firstLineChars="200"/>
        <w:rPr>
          <w:rFonts w:hint="eastAsia"/>
          <w:color w:val="auto"/>
          <w:highlight w:val="none"/>
        </w:rPr>
      </w:pPr>
      <w:r>
        <w:rPr>
          <w:rFonts w:hint="eastAsia" w:cs="宋体"/>
          <w:color w:val="auto"/>
          <w:kern w:val="0"/>
          <w:szCs w:val="24"/>
          <w:highlight w:val="none"/>
          <w:lang w:bidi="ar"/>
        </w:rPr>
        <w:t xml:space="preserve">41.1 本项目如接受非本国货物、工程、服务参与投标，则具体要求见第三 </w:t>
      </w:r>
    </w:p>
    <w:p w14:paraId="51523DC4">
      <w:pPr>
        <w:widowControl/>
        <w:rPr>
          <w:rFonts w:hint="eastAsia"/>
          <w:color w:val="auto"/>
          <w:highlight w:val="none"/>
        </w:rPr>
      </w:pPr>
      <w:r>
        <w:rPr>
          <w:rFonts w:hint="eastAsia" w:cs="宋体"/>
          <w:color w:val="auto"/>
          <w:kern w:val="0"/>
          <w:szCs w:val="24"/>
          <w:highlight w:val="none"/>
          <w:lang w:bidi="ar"/>
        </w:rPr>
        <w:t xml:space="preserve">章《采购需求》。若第三章《采购需求》中不接受采购进口产品，投标人所投产 </w:t>
      </w:r>
    </w:p>
    <w:p w14:paraId="389798F4">
      <w:pPr>
        <w:widowControl/>
        <w:rPr>
          <w:rFonts w:hint="eastAsia"/>
          <w:color w:val="auto"/>
          <w:highlight w:val="none"/>
        </w:rPr>
      </w:pPr>
      <w:r>
        <w:rPr>
          <w:rFonts w:hint="eastAsia" w:cs="宋体"/>
          <w:color w:val="auto"/>
          <w:kern w:val="0"/>
          <w:szCs w:val="24"/>
          <w:highlight w:val="none"/>
          <w:lang w:bidi="ar"/>
        </w:rPr>
        <w:t>品为进口产品的将被认定为</w:t>
      </w:r>
      <w:r>
        <w:rPr>
          <w:rFonts w:hint="eastAsia" w:cs="宋体"/>
          <w:b/>
          <w:bCs/>
          <w:color w:val="auto"/>
          <w:kern w:val="0"/>
          <w:szCs w:val="24"/>
          <w:highlight w:val="none"/>
          <w:lang w:bidi="ar"/>
        </w:rPr>
        <w:t>投标无效</w:t>
      </w:r>
      <w:r>
        <w:rPr>
          <w:rFonts w:hint="eastAsia" w:cs="宋体"/>
          <w:color w:val="auto"/>
          <w:kern w:val="0"/>
          <w:szCs w:val="24"/>
          <w:highlight w:val="none"/>
          <w:lang w:bidi="ar"/>
        </w:rPr>
        <w:t xml:space="preserve">。 </w:t>
      </w:r>
    </w:p>
    <w:p w14:paraId="3F999E94">
      <w:pPr>
        <w:widowControl/>
        <w:ind w:firstLine="480" w:firstLineChars="200"/>
        <w:rPr>
          <w:rFonts w:hint="eastAsia"/>
          <w:color w:val="auto"/>
          <w:highlight w:val="none"/>
        </w:rPr>
      </w:pPr>
      <w:r>
        <w:rPr>
          <w:rFonts w:hint="eastAsia" w:cs="宋体"/>
          <w:color w:val="auto"/>
          <w:kern w:val="0"/>
          <w:szCs w:val="24"/>
          <w:highlight w:val="none"/>
          <w:lang w:bidi="ar"/>
        </w:rPr>
        <w:t xml:space="preserve">41.2 进口产品指通过中国海关报关验放进入中国境内且产自关境外的产品， </w:t>
      </w:r>
    </w:p>
    <w:p w14:paraId="62FDD4E4">
      <w:pPr>
        <w:widowControl/>
        <w:rPr>
          <w:rFonts w:hint="eastAsia"/>
          <w:color w:val="auto"/>
          <w:highlight w:val="none"/>
        </w:rPr>
      </w:pPr>
      <w:r>
        <w:rPr>
          <w:rFonts w:hint="eastAsia" w:cs="宋体"/>
          <w:color w:val="auto"/>
          <w:kern w:val="0"/>
          <w:szCs w:val="24"/>
          <w:highlight w:val="none"/>
          <w:lang w:bidi="ar"/>
        </w:rPr>
        <w:t xml:space="preserve">包括已经进入中国境内的进口产品。关于进口产品的相关规定依据《政府采购进 </w:t>
      </w:r>
    </w:p>
    <w:p w14:paraId="24355370">
      <w:pPr>
        <w:widowControl/>
        <w:rPr>
          <w:rFonts w:hint="eastAsia"/>
          <w:color w:val="auto"/>
          <w:highlight w:val="none"/>
        </w:rPr>
      </w:pPr>
      <w:r>
        <w:rPr>
          <w:rFonts w:hint="eastAsia" w:cs="宋体"/>
          <w:color w:val="auto"/>
          <w:kern w:val="0"/>
          <w:szCs w:val="24"/>
          <w:highlight w:val="none"/>
          <w:lang w:bidi="ar"/>
        </w:rPr>
        <w:t xml:space="preserve">口产品管理办法》（财库〔2007〕119 号）、《关于政府采购进口产品管理有关 </w:t>
      </w:r>
    </w:p>
    <w:p w14:paraId="04A5E447">
      <w:pPr>
        <w:widowControl/>
        <w:rPr>
          <w:rFonts w:hint="eastAsia"/>
          <w:color w:val="auto"/>
          <w:highlight w:val="none"/>
        </w:rPr>
      </w:pPr>
      <w:r>
        <w:rPr>
          <w:rFonts w:hint="eastAsia" w:cs="宋体"/>
          <w:color w:val="auto"/>
          <w:kern w:val="0"/>
          <w:szCs w:val="24"/>
          <w:highlight w:val="none"/>
          <w:lang w:bidi="ar"/>
        </w:rPr>
        <w:t xml:space="preserve">问题的通知》（财办库〔2008〕248 号）。投标人应保证所投产品可履行合法报 </w:t>
      </w:r>
    </w:p>
    <w:p w14:paraId="3333583E">
      <w:pPr>
        <w:widowControl/>
        <w:rPr>
          <w:rFonts w:hint="eastAsia"/>
          <w:color w:val="auto"/>
          <w:highlight w:val="none"/>
        </w:rPr>
      </w:pPr>
      <w:r>
        <w:rPr>
          <w:rFonts w:hint="eastAsia" w:cs="宋体"/>
          <w:color w:val="auto"/>
          <w:kern w:val="0"/>
          <w:szCs w:val="24"/>
          <w:highlight w:val="none"/>
          <w:lang w:bidi="ar"/>
        </w:rPr>
        <w:t xml:space="preserve">通关手续进入中国关境内。 </w:t>
      </w:r>
    </w:p>
    <w:p w14:paraId="3252A2D6">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 xml:space="preserve">41.3 按照《国务院办公厅关于在政府采购中实施本国产品标准及相关政策 </w:t>
      </w:r>
    </w:p>
    <w:p w14:paraId="22E0A216">
      <w:pPr>
        <w:widowControl/>
        <w:rPr>
          <w:rFonts w:hint="eastAsia" w:cs="宋体"/>
          <w:color w:val="auto"/>
          <w:kern w:val="0"/>
          <w:szCs w:val="24"/>
          <w:highlight w:val="none"/>
          <w:lang w:bidi="ar"/>
        </w:rPr>
      </w:pPr>
      <w:r>
        <w:rPr>
          <w:rFonts w:hint="eastAsia" w:cs="宋体"/>
          <w:color w:val="auto"/>
          <w:kern w:val="0"/>
          <w:szCs w:val="24"/>
          <w:highlight w:val="none"/>
          <w:lang w:bidi="ar"/>
        </w:rPr>
        <w:t xml:space="preserve">的通知》（国办发〔2025〕34 号）要求，政府采购货物项目和服务项目中涉及的货物适用于本国产品标准。适用本国产品标准的货物具体是指《政府采购品目 分类目录》中的货物类产品，但不包括其中的房屋和构筑物，文物和陈列品，图 书和档案，特种动植物，农林牧渔业产品，矿与矿物，电力、城市燃气、蒸汽和 热水、水，食品、饮料和烟草原料，无形资产。 </w:t>
      </w:r>
    </w:p>
    <w:p w14:paraId="29A06AA0">
      <w:pPr>
        <w:widowControl/>
        <w:ind w:firstLine="480" w:firstLineChars="200"/>
        <w:rPr>
          <w:rFonts w:hint="eastAsia"/>
          <w:color w:val="auto"/>
          <w:highlight w:val="none"/>
        </w:rPr>
      </w:pPr>
      <w:r>
        <w:rPr>
          <w:rFonts w:hint="eastAsia" w:cs="宋体"/>
          <w:color w:val="auto"/>
          <w:kern w:val="0"/>
          <w:szCs w:val="24"/>
          <w:highlight w:val="none"/>
          <w:lang w:bidi="ar"/>
        </w:rPr>
        <w:t xml:space="preserve">41.4 在接受进口产品投标的采购项目或采购包中，提供本国生产的货物的供应商，应当对其提供的产品出具第七章投标文件格式《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的，依照《中华人民共和国政府采购法》等法律法规规定追究相应责任。 </w:t>
      </w:r>
    </w:p>
    <w:p w14:paraId="4E2E11B1">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 xml:space="preserve">41.5 对本国产品的支持政策的相关要求 </w:t>
      </w:r>
    </w:p>
    <w:p w14:paraId="3E09C676">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 xml:space="preserve">（1）政府采购活动中既有本国产品又有非本国产品参与竞争的，依法对本 国产品给予价格评审优惠，对本国产品的报价给予20%的价格扣除，用扣除后的 </w:t>
      </w:r>
    </w:p>
    <w:p w14:paraId="20F89CBC">
      <w:pPr>
        <w:widowControl/>
        <w:rPr>
          <w:rFonts w:hint="eastAsia" w:cs="宋体"/>
          <w:color w:val="auto"/>
          <w:kern w:val="0"/>
          <w:szCs w:val="24"/>
          <w:highlight w:val="none"/>
          <w:lang w:bidi="ar"/>
        </w:rPr>
      </w:pPr>
      <w:r>
        <w:rPr>
          <w:rFonts w:hint="eastAsia" w:cs="宋体"/>
          <w:color w:val="auto"/>
          <w:kern w:val="0"/>
          <w:szCs w:val="24"/>
          <w:highlight w:val="none"/>
          <w:lang w:bidi="ar"/>
        </w:rPr>
        <w:t xml:space="preserve">价格参与评审。 </w:t>
      </w:r>
    </w:p>
    <w:p w14:paraId="5B7A2C95">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 xml:space="preserve">（2）当采购项目或者采购包中含有多种产品，供应商为该采购项目或者采 </w:t>
      </w:r>
    </w:p>
    <w:p w14:paraId="041C8429">
      <w:pPr>
        <w:widowControl/>
        <w:rPr>
          <w:rFonts w:hint="eastAsia" w:cs="宋体"/>
          <w:color w:val="auto"/>
          <w:kern w:val="0"/>
          <w:szCs w:val="24"/>
          <w:highlight w:val="none"/>
          <w:lang w:bidi="ar"/>
        </w:rPr>
      </w:pPr>
      <w:r>
        <w:rPr>
          <w:rFonts w:hint="eastAsia" w:cs="宋体"/>
          <w:color w:val="auto"/>
          <w:kern w:val="0"/>
          <w:szCs w:val="24"/>
          <w:highlight w:val="none"/>
          <w:lang w:bidi="ar"/>
        </w:rPr>
        <w:t xml:space="preserve">购包提供的符合本国产品标准的产品成本之和占该供应商提供的全部产品成本 </w:t>
      </w:r>
    </w:p>
    <w:p w14:paraId="180C4B4A">
      <w:pPr>
        <w:widowControl/>
        <w:rPr>
          <w:rFonts w:hint="eastAsia" w:cs="宋体"/>
          <w:color w:val="auto"/>
          <w:kern w:val="0"/>
          <w:szCs w:val="24"/>
          <w:highlight w:val="none"/>
          <w:lang w:bidi="ar"/>
        </w:rPr>
      </w:pPr>
      <w:r>
        <w:rPr>
          <w:rFonts w:hint="eastAsia" w:cs="宋体"/>
          <w:color w:val="auto"/>
          <w:kern w:val="0"/>
          <w:szCs w:val="24"/>
          <w:highlight w:val="none"/>
          <w:lang w:bidi="ar"/>
        </w:rPr>
        <w:t xml:space="preserve">之和的比例达到80%以上时，依法对该供应商提供的全部产品给予价格评审优惠， </w:t>
      </w:r>
    </w:p>
    <w:p w14:paraId="4117CE70">
      <w:pPr>
        <w:widowControl/>
        <w:rPr>
          <w:rFonts w:hint="eastAsia" w:cs="宋体"/>
          <w:color w:val="auto"/>
          <w:kern w:val="0"/>
          <w:szCs w:val="24"/>
          <w:highlight w:val="none"/>
          <w:lang w:bidi="ar"/>
        </w:rPr>
      </w:pPr>
      <w:r>
        <w:rPr>
          <w:rFonts w:hint="eastAsia" w:cs="宋体"/>
          <w:color w:val="auto"/>
          <w:kern w:val="0"/>
          <w:szCs w:val="24"/>
          <w:highlight w:val="none"/>
          <w:lang w:bidi="ar"/>
        </w:rPr>
        <w:t xml:space="preserve">即对该供应商提供的全部产品的总报价给予20%的价格扣除，用扣除后的价格参 </w:t>
      </w:r>
    </w:p>
    <w:p w14:paraId="44281AA0">
      <w:pPr>
        <w:pStyle w:val="20"/>
        <w:ind w:firstLine="0"/>
        <w:rPr>
          <w:rFonts w:hint="eastAsia"/>
          <w:snapToGrid w:val="0"/>
          <w:color w:val="auto"/>
          <w:highlight w:val="none"/>
          <w:lang w:val="en-US"/>
        </w:rPr>
      </w:pPr>
      <w:r>
        <w:rPr>
          <w:rFonts w:hint="eastAsia" w:cs="宋体"/>
          <w:color w:val="auto"/>
          <w:kern w:val="0"/>
          <w:szCs w:val="24"/>
          <w:highlight w:val="none"/>
          <w:lang w:val="en-US" w:bidi="ar"/>
        </w:rPr>
        <w:t>与评审</w:t>
      </w:r>
      <w:r>
        <w:rPr>
          <w:rFonts w:hint="eastAsia"/>
          <w:snapToGrid w:val="0"/>
          <w:color w:val="auto"/>
          <w:highlight w:val="none"/>
          <w:lang w:val="en-US"/>
        </w:rPr>
        <w:t>。</w:t>
      </w:r>
    </w:p>
    <w:p w14:paraId="48C68D41">
      <w:pPr>
        <w:pStyle w:val="7"/>
        <w:keepNext w:val="0"/>
        <w:keepLines w:val="0"/>
        <w:spacing w:before="80" w:after="80" w:line="240" w:lineRule="auto"/>
        <w:ind w:left="420" w:hanging="420"/>
        <w:rPr>
          <w:rFonts w:hint="eastAsia" w:ascii="宋体" w:hAnsi="宋体" w:cs="宋体"/>
          <w:color w:val="auto"/>
          <w:sz w:val="24"/>
          <w:highlight w:val="none"/>
        </w:rPr>
      </w:pPr>
      <w:bookmarkStart w:id="240" w:name="_Toc163492877"/>
      <w:r>
        <w:rPr>
          <w:rFonts w:hint="eastAsia" w:ascii="宋体" w:hAnsi="宋体" w:cs="宋体"/>
          <w:color w:val="auto"/>
          <w:sz w:val="24"/>
          <w:highlight w:val="none"/>
        </w:rPr>
        <w:t>42.中小企业、监狱企业及残疾人福利性单位</w:t>
      </w:r>
      <w:bookmarkEnd w:id="240"/>
    </w:p>
    <w:p w14:paraId="3A9C2943">
      <w:pPr>
        <w:pStyle w:val="20"/>
        <w:rPr>
          <w:rFonts w:hint="eastAsia"/>
          <w:snapToGrid w:val="0"/>
          <w:color w:val="auto"/>
          <w:highlight w:val="none"/>
        </w:rPr>
      </w:pPr>
      <w:r>
        <w:rPr>
          <w:rFonts w:hint="eastAsia"/>
          <w:snapToGrid w:val="0"/>
          <w:color w:val="auto"/>
          <w:highlight w:val="none"/>
          <w:lang w:val="en-US"/>
        </w:rPr>
        <w:t>42</w:t>
      </w:r>
      <w:r>
        <w:rPr>
          <w:rFonts w:hint="eastAsia"/>
          <w:snapToGrid w:val="0"/>
          <w:color w:val="auto"/>
          <w:highlight w:val="none"/>
        </w:rPr>
        <w:t>.</w:t>
      </w:r>
      <w:r>
        <w:rPr>
          <w:rFonts w:hint="eastAsia"/>
          <w:snapToGrid w:val="0"/>
          <w:color w:val="auto"/>
          <w:highlight w:val="none"/>
          <w:lang w:val="en-US"/>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color w:val="auto"/>
          <w:highlight w:val="none"/>
          <w:lang w:val="en-US"/>
        </w:rPr>
        <w:t>2022</w:t>
      </w:r>
      <w:r>
        <w:rPr>
          <w:rFonts w:hint="eastAsia"/>
          <w:snapToGrid w:val="0"/>
          <w:color w:val="auto"/>
          <w:highlight w:val="none"/>
          <w:lang w:val="en-US"/>
        </w:rPr>
        <w:t>〕</w:t>
      </w:r>
      <w:r>
        <w:rPr>
          <w:snapToGrid w:val="0"/>
          <w:color w:val="auto"/>
          <w:highlight w:val="none"/>
          <w:lang w:val="en-US"/>
        </w:rPr>
        <w:t xml:space="preserve">19 </w:t>
      </w:r>
      <w:r>
        <w:rPr>
          <w:rFonts w:hint="eastAsia"/>
          <w:snapToGrid w:val="0"/>
          <w:color w:val="auto"/>
          <w:highlight w:val="none"/>
          <w:lang w:val="en-US"/>
        </w:rPr>
        <w:t>号）、《政府采购促进中小企业发展管理办法》（财库〔</w:t>
      </w:r>
      <w:r>
        <w:rPr>
          <w:snapToGrid w:val="0"/>
          <w:color w:val="auto"/>
          <w:highlight w:val="none"/>
          <w:lang w:val="en-US"/>
        </w:rPr>
        <w:t>2020</w:t>
      </w:r>
      <w:r>
        <w:rPr>
          <w:rFonts w:hint="eastAsia"/>
          <w:snapToGrid w:val="0"/>
          <w:color w:val="auto"/>
          <w:highlight w:val="none"/>
          <w:lang w:val="en-US"/>
        </w:rPr>
        <w:t>〕</w:t>
      </w:r>
      <w:r>
        <w:rPr>
          <w:snapToGrid w:val="0"/>
          <w:color w:val="auto"/>
          <w:highlight w:val="none"/>
          <w:lang w:val="en-US"/>
        </w:rPr>
        <w:t xml:space="preserve">46 </w:t>
      </w:r>
      <w:r>
        <w:rPr>
          <w:rFonts w:hint="eastAsia"/>
          <w:snapToGrid w:val="0"/>
          <w:color w:val="auto"/>
          <w:highlight w:val="none"/>
          <w:lang w:val="en-US"/>
        </w:rPr>
        <w:t>号）、《关于印发中小企业划型标准规定的通知》（工信部联企业〔</w:t>
      </w:r>
      <w:r>
        <w:rPr>
          <w:snapToGrid w:val="0"/>
          <w:color w:val="auto"/>
          <w:highlight w:val="none"/>
          <w:lang w:val="en-US"/>
        </w:rPr>
        <w:t>2011</w:t>
      </w:r>
      <w:r>
        <w:rPr>
          <w:rFonts w:hint="eastAsia"/>
          <w:snapToGrid w:val="0"/>
          <w:color w:val="auto"/>
          <w:highlight w:val="none"/>
          <w:lang w:val="en-US"/>
        </w:rPr>
        <w:t>〕</w:t>
      </w:r>
      <w:r>
        <w:rPr>
          <w:snapToGrid w:val="0"/>
          <w:color w:val="auto"/>
          <w:highlight w:val="none"/>
          <w:lang w:val="en-US"/>
        </w:rPr>
        <w:t xml:space="preserve">300 </w:t>
      </w:r>
      <w:r>
        <w:rPr>
          <w:rFonts w:hint="eastAsia"/>
          <w:snapToGrid w:val="0"/>
          <w:color w:val="auto"/>
          <w:highlight w:val="none"/>
          <w:lang w:val="en-US"/>
        </w:rPr>
        <w:t xml:space="preserve">号）、《金融业企业划型标准规定》（〔2015〕309 号）等国务院批准的中小企业划分标准执行。 </w:t>
      </w:r>
    </w:p>
    <w:p w14:paraId="3362FE16">
      <w:pPr>
        <w:pStyle w:val="20"/>
        <w:rPr>
          <w:rFonts w:hint="eastAsia"/>
          <w:snapToGrid w:val="0"/>
          <w:color w:val="auto"/>
          <w:highlight w:val="none"/>
        </w:rPr>
      </w:pPr>
      <w:r>
        <w:rPr>
          <w:rFonts w:hint="eastAsia"/>
          <w:snapToGrid w:val="0"/>
          <w:color w:val="auto"/>
          <w:highlight w:val="none"/>
          <w:lang w:val="en-US"/>
        </w:rPr>
        <w:t>42</w:t>
      </w:r>
      <w:r>
        <w:rPr>
          <w:rFonts w:hint="eastAsia"/>
          <w:snapToGrid w:val="0"/>
          <w:color w:val="auto"/>
          <w:highlight w:val="none"/>
        </w:rPr>
        <w:t>.</w:t>
      </w:r>
      <w:r>
        <w:rPr>
          <w:rFonts w:hint="eastAsia"/>
          <w:snapToGrid w:val="0"/>
          <w:color w:val="auto"/>
          <w:highlight w:val="none"/>
          <w:lang w:val="en-US"/>
        </w:rPr>
        <w:t>2</w:t>
      </w:r>
      <w:r>
        <w:rPr>
          <w:rFonts w:hint="eastAsia"/>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“残疾人福利性单位声明函”，评审时，</w:t>
      </w:r>
      <w:r>
        <w:rPr>
          <w:rFonts w:hint="eastAsia"/>
          <w:snapToGrid w:val="0"/>
          <w:color w:val="auto"/>
          <w:highlight w:val="none"/>
          <w:lang w:val="en-US"/>
        </w:rPr>
        <w:t>评标委员会</w:t>
      </w:r>
      <w:r>
        <w:rPr>
          <w:rFonts w:hint="eastAsia"/>
          <w:snapToGrid w:val="0"/>
          <w:color w:val="auto"/>
          <w:highlight w:val="none"/>
        </w:rPr>
        <w:t>将依据本</w:t>
      </w:r>
      <w:r>
        <w:rPr>
          <w:rFonts w:hint="eastAsia"/>
          <w:snapToGrid w:val="0"/>
          <w:color w:val="auto"/>
          <w:highlight w:val="none"/>
          <w:lang w:val="en-US"/>
        </w:rPr>
        <w:t>招标</w:t>
      </w:r>
      <w:r>
        <w:rPr>
          <w:rFonts w:hint="eastAsia"/>
          <w:snapToGrid w:val="0"/>
          <w:color w:val="auto"/>
          <w:highlight w:val="none"/>
        </w:rPr>
        <w:t>文件“</w:t>
      </w:r>
      <w:r>
        <w:rPr>
          <w:rFonts w:hint="eastAsia"/>
          <w:snapToGrid w:val="0"/>
          <w:color w:val="auto"/>
          <w:highlight w:val="none"/>
          <w:lang w:val="en-US"/>
        </w:rPr>
        <w:t>投标人</w:t>
      </w:r>
      <w:r>
        <w:rPr>
          <w:rFonts w:hint="eastAsia"/>
          <w:snapToGrid w:val="0"/>
          <w:color w:val="auto"/>
          <w:highlight w:val="none"/>
        </w:rPr>
        <w:t>须知前附表”规定的报价扣除比例，对供应商报价进行价格扣除，用扣除后的价格参与评审；</w:t>
      </w:r>
      <w:r>
        <w:rPr>
          <w:rFonts w:hint="eastAsia"/>
          <w:snapToGrid w:val="0"/>
          <w:color w:val="auto"/>
          <w:highlight w:val="none"/>
          <w:lang w:val="en-US"/>
        </w:rPr>
        <w:t>招标</w:t>
      </w:r>
      <w:r>
        <w:rPr>
          <w:rFonts w:hint="eastAsia"/>
          <w:snapToGrid w:val="0"/>
          <w:color w:val="auto"/>
          <w:highlight w:val="none"/>
        </w:rPr>
        <w:t>公告中明确项目专门面向中小企业采购的，“中小企业声明函”为资格要求文件，供应商参与</w:t>
      </w:r>
      <w:r>
        <w:rPr>
          <w:rFonts w:hint="eastAsia"/>
          <w:snapToGrid w:val="0"/>
          <w:color w:val="auto"/>
          <w:highlight w:val="none"/>
          <w:lang w:val="en-US"/>
        </w:rPr>
        <w:t>投标</w:t>
      </w:r>
      <w:r>
        <w:rPr>
          <w:rFonts w:hint="eastAsia"/>
          <w:snapToGrid w:val="0"/>
          <w:color w:val="auto"/>
          <w:highlight w:val="none"/>
        </w:rPr>
        <w:t>须按本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“残疾人福利性单位声明函”等作为资格证明文件。</w:t>
      </w:r>
      <w:r>
        <w:rPr>
          <w:rFonts w:hint="eastAsia"/>
          <w:snapToGrid w:val="0"/>
          <w:color w:val="auto"/>
          <w:highlight w:val="none"/>
          <w:lang w:val="en-US"/>
        </w:rPr>
        <w:t xml:space="preserve"> </w:t>
      </w:r>
    </w:p>
    <w:p w14:paraId="79380F80">
      <w:pPr>
        <w:pStyle w:val="20"/>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3</w:t>
      </w:r>
      <w:r>
        <w:rPr>
          <w:snapToGrid w:val="0"/>
          <w:color w:val="auto"/>
          <w:highlight w:val="none"/>
          <w:lang w:val="en-US"/>
        </w:rPr>
        <w:t xml:space="preserve"> </w:t>
      </w:r>
      <w:r>
        <w:rPr>
          <w:rFonts w:hint="eastAsia"/>
          <w:snapToGrid w:val="0"/>
          <w:color w:val="auto"/>
          <w:highlight w:val="none"/>
          <w:lang w:val="en-US"/>
        </w:rPr>
        <w:t xml:space="preserve">投标人提供的货物、工程或者服务符合下列情形的，享受中小企业扶持政策： </w:t>
      </w:r>
    </w:p>
    <w:p w14:paraId="0B7F465F">
      <w:pPr>
        <w:pStyle w:val="20"/>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1</w:t>
      </w:r>
      <w:r>
        <w:rPr>
          <w:rFonts w:hint="eastAsia"/>
          <w:snapToGrid w:val="0"/>
          <w:color w:val="auto"/>
          <w:highlight w:val="none"/>
          <w:lang w:val="en-US"/>
        </w:rPr>
        <w:t xml:space="preserve">）在货物采购项目中，货物由中小企业制造，即货物由中小企业生产且使用该中小企业商号或者注册商标； </w:t>
      </w:r>
    </w:p>
    <w:p w14:paraId="233AF9BD">
      <w:pPr>
        <w:pStyle w:val="20"/>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2</w:t>
      </w:r>
      <w:r>
        <w:rPr>
          <w:rFonts w:hint="eastAsia"/>
          <w:snapToGrid w:val="0"/>
          <w:color w:val="auto"/>
          <w:highlight w:val="none"/>
          <w:lang w:val="en-US"/>
        </w:rPr>
        <w:t xml:space="preserve">）在工程采购项目中，工程由中小企业承建，即工程施工单位为中小企业； </w:t>
      </w:r>
    </w:p>
    <w:p w14:paraId="159ADF3D">
      <w:pPr>
        <w:pStyle w:val="20"/>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3</w:t>
      </w:r>
      <w:r>
        <w:rPr>
          <w:rFonts w:hint="eastAsia"/>
          <w:snapToGrid w:val="0"/>
          <w:color w:val="auto"/>
          <w:highlight w:val="none"/>
          <w:lang w:val="en-US"/>
        </w:rPr>
        <w:t>）在服务采购项目中，服务由中小企业承接，即提供服务的人员为中小企业依照《中华人民共和国劳动合同法》订立劳动合同的从业人员。</w:t>
      </w:r>
    </w:p>
    <w:p w14:paraId="7E24A2BD">
      <w:pPr>
        <w:pStyle w:val="20"/>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4</w:t>
      </w:r>
      <w:r>
        <w:rPr>
          <w:snapToGrid w:val="0"/>
          <w:color w:val="auto"/>
          <w:highlight w:val="none"/>
          <w:lang w:val="en-US"/>
        </w:rPr>
        <w:t xml:space="preserve"> </w:t>
      </w:r>
      <w:r>
        <w:rPr>
          <w:rFonts w:hint="eastAsia"/>
          <w:snapToGrid w:val="0"/>
          <w:color w:val="auto"/>
          <w:highlight w:val="none"/>
          <w:lang w:val="en-US"/>
        </w:rPr>
        <w:t xml:space="preserve">在货物采购项目中，投标人提供的货物既有中小企业制造货物，也有大型企业制造货物的，不享受中小企业扶持政策。 </w:t>
      </w:r>
    </w:p>
    <w:p w14:paraId="500B5202">
      <w:pPr>
        <w:pStyle w:val="20"/>
        <w:rPr>
          <w:rFonts w:hint="eastAsia"/>
          <w:snapToGrid w:val="0"/>
          <w:color w:val="auto"/>
          <w:highlight w:val="none"/>
          <w:lang w:val="en-US"/>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5</w:t>
      </w:r>
      <w:r>
        <w:rPr>
          <w:snapToGrid w:val="0"/>
          <w:color w:val="auto"/>
          <w:highlight w:val="none"/>
          <w:lang w:val="en-US"/>
        </w:rPr>
        <w:t xml:space="preserve"> </w:t>
      </w:r>
      <w:r>
        <w:rPr>
          <w:rFonts w:hint="eastAsia"/>
          <w:snapToGrid w:val="0"/>
          <w:color w:val="auto"/>
          <w:highlight w:val="none"/>
          <w:lang w:val="en-US"/>
        </w:rPr>
        <w:t xml:space="preserve">以联合体形式参加政府采购活动，联合体各方均为中小企业的，联合体视同中小企业。其中，联合体各方均为小微企业的，联合体视同小微企业。  </w:t>
      </w:r>
    </w:p>
    <w:p w14:paraId="288F1A58">
      <w:pPr>
        <w:pStyle w:val="20"/>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6</w:t>
      </w:r>
      <w:r>
        <w:rPr>
          <w:snapToGrid w:val="0"/>
          <w:color w:val="auto"/>
          <w:highlight w:val="none"/>
          <w:lang w:val="en-US"/>
        </w:rPr>
        <w:t xml:space="preserve"> </w:t>
      </w:r>
      <w:r>
        <w:rPr>
          <w:rFonts w:hint="eastAsia"/>
          <w:snapToGrid w:val="0"/>
          <w:color w:val="auto"/>
          <w:highlight w:val="none"/>
          <w:lang w:val="en-US"/>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12D67907">
      <w:pPr>
        <w:pStyle w:val="20"/>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 </w:t>
      </w:r>
      <w:r>
        <w:rPr>
          <w:rFonts w:hint="eastAsia"/>
          <w:snapToGrid w:val="0"/>
          <w:color w:val="auto"/>
          <w:highlight w:val="none"/>
          <w:lang w:val="en-US"/>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0114990A">
      <w:pPr>
        <w:pStyle w:val="20"/>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.1 </w:t>
      </w:r>
      <w:r>
        <w:rPr>
          <w:rFonts w:hint="eastAsia"/>
          <w:snapToGrid w:val="0"/>
          <w:color w:val="auto"/>
          <w:highlight w:val="none"/>
          <w:lang w:val="en-US"/>
        </w:rPr>
        <w:t xml:space="preserve">安置的残疾人占本单位在职职工人数的比例不低于 </w:t>
      </w:r>
      <w:r>
        <w:rPr>
          <w:snapToGrid w:val="0"/>
          <w:color w:val="auto"/>
          <w:highlight w:val="none"/>
          <w:lang w:val="en-US"/>
        </w:rPr>
        <w:t xml:space="preserve">25% </w:t>
      </w:r>
      <w:r>
        <w:rPr>
          <w:rFonts w:hint="eastAsia"/>
          <w:snapToGrid w:val="0"/>
          <w:color w:val="auto"/>
          <w:highlight w:val="none"/>
          <w:lang w:val="en-US"/>
        </w:rPr>
        <w:t xml:space="preserve">（含 </w:t>
      </w:r>
      <w:r>
        <w:rPr>
          <w:snapToGrid w:val="0"/>
          <w:color w:val="auto"/>
          <w:highlight w:val="none"/>
          <w:lang w:val="en-US"/>
        </w:rPr>
        <w:t>25%</w:t>
      </w:r>
      <w:r>
        <w:rPr>
          <w:rFonts w:hint="eastAsia"/>
          <w:snapToGrid w:val="0"/>
          <w:color w:val="auto"/>
          <w:highlight w:val="none"/>
          <w:lang w:val="en-US"/>
        </w:rPr>
        <w:t xml:space="preserve">），并且安置的残疾人人数不少于 </w:t>
      </w:r>
      <w:r>
        <w:rPr>
          <w:snapToGrid w:val="0"/>
          <w:color w:val="auto"/>
          <w:highlight w:val="none"/>
          <w:lang w:val="en-US"/>
        </w:rPr>
        <w:t xml:space="preserve">10 </w:t>
      </w:r>
      <w:r>
        <w:rPr>
          <w:rFonts w:hint="eastAsia"/>
          <w:snapToGrid w:val="0"/>
          <w:color w:val="auto"/>
          <w:highlight w:val="none"/>
          <w:lang w:val="en-US"/>
        </w:rPr>
        <w:t xml:space="preserve">人（含 </w:t>
      </w:r>
      <w:r>
        <w:rPr>
          <w:snapToGrid w:val="0"/>
          <w:color w:val="auto"/>
          <w:highlight w:val="none"/>
          <w:lang w:val="en-US"/>
        </w:rPr>
        <w:t>10</w:t>
      </w:r>
      <w:r>
        <w:rPr>
          <w:rFonts w:hint="eastAsia"/>
          <w:snapToGrid w:val="0"/>
          <w:color w:val="auto"/>
          <w:highlight w:val="none"/>
          <w:lang w:val="en-US"/>
        </w:rPr>
        <w:t xml:space="preserve">人）； </w:t>
      </w:r>
    </w:p>
    <w:p w14:paraId="21B18205">
      <w:pPr>
        <w:pStyle w:val="20"/>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.2 </w:t>
      </w:r>
      <w:r>
        <w:rPr>
          <w:rFonts w:hint="eastAsia"/>
          <w:snapToGrid w:val="0"/>
          <w:color w:val="auto"/>
          <w:highlight w:val="none"/>
          <w:lang w:val="en-US"/>
        </w:rPr>
        <w:t xml:space="preserve">依法与安置的每位残疾人签订了1年以上（含1年）的劳动合同或服务协议； </w:t>
      </w:r>
    </w:p>
    <w:p w14:paraId="367AAB11">
      <w:pPr>
        <w:pStyle w:val="20"/>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.3 </w:t>
      </w:r>
      <w:r>
        <w:rPr>
          <w:rFonts w:hint="eastAsia"/>
          <w:snapToGrid w:val="0"/>
          <w:color w:val="auto"/>
          <w:highlight w:val="none"/>
          <w:lang w:val="en-US"/>
        </w:rPr>
        <w:t xml:space="preserve">为安置的每位残疾人按月足额缴纳了基本养老保险、基本医疗保险、失业保险、工伤保险和生育保险等社会保险费； </w:t>
      </w:r>
    </w:p>
    <w:p w14:paraId="01C9BEA5">
      <w:pPr>
        <w:pStyle w:val="20"/>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.4 </w:t>
      </w:r>
      <w:r>
        <w:rPr>
          <w:rFonts w:hint="eastAsia"/>
          <w:snapToGrid w:val="0"/>
          <w:color w:val="auto"/>
          <w:highlight w:val="none"/>
          <w:lang w:val="en-US"/>
        </w:rPr>
        <w:t xml:space="preserve">通过银行等金融机构向安置的每位残疾人，按月支付了不低于单位所在区县适用的经省级人民政府批准的月最低工资标准的工资； </w:t>
      </w:r>
    </w:p>
    <w:p w14:paraId="2E113C9C">
      <w:pPr>
        <w:pStyle w:val="20"/>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.5 </w:t>
      </w:r>
      <w:r>
        <w:rPr>
          <w:rFonts w:hint="eastAsia"/>
          <w:snapToGrid w:val="0"/>
          <w:color w:val="auto"/>
          <w:highlight w:val="none"/>
          <w:lang w:val="en-US"/>
        </w:rPr>
        <w:t xml:space="preserve">提供本单位制造的货物、承担的工程或者服务（以下简称产品），或者提供其他残疾人福利性单位制造的货物（不包括使用非残疾人福利性单位注册商标的货物）； </w:t>
      </w:r>
    </w:p>
    <w:p w14:paraId="460220DD">
      <w:pPr>
        <w:pStyle w:val="20"/>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.6 </w:t>
      </w:r>
      <w:r>
        <w:rPr>
          <w:rFonts w:hint="eastAsia"/>
          <w:snapToGrid w:val="0"/>
          <w:color w:val="auto"/>
          <w:highlight w:val="none"/>
          <w:lang w:val="en-US"/>
        </w:rPr>
        <w:t>前款所称残疾人是指法定劳动年龄内，持有《中华人民共和国残疾人证》或者《中华人民共和国残疾军人证（</w:t>
      </w:r>
      <w:r>
        <w:rPr>
          <w:snapToGrid w:val="0"/>
          <w:color w:val="auto"/>
          <w:highlight w:val="none"/>
          <w:lang w:val="en-US"/>
        </w:rPr>
        <w:t xml:space="preserve">1 </w:t>
      </w:r>
      <w:r>
        <w:rPr>
          <w:rFonts w:hint="eastAsia"/>
          <w:snapToGrid w:val="0"/>
          <w:color w:val="auto"/>
          <w:highlight w:val="none"/>
          <w:lang w:val="en-US"/>
        </w:rPr>
        <w:t xml:space="preserve">至 </w:t>
      </w:r>
      <w:r>
        <w:rPr>
          <w:snapToGrid w:val="0"/>
          <w:color w:val="auto"/>
          <w:highlight w:val="none"/>
          <w:lang w:val="en-US"/>
        </w:rPr>
        <w:t xml:space="preserve">8 </w:t>
      </w:r>
      <w:r>
        <w:rPr>
          <w:rFonts w:hint="eastAsia"/>
          <w:snapToGrid w:val="0"/>
          <w:color w:val="auto"/>
          <w:highlight w:val="none"/>
          <w:lang w:val="en-US"/>
        </w:rPr>
        <w:t xml:space="preserve">级）》的自然人，包括具有劳动条件和劳动意愿的精神残疾人。在职职工人数是指与残疾人福利性单位建立劳动关系并依法签订劳动合同或服务协议的雇员人数。 </w:t>
      </w:r>
    </w:p>
    <w:p w14:paraId="1F7B8B48">
      <w:pPr>
        <w:pStyle w:val="20"/>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8</w:t>
      </w:r>
      <w:r>
        <w:rPr>
          <w:snapToGrid w:val="0"/>
          <w:color w:val="auto"/>
          <w:highlight w:val="none"/>
          <w:lang w:val="en-US"/>
        </w:rPr>
        <w:t xml:space="preserve"> </w:t>
      </w:r>
      <w:r>
        <w:rPr>
          <w:rFonts w:hint="eastAsia"/>
          <w:snapToGrid w:val="0"/>
          <w:color w:val="auto"/>
          <w:highlight w:val="none"/>
          <w:lang w:val="en-US"/>
        </w:rPr>
        <w:t>本项目是否专门面向中小企业预留采购份额见“第一章 招标公告”。    42</w:t>
      </w:r>
      <w:r>
        <w:rPr>
          <w:snapToGrid w:val="0"/>
          <w:color w:val="auto"/>
          <w:highlight w:val="none"/>
          <w:lang w:val="en-US"/>
        </w:rPr>
        <w:t>.</w:t>
      </w:r>
      <w:r>
        <w:rPr>
          <w:rFonts w:hint="eastAsia"/>
          <w:snapToGrid w:val="0"/>
          <w:color w:val="auto"/>
          <w:highlight w:val="none"/>
          <w:lang w:val="en-US"/>
        </w:rPr>
        <w:t>9</w:t>
      </w:r>
      <w:r>
        <w:rPr>
          <w:snapToGrid w:val="0"/>
          <w:color w:val="auto"/>
          <w:highlight w:val="none"/>
          <w:lang w:val="en-US"/>
        </w:rPr>
        <w:t xml:space="preserve"> </w:t>
      </w:r>
      <w:r>
        <w:rPr>
          <w:rFonts w:hint="eastAsia"/>
          <w:snapToGrid w:val="0"/>
          <w:color w:val="auto"/>
          <w:highlight w:val="none"/>
          <w:lang w:val="en-US"/>
        </w:rPr>
        <w:t>采购标的对应的中小企业划分标准所属行业见“投标人须知前附表”。    42</w:t>
      </w:r>
      <w:r>
        <w:rPr>
          <w:snapToGrid w:val="0"/>
          <w:color w:val="auto"/>
          <w:highlight w:val="none"/>
          <w:lang w:val="en-US"/>
        </w:rPr>
        <w:t>.</w:t>
      </w:r>
      <w:r>
        <w:rPr>
          <w:rFonts w:hint="eastAsia"/>
          <w:snapToGrid w:val="0"/>
          <w:color w:val="auto"/>
          <w:highlight w:val="none"/>
          <w:lang w:val="en-US"/>
        </w:rPr>
        <w:t>10</w:t>
      </w:r>
      <w:r>
        <w:rPr>
          <w:snapToGrid w:val="0"/>
          <w:color w:val="auto"/>
          <w:highlight w:val="none"/>
          <w:lang w:val="en-US"/>
        </w:rPr>
        <w:t xml:space="preserve"> </w:t>
      </w:r>
      <w:r>
        <w:rPr>
          <w:rFonts w:hint="eastAsia"/>
          <w:snapToGrid w:val="0"/>
          <w:color w:val="auto"/>
          <w:highlight w:val="none"/>
          <w:lang w:val="en-US"/>
        </w:rPr>
        <w:t>小微企业价格评审优惠的政策调整：见“投标人须知前附表”及“第五章 评标方法及标准”。</w:t>
      </w:r>
    </w:p>
    <w:p w14:paraId="7A7647C9">
      <w:pPr>
        <w:pStyle w:val="7"/>
        <w:keepNext w:val="0"/>
        <w:keepLines w:val="0"/>
        <w:spacing w:before="80" w:after="80" w:line="240" w:lineRule="auto"/>
        <w:ind w:left="420" w:hanging="420"/>
        <w:rPr>
          <w:rFonts w:hint="eastAsia" w:ascii="宋体" w:hAnsi="宋体" w:cs="宋体"/>
          <w:color w:val="auto"/>
          <w:sz w:val="24"/>
          <w:highlight w:val="none"/>
        </w:rPr>
      </w:pPr>
      <w:bookmarkStart w:id="241" w:name="_Toc163492878"/>
      <w:r>
        <w:rPr>
          <w:rFonts w:hint="eastAsia" w:ascii="宋体" w:hAnsi="宋体" w:cs="宋体"/>
          <w:color w:val="auto"/>
          <w:sz w:val="24"/>
          <w:highlight w:val="none"/>
        </w:rPr>
        <w:t>43.政府采购节能产品、环境标志产品</w:t>
      </w:r>
      <w:bookmarkEnd w:id="241"/>
    </w:p>
    <w:p w14:paraId="42442D54">
      <w:pPr>
        <w:pStyle w:val="20"/>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.1 </w:t>
      </w:r>
      <w:r>
        <w:rPr>
          <w:rFonts w:hint="eastAsia"/>
          <w:snapToGrid w:val="0"/>
          <w:color w:val="auto"/>
          <w:highlight w:val="none"/>
          <w:lang w:val="en-US"/>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color w:val="auto"/>
          <w:highlight w:val="none"/>
          <w:lang w:val="en-US"/>
        </w:rPr>
        <w:t>2019</w:t>
      </w:r>
      <w:r>
        <w:rPr>
          <w:rFonts w:hint="eastAsia"/>
          <w:snapToGrid w:val="0"/>
          <w:color w:val="auto"/>
          <w:highlight w:val="none"/>
          <w:lang w:val="en-US"/>
        </w:rPr>
        <w:t>〕</w:t>
      </w:r>
      <w:r>
        <w:rPr>
          <w:snapToGrid w:val="0"/>
          <w:color w:val="auto"/>
          <w:highlight w:val="none"/>
          <w:lang w:val="en-US"/>
        </w:rPr>
        <w:t xml:space="preserve">9 </w:t>
      </w:r>
      <w:r>
        <w:rPr>
          <w:rFonts w:hint="eastAsia"/>
          <w:snapToGrid w:val="0"/>
          <w:color w:val="auto"/>
          <w:highlight w:val="none"/>
          <w:lang w:val="en-US"/>
        </w:rPr>
        <w:t>号）、《关于印发环境标志产品政府采购品目清单的通知》（财库〔2019〕18号）、《关于印发节能产品政府采购品目清单的通知》（财库〔2019〕19号）的规定。</w:t>
      </w:r>
    </w:p>
    <w:p w14:paraId="3B37299E">
      <w:pPr>
        <w:pStyle w:val="20"/>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.2 </w:t>
      </w:r>
      <w:r>
        <w:rPr>
          <w:rFonts w:hint="eastAsia"/>
          <w:snapToGrid w:val="0"/>
          <w:color w:val="auto"/>
          <w:highlight w:val="none"/>
          <w:lang w:val="en-US"/>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14F8585A">
      <w:pPr>
        <w:pStyle w:val="20"/>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.3 </w:t>
      </w:r>
      <w:r>
        <w:rPr>
          <w:rFonts w:hint="eastAsia"/>
          <w:snapToGrid w:val="0"/>
          <w:color w:val="auto"/>
          <w:highlight w:val="none"/>
          <w:lang w:val="en-US"/>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color w:val="auto"/>
          <w:highlight w:val="none"/>
          <w:lang w:val="en-US"/>
        </w:rPr>
        <w:t>投标无效</w:t>
      </w:r>
      <w:r>
        <w:rPr>
          <w:rFonts w:hint="eastAsia"/>
          <w:snapToGrid w:val="0"/>
          <w:color w:val="auto"/>
          <w:highlight w:val="none"/>
          <w:lang w:val="en-US"/>
        </w:rPr>
        <w:t xml:space="preserve">。 </w:t>
      </w:r>
    </w:p>
    <w:p w14:paraId="032A1812">
      <w:pPr>
        <w:pStyle w:val="20"/>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.4 </w:t>
      </w:r>
      <w:r>
        <w:rPr>
          <w:rFonts w:hint="eastAsia"/>
          <w:snapToGrid w:val="0"/>
          <w:color w:val="auto"/>
          <w:highlight w:val="none"/>
          <w:lang w:val="en-US"/>
        </w:rPr>
        <w:t>非政府强制采购的节能产品或环境标志产品，依据品目清单和认证证书实施政府优先采购。优先采购的具体规定见“第五章 评标方法及标准”（如涉及）。</w:t>
      </w:r>
    </w:p>
    <w:p w14:paraId="663DBCC3">
      <w:pPr>
        <w:pStyle w:val="20"/>
        <w:rPr>
          <w:rFonts w:hint="eastAsia"/>
          <w:color w:val="auto"/>
          <w:highlight w:val="none"/>
        </w:rPr>
      </w:pPr>
      <w:r>
        <w:rPr>
          <w:rFonts w:hint="eastAsia"/>
          <w:snapToGrid w:val="0"/>
          <w:color w:val="auto"/>
          <w:highlight w:val="none"/>
          <w:lang w:val="en-US"/>
        </w:rPr>
        <w:t xml:space="preserve">43.5 </w:t>
      </w:r>
      <w:r>
        <w:rPr>
          <w:rFonts w:hint="eastAsia"/>
          <w:snapToGrid w:val="0"/>
          <w:color w:val="auto"/>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color w:val="auto"/>
          <w:highlight w:val="none"/>
        </w:rPr>
        <w:t>已作为投标时强制性要求不再</w:t>
      </w:r>
      <w:r>
        <w:rPr>
          <w:rFonts w:hint="eastAsia"/>
          <w:snapToGrid w:val="0"/>
          <w:color w:val="auto"/>
          <w:highlight w:val="none"/>
        </w:rPr>
        <w:t>给予</w:t>
      </w:r>
      <w:r>
        <w:rPr>
          <w:rFonts w:hint="eastAsia"/>
          <w:snapToGrid w:val="0"/>
          <w:color w:val="auto"/>
          <w:highlight w:val="none"/>
          <w:lang w:val="en-US"/>
        </w:rPr>
        <w:t>评审优惠</w:t>
      </w:r>
      <w:r>
        <w:rPr>
          <w:rFonts w:hint="eastAsia"/>
          <w:snapToGrid w:val="0"/>
          <w:color w:val="auto"/>
          <w:highlight w:val="none"/>
        </w:rPr>
        <w:t>，未提供认证证书的视为</w:t>
      </w:r>
      <w:r>
        <w:rPr>
          <w:rFonts w:hint="eastAsia"/>
          <w:b/>
          <w:bCs/>
          <w:snapToGrid w:val="0"/>
          <w:color w:val="auto"/>
          <w:highlight w:val="none"/>
          <w:lang w:val="en-US"/>
        </w:rPr>
        <w:t>投标</w:t>
      </w:r>
      <w:r>
        <w:rPr>
          <w:rFonts w:hint="eastAsia"/>
          <w:b/>
          <w:bCs/>
          <w:snapToGrid w:val="0"/>
          <w:color w:val="auto"/>
          <w:highlight w:val="none"/>
        </w:rPr>
        <w:t>无效</w:t>
      </w:r>
      <w:r>
        <w:rPr>
          <w:rFonts w:hint="eastAsia"/>
          <w:snapToGrid w:val="0"/>
          <w:color w:val="auto"/>
          <w:highlight w:val="none"/>
        </w:rPr>
        <w:t>。属于</w:t>
      </w:r>
      <w:r>
        <w:rPr>
          <w:rFonts w:hint="eastAsia"/>
          <w:snapToGrid w:val="0"/>
          <w:color w:val="auto"/>
          <w:highlight w:val="none"/>
          <w:lang w:val="en-US"/>
        </w:rPr>
        <w:t>优先采购</w:t>
      </w:r>
      <w:r>
        <w:rPr>
          <w:rFonts w:hint="eastAsia"/>
          <w:snapToGrid w:val="0"/>
          <w:color w:val="auto"/>
          <w:highlight w:val="none"/>
        </w:rPr>
        <w:t>节能产品政府采购品目清单、环境标志产品政府采购品目清单、</w:t>
      </w:r>
      <w:r>
        <w:rPr>
          <w:rFonts w:hint="eastAsia"/>
          <w:snapToGrid w:val="0"/>
          <w:color w:val="auto"/>
          <w:highlight w:val="none"/>
          <w:lang w:val="en-US"/>
        </w:rPr>
        <w:t>创新产品</w:t>
      </w:r>
      <w:r>
        <w:rPr>
          <w:rFonts w:hint="eastAsia"/>
          <w:snapToGrid w:val="0"/>
          <w:color w:val="auto"/>
          <w:highlight w:val="none"/>
        </w:rPr>
        <w:t>范围的，按照“</w:t>
      </w:r>
      <w:r>
        <w:rPr>
          <w:rFonts w:hint="eastAsia"/>
          <w:color w:val="auto"/>
          <w:highlight w:val="none"/>
          <w:lang w:val="en-US"/>
        </w:rPr>
        <w:t>第五章 评标方法及标准</w:t>
      </w:r>
      <w:r>
        <w:rPr>
          <w:rFonts w:hint="eastAsia"/>
          <w:snapToGrid w:val="0"/>
          <w:color w:val="auto"/>
          <w:highlight w:val="none"/>
        </w:rPr>
        <w:t>”中相关规定</w:t>
      </w:r>
      <w:r>
        <w:rPr>
          <w:rFonts w:hint="eastAsia"/>
          <w:color w:val="auto"/>
          <w:highlight w:val="none"/>
          <w:lang w:val="en-US"/>
        </w:rPr>
        <w:t>在评审时给予优惠，具体详见</w:t>
      </w:r>
      <w:r>
        <w:rPr>
          <w:rFonts w:hint="eastAsia"/>
          <w:snapToGrid w:val="0"/>
          <w:color w:val="auto"/>
          <w:highlight w:val="none"/>
          <w:lang w:val="en-US"/>
        </w:rPr>
        <w:t>“投标人须知前附表”及</w:t>
      </w:r>
      <w:r>
        <w:rPr>
          <w:rFonts w:hint="eastAsia"/>
          <w:color w:val="auto"/>
          <w:highlight w:val="none"/>
          <w:lang w:val="en-US"/>
        </w:rPr>
        <w:t>“第五章 评标方法及标准”</w:t>
      </w:r>
      <w:r>
        <w:rPr>
          <w:rFonts w:hint="eastAsia"/>
          <w:color w:val="auto"/>
          <w:highlight w:val="none"/>
        </w:rPr>
        <w:t>。</w:t>
      </w:r>
    </w:p>
    <w:p w14:paraId="085B8C33">
      <w:pPr>
        <w:pStyle w:val="7"/>
        <w:keepNext w:val="0"/>
        <w:keepLines w:val="0"/>
        <w:spacing w:before="80" w:after="80" w:line="240" w:lineRule="auto"/>
        <w:ind w:left="420" w:hanging="420"/>
        <w:rPr>
          <w:rFonts w:hint="eastAsia" w:ascii="宋体" w:hAnsi="宋体" w:cs="宋体"/>
          <w:color w:val="auto"/>
          <w:sz w:val="24"/>
          <w:highlight w:val="none"/>
        </w:rPr>
      </w:pPr>
      <w:bookmarkStart w:id="242" w:name="_Toc163492879"/>
      <w:r>
        <w:rPr>
          <w:rFonts w:hint="eastAsia" w:ascii="宋体" w:hAnsi="宋体" w:cs="宋体"/>
          <w:color w:val="auto"/>
          <w:sz w:val="24"/>
          <w:highlight w:val="none"/>
        </w:rPr>
        <w:t xml:space="preserve">44.正版软件  </w:t>
      </w:r>
    </w:p>
    <w:p w14:paraId="19331996">
      <w:pPr>
        <w:pStyle w:val="20"/>
        <w:rPr>
          <w:rFonts w:hint="eastAsia"/>
          <w:snapToGrid w:val="0"/>
          <w:color w:val="auto"/>
          <w:highlight w:val="none"/>
          <w:lang w:val="en-US"/>
        </w:rPr>
      </w:pPr>
      <w:r>
        <w:rPr>
          <w:rFonts w:hint="eastAsia"/>
          <w:snapToGrid w:val="0"/>
          <w:color w:val="auto"/>
          <w:highlight w:val="none"/>
          <w:lang w:val="en-US"/>
        </w:rPr>
        <w:t>44.1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0E43D3D9">
      <w:pPr>
        <w:pStyle w:val="7"/>
        <w:keepNext w:val="0"/>
        <w:keepLines w:val="0"/>
        <w:spacing w:before="80" w:after="80" w:line="240" w:lineRule="auto"/>
        <w:ind w:left="420" w:hanging="420"/>
        <w:rPr>
          <w:rFonts w:hint="eastAsia" w:ascii="宋体" w:hAnsi="宋体" w:cs="宋体"/>
          <w:color w:val="auto"/>
          <w:sz w:val="24"/>
          <w:highlight w:val="none"/>
        </w:rPr>
      </w:pPr>
      <w:r>
        <w:rPr>
          <w:rFonts w:hint="eastAsia" w:ascii="宋体" w:hAnsi="宋体" w:cs="宋体"/>
          <w:color w:val="auto"/>
          <w:sz w:val="24"/>
          <w:highlight w:val="none"/>
        </w:rPr>
        <w:t xml:space="preserve">45.网络安全专用产品   </w:t>
      </w:r>
    </w:p>
    <w:p w14:paraId="63268BAF">
      <w:pPr>
        <w:pStyle w:val="20"/>
        <w:rPr>
          <w:rFonts w:hint="eastAsia"/>
          <w:snapToGrid w:val="0"/>
          <w:color w:val="auto"/>
          <w:highlight w:val="none"/>
          <w:lang w:val="en-US"/>
        </w:rPr>
      </w:pPr>
      <w:r>
        <w:rPr>
          <w:rFonts w:hint="eastAsia"/>
          <w:snapToGrid w:val="0"/>
          <w:color w:val="auto"/>
          <w:highlight w:val="none"/>
          <w:lang w:val="en-US"/>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w:t>
      </w:r>
      <w:r>
        <w:rPr>
          <w:rFonts w:hint="eastAsia"/>
          <w:snapToGrid w:val="0"/>
          <w:color w:val="auto"/>
          <w:highlight w:val="none"/>
          <w:lang w:val="en-US" w:eastAsia="zh-CN"/>
        </w:rPr>
        <w:t>（</w:t>
      </w:r>
      <w:r>
        <w:rPr>
          <w:rFonts w:hint="eastAsia"/>
          <w:snapToGrid w:val="0"/>
          <w:color w:val="auto"/>
          <w:highlight w:val="none"/>
          <w:lang w:val="en-US"/>
        </w:rPr>
        <w:t>成交</w:t>
      </w:r>
      <w:r>
        <w:rPr>
          <w:rFonts w:hint="eastAsia"/>
          <w:snapToGrid w:val="0"/>
          <w:color w:val="auto"/>
          <w:highlight w:val="none"/>
          <w:lang w:val="en-US" w:eastAsia="zh-CN"/>
        </w:rPr>
        <w:t>）</w:t>
      </w:r>
      <w:r>
        <w:rPr>
          <w:rFonts w:hint="eastAsia"/>
          <w:snapToGrid w:val="0"/>
          <w:color w:val="auto"/>
          <w:highlight w:val="none"/>
          <w:lang w:val="en-US"/>
        </w:rPr>
        <w:t>人双方签订合同及验收环节，应包含上述网络安全要求的条款。</w:t>
      </w:r>
    </w:p>
    <w:p w14:paraId="55EBD71A">
      <w:pPr>
        <w:pStyle w:val="20"/>
        <w:rPr>
          <w:rFonts w:hint="eastAsia"/>
          <w:snapToGrid w:val="0"/>
          <w:color w:val="auto"/>
          <w:highlight w:val="none"/>
          <w:lang w:val="en-US"/>
        </w:rPr>
      </w:pPr>
      <w:r>
        <w:rPr>
          <w:rFonts w:hint="eastAsia"/>
          <w:snapToGrid w:val="0"/>
          <w:color w:val="auto"/>
          <w:highlight w:val="none"/>
          <w:lang w:val="en-US"/>
        </w:rPr>
        <w:t>45.2本项目中如涉及国家强制性产品认证证书（CCC 认证证书）、电信设备进网许可证、无线电发射设备核准证等市场准入类资质的，应严格执行国家相关法律法规的要求。采购人、中标</w:t>
      </w:r>
      <w:r>
        <w:rPr>
          <w:rFonts w:hint="eastAsia"/>
          <w:snapToGrid w:val="0"/>
          <w:color w:val="auto"/>
          <w:highlight w:val="none"/>
          <w:lang w:val="en-US" w:eastAsia="zh-CN"/>
        </w:rPr>
        <w:t>（</w:t>
      </w:r>
      <w:r>
        <w:rPr>
          <w:rFonts w:hint="eastAsia"/>
          <w:snapToGrid w:val="0"/>
          <w:color w:val="auto"/>
          <w:highlight w:val="none"/>
          <w:lang w:val="en-US"/>
        </w:rPr>
        <w:t>成交</w:t>
      </w:r>
      <w:r>
        <w:rPr>
          <w:rFonts w:hint="eastAsia"/>
          <w:snapToGrid w:val="0"/>
          <w:color w:val="auto"/>
          <w:highlight w:val="none"/>
          <w:lang w:val="en-US" w:eastAsia="zh-CN"/>
        </w:rPr>
        <w:t>）</w:t>
      </w:r>
      <w:r>
        <w:rPr>
          <w:rFonts w:hint="eastAsia"/>
          <w:snapToGrid w:val="0"/>
          <w:color w:val="auto"/>
          <w:highlight w:val="none"/>
          <w:lang w:val="en-US"/>
        </w:rPr>
        <w:t xml:space="preserve">人双方签订合同及验收环节，应包含上述市场准入类资质要求的条款。 </w:t>
      </w:r>
    </w:p>
    <w:p w14:paraId="5712FEEE">
      <w:pPr>
        <w:pStyle w:val="7"/>
        <w:keepNext w:val="0"/>
        <w:keepLines w:val="0"/>
        <w:spacing w:before="80" w:after="80" w:line="240" w:lineRule="auto"/>
        <w:ind w:left="420" w:hanging="420"/>
        <w:rPr>
          <w:rFonts w:hint="eastAsia" w:ascii="宋体" w:hAnsi="宋体" w:cs="宋体"/>
          <w:color w:val="auto"/>
          <w:sz w:val="24"/>
          <w:highlight w:val="none"/>
        </w:rPr>
      </w:pPr>
      <w:r>
        <w:rPr>
          <w:rFonts w:hint="eastAsia" w:ascii="宋体" w:hAnsi="宋体" w:cs="宋体"/>
          <w:color w:val="auto"/>
          <w:sz w:val="24"/>
          <w:highlight w:val="none"/>
        </w:rPr>
        <w:t xml:space="preserve">46.采购需求标准   </w:t>
      </w:r>
    </w:p>
    <w:p w14:paraId="4E50A842">
      <w:pPr>
        <w:pStyle w:val="20"/>
        <w:rPr>
          <w:rFonts w:hint="eastAsia"/>
          <w:snapToGrid w:val="0"/>
          <w:color w:val="auto"/>
          <w:highlight w:val="none"/>
          <w:lang w:val="en-US"/>
        </w:rPr>
      </w:pPr>
      <w:r>
        <w:rPr>
          <w:rFonts w:hint="eastAsia"/>
          <w:snapToGrid w:val="0"/>
          <w:color w:val="auto"/>
          <w:highlight w:val="none"/>
          <w:lang w:val="en-US"/>
        </w:rPr>
        <w:t xml:space="preserve">46.1 商品包装、快递包装政府采购需求标准（试行） </w:t>
      </w:r>
    </w:p>
    <w:p w14:paraId="4115E796">
      <w:pPr>
        <w:pStyle w:val="20"/>
        <w:rPr>
          <w:rFonts w:hint="eastAsia"/>
          <w:snapToGrid w:val="0"/>
          <w:color w:val="auto"/>
          <w:highlight w:val="none"/>
          <w:lang w:val="en-US"/>
        </w:rPr>
      </w:pPr>
      <w:r>
        <w:rPr>
          <w:rFonts w:hint="eastAsia"/>
          <w:snapToGrid w:val="0"/>
          <w:color w:val="auto"/>
          <w:highlight w:val="none"/>
          <w:lang w:val="en-US"/>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38FC6A3E">
      <w:pPr>
        <w:pStyle w:val="20"/>
        <w:rPr>
          <w:rFonts w:hint="eastAsia"/>
          <w:snapToGrid w:val="0"/>
          <w:color w:val="auto"/>
          <w:highlight w:val="none"/>
          <w:lang w:val="en-US"/>
        </w:rPr>
      </w:pPr>
      <w:r>
        <w:rPr>
          <w:rFonts w:hint="eastAsia"/>
          <w:snapToGrid w:val="0"/>
          <w:color w:val="auto"/>
          <w:highlight w:val="none"/>
          <w:lang w:val="en-US"/>
        </w:rPr>
        <w:t xml:space="preserve">46.2 绿色数据中心政府采购需求标准（试行） </w:t>
      </w:r>
    </w:p>
    <w:p w14:paraId="476CB047">
      <w:pPr>
        <w:pStyle w:val="20"/>
        <w:rPr>
          <w:rFonts w:hint="eastAsia"/>
          <w:snapToGrid w:val="0"/>
          <w:color w:val="auto"/>
          <w:highlight w:val="none"/>
          <w:lang w:val="en-US"/>
        </w:rPr>
      </w:pPr>
      <w:r>
        <w:rPr>
          <w:rFonts w:hint="eastAsia"/>
          <w:snapToGrid w:val="0"/>
          <w:color w:val="auto"/>
          <w:highlight w:val="none"/>
          <w:lang w:val="en-US"/>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4DFF0BD1">
      <w:pPr>
        <w:pStyle w:val="20"/>
        <w:rPr>
          <w:rFonts w:hint="eastAsia"/>
          <w:snapToGrid w:val="0"/>
          <w:color w:val="auto"/>
          <w:highlight w:val="none"/>
          <w:lang w:val="en-US"/>
        </w:rPr>
      </w:pPr>
      <w:r>
        <w:rPr>
          <w:rFonts w:hint="eastAsia"/>
          <w:snapToGrid w:val="0"/>
          <w:color w:val="auto"/>
          <w:highlight w:val="none"/>
          <w:lang w:val="en-US"/>
        </w:rPr>
        <w:t>46.3台式计算机政府采购需求标准</w:t>
      </w:r>
    </w:p>
    <w:p w14:paraId="11842607">
      <w:pPr>
        <w:pStyle w:val="20"/>
        <w:rPr>
          <w:rFonts w:hint="eastAsia"/>
          <w:snapToGrid w:val="0"/>
          <w:color w:val="auto"/>
          <w:highlight w:val="none"/>
          <w:lang w:val="en-US"/>
        </w:rPr>
      </w:pPr>
      <w:r>
        <w:rPr>
          <w:rFonts w:hint="eastAsia"/>
          <w:snapToGrid w:val="0"/>
          <w:color w:val="auto"/>
          <w:highlight w:val="none"/>
          <w:lang w:val="en-US"/>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7180C8A9">
      <w:pPr>
        <w:pStyle w:val="20"/>
        <w:rPr>
          <w:rFonts w:hint="eastAsia"/>
          <w:snapToGrid w:val="0"/>
          <w:color w:val="auto"/>
          <w:highlight w:val="none"/>
          <w:lang w:val="en-US"/>
        </w:rPr>
      </w:pPr>
      <w:r>
        <w:rPr>
          <w:rFonts w:hint="eastAsia"/>
          <w:snapToGrid w:val="0"/>
          <w:color w:val="auto"/>
          <w:highlight w:val="none"/>
          <w:lang w:val="en-US"/>
        </w:rPr>
        <w:t>46.4便携式计算机政府采购需求标准</w:t>
      </w:r>
    </w:p>
    <w:p w14:paraId="30499E6D">
      <w:pPr>
        <w:pStyle w:val="20"/>
        <w:rPr>
          <w:rFonts w:hint="eastAsia"/>
          <w:snapToGrid w:val="0"/>
          <w:color w:val="auto"/>
          <w:highlight w:val="none"/>
          <w:lang w:val="en-US"/>
        </w:rPr>
      </w:pPr>
      <w:r>
        <w:rPr>
          <w:rFonts w:hint="eastAsia"/>
          <w:snapToGrid w:val="0"/>
          <w:color w:val="auto"/>
          <w:highlight w:val="none"/>
          <w:lang w:val="en-US"/>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61C09A77">
      <w:pPr>
        <w:pStyle w:val="20"/>
        <w:rPr>
          <w:rFonts w:hint="eastAsia"/>
          <w:snapToGrid w:val="0"/>
          <w:color w:val="auto"/>
          <w:highlight w:val="none"/>
          <w:lang w:val="en-US"/>
        </w:rPr>
      </w:pPr>
      <w:r>
        <w:rPr>
          <w:rFonts w:hint="eastAsia"/>
          <w:snapToGrid w:val="0"/>
          <w:color w:val="auto"/>
          <w:highlight w:val="none"/>
          <w:lang w:val="en-US"/>
        </w:rPr>
        <w:t>46.5一体式计算机政府采购需求标准</w:t>
      </w:r>
    </w:p>
    <w:p w14:paraId="222D01B6">
      <w:pPr>
        <w:pStyle w:val="20"/>
        <w:rPr>
          <w:rFonts w:hint="eastAsia"/>
          <w:snapToGrid w:val="0"/>
          <w:color w:val="auto"/>
          <w:highlight w:val="none"/>
          <w:lang w:val="en-US"/>
        </w:rPr>
      </w:pPr>
      <w:r>
        <w:rPr>
          <w:rFonts w:hint="eastAsia"/>
          <w:snapToGrid w:val="0"/>
          <w:color w:val="auto"/>
          <w:highlight w:val="none"/>
          <w:lang w:val="en-US"/>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4EBD2266">
      <w:pPr>
        <w:pStyle w:val="20"/>
        <w:rPr>
          <w:rFonts w:hint="eastAsia"/>
          <w:snapToGrid w:val="0"/>
          <w:color w:val="auto"/>
          <w:highlight w:val="none"/>
          <w:lang w:val="en-US"/>
        </w:rPr>
      </w:pPr>
      <w:r>
        <w:rPr>
          <w:rFonts w:hint="eastAsia"/>
          <w:snapToGrid w:val="0"/>
          <w:color w:val="auto"/>
          <w:highlight w:val="none"/>
          <w:lang w:val="en-US"/>
        </w:rPr>
        <w:t>46.6工作站政府采购需求标准</w:t>
      </w:r>
    </w:p>
    <w:p w14:paraId="1F04DD60">
      <w:pPr>
        <w:pStyle w:val="20"/>
        <w:rPr>
          <w:rFonts w:hint="eastAsia"/>
          <w:snapToGrid w:val="0"/>
          <w:color w:val="auto"/>
          <w:highlight w:val="none"/>
          <w:lang w:val="en-US"/>
        </w:rPr>
      </w:pPr>
      <w:r>
        <w:rPr>
          <w:rFonts w:hint="eastAsia"/>
          <w:snapToGrid w:val="0"/>
          <w:color w:val="auto"/>
          <w:highlight w:val="none"/>
          <w:lang w:val="en-US"/>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0BF37E41">
      <w:pPr>
        <w:pStyle w:val="20"/>
        <w:rPr>
          <w:rFonts w:hint="eastAsia"/>
          <w:snapToGrid w:val="0"/>
          <w:color w:val="auto"/>
          <w:highlight w:val="none"/>
          <w:lang w:val="en-US"/>
        </w:rPr>
      </w:pPr>
      <w:r>
        <w:rPr>
          <w:rFonts w:hint="eastAsia"/>
          <w:snapToGrid w:val="0"/>
          <w:color w:val="auto"/>
          <w:highlight w:val="none"/>
          <w:lang w:val="en-US"/>
        </w:rPr>
        <w:t>46.7通用服务器政府采购需求标准</w:t>
      </w:r>
    </w:p>
    <w:p w14:paraId="1CE051B1">
      <w:pPr>
        <w:pStyle w:val="20"/>
        <w:rPr>
          <w:rFonts w:hint="eastAsia"/>
          <w:snapToGrid w:val="0"/>
          <w:color w:val="auto"/>
          <w:highlight w:val="none"/>
          <w:lang w:val="en-US"/>
        </w:rPr>
      </w:pPr>
      <w:r>
        <w:rPr>
          <w:rFonts w:hint="eastAsia"/>
          <w:snapToGrid w:val="0"/>
          <w:color w:val="auto"/>
          <w:highlight w:val="none"/>
          <w:lang w:val="en-US"/>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5D2DB83">
      <w:pPr>
        <w:pStyle w:val="20"/>
        <w:rPr>
          <w:rFonts w:hint="eastAsia"/>
          <w:snapToGrid w:val="0"/>
          <w:color w:val="auto"/>
          <w:highlight w:val="none"/>
          <w:lang w:val="en-US"/>
        </w:rPr>
      </w:pPr>
      <w:r>
        <w:rPr>
          <w:rFonts w:hint="eastAsia"/>
          <w:snapToGrid w:val="0"/>
          <w:color w:val="auto"/>
          <w:highlight w:val="none"/>
          <w:lang w:val="en-US"/>
        </w:rPr>
        <w:t>46.8操作系统政府采购需求标准</w:t>
      </w:r>
    </w:p>
    <w:p w14:paraId="6CEE6B86">
      <w:pPr>
        <w:pStyle w:val="20"/>
        <w:rPr>
          <w:rFonts w:hint="eastAsia"/>
          <w:snapToGrid w:val="0"/>
          <w:color w:val="auto"/>
          <w:highlight w:val="none"/>
          <w:lang w:val="en-US"/>
        </w:rPr>
      </w:pPr>
      <w:r>
        <w:rPr>
          <w:rFonts w:hint="eastAsia"/>
          <w:snapToGrid w:val="0"/>
          <w:color w:val="auto"/>
          <w:highlight w:val="none"/>
          <w:lang w:val="en-US"/>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5D4CBA01">
      <w:pPr>
        <w:pStyle w:val="20"/>
        <w:rPr>
          <w:rFonts w:hint="eastAsia"/>
          <w:snapToGrid w:val="0"/>
          <w:color w:val="auto"/>
          <w:highlight w:val="none"/>
          <w:lang w:val="en-US"/>
        </w:rPr>
      </w:pPr>
      <w:r>
        <w:rPr>
          <w:rFonts w:hint="eastAsia"/>
          <w:snapToGrid w:val="0"/>
          <w:color w:val="auto"/>
          <w:highlight w:val="none"/>
          <w:lang w:val="en-US"/>
        </w:rPr>
        <w:t>46.9数据库政府采购需求标准</w:t>
      </w:r>
    </w:p>
    <w:p w14:paraId="5020ECA8">
      <w:pPr>
        <w:pStyle w:val="20"/>
        <w:rPr>
          <w:rFonts w:hint="eastAsia"/>
          <w:snapToGrid w:val="0"/>
          <w:color w:val="auto"/>
          <w:highlight w:val="none"/>
          <w:lang w:val="en-US"/>
        </w:rPr>
      </w:pPr>
      <w:r>
        <w:rPr>
          <w:rFonts w:hint="eastAsia"/>
          <w:snapToGrid w:val="0"/>
          <w:color w:val="auto"/>
          <w:highlight w:val="none"/>
          <w:lang w:val="en-US"/>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38B61A82">
      <w:pPr>
        <w:pStyle w:val="20"/>
        <w:rPr>
          <w:rFonts w:hint="eastAsia"/>
          <w:snapToGrid w:val="0"/>
          <w:color w:val="auto"/>
          <w:highlight w:val="none"/>
          <w:lang w:val="en-US"/>
        </w:rPr>
      </w:pPr>
      <w:r>
        <w:rPr>
          <w:rFonts w:hint="eastAsia"/>
          <w:snapToGrid w:val="0"/>
          <w:color w:val="auto"/>
          <w:highlight w:val="none"/>
          <w:lang w:val="en-US"/>
        </w:rPr>
        <w:t>46.10物业管理服务政府采购需求标准（办公场所类）（试行）</w:t>
      </w:r>
    </w:p>
    <w:p w14:paraId="1FB19153">
      <w:pPr>
        <w:pStyle w:val="20"/>
        <w:rPr>
          <w:rFonts w:hint="eastAsia"/>
          <w:snapToGrid w:val="0"/>
          <w:color w:val="auto"/>
          <w:highlight w:val="none"/>
          <w:lang w:val="en-US"/>
        </w:rPr>
      </w:pPr>
      <w:r>
        <w:rPr>
          <w:rFonts w:hint="eastAsia"/>
          <w:snapToGrid w:val="0"/>
          <w:color w:val="auto"/>
          <w:highlight w:val="none"/>
          <w:lang w:val="en-US"/>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65515E86">
      <w:pPr>
        <w:pStyle w:val="6"/>
        <w:keepNext w:val="0"/>
        <w:keepLines w:val="0"/>
        <w:spacing w:before="180" w:after="180" w:line="240" w:lineRule="auto"/>
        <w:ind w:left="420" w:hanging="420"/>
        <w:rPr>
          <w:rFonts w:hint="eastAsia" w:cs="宋体"/>
          <w:color w:val="auto"/>
          <w:sz w:val="24"/>
          <w:highlight w:val="none"/>
        </w:rPr>
      </w:pPr>
      <w:r>
        <w:rPr>
          <w:rFonts w:hint="eastAsia" w:cs="宋体"/>
          <w:color w:val="auto"/>
          <w:sz w:val="24"/>
          <w:highlight w:val="none"/>
        </w:rPr>
        <w:t>（十四）政府采购合同融资政策</w:t>
      </w:r>
      <w:bookmarkEnd w:id="238"/>
      <w:bookmarkEnd w:id="239"/>
      <w:bookmarkEnd w:id="242"/>
    </w:p>
    <w:p w14:paraId="0CC5000E">
      <w:pPr>
        <w:pStyle w:val="7"/>
        <w:keepNext w:val="0"/>
        <w:keepLines w:val="0"/>
        <w:spacing w:before="80" w:after="80" w:line="240" w:lineRule="auto"/>
        <w:ind w:left="420" w:hanging="420"/>
        <w:rPr>
          <w:rFonts w:hint="eastAsia" w:ascii="宋体" w:hAnsi="宋体" w:cs="宋体"/>
          <w:color w:val="auto"/>
          <w:sz w:val="24"/>
          <w:highlight w:val="none"/>
        </w:rPr>
      </w:pPr>
      <w:bookmarkStart w:id="243" w:name="_Toc163492880"/>
      <w:r>
        <w:rPr>
          <w:rFonts w:hint="eastAsia" w:ascii="宋体" w:hAnsi="宋体" w:cs="宋体"/>
          <w:color w:val="auto"/>
          <w:sz w:val="24"/>
          <w:highlight w:val="none"/>
        </w:rPr>
        <w:t>47.政府采购合同融资政策</w:t>
      </w:r>
      <w:bookmarkEnd w:id="243"/>
    </w:p>
    <w:p w14:paraId="1A47A877">
      <w:pPr>
        <w:pStyle w:val="20"/>
        <w:rPr>
          <w:rFonts w:hint="eastAsia"/>
          <w:color w:val="auto"/>
          <w:highlight w:val="none"/>
        </w:rPr>
      </w:pPr>
      <w:r>
        <w:rPr>
          <w:rFonts w:hint="eastAsia"/>
          <w:color w:val="auto"/>
          <w:highlight w:val="none"/>
        </w:rPr>
        <w:t>4</w:t>
      </w:r>
      <w:r>
        <w:rPr>
          <w:rFonts w:hint="eastAsia"/>
          <w:color w:val="auto"/>
          <w:highlight w:val="none"/>
          <w:lang w:val="en-US"/>
        </w:rPr>
        <w:t>7</w:t>
      </w:r>
      <w:r>
        <w:rPr>
          <w:color w:val="auto"/>
          <w:highlight w:val="none"/>
        </w:rPr>
        <w:t>.</w:t>
      </w:r>
      <w:r>
        <w:rPr>
          <w:rFonts w:hint="eastAsia"/>
          <w:color w:val="auto"/>
          <w:highlight w:val="none"/>
        </w:rPr>
        <w:t>1政府采购合同融资政策：见投标人须知前附表。</w:t>
      </w:r>
    </w:p>
    <w:p w14:paraId="03CAEA42">
      <w:pPr>
        <w:pStyle w:val="6"/>
        <w:keepNext w:val="0"/>
        <w:keepLines w:val="0"/>
        <w:spacing w:before="180" w:after="180" w:line="240" w:lineRule="auto"/>
        <w:ind w:left="420" w:hanging="420"/>
        <w:rPr>
          <w:rFonts w:hint="eastAsia" w:cs="宋体"/>
          <w:color w:val="auto"/>
          <w:sz w:val="24"/>
          <w:highlight w:val="none"/>
        </w:rPr>
      </w:pPr>
      <w:bookmarkStart w:id="244" w:name="_Toc163492881"/>
      <w:r>
        <w:rPr>
          <w:rFonts w:hint="eastAsia" w:cs="宋体"/>
          <w:color w:val="auto"/>
          <w:sz w:val="24"/>
          <w:highlight w:val="none"/>
        </w:rPr>
        <w:t>（十五）其他</w:t>
      </w:r>
      <w:bookmarkEnd w:id="244"/>
    </w:p>
    <w:p w14:paraId="3DD4F201">
      <w:pPr>
        <w:pStyle w:val="7"/>
        <w:keepNext w:val="0"/>
        <w:keepLines w:val="0"/>
        <w:spacing w:before="80" w:after="80" w:line="240" w:lineRule="auto"/>
        <w:ind w:left="420" w:hanging="420"/>
        <w:rPr>
          <w:rFonts w:hint="eastAsia" w:ascii="宋体" w:hAnsi="宋体" w:cs="宋体"/>
          <w:color w:val="auto"/>
          <w:sz w:val="24"/>
          <w:highlight w:val="none"/>
        </w:rPr>
      </w:pPr>
      <w:bookmarkStart w:id="245" w:name="_Toc163492882"/>
      <w:r>
        <w:rPr>
          <w:rFonts w:hint="eastAsia" w:ascii="宋体" w:hAnsi="宋体" w:cs="宋体"/>
          <w:color w:val="auto"/>
          <w:sz w:val="24"/>
          <w:highlight w:val="none"/>
        </w:rPr>
        <w:t>48.需要补充的其他内容</w:t>
      </w:r>
      <w:bookmarkEnd w:id="245"/>
    </w:p>
    <w:p w14:paraId="40916DED">
      <w:pPr>
        <w:pStyle w:val="20"/>
        <w:rPr>
          <w:rFonts w:hint="eastAsia"/>
          <w:color w:val="auto"/>
          <w:highlight w:val="none"/>
        </w:rPr>
      </w:pPr>
      <w:r>
        <w:rPr>
          <w:rFonts w:hint="eastAsia"/>
          <w:color w:val="auto"/>
          <w:highlight w:val="none"/>
        </w:rPr>
        <w:t>4</w:t>
      </w:r>
      <w:r>
        <w:rPr>
          <w:rFonts w:hint="eastAsia"/>
          <w:color w:val="auto"/>
          <w:highlight w:val="none"/>
          <w:lang w:val="en-US"/>
        </w:rPr>
        <w:t>8</w:t>
      </w:r>
      <w:r>
        <w:rPr>
          <w:color w:val="auto"/>
          <w:highlight w:val="none"/>
        </w:rPr>
        <w:t>.1</w:t>
      </w:r>
      <w:r>
        <w:rPr>
          <w:rFonts w:hint="eastAsia"/>
          <w:color w:val="auto"/>
          <w:highlight w:val="none"/>
        </w:rPr>
        <w:t>需要补充的其他内容：见投标人须知前附表。</w:t>
      </w:r>
    </w:p>
    <w:p w14:paraId="38BC2B1B">
      <w:pPr>
        <w:pStyle w:val="7"/>
        <w:keepNext w:val="0"/>
        <w:keepLines w:val="0"/>
        <w:spacing w:before="80" w:after="80" w:line="240" w:lineRule="auto"/>
        <w:ind w:left="420" w:hanging="420"/>
        <w:rPr>
          <w:rFonts w:hint="eastAsia" w:ascii="宋体" w:hAnsi="宋体" w:cs="宋体"/>
          <w:color w:val="auto"/>
          <w:sz w:val="24"/>
          <w:highlight w:val="none"/>
        </w:rPr>
      </w:pPr>
      <w:bookmarkStart w:id="246" w:name="_Toc163492883"/>
      <w:bookmarkStart w:id="247" w:name="_Toc155185886"/>
      <w:bookmarkStart w:id="248" w:name="_Toc140132810"/>
      <w:r>
        <w:rPr>
          <w:rFonts w:hint="eastAsia" w:ascii="宋体" w:hAnsi="宋体" w:cs="宋体"/>
          <w:color w:val="auto"/>
          <w:sz w:val="24"/>
          <w:highlight w:val="none"/>
        </w:rPr>
        <w:t>49.适用法律</w:t>
      </w:r>
      <w:bookmarkEnd w:id="246"/>
      <w:bookmarkEnd w:id="247"/>
      <w:bookmarkEnd w:id="248"/>
    </w:p>
    <w:p w14:paraId="7BEA76CD">
      <w:pPr>
        <w:pStyle w:val="20"/>
        <w:rPr>
          <w:rFonts w:hint="eastAsia"/>
          <w:snapToGrid w:val="0"/>
          <w:color w:val="auto"/>
          <w:highlight w:val="none"/>
        </w:rPr>
      </w:pPr>
      <w:r>
        <w:rPr>
          <w:rFonts w:hint="eastAsia"/>
          <w:snapToGrid w:val="0"/>
          <w:color w:val="auto"/>
          <w:highlight w:val="none"/>
          <w:lang w:val="en-US"/>
        </w:rPr>
        <w:t>49</w:t>
      </w:r>
      <w:r>
        <w:rPr>
          <w:snapToGrid w:val="0"/>
          <w:color w:val="auto"/>
          <w:highlight w:val="none"/>
        </w:rPr>
        <w:t>.1</w:t>
      </w:r>
      <w:r>
        <w:rPr>
          <w:rFonts w:hint="eastAsia"/>
          <w:snapToGrid w:val="0"/>
          <w:color w:val="auto"/>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3FADD4EC">
      <w:pPr>
        <w:pStyle w:val="20"/>
        <w:rPr>
          <w:rFonts w:hint="eastAsia"/>
          <w:color w:val="auto"/>
          <w:highlight w:val="none"/>
        </w:rPr>
      </w:pPr>
      <w:r>
        <w:rPr>
          <w:rFonts w:hint="eastAsia"/>
          <w:snapToGrid w:val="0"/>
          <w:color w:val="auto"/>
          <w:highlight w:val="none"/>
          <w:lang w:val="en-US"/>
        </w:rPr>
        <w:t>49</w:t>
      </w:r>
      <w:r>
        <w:rPr>
          <w:snapToGrid w:val="0"/>
          <w:color w:val="auto"/>
          <w:highlight w:val="none"/>
        </w:rPr>
        <w:t>.2</w:t>
      </w:r>
      <w:r>
        <w:rPr>
          <w:rFonts w:hint="eastAsia"/>
          <w:snapToGrid w:val="0"/>
          <w:color w:val="auto"/>
          <w:highlight w:val="none"/>
        </w:rPr>
        <w:t>政府采购合同的履行、违约责任和解决争议的方法等适用《中华人民共和国民法典》。</w:t>
      </w:r>
    </w:p>
    <w:p w14:paraId="3E908A15">
      <w:pPr>
        <w:pStyle w:val="7"/>
        <w:keepNext w:val="0"/>
        <w:keepLines w:val="0"/>
        <w:spacing w:before="80" w:after="80" w:line="240" w:lineRule="auto"/>
        <w:ind w:left="420" w:hanging="420"/>
        <w:rPr>
          <w:rFonts w:hint="eastAsia" w:ascii="宋体" w:hAnsi="宋体" w:cs="宋体"/>
          <w:color w:val="auto"/>
          <w:sz w:val="24"/>
          <w:highlight w:val="none"/>
        </w:rPr>
      </w:pPr>
      <w:bookmarkStart w:id="249" w:name="_Toc155185887"/>
      <w:bookmarkStart w:id="250" w:name="_Toc163492884"/>
      <w:r>
        <w:rPr>
          <w:rFonts w:hint="eastAsia" w:ascii="宋体" w:hAnsi="宋体" w:cs="宋体"/>
          <w:color w:val="auto"/>
          <w:sz w:val="24"/>
          <w:highlight w:val="none"/>
        </w:rPr>
        <w:t>50.解释权</w:t>
      </w:r>
      <w:bookmarkEnd w:id="249"/>
      <w:bookmarkEnd w:id="250"/>
    </w:p>
    <w:p w14:paraId="101D57FD">
      <w:pPr>
        <w:pStyle w:val="20"/>
        <w:rPr>
          <w:rFonts w:hint="eastAsia"/>
          <w:snapToGrid w:val="0"/>
          <w:color w:val="auto"/>
          <w:highlight w:val="none"/>
        </w:rPr>
      </w:pPr>
      <w:r>
        <w:rPr>
          <w:rFonts w:hint="eastAsia"/>
          <w:snapToGrid w:val="0"/>
          <w:color w:val="auto"/>
          <w:highlight w:val="none"/>
          <w:lang w:val="en-US"/>
        </w:rPr>
        <w:t>50</w:t>
      </w:r>
      <w:r>
        <w:rPr>
          <w:snapToGrid w:val="0"/>
          <w:color w:val="auto"/>
          <w:highlight w:val="none"/>
        </w:rPr>
        <w:t>.</w:t>
      </w:r>
      <w:r>
        <w:rPr>
          <w:rFonts w:hint="eastAsia"/>
          <w:snapToGrid w:val="0"/>
          <w:color w:val="auto"/>
          <w:highlight w:val="none"/>
        </w:rPr>
        <w:t>1本招标文件最终解释权归采购人或采购代理机构所有。</w:t>
      </w:r>
    </w:p>
    <w:p w14:paraId="5F29377E">
      <w:pPr>
        <w:pStyle w:val="4"/>
        <w:keepNext w:val="0"/>
        <w:keepLines w:val="0"/>
        <w:spacing w:before="220" w:after="220" w:line="480" w:lineRule="auto"/>
        <w:ind w:left="420" w:hanging="420"/>
        <w:rPr>
          <w:rFonts w:hint="eastAsia" w:eastAsia="宋体" w:cs="宋体"/>
          <w:color w:val="auto"/>
          <w:sz w:val="36"/>
          <w:szCs w:val="36"/>
          <w:highlight w:val="none"/>
        </w:rPr>
      </w:pPr>
      <w:bookmarkStart w:id="251" w:name="_Toc155185888"/>
      <w:bookmarkStart w:id="252" w:name="_Toc163492885"/>
    </w:p>
    <w:p w14:paraId="5B77A714">
      <w:pPr>
        <w:rPr>
          <w:rFonts w:hint="eastAsia" w:cs="宋体"/>
          <w:b/>
          <w:bCs/>
          <w:color w:val="auto"/>
          <w:kern w:val="44"/>
          <w:sz w:val="36"/>
          <w:szCs w:val="36"/>
          <w:highlight w:val="none"/>
        </w:rPr>
      </w:pPr>
    </w:p>
    <w:p w14:paraId="2BE7FF39">
      <w:pPr>
        <w:pStyle w:val="10"/>
        <w:rPr>
          <w:rFonts w:hint="eastAsia" w:eastAsia="宋体" w:cs="宋体"/>
          <w:b/>
          <w:bCs/>
          <w:color w:val="auto"/>
          <w:kern w:val="44"/>
          <w:sz w:val="36"/>
          <w:szCs w:val="36"/>
          <w:highlight w:val="none"/>
        </w:rPr>
      </w:pPr>
    </w:p>
    <w:p w14:paraId="6C359670">
      <w:pPr>
        <w:pStyle w:val="10"/>
        <w:rPr>
          <w:rFonts w:hint="eastAsia" w:eastAsia="宋体" w:cs="宋体"/>
          <w:b/>
          <w:bCs/>
          <w:color w:val="auto"/>
          <w:kern w:val="44"/>
          <w:sz w:val="36"/>
          <w:szCs w:val="36"/>
          <w:highlight w:val="none"/>
        </w:rPr>
      </w:pPr>
    </w:p>
    <w:p w14:paraId="04247B40">
      <w:pPr>
        <w:pStyle w:val="10"/>
        <w:rPr>
          <w:rFonts w:hint="eastAsia" w:eastAsia="宋体" w:cs="宋体"/>
          <w:b/>
          <w:bCs/>
          <w:color w:val="auto"/>
          <w:kern w:val="44"/>
          <w:sz w:val="36"/>
          <w:szCs w:val="36"/>
          <w:highlight w:val="none"/>
        </w:rPr>
      </w:pPr>
    </w:p>
    <w:p w14:paraId="2D20EDDC">
      <w:pPr>
        <w:pStyle w:val="10"/>
        <w:rPr>
          <w:rFonts w:hint="eastAsia" w:eastAsia="宋体" w:cs="宋体"/>
          <w:b/>
          <w:bCs/>
          <w:color w:val="auto"/>
          <w:kern w:val="44"/>
          <w:sz w:val="36"/>
          <w:szCs w:val="36"/>
          <w:highlight w:val="none"/>
        </w:rPr>
      </w:pPr>
    </w:p>
    <w:p w14:paraId="577C4EEC">
      <w:pPr>
        <w:pStyle w:val="4"/>
        <w:spacing w:before="220" w:after="220" w:line="480" w:lineRule="auto"/>
        <w:ind w:left="420" w:hanging="420"/>
        <w:rPr>
          <w:rFonts w:hint="eastAsia" w:eastAsia="宋体" w:cs="宋体"/>
          <w:color w:val="auto"/>
          <w:sz w:val="36"/>
          <w:szCs w:val="36"/>
          <w:highlight w:val="none"/>
        </w:rPr>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pPr>
      <w:bookmarkStart w:id="253" w:name="_Toc22090"/>
    </w:p>
    <w:p w14:paraId="502C024C">
      <w:pPr>
        <w:pStyle w:val="4"/>
        <w:numPr>
          <w:ilvl w:val="0"/>
          <w:numId w:val="2"/>
        </w:numPr>
        <w:spacing w:before="220" w:after="220" w:line="480" w:lineRule="auto"/>
        <w:ind w:left="420" w:hanging="420"/>
        <w:rPr>
          <w:rFonts w:hint="eastAsia" w:eastAsia="宋体" w:cs="宋体"/>
          <w:color w:val="auto"/>
          <w:sz w:val="36"/>
          <w:szCs w:val="36"/>
          <w:highlight w:val="none"/>
        </w:rPr>
      </w:pPr>
      <w:r>
        <w:rPr>
          <w:rFonts w:hint="eastAsia" w:eastAsia="宋体" w:cs="宋体"/>
          <w:color w:val="auto"/>
          <w:sz w:val="36"/>
          <w:szCs w:val="36"/>
          <w:highlight w:val="none"/>
        </w:rPr>
        <w:t>采购需求</w:t>
      </w:r>
      <w:bookmarkEnd w:id="251"/>
      <w:bookmarkEnd w:id="252"/>
      <w:bookmarkEnd w:id="253"/>
    </w:p>
    <w:p w14:paraId="7B329B32">
      <w:pPr>
        <w:numPr>
          <w:ilvl w:val="0"/>
          <w:numId w:val="3"/>
        </w:numPr>
        <w:spacing w:line="360" w:lineRule="auto"/>
        <w:ind w:firstLine="240" w:firstLineChars="100"/>
        <w:rPr>
          <w:rFonts w:hint="eastAsia" w:ascii="宋体" w:hAnsi="宋体"/>
          <w:color w:val="auto"/>
          <w:szCs w:val="21"/>
          <w:highlight w:val="none"/>
        </w:rPr>
      </w:pPr>
      <w:r>
        <w:rPr>
          <w:rFonts w:hint="eastAsia" w:ascii="宋体" w:hAnsi="宋体"/>
          <w:color w:val="auto"/>
          <w:szCs w:val="21"/>
          <w:highlight w:val="none"/>
        </w:rPr>
        <w:t>技术要求</w:t>
      </w:r>
    </w:p>
    <w:tbl>
      <w:tblPr>
        <w:tblStyle w:val="15"/>
        <w:tblW w:w="9200" w:type="dxa"/>
        <w:tblInd w:w="-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5"/>
        <w:gridCol w:w="1425"/>
        <w:gridCol w:w="837"/>
        <w:gridCol w:w="863"/>
        <w:gridCol w:w="5300"/>
      </w:tblGrid>
      <w:tr w14:paraId="30AAF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A3AA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F6A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标的名称</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1E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F70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数量</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3D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采购需求详细技术参数</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（标注</w:t>
            </w:r>
            <w:r>
              <w:rPr>
                <w:rFonts w:ascii="宋体" w:hAnsi="宋体" w:eastAsia="宋体" w:cs="宋体"/>
                <w:color w:val="auto"/>
                <w:kern w:val="0"/>
                <w:sz w:val="24"/>
                <w:szCs w:val="24"/>
                <w:highlight w:val="none"/>
                <w:lang w:val="en-US" w:eastAsia="zh-CN" w:bidi="ar"/>
              </w:rPr>
              <w:t>★</w:t>
            </w:r>
            <w:r>
              <w:rPr>
                <w:rFonts w:hint="eastAsia" w:ascii="宋体" w:hAnsi="宋体" w:eastAsia="宋体" w:cs="宋体"/>
                <w:i w:val="0"/>
                <w:iCs w:val="0"/>
                <w:color w:val="auto"/>
                <w:kern w:val="0"/>
                <w:sz w:val="22"/>
                <w:szCs w:val="22"/>
                <w:highlight w:val="none"/>
                <w:u w:val="none"/>
                <w:lang w:val="en-US" w:eastAsia="zh-CN" w:bidi="ar"/>
              </w:rPr>
              <w:t>的条款为实质性要求，投标人任何一项不满足的，其投标按无效处理）</w:t>
            </w:r>
          </w:p>
        </w:tc>
      </w:tr>
      <w:tr w14:paraId="46882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5"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92F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89E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35"/>
                <w:color w:val="auto"/>
                <w:highlight w:val="none"/>
                <w:lang w:val="en-US" w:eastAsia="zh-CN" w:bidi="ar"/>
              </w:rPr>
              <w:t>胞外</w:t>
            </w:r>
            <w:r>
              <w:rPr>
                <w:rStyle w:val="36"/>
                <w:rFonts w:eastAsia="宋体"/>
                <w:color w:val="auto"/>
                <w:highlight w:val="none"/>
                <w:lang w:val="en-US" w:eastAsia="zh-CN" w:bidi="ar"/>
              </w:rPr>
              <w:t>ATP</w:t>
            </w:r>
            <w:r>
              <w:rPr>
                <w:rStyle w:val="35"/>
                <w:color w:val="auto"/>
                <w:highlight w:val="none"/>
                <w:lang w:val="en-US" w:eastAsia="zh-CN" w:bidi="ar"/>
              </w:rPr>
              <w:t>检测试剂盒（</w:t>
            </w:r>
            <w:r>
              <w:rPr>
                <w:rStyle w:val="37"/>
                <w:color w:val="auto"/>
                <w:highlight w:val="none"/>
                <w:lang w:val="en-US" w:eastAsia="zh-CN" w:bidi="ar"/>
              </w:rPr>
              <w:t>化学发光法</w:t>
            </w:r>
            <w:r>
              <w:rPr>
                <w:rStyle w:val="35"/>
                <w:color w:val="auto"/>
                <w:highlight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B26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6FE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233F9">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r>
              <w:rPr>
                <w:rStyle w:val="37"/>
                <w:color w:val="auto"/>
                <w:highlight w:val="none"/>
                <w:lang w:val="en-US" w:eastAsia="zh-CN" w:bidi="ar"/>
              </w:rPr>
              <w:t>、检测方法：化学发光法。</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2</w:t>
            </w:r>
            <w:r>
              <w:rPr>
                <w:rStyle w:val="37"/>
                <w:color w:val="auto"/>
                <w:highlight w:val="none"/>
                <w:lang w:val="en-US" w:eastAsia="zh-CN" w:bidi="ar"/>
              </w:rPr>
              <w:t>、规格：</w:t>
            </w:r>
            <w:r>
              <w:rPr>
                <w:rStyle w:val="38"/>
                <w:rFonts w:eastAsia="宋体"/>
                <w:color w:val="auto"/>
                <w:highlight w:val="none"/>
                <w:lang w:val="en-US" w:eastAsia="zh-CN" w:bidi="ar"/>
              </w:rPr>
              <w:t>200</w:t>
            </w:r>
            <w:r>
              <w:rPr>
                <w:rStyle w:val="37"/>
                <w:color w:val="auto"/>
                <w:highlight w:val="none"/>
                <w:lang w:val="en-US" w:eastAsia="zh-CN" w:bidi="ar"/>
              </w:rPr>
              <w:t>次</w:t>
            </w:r>
            <w:r>
              <w:rPr>
                <w:rStyle w:val="38"/>
                <w:rFonts w:eastAsia="宋体"/>
                <w:color w:val="auto"/>
                <w:highlight w:val="none"/>
                <w:lang w:val="en-US" w:eastAsia="zh-CN" w:bidi="ar"/>
              </w:rPr>
              <w:t>/</w:t>
            </w:r>
            <w:r>
              <w:rPr>
                <w:rStyle w:val="37"/>
                <w:color w:val="auto"/>
                <w:highlight w:val="none"/>
                <w:lang w:val="en-US" w:eastAsia="zh-CN" w:bidi="ar"/>
              </w:rPr>
              <w:t>盒；</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3</w:t>
            </w:r>
            <w:r>
              <w:rPr>
                <w:rFonts w:ascii="宋体" w:hAnsi="宋体" w:eastAsia="宋体" w:cs="宋体"/>
                <w:color w:val="auto"/>
                <w:kern w:val="0"/>
                <w:sz w:val="24"/>
                <w:szCs w:val="24"/>
                <w:highlight w:val="none"/>
                <w:lang w:val="en-US" w:eastAsia="zh-CN" w:bidi="ar"/>
              </w:rPr>
              <w:t>★</w:t>
            </w:r>
            <w:r>
              <w:rPr>
                <w:rStyle w:val="37"/>
                <w:color w:val="auto"/>
                <w:highlight w:val="none"/>
                <w:lang w:val="en-US" w:eastAsia="zh-CN" w:bidi="ar"/>
              </w:rPr>
              <w:t>、</w:t>
            </w:r>
            <w:r>
              <w:rPr>
                <w:rStyle w:val="39"/>
                <w:rFonts w:hint="eastAsia"/>
                <w:color w:val="auto"/>
                <w:highlight w:val="none"/>
                <w:lang w:val="en-US" w:eastAsia="zh-CN" w:bidi="ar"/>
              </w:rPr>
              <w:t>在样品体积为100μL时，最低检出限≤0.5nM，检测上限≥10μM，线性范围覆盖0.5nM-10μM</w:t>
            </w:r>
            <w:r>
              <w:rPr>
                <w:rStyle w:val="37"/>
                <w:color w:val="auto"/>
                <w:highlight w:val="none"/>
                <w:lang w:val="en-US" w:eastAsia="zh-CN" w:bidi="ar"/>
              </w:rPr>
              <w:t>；</w:t>
            </w:r>
            <w:r>
              <w:rPr>
                <w:rStyle w:val="38"/>
                <w:rFonts w:eastAsia="宋体"/>
                <w:color w:val="auto"/>
                <w:highlight w:val="none"/>
                <w:lang w:val="en-US" w:eastAsia="zh-CN" w:bidi="ar"/>
              </w:rPr>
              <w:br w:type="textWrapping"/>
            </w:r>
            <w:r>
              <w:rPr>
                <w:rStyle w:val="38"/>
                <w:rFonts w:hint="eastAsia"/>
                <w:color w:val="auto"/>
                <w:highlight w:val="none"/>
                <w:lang w:val="en-US" w:eastAsia="zh-CN" w:bidi="ar"/>
              </w:rPr>
              <w:t>4</w:t>
            </w:r>
            <w:r>
              <w:rPr>
                <w:rStyle w:val="37"/>
                <w:color w:val="auto"/>
                <w:highlight w:val="none"/>
                <w:lang w:val="en-US" w:eastAsia="zh-CN" w:bidi="ar"/>
              </w:rPr>
              <w:t>、制备的样品兼容性：使用本试剂盒中的</w:t>
            </w:r>
            <w:r>
              <w:rPr>
                <w:rStyle w:val="38"/>
                <w:rFonts w:eastAsia="宋体"/>
                <w:color w:val="auto"/>
                <w:highlight w:val="none"/>
                <w:lang w:val="en-US" w:eastAsia="zh-CN" w:bidi="ar"/>
              </w:rPr>
              <w:t>ATP</w:t>
            </w:r>
            <w:r>
              <w:rPr>
                <w:rStyle w:val="37"/>
                <w:color w:val="auto"/>
                <w:highlight w:val="none"/>
                <w:lang w:val="en-US" w:eastAsia="zh-CN" w:bidi="ar"/>
              </w:rPr>
              <w:t>检测裂解液裂解获得的细胞或组织样品，不仅可以用于</w:t>
            </w:r>
            <w:r>
              <w:rPr>
                <w:rStyle w:val="38"/>
                <w:rFonts w:eastAsia="宋体"/>
                <w:color w:val="auto"/>
                <w:highlight w:val="none"/>
                <w:lang w:val="en-US" w:eastAsia="zh-CN" w:bidi="ar"/>
              </w:rPr>
              <w:t>ATP</w:t>
            </w:r>
            <w:r>
              <w:rPr>
                <w:rStyle w:val="37"/>
                <w:color w:val="auto"/>
                <w:highlight w:val="none"/>
                <w:lang w:val="en-US" w:eastAsia="zh-CN" w:bidi="ar"/>
              </w:rPr>
              <w:t>检测，还可用于检测蛋白浓度、进行</w:t>
            </w:r>
            <w:r>
              <w:rPr>
                <w:rStyle w:val="38"/>
                <w:rFonts w:eastAsia="宋体"/>
                <w:color w:val="auto"/>
                <w:highlight w:val="none"/>
                <w:lang w:val="en-US" w:eastAsia="zh-CN" w:bidi="ar"/>
              </w:rPr>
              <w:t>SDS-PAGE</w:t>
            </w:r>
            <w:r>
              <w:rPr>
                <w:rStyle w:val="37"/>
                <w:color w:val="auto"/>
                <w:highlight w:val="none"/>
                <w:lang w:val="en-US" w:eastAsia="zh-CN" w:bidi="ar"/>
              </w:rPr>
              <w:t>或一些常规的较易溶解蛋白的</w:t>
            </w:r>
            <w:r>
              <w:rPr>
                <w:rStyle w:val="38"/>
                <w:rFonts w:eastAsia="宋体"/>
                <w:color w:val="auto"/>
                <w:highlight w:val="none"/>
                <w:lang w:val="en-US" w:eastAsia="zh-CN" w:bidi="ar"/>
              </w:rPr>
              <w:t>Western</w:t>
            </w:r>
            <w:r>
              <w:rPr>
                <w:rStyle w:val="37"/>
                <w:color w:val="auto"/>
                <w:highlight w:val="none"/>
                <w:lang w:val="en-US" w:eastAsia="zh-CN" w:bidi="ar"/>
              </w:rPr>
              <w:t>检测；</w:t>
            </w:r>
            <w:r>
              <w:rPr>
                <w:rStyle w:val="38"/>
                <w:rFonts w:eastAsia="宋体"/>
                <w:color w:val="auto"/>
                <w:highlight w:val="none"/>
                <w:lang w:val="en-US" w:eastAsia="zh-CN" w:bidi="ar"/>
              </w:rPr>
              <w:br w:type="textWrapping"/>
            </w:r>
            <w:r>
              <w:rPr>
                <w:rStyle w:val="38"/>
                <w:rFonts w:hint="eastAsia"/>
                <w:color w:val="auto"/>
                <w:highlight w:val="none"/>
                <w:lang w:val="en-US" w:eastAsia="zh-CN" w:bidi="ar"/>
              </w:rPr>
              <w:t>5</w:t>
            </w:r>
            <w:r>
              <w:rPr>
                <w:rStyle w:val="37"/>
                <w:color w:val="auto"/>
                <w:highlight w:val="none"/>
                <w:lang w:val="en-US" w:eastAsia="zh-CN" w:bidi="ar"/>
              </w:rPr>
              <w:t>、特殊样品兼容性：可以用于检测普通溶液、细胞或组织内的</w:t>
            </w:r>
            <w:r>
              <w:rPr>
                <w:rStyle w:val="38"/>
                <w:rFonts w:eastAsia="宋体"/>
                <w:color w:val="auto"/>
                <w:highlight w:val="none"/>
                <w:lang w:val="en-US" w:eastAsia="zh-CN" w:bidi="ar"/>
              </w:rPr>
              <w:t>ATP</w:t>
            </w:r>
            <w:r>
              <w:rPr>
                <w:rStyle w:val="37"/>
                <w:color w:val="auto"/>
                <w:highlight w:val="none"/>
                <w:lang w:val="en-US" w:eastAsia="zh-CN" w:bidi="ar"/>
              </w:rPr>
              <w:t>水平；</w:t>
            </w:r>
            <w:r>
              <w:rPr>
                <w:rStyle w:val="38"/>
                <w:rFonts w:eastAsia="宋体"/>
                <w:color w:val="auto"/>
                <w:highlight w:val="none"/>
                <w:lang w:val="en-US" w:eastAsia="zh-CN" w:bidi="ar"/>
              </w:rPr>
              <w:br w:type="textWrapping"/>
            </w:r>
            <w:r>
              <w:rPr>
                <w:rStyle w:val="38"/>
                <w:rFonts w:hint="eastAsia"/>
                <w:color w:val="auto"/>
                <w:highlight w:val="none"/>
                <w:lang w:val="en-US" w:eastAsia="zh-CN" w:bidi="ar"/>
              </w:rPr>
              <w:t>6</w:t>
            </w:r>
            <w:r>
              <w:rPr>
                <w:rStyle w:val="37"/>
                <w:color w:val="auto"/>
                <w:highlight w:val="none"/>
                <w:lang w:val="en-US" w:eastAsia="zh-CN" w:bidi="ar"/>
              </w:rPr>
              <w:t>、读数稳定：在开始反应后</w:t>
            </w:r>
            <w:r>
              <w:rPr>
                <w:rStyle w:val="38"/>
                <w:rFonts w:eastAsia="宋体"/>
                <w:color w:val="auto"/>
                <w:highlight w:val="none"/>
                <w:lang w:val="en-US" w:eastAsia="zh-CN" w:bidi="ar"/>
              </w:rPr>
              <w:t>10</w:t>
            </w:r>
            <w:r>
              <w:rPr>
                <w:rStyle w:val="37"/>
                <w:color w:val="auto"/>
                <w:highlight w:val="none"/>
                <w:lang w:val="en-US" w:eastAsia="zh-CN" w:bidi="ar"/>
              </w:rPr>
              <w:t>分钟内化学发光无明显下降，开始反应后</w:t>
            </w:r>
            <w:r>
              <w:rPr>
                <w:rStyle w:val="38"/>
                <w:rFonts w:eastAsia="宋体"/>
                <w:color w:val="auto"/>
                <w:highlight w:val="none"/>
                <w:lang w:val="en-US" w:eastAsia="zh-CN" w:bidi="ar"/>
              </w:rPr>
              <w:t>30</w:t>
            </w:r>
            <w:r>
              <w:rPr>
                <w:rStyle w:val="37"/>
                <w:color w:val="auto"/>
                <w:highlight w:val="none"/>
                <w:lang w:val="en-US" w:eastAsia="zh-CN" w:bidi="ar"/>
              </w:rPr>
              <w:t>分钟内化学发光的下降不超过</w:t>
            </w:r>
            <w:r>
              <w:rPr>
                <w:rStyle w:val="38"/>
                <w:rFonts w:eastAsia="宋体"/>
                <w:color w:val="auto"/>
                <w:highlight w:val="none"/>
                <w:lang w:val="en-US" w:eastAsia="zh-CN" w:bidi="ar"/>
              </w:rPr>
              <w:t>10%</w:t>
            </w:r>
            <w:r>
              <w:rPr>
                <w:rStyle w:val="37"/>
                <w:color w:val="auto"/>
                <w:highlight w:val="none"/>
                <w:lang w:val="en-US" w:eastAsia="zh-CN" w:bidi="ar"/>
              </w:rPr>
              <w:t>。</w:t>
            </w:r>
          </w:p>
        </w:tc>
      </w:tr>
      <w:tr w14:paraId="454AC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064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3764">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人/鼠高迁移率族蛋白B1释放检测试剂盒</w:t>
            </w:r>
            <w:r>
              <w:rPr>
                <w:rFonts w:hint="eastAsia" w:cs="宋体"/>
                <w:i w:val="0"/>
                <w:iCs w:val="0"/>
                <w:color w:val="auto"/>
                <w:kern w:val="0"/>
                <w:sz w:val="18"/>
                <w:szCs w:val="18"/>
                <w:highlight w:val="none"/>
                <w:u w:val="none"/>
                <w:lang w:val="en-US" w:eastAsia="zh-CN" w:bidi="ar"/>
              </w:rPr>
              <w:t>（</w:t>
            </w:r>
            <w:r>
              <w:rPr>
                <w:rStyle w:val="37"/>
                <w:color w:val="auto"/>
                <w:highlight w:val="none"/>
                <w:lang w:val="en-US" w:eastAsia="zh-CN" w:bidi="ar"/>
              </w:rPr>
              <w:t>双抗体夹心法</w:t>
            </w:r>
            <w:r>
              <w:rPr>
                <w:rFonts w:hint="eastAsia" w:cs="宋体"/>
                <w:i w:val="0"/>
                <w:iCs w:val="0"/>
                <w:color w:val="auto"/>
                <w:kern w:val="0"/>
                <w:sz w:val="18"/>
                <w:szCs w:val="18"/>
                <w:highlight w:val="none"/>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3E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AF74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134A">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38"/>
                <w:rFonts w:eastAsia="宋体"/>
                <w:color w:val="auto"/>
                <w:highlight w:val="none"/>
                <w:lang w:val="en-US" w:eastAsia="zh-CN" w:bidi="ar"/>
              </w:rPr>
              <w:t>1</w:t>
            </w:r>
            <w:r>
              <w:rPr>
                <w:rStyle w:val="37"/>
                <w:color w:val="auto"/>
                <w:highlight w:val="none"/>
                <w:lang w:val="en-US" w:eastAsia="zh-CN" w:bidi="ar"/>
              </w:rPr>
              <w:t>、检测方法：双抗体夹心法；</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2</w:t>
            </w:r>
            <w:r>
              <w:rPr>
                <w:rStyle w:val="37"/>
                <w:color w:val="auto"/>
                <w:highlight w:val="none"/>
                <w:lang w:val="en-US" w:eastAsia="zh-CN" w:bidi="ar"/>
              </w:rPr>
              <w:t>、规格：</w:t>
            </w:r>
            <w:r>
              <w:rPr>
                <w:rStyle w:val="38"/>
                <w:rFonts w:eastAsia="宋体"/>
                <w:color w:val="auto"/>
                <w:highlight w:val="none"/>
                <w:lang w:val="en-US" w:eastAsia="zh-CN" w:bidi="ar"/>
              </w:rPr>
              <w:t>96T/</w:t>
            </w:r>
            <w:r>
              <w:rPr>
                <w:rStyle w:val="37"/>
                <w:color w:val="auto"/>
                <w:highlight w:val="none"/>
                <w:lang w:val="en-US" w:eastAsia="zh-CN" w:bidi="ar"/>
              </w:rPr>
              <w:t>盒；</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3</w:t>
            </w:r>
            <w:r>
              <w:rPr>
                <w:rFonts w:ascii="宋体" w:hAnsi="宋体" w:eastAsia="宋体" w:cs="宋体"/>
                <w:color w:val="auto"/>
                <w:kern w:val="0"/>
                <w:sz w:val="24"/>
                <w:szCs w:val="24"/>
                <w:highlight w:val="none"/>
                <w:lang w:val="en-US" w:eastAsia="zh-CN" w:bidi="ar"/>
              </w:rPr>
              <w:t>★</w:t>
            </w:r>
            <w:r>
              <w:rPr>
                <w:rStyle w:val="37"/>
                <w:color w:val="auto"/>
                <w:highlight w:val="none"/>
                <w:lang w:val="en-US" w:eastAsia="zh-CN" w:bidi="ar"/>
              </w:rPr>
              <w:t>、灵敏度：</w:t>
            </w:r>
            <w:r>
              <w:rPr>
                <w:rStyle w:val="38"/>
                <w:rFonts w:eastAsia="宋体"/>
                <w:color w:val="auto"/>
                <w:highlight w:val="none"/>
                <w:lang w:val="en-US" w:eastAsia="zh-CN" w:bidi="ar"/>
              </w:rPr>
              <w:t>0.78ng/ml</w:t>
            </w:r>
            <w:r>
              <w:rPr>
                <w:rStyle w:val="37"/>
                <w:color w:val="auto"/>
                <w:highlight w:val="none"/>
                <w:lang w:val="en-US" w:eastAsia="zh-CN" w:bidi="ar"/>
              </w:rPr>
              <w:t>；检测范围：</w:t>
            </w:r>
            <w:r>
              <w:rPr>
                <w:rStyle w:val="38"/>
                <w:rFonts w:eastAsia="宋体"/>
                <w:color w:val="auto"/>
                <w:highlight w:val="none"/>
                <w:lang w:val="en-US" w:eastAsia="zh-CN" w:bidi="ar"/>
              </w:rPr>
              <w:t>1.56-100ng/ml</w:t>
            </w:r>
            <w:r>
              <w:rPr>
                <w:rStyle w:val="37"/>
                <w:color w:val="auto"/>
                <w:highlight w:val="none"/>
                <w:lang w:val="en-US" w:eastAsia="zh-CN" w:bidi="ar"/>
              </w:rPr>
              <w:t>；</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5</w:t>
            </w:r>
            <w:r>
              <w:rPr>
                <w:rStyle w:val="37"/>
                <w:color w:val="auto"/>
                <w:highlight w:val="none"/>
                <w:lang w:val="en-US" w:eastAsia="zh-CN" w:bidi="ar"/>
              </w:rPr>
              <w:t>、反应种属：人、小鼠、大鼠</w:t>
            </w:r>
            <w:r>
              <w:rPr>
                <w:rStyle w:val="38"/>
                <w:rFonts w:eastAsia="宋体"/>
                <w:color w:val="auto"/>
                <w:highlight w:val="none"/>
                <w:lang w:val="en-US" w:eastAsia="zh-CN" w:bidi="ar"/>
              </w:rPr>
              <w:t xml:space="preserve">   </w:t>
            </w:r>
            <w:r>
              <w:rPr>
                <w:rStyle w:val="37"/>
                <w:color w:val="auto"/>
                <w:highlight w:val="none"/>
                <w:lang w:val="en-US" w:eastAsia="zh-CN" w:bidi="ar"/>
              </w:rPr>
              <w:t>；</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6</w:t>
            </w:r>
            <w:r>
              <w:rPr>
                <w:rStyle w:val="37"/>
                <w:color w:val="auto"/>
                <w:highlight w:val="none"/>
                <w:lang w:val="en-US" w:eastAsia="zh-CN" w:bidi="ar"/>
              </w:rPr>
              <w:t>、适用样品类型：血清、血浆、细胞培养上清液、灌洗液、尿液、羊水、腹水、脑脊液、胸腔积液、组织匀浆液等；</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7</w:t>
            </w:r>
            <w:r>
              <w:rPr>
                <w:rStyle w:val="37"/>
                <w:color w:val="auto"/>
                <w:highlight w:val="none"/>
                <w:lang w:val="en-US" w:eastAsia="zh-CN" w:bidi="ar"/>
              </w:rPr>
              <w:t>、样本用量：</w:t>
            </w:r>
            <w:r>
              <w:rPr>
                <w:rStyle w:val="38"/>
                <w:rFonts w:eastAsia="宋体"/>
                <w:color w:val="auto"/>
                <w:highlight w:val="none"/>
                <w:lang w:val="en-US" w:eastAsia="zh-CN" w:bidi="ar"/>
              </w:rPr>
              <w:t>100μl/</w:t>
            </w:r>
            <w:r>
              <w:rPr>
                <w:rStyle w:val="37"/>
                <w:color w:val="auto"/>
                <w:highlight w:val="none"/>
                <w:lang w:val="en-US" w:eastAsia="zh-CN" w:bidi="ar"/>
              </w:rPr>
              <w:t>孔。</w:t>
            </w:r>
          </w:p>
        </w:tc>
      </w:tr>
      <w:tr w14:paraId="43A8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694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8D8C">
            <w:pPr>
              <w:keepNext w:val="0"/>
              <w:keepLines w:val="0"/>
              <w:widowControl/>
              <w:suppressLineNumbers w:val="0"/>
              <w:jc w:val="left"/>
              <w:textAlignment w:val="center"/>
              <w:rPr>
                <w:rFonts w:hint="default" w:ascii="Times New Roman" w:hAnsi="Times New Roman" w:eastAsia="宋体" w:cs="Times New Roman"/>
                <w:i w:val="0"/>
                <w:iCs w:val="0"/>
                <w:color w:val="auto"/>
                <w:sz w:val="18"/>
                <w:szCs w:val="18"/>
                <w:highlight w:val="none"/>
                <w:u w:val="none"/>
              </w:rPr>
            </w:pPr>
            <w:r>
              <w:rPr>
                <w:rStyle w:val="40"/>
                <w:color w:val="auto"/>
                <w:highlight w:val="none"/>
                <w:lang w:val="en-US" w:eastAsia="zh-CN" w:bidi="ar"/>
              </w:rPr>
              <w:t>人</w:t>
            </w:r>
            <w:r>
              <w:rPr>
                <w:rStyle w:val="41"/>
                <w:rFonts w:eastAsia="宋体"/>
                <w:color w:val="auto"/>
                <w:highlight w:val="none"/>
                <w:lang w:val="en-US" w:eastAsia="zh-CN" w:bidi="ar"/>
              </w:rPr>
              <w:t>γ</w:t>
            </w:r>
            <w:r>
              <w:rPr>
                <w:rStyle w:val="40"/>
                <w:color w:val="auto"/>
                <w:highlight w:val="none"/>
                <w:lang w:val="en-US" w:eastAsia="zh-CN" w:bidi="ar"/>
              </w:rPr>
              <w:t>干扰素释放检测试剂盒（</w:t>
            </w:r>
            <w:r>
              <w:rPr>
                <w:rStyle w:val="37"/>
                <w:color w:val="auto"/>
                <w:highlight w:val="none"/>
                <w:lang w:val="en-US" w:eastAsia="zh-CN" w:bidi="ar"/>
              </w:rPr>
              <w:t>双抗体夹心法</w:t>
            </w:r>
            <w:r>
              <w:rPr>
                <w:rStyle w:val="40"/>
                <w:color w:val="auto"/>
                <w:highlight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E17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2B5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610D">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38"/>
                <w:rFonts w:eastAsia="宋体"/>
                <w:color w:val="auto"/>
                <w:highlight w:val="none"/>
                <w:lang w:val="en-US" w:eastAsia="zh-CN" w:bidi="ar"/>
              </w:rPr>
              <w:t>1</w:t>
            </w:r>
            <w:r>
              <w:rPr>
                <w:rStyle w:val="37"/>
                <w:color w:val="auto"/>
                <w:highlight w:val="none"/>
                <w:lang w:val="en-US" w:eastAsia="zh-CN" w:bidi="ar"/>
              </w:rPr>
              <w:t>、检测方法：双抗体夹心法；</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2</w:t>
            </w:r>
            <w:r>
              <w:rPr>
                <w:rStyle w:val="37"/>
                <w:color w:val="auto"/>
                <w:highlight w:val="none"/>
                <w:lang w:val="en-US" w:eastAsia="zh-CN" w:bidi="ar"/>
              </w:rPr>
              <w:t>、规格：</w:t>
            </w:r>
            <w:r>
              <w:rPr>
                <w:rStyle w:val="38"/>
                <w:rFonts w:eastAsia="宋体"/>
                <w:color w:val="auto"/>
                <w:highlight w:val="none"/>
                <w:lang w:val="en-US" w:eastAsia="zh-CN" w:bidi="ar"/>
              </w:rPr>
              <w:t>96T/</w:t>
            </w:r>
            <w:r>
              <w:rPr>
                <w:rStyle w:val="37"/>
                <w:color w:val="auto"/>
                <w:highlight w:val="none"/>
                <w:lang w:val="en-US" w:eastAsia="zh-CN" w:bidi="ar"/>
              </w:rPr>
              <w:t>盒；</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3</w:t>
            </w:r>
            <w:r>
              <w:rPr>
                <w:rFonts w:ascii="宋体" w:hAnsi="宋体" w:eastAsia="宋体" w:cs="宋体"/>
                <w:color w:val="auto"/>
                <w:kern w:val="0"/>
                <w:sz w:val="24"/>
                <w:szCs w:val="24"/>
                <w:highlight w:val="none"/>
                <w:lang w:val="en-US" w:eastAsia="zh-CN" w:bidi="ar"/>
              </w:rPr>
              <w:t>★</w:t>
            </w:r>
            <w:r>
              <w:rPr>
                <w:rStyle w:val="37"/>
                <w:color w:val="auto"/>
                <w:highlight w:val="none"/>
                <w:lang w:val="en-US" w:eastAsia="zh-CN" w:bidi="ar"/>
              </w:rPr>
              <w:t>、灵敏度：</w:t>
            </w:r>
            <w:r>
              <w:rPr>
                <w:rStyle w:val="38"/>
                <w:rFonts w:eastAsia="宋体"/>
                <w:color w:val="auto"/>
                <w:highlight w:val="none"/>
                <w:lang w:val="en-US" w:eastAsia="zh-CN" w:bidi="ar"/>
              </w:rPr>
              <w:t>7.8pg/ml</w:t>
            </w:r>
            <w:r>
              <w:rPr>
                <w:rStyle w:val="37"/>
                <w:color w:val="auto"/>
                <w:highlight w:val="none"/>
                <w:lang w:val="en-US" w:eastAsia="zh-CN" w:bidi="ar"/>
              </w:rPr>
              <w:t>；检测范围：</w:t>
            </w:r>
            <w:r>
              <w:rPr>
                <w:rStyle w:val="38"/>
                <w:rFonts w:eastAsia="宋体"/>
                <w:color w:val="auto"/>
                <w:highlight w:val="none"/>
                <w:lang w:val="en-US" w:eastAsia="zh-CN" w:bidi="ar"/>
              </w:rPr>
              <w:t>15.6-1000pg/ml</w:t>
            </w:r>
            <w:r>
              <w:rPr>
                <w:rStyle w:val="37"/>
                <w:color w:val="auto"/>
                <w:highlight w:val="none"/>
                <w:lang w:val="en-US" w:eastAsia="zh-CN" w:bidi="ar"/>
              </w:rPr>
              <w:t>；</w:t>
            </w:r>
            <w:r>
              <w:rPr>
                <w:rStyle w:val="38"/>
                <w:rFonts w:eastAsia="宋体"/>
                <w:color w:val="auto"/>
                <w:highlight w:val="none"/>
                <w:lang w:val="en-US" w:eastAsia="zh-CN" w:bidi="ar"/>
              </w:rPr>
              <w:br w:type="textWrapping"/>
            </w:r>
            <w:r>
              <w:rPr>
                <w:rStyle w:val="38"/>
                <w:rFonts w:hint="eastAsia"/>
                <w:color w:val="auto"/>
                <w:highlight w:val="none"/>
                <w:lang w:val="en-US" w:eastAsia="zh-CN" w:bidi="ar"/>
              </w:rPr>
              <w:t>4</w:t>
            </w:r>
            <w:r>
              <w:rPr>
                <w:rStyle w:val="37"/>
                <w:color w:val="auto"/>
                <w:highlight w:val="none"/>
                <w:lang w:val="en-US" w:eastAsia="zh-CN" w:bidi="ar"/>
              </w:rPr>
              <w:t>、反应种属：人；</w:t>
            </w:r>
            <w:r>
              <w:rPr>
                <w:rStyle w:val="38"/>
                <w:rFonts w:eastAsia="宋体"/>
                <w:color w:val="auto"/>
                <w:highlight w:val="none"/>
                <w:lang w:val="en-US" w:eastAsia="zh-CN" w:bidi="ar"/>
              </w:rPr>
              <w:br w:type="textWrapping"/>
            </w:r>
            <w:r>
              <w:rPr>
                <w:rStyle w:val="38"/>
                <w:rFonts w:hint="eastAsia"/>
                <w:color w:val="auto"/>
                <w:highlight w:val="none"/>
                <w:lang w:val="en-US" w:eastAsia="zh-CN" w:bidi="ar"/>
              </w:rPr>
              <w:t>5</w:t>
            </w:r>
            <w:r>
              <w:rPr>
                <w:rStyle w:val="37"/>
                <w:color w:val="auto"/>
                <w:highlight w:val="none"/>
                <w:lang w:val="en-US" w:eastAsia="zh-CN" w:bidi="ar"/>
              </w:rPr>
              <w:t>、适用样品类型：血清、血浆、细胞培养上清液、灌洗液、尿液、羊水、腹水、脑脊液、胸腔积液、组织匀浆液等；</w:t>
            </w:r>
            <w:r>
              <w:rPr>
                <w:rStyle w:val="38"/>
                <w:rFonts w:eastAsia="宋体"/>
                <w:color w:val="auto"/>
                <w:highlight w:val="none"/>
                <w:lang w:val="en-US" w:eastAsia="zh-CN" w:bidi="ar"/>
              </w:rPr>
              <w:br w:type="textWrapping"/>
            </w:r>
            <w:r>
              <w:rPr>
                <w:rStyle w:val="38"/>
                <w:rFonts w:hint="eastAsia"/>
                <w:color w:val="auto"/>
                <w:highlight w:val="none"/>
                <w:lang w:val="en-US" w:eastAsia="zh-CN" w:bidi="ar"/>
              </w:rPr>
              <w:t>6</w:t>
            </w:r>
            <w:r>
              <w:rPr>
                <w:rStyle w:val="37"/>
                <w:color w:val="auto"/>
                <w:highlight w:val="none"/>
                <w:lang w:val="en-US" w:eastAsia="zh-CN" w:bidi="ar"/>
              </w:rPr>
              <w:t>、样本用量：</w:t>
            </w:r>
            <w:r>
              <w:rPr>
                <w:rStyle w:val="38"/>
                <w:rFonts w:eastAsia="宋体"/>
                <w:color w:val="auto"/>
                <w:highlight w:val="none"/>
                <w:lang w:val="en-US" w:eastAsia="zh-CN" w:bidi="ar"/>
              </w:rPr>
              <w:t>100μl/</w:t>
            </w:r>
            <w:r>
              <w:rPr>
                <w:rStyle w:val="37"/>
                <w:color w:val="auto"/>
                <w:highlight w:val="none"/>
                <w:lang w:val="en-US" w:eastAsia="zh-CN" w:bidi="ar"/>
              </w:rPr>
              <w:t>孔。</w:t>
            </w:r>
          </w:p>
        </w:tc>
      </w:tr>
      <w:tr w14:paraId="7D25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A8F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A11DB">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35"/>
                <w:color w:val="auto"/>
                <w:highlight w:val="none"/>
                <w:lang w:val="en-US" w:eastAsia="zh-CN" w:bidi="ar"/>
              </w:rPr>
              <w:t>人</w:t>
            </w:r>
            <w:r>
              <w:rPr>
                <w:rStyle w:val="36"/>
                <w:rFonts w:eastAsia="宋体"/>
                <w:color w:val="auto"/>
                <w:highlight w:val="none"/>
                <w:lang w:val="en-US" w:eastAsia="zh-CN" w:bidi="ar"/>
              </w:rPr>
              <w:t>β</w:t>
            </w:r>
            <w:r>
              <w:rPr>
                <w:rStyle w:val="35"/>
                <w:color w:val="auto"/>
                <w:highlight w:val="none"/>
                <w:lang w:val="en-US" w:eastAsia="zh-CN" w:bidi="ar"/>
              </w:rPr>
              <w:t>干扰素释放检测试剂盒（</w:t>
            </w:r>
            <w:r>
              <w:rPr>
                <w:rStyle w:val="37"/>
                <w:color w:val="auto"/>
                <w:highlight w:val="none"/>
                <w:lang w:val="en-US" w:eastAsia="zh-CN" w:bidi="ar"/>
              </w:rPr>
              <w:t>双抗体夹心法）</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61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91320">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12A2">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38"/>
                <w:rFonts w:eastAsia="宋体"/>
                <w:color w:val="auto"/>
                <w:highlight w:val="none"/>
                <w:lang w:val="en-US" w:eastAsia="zh-CN" w:bidi="ar"/>
              </w:rPr>
              <w:t>1</w:t>
            </w:r>
            <w:r>
              <w:rPr>
                <w:rStyle w:val="37"/>
                <w:color w:val="auto"/>
                <w:highlight w:val="none"/>
                <w:lang w:val="en-US" w:eastAsia="zh-CN" w:bidi="ar"/>
              </w:rPr>
              <w:t>、检测方法：双抗体夹心法；</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2</w:t>
            </w:r>
            <w:r>
              <w:rPr>
                <w:rStyle w:val="37"/>
                <w:color w:val="auto"/>
                <w:highlight w:val="none"/>
                <w:lang w:val="en-US" w:eastAsia="zh-CN" w:bidi="ar"/>
              </w:rPr>
              <w:t>、规格：</w:t>
            </w:r>
            <w:r>
              <w:rPr>
                <w:rStyle w:val="38"/>
                <w:rFonts w:eastAsia="宋体"/>
                <w:color w:val="auto"/>
                <w:highlight w:val="none"/>
                <w:lang w:val="en-US" w:eastAsia="zh-CN" w:bidi="ar"/>
              </w:rPr>
              <w:t>96T/</w:t>
            </w:r>
            <w:r>
              <w:rPr>
                <w:rStyle w:val="37"/>
                <w:color w:val="auto"/>
                <w:highlight w:val="none"/>
                <w:lang w:val="en-US" w:eastAsia="zh-CN" w:bidi="ar"/>
              </w:rPr>
              <w:t>盒；</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3</w:t>
            </w:r>
            <w:r>
              <w:rPr>
                <w:rFonts w:ascii="宋体" w:hAnsi="宋体" w:eastAsia="宋体" w:cs="宋体"/>
                <w:color w:val="auto"/>
                <w:kern w:val="0"/>
                <w:sz w:val="24"/>
                <w:szCs w:val="24"/>
                <w:highlight w:val="none"/>
                <w:lang w:val="en-US" w:eastAsia="zh-CN" w:bidi="ar"/>
              </w:rPr>
              <w:t>★</w:t>
            </w:r>
            <w:r>
              <w:rPr>
                <w:rStyle w:val="37"/>
                <w:color w:val="auto"/>
                <w:highlight w:val="none"/>
                <w:lang w:val="en-US" w:eastAsia="zh-CN" w:bidi="ar"/>
              </w:rPr>
              <w:t>、灵敏度：</w:t>
            </w:r>
            <w:r>
              <w:rPr>
                <w:rStyle w:val="38"/>
                <w:rFonts w:eastAsia="宋体"/>
                <w:color w:val="auto"/>
                <w:highlight w:val="none"/>
                <w:lang w:val="en-US" w:eastAsia="zh-CN" w:bidi="ar"/>
              </w:rPr>
              <w:t>0.16ng/ml</w:t>
            </w:r>
            <w:r>
              <w:rPr>
                <w:rStyle w:val="37"/>
                <w:color w:val="auto"/>
                <w:highlight w:val="none"/>
                <w:lang w:val="en-US" w:eastAsia="zh-CN" w:bidi="ar"/>
              </w:rPr>
              <w:t>；检测范围：</w:t>
            </w:r>
            <w:r>
              <w:rPr>
                <w:rStyle w:val="38"/>
                <w:rFonts w:eastAsia="宋体"/>
                <w:color w:val="auto"/>
                <w:highlight w:val="none"/>
                <w:lang w:val="en-US" w:eastAsia="zh-CN" w:bidi="ar"/>
              </w:rPr>
              <w:t>0.313-20ng/ml</w:t>
            </w:r>
            <w:r>
              <w:rPr>
                <w:rStyle w:val="37"/>
                <w:color w:val="auto"/>
                <w:highlight w:val="none"/>
                <w:lang w:val="en-US" w:eastAsia="zh-CN" w:bidi="ar"/>
              </w:rPr>
              <w:t>；</w:t>
            </w:r>
            <w:r>
              <w:rPr>
                <w:rStyle w:val="38"/>
                <w:rFonts w:eastAsia="宋体"/>
                <w:color w:val="auto"/>
                <w:highlight w:val="none"/>
                <w:lang w:val="en-US" w:eastAsia="zh-CN" w:bidi="ar"/>
              </w:rPr>
              <w:br w:type="textWrapping"/>
            </w:r>
            <w:r>
              <w:rPr>
                <w:rStyle w:val="38"/>
                <w:rFonts w:hint="eastAsia"/>
                <w:color w:val="auto"/>
                <w:highlight w:val="none"/>
                <w:lang w:val="en-US" w:eastAsia="zh-CN" w:bidi="ar"/>
              </w:rPr>
              <w:t>4</w:t>
            </w:r>
            <w:r>
              <w:rPr>
                <w:rStyle w:val="37"/>
                <w:color w:val="auto"/>
                <w:highlight w:val="none"/>
                <w:lang w:val="en-US" w:eastAsia="zh-CN" w:bidi="ar"/>
              </w:rPr>
              <w:t>、反应种属：人；</w:t>
            </w:r>
            <w:r>
              <w:rPr>
                <w:rStyle w:val="38"/>
                <w:rFonts w:eastAsia="宋体"/>
                <w:color w:val="auto"/>
                <w:highlight w:val="none"/>
                <w:lang w:val="en-US" w:eastAsia="zh-CN" w:bidi="ar"/>
              </w:rPr>
              <w:br w:type="textWrapping"/>
            </w:r>
            <w:r>
              <w:rPr>
                <w:rStyle w:val="38"/>
                <w:rFonts w:hint="eastAsia"/>
                <w:color w:val="auto"/>
                <w:highlight w:val="none"/>
                <w:lang w:val="en-US" w:eastAsia="zh-CN" w:bidi="ar"/>
              </w:rPr>
              <w:t>5</w:t>
            </w:r>
            <w:r>
              <w:rPr>
                <w:rStyle w:val="37"/>
                <w:color w:val="auto"/>
                <w:highlight w:val="none"/>
                <w:lang w:val="en-US" w:eastAsia="zh-CN" w:bidi="ar"/>
              </w:rPr>
              <w:t>、适用样品类型：血清、血浆、细胞培养上清液、灌洗液、尿液、羊水、腹水、脑脊液、胸腔积液、组织匀浆液等；</w:t>
            </w:r>
            <w:r>
              <w:rPr>
                <w:rStyle w:val="38"/>
                <w:rFonts w:eastAsia="宋体"/>
                <w:color w:val="auto"/>
                <w:highlight w:val="none"/>
                <w:lang w:val="en-US" w:eastAsia="zh-CN" w:bidi="ar"/>
              </w:rPr>
              <w:br w:type="textWrapping"/>
            </w:r>
            <w:r>
              <w:rPr>
                <w:rStyle w:val="38"/>
                <w:rFonts w:hint="eastAsia"/>
                <w:color w:val="auto"/>
                <w:highlight w:val="none"/>
                <w:lang w:val="en-US" w:eastAsia="zh-CN" w:bidi="ar"/>
              </w:rPr>
              <w:t>6</w:t>
            </w:r>
            <w:r>
              <w:rPr>
                <w:rStyle w:val="37"/>
                <w:color w:val="auto"/>
                <w:highlight w:val="none"/>
                <w:lang w:val="en-US" w:eastAsia="zh-CN" w:bidi="ar"/>
              </w:rPr>
              <w:t>、样本用量：</w:t>
            </w:r>
            <w:r>
              <w:rPr>
                <w:rStyle w:val="38"/>
                <w:rFonts w:eastAsia="宋体"/>
                <w:color w:val="auto"/>
                <w:highlight w:val="none"/>
                <w:lang w:val="en-US" w:eastAsia="zh-CN" w:bidi="ar"/>
              </w:rPr>
              <w:t>100μl/</w:t>
            </w:r>
            <w:r>
              <w:rPr>
                <w:rStyle w:val="37"/>
                <w:color w:val="auto"/>
                <w:highlight w:val="none"/>
                <w:lang w:val="en-US" w:eastAsia="zh-CN" w:bidi="ar"/>
              </w:rPr>
              <w:t>孔。</w:t>
            </w:r>
          </w:p>
        </w:tc>
      </w:tr>
      <w:tr w14:paraId="76399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9"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E5C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C84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Style w:val="42"/>
                <w:color w:val="auto"/>
                <w:highlight w:val="none"/>
                <w:lang w:val="en-US" w:eastAsia="zh-CN" w:bidi="ar"/>
              </w:rPr>
              <w:t>人血管内皮生长因子</w:t>
            </w:r>
            <w:r>
              <w:rPr>
                <w:rStyle w:val="43"/>
                <w:rFonts w:eastAsia="宋体"/>
                <w:color w:val="auto"/>
                <w:highlight w:val="none"/>
                <w:lang w:val="en-US" w:eastAsia="zh-CN" w:bidi="ar"/>
              </w:rPr>
              <w:t>A</w:t>
            </w:r>
            <w:r>
              <w:rPr>
                <w:rStyle w:val="42"/>
                <w:color w:val="auto"/>
                <w:highlight w:val="none"/>
                <w:lang w:val="en-US" w:eastAsia="zh-CN" w:bidi="ar"/>
              </w:rPr>
              <w:t>释放检测试剂盒（</w:t>
            </w:r>
            <w:r>
              <w:rPr>
                <w:rStyle w:val="37"/>
                <w:color w:val="auto"/>
                <w:highlight w:val="none"/>
                <w:lang w:val="en-US" w:eastAsia="zh-CN" w:bidi="ar"/>
              </w:rPr>
              <w:t>双抗体夹心法）</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CE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13F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42BE">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38"/>
                <w:rFonts w:eastAsia="宋体"/>
                <w:color w:val="auto"/>
                <w:highlight w:val="none"/>
                <w:lang w:val="en-US" w:eastAsia="zh-CN" w:bidi="ar"/>
              </w:rPr>
              <w:t>1</w:t>
            </w:r>
            <w:r>
              <w:rPr>
                <w:rStyle w:val="37"/>
                <w:color w:val="auto"/>
                <w:highlight w:val="none"/>
                <w:lang w:val="en-US" w:eastAsia="zh-CN" w:bidi="ar"/>
              </w:rPr>
              <w:t>、检测方法：双抗体夹心法；</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2</w:t>
            </w:r>
            <w:r>
              <w:rPr>
                <w:rStyle w:val="37"/>
                <w:color w:val="auto"/>
                <w:highlight w:val="none"/>
                <w:lang w:val="en-US" w:eastAsia="zh-CN" w:bidi="ar"/>
              </w:rPr>
              <w:t>、规格：</w:t>
            </w:r>
            <w:r>
              <w:rPr>
                <w:rStyle w:val="38"/>
                <w:rFonts w:eastAsia="宋体"/>
                <w:color w:val="auto"/>
                <w:highlight w:val="none"/>
                <w:lang w:val="en-US" w:eastAsia="zh-CN" w:bidi="ar"/>
              </w:rPr>
              <w:t>96T/</w:t>
            </w:r>
            <w:r>
              <w:rPr>
                <w:rStyle w:val="37"/>
                <w:color w:val="auto"/>
                <w:highlight w:val="none"/>
                <w:lang w:val="en-US" w:eastAsia="zh-CN" w:bidi="ar"/>
              </w:rPr>
              <w:t>盒；</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3</w:t>
            </w:r>
            <w:r>
              <w:rPr>
                <w:rFonts w:ascii="宋体" w:hAnsi="宋体" w:eastAsia="宋体" w:cs="宋体"/>
                <w:color w:val="auto"/>
                <w:kern w:val="0"/>
                <w:sz w:val="24"/>
                <w:szCs w:val="24"/>
                <w:highlight w:val="none"/>
                <w:lang w:val="en-US" w:eastAsia="zh-CN" w:bidi="ar"/>
              </w:rPr>
              <w:t>★</w:t>
            </w:r>
            <w:r>
              <w:rPr>
                <w:rStyle w:val="37"/>
                <w:color w:val="auto"/>
                <w:highlight w:val="none"/>
                <w:lang w:val="en-US" w:eastAsia="zh-CN" w:bidi="ar"/>
              </w:rPr>
              <w:t>、灵敏度：</w:t>
            </w:r>
            <w:r>
              <w:rPr>
                <w:rStyle w:val="38"/>
                <w:rFonts w:eastAsia="宋体"/>
                <w:color w:val="auto"/>
                <w:highlight w:val="none"/>
                <w:lang w:val="en-US" w:eastAsia="zh-CN" w:bidi="ar"/>
              </w:rPr>
              <w:t>18.75 pg/mLg/ml</w:t>
            </w:r>
            <w:r>
              <w:rPr>
                <w:rStyle w:val="37"/>
                <w:color w:val="auto"/>
                <w:highlight w:val="none"/>
                <w:lang w:val="en-US" w:eastAsia="zh-CN" w:bidi="ar"/>
              </w:rPr>
              <w:t>；检测范围：</w:t>
            </w:r>
            <w:r>
              <w:rPr>
                <w:rStyle w:val="38"/>
                <w:rFonts w:eastAsia="宋体"/>
                <w:color w:val="auto"/>
                <w:highlight w:val="none"/>
                <w:lang w:val="en-US" w:eastAsia="zh-CN" w:bidi="ar"/>
              </w:rPr>
              <w:t>31.25-2000 pg/mL</w:t>
            </w:r>
            <w:r>
              <w:rPr>
                <w:rStyle w:val="37"/>
                <w:color w:val="auto"/>
                <w:highlight w:val="none"/>
                <w:lang w:val="en-US" w:eastAsia="zh-CN" w:bidi="ar"/>
              </w:rPr>
              <w:t>；</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5</w:t>
            </w:r>
            <w:r>
              <w:rPr>
                <w:rStyle w:val="37"/>
                <w:color w:val="auto"/>
                <w:highlight w:val="none"/>
                <w:lang w:val="en-US" w:eastAsia="zh-CN" w:bidi="ar"/>
              </w:rPr>
              <w:t>、反应种属：人；</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6</w:t>
            </w:r>
            <w:r>
              <w:rPr>
                <w:rStyle w:val="37"/>
                <w:color w:val="auto"/>
                <w:highlight w:val="none"/>
                <w:lang w:val="en-US" w:eastAsia="zh-CN" w:bidi="ar"/>
              </w:rPr>
              <w:t>、适用样品类型：血清、血浆或其他生物体液；</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7</w:t>
            </w:r>
            <w:r>
              <w:rPr>
                <w:rStyle w:val="37"/>
                <w:color w:val="auto"/>
                <w:highlight w:val="none"/>
                <w:lang w:val="en-US" w:eastAsia="zh-CN" w:bidi="ar"/>
              </w:rPr>
              <w:t>、特异性：可检测样本中的人血管内皮生长因子</w:t>
            </w:r>
            <w:r>
              <w:rPr>
                <w:rStyle w:val="38"/>
                <w:rFonts w:eastAsia="宋体"/>
                <w:color w:val="auto"/>
                <w:highlight w:val="none"/>
                <w:lang w:val="en-US" w:eastAsia="zh-CN" w:bidi="ar"/>
              </w:rPr>
              <w:t>A</w:t>
            </w:r>
            <w:r>
              <w:rPr>
                <w:rStyle w:val="37"/>
                <w:color w:val="auto"/>
                <w:highlight w:val="none"/>
                <w:lang w:val="en-US" w:eastAsia="zh-CN" w:bidi="ar"/>
              </w:rPr>
              <w:t>，且与其它类似物无明显交叉反应；</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8</w:t>
            </w:r>
            <w:r>
              <w:rPr>
                <w:rStyle w:val="37"/>
                <w:color w:val="auto"/>
                <w:highlight w:val="none"/>
                <w:lang w:val="en-US" w:eastAsia="zh-CN" w:bidi="ar"/>
              </w:rPr>
              <w:t>、精密度：板内，板间变异系数均</w:t>
            </w:r>
            <w:r>
              <w:rPr>
                <w:rStyle w:val="38"/>
                <w:rFonts w:eastAsia="宋体"/>
                <w:color w:val="auto"/>
                <w:highlight w:val="none"/>
                <w:lang w:val="en-US" w:eastAsia="zh-CN" w:bidi="ar"/>
              </w:rPr>
              <w:t>&lt;10%</w:t>
            </w:r>
            <w:r>
              <w:rPr>
                <w:rStyle w:val="37"/>
                <w:color w:val="auto"/>
                <w:highlight w:val="none"/>
                <w:lang w:val="en-US" w:eastAsia="zh-CN" w:bidi="ar"/>
              </w:rPr>
              <w:t>；</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9</w:t>
            </w:r>
            <w:r>
              <w:rPr>
                <w:rStyle w:val="37"/>
                <w:color w:val="auto"/>
                <w:highlight w:val="none"/>
                <w:lang w:val="en-US" w:eastAsia="zh-CN" w:bidi="ar"/>
              </w:rPr>
              <w:t>、样本用量：</w:t>
            </w:r>
            <w:r>
              <w:rPr>
                <w:rStyle w:val="38"/>
                <w:rFonts w:eastAsia="宋体"/>
                <w:color w:val="auto"/>
                <w:highlight w:val="none"/>
                <w:lang w:val="en-US" w:eastAsia="zh-CN" w:bidi="ar"/>
              </w:rPr>
              <w:t>100μl/</w:t>
            </w:r>
            <w:r>
              <w:rPr>
                <w:rStyle w:val="37"/>
                <w:color w:val="auto"/>
                <w:highlight w:val="none"/>
                <w:lang w:val="en-US" w:eastAsia="zh-CN" w:bidi="ar"/>
              </w:rPr>
              <w:t>孔。</w:t>
            </w:r>
          </w:p>
        </w:tc>
      </w:tr>
      <w:tr w14:paraId="362C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9A5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6</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6046B">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人白细胞介素-17A释放检测试剂盒</w:t>
            </w:r>
            <w:r>
              <w:rPr>
                <w:rFonts w:hint="eastAsia" w:cs="宋体"/>
                <w:i w:val="0"/>
                <w:iCs w:val="0"/>
                <w:color w:val="auto"/>
                <w:kern w:val="0"/>
                <w:sz w:val="20"/>
                <w:szCs w:val="20"/>
                <w:highlight w:val="none"/>
                <w:u w:val="none"/>
                <w:lang w:val="en-US" w:eastAsia="zh-CN" w:bidi="ar"/>
              </w:rPr>
              <w:t>（</w:t>
            </w:r>
            <w:r>
              <w:rPr>
                <w:rStyle w:val="37"/>
                <w:color w:val="auto"/>
                <w:highlight w:val="none"/>
                <w:lang w:val="en-US" w:eastAsia="zh-CN" w:bidi="ar"/>
              </w:rPr>
              <w:t>双抗体夹心法）</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9A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70E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A732">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3"/>
                <w:rFonts w:eastAsia="宋体"/>
                <w:color w:val="auto"/>
                <w:highlight w:val="none"/>
                <w:lang w:val="en-US" w:eastAsia="zh-CN" w:bidi="ar"/>
              </w:rPr>
              <w:t>1</w:t>
            </w:r>
            <w:r>
              <w:rPr>
                <w:rStyle w:val="42"/>
                <w:color w:val="auto"/>
                <w:highlight w:val="none"/>
                <w:lang w:val="en-US" w:eastAsia="zh-CN" w:bidi="ar"/>
              </w:rPr>
              <w:t>、检测方法：双抗体夹心法；</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Style w:val="42"/>
                <w:color w:val="auto"/>
                <w:highlight w:val="none"/>
                <w:lang w:val="en-US" w:eastAsia="zh-CN" w:bidi="ar"/>
              </w:rPr>
              <w:t>、规格：</w:t>
            </w:r>
            <w:r>
              <w:rPr>
                <w:rStyle w:val="43"/>
                <w:rFonts w:eastAsia="宋体"/>
                <w:color w:val="auto"/>
                <w:highlight w:val="none"/>
                <w:lang w:val="en-US" w:eastAsia="zh-CN" w:bidi="ar"/>
              </w:rPr>
              <w:t>96T/</w:t>
            </w:r>
            <w:r>
              <w:rPr>
                <w:rStyle w:val="42"/>
                <w:color w:val="auto"/>
                <w:highlight w:val="none"/>
                <w:lang w:val="en-US" w:eastAsia="zh-CN" w:bidi="ar"/>
              </w:rPr>
              <w:t>盒；</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3</w:t>
            </w:r>
            <w:r>
              <w:rPr>
                <w:rFonts w:ascii="宋体" w:hAnsi="宋体" w:eastAsia="宋体" w:cs="宋体"/>
                <w:color w:val="auto"/>
                <w:kern w:val="0"/>
                <w:sz w:val="24"/>
                <w:szCs w:val="24"/>
                <w:highlight w:val="none"/>
                <w:lang w:val="en-US" w:eastAsia="zh-CN" w:bidi="ar"/>
              </w:rPr>
              <w:t>★</w:t>
            </w:r>
            <w:r>
              <w:rPr>
                <w:rStyle w:val="42"/>
                <w:color w:val="auto"/>
                <w:highlight w:val="none"/>
                <w:lang w:val="en-US" w:eastAsia="zh-CN" w:bidi="ar"/>
              </w:rPr>
              <w:t>、灵敏度：</w:t>
            </w:r>
            <w:r>
              <w:rPr>
                <w:rStyle w:val="43"/>
                <w:rFonts w:eastAsia="宋体"/>
                <w:color w:val="auto"/>
                <w:highlight w:val="none"/>
                <w:lang w:val="en-US" w:eastAsia="zh-CN" w:bidi="ar"/>
              </w:rPr>
              <w:t>7.8pg/ml</w:t>
            </w:r>
            <w:r>
              <w:rPr>
                <w:rStyle w:val="42"/>
                <w:color w:val="auto"/>
                <w:highlight w:val="none"/>
                <w:lang w:val="en-US" w:eastAsia="zh-CN" w:bidi="ar"/>
              </w:rPr>
              <w:t>；检测范围：</w:t>
            </w:r>
            <w:r>
              <w:rPr>
                <w:rStyle w:val="43"/>
                <w:rFonts w:eastAsia="宋体"/>
                <w:color w:val="auto"/>
                <w:highlight w:val="none"/>
                <w:lang w:val="en-US" w:eastAsia="zh-CN" w:bidi="ar"/>
              </w:rPr>
              <w:t>15.6-1000pg/ml</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4</w:t>
            </w:r>
            <w:r>
              <w:rPr>
                <w:rStyle w:val="42"/>
                <w:color w:val="auto"/>
                <w:highlight w:val="none"/>
                <w:lang w:val="en-US" w:eastAsia="zh-CN" w:bidi="ar"/>
              </w:rPr>
              <w:t>、反应种属：人；</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5</w:t>
            </w:r>
            <w:r>
              <w:rPr>
                <w:rStyle w:val="42"/>
                <w:color w:val="auto"/>
                <w:highlight w:val="none"/>
                <w:lang w:val="en-US" w:eastAsia="zh-CN" w:bidi="ar"/>
              </w:rPr>
              <w:t>、适用样品类型：血清、血浆、细胞培养上清液、灌洗液、尿液、羊水、腹水、脑脊液、胸腔积液、组织匀浆液等；</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6</w:t>
            </w:r>
            <w:r>
              <w:rPr>
                <w:rStyle w:val="42"/>
                <w:color w:val="auto"/>
                <w:highlight w:val="none"/>
                <w:lang w:val="en-US" w:eastAsia="zh-CN" w:bidi="ar"/>
              </w:rPr>
              <w:t>、样本用量：</w:t>
            </w:r>
            <w:r>
              <w:rPr>
                <w:rStyle w:val="43"/>
                <w:rFonts w:eastAsia="宋体"/>
                <w:color w:val="auto"/>
                <w:highlight w:val="none"/>
                <w:lang w:val="en-US" w:eastAsia="zh-CN" w:bidi="ar"/>
              </w:rPr>
              <w:t>100μl/</w:t>
            </w:r>
            <w:r>
              <w:rPr>
                <w:rStyle w:val="42"/>
                <w:color w:val="auto"/>
                <w:highlight w:val="none"/>
                <w:lang w:val="en-US" w:eastAsia="zh-CN" w:bidi="ar"/>
              </w:rPr>
              <w:t>孔。</w:t>
            </w:r>
          </w:p>
        </w:tc>
      </w:tr>
      <w:tr w14:paraId="299E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5"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509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7</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F6CC">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35"/>
                <w:color w:val="auto"/>
                <w:highlight w:val="none"/>
                <w:lang w:val="en-US" w:eastAsia="zh-CN" w:bidi="ar"/>
              </w:rPr>
              <w:t>半胱天冬酶</w:t>
            </w:r>
            <w:r>
              <w:rPr>
                <w:rStyle w:val="36"/>
                <w:rFonts w:eastAsia="宋体"/>
                <w:color w:val="auto"/>
                <w:highlight w:val="none"/>
                <w:lang w:val="en-US" w:eastAsia="zh-CN" w:bidi="ar"/>
              </w:rPr>
              <w:t>-1</w:t>
            </w:r>
            <w:r>
              <w:rPr>
                <w:rStyle w:val="35"/>
                <w:color w:val="auto"/>
                <w:highlight w:val="none"/>
                <w:lang w:val="en-US" w:eastAsia="zh-CN" w:bidi="ar"/>
              </w:rPr>
              <w:t>酶活性检测试剂盒（</w:t>
            </w:r>
            <w:r>
              <w:rPr>
                <w:rStyle w:val="37"/>
                <w:color w:val="auto"/>
                <w:highlight w:val="none"/>
                <w:lang w:val="en-US" w:eastAsia="zh-CN" w:bidi="ar"/>
              </w:rPr>
              <w:t>双抗体夹心法</w:t>
            </w:r>
            <w:r>
              <w:rPr>
                <w:rStyle w:val="35"/>
                <w:color w:val="auto"/>
                <w:highlight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09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C49DF">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C1AE">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3"/>
                <w:rFonts w:eastAsia="宋体"/>
                <w:color w:val="auto"/>
                <w:highlight w:val="none"/>
                <w:lang w:val="en-US" w:eastAsia="zh-CN" w:bidi="ar"/>
              </w:rPr>
              <w:t>1</w:t>
            </w:r>
            <w:r>
              <w:rPr>
                <w:rStyle w:val="42"/>
                <w:color w:val="auto"/>
                <w:highlight w:val="none"/>
                <w:lang w:val="en-US" w:eastAsia="zh-CN" w:bidi="ar"/>
              </w:rPr>
              <w:t>、检测方法：双抗体夹心法；</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Style w:val="42"/>
                <w:color w:val="auto"/>
                <w:highlight w:val="none"/>
                <w:lang w:val="en-US" w:eastAsia="zh-CN" w:bidi="ar"/>
              </w:rPr>
              <w:t>、规格：</w:t>
            </w:r>
            <w:r>
              <w:rPr>
                <w:rStyle w:val="43"/>
                <w:rFonts w:eastAsia="宋体"/>
                <w:color w:val="auto"/>
                <w:highlight w:val="none"/>
                <w:lang w:val="en-US" w:eastAsia="zh-CN" w:bidi="ar"/>
              </w:rPr>
              <w:t>96T/</w:t>
            </w:r>
            <w:r>
              <w:rPr>
                <w:rStyle w:val="42"/>
                <w:color w:val="auto"/>
                <w:highlight w:val="none"/>
                <w:lang w:val="en-US" w:eastAsia="zh-CN" w:bidi="ar"/>
              </w:rPr>
              <w:t>盒；</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3</w:t>
            </w:r>
            <w:r>
              <w:rPr>
                <w:rFonts w:ascii="宋体" w:hAnsi="宋体" w:eastAsia="宋体" w:cs="宋体"/>
                <w:color w:val="auto"/>
                <w:kern w:val="0"/>
                <w:sz w:val="24"/>
                <w:szCs w:val="24"/>
                <w:highlight w:val="none"/>
                <w:lang w:val="en-US" w:eastAsia="zh-CN" w:bidi="ar"/>
              </w:rPr>
              <w:t>★</w:t>
            </w:r>
            <w:r>
              <w:rPr>
                <w:rStyle w:val="42"/>
                <w:color w:val="auto"/>
                <w:highlight w:val="none"/>
                <w:lang w:val="en-US" w:eastAsia="zh-CN" w:bidi="ar"/>
              </w:rPr>
              <w:t>、</w:t>
            </w:r>
            <w:r>
              <w:rPr>
                <w:rStyle w:val="42"/>
                <w:rFonts w:hint="eastAsia"/>
                <w:color w:val="auto"/>
                <w:highlight w:val="none"/>
                <w:lang w:val="en-US" w:eastAsia="zh-CN" w:bidi="ar"/>
              </w:rPr>
              <w:t>灵敏度≤1ng/ml，检测范围≥1-100ng/ml</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4</w:t>
            </w:r>
            <w:r>
              <w:rPr>
                <w:rStyle w:val="42"/>
                <w:color w:val="auto"/>
                <w:highlight w:val="none"/>
                <w:lang w:val="en-US" w:eastAsia="zh-CN" w:bidi="ar"/>
              </w:rPr>
              <w:t>、反应种属：人；</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5</w:t>
            </w:r>
            <w:r>
              <w:rPr>
                <w:rStyle w:val="42"/>
                <w:color w:val="auto"/>
                <w:highlight w:val="none"/>
                <w:lang w:val="en-US" w:eastAsia="zh-CN" w:bidi="ar"/>
              </w:rPr>
              <w:t>、适用样品类型：血清、血浆、细胞培养上清液、灌洗液、尿液、羊水、腹水、脑脊液、胸腔积液、组织匀浆液等；</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6</w:t>
            </w:r>
            <w:r>
              <w:rPr>
                <w:rFonts w:ascii="宋体" w:hAnsi="宋体" w:eastAsia="宋体" w:cs="宋体"/>
                <w:color w:val="auto"/>
                <w:kern w:val="0"/>
                <w:sz w:val="24"/>
                <w:szCs w:val="24"/>
                <w:highlight w:val="none"/>
                <w:lang w:val="en-US" w:eastAsia="zh-CN" w:bidi="ar"/>
              </w:rPr>
              <w:t>★</w:t>
            </w:r>
            <w:r>
              <w:rPr>
                <w:rStyle w:val="42"/>
                <w:color w:val="auto"/>
                <w:highlight w:val="none"/>
                <w:lang w:val="en-US" w:eastAsia="zh-CN" w:bidi="ar"/>
              </w:rPr>
              <w:t>、特异性：特异性识别天然和重组人半胱天冬酶</w:t>
            </w:r>
            <w:r>
              <w:rPr>
                <w:rStyle w:val="43"/>
                <w:rFonts w:eastAsia="宋体"/>
                <w:color w:val="auto"/>
                <w:highlight w:val="none"/>
                <w:lang w:val="en-US" w:eastAsia="zh-CN" w:bidi="ar"/>
              </w:rPr>
              <w:t>-1​</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7</w:t>
            </w:r>
            <w:r>
              <w:rPr>
                <w:rStyle w:val="42"/>
                <w:color w:val="auto"/>
                <w:highlight w:val="none"/>
                <w:lang w:val="en-US" w:eastAsia="zh-CN" w:bidi="ar"/>
              </w:rPr>
              <w:t>、交叉反应：与以下细胞因子无明显交叉反应：人胱天蛋白酶</w:t>
            </w:r>
            <w:r>
              <w:rPr>
                <w:rStyle w:val="43"/>
                <w:rFonts w:eastAsia="宋体"/>
                <w:color w:val="auto"/>
                <w:highlight w:val="none"/>
                <w:lang w:val="en-US" w:eastAsia="zh-CN" w:bidi="ar"/>
              </w:rPr>
              <w:t>-2</w:t>
            </w:r>
            <w:r>
              <w:rPr>
                <w:rStyle w:val="42"/>
                <w:color w:val="auto"/>
                <w:highlight w:val="none"/>
                <w:lang w:val="en-US" w:eastAsia="zh-CN" w:bidi="ar"/>
              </w:rPr>
              <w:t>、胱天蛋白酶</w:t>
            </w:r>
            <w:r>
              <w:rPr>
                <w:rStyle w:val="43"/>
                <w:rFonts w:eastAsia="宋体"/>
                <w:color w:val="auto"/>
                <w:highlight w:val="none"/>
                <w:lang w:val="en-US" w:eastAsia="zh-CN" w:bidi="ar"/>
              </w:rPr>
              <w:t>-3</w:t>
            </w:r>
            <w:r>
              <w:rPr>
                <w:rStyle w:val="42"/>
                <w:color w:val="auto"/>
                <w:highlight w:val="none"/>
                <w:lang w:val="en-US" w:eastAsia="zh-CN" w:bidi="ar"/>
              </w:rPr>
              <w:t>、胱天蛋白酶</w:t>
            </w:r>
            <w:r>
              <w:rPr>
                <w:rStyle w:val="43"/>
                <w:rFonts w:eastAsia="宋体"/>
                <w:color w:val="auto"/>
                <w:highlight w:val="none"/>
                <w:lang w:val="en-US" w:eastAsia="zh-CN" w:bidi="ar"/>
              </w:rPr>
              <w:t>-7</w:t>
            </w:r>
            <w:r>
              <w:rPr>
                <w:rStyle w:val="42"/>
                <w:color w:val="auto"/>
                <w:highlight w:val="none"/>
                <w:lang w:val="en-US" w:eastAsia="zh-CN" w:bidi="ar"/>
              </w:rPr>
              <w:t>、胱天蛋白酶</w:t>
            </w:r>
            <w:r>
              <w:rPr>
                <w:rStyle w:val="43"/>
                <w:rFonts w:eastAsia="宋体"/>
                <w:color w:val="auto"/>
                <w:highlight w:val="none"/>
                <w:lang w:val="en-US" w:eastAsia="zh-CN" w:bidi="ar"/>
              </w:rPr>
              <w:t>-8</w:t>
            </w:r>
            <w:r>
              <w:rPr>
                <w:rStyle w:val="42"/>
                <w:color w:val="auto"/>
                <w:highlight w:val="none"/>
                <w:lang w:val="en-US" w:eastAsia="zh-CN" w:bidi="ar"/>
              </w:rPr>
              <w:t>、白细胞介素</w:t>
            </w:r>
            <w:r>
              <w:rPr>
                <w:rStyle w:val="43"/>
                <w:rFonts w:eastAsia="宋体"/>
                <w:color w:val="auto"/>
                <w:highlight w:val="none"/>
                <w:lang w:val="en-US" w:eastAsia="zh-CN" w:bidi="ar"/>
              </w:rPr>
              <w:t>-1α</w:t>
            </w:r>
            <w:r>
              <w:rPr>
                <w:rStyle w:val="42"/>
                <w:color w:val="auto"/>
                <w:highlight w:val="none"/>
                <w:lang w:val="en-US" w:eastAsia="zh-CN" w:bidi="ar"/>
              </w:rPr>
              <w:t>、白细胞介素</w:t>
            </w:r>
            <w:r>
              <w:rPr>
                <w:rStyle w:val="43"/>
                <w:rFonts w:eastAsia="宋体"/>
                <w:color w:val="auto"/>
                <w:highlight w:val="none"/>
                <w:lang w:val="en-US" w:eastAsia="zh-CN" w:bidi="ar"/>
              </w:rPr>
              <w:t>-1β</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8</w:t>
            </w:r>
            <w:r>
              <w:rPr>
                <w:rStyle w:val="42"/>
                <w:color w:val="auto"/>
                <w:highlight w:val="none"/>
                <w:lang w:val="en-US" w:eastAsia="zh-CN" w:bidi="ar"/>
              </w:rPr>
              <w:t>、样本用量：</w:t>
            </w:r>
            <w:r>
              <w:rPr>
                <w:rStyle w:val="43"/>
                <w:rFonts w:eastAsia="宋体"/>
                <w:color w:val="auto"/>
                <w:highlight w:val="none"/>
                <w:lang w:val="en-US" w:eastAsia="zh-CN" w:bidi="ar"/>
              </w:rPr>
              <w:t>100μl/</w:t>
            </w:r>
            <w:r>
              <w:rPr>
                <w:rStyle w:val="42"/>
                <w:color w:val="auto"/>
                <w:highlight w:val="none"/>
                <w:lang w:val="en-US" w:eastAsia="zh-CN" w:bidi="ar"/>
              </w:rPr>
              <w:t>孔。</w:t>
            </w:r>
          </w:p>
        </w:tc>
      </w:tr>
      <w:tr w14:paraId="70AB4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FA2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EB81">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35"/>
                <w:color w:val="auto"/>
                <w:highlight w:val="none"/>
                <w:lang w:val="en-US" w:eastAsia="zh-CN" w:bidi="ar"/>
              </w:rPr>
              <w:t>炎性小体</w:t>
            </w:r>
            <w:r>
              <w:rPr>
                <w:rStyle w:val="36"/>
                <w:rFonts w:eastAsia="宋体"/>
                <w:color w:val="auto"/>
                <w:highlight w:val="none"/>
                <w:lang w:val="en-US" w:eastAsia="zh-CN" w:bidi="ar"/>
              </w:rPr>
              <w:t xml:space="preserve"> ATP </w:t>
            </w:r>
            <w:r>
              <w:rPr>
                <w:rStyle w:val="35"/>
                <w:color w:val="auto"/>
                <w:highlight w:val="none"/>
                <w:lang w:val="en-US" w:eastAsia="zh-CN" w:bidi="ar"/>
              </w:rPr>
              <w:t>酶活性检测试剂盒（</w:t>
            </w:r>
            <w:r>
              <w:rPr>
                <w:rStyle w:val="42"/>
                <w:color w:val="auto"/>
                <w:highlight w:val="none"/>
                <w:lang w:val="en-US" w:eastAsia="zh-CN" w:bidi="ar"/>
              </w:rPr>
              <w:t>荧光法</w:t>
            </w:r>
            <w:r>
              <w:rPr>
                <w:rStyle w:val="35"/>
                <w:color w:val="auto"/>
                <w:highlight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3B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11D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89FB">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3"/>
                <w:rFonts w:eastAsia="宋体"/>
                <w:color w:val="auto"/>
                <w:highlight w:val="none"/>
                <w:lang w:val="en-US" w:eastAsia="zh-CN" w:bidi="ar"/>
              </w:rPr>
              <w:t>1</w:t>
            </w:r>
            <w:r>
              <w:rPr>
                <w:rStyle w:val="42"/>
                <w:color w:val="auto"/>
                <w:highlight w:val="none"/>
                <w:lang w:val="en-US" w:eastAsia="zh-CN" w:bidi="ar"/>
              </w:rPr>
              <w:t>、检测方法：荧光法；</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Style w:val="42"/>
                <w:color w:val="auto"/>
                <w:highlight w:val="none"/>
                <w:lang w:val="en-US" w:eastAsia="zh-CN" w:bidi="ar"/>
              </w:rPr>
              <w:t>、规格：</w:t>
            </w:r>
            <w:r>
              <w:rPr>
                <w:rStyle w:val="43"/>
                <w:rFonts w:eastAsia="宋体"/>
                <w:color w:val="auto"/>
                <w:highlight w:val="none"/>
                <w:lang w:val="en-US" w:eastAsia="zh-CN" w:bidi="ar"/>
              </w:rPr>
              <w:t>96T(80 samples)</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3</w:t>
            </w:r>
            <w:r>
              <w:rPr>
                <w:rFonts w:ascii="宋体" w:hAnsi="宋体" w:eastAsia="宋体" w:cs="宋体"/>
                <w:color w:val="auto"/>
                <w:kern w:val="0"/>
                <w:sz w:val="24"/>
                <w:szCs w:val="24"/>
                <w:highlight w:val="none"/>
                <w:lang w:val="en-US" w:eastAsia="zh-CN" w:bidi="ar"/>
              </w:rPr>
              <w:t>★</w:t>
            </w:r>
            <w:r>
              <w:rPr>
                <w:rStyle w:val="42"/>
                <w:color w:val="auto"/>
                <w:highlight w:val="none"/>
                <w:lang w:val="en-US" w:eastAsia="zh-CN" w:bidi="ar"/>
              </w:rPr>
              <w:t>、</w:t>
            </w:r>
            <w:r>
              <w:rPr>
                <w:rStyle w:val="42"/>
                <w:rFonts w:hint="eastAsia"/>
                <w:color w:val="auto"/>
                <w:highlight w:val="none"/>
                <w:lang w:val="en-US" w:eastAsia="zh-CN" w:bidi="ar"/>
              </w:rPr>
              <w:t>灵敏度≤5μmol/L，检测范围≥5-50μmol/L</w:t>
            </w:r>
            <w:r>
              <w:rPr>
                <w:rStyle w:val="42"/>
                <w:color w:val="auto"/>
                <w:highlight w:val="none"/>
                <w:lang w:val="en-US" w:eastAsia="zh-CN" w:bidi="ar"/>
              </w:rPr>
              <w:t>；精密度：批间差：</w:t>
            </w:r>
            <w:r>
              <w:rPr>
                <w:rStyle w:val="43"/>
                <w:rFonts w:eastAsia="宋体"/>
                <w:color w:val="auto"/>
                <w:highlight w:val="none"/>
                <w:lang w:val="en-US" w:eastAsia="zh-CN" w:bidi="ar"/>
              </w:rPr>
              <w:t xml:space="preserve">4.4-9.6% | </w:t>
            </w:r>
            <w:r>
              <w:rPr>
                <w:rStyle w:val="42"/>
                <w:color w:val="auto"/>
                <w:highlight w:val="none"/>
                <w:lang w:val="en-US" w:eastAsia="zh-CN" w:bidi="ar"/>
              </w:rPr>
              <w:t>批内差：</w:t>
            </w:r>
            <w:r>
              <w:rPr>
                <w:rStyle w:val="43"/>
                <w:rFonts w:eastAsia="宋体"/>
                <w:color w:val="auto"/>
                <w:highlight w:val="none"/>
                <w:lang w:val="en-US" w:eastAsia="zh-CN" w:bidi="ar"/>
              </w:rPr>
              <w:t>4.0-5.0%</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4</w:t>
            </w:r>
            <w:r>
              <w:rPr>
                <w:rStyle w:val="42"/>
                <w:color w:val="auto"/>
                <w:highlight w:val="none"/>
                <w:lang w:val="en-US" w:eastAsia="zh-CN" w:bidi="ar"/>
              </w:rPr>
              <w:t>、反应种属：人；</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5</w:t>
            </w:r>
            <w:r>
              <w:rPr>
                <w:rStyle w:val="42"/>
                <w:color w:val="auto"/>
                <w:highlight w:val="none"/>
                <w:lang w:val="en-US" w:eastAsia="zh-CN" w:bidi="ar"/>
              </w:rPr>
              <w:t>、适用样品类型：血清（浆）；动物组织；细胞；</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6</w:t>
            </w:r>
            <w:r>
              <w:rPr>
                <w:rStyle w:val="42"/>
                <w:color w:val="auto"/>
                <w:highlight w:val="none"/>
                <w:lang w:val="en-US" w:eastAsia="zh-CN" w:bidi="ar"/>
              </w:rPr>
              <w:t>、样本用量：</w:t>
            </w:r>
            <w:r>
              <w:rPr>
                <w:rStyle w:val="43"/>
                <w:rFonts w:eastAsia="宋体"/>
                <w:color w:val="auto"/>
                <w:highlight w:val="none"/>
                <w:lang w:val="en-US" w:eastAsia="zh-CN" w:bidi="ar"/>
              </w:rPr>
              <w:t>20 μL</w:t>
            </w:r>
            <w:r>
              <w:rPr>
                <w:rStyle w:val="42"/>
                <w:color w:val="auto"/>
                <w:highlight w:val="none"/>
                <w:lang w:val="en-US" w:eastAsia="zh-CN" w:bidi="ar"/>
              </w:rPr>
              <w:t>。</w:t>
            </w:r>
          </w:p>
        </w:tc>
      </w:tr>
      <w:tr w14:paraId="52EAE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4"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0FB8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376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Style w:val="40"/>
                <w:color w:val="auto"/>
                <w:highlight w:val="none"/>
                <w:lang w:val="en-US" w:eastAsia="zh-CN" w:bidi="ar"/>
              </w:rPr>
              <w:t>人白细胞介素</w:t>
            </w:r>
            <w:r>
              <w:rPr>
                <w:rStyle w:val="41"/>
                <w:rFonts w:eastAsia="宋体"/>
                <w:color w:val="auto"/>
                <w:highlight w:val="none"/>
                <w:lang w:val="en-US" w:eastAsia="zh-CN" w:bidi="ar"/>
              </w:rPr>
              <w:t>-1β</w:t>
            </w:r>
            <w:r>
              <w:rPr>
                <w:rStyle w:val="40"/>
                <w:color w:val="auto"/>
                <w:highlight w:val="none"/>
                <w:lang w:val="en-US" w:eastAsia="zh-CN" w:bidi="ar"/>
              </w:rPr>
              <w:t>释放检测试剂盒（</w:t>
            </w:r>
            <w:r>
              <w:rPr>
                <w:rStyle w:val="42"/>
                <w:color w:val="auto"/>
                <w:highlight w:val="none"/>
                <w:lang w:val="en-US" w:eastAsia="zh-CN" w:bidi="ar"/>
              </w:rPr>
              <w:t>双抗体夹心法</w:t>
            </w:r>
            <w:r>
              <w:rPr>
                <w:rStyle w:val="40"/>
                <w:color w:val="auto"/>
                <w:highlight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A6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103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031">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3"/>
                <w:rFonts w:eastAsia="宋体"/>
                <w:color w:val="auto"/>
                <w:highlight w:val="none"/>
                <w:lang w:val="en-US" w:eastAsia="zh-CN" w:bidi="ar"/>
              </w:rPr>
              <w:t>1</w:t>
            </w:r>
            <w:r>
              <w:rPr>
                <w:rStyle w:val="42"/>
                <w:color w:val="auto"/>
                <w:highlight w:val="none"/>
                <w:lang w:val="en-US" w:eastAsia="zh-CN" w:bidi="ar"/>
              </w:rPr>
              <w:t>、检测方法：双抗体夹心法；</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Style w:val="42"/>
                <w:color w:val="auto"/>
                <w:highlight w:val="none"/>
                <w:lang w:val="en-US" w:eastAsia="zh-CN" w:bidi="ar"/>
              </w:rPr>
              <w:t>、规格：</w:t>
            </w:r>
            <w:r>
              <w:rPr>
                <w:rStyle w:val="43"/>
                <w:rFonts w:eastAsia="宋体"/>
                <w:color w:val="auto"/>
                <w:highlight w:val="none"/>
                <w:lang w:val="en-US" w:eastAsia="zh-CN" w:bidi="ar"/>
              </w:rPr>
              <w:t>96T/</w:t>
            </w:r>
            <w:r>
              <w:rPr>
                <w:rStyle w:val="42"/>
                <w:color w:val="auto"/>
                <w:highlight w:val="none"/>
                <w:lang w:val="en-US" w:eastAsia="zh-CN" w:bidi="ar"/>
              </w:rPr>
              <w:t>盒；</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3</w:t>
            </w:r>
            <w:r>
              <w:rPr>
                <w:rFonts w:ascii="宋体" w:hAnsi="宋体" w:eastAsia="宋体" w:cs="宋体"/>
                <w:color w:val="auto"/>
                <w:kern w:val="0"/>
                <w:sz w:val="24"/>
                <w:szCs w:val="24"/>
                <w:highlight w:val="none"/>
                <w:lang w:val="en-US" w:eastAsia="zh-CN" w:bidi="ar"/>
              </w:rPr>
              <w:t>★</w:t>
            </w:r>
            <w:r>
              <w:rPr>
                <w:rStyle w:val="42"/>
                <w:color w:val="auto"/>
                <w:highlight w:val="none"/>
                <w:lang w:val="en-US" w:eastAsia="zh-CN" w:bidi="ar"/>
              </w:rPr>
              <w:t>、</w:t>
            </w:r>
            <w:r>
              <w:rPr>
                <w:rStyle w:val="42"/>
                <w:rFonts w:hint="eastAsia"/>
                <w:color w:val="auto"/>
                <w:highlight w:val="none"/>
                <w:lang w:val="en-US" w:eastAsia="zh-CN" w:bidi="ar"/>
              </w:rPr>
              <w:t>灵敏度≤5pg/ml，检测范围≥10-500pg/ml</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4</w:t>
            </w:r>
            <w:r>
              <w:rPr>
                <w:rStyle w:val="42"/>
                <w:color w:val="auto"/>
                <w:highlight w:val="none"/>
                <w:lang w:val="en-US" w:eastAsia="zh-CN" w:bidi="ar"/>
              </w:rPr>
              <w:t>、反应种属：人；</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5</w:t>
            </w:r>
            <w:r>
              <w:rPr>
                <w:rStyle w:val="42"/>
                <w:color w:val="auto"/>
                <w:highlight w:val="none"/>
                <w:lang w:val="en-US" w:eastAsia="zh-CN" w:bidi="ar"/>
              </w:rPr>
              <w:t>、适用样品类型：血清、血浆、细胞培养上清液、灌洗液、尿液、羊水、腹水、脑脊液、胸腔积液、组织匀浆液等；</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6</w:t>
            </w:r>
            <w:r>
              <w:rPr>
                <w:rFonts w:ascii="宋体" w:hAnsi="宋体" w:eastAsia="宋体" w:cs="宋体"/>
                <w:color w:val="auto"/>
                <w:kern w:val="0"/>
                <w:sz w:val="24"/>
                <w:szCs w:val="24"/>
                <w:highlight w:val="none"/>
                <w:lang w:val="en-US" w:eastAsia="zh-CN" w:bidi="ar"/>
              </w:rPr>
              <w:t>★</w:t>
            </w:r>
            <w:r>
              <w:rPr>
                <w:rStyle w:val="42"/>
                <w:color w:val="auto"/>
                <w:highlight w:val="none"/>
                <w:lang w:val="en-US" w:eastAsia="zh-CN" w:bidi="ar"/>
              </w:rPr>
              <w:t>、交叉反应：与以下细胞因子无明显交叉反应：人白细胞介素</w:t>
            </w:r>
            <w:r>
              <w:rPr>
                <w:rStyle w:val="43"/>
                <w:rFonts w:eastAsia="宋体"/>
                <w:color w:val="auto"/>
                <w:highlight w:val="none"/>
                <w:lang w:val="en-US" w:eastAsia="zh-CN" w:bidi="ar"/>
              </w:rPr>
              <w:t>-1α (IL-1α)</w:t>
            </w:r>
            <w:r>
              <w:rPr>
                <w:rStyle w:val="42"/>
                <w:color w:val="auto"/>
                <w:highlight w:val="none"/>
                <w:lang w:val="en-US" w:eastAsia="zh-CN" w:bidi="ar"/>
              </w:rPr>
              <w:t>、白细胞介素</w:t>
            </w:r>
            <w:r>
              <w:rPr>
                <w:rStyle w:val="43"/>
                <w:rFonts w:eastAsia="宋体"/>
                <w:color w:val="auto"/>
                <w:highlight w:val="none"/>
                <w:lang w:val="en-US" w:eastAsia="zh-CN" w:bidi="ar"/>
              </w:rPr>
              <w:t>-1</w:t>
            </w:r>
            <w:r>
              <w:rPr>
                <w:rStyle w:val="42"/>
                <w:color w:val="auto"/>
                <w:highlight w:val="none"/>
                <w:lang w:val="en-US" w:eastAsia="zh-CN" w:bidi="ar"/>
              </w:rPr>
              <w:t>受体拮抗剂</w:t>
            </w:r>
            <w:r>
              <w:rPr>
                <w:rStyle w:val="43"/>
                <w:rFonts w:eastAsia="宋体"/>
                <w:color w:val="auto"/>
                <w:highlight w:val="none"/>
                <w:lang w:val="en-US" w:eastAsia="zh-CN" w:bidi="ar"/>
              </w:rPr>
              <w:t xml:space="preserve"> (IL-1ra)</w:t>
            </w:r>
            <w:r>
              <w:rPr>
                <w:rStyle w:val="42"/>
                <w:color w:val="auto"/>
                <w:highlight w:val="none"/>
                <w:lang w:val="en-US" w:eastAsia="zh-CN" w:bidi="ar"/>
              </w:rPr>
              <w:t>、白细胞介素</w:t>
            </w:r>
            <w:r>
              <w:rPr>
                <w:rStyle w:val="43"/>
                <w:rFonts w:eastAsia="宋体"/>
                <w:color w:val="auto"/>
                <w:highlight w:val="none"/>
                <w:lang w:val="en-US" w:eastAsia="zh-CN" w:bidi="ar"/>
              </w:rPr>
              <w:t>-2 (IL-2)</w:t>
            </w:r>
            <w:r>
              <w:rPr>
                <w:rStyle w:val="42"/>
                <w:color w:val="auto"/>
                <w:highlight w:val="none"/>
                <w:lang w:val="en-US" w:eastAsia="zh-CN" w:bidi="ar"/>
              </w:rPr>
              <w:t>、白细胞介素</w:t>
            </w:r>
            <w:r>
              <w:rPr>
                <w:rStyle w:val="43"/>
                <w:rFonts w:eastAsia="宋体"/>
                <w:color w:val="auto"/>
                <w:highlight w:val="none"/>
                <w:lang w:val="en-US" w:eastAsia="zh-CN" w:bidi="ar"/>
              </w:rPr>
              <w:t>-4 (IL-4)</w:t>
            </w:r>
            <w:r>
              <w:rPr>
                <w:rStyle w:val="42"/>
                <w:color w:val="auto"/>
                <w:highlight w:val="none"/>
                <w:lang w:val="en-US" w:eastAsia="zh-CN" w:bidi="ar"/>
              </w:rPr>
              <w:t>、白细胞介素</w:t>
            </w:r>
            <w:r>
              <w:rPr>
                <w:rStyle w:val="43"/>
                <w:rFonts w:eastAsia="宋体"/>
                <w:color w:val="auto"/>
                <w:highlight w:val="none"/>
                <w:lang w:val="en-US" w:eastAsia="zh-CN" w:bidi="ar"/>
              </w:rPr>
              <w:t>-18 (IL-18)</w:t>
            </w:r>
            <w:r>
              <w:rPr>
                <w:rStyle w:val="42"/>
                <w:color w:val="auto"/>
                <w:highlight w:val="none"/>
                <w:lang w:val="en-US" w:eastAsia="zh-CN" w:bidi="ar"/>
              </w:rPr>
              <w:t>、</w:t>
            </w:r>
            <w:r>
              <w:rPr>
                <w:rStyle w:val="43"/>
                <w:rFonts w:eastAsia="宋体"/>
                <w:color w:val="auto"/>
                <w:highlight w:val="none"/>
                <w:lang w:val="en-US" w:eastAsia="zh-CN" w:bidi="ar"/>
              </w:rPr>
              <w:t>γ</w:t>
            </w:r>
            <w:r>
              <w:rPr>
                <w:rStyle w:val="42"/>
                <w:color w:val="auto"/>
                <w:highlight w:val="none"/>
                <w:lang w:val="en-US" w:eastAsia="zh-CN" w:bidi="ar"/>
              </w:rPr>
              <w:t>干扰素</w:t>
            </w:r>
            <w:r>
              <w:rPr>
                <w:rStyle w:val="43"/>
                <w:rFonts w:eastAsia="宋体"/>
                <w:color w:val="auto"/>
                <w:highlight w:val="none"/>
                <w:lang w:val="en-US" w:eastAsia="zh-CN" w:bidi="ar"/>
              </w:rPr>
              <w:t xml:space="preserve"> (IFN-γ)</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7</w:t>
            </w:r>
            <w:r>
              <w:rPr>
                <w:rStyle w:val="42"/>
                <w:color w:val="auto"/>
                <w:highlight w:val="none"/>
                <w:lang w:val="en-US" w:eastAsia="zh-CN" w:bidi="ar"/>
              </w:rPr>
              <w:t>、样本用量：</w:t>
            </w:r>
            <w:r>
              <w:rPr>
                <w:rStyle w:val="43"/>
                <w:rFonts w:eastAsia="宋体"/>
                <w:color w:val="auto"/>
                <w:highlight w:val="none"/>
                <w:lang w:val="en-US" w:eastAsia="zh-CN" w:bidi="ar"/>
              </w:rPr>
              <w:t>100μl/</w:t>
            </w:r>
            <w:r>
              <w:rPr>
                <w:rStyle w:val="42"/>
                <w:color w:val="auto"/>
                <w:highlight w:val="none"/>
                <w:lang w:val="en-US" w:eastAsia="zh-CN" w:bidi="ar"/>
              </w:rPr>
              <w:t>孔。</w:t>
            </w:r>
          </w:p>
        </w:tc>
      </w:tr>
      <w:tr w14:paraId="6BB90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3BB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05302">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Style w:val="40"/>
                <w:color w:val="auto"/>
                <w:highlight w:val="none"/>
                <w:lang w:val="en-US" w:eastAsia="zh-CN" w:bidi="ar"/>
              </w:rPr>
              <w:t>小鼠白介素</w:t>
            </w:r>
            <w:r>
              <w:rPr>
                <w:rStyle w:val="41"/>
                <w:rFonts w:eastAsia="宋体"/>
                <w:color w:val="auto"/>
                <w:highlight w:val="none"/>
                <w:lang w:val="en-US" w:eastAsia="zh-CN" w:bidi="ar"/>
              </w:rPr>
              <w:t>-1β</w:t>
            </w:r>
            <w:r>
              <w:rPr>
                <w:rStyle w:val="40"/>
                <w:color w:val="auto"/>
                <w:highlight w:val="none"/>
                <w:lang w:val="en-US" w:eastAsia="zh-CN" w:bidi="ar"/>
              </w:rPr>
              <w:t>检测试剂盒（</w:t>
            </w:r>
            <w:r>
              <w:rPr>
                <w:rStyle w:val="44"/>
                <w:color w:val="auto"/>
                <w:highlight w:val="none"/>
                <w:lang w:val="en-US" w:eastAsia="zh-CN" w:bidi="ar"/>
              </w:rPr>
              <w:t>双抗体夹心法</w:t>
            </w:r>
            <w:r>
              <w:rPr>
                <w:rStyle w:val="40"/>
                <w:color w:val="auto"/>
                <w:highlight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6F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586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BD7D">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Fonts w:hint="default" w:ascii="Times New Roman" w:hAnsi="Times New Roman" w:eastAsia="宋体" w:cs="Times New Roman"/>
                <w:i w:val="0"/>
                <w:iCs w:val="0"/>
                <w:color w:val="auto"/>
                <w:kern w:val="0"/>
                <w:sz w:val="22"/>
                <w:szCs w:val="22"/>
                <w:highlight w:val="none"/>
                <w:u w:val="none"/>
                <w:lang w:val="en-US" w:eastAsia="zh-CN" w:bidi="ar"/>
              </w:rPr>
              <w:t>1</w:t>
            </w:r>
            <w:r>
              <w:rPr>
                <w:rStyle w:val="44"/>
                <w:color w:val="auto"/>
                <w:highlight w:val="none"/>
                <w:lang w:val="en-US" w:eastAsia="zh-CN" w:bidi="ar"/>
              </w:rPr>
              <w:t>、检测方法：双抗体夹心法；</w:t>
            </w:r>
            <w:r>
              <w:rPr>
                <w:rFonts w:hint="default" w:ascii="Times New Roman" w:hAnsi="Times New Roman" w:eastAsia="宋体" w:cs="Times New Roman"/>
                <w:i w:val="0"/>
                <w:iCs w:val="0"/>
                <w:color w:val="auto"/>
                <w:kern w:val="0"/>
                <w:sz w:val="22"/>
                <w:szCs w:val="22"/>
                <w:highlight w:val="none"/>
                <w:u w:val="none"/>
                <w:lang w:val="en-US" w:eastAsia="zh-CN" w:bidi="ar"/>
              </w:rPr>
              <w:br w:type="textWrapping"/>
            </w:r>
            <w:r>
              <w:rPr>
                <w:rFonts w:hint="default" w:ascii="Times New Roman" w:hAnsi="Times New Roman" w:eastAsia="宋体" w:cs="Times New Roman"/>
                <w:i w:val="0"/>
                <w:iCs w:val="0"/>
                <w:color w:val="auto"/>
                <w:kern w:val="0"/>
                <w:sz w:val="22"/>
                <w:szCs w:val="22"/>
                <w:highlight w:val="none"/>
                <w:u w:val="none"/>
                <w:lang w:val="en-US" w:eastAsia="zh-CN" w:bidi="ar"/>
              </w:rPr>
              <w:t>2</w:t>
            </w:r>
            <w:r>
              <w:rPr>
                <w:rStyle w:val="44"/>
                <w:color w:val="auto"/>
                <w:highlight w:val="none"/>
                <w:lang w:val="en-US" w:eastAsia="zh-CN" w:bidi="ar"/>
              </w:rPr>
              <w:t>、规格：</w:t>
            </w:r>
            <w:r>
              <w:rPr>
                <w:rFonts w:hint="default" w:ascii="Times New Roman" w:hAnsi="Times New Roman" w:eastAsia="宋体" w:cs="Times New Roman"/>
                <w:i w:val="0"/>
                <w:iCs w:val="0"/>
                <w:color w:val="auto"/>
                <w:kern w:val="0"/>
                <w:sz w:val="22"/>
                <w:szCs w:val="22"/>
                <w:highlight w:val="none"/>
                <w:u w:val="none"/>
                <w:lang w:val="en-US" w:eastAsia="zh-CN" w:bidi="ar"/>
              </w:rPr>
              <w:t>96T/</w:t>
            </w:r>
            <w:r>
              <w:rPr>
                <w:rStyle w:val="44"/>
                <w:color w:val="auto"/>
                <w:highlight w:val="none"/>
                <w:lang w:val="en-US" w:eastAsia="zh-CN" w:bidi="ar"/>
              </w:rPr>
              <w:t>盒；</w:t>
            </w:r>
            <w:r>
              <w:rPr>
                <w:rFonts w:hint="default" w:ascii="Times New Roman" w:hAnsi="Times New Roman" w:eastAsia="宋体" w:cs="Times New Roman"/>
                <w:i w:val="0"/>
                <w:iCs w:val="0"/>
                <w:color w:val="auto"/>
                <w:kern w:val="0"/>
                <w:sz w:val="22"/>
                <w:szCs w:val="22"/>
                <w:highlight w:val="none"/>
                <w:u w:val="none"/>
                <w:lang w:val="en-US" w:eastAsia="zh-CN" w:bidi="ar"/>
              </w:rPr>
              <w:br w:type="textWrapping"/>
            </w:r>
            <w:r>
              <w:rPr>
                <w:rFonts w:hint="default" w:ascii="Times New Roman" w:hAnsi="Times New Roman" w:eastAsia="宋体" w:cs="Times New Roman"/>
                <w:i w:val="0"/>
                <w:iCs w:val="0"/>
                <w:color w:val="auto"/>
                <w:kern w:val="0"/>
                <w:sz w:val="22"/>
                <w:szCs w:val="22"/>
                <w:highlight w:val="none"/>
                <w:u w:val="none"/>
                <w:lang w:val="en-US" w:eastAsia="zh-CN" w:bidi="ar"/>
              </w:rPr>
              <w:t>3</w:t>
            </w:r>
            <w:r>
              <w:rPr>
                <w:rFonts w:ascii="宋体" w:hAnsi="宋体" w:eastAsia="宋体" w:cs="宋体"/>
                <w:color w:val="auto"/>
                <w:kern w:val="0"/>
                <w:sz w:val="24"/>
                <w:szCs w:val="24"/>
                <w:highlight w:val="none"/>
                <w:lang w:val="en-US" w:eastAsia="zh-CN" w:bidi="ar"/>
              </w:rPr>
              <w:t>★</w:t>
            </w:r>
            <w:r>
              <w:rPr>
                <w:rStyle w:val="44"/>
                <w:color w:val="auto"/>
                <w:highlight w:val="none"/>
                <w:lang w:val="en-US" w:eastAsia="zh-CN" w:bidi="ar"/>
              </w:rPr>
              <w:t>、灵敏度：</w:t>
            </w:r>
            <w:r>
              <w:rPr>
                <w:rFonts w:hint="default" w:ascii="Times New Roman" w:hAnsi="Times New Roman" w:eastAsia="宋体" w:cs="Times New Roman"/>
                <w:i w:val="0"/>
                <w:iCs w:val="0"/>
                <w:color w:val="auto"/>
                <w:kern w:val="0"/>
                <w:sz w:val="22"/>
                <w:szCs w:val="22"/>
                <w:highlight w:val="none"/>
                <w:u w:val="none"/>
                <w:lang w:val="en-US" w:eastAsia="zh-CN" w:bidi="ar"/>
              </w:rPr>
              <w:t>7.8pg/ml</w:t>
            </w:r>
            <w:r>
              <w:rPr>
                <w:rStyle w:val="44"/>
                <w:color w:val="auto"/>
                <w:highlight w:val="none"/>
                <w:lang w:val="en-US" w:eastAsia="zh-CN" w:bidi="ar"/>
              </w:rPr>
              <w:t>；检测范围：</w:t>
            </w:r>
            <w:r>
              <w:rPr>
                <w:rFonts w:hint="default" w:ascii="Times New Roman" w:hAnsi="Times New Roman" w:eastAsia="宋体" w:cs="Times New Roman"/>
                <w:i w:val="0"/>
                <w:iCs w:val="0"/>
                <w:color w:val="auto"/>
                <w:kern w:val="0"/>
                <w:sz w:val="22"/>
                <w:szCs w:val="22"/>
                <w:highlight w:val="none"/>
                <w:u w:val="none"/>
                <w:lang w:val="en-US" w:eastAsia="zh-CN" w:bidi="ar"/>
              </w:rPr>
              <w:t>15.6-1000pg/ml</w:t>
            </w:r>
            <w:r>
              <w:rPr>
                <w:rStyle w:val="44"/>
                <w:color w:val="auto"/>
                <w:highlight w:val="none"/>
                <w:lang w:val="en-US" w:eastAsia="zh-CN" w:bidi="ar"/>
              </w:rPr>
              <w:t>；</w:t>
            </w:r>
            <w:r>
              <w:rPr>
                <w:rFonts w:hint="default" w:ascii="Times New Roman" w:hAnsi="Times New Roman" w:eastAsia="宋体" w:cs="Times New Roman"/>
                <w:i w:val="0"/>
                <w:iCs w:val="0"/>
                <w:color w:val="auto"/>
                <w:kern w:val="0"/>
                <w:sz w:val="22"/>
                <w:szCs w:val="22"/>
                <w:highlight w:val="none"/>
                <w:u w:val="none"/>
                <w:lang w:val="en-US" w:eastAsia="zh-CN" w:bidi="ar"/>
              </w:rPr>
              <w:br w:type="textWrapping"/>
            </w:r>
            <w:r>
              <w:rPr>
                <w:rFonts w:hint="eastAsia" w:ascii="Times New Roman" w:hAnsi="Times New Roman" w:cs="Times New Roman"/>
                <w:i w:val="0"/>
                <w:iCs w:val="0"/>
                <w:color w:val="auto"/>
                <w:kern w:val="0"/>
                <w:sz w:val="22"/>
                <w:szCs w:val="22"/>
                <w:highlight w:val="none"/>
                <w:u w:val="none"/>
                <w:lang w:val="en-US" w:eastAsia="zh-CN" w:bidi="ar"/>
              </w:rPr>
              <w:t>4</w:t>
            </w:r>
            <w:r>
              <w:rPr>
                <w:rStyle w:val="44"/>
                <w:color w:val="auto"/>
                <w:highlight w:val="none"/>
                <w:lang w:val="en-US" w:eastAsia="zh-CN" w:bidi="ar"/>
              </w:rPr>
              <w:t>、反应种属：小鼠；</w:t>
            </w:r>
            <w:r>
              <w:rPr>
                <w:rFonts w:hint="default" w:ascii="Times New Roman" w:hAnsi="Times New Roman" w:eastAsia="宋体" w:cs="Times New Roman"/>
                <w:i w:val="0"/>
                <w:iCs w:val="0"/>
                <w:color w:val="auto"/>
                <w:kern w:val="0"/>
                <w:sz w:val="22"/>
                <w:szCs w:val="22"/>
                <w:highlight w:val="none"/>
                <w:u w:val="none"/>
                <w:lang w:val="en-US" w:eastAsia="zh-CN" w:bidi="ar"/>
              </w:rPr>
              <w:br w:type="textWrapping"/>
            </w:r>
            <w:r>
              <w:rPr>
                <w:rFonts w:hint="eastAsia" w:ascii="Times New Roman" w:hAnsi="Times New Roman" w:cs="Times New Roman"/>
                <w:i w:val="0"/>
                <w:iCs w:val="0"/>
                <w:color w:val="auto"/>
                <w:kern w:val="0"/>
                <w:sz w:val="22"/>
                <w:szCs w:val="22"/>
                <w:highlight w:val="none"/>
                <w:u w:val="none"/>
                <w:lang w:val="en-US" w:eastAsia="zh-CN" w:bidi="ar"/>
              </w:rPr>
              <w:t>5</w:t>
            </w:r>
            <w:r>
              <w:rPr>
                <w:rStyle w:val="44"/>
                <w:color w:val="auto"/>
                <w:highlight w:val="none"/>
                <w:lang w:val="en-US" w:eastAsia="zh-CN" w:bidi="ar"/>
              </w:rPr>
              <w:t>、适用样品类型：血清、血浆、细胞培养上清液、灌洗液、尿液、羊水、腹水、脑脊液、胸腔积液、组织匀浆液等；</w:t>
            </w:r>
            <w:r>
              <w:rPr>
                <w:rFonts w:hint="default" w:ascii="Times New Roman" w:hAnsi="Times New Roman" w:eastAsia="宋体" w:cs="Times New Roman"/>
                <w:i w:val="0"/>
                <w:iCs w:val="0"/>
                <w:color w:val="auto"/>
                <w:kern w:val="0"/>
                <w:sz w:val="22"/>
                <w:szCs w:val="22"/>
                <w:highlight w:val="none"/>
                <w:u w:val="none"/>
                <w:lang w:val="en-US" w:eastAsia="zh-CN" w:bidi="ar"/>
              </w:rPr>
              <w:br w:type="textWrapping"/>
            </w:r>
            <w:r>
              <w:rPr>
                <w:rFonts w:hint="eastAsia" w:ascii="Times New Roman" w:hAnsi="Times New Roman" w:cs="Times New Roman"/>
                <w:i w:val="0"/>
                <w:iCs w:val="0"/>
                <w:color w:val="auto"/>
                <w:kern w:val="0"/>
                <w:sz w:val="22"/>
                <w:szCs w:val="22"/>
                <w:highlight w:val="none"/>
                <w:u w:val="none"/>
                <w:lang w:val="en-US" w:eastAsia="zh-CN" w:bidi="ar"/>
              </w:rPr>
              <w:t>6</w:t>
            </w:r>
            <w:r>
              <w:rPr>
                <w:rFonts w:ascii="宋体" w:hAnsi="宋体" w:eastAsia="宋体" w:cs="宋体"/>
                <w:color w:val="auto"/>
                <w:kern w:val="0"/>
                <w:sz w:val="24"/>
                <w:szCs w:val="24"/>
                <w:highlight w:val="none"/>
                <w:lang w:val="en-US" w:eastAsia="zh-CN" w:bidi="ar"/>
              </w:rPr>
              <w:t>★</w:t>
            </w:r>
            <w:r>
              <w:rPr>
                <w:rStyle w:val="44"/>
                <w:color w:val="auto"/>
                <w:highlight w:val="none"/>
                <w:lang w:val="en-US" w:eastAsia="zh-CN" w:bidi="ar"/>
              </w:rPr>
              <w:t>、交叉反应：与以下细胞因子无明显交叉反应：小鼠白介素</w:t>
            </w:r>
            <w:r>
              <w:rPr>
                <w:rFonts w:hint="default" w:ascii="Times New Roman" w:hAnsi="Times New Roman" w:eastAsia="宋体" w:cs="Times New Roman"/>
                <w:i w:val="0"/>
                <w:iCs w:val="0"/>
                <w:color w:val="auto"/>
                <w:kern w:val="0"/>
                <w:sz w:val="22"/>
                <w:szCs w:val="22"/>
                <w:highlight w:val="none"/>
                <w:u w:val="none"/>
                <w:lang w:val="en-US" w:eastAsia="zh-CN" w:bidi="ar"/>
              </w:rPr>
              <w:t>-1α</w:t>
            </w:r>
            <w:r>
              <w:rPr>
                <w:rStyle w:val="44"/>
                <w:color w:val="auto"/>
                <w:highlight w:val="none"/>
                <w:lang w:val="en-US" w:eastAsia="zh-CN" w:bidi="ar"/>
              </w:rPr>
              <w:t>、白介素</w:t>
            </w:r>
            <w:r>
              <w:rPr>
                <w:rFonts w:hint="default" w:ascii="Times New Roman" w:hAnsi="Times New Roman" w:eastAsia="宋体" w:cs="Times New Roman"/>
                <w:i w:val="0"/>
                <w:iCs w:val="0"/>
                <w:color w:val="auto"/>
                <w:kern w:val="0"/>
                <w:sz w:val="22"/>
                <w:szCs w:val="22"/>
                <w:highlight w:val="none"/>
                <w:u w:val="none"/>
                <w:lang w:val="en-US" w:eastAsia="zh-CN" w:bidi="ar"/>
              </w:rPr>
              <w:t>-2</w:t>
            </w:r>
            <w:r>
              <w:rPr>
                <w:rStyle w:val="44"/>
                <w:color w:val="auto"/>
                <w:highlight w:val="none"/>
                <w:lang w:val="en-US" w:eastAsia="zh-CN" w:bidi="ar"/>
              </w:rPr>
              <w:t>、白介素</w:t>
            </w:r>
            <w:r>
              <w:rPr>
                <w:rFonts w:hint="default" w:ascii="Times New Roman" w:hAnsi="Times New Roman" w:eastAsia="宋体" w:cs="Times New Roman"/>
                <w:i w:val="0"/>
                <w:iCs w:val="0"/>
                <w:color w:val="auto"/>
                <w:kern w:val="0"/>
                <w:sz w:val="22"/>
                <w:szCs w:val="22"/>
                <w:highlight w:val="none"/>
                <w:u w:val="none"/>
                <w:lang w:val="en-US" w:eastAsia="zh-CN" w:bidi="ar"/>
              </w:rPr>
              <w:t>-3</w:t>
            </w:r>
            <w:r>
              <w:rPr>
                <w:rStyle w:val="44"/>
                <w:color w:val="auto"/>
                <w:highlight w:val="none"/>
                <w:lang w:val="en-US" w:eastAsia="zh-CN" w:bidi="ar"/>
              </w:rPr>
              <w:t>、白介素</w:t>
            </w:r>
            <w:r>
              <w:rPr>
                <w:rFonts w:hint="default" w:ascii="Times New Roman" w:hAnsi="Times New Roman" w:eastAsia="宋体" w:cs="Times New Roman"/>
                <w:i w:val="0"/>
                <w:iCs w:val="0"/>
                <w:color w:val="auto"/>
                <w:kern w:val="0"/>
                <w:sz w:val="22"/>
                <w:szCs w:val="22"/>
                <w:highlight w:val="none"/>
                <w:u w:val="none"/>
                <w:lang w:val="en-US" w:eastAsia="zh-CN" w:bidi="ar"/>
              </w:rPr>
              <w:t>-4</w:t>
            </w:r>
            <w:r>
              <w:rPr>
                <w:rStyle w:val="44"/>
                <w:color w:val="auto"/>
                <w:highlight w:val="none"/>
                <w:lang w:val="en-US" w:eastAsia="zh-CN" w:bidi="ar"/>
              </w:rPr>
              <w:t>、白介素</w:t>
            </w:r>
            <w:r>
              <w:rPr>
                <w:rFonts w:hint="default" w:ascii="Times New Roman" w:hAnsi="Times New Roman" w:eastAsia="宋体" w:cs="Times New Roman"/>
                <w:i w:val="0"/>
                <w:iCs w:val="0"/>
                <w:color w:val="auto"/>
                <w:kern w:val="0"/>
                <w:sz w:val="22"/>
                <w:szCs w:val="22"/>
                <w:highlight w:val="none"/>
                <w:u w:val="none"/>
                <w:lang w:val="en-US" w:eastAsia="zh-CN" w:bidi="ar"/>
              </w:rPr>
              <w:t>-6</w:t>
            </w:r>
            <w:r>
              <w:rPr>
                <w:rStyle w:val="44"/>
                <w:color w:val="auto"/>
                <w:highlight w:val="none"/>
                <w:lang w:val="en-US" w:eastAsia="zh-CN" w:bidi="ar"/>
              </w:rPr>
              <w:t>、肿瘤坏死因子</w:t>
            </w:r>
            <w:r>
              <w:rPr>
                <w:rFonts w:hint="default" w:ascii="Times New Roman" w:hAnsi="Times New Roman" w:eastAsia="宋体" w:cs="Times New Roman"/>
                <w:i w:val="0"/>
                <w:iCs w:val="0"/>
                <w:color w:val="auto"/>
                <w:kern w:val="0"/>
                <w:sz w:val="22"/>
                <w:szCs w:val="22"/>
                <w:highlight w:val="none"/>
                <w:u w:val="none"/>
                <w:lang w:val="en-US" w:eastAsia="zh-CN" w:bidi="ar"/>
              </w:rPr>
              <w:t>-α</w:t>
            </w:r>
            <w:r>
              <w:rPr>
                <w:rFonts w:hint="default" w:ascii="Times New Roman" w:hAnsi="Times New Roman" w:eastAsia="宋体" w:cs="Times New Roman"/>
                <w:i w:val="0"/>
                <w:iCs w:val="0"/>
                <w:color w:val="auto"/>
                <w:kern w:val="0"/>
                <w:sz w:val="22"/>
                <w:szCs w:val="22"/>
                <w:highlight w:val="none"/>
                <w:u w:val="none"/>
                <w:lang w:val="en-US" w:eastAsia="zh-CN" w:bidi="ar"/>
              </w:rPr>
              <w:br w:type="textWrapping"/>
            </w:r>
            <w:r>
              <w:rPr>
                <w:rFonts w:hint="eastAsia" w:ascii="Times New Roman" w:hAnsi="Times New Roman" w:cs="Times New Roman"/>
                <w:i w:val="0"/>
                <w:iCs w:val="0"/>
                <w:color w:val="auto"/>
                <w:kern w:val="0"/>
                <w:sz w:val="22"/>
                <w:szCs w:val="22"/>
                <w:highlight w:val="none"/>
                <w:u w:val="none"/>
                <w:lang w:val="en-US" w:eastAsia="zh-CN" w:bidi="ar"/>
              </w:rPr>
              <w:t>7</w:t>
            </w:r>
            <w:r>
              <w:rPr>
                <w:rStyle w:val="44"/>
                <w:color w:val="auto"/>
                <w:highlight w:val="none"/>
                <w:lang w:val="en-US" w:eastAsia="zh-CN" w:bidi="ar"/>
              </w:rPr>
              <w:t>、样本用量：</w:t>
            </w:r>
            <w:r>
              <w:rPr>
                <w:rFonts w:hint="default" w:ascii="Times New Roman" w:hAnsi="Times New Roman" w:eastAsia="宋体" w:cs="Times New Roman"/>
                <w:i w:val="0"/>
                <w:iCs w:val="0"/>
                <w:color w:val="auto"/>
                <w:kern w:val="0"/>
                <w:sz w:val="22"/>
                <w:szCs w:val="22"/>
                <w:highlight w:val="none"/>
                <w:u w:val="none"/>
                <w:lang w:val="en-US" w:eastAsia="zh-CN" w:bidi="ar"/>
              </w:rPr>
              <w:t>100μl/</w:t>
            </w:r>
            <w:r>
              <w:rPr>
                <w:rStyle w:val="44"/>
                <w:color w:val="auto"/>
                <w:highlight w:val="none"/>
                <w:lang w:val="en-US" w:eastAsia="zh-CN" w:bidi="ar"/>
              </w:rPr>
              <w:t>孔。</w:t>
            </w:r>
          </w:p>
        </w:tc>
      </w:tr>
      <w:tr w14:paraId="3FC9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641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11</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48C8">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Style w:val="40"/>
                <w:color w:val="auto"/>
                <w:highlight w:val="none"/>
                <w:lang w:val="en-US" w:eastAsia="zh-CN" w:bidi="ar"/>
              </w:rPr>
              <w:t>人肿瘤坏死因子</w:t>
            </w:r>
            <w:r>
              <w:rPr>
                <w:rStyle w:val="41"/>
                <w:rFonts w:eastAsia="宋体"/>
                <w:color w:val="auto"/>
                <w:highlight w:val="none"/>
                <w:lang w:val="en-US" w:eastAsia="zh-CN" w:bidi="ar"/>
              </w:rPr>
              <w:t>-α</w:t>
            </w:r>
            <w:r>
              <w:rPr>
                <w:rStyle w:val="40"/>
                <w:color w:val="auto"/>
                <w:highlight w:val="none"/>
                <w:lang w:val="en-US" w:eastAsia="zh-CN" w:bidi="ar"/>
              </w:rPr>
              <w:t>释放检测试剂盒（</w:t>
            </w:r>
            <w:r>
              <w:rPr>
                <w:rStyle w:val="42"/>
                <w:color w:val="auto"/>
                <w:highlight w:val="none"/>
                <w:lang w:val="en-US" w:eastAsia="zh-CN" w:bidi="ar"/>
              </w:rPr>
              <w:t>双抗体夹心法）</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21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E22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E309">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3"/>
                <w:rFonts w:eastAsia="宋体"/>
                <w:color w:val="auto"/>
                <w:highlight w:val="none"/>
                <w:lang w:val="en-US" w:eastAsia="zh-CN" w:bidi="ar"/>
              </w:rPr>
              <w:t>1</w:t>
            </w:r>
            <w:r>
              <w:rPr>
                <w:rStyle w:val="42"/>
                <w:color w:val="auto"/>
                <w:highlight w:val="none"/>
                <w:lang w:val="en-US" w:eastAsia="zh-CN" w:bidi="ar"/>
              </w:rPr>
              <w:t>、检测方法：双抗体夹心法；</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Style w:val="42"/>
                <w:color w:val="auto"/>
                <w:highlight w:val="none"/>
                <w:lang w:val="en-US" w:eastAsia="zh-CN" w:bidi="ar"/>
              </w:rPr>
              <w:t>、规格：</w:t>
            </w:r>
            <w:r>
              <w:rPr>
                <w:rStyle w:val="43"/>
                <w:rFonts w:eastAsia="宋体"/>
                <w:color w:val="auto"/>
                <w:highlight w:val="none"/>
                <w:lang w:val="en-US" w:eastAsia="zh-CN" w:bidi="ar"/>
              </w:rPr>
              <w:t>96T/</w:t>
            </w:r>
            <w:r>
              <w:rPr>
                <w:rStyle w:val="42"/>
                <w:color w:val="auto"/>
                <w:highlight w:val="none"/>
                <w:lang w:val="en-US" w:eastAsia="zh-CN" w:bidi="ar"/>
              </w:rPr>
              <w:t>盒；</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3</w:t>
            </w:r>
            <w:r>
              <w:rPr>
                <w:rFonts w:ascii="宋体" w:hAnsi="宋体" w:eastAsia="宋体" w:cs="宋体"/>
                <w:color w:val="auto"/>
                <w:kern w:val="0"/>
                <w:sz w:val="24"/>
                <w:szCs w:val="24"/>
                <w:highlight w:val="none"/>
                <w:lang w:val="en-US" w:eastAsia="zh-CN" w:bidi="ar"/>
              </w:rPr>
              <w:t>★</w:t>
            </w:r>
            <w:r>
              <w:rPr>
                <w:rStyle w:val="42"/>
                <w:color w:val="auto"/>
                <w:highlight w:val="none"/>
                <w:lang w:val="en-US" w:eastAsia="zh-CN" w:bidi="ar"/>
              </w:rPr>
              <w:t>、灵敏度：</w:t>
            </w:r>
            <w:r>
              <w:rPr>
                <w:rStyle w:val="43"/>
                <w:rFonts w:eastAsia="宋体"/>
                <w:color w:val="auto"/>
                <w:highlight w:val="none"/>
                <w:lang w:val="en-US" w:eastAsia="zh-CN" w:bidi="ar"/>
              </w:rPr>
              <w:t>7.8pg/ml</w:t>
            </w:r>
            <w:r>
              <w:rPr>
                <w:rStyle w:val="42"/>
                <w:color w:val="auto"/>
                <w:highlight w:val="none"/>
                <w:lang w:val="en-US" w:eastAsia="zh-CN" w:bidi="ar"/>
              </w:rPr>
              <w:t>；检测范围：</w:t>
            </w:r>
            <w:r>
              <w:rPr>
                <w:rStyle w:val="43"/>
                <w:rFonts w:eastAsia="宋体"/>
                <w:color w:val="auto"/>
                <w:highlight w:val="none"/>
                <w:lang w:val="en-US" w:eastAsia="zh-CN" w:bidi="ar"/>
              </w:rPr>
              <w:t>15.6-1000pg/ml</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4</w:t>
            </w:r>
            <w:r>
              <w:rPr>
                <w:rStyle w:val="42"/>
                <w:color w:val="auto"/>
                <w:highlight w:val="none"/>
                <w:lang w:val="en-US" w:eastAsia="zh-CN" w:bidi="ar"/>
              </w:rPr>
              <w:t>、反应种属：人；</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5</w:t>
            </w:r>
            <w:r>
              <w:rPr>
                <w:rStyle w:val="42"/>
                <w:color w:val="auto"/>
                <w:highlight w:val="none"/>
                <w:lang w:val="en-US" w:eastAsia="zh-CN" w:bidi="ar"/>
              </w:rPr>
              <w:t>、适用样品类型：血清、血浆、细胞培养上清液、灌洗液、尿液、羊水、腹水、脑脊液、胸腔积液、组织匀浆液等；</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6</w:t>
            </w:r>
            <w:r>
              <w:rPr>
                <w:rStyle w:val="42"/>
                <w:color w:val="auto"/>
                <w:highlight w:val="none"/>
                <w:lang w:val="en-US" w:eastAsia="zh-CN" w:bidi="ar"/>
              </w:rPr>
              <w:t>、样本用量：</w:t>
            </w:r>
            <w:r>
              <w:rPr>
                <w:rStyle w:val="43"/>
                <w:rFonts w:eastAsia="宋体"/>
                <w:color w:val="auto"/>
                <w:highlight w:val="none"/>
                <w:lang w:val="en-US" w:eastAsia="zh-CN" w:bidi="ar"/>
              </w:rPr>
              <w:t>100μl/</w:t>
            </w:r>
            <w:r>
              <w:rPr>
                <w:rStyle w:val="42"/>
                <w:color w:val="auto"/>
                <w:highlight w:val="none"/>
                <w:lang w:val="en-US" w:eastAsia="zh-CN" w:bidi="ar"/>
              </w:rPr>
              <w:t>孔。</w:t>
            </w:r>
          </w:p>
        </w:tc>
      </w:tr>
      <w:tr w14:paraId="3049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626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1DE7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人白细胞介素-2释放检测试剂盒</w:t>
            </w:r>
            <w:r>
              <w:rPr>
                <w:rFonts w:hint="eastAsia" w:cs="宋体"/>
                <w:i w:val="0"/>
                <w:iCs w:val="0"/>
                <w:color w:val="auto"/>
                <w:kern w:val="0"/>
                <w:sz w:val="18"/>
                <w:szCs w:val="18"/>
                <w:highlight w:val="none"/>
                <w:u w:val="none"/>
                <w:lang w:val="en-US" w:eastAsia="zh-CN" w:bidi="ar"/>
              </w:rPr>
              <w:t>（</w:t>
            </w:r>
            <w:r>
              <w:rPr>
                <w:rStyle w:val="42"/>
                <w:color w:val="auto"/>
                <w:highlight w:val="none"/>
                <w:lang w:val="en-US" w:eastAsia="zh-CN" w:bidi="ar"/>
              </w:rPr>
              <w:t>双抗体夹心法）</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14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12B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2A54">
            <w:pPr>
              <w:keepNext w:val="0"/>
              <w:keepLines w:val="0"/>
              <w:widowControl/>
              <w:numPr>
                <w:ilvl w:val="0"/>
                <w:numId w:val="4"/>
              </w:numPr>
              <w:suppressLineNumbers w:val="0"/>
              <w:jc w:val="left"/>
              <w:textAlignment w:val="center"/>
              <w:rPr>
                <w:rStyle w:val="42"/>
                <w:color w:val="auto"/>
                <w:highlight w:val="none"/>
                <w:lang w:val="en-US" w:eastAsia="zh-CN" w:bidi="ar"/>
              </w:rPr>
            </w:pPr>
            <w:r>
              <w:rPr>
                <w:rStyle w:val="42"/>
                <w:color w:val="auto"/>
                <w:highlight w:val="none"/>
                <w:lang w:val="en-US" w:eastAsia="zh-CN" w:bidi="ar"/>
              </w:rPr>
              <w:t>检测方法：双抗体夹心法；</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Fonts w:ascii="宋体" w:hAnsi="宋体" w:eastAsia="宋体" w:cs="宋体"/>
                <w:color w:val="auto"/>
                <w:kern w:val="0"/>
                <w:sz w:val="24"/>
                <w:szCs w:val="24"/>
                <w:highlight w:val="none"/>
                <w:lang w:val="en-US" w:eastAsia="zh-CN" w:bidi="ar"/>
              </w:rPr>
              <w:t>★</w:t>
            </w:r>
            <w:r>
              <w:rPr>
                <w:rStyle w:val="42"/>
                <w:color w:val="auto"/>
                <w:highlight w:val="none"/>
                <w:lang w:val="en-US" w:eastAsia="zh-CN" w:bidi="ar"/>
              </w:rPr>
              <w:t>、规格：</w:t>
            </w:r>
            <w:r>
              <w:rPr>
                <w:rStyle w:val="43"/>
                <w:rFonts w:eastAsia="宋体"/>
                <w:color w:val="auto"/>
                <w:highlight w:val="none"/>
                <w:lang w:val="en-US" w:eastAsia="zh-CN" w:bidi="ar"/>
              </w:rPr>
              <w:t>96T/</w:t>
            </w:r>
            <w:r>
              <w:rPr>
                <w:rStyle w:val="42"/>
                <w:color w:val="auto"/>
                <w:highlight w:val="none"/>
                <w:lang w:val="en-US" w:eastAsia="zh-CN" w:bidi="ar"/>
              </w:rPr>
              <w:t>盒；</w:t>
            </w:r>
          </w:p>
          <w:p w14:paraId="09BD09A7">
            <w:pPr>
              <w:keepNext w:val="0"/>
              <w:keepLines w:val="0"/>
              <w:widowControl/>
              <w:numPr>
                <w:ilvl w:val="-1"/>
                <w:numId w:val="0"/>
              </w:numPr>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3"/>
                <w:rFonts w:hint="eastAsia"/>
                <w:color w:val="auto"/>
                <w:highlight w:val="none"/>
                <w:lang w:val="en-US" w:eastAsia="zh-CN" w:bidi="ar"/>
              </w:rPr>
              <w:t>3、</w:t>
            </w:r>
            <w:r>
              <w:rPr>
                <w:rStyle w:val="42"/>
                <w:color w:val="auto"/>
                <w:highlight w:val="none"/>
                <w:lang w:val="en-US" w:eastAsia="zh-CN" w:bidi="ar"/>
              </w:rPr>
              <w:t>灵敏度：</w:t>
            </w:r>
            <w:r>
              <w:rPr>
                <w:rStyle w:val="43"/>
                <w:rFonts w:eastAsia="宋体"/>
                <w:color w:val="auto"/>
                <w:highlight w:val="none"/>
                <w:lang w:val="en-US" w:eastAsia="zh-CN" w:bidi="ar"/>
              </w:rPr>
              <w:t>3.9pg/ml</w:t>
            </w:r>
            <w:r>
              <w:rPr>
                <w:rStyle w:val="42"/>
                <w:color w:val="auto"/>
                <w:highlight w:val="none"/>
                <w:lang w:val="en-US" w:eastAsia="zh-CN" w:bidi="ar"/>
              </w:rPr>
              <w:t>；检测范围：</w:t>
            </w:r>
            <w:r>
              <w:rPr>
                <w:rStyle w:val="43"/>
                <w:rFonts w:eastAsia="宋体"/>
                <w:color w:val="auto"/>
                <w:highlight w:val="none"/>
                <w:lang w:val="en-US" w:eastAsia="zh-CN" w:bidi="ar"/>
              </w:rPr>
              <w:t>7.8-500pg/ml</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4、</w:t>
            </w:r>
            <w:r>
              <w:rPr>
                <w:rStyle w:val="42"/>
                <w:color w:val="auto"/>
                <w:highlight w:val="none"/>
                <w:lang w:val="en-US" w:eastAsia="zh-CN" w:bidi="ar"/>
              </w:rPr>
              <w:t>反应种属：人；</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5、</w:t>
            </w:r>
            <w:r>
              <w:rPr>
                <w:rStyle w:val="42"/>
                <w:color w:val="auto"/>
                <w:highlight w:val="none"/>
                <w:lang w:val="en-US" w:eastAsia="zh-CN" w:bidi="ar"/>
              </w:rPr>
              <w:t>适用样品类型：血清、血浆、细胞培养上清液、灌洗液、尿液、羊水、腹水、脑脊液、胸腔积液、组织匀浆液等；</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6</w:t>
            </w:r>
            <w:r>
              <w:rPr>
                <w:rStyle w:val="42"/>
                <w:color w:val="auto"/>
                <w:highlight w:val="none"/>
                <w:lang w:val="en-US" w:eastAsia="zh-CN" w:bidi="ar"/>
              </w:rPr>
              <w:t>、样本用量：</w:t>
            </w:r>
            <w:r>
              <w:rPr>
                <w:rStyle w:val="43"/>
                <w:rFonts w:eastAsia="宋体"/>
                <w:color w:val="auto"/>
                <w:highlight w:val="none"/>
                <w:lang w:val="en-US" w:eastAsia="zh-CN" w:bidi="ar"/>
              </w:rPr>
              <w:t>100μl/</w:t>
            </w:r>
            <w:r>
              <w:rPr>
                <w:rStyle w:val="42"/>
                <w:color w:val="auto"/>
                <w:highlight w:val="none"/>
                <w:lang w:val="en-US" w:eastAsia="zh-CN" w:bidi="ar"/>
              </w:rPr>
              <w:t>孔。</w:t>
            </w:r>
          </w:p>
        </w:tc>
      </w:tr>
      <w:tr w14:paraId="0CBC7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8A9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6A33">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人白细胞介素-4释放检测试剂盒</w:t>
            </w:r>
            <w:r>
              <w:rPr>
                <w:rFonts w:hint="eastAsia" w:cs="宋体"/>
                <w:i w:val="0"/>
                <w:iCs w:val="0"/>
                <w:color w:val="auto"/>
                <w:kern w:val="0"/>
                <w:sz w:val="18"/>
                <w:szCs w:val="18"/>
                <w:highlight w:val="none"/>
                <w:u w:val="none"/>
                <w:lang w:val="en-US" w:eastAsia="zh-CN" w:bidi="ar"/>
              </w:rPr>
              <w:t>（</w:t>
            </w:r>
            <w:r>
              <w:rPr>
                <w:rStyle w:val="42"/>
                <w:color w:val="auto"/>
                <w:highlight w:val="none"/>
                <w:lang w:val="en-US" w:eastAsia="zh-CN" w:bidi="ar"/>
              </w:rPr>
              <w:t>双抗体夹心法</w:t>
            </w:r>
            <w:r>
              <w:rPr>
                <w:rFonts w:hint="eastAsia" w:cs="宋体"/>
                <w:i w:val="0"/>
                <w:iCs w:val="0"/>
                <w:color w:val="auto"/>
                <w:kern w:val="0"/>
                <w:sz w:val="18"/>
                <w:szCs w:val="18"/>
                <w:highlight w:val="none"/>
                <w:u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93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784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A25B">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3"/>
                <w:rFonts w:eastAsia="宋体"/>
                <w:color w:val="auto"/>
                <w:highlight w:val="none"/>
                <w:lang w:val="en-US" w:eastAsia="zh-CN" w:bidi="ar"/>
              </w:rPr>
              <w:t>1</w:t>
            </w:r>
            <w:r>
              <w:rPr>
                <w:rStyle w:val="42"/>
                <w:color w:val="auto"/>
                <w:highlight w:val="none"/>
                <w:lang w:val="en-US" w:eastAsia="zh-CN" w:bidi="ar"/>
              </w:rPr>
              <w:t>、检测方法：双抗体夹心法；</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Style w:val="42"/>
                <w:color w:val="auto"/>
                <w:highlight w:val="none"/>
                <w:lang w:val="en-US" w:eastAsia="zh-CN" w:bidi="ar"/>
              </w:rPr>
              <w:t>、规格：</w:t>
            </w:r>
            <w:r>
              <w:rPr>
                <w:rStyle w:val="43"/>
                <w:rFonts w:eastAsia="宋体"/>
                <w:color w:val="auto"/>
                <w:highlight w:val="none"/>
                <w:lang w:val="en-US" w:eastAsia="zh-CN" w:bidi="ar"/>
              </w:rPr>
              <w:t>96T/</w:t>
            </w:r>
            <w:r>
              <w:rPr>
                <w:rStyle w:val="42"/>
                <w:color w:val="auto"/>
                <w:highlight w:val="none"/>
                <w:lang w:val="en-US" w:eastAsia="zh-CN" w:bidi="ar"/>
              </w:rPr>
              <w:t>盒；</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3</w:t>
            </w:r>
            <w:r>
              <w:rPr>
                <w:rFonts w:ascii="宋体" w:hAnsi="宋体" w:eastAsia="宋体" w:cs="宋体"/>
                <w:color w:val="auto"/>
                <w:kern w:val="0"/>
                <w:sz w:val="24"/>
                <w:szCs w:val="24"/>
                <w:highlight w:val="none"/>
                <w:lang w:val="en-US" w:eastAsia="zh-CN" w:bidi="ar"/>
              </w:rPr>
              <w:t>★</w:t>
            </w:r>
            <w:r>
              <w:rPr>
                <w:rStyle w:val="42"/>
                <w:color w:val="auto"/>
                <w:highlight w:val="none"/>
                <w:lang w:val="en-US" w:eastAsia="zh-CN" w:bidi="ar"/>
              </w:rPr>
              <w:t>、灵敏度：</w:t>
            </w:r>
            <w:r>
              <w:rPr>
                <w:rStyle w:val="43"/>
                <w:rFonts w:eastAsia="宋体"/>
                <w:color w:val="auto"/>
                <w:highlight w:val="none"/>
                <w:lang w:val="en-US" w:eastAsia="zh-CN" w:bidi="ar"/>
              </w:rPr>
              <w:t>0.78pg/ml</w:t>
            </w:r>
            <w:r>
              <w:rPr>
                <w:rStyle w:val="42"/>
                <w:color w:val="auto"/>
                <w:highlight w:val="none"/>
                <w:lang w:val="en-US" w:eastAsia="zh-CN" w:bidi="ar"/>
              </w:rPr>
              <w:t>；检测范围：</w:t>
            </w:r>
            <w:r>
              <w:rPr>
                <w:rStyle w:val="43"/>
                <w:rFonts w:eastAsia="宋体"/>
                <w:color w:val="auto"/>
                <w:highlight w:val="none"/>
                <w:lang w:val="en-US" w:eastAsia="zh-CN" w:bidi="ar"/>
              </w:rPr>
              <w:t>1.56-100pg/ml</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5</w:t>
            </w:r>
            <w:r>
              <w:rPr>
                <w:rStyle w:val="42"/>
                <w:color w:val="auto"/>
                <w:highlight w:val="none"/>
                <w:lang w:val="en-US" w:eastAsia="zh-CN" w:bidi="ar"/>
              </w:rPr>
              <w:t>、反应种属：人；</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6</w:t>
            </w:r>
            <w:r>
              <w:rPr>
                <w:rStyle w:val="42"/>
                <w:color w:val="auto"/>
                <w:highlight w:val="none"/>
                <w:lang w:val="en-US" w:eastAsia="zh-CN" w:bidi="ar"/>
              </w:rPr>
              <w:t>、适用样品类型：血清、血浆、细胞培养上清液、灌洗液、尿液、羊水、腹水、脑脊液、胸腔积液、组织匀浆液等；</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7</w:t>
            </w:r>
            <w:r>
              <w:rPr>
                <w:rStyle w:val="42"/>
                <w:color w:val="auto"/>
                <w:highlight w:val="none"/>
                <w:lang w:val="en-US" w:eastAsia="zh-CN" w:bidi="ar"/>
              </w:rPr>
              <w:t>、样本用量：</w:t>
            </w:r>
            <w:r>
              <w:rPr>
                <w:rStyle w:val="43"/>
                <w:rFonts w:eastAsia="宋体"/>
                <w:color w:val="auto"/>
                <w:highlight w:val="none"/>
                <w:lang w:val="en-US" w:eastAsia="zh-CN" w:bidi="ar"/>
              </w:rPr>
              <w:t>100μl/</w:t>
            </w:r>
            <w:r>
              <w:rPr>
                <w:rStyle w:val="42"/>
                <w:color w:val="auto"/>
                <w:highlight w:val="none"/>
                <w:lang w:val="en-US" w:eastAsia="zh-CN" w:bidi="ar"/>
              </w:rPr>
              <w:t>孔。</w:t>
            </w:r>
          </w:p>
        </w:tc>
      </w:tr>
      <w:tr w14:paraId="4F90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680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676C">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Style w:val="40"/>
                <w:color w:val="auto"/>
                <w:highlight w:val="none"/>
                <w:lang w:val="en-US" w:eastAsia="zh-CN" w:bidi="ar"/>
              </w:rPr>
              <w:t>人白细胞介素-</w:t>
            </w:r>
            <w:r>
              <w:rPr>
                <w:rStyle w:val="41"/>
                <w:rFonts w:eastAsia="宋体"/>
                <w:color w:val="auto"/>
                <w:highlight w:val="none"/>
                <w:lang w:val="en-US" w:eastAsia="zh-CN" w:bidi="ar"/>
              </w:rPr>
              <w:t xml:space="preserve">6 </w:t>
            </w:r>
            <w:r>
              <w:rPr>
                <w:rStyle w:val="40"/>
                <w:color w:val="auto"/>
                <w:highlight w:val="none"/>
                <w:lang w:val="en-US" w:eastAsia="zh-CN" w:bidi="ar"/>
              </w:rPr>
              <w:t>释放检测试剂盒（</w:t>
            </w:r>
            <w:r>
              <w:rPr>
                <w:rStyle w:val="42"/>
                <w:color w:val="auto"/>
                <w:highlight w:val="none"/>
                <w:lang w:val="en-US" w:eastAsia="zh-CN" w:bidi="ar"/>
              </w:rPr>
              <w:t>双抗体夹心法）</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CB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337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F026">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3"/>
                <w:rFonts w:eastAsia="宋体"/>
                <w:color w:val="auto"/>
                <w:highlight w:val="none"/>
                <w:lang w:val="en-US" w:eastAsia="zh-CN" w:bidi="ar"/>
              </w:rPr>
              <w:t>1</w:t>
            </w:r>
            <w:r>
              <w:rPr>
                <w:rStyle w:val="42"/>
                <w:color w:val="auto"/>
                <w:highlight w:val="none"/>
                <w:lang w:val="en-US" w:eastAsia="zh-CN" w:bidi="ar"/>
              </w:rPr>
              <w:t>、检测方法：双抗体夹心法；</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Style w:val="42"/>
                <w:color w:val="auto"/>
                <w:highlight w:val="none"/>
                <w:lang w:val="en-US" w:eastAsia="zh-CN" w:bidi="ar"/>
              </w:rPr>
              <w:t>、规格：</w:t>
            </w:r>
            <w:r>
              <w:rPr>
                <w:rStyle w:val="43"/>
                <w:rFonts w:eastAsia="宋体"/>
                <w:color w:val="auto"/>
                <w:highlight w:val="none"/>
                <w:lang w:val="en-US" w:eastAsia="zh-CN" w:bidi="ar"/>
              </w:rPr>
              <w:t>96T/</w:t>
            </w:r>
            <w:r>
              <w:rPr>
                <w:rStyle w:val="42"/>
                <w:color w:val="auto"/>
                <w:highlight w:val="none"/>
                <w:lang w:val="en-US" w:eastAsia="zh-CN" w:bidi="ar"/>
              </w:rPr>
              <w:t>盒；</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3</w:t>
            </w:r>
            <w:r>
              <w:rPr>
                <w:rFonts w:ascii="宋体" w:hAnsi="宋体" w:eastAsia="宋体" w:cs="宋体"/>
                <w:color w:val="auto"/>
                <w:kern w:val="0"/>
                <w:sz w:val="24"/>
                <w:szCs w:val="24"/>
                <w:highlight w:val="none"/>
                <w:lang w:val="en-US" w:eastAsia="zh-CN" w:bidi="ar"/>
              </w:rPr>
              <w:t>★</w:t>
            </w:r>
            <w:r>
              <w:rPr>
                <w:rStyle w:val="42"/>
                <w:color w:val="auto"/>
                <w:highlight w:val="none"/>
                <w:lang w:val="en-US" w:eastAsia="zh-CN" w:bidi="ar"/>
              </w:rPr>
              <w:t>、灵敏度：</w:t>
            </w:r>
            <w:r>
              <w:rPr>
                <w:rStyle w:val="43"/>
                <w:rFonts w:eastAsia="宋体"/>
                <w:color w:val="auto"/>
                <w:highlight w:val="none"/>
                <w:lang w:val="en-US" w:eastAsia="zh-CN" w:bidi="ar"/>
              </w:rPr>
              <w:t>1.56pg/ml</w:t>
            </w:r>
            <w:r>
              <w:rPr>
                <w:rStyle w:val="42"/>
                <w:color w:val="auto"/>
                <w:highlight w:val="none"/>
                <w:lang w:val="en-US" w:eastAsia="zh-CN" w:bidi="ar"/>
              </w:rPr>
              <w:t>；检测范围：</w:t>
            </w:r>
            <w:r>
              <w:rPr>
                <w:rStyle w:val="43"/>
                <w:rFonts w:eastAsia="宋体"/>
                <w:color w:val="auto"/>
                <w:highlight w:val="none"/>
                <w:lang w:val="en-US" w:eastAsia="zh-CN" w:bidi="ar"/>
              </w:rPr>
              <w:t>3.125-200pg/ml</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5</w:t>
            </w:r>
            <w:r>
              <w:rPr>
                <w:rStyle w:val="42"/>
                <w:color w:val="auto"/>
                <w:highlight w:val="none"/>
                <w:lang w:val="en-US" w:eastAsia="zh-CN" w:bidi="ar"/>
              </w:rPr>
              <w:t>、反应种属：人；</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6</w:t>
            </w:r>
            <w:r>
              <w:rPr>
                <w:rStyle w:val="42"/>
                <w:color w:val="auto"/>
                <w:highlight w:val="none"/>
                <w:lang w:val="en-US" w:eastAsia="zh-CN" w:bidi="ar"/>
              </w:rPr>
              <w:t>、适用样品类型：血清、血浆、细胞培养上清液、灌洗液、尿液、羊水、腹水、脑脊液、胸腔积液、组织匀浆液等；</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7</w:t>
            </w:r>
            <w:r>
              <w:rPr>
                <w:rStyle w:val="42"/>
                <w:color w:val="auto"/>
                <w:highlight w:val="none"/>
                <w:lang w:val="en-US" w:eastAsia="zh-CN" w:bidi="ar"/>
              </w:rPr>
              <w:t>、样本用量：</w:t>
            </w:r>
            <w:r>
              <w:rPr>
                <w:rStyle w:val="43"/>
                <w:rFonts w:eastAsia="宋体"/>
                <w:color w:val="auto"/>
                <w:highlight w:val="none"/>
                <w:lang w:val="en-US" w:eastAsia="zh-CN" w:bidi="ar"/>
              </w:rPr>
              <w:t>100μl/</w:t>
            </w:r>
            <w:r>
              <w:rPr>
                <w:rStyle w:val="42"/>
                <w:color w:val="auto"/>
                <w:highlight w:val="none"/>
                <w:lang w:val="en-US" w:eastAsia="zh-CN" w:bidi="ar"/>
              </w:rPr>
              <w:t>孔。</w:t>
            </w:r>
          </w:p>
        </w:tc>
      </w:tr>
      <w:tr w14:paraId="4AF68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32C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15</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E1029">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Style w:val="40"/>
                <w:color w:val="auto"/>
                <w:highlight w:val="none"/>
                <w:lang w:val="en-US" w:eastAsia="zh-CN" w:bidi="ar"/>
              </w:rPr>
              <w:t>人白细胞介素-</w:t>
            </w:r>
            <w:r>
              <w:rPr>
                <w:rStyle w:val="41"/>
                <w:rFonts w:eastAsia="宋体"/>
                <w:color w:val="auto"/>
                <w:highlight w:val="none"/>
                <w:lang w:val="en-US" w:eastAsia="zh-CN" w:bidi="ar"/>
              </w:rPr>
              <w:t>10</w:t>
            </w:r>
            <w:r>
              <w:rPr>
                <w:rStyle w:val="40"/>
                <w:color w:val="auto"/>
                <w:highlight w:val="none"/>
                <w:lang w:val="en-US" w:eastAsia="zh-CN" w:bidi="ar"/>
              </w:rPr>
              <w:t>释放检测试剂盒（</w:t>
            </w:r>
            <w:r>
              <w:rPr>
                <w:rStyle w:val="42"/>
                <w:color w:val="auto"/>
                <w:highlight w:val="none"/>
                <w:lang w:val="en-US" w:eastAsia="zh-CN" w:bidi="ar"/>
              </w:rPr>
              <w:t>双抗体夹心法）</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60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C182">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C6983">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3"/>
                <w:rFonts w:eastAsia="宋体"/>
                <w:color w:val="auto"/>
                <w:highlight w:val="none"/>
                <w:lang w:val="en-US" w:eastAsia="zh-CN" w:bidi="ar"/>
              </w:rPr>
              <w:t>1</w:t>
            </w:r>
            <w:r>
              <w:rPr>
                <w:rStyle w:val="42"/>
                <w:color w:val="auto"/>
                <w:highlight w:val="none"/>
                <w:lang w:val="en-US" w:eastAsia="zh-CN" w:bidi="ar"/>
              </w:rPr>
              <w:t>、检测方法：双抗体夹心法；</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Style w:val="42"/>
                <w:color w:val="auto"/>
                <w:highlight w:val="none"/>
                <w:lang w:val="en-US" w:eastAsia="zh-CN" w:bidi="ar"/>
              </w:rPr>
              <w:t>、规格：</w:t>
            </w:r>
            <w:r>
              <w:rPr>
                <w:rStyle w:val="43"/>
                <w:rFonts w:eastAsia="宋体"/>
                <w:color w:val="auto"/>
                <w:highlight w:val="none"/>
                <w:lang w:val="en-US" w:eastAsia="zh-CN" w:bidi="ar"/>
              </w:rPr>
              <w:t>96T/</w:t>
            </w:r>
            <w:r>
              <w:rPr>
                <w:rStyle w:val="42"/>
                <w:color w:val="auto"/>
                <w:highlight w:val="none"/>
                <w:lang w:val="en-US" w:eastAsia="zh-CN" w:bidi="ar"/>
              </w:rPr>
              <w:t>盒；</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3</w:t>
            </w:r>
            <w:r>
              <w:rPr>
                <w:rFonts w:ascii="宋体" w:hAnsi="宋体" w:eastAsia="宋体" w:cs="宋体"/>
                <w:color w:val="auto"/>
                <w:kern w:val="0"/>
                <w:sz w:val="24"/>
                <w:szCs w:val="24"/>
                <w:highlight w:val="none"/>
                <w:lang w:val="en-US" w:eastAsia="zh-CN" w:bidi="ar"/>
              </w:rPr>
              <w:t>★</w:t>
            </w:r>
            <w:r>
              <w:rPr>
                <w:rStyle w:val="42"/>
                <w:color w:val="auto"/>
                <w:highlight w:val="none"/>
                <w:lang w:val="en-US" w:eastAsia="zh-CN" w:bidi="ar"/>
              </w:rPr>
              <w:t>、灵敏度：</w:t>
            </w:r>
            <w:r>
              <w:rPr>
                <w:rStyle w:val="43"/>
                <w:rFonts w:eastAsia="宋体"/>
                <w:color w:val="auto"/>
                <w:highlight w:val="none"/>
                <w:lang w:val="en-US" w:eastAsia="zh-CN" w:bidi="ar"/>
              </w:rPr>
              <w:t>0.39pg/ml</w:t>
            </w:r>
            <w:r>
              <w:rPr>
                <w:rStyle w:val="42"/>
                <w:color w:val="auto"/>
                <w:highlight w:val="none"/>
                <w:lang w:val="en-US" w:eastAsia="zh-CN" w:bidi="ar"/>
              </w:rPr>
              <w:t>；检测范围：</w:t>
            </w:r>
            <w:r>
              <w:rPr>
                <w:rStyle w:val="43"/>
                <w:rFonts w:eastAsia="宋体"/>
                <w:color w:val="auto"/>
                <w:highlight w:val="none"/>
                <w:lang w:val="en-US" w:eastAsia="zh-CN" w:bidi="ar"/>
              </w:rPr>
              <w:t>0.78-50pg/ml</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4</w:t>
            </w:r>
            <w:r>
              <w:rPr>
                <w:rStyle w:val="42"/>
                <w:color w:val="auto"/>
                <w:highlight w:val="none"/>
                <w:lang w:val="en-US" w:eastAsia="zh-CN" w:bidi="ar"/>
              </w:rPr>
              <w:t>、反应种属：人；</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5</w:t>
            </w:r>
            <w:r>
              <w:rPr>
                <w:rStyle w:val="42"/>
                <w:color w:val="auto"/>
                <w:highlight w:val="none"/>
                <w:lang w:val="en-US" w:eastAsia="zh-CN" w:bidi="ar"/>
              </w:rPr>
              <w:t>、适用样品类型：血清、血浆、细胞培养上清液、灌洗液、尿液、羊水、腹水、脑脊液、胸腔积液、组织匀浆液等；</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6</w:t>
            </w:r>
            <w:r>
              <w:rPr>
                <w:rStyle w:val="42"/>
                <w:color w:val="auto"/>
                <w:highlight w:val="none"/>
                <w:lang w:val="en-US" w:eastAsia="zh-CN" w:bidi="ar"/>
              </w:rPr>
              <w:t>、样本用量：</w:t>
            </w:r>
            <w:r>
              <w:rPr>
                <w:rStyle w:val="43"/>
                <w:rFonts w:eastAsia="宋体"/>
                <w:color w:val="auto"/>
                <w:highlight w:val="none"/>
                <w:lang w:val="en-US" w:eastAsia="zh-CN" w:bidi="ar"/>
              </w:rPr>
              <w:t>100μl/</w:t>
            </w:r>
            <w:r>
              <w:rPr>
                <w:rStyle w:val="42"/>
                <w:color w:val="auto"/>
                <w:highlight w:val="none"/>
                <w:lang w:val="en-US" w:eastAsia="zh-CN" w:bidi="ar"/>
              </w:rPr>
              <w:t>孔。</w:t>
            </w:r>
          </w:p>
        </w:tc>
      </w:tr>
      <w:tr w14:paraId="0B774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3"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D2A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16</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2D0F">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Style w:val="40"/>
                <w:color w:val="auto"/>
                <w:highlight w:val="none"/>
                <w:lang w:val="en-US" w:eastAsia="zh-CN" w:bidi="ar"/>
              </w:rPr>
              <w:t>人白细胞介素-</w:t>
            </w:r>
            <w:r>
              <w:rPr>
                <w:rStyle w:val="41"/>
                <w:rFonts w:eastAsia="宋体"/>
                <w:color w:val="auto"/>
                <w:highlight w:val="none"/>
                <w:lang w:val="en-US" w:eastAsia="zh-CN" w:bidi="ar"/>
              </w:rPr>
              <w:t xml:space="preserve">12 </w:t>
            </w:r>
            <w:r>
              <w:rPr>
                <w:rStyle w:val="40"/>
                <w:color w:val="auto"/>
                <w:highlight w:val="none"/>
                <w:lang w:val="en-US" w:eastAsia="zh-CN" w:bidi="ar"/>
              </w:rPr>
              <w:t>释放检测试剂盒（</w:t>
            </w:r>
            <w:r>
              <w:rPr>
                <w:rStyle w:val="42"/>
                <w:color w:val="auto"/>
                <w:highlight w:val="none"/>
                <w:lang w:val="en-US" w:eastAsia="zh-CN" w:bidi="ar"/>
              </w:rPr>
              <w:t>双抗体夹心法）</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F3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A656">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35D4C">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3"/>
                <w:rFonts w:eastAsia="宋体"/>
                <w:color w:val="auto"/>
                <w:highlight w:val="none"/>
                <w:lang w:val="en-US" w:eastAsia="zh-CN" w:bidi="ar"/>
              </w:rPr>
              <w:t>1</w:t>
            </w:r>
            <w:r>
              <w:rPr>
                <w:rStyle w:val="42"/>
                <w:color w:val="auto"/>
                <w:highlight w:val="none"/>
                <w:lang w:val="en-US" w:eastAsia="zh-CN" w:bidi="ar"/>
              </w:rPr>
              <w:t>、检测方法：双抗体夹心法；</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Style w:val="42"/>
                <w:color w:val="auto"/>
                <w:highlight w:val="none"/>
                <w:lang w:val="en-US" w:eastAsia="zh-CN" w:bidi="ar"/>
              </w:rPr>
              <w:t>、规格：</w:t>
            </w:r>
            <w:r>
              <w:rPr>
                <w:rStyle w:val="43"/>
                <w:rFonts w:eastAsia="宋体"/>
                <w:color w:val="auto"/>
                <w:highlight w:val="none"/>
                <w:lang w:val="en-US" w:eastAsia="zh-CN" w:bidi="ar"/>
              </w:rPr>
              <w:t>96T/</w:t>
            </w:r>
            <w:r>
              <w:rPr>
                <w:rStyle w:val="42"/>
                <w:color w:val="auto"/>
                <w:highlight w:val="none"/>
                <w:lang w:val="en-US" w:eastAsia="zh-CN" w:bidi="ar"/>
              </w:rPr>
              <w:t>盒；</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3</w:t>
            </w:r>
            <w:r>
              <w:rPr>
                <w:rFonts w:ascii="宋体" w:hAnsi="宋体" w:eastAsia="宋体" w:cs="宋体"/>
                <w:color w:val="auto"/>
                <w:kern w:val="0"/>
                <w:sz w:val="24"/>
                <w:szCs w:val="24"/>
                <w:highlight w:val="none"/>
                <w:lang w:val="en-US" w:eastAsia="zh-CN" w:bidi="ar"/>
              </w:rPr>
              <w:t>★</w:t>
            </w:r>
            <w:r>
              <w:rPr>
                <w:rStyle w:val="42"/>
                <w:color w:val="auto"/>
                <w:highlight w:val="none"/>
                <w:lang w:val="en-US" w:eastAsia="zh-CN" w:bidi="ar"/>
              </w:rPr>
              <w:t>、灵敏度：</w:t>
            </w:r>
            <w:r>
              <w:rPr>
                <w:rStyle w:val="43"/>
                <w:rFonts w:eastAsia="宋体"/>
                <w:color w:val="auto"/>
                <w:highlight w:val="none"/>
                <w:lang w:val="en-US" w:eastAsia="zh-CN" w:bidi="ar"/>
              </w:rPr>
              <w:t>7.8pg/ml</w:t>
            </w:r>
            <w:r>
              <w:rPr>
                <w:rStyle w:val="42"/>
                <w:color w:val="auto"/>
                <w:highlight w:val="none"/>
                <w:lang w:val="en-US" w:eastAsia="zh-CN" w:bidi="ar"/>
              </w:rPr>
              <w:t>；检测范围：</w:t>
            </w:r>
            <w:r>
              <w:rPr>
                <w:rStyle w:val="43"/>
                <w:rFonts w:eastAsia="宋体"/>
                <w:color w:val="auto"/>
                <w:highlight w:val="none"/>
                <w:lang w:val="en-US" w:eastAsia="zh-CN" w:bidi="ar"/>
              </w:rPr>
              <w:t>15.6-1000pg/ml</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5</w:t>
            </w:r>
            <w:r>
              <w:rPr>
                <w:rStyle w:val="42"/>
                <w:color w:val="auto"/>
                <w:highlight w:val="none"/>
                <w:lang w:val="en-US" w:eastAsia="zh-CN" w:bidi="ar"/>
              </w:rPr>
              <w:t>、反应种属：人；</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6</w:t>
            </w:r>
            <w:r>
              <w:rPr>
                <w:rStyle w:val="42"/>
                <w:color w:val="auto"/>
                <w:highlight w:val="none"/>
                <w:lang w:val="en-US" w:eastAsia="zh-CN" w:bidi="ar"/>
              </w:rPr>
              <w:t>、适用样品类型：血清、血浆、细胞培养上清液、灌洗液、尿液、羊水、腹水、脑脊液、胸腔积液、组织匀浆液等；</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7</w:t>
            </w:r>
            <w:r>
              <w:rPr>
                <w:rStyle w:val="42"/>
                <w:color w:val="auto"/>
                <w:highlight w:val="none"/>
                <w:lang w:val="en-US" w:eastAsia="zh-CN" w:bidi="ar"/>
              </w:rPr>
              <w:t>、样本用量：</w:t>
            </w:r>
            <w:r>
              <w:rPr>
                <w:rStyle w:val="43"/>
                <w:rFonts w:eastAsia="宋体"/>
                <w:color w:val="auto"/>
                <w:highlight w:val="none"/>
                <w:lang w:val="en-US" w:eastAsia="zh-CN" w:bidi="ar"/>
              </w:rPr>
              <w:t>100μl/</w:t>
            </w:r>
            <w:r>
              <w:rPr>
                <w:rStyle w:val="42"/>
                <w:color w:val="auto"/>
                <w:highlight w:val="none"/>
                <w:lang w:val="en-US" w:eastAsia="zh-CN" w:bidi="ar"/>
              </w:rPr>
              <w:t>孔。</w:t>
            </w:r>
          </w:p>
        </w:tc>
      </w:tr>
      <w:tr w14:paraId="165C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7C9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17</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68D76">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35"/>
                <w:color w:val="auto"/>
                <w:highlight w:val="none"/>
                <w:lang w:val="en-US" w:eastAsia="zh-CN" w:bidi="ar"/>
              </w:rPr>
              <w:t>细胞活力检测试剂盒（</w:t>
            </w:r>
            <w:r>
              <w:rPr>
                <w:rStyle w:val="37"/>
                <w:color w:val="auto"/>
                <w:highlight w:val="none"/>
                <w:lang w:val="en-US" w:eastAsia="zh-CN" w:bidi="ar"/>
              </w:rPr>
              <w:t>化学发光法</w:t>
            </w:r>
            <w:r>
              <w:rPr>
                <w:rStyle w:val="35"/>
                <w:color w:val="auto"/>
                <w:highlight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C2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8C2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34F5">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38"/>
                <w:rFonts w:eastAsia="宋体"/>
                <w:color w:val="auto"/>
                <w:highlight w:val="none"/>
                <w:lang w:val="en-US" w:eastAsia="zh-CN" w:bidi="ar"/>
              </w:rPr>
              <w:t>1</w:t>
            </w:r>
            <w:r>
              <w:rPr>
                <w:rStyle w:val="37"/>
                <w:color w:val="auto"/>
                <w:highlight w:val="none"/>
                <w:lang w:val="en-US" w:eastAsia="zh-CN" w:bidi="ar"/>
              </w:rPr>
              <w:t>、检测方法：化学发光法。</w:t>
            </w:r>
            <w:r>
              <w:rPr>
                <w:rStyle w:val="38"/>
                <w:rFonts w:eastAsia="宋体"/>
                <w:color w:val="auto"/>
                <w:highlight w:val="none"/>
                <w:lang w:val="en-US" w:eastAsia="zh-CN" w:bidi="ar"/>
              </w:rPr>
              <w:br w:type="textWrapping"/>
            </w:r>
            <w:r>
              <w:rPr>
                <w:rStyle w:val="38"/>
                <w:rFonts w:eastAsia="宋体"/>
                <w:color w:val="auto"/>
                <w:highlight w:val="none"/>
                <w:lang w:val="en-US" w:eastAsia="zh-CN" w:bidi="ar"/>
              </w:rPr>
              <w:t>2</w:t>
            </w:r>
            <w:r>
              <w:rPr>
                <w:rFonts w:ascii="宋体" w:hAnsi="宋体" w:eastAsia="宋体" w:cs="宋体"/>
                <w:color w:val="auto"/>
                <w:kern w:val="0"/>
                <w:sz w:val="24"/>
                <w:szCs w:val="24"/>
                <w:highlight w:val="none"/>
                <w:lang w:val="en-US" w:eastAsia="zh-CN" w:bidi="ar"/>
              </w:rPr>
              <w:t>★</w:t>
            </w:r>
            <w:r>
              <w:rPr>
                <w:rStyle w:val="37"/>
                <w:color w:val="auto"/>
                <w:highlight w:val="none"/>
                <w:lang w:val="en-US" w:eastAsia="zh-CN" w:bidi="ar"/>
              </w:rPr>
              <w:t>、核心性能</w:t>
            </w:r>
            <w:r>
              <w:rPr>
                <w:rStyle w:val="39"/>
                <w:color w:val="auto"/>
                <w:highlight w:val="none"/>
                <w:lang w:val="en-US" w:eastAsia="zh-CN" w:bidi="ar"/>
              </w:rPr>
              <w:t>：</w:t>
            </w:r>
            <w:r>
              <w:rPr>
                <w:rStyle w:val="39"/>
                <w:rFonts w:hint="eastAsia"/>
                <w:color w:val="auto"/>
                <w:highlight w:val="none"/>
                <w:lang w:val="en-US" w:eastAsia="zh-CN" w:bidi="ar"/>
              </w:rPr>
              <w:t>发光信号稳定，信号半衰期≥1小时；4℃保存48小时检测效果无显著影响，反复冻融3次检测效果下降不超过20%</w:t>
            </w:r>
            <w:r>
              <w:rPr>
                <w:rStyle w:val="38"/>
                <w:rFonts w:eastAsia="宋体"/>
                <w:color w:val="auto"/>
                <w:highlight w:val="none"/>
                <w:lang w:val="en-US" w:eastAsia="zh-CN" w:bidi="ar"/>
              </w:rPr>
              <w:br w:type="textWrapping"/>
            </w:r>
            <w:r>
              <w:rPr>
                <w:rStyle w:val="38"/>
                <w:rFonts w:hint="eastAsia"/>
                <w:color w:val="auto"/>
                <w:highlight w:val="none"/>
                <w:lang w:val="en-US" w:eastAsia="zh-CN" w:bidi="ar"/>
              </w:rPr>
              <w:t>4</w:t>
            </w:r>
            <w:r>
              <w:rPr>
                <w:rStyle w:val="37"/>
                <w:color w:val="auto"/>
                <w:highlight w:val="none"/>
                <w:lang w:val="en-US" w:eastAsia="zh-CN" w:bidi="ar"/>
              </w:rPr>
              <w:t>、适用样本：哺乳动物培养细胞（贴壁</w:t>
            </w:r>
            <w:r>
              <w:rPr>
                <w:rStyle w:val="38"/>
                <w:rFonts w:eastAsia="宋体"/>
                <w:color w:val="auto"/>
                <w:highlight w:val="none"/>
                <w:lang w:val="en-US" w:eastAsia="zh-CN" w:bidi="ar"/>
              </w:rPr>
              <w:t>/</w:t>
            </w:r>
            <w:r>
              <w:rPr>
                <w:rStyle w:val="37"/>
                <w:color w:val="auto"/>
                <w:highlight w:val="none"/>
                <w:lang w:val="en-US" w:eastAsia="zh-CN" w:bidi="ar"/>
              </w:rPr>
              <w:t>悬浮），含血清培养基中的细胞等，多孔板模式（</w:t>
            </w:r>
            <w:r>
              <w:rPr>
                <w:rStyle w:val="38"/>
                <w:rFonts w:eastAsia="宋体"/>
                <w:color w:val="auto"/>
                <w:highlight w:val="none"/>
                <w:lang w:val="en-US" w:eastAsia="zh-CN" w:bidi="ar"/>
              </w:rPr>
              <w:t>96/384</w:t>
            </w:r>
            <w:r>
              <w:rPr>
                <w:rStyle w:val="37"/>
                <w:color w:val="auto"/>
                <w:highlight w:val="none"/>
                <w:lang w:val="en-US" w:eastAsia="zh-CN" w:bidi="ar"/>
              </w:rPr>
              <w:t>孔等）；</w:t>
            </w:r>
            <w:r>
              <w:rPr>
                <w:rStyle w:val="38"/>
                <w:rFonts w:eastAsia="宋体"/>
                <w:color w:val="auto"/>
                <w:highlight w:val="none"/>
                <w:lang w:val="en-US" w:eastAsia="zh-CN" w:bidi="ar"/>
              </w:rPr>
              <w:br w:type="textWrapping"/>
            </w:r>
            <w:r>
              <w:rPr>
                <w:rStyle w:val="38"/>
                <w:rFonts w:hint="eastAsia"/>
                <w:color w:val="auto"/>
                <w:highlight w:val="none"/>
                <w:lang w:val="en-US" w:eastAsia="zh-CN" w:bidi="ar"/>
              </w:rPr>
              <w:t>5</w:t>
            </w:r>
            <w:r>
              <w:rPr>
                <w:rStyle w:val="37"/>
                <w:color w:val="auto"/>
                <w:highlight w:val="none"/>
                <w:lang w:val="en-US" w:eastAsia="zh-CN" w:bidi="ar"/>
              </w:rPr>
              <w:t>、线性范围：</w:t>
            </w:r>
            <w:r>
              <w:rPr>
                <w:rStyle w:val="38"/>
                <w:rFonts w:eastAsia="宋体"/>
                <w:color w:val="auto"/>
                <w:highlight w:val="none"/>
                <w:lang w:val="en-US" w:eastAsia="zh-CN" w:bidi="ar"/>
              </w:rPr>
              <w:t>10-50000</w:t>
            </w:r>
            <w:r>
              <w:rPr>
                <w:rStyle w:val="37"/>
                <w:color w:val="auto"/>
                <w:highlight w:val="none"/>
                <w:lang w:val="en-US" w:eastAsia="zh-CN" w:bidi="ar"/>
              </w:rPr>
              <w:t>细胞</w:t>
            </w:r>
            <w:r>
              <w:rPr>
                <w:rStyle w:val="38"/>
                <w:rFonts w:eastAsia="宋体"/>
                <w:color w:val="auto"/>
                <w:highlight w:val="none"/>
                <w:lang w:val="en-US" w:eastAsia="zh-CN" w:bidi="ar"/>
              </w:rPr>
              <w:t>/</w:t>
            </w:r>
            <w:r>
              <w:rPr>
                <w:rStyle w:val="37"/>
                <w:color w:val="auto"/>
                <w:highlight w:val="none"/>
                <w:lang w:val="en-US" w:eastAsia="zh-CN" w:bidi="ar"/>
              </w:rPr>
              <w:t>孔；</w:t>
            </w:r>
            <w:r>
              <w:rPr>
                <w:rStyle w:val="38"/>
                <w:rFonts w:eastAsia="宋体"/>
                <w:color w:val="auto"/>
                <w:highlight w:val="none"/>
                <w:lang w:val="en-US" w:eastAsia="zh-CN" w:bidi="ar"/>
              </w:rPr>
              <w:t xml:space="preserve">   </w:t>
            </w:r>
            <w:r>
              <w:rPr>
                <w:rStyle w:val="38"/>
                <w:rFonts w:eastAsia="宋体"/>
                <w:color w:val="auto"/>
                <w:highlight w:val="none"/>
                <w:lang w:val="en-US" w:eastAsia="zh-CN" w:bidi="ar"/>
              </w:rPr>
              <w:br w:type="textWrapping"/>
            </w:r>
            <w:r>
              <w:rPr>
                <w:rStyle w:val="38"/>
                <w:rFonts w:hint="eastAsia"/>
                <w:color w:val="auto"/>
                <w:highlight w:val="none"/>
                <w:lang w:val="en-US" w:eastAsia="zh-CN" w:bidi="ar"/>
              </w:rPr>
              <w:t>6</w:t>
            </w:r>
            <w:r>
              <w:rPr>
                <w:rStyle w:val="37"/>
                <w:color w:val="auto"/>
                <w:highlight w:val="none"/>
                <w:lang w:val="en-US" w:eastAsia="zh-CN" w:bidi="ar"/>
              </w:rPr>
              <w:t>、规格：</w:t>
            </w:r>
            <w:r>
              <w:rPr>
                <w:rStyle w:val="38"/>
                <w:rFonts w:eastAsia="宋体"/>
                <w:color w:val="auto"/>
                <w:highlight w:val="none"/>
                <w:lang w:val="en-US" w:eastAsia="zh-CN" w:bidi="ar"/>
              </w:rPr>
              <w:t>500</w:t>
            </w:r>
            <w:r>
              <w:rPr>
                <w:rStyle w:val="37"/>
                <w:color w:val="auto"/>
                <w:highlight w:val="none"/>
                <w:lang w:val="en-US" w:eastAsia="zh-CN" w:bidi="ar"/>
              </w:rPr>
              <w:t>次</w:t>
            </w:r>
            <w:r>
              <w:rPr>
                <w:rStyle w:val="38"/>
                <w:rFonts w:eastAsia="宋体"/>
                <w:color w:val="auto"/>
                <w:highlight w:val="none"/>
                <w:lang w:val="en-US" w:eastAsia="zh-CN" w:bidi="ar"/>
              </w:rPr>
              <w:t>/</w:t>
            </w:r>
            <w:r>
              <w:rPr>
                <w:rStyle w:val="37"/>
                <w:color w:val="auto"/>
                <w:highlight w:val="none"/>
                <w:lang w:val="en-US" w:eastAsia="zh-CN" w:bidi="ar"/>
              </w:rPr>
              <w:t>盒；</w:t>
            </w:r>
          </w:p>
        </w:tc>
      </w:tr>
      <w:tr w14:paraId="30D79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E64A">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ED455">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35"/>
                <w:color w:val="auto"/>
                <w:highlight w:val="none"/>
                <w:lang w:val="en-US" w:eastAsia="zh-CN" w:bidi="ar"/>
              </w:rPr>
              <w:t>乳酸脱氢酶（</w:t>
            </w:r>
            <w:r>
              <w:rPr>
                <w:rStyle w:val="36"/>
                <w:rFonts w:eastAsia="宋体"/>
                <w:color w:val="auto"/>
                <w:highlight w:val="none"/>
                <w:lang w:val="en-US" w:eastAsia="zh-CN" w:bidi="ar"/>
              </w:rPr>
              <w:t>LDH</w:t>
            </w:r>
            <w:r>
              <w:rPr>
                <w:rStyle w:val="35"/>
                <w:color w:val="auto"/>
                <w:highlight w:val="none"/>
                <w:lang w:val="en-US" w:eastAsia="zh-CN" w:bidi="ar"/>
              </w:rPr>
              <w:t>）经典比色法检测试剂盒</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5B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EEAE">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3804">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3"/>
                <w:rFonts w:eastAsia="宋体"/>
                <w:color w:val="auto"/>
                <w:highlight w:val="none"/>
                <w:lang w:val="en-US" w:eastAsia="zh-CN" w:bidi="ar"/>
              </w:rPr>
              <w:t>1</w:t>
            </w:r>
            <w:r>
              <w:rPr>
                <w:rStyle w:val="42"/>
                <w:color w:val="auto"/>
                <w:highlight w:val="none"/>
                <w:lang w:val="en-US" w:eastAsia="zh-CN" w:bidi="ar"/>
              </w:rPr>
              <w:t>、检测方法：比色法</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Style w:val="42"/>
                <w:color w:val="auto"/>
                <w:highlight w:val="none"/>
                <w:lang w:val="en-US" w:eastAsia="zh-CN" w:bidi="ar"/>
              </w:rPr>
              <w:t>、规格：</w:t>
            </w:r>
            <w:r>
              <w:rPr>
                <w:rStyle w:val="43"/>
                <w:rFonts w:eastAsia="宋体"/>
                <w:color w:val="auto"/>
                <w:highlight w:val="none"/>
                <w:lang w:val="en-US" w:eastAsia="zh-CN" w:bidi="ar"/>
              </w:rPr>
              <w:t>500</w:t>
            </w:r>
            <w:r>
              <w:rPr>
                <w:rStyle w:val="42"/>
                <w:color w:val="auto"/>
                <w:highlight w:val="none"/>
                <w:lang w:val="en-US" w:eastAsia="zh-CN" w:bidi="ar"/>
              </w:rPr>
              <w:t>次</w:t>
            </w:r>
            <w:r>
              <w:rPr>
                <w:rStyle w:val="43"/>
                <w:rFonts w:eastAsia="宋体"/>
                <w:color w:val="auto"/>
                <w:highlight w:val="none"/>
                <w:lang w:val="en-US" w:eastAsia="zh-CN" w:bidi="ar"/>
              </w:rPr>
              <w:t>/</w:t>
            </w:r>
            <w:r>
              <w:rPr>
                <w:rStyle w:val="42"/>
                <w:color w:val="auto"/>
                <w:highlight w:val="none"/>
                <w:lang w:val="en-US" w:eastAsia="zh-CN" w:bidi="ar"/>
              </w:rPr>
              <w:t>盒；</w:t>
            </w:r>
            <w:r>
              <w:rPr>
                <w:rStyle w:val="43"/>
                <w:rFonts w:eastAsia="宋体"/>
                <w:color w:val="auto"/>
                <w:highlight w:val="none"/>
                <w:lang w:val="en-US" w:eastAsia="zh-CN" w:bidi="ar"/>
              </w:rPr>
              <w:t xml:space="preserve">    </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3</w:t>
            </w:r>
            <w:r>
              <w:rPr>
                <w:rFonts w:ascii="宋体" w:hAnsi="宋体" w:eastAsia="宋体" w:cs="宋体"/>
                <w:color w:val="auto"/>
                <w:kern w:val="0"/>
                <w:sz w:val="24"/>
                <w:szCs w:val="24"/>
                <w:highlight w:val="none"/>
                <w:lang w:val="en-US" w:eastAsia="zh-CN" w:bidi="ar"/>
              </w:rPr>
              <w:t>★</w:t>
            </w:r>
            <w:r>
              <w:rPr>
                <w:rStyle w:val="42"/>
                <w:color w:val="auto"/>
                <w:highlight w:val="none"/>
                <w:lang w:val="en-US" w:eastAsia="zh-CN" w:bidi="ar"/>
              </w:rPr>
              <w:t>、核心性能：</w:t>
            </w:r>
            <w:r>
              <w:rPr>
                <w:rStyle w:val="39"/>
                <w:rFonts w:hint="eastAsia"/>
                <w:color w:val="auto"/>
                <w:highlight w:val="none"/>
                <w:lang w:val="en-US" w:eastAsia="zh-CN" w:bidi="ar"/>
              </w:rPr>
              <w:t>在样品体积为100μl时，最低检出限≤0.5mU/ml；</w:t>
            </w:r>
            <w:r>
              <w:rPr>
                <w:rStyle w:val="43"/>
                <w:rFonts w:eastAsia="宋体"/>
                <w:color w:val="auto"/>
                <w:highlight w:val="none"/>
                <w:lang w:val="en-US" w:eastAsia="zh-CN" w:bidi="ar"/>
              </w:rPr>
              <w:t xml:space="preserve">                                                          </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4</w:t>
            </w:r>
            <w:r>
              <w:rPr>
                <w:rStyle w:val="42"/>
                <w:color w:val="auto"/>
                <w:highlight w:val="none"/>
                <w:lang w:val="en-US" w:eastAsia="zh-CN" w:bidi="ar"/>
              </w:rPr>
              <w:t>、适用样本：可检测细胞培养液、细胞裂解液等样品中</w:t>
            </w:r>
            <w:r>
              <w:rPr>
                <w:rStyle w:val="43"/>
                <w:rFonts w:eastAsia="宋体"/>
                <w:color w:val="auto"/>
                <w:highlight w:val="none"/>
                <w:lang w:val="en-US" w:eastAsia="zh-CN" w:bidi="ar"/>
              </w:rPr>
              <w:t>LDH</w:t>
            </w:r>
            <w:r>
              <w:rPr>
                <w:rStyle w:val="42"/>
                <w:color w:val="auto"/>
                <w:highlight w:val="none"/>
                <w:lang w:val="en-US" w:eastAsia="zh-CN" w:bidi="ar"/>
              </w:rPr>
              <w:t>的活性。</w:t>
            </w:r>
          </w:p>
        </w:tc>
      </w:tr>
      <w:tr w14:paraId="3FA0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324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19</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852D">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35"/>
                <w:color w:val="auto"/>
                <w:highlight w:val="none"/>
                <w:lang w:val="en-US" w:eastAsia="zh-CN" w:bidi="ar"/>
              </w:rPr>
              <w:t>乳酸脱氢酶（</w:t>
            </w:r>
            <w:r>
              <w:rPr>
                <w:rStyle w:val="36"/>
                <w:rFonts w:eastAsia="宋体"/>
                <w:color w:val="auto"/>
                <w:highlight w:val="none"/>
                <w:lang w:val="en-US" w:eastAsia="zh-CN" w:bidi="ar"/>
              </w:rPr>
              <w:t>LDH</w:t>
            </w:r>
            <w:r>
              <w:rPr>
                <w:rStyle w:val="35"/>
                <w:color w:val="auto"/>
                <w:highlight w:val="none"/>
                <w:lang w:val="en-US" w:eastAsia="zh-CN" w:bidi="ar"/>
              </w:rPr>
              <w:t>）生物发光法检测试剂盒</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41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37DB">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B0A4">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3"/>
                <w:rFonts w:eastAsia="宋体"/>
                <w:color w:val="auto"/>
                <w:highlight w:val="none"/>
                <w:lang w:val="en-US" w:eastAsia="zh-CN" w:bidi="ar"/>
              </w:rPr>
              <w:t>1</w:t>
            </w:r>
            <w:r>
              <w:rPr>
                <w:rStyle w:val="42"/>
                <w:color w:val="auto"/>
                <w:highlight w:val="none"/>
                <w:lang w:val="en-US" w:eastAsia="zh-CN" w:bidi="ar"/>
              </w:rPr>
              <w:t>、检测方法：基于硫辛酰胺脱氢酶（</w:t>
            </w:r>
            <w:r>
              <w:rPr>
                <w:rStyle w:val="43"/>
                <w:rFonts w:eastAsia="宋体"/>
                <w:color w:val="auto"/>
                <w:highlight w:val="none"/>
                <w:lang w:val="en-US" w:eastAsia="zh-CN" w:bidi="ar"/>
              </w:rPr>
              <w:t>Diaphorase</w:t>
            </w:r>
            <w:r>
              <w:rPr>
                <w:rStyle w:val="42"/>
                <w:color w:val="auto"/>
                <w:highlight w:val="none"/>
                <w:lang w:val="en-US" w:eastAsia="zh-CN" w:bidi="ar"/>
              </w:rPr>
              <w:t>）催化的碘硝基四氮唑（</w:t>
            </w:r>
            <w:r>
              <w:rPr>
                <w:rStyle w:val="43"/>
                <w:rFonts w:eastAsia="宋体"/>
                <w:color w:val="auto"/>
                <w:highlight w:val="none"/>
                <w:lang w:val="en-US" w:eastAsia="zh-CN" w:bidi="ar"/>
              </w:rPr>
              <w:t>INT</w:t>
            </w:r>
            <w:r>
              <w:rPr>
                <w:rStyle w:val="42"/>
                <w:color w:val="auto"/>
                <w:highlight w:val="none"/>
                <w:lang w:val="en-US" w:eastAsia="zh-CN" w:bidi="ar"/>
              </w:rPr>
              <w:t>）显色反应，检测由细胞毒性所释放的乳酸脱氢酶（</w:t>
            </w:r>
            <w:r>
              <w:rPr>
                <w:rStyle w:val="43"/>
                <w:rFonts w:eastAsia="宋体"/>
                <w:color w:val="auto"/>
                <w:highlight w:val="none"/>
                <w:lang w:val="en-US" w:eastAsia="zh-CN" w:bidi="ar"/>
              </w:rPr>
              <w:t>LDH</w:t>
            </w:r>
            <w:r>
              <w:rPr>
                <w:rStyle w:val="42"/>
                <w:color w:val="auto"/>
                <w:highlight w:val="none"/>
                <w:lang w:val="en-US" w:eastAsia="zh-CN" w:bidi="ar"/>
              </w:rPr>
              <w:t>）活性</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Style w:val="42"/>
                <w:color w:val="auto"/>
                <w:highlight w:val="none"/>
                <w:lang w:val="en-US" w:eastAsia="zh-CN" w:bidi="ar"/>
              </w:rPr>
              <w:t>、规格：</w:t>
            </w:r>
            <w:r>
              <w:rPr>
                <w:rStyle w:val="43"/>
                <w:rFonts w:eastAsia="宋体"/>
                <w:color w:val="auto"/>
                <w:highlight w:val="none"/>
                <w:lang w:val="en-US" w:eastAsia="zh-CN" w:bidi="ar"/>
              </w:rPr>
              <w:t>500T/</w:t>
            </w:r>
            <w:r>
              <w:rPr>
                <w:rStyle w:val="42"/>
                <w:color w:val="auto"/>
                <w:highlight w:val="none"/>
                <w:lang w:val="en-US" w:eastAsia="zh-CN" w:bidi="ar"/>
              </w:rPr>
              <w:t>盒</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3</w:t>
            </w:r>
            <w:r>
              <w:rPr>
                <w:rStyle w:val="42"/>
                <w:color w:val="auto"/>
                <w:highlight w:val="none"/>
                <w:lang w:val="en-US" w:eastAsia="zh-CN" w:bidi="ar"/>
              </w:rPr>
              <w:t>、</w:t>
            </w:r>
            <w:r>
              <w:rPr>
                <w:rStyle w:val="42"/>
                <w:rFonts w:hint="eastAsia"/>
                <w:color w:val="auto"/>
                <w:highlight w:val="none"/>
                <w:lang w:val="en-US" w:eastAsia="zh-CN" w:bidi="ar"/>
              </w:rPr>
              <w:t>检测原理</w:t>
            </w:r>
            <w:r>
              <w:rPr>
                <w:rStyle w:val="42"/>
                <w:color w:val="auto"/>
                <w:highlight w:val="none"/>
                <w:lang w:val="en-US" w:eastAsia="zh-CN" w:bidi="ar"/>
              </w:rPr>
              <w:t>：在乳酸脱氢酶的作用下，</w:t>
            </w:r>
            <w:r>
              <w:rPr>
                <w:rStyle w:val="43"/>
                <w:rFonts w:eastAsia="宋体"/>
                <w:color w:val="auto"/>
                <w:highlight w:val="none"/>
                <w:lang w:val="en-US" w:eastAsia="zh-CN" w:bidi="ar"/>
              </w:rPr>
              <w:t>NAD+</w:t>
            </w:r>
            <w:r>
              <w:rPr>
                <w:rStyle w:val="42"/>
                <w:color w:val="auto"/>
                <w:highlight w:val="none"/>
                <w:lang w:val="en-US" w:eastAsia="zh-CN" w:bidi="ar"/>
              </w:rPr>
              <w:t>被还原生成</w:t>
            </w:r>
            <w:r>
              <w:rPr>
                <w:rStyle w:val="43"/>
                <w:rFonts w:eastAsia="宋体"/>
                <w:color w:val="auto"/>
                <w:highlight w:val="none"/>
                <w:lang w:val="en-US" w:eastAsia="zh-CN" w:bidi="ar"/>
              </w:rPr>
              <w:t>NADH</w:t>
            </w:r>
            <w:r>
              <w:rPr>
                <w:rStyle w:val="42"/>
                <w:color w:val="auto"/>
                <w:highlight w:val="none"/>
                <w:lang w:val="en-US" w:eastAsia="zh-CN" w:bidi="ar"/>
              </w:rPr>
              <w:t>，</w:t>
            </w:r>
            <w:r>
              <w:rPr>
                <w:rStyle w:val="43"/>
                <w:rFonts w:eastAsia="宋体"/>
                <w:color w:val="auto"/>
                <w:highlight w:val="none"/>
                <w:lang w:val="en-US" w:eastAsia="zh-CN" w:bidi="ar"/>
              </w:rPr>
              <w:t>NADH</w:t>
            </w:r>
            <w:r>
              <w:rPr>
                <w:rStyle w:val="42"/>
                <w:color w:val="auto"/>
                <w:highlight w:val="none"/>
                <w:lang w:val="en-US" w:eastAsia="zh-CN" w:bidi="ar"/>
              </w:rPr>
              <w:t>和</w:t>
            </w:r>
            <w:r>
              <w:rPr>
                <w:rStyle w:val="43"/>
                <w:rFonts w:eastAsia="宋体"/>
                <w:color w:val="auto"/>
                <w:highlight w:val="none"/>
                <w:lang w:val="en-US" w:eastAsia="zh-CN" w:bidi="ar"/>
              </w:rPr>
              <w:t xml:space="preserve">INT </w:t>
            </w:r>
            <w:r>
              <w:rPr>
                <w:rStyle w:val="42"/>
                <w:color w:val="auto"/>
                <w:highlight w:val="none"/>
                <w:lang w:val="en-US" w:eastAsia="zh-CN" w:bidi="ar"/>
              </w:rPr>
              <w:t>被硫辛酰胺脱氢酶催化反应生成</w:t>
            </w:r>
            <w:r>
              <w:rPr>
                <w:rStyle w:val="43"/>
                <w:rFonts w:eastAsia="宋体"/>
                <w:color w:val="auto"/>
                <w:highlight w:val="none"/>
                <w:lang w:val="en-US" w:eastAsia="zh-CN" w:bidi="ar"/>
              </w:rPr>
              <w:t>NAD+</w:t>
            </w:r>
            <w:r>
              <w:rPr>
                <w:rStyle w:val="42"/>
                <w:color w:val="auto"/>
                <w:highlight w:val="none"/>
                <w:lang w:val="en-US" w:eastAsia="zh-CN" w:bidi="ar"/>
              </w:rPr>
              <w:t>和强生色物甲臜，在</w:t>
            </w:r>
            <w:r>
              <w:rPr>
                <w:rStyle w:val="43"/>
                <w:rFonts w:eastAsia="宋体"/>
                <w:color w:val="auto"/>
                <w:highlight w:val="none"/>
                <w:lang w:val="en-US" w:eastAsia="zh-CN" w:bidi="ar"/>
              </w:rPr>
              <w:t>490 nm</w:t>
            </w:r>
            <w:r>
              <w:rPr>
                <w:rStyle w:val="42"/>
                <w:color w:val="auto"/>
                <w:highlight w:val="none"/>
                <w:lang w:val="en-US" w:eastAsia="zh-CN" w:bidi="ar"/>
              </w:rPr>
              <w:t>波长下产生吸收峰，从而来定量检测细胞培养液、细胞裂解液等样品中乳酸脱氢酶的活性，吸光度与乳酸脱氢酶活性成线性正相关；</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4</w:t>
            </w:r>
            <w:r>
              <w:rPr>
                <w:rStyle w:val="42"/>
                <w:color w:val="auto"/>
                <w:highlight w:val="none"/>
                <w:lang w:val="en-US" w:eastAsia="zh-CN" w:bidi="ar"/>
              </w:rPr>
              <w:t>、适用样本：细胞培养样品，细胞裂解液等。</w:t>
            </w:r>
          </w:p>
        </w:tc>
      </w:tr>
      <w:tr w14:paraId="2339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9D0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032F0">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36"/>
                <w:rFonts w:eastAsia="宋体"/>
                <w:color w:val="auto"/>
                <w:highlight w:val="none"/>
                <w:lang w:val="en-US" w:eastAsia="zh-CN" w:bidi="ar"/>
              </w:rPr>
              <w:t xml:space="preserve">H₂O₂ </w:t>
            </w:r>
            <w:r>
              <w:rPr>
                <w:rStyle w:val="35"/>
                <w:color w:val="auto"/>
                <w:highlight w:val="none"/>
                <w:lang w:val="en-US" w:eastAsia="zh-CN" w:bidi="ar"/>
              </w:rPr>
              <w:t>检测试剂盒（</w:t>
            </w:r>
            <w:r>
              <w:rPr>
                <w:rStyle w:val="42"/>
                <w:color w:val="auto"/>
                <w:highlight w:val="none"/>
                <w:lang w:val="en-US" w:eastAsia="zh-CN" w:bidi="ar"/>
              </w:rPr>
              <w:t>比色法）</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8C2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601C">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D661">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3"/>
                <w:rFonts w:eastAsia="宋体"/>
                <w:color w:val="auto"/>
                <w:highlight w:val="none"/>
                <w:lang w:val="en-US" w:eastAsia="zh-CN" w:bidi="ar"/>
              </w:rPr>
              <w:t>1</w:t>
            </w:r>
            <w:r>
              <w:rPr>
                <w:rStyle w:val="42"/>
                <w:color w:val="auto"/>
                <w:highlight w:val="none"/>
                <w:lang w:val="en-US" w:eastAsia="zh-CN" w:bidi="ar"/>
              </w:rPr>
              <w:t>、检测方法：比色法检测；</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Style w:val="42"/>
                <w:color w:val="auto"/>
                <w:highlight w:val="none"/>
                <w:lang w:val="en-US" w:eastAsia="zh-CN" w:bidi="ar"/>
              </w:rPr>
              <w:t>、规格：</w:t>
            </w:r>
            <w:r>
              <w:rPr>
                <w:rStyle w:val="43"/>
                <w:rFonts w:eastAsia="宋体"/>
                <w:color w:val="auto"/>
                <w:highlight w:val="none"/>
                <w:lang w:val="en-US" w:eastAsia="zh-CN" w:bidi="ar"/>
              </w:rPr>
              <w:t>100</w:t>
            </w:r>
            <w:r>
              <w:rPr>
                <w:rStyle w:val="42"/>
                <w:color w:val="auto"/>
                <w:highlight w:val="none"/>
                <w:lang w:val="en-US" w:eastAsia="zh-CN" w:bidi="ar"/>
              </w:rPr>
              <w:t>次检测</w:t>
            </w:r>
            <w:r>
              <w:rPr>
                <w:rStyle w:val="43"/>
                <w:rFonts w:eastAsia="宋体"/>
                <w:color w:val="auto"/>
                <w:highlight w:val="none"/>
                <w:lang w:val="en-US" w:eastAsia="zh-CN" w:bidi="ar"/>
              </w:rPr>
              <w:t>(96</w:t>
            </w:r>
            <w:r>
              <w:rPr>
                <w:rStyle w:val="42"/>
                <w:color w:val="auto"/>
                <w:highlight w:val="none"/>
                <w:lang w:val="en-US" w:eastAsia="zh-CN" w:bidi="ar"/>
              </w:rPr>
              <w:t>个样本）</w:t>
            </w:r>
            <w:r>
              <w:rPr>
                <w:rStyle w:val="43"/>
                <w:rFonts w:eastAsia="宋体"/>
                <w:color w:val="auto"/>
                <w:highlight w:val="none"/>
                <w:lang w:val="en-US" w:eastAsia="zh-CN" w:bidi="ar"/>
              </w:rPr>
              <w:t>/</w:t>
            </w:r>
            <w:r>
              <w:rPr>
                <w:rStyle w:val="42"/>
                <w:color w:val="auto"/>
                <w:highlight w:val="none"/>
                <w:lang w:val="en-US" w:eastAsia="zh-CN" w:bidi="ar"/>
              </w:rPr>
              <w:t>盒；</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3</w:t>
            </w:r>
            <w:r>
              <w:rPr>
                <w:rFonts w:ascii="宋体" w:hAnsi="宋体" w:eastAsia="宋体" w:cs="宋体"/>
                <w:color w:val="auto"/>
                <w:kern w:val="0"/>
                <w:sz w:val="24"/>
                <w:szCs w:val="24"/>
                <w:highlight w:val="none"/>
                <w:lang w:val="en-US" w:eastAsia="zh-CN" w:bidi="ar"/>
              </w:rPr>
              <w:t>★</w:t>
            </w:r>
            <w:r>
              <w:rPr>
                <w:rStyle w:val="42"/>
                <w:color w:val="auto"/>
                <w:highlight w:val="none"/>
                <w:lang w:val="en-US" w:eastAsia="zh-CN" w:bidi="ar"/>
              </w:rPr>
              <w:t>、灵敏度：</w:t>
            </w:r>
            <w:r>
              <w:rPr>
                <w:rStyle w:val="43"/>
                <w:rFonts w:eastAsia="宋体"/>
                <w:color w:val="auto"/>
                <w:highlight w:val="none"/>
                <w:lang w:val="en-US" w:eastAsia="zh-CN" w:bidi="ar"/>
              </w:rPr>
              <w:t>1.5mmol/L</w:t>
            </w:r>
            <w:r>
              <w:rPr>
                <w:rStyle w:val="42"/>
                <w:color w:val="auto"/>
                <w:highlight w:val="none"/>
                <w:lang w:val="en-US" w:eastAsia="zh-CN" w:bidi="ar"/>
              </w:rPr>
              <w:t>；检测范围：</w:t>
            </w:r>
            <w:r>
              <w:rPr>
                <w:rStyle w:val="43"/>
                <w:rFonts w:eastAsia="宋体"/>
                <w:color w:val="auto"/>
                <w:highlight w:val="none"/>
                <w:lang w:val="en-US" w:eastAsia="zh-CN" w:bidi="ar"/>
              </w:rPr>
              <w:t>1.5-150mmol/L</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4</w:t>
            </w:r>
            <w:r>
              <w:rPr>
                <w:rStyle w:val="42"/>
                <w:color w:val="auto"/>
                <w:highlight w:val="none"/>
                <w:lang w:val="en-US" w:eastAsia="zh-CN" w:bidi="ar"/>
              </w:rPr>
              <w:t>、精密度：批间差：</w:t>
            </w:r>
            <w:r>
              <w:rPr>
                <w:rStyle w:val="43"/>
                <w:rFonts w:eastAsia="宋体"/>
                <w:color w:val="auto"/>
                <w:highlight w:val="none"/>
                <w:lang w:val="en-US" w:eastAsia="zh-CN" w:bidi="ar"/>
              </w:rPr>
              <w:t xml:space="preserve">2.7% | </w:t>
            </w:r>
            <w:r>
              <w:rPr>
                <w:rStyle w:val="42"/>
                <w:color w:val="auto"/>
                <w:highlight w:val="none"/>
                <w:lang w:val="en-US" w:eastAsia="zh-CN" w:bidi="ar"/>
              </w:rPr>
              <w:t>批内差：</w:t>
            </w:r>
            <w:r>
              <w:rPr>
                <w:rStyle w:val="43"/>
                <w:rFonts w:eastAsia="宋体"/>
                <w:color w:val="auto"/>
                <w:highlight w:val="none"/>
                <w:lang w:val="en-US" w:eastAsia="zh-CN" w:bidi="ar"/>
              </w:rPr>
              <w:t>1.3%</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5</w:t>
            </w:r>
            <w:r>
              <w:rPr>
                <w:rStyle w:val="42"/>
                <w:color w:val="auto"/>
                <w:highlight w:val="none"/>
                <w:lang w:val="en-US" w:eastAsia="zh-CN" w:bidi="ar"/>
              </w:rPr>
              <w:t>、样本量：</w:t>
            </w:r>
            <w:r>
              <w:rPr>
                <w:rStyle w:val="43"/>
                <w:rFonts w:eastAsia="宋体"/>
                <w:color w:val="auto"/>
                <w:highlight w:val="none"/>
                <w:lang w:val="en-US" w:eastAsia="zh-CN" w:bidi="ar"/>
              </w:rPr>
              <w:t>0.1mL</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6</w:t>
            </w:r>
            <w:r>
              <w:rPr>
                <w:rStyle w:val="42"/>
                <w:color w:val="auto"/>
                <w:highlight w:val="none"/>
                <w:lang w:val="en-US" w:eastAsia="zh-CN" w:bidi="ar"/>
              </w:rPr>
              <w:t>、适用样本：血清（浆）；培养液；动植物组织；细胞；</w:t>
            </w:r>
          </w:p>
        </w:tc>
      </w:tr>
      <w:tr w14:paraId="05097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581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21</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DACAA8">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Style w:val="35"/>
                <w:color w:val="auto"/>
                <w:highlight w:val="none"/>
                <w:lang w:val="en-US" w:eastAsia="zh-CN" w:bidi="ar"/>
              </w:rPr>
              <w:t>半胱天冬酶</w:t>
            </w:r>
            <w:r>
              <w:rPr>
                <w:rStyle w:val="36"/>
                <w:rFonts w:eastAsia="宋体"/>
                <w:color w:val="auto"/>
                <w:highlight w:val="none"/>
                <w:lang w:val="en-US" w:eastAsia="zh-CN" w:bidi="ar"/>
              </w:rPr>
              <w:t xml:space="preserve"> 3/7</w:t>
            </w:r>
            <w:r>
              <w:rPr>
                <w:rStyle w:val="35"/>
                <w:color w:val="auto"/>
                <w:highlight w:val="none"/>
                <w:lang w:val="en-US" w:eastAsia="zh-CN" w:bidi="ar"/>
              </w:rPr>
              <w:t>活性细胞凋亡检测试剂盒（</w:t>
            </w:r>
            <w:r>
              <w:rPr>
                <w:rStyle w:val="42"/>
                <w:color w:val="auto"/>
                <w:highlight w:val="none"/>
                <w:lang w:val="en-US" w:eastAsia="zh-CN" w:bidi="ar"/>
              </w:rPr>
              <w:t>比色法</w:t>
            </w:r>
            <w:r>
              <w:rPr>
                <w:rStyle w:val="35"/>
                <w:color w:val="auto"/>
                <w:highlight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412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74F1">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F7C5">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3"/>
                <w:rFonts w:eastAsia="宋体"/>
                <w:color w:val="auto"/>
                <w:highlight w:val="none"/>
                <w:lang w:val="en-US" w:eastAsia="zh-CN" w:bidi="ar"/>
              </w:rPr>
              <w:t>1</w:t>
            </w:r>
            <w:r>
              <w:rPr>
                <w:rStyle w:val="42"/>
                <w:color w:val="auto"/>
                <w:highlight w:val="none"/>
                <w:lang w:val="en-US" w:eastAsia="zh-CN" w:bidi="ar"/>
              </w:rPr>
              <w:t>、检测方法：比色法检测；</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Style w:val="42"/>
                <w:color w:val="auto"/>
                <w:highlight w:val="none"/>
                <w:lang w:val="en-US" w:eastAsia="zh-CN" w:bidi="ar"/>
              </w:rPr>
              <w:t>、规格：</w:t>
            </w:r>
            <w:r>
              <w:rPr>
                <w:rStyle w:val="43"/>
                <w:rFonts w:eastAsia="宋体"/>
                <w:color w:val="auto"/>
                <w:highlight w:val="none"/>
                <w:lang w:val="en-US" w:eastAsia="zh-CN" w:bidi="ar"/>
              </w:rPr>
              <w:t xml:space="preserve">100 </w:t>
            </w:r>
            <w:r>
              <w:rPr>
                <w:rStyle w:val="42"/>
                <w:color w:val="auto"/>
                <w:highlight w:val="none"/>
                <w:lang w:val="en-US" w:eastAsia="zh-CN" w:bidi="ar"/>
              </w:rPr>
              <w:t>次检测</w:t>
            </w:r>
            <w:r>
              <w:rPr>
                <w:rStyle w:val="43"/>
                <w:rFonts w:eastAsia="宋体"/>
                <w:color w:val="auto"/>
                <w:highlight w:val="none"/>
                <w:lang w:val="en-US" w:eastAsia="zh-CN" w:bidi="ar"/>
              </w:rPr>
              <w:t>/</w:t>
            </w:r>
            <w:r>
              <w:rPr>
                <w:rStyle w:val="42"/>
                <w:color w:val="auto"/>
                <w:highlight w:val="none"/>
                <w:lang w:val="en-US" w:eastAsia="zh-CN" w:bidi="ar"/>
              </w:rPr>
              <w:t>盒；</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3</w:t>
            </w:r>
            <w:r>
              <w:rPr>
                <w:rStyle w:val="42"/>
                <w:color w:val="auto"/>
                <w:highlight w:val="none"/>
                <w:lang w:val="en-US" w:eastAsia="zh-CN" w:bidi="ar"/>
              </w:rPr>
              <w:t>、检测原理：基于半胱天冬酶</w:t>
            </w:r>
            <w:r>
              <w:rPr>
                <w:rStyle w:val="43"/>
                <w:rFonts w:eastAsia="宋体"/>
                <w:color w:val="auto"/>
                <w:highlight w:val="none"/>
                <w:lang w:val="en-US" w:eastAsia="zh-CN" w:bidi="ar"/>
              </w:rPr>
              <w:t xml:space="preserve"> 3/7</w:t>
            </w:r>
            <w:r>
              <w:rPr>
                <w:rStyle w:val="42"/>
                <w:color w:val="auto"/>
                <w:highlight w:val="none"/>
                <w:lang w:val="en-US" w:eastAsia="zh-CN" w:bidi="ar"/>
              </w:rPr>
              <w:t>可以催化底物</w:t>
            </w:r>
            <w:r>
              <w:rPr>
                <w:rStyle w:val="43"/>
                <w:rFonts w:eastAsia="宋体"/>
                <w:color w:val="auto"/>
                <w:highlight w:val="none"/>
                <w:lang w:val="en-US" w:eastAsia="zh-CN" w:bidi="ar"/>
              </w:rPr>
              <w:t>Ac-DEVD-pNA</w:t>
            </w:r>
            <w:r>
              <w:rPr>
                <w:rStyle w:val="42"/>
                <w:color w:val="auto"/>
                <w:highlight w:val="none"/>
                <w:lang w:val="en-US" w:eastAsia="zh-CN" w:bidi="ar"/>
              </w:rPr>
              <w:t>产生黄色的对硝基苯胺</w:t>
            </w:r>
            <w:r>
              <w:rPr>
                <w:rStyle w:val="43"/>
                <w:rFonts w:eastAsia="宋体"/>
                <w:color w:val="auto"/>
                <w:highlight w:val="none"/>
                <w:lang w:val="en-US" w:eastAsia="zh-CN" w:bidi="ar"/>
              </w:rPr>
              <w:t>pNA</w:t>
            </w:r>
            <w:r>
              <w:rPr>
                <w:rStyle w:val="42"/>
                <w:color w:val="auto"/>
                <w:highlight w:val="none"/>
                <w:lang w:val="en-US" w:eastAsia="zh-CN" w:bidi="ar"/>
              </w:rPr>
              <w:t>，</w:t>
            </w:r>
            <w:r>
              <w:rPr>
                <w:rStyle w:val="43"/>
                <w:rFonts w:eastAsia="宋体"/>
                <w:color w:val="auto"/>
                <w:highlight w:val="none"/>
                <w:lang w:val="en-US" w:eastAsia="zh-CN" w:bidi="ar"/>
              </w:rPr>
              <w:t>pNA</w:t>
            </w:r>
            <w:r>
              <w:rPr>
                <w:rStyle w:val="42"/>
                <w:color w:val="auto"/>
                <w:highlight w:val="none"/>
                <w:lang w:val="en-US" w:eastAsia="zh-CN" w:bidi="ar"/>
              </w:rPr>
              <w:t>在</w:t>
            </w:r>
            <w:r>
              <w:rPr>
                <w:rStyle w:val="43"/>
                <w:rFonts w:eastAsia="宋体"/>
                <w:color w:val="auto"/>
                <w:highlight w:val="none"/>
                <w:lang w:val="en-US" w:eastAsia="zh-CN" w:bidi="ar"/>
              </w:rPr>
              <w:t>405nm</w:t>
            </w:r>
            <w:r>
              <w:rPr>
                <w:rStyle w:val="42"/>
                <w:color w:val="auto"/>
                <w:highlight w:val="none"/>
                <w:lang w:val="en-US" w:eastAsia="zh-CN" w:bidi="ar"/>
              </w:rPr>
              <w:t>附近有强吸收，从而可以通过测定吸光度来检测半胱天冬酶</w:t>
            </w:r>
            <w:r>
              <w:rPr>
                <w:rStyle w:val="43"/>
                <w:rFonts w:eastAsia="宋体"/>
                <w:color w:val="auto"/>
                <w:highlight w:val="none"/>
                <w:lang w:val="en-US" w:eastAsia="zh-CN" w:bidi="ar"/>
              </w:rPr>
              <w:t xml:space="preserve"> 3/7</w:t>
            </w:r>
            <w:r>
              <w:rPr>
                <w:rStyle w:val="42"/>
                <w:color w:val="auto"/>
                <w:highlight w:val="none"/>
                <w:lang w:val="en-US" w:eastAsia="zh-CN" w:bidi="ar"/>
              </w:rPr>
              <w:t>的活性，半胱天冬酶</w:t>
            </w:r>
            <w:r>
              <w:rPr>
                <w:rStyle w:val="43"/>
                <w:rFonts w:eastAsia="宋体"/>
                <w:color w:val="auto"/>
                <w:highlight w:val="none"/>
                <w:lang w:val="en-US" w:eastAsia="zh-CN" w:bidi="ar"/>
              </w:rPr>
              <w:t xml:space="preserve"> 3</w:t>
            </w:r>
            <w:r>
              <w:rPr>
                <w:rStyle w:val="42"/>
                <w:color w:val="auto"/>
                <w:highlight w:val="none"/>
                <w:lang w:val="en-US" w:eastAsia="zh-CN" w:bidi="ar"/>
              </w:rPr>
              <w:t>在正常状态下以酶原的形式存在于胞浆中，没有活性，在细胞发生凋亡阶段，半胱天冬酶</w:t>
            </w:r>
            <w:r>
              <w:rPr>
                <w:rStyle w:val="43"/>
                <w:rFonts w:eastAsia="宋体"/>
                <w:color w:val="auto"/>
                <w:highlight w:val="none"/>
                <w:lang w:val="en-US" w:eastAsia="zh-CN" w:bidi="ar"/>
              </w:rPr>
              <w:t xml:space="preserve"> 3</w:t>
            </w:r>
            <w:r>
              <w:rPr>
                <w:rStyle w:val="42"/>
                <w:color w:val="auto"/>
                <w:highlight w:val="none"/>
                <w:lang w:val="en-US" w:eastAsia="zh-CN" w:bidi="ar"/>
              </w:rPr>
              <w:t>被激活，活化的半胱天冬酶</w:t>
            </w:r>
            <w:r>
              <w:rPr>
                <w:rStyle w:val="43"/>
                <w:rFonts w:eastAsia="宋体"/>
                <w:color w:val="auto"/>
                <w:highlight w:val="none"/>
                <w:lang w:val="en-US" w:eastAsia="zh-CN" w:bidi="ar"/>
              </w:rPr>
              <w:t xml:space="preserve"> 3</w:t>
            </w:r>
            <w:r>
              <w:rPr>
                <w:rStyle w:val="42"/>
                <w:color w:val="auto"/>
                <w:highlight w:val="none"/>
                <w:lang w:val="en-US" w:eastAsia="zh-CN" w:bidi="ar"/>
              </w:rPr>
              <w:t>由两个大亚基和两个小亚基组成，裂解相应的胞浆胞核底物，最终导致细胞凋亡；</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4</w:t>
            </w:r>
            <w:r>
              <w:rPr>
                <w:rStyle w:val="42"/>
                <w:color w:val="auto"/>
                <w:highlight w:val="none"/>
                <w:lang w:val="en-US" w:eastAsia="zh-CN" w:bidi="ar"/>
              </w:rPr>
              <w:t>、适用样本：细胞，组织；</w:t>
            </w:r>
          </w:p>
        </w:tc>
      </w:tr>
      <w:tr w14:paraId="16146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4"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D129">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22</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5179A">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35"/>
                <w:color w:val="auto"/>
                <w:highlight w:val="none"/>
                <w:lang w:val="en-US" w:eastAsia="zh-CN" w:bidi="ar"/>
              </w:rPr>
              <w:t>牛奶布鲁氏菌</w:t>
            </w:r>
            <w:r>
              <w:rPr>
                <w:rStyle w:val="36"/>
                <w:rFonts w:eastAsia="宋体"/>
                <w:color w:val="auto"/>
                <w:highlight w:val="none"/>
                <w:lang w:val="en-US" w:eastAsia="zh-CN" w:bidi="ar"/>
              </w:rPr>
              <w:t xml:space="preserve"> ELISA </w:t>
            </w:r>
            <w:r>
              <w:rPr>
                <w:rStyle w:val="35"/>
                <w:color w:val="auto"/>
                <w:highlight w:val="none"/>
                <w:lang w:val="en-US" w:eastAsia="zh-CN" w:bidi="ar"/>
              </w:rPr>
              <w:t>抗体检测试剂盒</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A9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5275">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C050">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3"/>
                <w:rFonts w:eastAsia="宋体"/>
                <w:color w:val="auto"/>
                <w:highlight w:val="none"/>
                <w:lang w:val="en-US" w:eastAsia="zh-CN" w:bidi="ar"/>
              </w:rPr>
              <w:t>1</w:t>
            </w:r>
            <w:r>
              <w:rPr>
                <w:rStyle w:val="42"/>
                <w:color w:val="auto"/>
                <w:highlight w:val="none"/>
                <w:lang w:val="en-US" w:eastAsia="zh-CN" w:bidi="ar"/>
              </w:rPr>
              <w:t>、检测方法：间接</w:t>
            </w:r>
            <w:r>
              <w:rPr>
                <w:rStyle w:val="43"/>
                <w:rFonts w:eastAsia="宋体"/>
                <w:color w:val="auto"/>
                <w:highlight w:val="none"/>
                <w:lang w:val="en-US" w:eastAsia="zh-CN" w:bidi="ar"/>
              </w:rPr>
              <w:t>ELISA</w:t>
            </w:r>
            <w:r>
              <w:rPr>
                <w:rStyle w:val="42"/>
                <w:color w:val="auto"/>
                <w:highlight w:val="none"/>
                <w:lang w:val="en-US" w:eastAsia="zh-CN" w:bidi="ar"/>
              </w:rPr>
              <w:t>方法。</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Style w:val="42"/>
                <w:color w:val="auto"/>
                <w:highlight w:val="none"/>
                <w:lang w:val="en-US" w:eastAsia="zh-CN" w:bidi="ar"/>
              </w:rPr>
              <w:t>、适用样本：牛奶</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3</w:t>
            </w:r>
            <w:r>
              <w:rPr>
                <w:rStyle w:val="42"/>
                <w:color w:val="auto"/>
                <w:highlight w:val="none"/>
                <w:lang w:val="en-US" w:eastAsia="zh-CN" w:bidi="ar"/>
              </w:rPr>
              <w:t>、</w:t>
            </w:r>
            <w:r>
              <w:rPr>
                <w:rStyle w:val="42"/>
                <w:rFonts w:hint="eastAsia"/>
                <w:color w:val="auto"/>
                <w:highlight w:val="none"/>
                <w:lang w:val="en-US" w:eastAsia="zh-CN" w:bidi="ar"/>
              </w:rPr>
              <w:t>可支持牛奶样品直接检测或简单稀释后检测</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4</w:t>
            </w:r>
            <w:r>
              <w:rPr>
                <w:rStyle w:val="42"/>
                <w:color w:val="auto"/>
                <w:highlight w:val="none"/>
                <w:lang w:val="en-US" w:eastAsia="zh-CN" w:bidi="ar"/>
              </w:rPr>
              <w:t>、对比检测血清结果符合率</w:t>
            </w:r>
            <w:r>
              <w:rPr>
                <w:rStyle w:val="43"/>
                <w:rFonts w:eastAsia="宋体"/>
                <w:color w:val="auto"/>
                <w:highlight w:val="none"/>
                <w:lang w:val="en-US" w:eastAsia="zh-CN" w:bidi="ar"/>
              </w:rPr>
              <w:t>≥98%</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5</w:t>
            </w:r>
            <w:r>
              <w:rPr>
                <w:rStyle w:val="42"/>
                <w:color w:val="auto"/>
                <w:highlight w:val="none"/>
                <w:lang w:val="en-US" w:eastAsia="zh-CN" w:bidi="ar"/>
              </w:rPr>
              <w:t>、试剂盒批内和批间变异系数均</w:t>
            </w:r>
            <w:r>
              <w:rPr>
                <w:rStyle w:val="43"/>
                <w:rFonts w:eastAsia="宋体"/>
                <w:color w:val="auto"/>
                <w:highlight w:val="none"/>
                <w:lang w:val="en-US" w:eastAsia="zh-CN" w:bidi="ar"/>
              </w:rPr>
              <w:t>≤10%</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6</w:t>
            </w:r>
            <w:r>
              <w:rPr>
                <w:rStyle w:val="42"/>
                <w:color w:val="auto"/>
                <w:highlight w:val="none"/>
                <w:lang w:val="en-US" w:eastAsia="zh-CN" w:bidi="ar"/>
              </w:rPr>
              <w:t>、试剂盒敏感性</w:t>
            </w:r>
            <w:r>
              <w:rPr>
                <w:rStyle w:val="43"/>
                <w:rFonts w:eastAsia="宋体"/>
                <w:color w:val="auto"/>
                <w:highlight w:val="none"/>
                <w:lang w:val="en-US" w:eastAsia="zh-CN" w:bidi="ar"/>
              </w:rPr>
              <w:t>≥99%</w:t>
            </w:r>
            <w:r>
              <w:rPr>
                <w:rStyle w:val="42"/>
                <w:color w:val="auto"/>
                <w:highlight w:val="none"/>
                <w:lang w:val="en-US" w:eastAsia="zh-CN" w:bidi="ar"/>
              </w:rPr>
              <w:t>，特异性</w:t>
            </w:r>
            <w:r>
              <w:rPr>
                <w:rStyle w:val="43"/>
                <w:rFonts w:eastAsia="宋体"/>
                <w:color w:val="auto"/>
                <w:highlight w:val="none"/>
                <w:lang w:val="en-US" w:eastAsia="zh-CN" w:bidi="ar"/>
              </w:rPr>
              <w:t>≥98%</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7</w:t>
            </w:r>
            <w:r>
              <w:rPr>
                <w:rStyle w:val="42"/>
                <w:color w:val="auto"/>
                <w:highlight w:val="none"/>
                <w:lang w:val="en-US" w:eastAsia="zh-CN" w:bidi="ar"/>
              </w:rPr>
              <w:t>、保存条件：</w:t>
            </w:r>
            <w:r>
              <w:rPr>
                <w:rStyle w:val="43"/>
                <w:rFonts w:eastAsia="宋体"/>
                <w:color w:val="auto"/>
                <w:highlight w:val="none"/>
                <w:lang w:val="en-US" w:eastAsia="zh-CN" w:bidi="ar"/>
              </w:rPr>
              <w:t>2</w:t>
            </w:r>
            <w:r>
              <w:rPr>
                <w:rStyle w:val="42"/>
                <w:color w:val="auto"/>
                <w:highlight w:val="none"/>
                <w:lang w:val="en-US" w:eastAsia="zh-CN" w:bidi="ar"/>
              </w:rPr>
              <w:t>～</w:t>
            </w:r>
            <w:r>
              <w:rPr>
                <w:rStyle w:val="43"/>
                <w:rFonts w:eastAsia="宋体"/>
                <w:color w:val="auto"/>
                <w:highlight w:val="none"/>
                <w:lang w:val="en-US" w:eastAsia="zh-CN" w:bidi="ar"/>
              </w:rPr>
              <w:t>8</w:t>
            </w:r>
            <w:r>
              <w:rPr>
                <w:rStyle w:val="42"/>
                <w:color w:val="auto"/>
                <w:highlight w:val="none"/>
                <w:lang w:val="en-US" w:eastAsia="zh-CN" w:bidi="ar"/>
              </w:rPr>
              <w:t>℃保存，有效期</w:t>
            </w:r>
            <w:r>
              <w:rPr>
                <w:rStyle w:val="43"/>
                <w:rFonts w:eastAsia="宋体"/>
                <w:color w:val="auto"/>
                <w:highlight w:val="none"/>
                <w:lang w:val="en-US" w:eastAsia="zh-CN" w:bidi="ar"/>
              </w:rPr>
              <w:t>≥12</w:t>
            </w:r>
            <w:r>
              <w:rPr>
                <w:rStyle w:val="42"/>
                <w:color w:val="auto"/>
                <w:highlight w:val="none"/>
                <w:lang w:val="en-US" w:eastAsia="zh-CN" w:bidi="ar"/>
              </w:rPr>
              <w:t>个月。</w:t>
            </w:r>
          </w:p>
        </w:tc>
      </w:tr>
      <w:tr w14:paraId="5977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F263">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23</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2BAD2">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35"/>
                <w:color w:val="auto"/>
                <w:highlight w:val="none"/>
                <w:lang w:val="en-US" w:eastAsia="zh-CN" w:bidi="ar"/>
              </w:rPr>
              <w:t>布鲁氏菌冻精四重检测试剂（</w:t>
            </w:r>
            <w:r>
              <w:rPr>
                <w:rStyle w:val="42"/>
                <w:color w:val="auto"/>
                <w:highlight w:val="none"/>
                <w:lang w:val="en-US" w:eastAsia="zh-CN" w:bidi="ar"/>
              </w:rPr>
              <w:t>荧光定量</w:t>
            </w:r>
            <w:r>
              <w:rPr>
                <w:rStyle w:val="43"/>
                <w:rFonts w:eastAsia="宋体"/>
                <w:color w:val="auto"/>
                <w:highlight w:val="none"/>
                <w:lang w:val="en-US" w:eastAsia="zh-CN" w:bidi="ar"/>
              </w:rPr>
              <w:t>PCR</w:t>
            </w:r>
            <w:r>
              <w:rPr>
                <w:rStyle w:val="42"/>
                <w:color w:val="auto"/>
                <w:highlight w:val="none"/>
                <w:lang w:val="en-US" w:eastAsia="zh-CN" w:bidi="ar"/>
              </w:rPr>
              <w:t>方法</w:t>
            </w:r>
            <w:r>
              <w:rPr>
                <w:rStyle w:val="35"/>
                <w:color w:val="auto"/>
                <w:highlight w:val="none"/>
                <w:lang w:val="en-US" w:eastAsia="zh-CN" w:bidi="ar"/>
              </w:rPr>
              <w:t>）</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5B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39F8">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10</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4C117">
            <w:pPr>
              <w:keepNext w:val="0"/>
              <w:keepLines w:val="0"/>
              <w:widowControl/>
              <w:numPr>
                <w:ilvl w:val="-1"/>
                <w:numId w:val="0"/>
              </w:numPr>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2"/>
                <w:rFonts w:hint="eastAsia"/>
                <w:color w:val="auto"/>
                <w:highlight w:val="none"/>
                <w:lang w:val="en-US" w:eastAsia="zh-CN" w:bidi="ar"/>
              </w:rPr>
              <w:t>1、</w:t>
            </w:r>
            <w:r>
              <w:rPr>
                <w:rStyle w:val="42"/>
                <w:color w:val="auto"/>
                <w:highlight w:val="none"/>
                <w:lang w:val="en-US" w:eastAsia="zh-CN" w:bidi="ar"/>
              </w:rPr>
              <w:t>检测方法：荧光定量</w:t>
            </w:r>
            <w:r>
              <w:rPr>
                <w:rStyle w:val="43"/>
                <w:rFonts w:eastAsia="宋体"/>
                <w:color w:val="auto"/>
                <w:highlight w:val="none"/>
                <w:lang w:val="en-US" w:eastAsia="zh-CN" w:bidi="ar"/>
              </w:rPr>
              <w:t>PCR</w:t>
            </w:r>
            <w:r>
              <w:rPr>
                <w:rStyle w:val="42"/>
                <w:color w:val="auto"/>
                <w:highlight w:val="none"/>
                <w:lang w:val="en-US" w:eastAsia="zh-CN" w:bidi="ar"/>
              </w:rPr>
              <w:t>方法</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Fonts w:ascii="宋体" w:hAnsi="宋体" w:eastAsia="宋体" w:cs="宋体"/>
                <w:color w:val="auto"/>
                <w:kern w:val="0"/>
                <w:sz w:val="24"/>
                <w:szCs w:val="24"/>
                <w:highlight w:val="none"/>
                <w:lang w:val="en-US" w:eastAsia="zh-CN" w:bidi="ar"/>
              </w:rPr>
              <w:t>★</w:t>
            </w:r>
            <w:r>
              <w:rPr>
                <w:rStyle w:val="42"/>
                <w:color w:val="auto"/>
                <w:highlight w:val="none"/>
                <w:lang w:val="en-US" w:eastAsia="zh-CN" w:bidi="ar"/>
              </w:rPr>
              <w:t>、检测病种：</w:t>
            </w:r>
            <w:r>
              <w:rPr>
                <w:rStyle w:val="42"/>
                <w:rFonts w:hint="eastAsia"/>
                <w:color w:val="auto"/>
                <w:highlight w:val="none"/>
                <w:lang w:val="en-US" w:eastAsia="zh-CN" w:bidi="ar"/>
              </w:rPr>
              <w:t>可同时检测至少3种以上动物源性病原微生物，其中必须包含布鲁氏菌；支持冻精样本经简单处理后检测</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3</w:t>
            </w:r>
            <w:r>
              <w:rPr>
                <w:rStyle w:val="42"/>
                <w:color w:val="auto"/>
                <w:highlight w:val="none"/>
                <w:lang w:val="en-US" w:eastAsia="zh-CN" w:bidi="ar"/>
              </w:rPr>
              <w:t>、每盒试剂可满足</w:t>
            </w:r>
            <w:r>
              <w:rPr>
                <w:rStyle w:val="43"/>
                <w:rFonts w:eastAsia="宋体"/>
                <w:color w:val="auto"/>
                <w:highlight w:val="none"/>
                <w:lang w:val="en-US" w:eastAsia="zh-CN" w:bidi="ar"/>
              </w:rPr>
              <w:t>≥50</w:t>
            </w:r>
            <w:r>
              <w:rPr>
                <w:rStyle w:val="42"/>
                <w:color w:val="auto"/>
                <w:highlight w:val="none"/>
                <w:lang w:val="en-US" w:eastAsia="zh-CN" w:bidi="ar"/>
              </w:rPr>
              <w:t>份样品的四重核酸检测。</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4</w:t>
            </w:r>
            <w:r>
              <w:rPr>
                <w:rStyle w:val="42"/>
                <w:color w:val="auto"/>
                <w:highlight w:val="none"/>
                <w:lang w:val="en-US" w:eastAsia="zh-CN" w:bidi="ar"/>
              </w:rPr>
              <w:t>、适用样本：动物组织、病毒细胞液、奶制品、抗凝血、血清、拭子类及冻精样本，冻精样本直接处理即可检测，无需特殊前处理。</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5</w:t>
            </w:r>
            <w:r>
              <w:rPr>
                <w:rStyle w:val="42"/>
                <w:color w:val="auto"/>
                <w:highlight w:val="none"/>
                <w:lang w:val="en-US" w:eastAsia="zh-CN" w:bidi="ar"/>
              </w:rPr>
              <w:t>、</w:t>
            </w:r>
            <w:r>
              <w:rPr>
                <w:rStyle w:val="42"/>
                <w:rFonts w:hint="eastAsia"/>
                <w:color w:val="auto"/>
                <w:highlight w:val="none"/>
                <w:lang w:val="en-US" w:eastAsia="zh-CN" w:bidi="ar"/>
              </w:rPr>
              <w:t>试剂盒批内和批间变异系数均≤5%；标准反应程序总时长≤60min</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6</w:t>
            </w:r>
            <w:r>
              <w:rPr>
                <w:rStyle w:val="42"/>
                <w:color w:val="auto"/>
                <w:highlight w:val="none"/>
                <w:lang w:val="en-US" w:eastAsia="zh-CN" w:bidi="ar"/>
              </w:rPr>
              <w:t>、试剂盒敏感性</w:t>
            </w:r>
            <w:r>
              <w:rPr>
                <w:rStyle w:val="43"/>
                <w:rFonts w:eastAsia="宋体"/>
                <w:color w:val="auto"/>
                <w:highlight w:val="none"/>
                <w:lang w:val="en-US" w:eastAsia="zh-CN" w:bidi="ar"/>
              </w:rPr>
              <w:t>≥99%</w:t>
            </w:r>
            <w:r>
              <w:rPr>
                <w:rStyle w:val="42"/>
                <w:color w:val="auto"/>
                <w:highlight w:val="none"/>
                <w:lang w:val="en-US" w:eastAsia="zh-CN" w:bidi="ar"/>
              </w:rPr>
              <w:t>，特异性</w:t>
            </w:r>
            <w:r>
              <w:rPr>
                <w:rStyle w:val="43"/>
                <w:rFonts w:eastAsia="宋体"/>
                <w:color w:val="auto"/>
                <w:highlight w:val="none"/>
                <w:lang w:val="en-US" w:eastAsia="zh-CN" w:bidi="ar"/>
              </w:rPr>
              <w:t>≥99%</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7</w:t>
            </w:r>
            <w:r>
              <w:rPr>
                <w:rStyle w:val="42"/>
                <w:color w:val="auto"/>
                <w:highlight w:val="none"/>
                <w:lang w:val="en-US" w:eastAsia="zh-CN" w:bidi="ar"/>
              </w:rPr>
              <w:t>、保存条件：</w:t>
            </w:r>
            <w:r>
              <w:rPr>
                <w:rStyle w:val="43"/>
                <w:rFonts w:eastAsia="宋体"/>
                <w:color w:val="auto"/>
                <w:highlight w:val="none"/>
                <w:lang w:val="en-US" w:eastAsia="zh-CN" w:bidi="ar"/>
              </w:rPr>
              <w:t>-20</w:t>
            </w:r>
            <w:r>
              <w:rPr>
                <w:rStyle w:val="42"/>
                <w:color w:val="auto"/>
                <w:highlight w:val="none"/>
                <w:lang w:val="en-US" w:eastAsia="zh-CN" w:bidi="ar"/>
              </w:rPr>
              <w:t>℃避光保存，避免反复冻融，有效期</w:t>
            </w:r>
            <w:r>
              <w:rPr>
                <w:rStyle w:val="43"/>
                <w:rFonts w:eastAsia="宋体"/>
                <w:color w:val="auto"/>
                <w:highlight w:val="none"/>
                <w:lang w:val="en-US" w:eastAsia="zh-CN" w:bidi="ar"/>
              </w:rPr>
              <w:t>≥12</w:t>
            </w:r>
            <w:r>
              <w:rPr>
                <w:rStyle w:val="42"/>
                <w:color w:val="auto"/>
                <w:highlight w:val="none"/>
                <w:lang w:val="en-US" w:eastAsia="zh-CN" w:bidi="ar"/>
              </w:rPr>
              <w:t>个月。</w:t>
            </w:r>
          </w:p>
        </w:tc>
      </w:tr>
      <w:tr w14:paraId="121F7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8"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9634">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24</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A2E43">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35"/>
                <w:color w:val="auto"/>
                <w:highlight w:val="none"/>
                <w:lang w:val="en-US" w:eastAsia="zh-CN" w:bidi="ar"/>
              </w:rPr>
              <w:t>布鲁氏菌四重检测试剂（</w:t>
            </w:r>
            <w:r>
              <w:rPr>
                <w:rStyle w:val="42"/>
                <w:color w:val="auto"/>
                <w:highlight w:val="none"/>
                <w:lang w:val="en-US" w:eastAsia="zh-CN" w:bidi="ar"/>
              </w:rPr>
              <w:t>荧光定量</w:t>
            </w:r>
            <w:r>
              <w:rPr>
                <w:rStyle w:val="43"/>
                <w:rFonts w:eastAsia="宋体"/>
                <w:color w:val="auto"/>
                <w:highlight w:val="none"/>
                <w:lang w:val="en-US" w:eastAsia="zh-CN" w:bidi="ar"/>
              </w:rPr>
              <w:t>PCR</w:t>
            </w:r>
            <w:r>
              <w:rPr>
                <w:rStyle w:val="42"/>
                <w:color w:val="auto"/>
                <w:highlight w:val="none"/>
                <w:lang w:val="en-US" w:eastAsia="zh-CN" w:bidi="ar"/>
              </w:rPr>
              <w:t>方法</w:t>
            </w:r>
            <w:r>
              <w:rPr>
                <w:rStyle w:val="35"/>
                <w:color w:val="auto"/>
                <w:highlight w:val="none"/>
                <w:lang w:val="en-US" w:eastAsia="zh-CN" w:bidi="ar"/>
              </w:rPr>
              <w:t>）</w:t>
            </w:r>
            <w:r>
              <w:rPr>
                <w:rStyle w:val="43"/>
                <w:rFonts w:eastAsia="宋体"/>
                <w:color w:val="auto"/>
                <w:highlight w:val="none"/>
                <w:lang w:val="en-US" w:eastAsia="zh-CN" w:bidi="ar"/>
              </w:rPr>
              <w:br w:type="textWrapping"/>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E9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22DD">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FB84">
            <w:pPr>
              <w:keepNext w:val="0"/>
              <w:keepLines w:val="0"/>
              <w:widowControl/>
              <w:numPr>
                <w:ilvl w:val="-1"/>
                <w:numId w:val="0"/>
              </w:numPr>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2"/>
                <w:rFonts w:hint="eastAsia"/>
                <w:color w:val="auto"/>
                <w:highlight w:val="none"/>
                <w:lang w:val="en-US" w:eastAsia="zh-CN" w:bidi="ar"/>
              </w:rPr>
              <w:t>1、</w:t>
            </w:r>
            <w:r>
              <w:rPr>
                <w:rStyle w:val="42"/>
                <w:color w:val="auto"/>
                <w:highlight w:val="none"/>
                <w:lang w:val="en-US" w:eastAsia="zh-CN" w:bidi="ar"/>
              </w:rPr>
              <w:t>检测方法：采用荧光定量</w:t>
            </w:r>
            <w:r>
              <w:rPr>
                <w:rStyle w:val="43"/>
                <w:rFonts w:eastAsia="宋体"/>
                <w:color w:val="auto"/>
                <w:highlight w:val="none"/>
                <w:lang w:val="en-US" w:eastAsia="zh-CN" w:bidi="ar"/>
              </w:rPr>
              <w:t>PCR</w:t>
            </w:r>
            <w:r>
              <w:rPr>
                <w:rStyle w:val="42"/>
                <w:color w:val="auto"/>
                <w:highlight w:val="none"/>
                <w:lang w:val="en-US" w:eastAsia="zh-CN" w:bidi="ar"/>
              </w:rPr>
              <w:t>方法</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Fonts w:ascii="宋体" w:hAnsi="宋体" w:eastAsia="宋体" w:cs="宋体"/>
                <w:color w:val="auto"/>
                <w:kern w:val="0"/>
                <w:sz w:val="24"/>
                <w:szCs w:val="24"/>
                <w:highlight w:val="none"/>
                <w:lang w:val="en-US" w:eastAsia="zh-CN" w:bidi="ar"/>
              </w:rPr>
              <w:t>★</w:t>
            </w:r>
            <w:r>
              <w:rPr>
                <w:rStyle w:val="42"/>
                <w:color w:val="auto"/>
                <w:highlight w:val="none"/>
                <w:lang w:val="en-US" w:eastAsia="zh-CN" w:bidi="ar"/>
              </w:rPr>
              <w:t>、检测范围：</w:t>
            </w:r>
            <w:r>
              <w:rPr>
                <w:rStyle w:val="42"/>
                <w:rFonts w:hint="eastAsia"/>
                <w:color w:val="auto"/>
                <w:highlight w:val="none"/>
                <w:lang w:val="en-US" w:eastAsia="zh-CN" w:bidi="ar"/>
              </w:rPr>
              <w:t>可区分布鲁氏菌羊种主要疫苗株与野毒株，至少能区分M5-90疫苗株</w:t>
            </w:r>
            <w:r>
              <w:rPr>
                <w:rStyle w:val="42"/>
                <w:color w:val="auto"/>
                <w:highlight w:val="none"/>
                <w:lang w:val="en-US" w:eastAsia="zh-CN" w:bidi="ar"/>
              </w:rPr>
              <w:t>，实现疫苗株与野毒株的定性鉴别检测。</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3</w:t>
            </w:r>
            <w:r>
              <w:rPr>
                <w:rStyle w:val="42"/>
                <w:color w:val="auto"/>
                <w:highlight w:val="none"/>
                <w:lang w:val="en-US" w:eastAsia="zh-CN" w:bidi="ar"/>
              </w:rPr>
              <w:t>、每盒试剂可满足</w:t>
            </w:r>
            <w:r>
              <w:rPr>
                <w:rStyle w:val="43"/>
                <w:rFonts w:eastAsia="宋体"/>
                <w:color w:val="auto"/>
                <w:highlight w:val="none"/>
                <w:lang w:val="en-US" w:eastAsia="zh-CN" w:bidi="ar"/>
              </w:rPr>
              <w:t>≥50</w:t>
            </w:r>
            <w:r>
              <w:rPr>
                <w:rStyle w:val="42"/>
                <w:color w:val="auto"/>
                <w:highlight w:val="none"/>
                <w:lang w:val="en-US" w:eastAsia="zh-CN" w:bidi="ar"/>
              </w:rPr>
              <w:t>份样品的四重基因检测及菌株鉴别。</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4</w:t>
            </w:r>
            <w:r>
              <w:rPr>
                <w:rStyle w:val="42"/>
                <w:color w:val="auto"/>
                <w:highlight w:val="none"/>
                <w:lang w:val="en-US" w:eastAsia="zh-CN" w:bidi="ar"/>
              </w:rPr>
              <w:t>、适用样本：动物组织、病毒细胞液、奶制品、抗凝血、血清、拭子类等羊源相关样本，样本直接检测，无需预扩增处理。</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5</w:t>
            </w:r>
            <w:r>
              <w:rPr>
                <w:rStyle w:val="42"/>
                <w:color w:val="auto"/>
                <w:highlight w:val="none"/>
                <w:lang w:val="en-US" w:eastAsia="zh-CN" w:bidi="ar"/>
              </w:rPr>
              <w:t>、标准反应程序总时长</w:t>
            </w:r>
            <w:r>
              <w:rPr>
                <w:rStyle w:val="43"/>
                <w:rFonts w:eastAsia="宋体"/>
                <w:color w:val="auto"/>
                <w:highlight w:val="none"/>
                <w:lang w:val="en-US" w:eastAsia="zh-CN" w:bidi="ar"/>
              </w:rPr>
              <w:t>≤40min</w:t>
            </w:r>
            <w:r>
              <w:rPr>
                <w:rStyle w:val="42"/>
                <w:color w:val="auto"/>
                <w:highlight w:val="none"/>
                <w:lang w:val="en-US" w:eastAsia="zh-CN" w:bidi="ar"/>
              </w:rPr>
              <w:t>，</w:t>
            </w:r>
            <w:r>
              <w:rPr>
                <w:rStyle w:val="43"/>
                <w:rFonts w:eastAsia="宋体"/>
                <w:color w:val="auto"/>
                <w:highlight w:val="none"/>
                <w:lang w:val="en-US" w:eastAsia="zh-CN" w:bidi="ar"/>
              </w:rPr>
              <w:t>40</w:t>
            </w:r>
            <w:r>
              <w:rPr>
                <w:rStyle w:val="42"/>
                <w:color w:val="auto"/>
                <w:highlight w:val="none"/>
                <w:lang w:val="en-US" w:eastAsia="zh-CN" w:bidi="ar"/>
              </w:rPr>
              <w:t>个扩增循环全程荧光信号自动采集。</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6</w:t>
            </w:r>
            <w:r>
              <w:rPr>
                <w:rStyle w:val="42"/>
                <w:color w:val="auto"/>
                <w:highlight w:val="none"/>
                <w:lang w:val="en-US" w:eastAsia="zh-CN" w:bidi="ar"/>
              </w:rPr>
              <w:t>、试剂盒批内和批间变异系数均</w:t>
            </w:r>
            <w:r>
              <w:rPr>
                <w:rStyle w:val="43"/>
                <w:rFonts w:eastAsia="宋体"/>
                <w:color w:val="auto"/>
                <w:highlight w:val="none"/>
                <w:lang w:val="en-US" w:eastAsia="zh-CN" w:bidi="ar"/>
              </w:rPr>
              <w:t>≤2%</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7</w:t>
            </w:r>
            <w:r>
              <w:rPr>
                <w:rStyle w:val="42"/>
                <w:color w:val="auto"/>
                <w:highlight w:val="none"/>
                <w:lang w:val="en-US" w:eastAsia="zh-CN" w:bidi="ar"/>
              </w:rPr>
              <w:t>、试剂盒敏感性</w:t>
            </w:r>
            <w:r>
              <w:rPr>
                <w:rStyle w:val="43"/>
                <w:rFonts w:eastAsia="宋体"/>
                <w:color w:val="auto"/>
                <w:highlight w:val="none"/>
                <w:lang w:val="en-US" w:eastAsia="zh-CN" w:bidi="ar"/>
              </w:rPr>
              <w:t>≥99%</w:t>
            </w:r>
            <w:r>
              <w:rPr>
                <w:rStyle w:val="42"/>
                <w:color w:val="auto"/>
                <w:highlight w:val="none"/>
                <w:lang w:val="en-US" w:eastAsia="zh-CN" w:bidi="ar"/>
              </w:rPr>
              <w:t>，特异性</w:t>
            </w:r>
            <w:r>
              <w:rPr>
                <w:rStyle w:val="43"/>
                <w:rFonts w:eastAsia="宋体"/>
                <w:color w:val="auto"/>
                <w:highlight w:val="none"/>
                <w:lang w:val="en-US" w:eastAsia="zh-CN" w:bidi="ar"/>
              </w:rPr>
              <w:t>≥99%</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8</w:t>
            </w:r>
            <w:r>
              <w:rPr>
                <w:rStyle w:val="42"/>
                <w:color w:val="auto"/>
                <w:highlight w:val="none"/>
                <w:lang w:val="en-US" w:eastAsia="zh-CN" w:bidi="ar"/>
              </w:rPr>
              <w:t>、保存条件：</w:t>
            </w:r>
            <w:r>
              <w:rPr>
                <w:rStyle w:val="43"/>
                <w:rFonts w:eastAsia="宋体"/>
                <w:color w:val="auto"/>
                <w:highlight w:val="none"/>
                <w:lang w:val="en-US" w:eastAsia="zh-CN" w:bidi="ar"/>
              </w:rPr>
              <w:t>-20</w:t>
            </w:r>
            <w:r>
              <w:rPr>
                <w:rStyle w:val="42"/>
                <w:color w:val="auto"/>
                <w:highlight w:val="none"/>
                <w:lang w:val="en-US" w:eastAsia="zh-CN" w:bidi="ar"/>
              </w:rPr>
              <w:t>℃避光保存，避免反复冻融，有效期</w:t>
            </w:r>
            <w:r>
              <w:rPr>
                <w:rStyle w:val="43"/>
                <w:rFonts w:eastAsia="宋体"/>
                <w:color w:val="auto"/>
                <w:highlight w:val="none"/>
                <w:lang w:val="en-US" w:eastAsia="zh-CN" w:bidi="ar"/>
              </w:rPr>
              <w:t>≥12</w:t>
            </w:r>
            <w:r>
              <w:rPr>
                <w:rStyle w:val="42"/>
                <w:color w:val="auto"/>
                <w:highlight w:val="none"/>
                <w:lang w:val="en-US" w:eastAsia="zh-CN" w:bidi="ar"/>
              </w:rPr>
              <w:t>个月。</w:t>
            </w:r>
          </w:p>
        </w:tc>
      </w:tr>
      <w:tr w14:paraId="119C9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9" w:hRule="atLeast"/>
        </w:trPr>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20A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25</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FE740">
            <w:pPr>
              <w:keepNext w:val="0"/>
              <w:keepLines w:val="0"/>
              <w:widowControl/>
              <w:suppressLineNumbers w:val="0"/>
              <w:jc w:val="left"/>
              <w:textAlignment w:val="center"/>
              <w:rPr>
                <w:rFonts w:hint="default" w:ascii="Times New Roman" w:hAnsi="Times New Roman" w:eastAsia="宋体" w:cs="Times New Roman"/>
                <w:i w:val="0"/>
                <w:iCs w:val="0"/>
                <w:color w:val="auto"/>
                <w:sz w:val="20"/>
                <w:szCs w:val="20"/>
                <w:highlight w:val="none"/>
                <w:u w:val="none"/>
              </w:rPr>
            </w:pPr>
            <w:r>
              <w:rPr>
                <w:rStyle w:val="35"/>
                <w:color w:val="auto"/>
                <w:highlight w:val="none"/>
                <w:lang w:val="en-US" w:eastAsia="zh-CN" w:bidi="ar"/>
              </w:rPr>
              <w:t>布鲁氏菌多重检测试剂（</w:t>
            </w:r>
            <w:r>
              <w:rPr>
                <w:rStyle w:val="42"/>
                <w:color w:val="auto"/>
                <w:highlight w:val="none"/>
                <w:lang w:val="en-US" w:eastAsia="zh-CN" w:bidi="ar"/>
              </w:rPr>
              <w:t>荧光定量</w:t>
            </w:r>
            <w:r>
              <w:rPr>
                <w:rStyle w:val="43"/>
                <w:rFonts w:eastAsia="宋体"/>
                <w:color w:val="auto"/>
                <w:highlight w:val="none"/>
                <w:lang w:val="en-US" w:eastAsia="zh-CN" w:bidi="ar"/>
              </w:rPr>
              <w:t>PCR</w:t>
            </w:r>
            <w:r>
              <w:rPr>
                <w:rStyle w:val="42"/>
                <w:color w:val="auto"/>
                <w:highlight w:val="none"/>
                <w:lang w:val="en-US" w:eastAsia="zh-CN" w:bidi="ar"/>
              </w:rPr>
              <w:t>方法</w:t>
            </w:r>
            <w:r>
              <w:rPr>
                <w:rStyle w:val="35"/>
                <w:color w:val="auto"/>
                <w:highlight w:val="none"/>
                <w:lang w:val="en-US" w:eastAsia="zh-CN" w:bidi="ar"/>
              </w:rPr>
              <w:t>）</w:t>
            </w:r>
            <w:r>
              <w:rPr>
                <w:rStyle w:val="43"/>
                <w:rFonts w:eastAsia="宋体"/>
                <w:color w:val="auto"/>
                <w:highlight w:val="none"/>
                <w:lang w:val="en-US" w:eastAsia="zh-CN" w:bidi="ar"/>
              </w:rPr>
              <w:br w:type="textWrapping"/>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18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盒</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41B7">
            <w:pPr>
              <w:keepNext w:val="0"/>
              <w:keepLines w:val="0"/>
              <w:widowControl/>
              <w:suppressLineNumbers w:val="0"/>
              <w:jc w:val="center"/>
              <w:textAlignment w:val="center"/>
              <w:rPr>
                <w:rFonts w:hint="default" w:ascii="Times New Roman" w:hAnsi="Times New Roman" w:eastAsia="宋体" w:cs="Times New Roman"/>
                <w:i w:val="0"/>
                <w:iCs w:val="0"/>
                <w:color w:val="auto"/>
                <w:sz w:val="20"/>
                <w:szCs w:val="20"/>
                <w:highlight w:val="none"/>
                <w:u w:val="none"/>
              </w:rPr>
            </w:pPr>
            <w:r>
              <w:rPr>
                <w:rFonts w:hint="default" w:ascii="Times New Roman" w:hAnsi="Times New Roman" w:eastAsia="宋体" w:cs="Times New Roman"/>
                <w:i w:val="0"/>
                <w:iCs w:val="0"/>
                <w:color w:val="auto"/>
                <w:kern w:val="0"/>
                <w:sz w:val="20"/>
                <w:szCs w:val="20"/>
                <w:highlight w:val="none"/>
                <w:u w:val="none"/>
                <w:lang w:val="en-US" w:eastAsia="zh-CN" w:bidi="ar"/>
              </w:rPr>
              <w:t>12</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776E">
            <w:pPr>
              <w:keepNext w:val="0"/>
              <w:keepLines w:val="0"/>
              <w:widowControl/>
              <w:suppressLineNumbers w:val="0"/>
              <w:jc w:val="left"/>
              <w:textAlignment w:val="center"/>
              <w:rPr>
                <w:rFonts w:hint="default" w:ascii="Times New Roman" w:hAnsi="Times New Roman" w:eastAsia="宋体" w:cs="Times New Roman"/>
                <w:i w:val="0"/>
                <w:iCs w:val="0"/>
                <w:color w:val="auto"/>
                <w:sz w:val="22"/>
                <w:szCs w:val="22"/>
                <w:highlight w:val="none"/>
                <w:u w:val="none"/>
              </w:rPr>
            </w:pPr>
            <w:r>
              <w:rPr>
                <w:rStyle w:val="43"/>
                <w:rFonts w:eastAsia="宋体"/>
                <w:color w:val="auto"/>
                <w:highlight w:val="none"/>
                <w:lang w:val="en-US" w:eastAsia="zh-CN" w:bidi="ar"/>
              </w:rPr>
              <w:t>1</w:t>
            </w:r>
            <w:r>
              <w:rPr>
                <w:rStyle w:val="42"/>
                <w:color w:val="auto"/>
                <w:highlight w:val="none"/>
                <w:lang w:val="en-US" w:eastAsia="zh-CN" w:bidi="ar"/>
              </w:rPr>
              <w:t>、检测方法：采用荧光定量</w:t>
            </w:r>
            <w:r>
              <w:rPr>
                <w:rStyle w:val="43"/>
                <w:rFonts w:eastAsia="宋体"/>
                <w:color w:val="auto"/>
                <w:highlight w:val="none"/>
                <w:lang w:val="en-US" w:eastAsia="zh-CN" w:bidi="ar"/>
              </w:rPr>
              <w:t>PCR</w:t>
            </w:r>
            <w:r>
              <w:rPr>
                <w:rStyle w:val="42"/>
                <w:color w:val="auto"/>
                <w:highlight w:val="none"/>
                <w:lang w:val="en-US" w:eastAsia="zh-CN" w:bidi="ar"/>
              </w:rPr>
              <w:t>方法</w:t>
            </w:r>
            <w:r>
              <w:rPr>
                <w:rStyle w:val="43"/>
                <w:rFonts w:eastAsia="宋体"/>
                <w:color w:val="auto"/>
                <w:highlight w:val="none"/>
                <w:lang w:val="en-US" w:eastAsia="zh-CN" w:bidi="ar"/>
              </w:rPr>
              <w:br w:type="textWrapping"/>
            </w:r>
            <w:r>
              <w:rPr>
                <w:rStyle w:val="43"/>
                <w:rFonts w:eastAsia="宋体"/>
                <w:color w:val="auto"/>
                <w:highlight w:val="none"/>
                <w:lang w:val="en-US" w:eastAsia="zh-CN" w:bidi="ar"/>
              </w:rPr>
              <w:t>2</w:t>
            </w:r>
            <w:r>
              <w:rPr>
                <w:rFonts w:ascii="宋体" w:hAnsi="宋体" w:eastAsia="宋体" w:cs="宋体"/>
                <w:color w:val="auto"/>
                <w:kern w:val="0"/>
                <w:sz w:val="24"/>
                <w:szCs w:val="24"/>
                <w:highlight w:val="none"/>
                <w:lang w:val="en-US" w:eastAsia="zh-CN" w:bidi="ar"/>
              </w:rPr>
              <w:t>★</w:t>
            </w:r>
            <w:r>
              <w:rPr>
                <w:rStyle w:val="42"/>
                <w:color w:val="auto"/>
                <w:highlight w:val="none"/>
                <w:lang w:val="en-US" w:eastAsia="zh-CN" w:bidi="ar"/>
              </w:rPr>
              <w:t>、检测范围：样本中布氏杆菌牛种、猪种、羊种及羊种</w:t>
            </w:r>
            <w:r>
              <w:rPr>
                <w:rStyle w:val="43"/>
                <w:rFonts w:eastAsia="宋体"/>
                <w:color w:val="auto"/>
                <w:highlight w:val="none"/>
                <w:lang w:val="en-US" w:eastAsia="zh-CN" w:bidi="ar"/>
              </w:rPr>
              <w:t>M5-90</w:t>
            </w:r>
            <w:r>
              <w:rPr>
                <w:rStyle w:val="43"/>
                <w:rFonts w:hint="eastAsia"/>
                <w:color w:val="auto"/>
                <w:highlight w:val="none"/>
                <w:lang w:val="en-US" w:eastAsia="zh-CN" w:bidi="ar"/>
              </w:rPr>
              <w:t xml:space="preserve"> </w:t>
            </w:r>
            <w:r>
              <w:rPr>
                <w:rStyle w:val="43"/>
                <w:rFonts w:eastAsia="宋体"/>
                <w:color w:val="auto"/>
                <w:highlight w:val="none"/>
                <w:lang w:val="en-US" w:eastAsia="zh-CN" w:bidi="ar"/>
              </w:rPr>
              <w:t>bp2</w:t>
            </w:r>
            <w:r>
              <w:rPr>
                <w:rStyle w:val="43"/>
                <w:rFonts w:hint="eastAsia"/>
                <w:color w:val="auto"/>
                <w:highlight w:val="none"/>
                <w:lang w:val="en-US" w:eastAsia="zh-CN" w:bidi="ar"/>
              </w:rPr>
              <w:t>6</w:t>
            </w:r>
            <w:r>
              <w:rPr>
                <w:rStyle w:val="42"/>
                <w:color w:val="auto"/>
                <w:highlight w:val="none"/>
                <w:lang w:val="en-US" w:eastAsia="zh-CN" w:bidi="ar"/>
              </w:rPr>
              <w:t>基因缺失</w:t>
            </w:r>
            <w:r>
              <w:rPr>
                <w:rStyle w:val="39"/>
                <w:color w:val="auto"/>
                <w:highlight w:val="none"/>
                <w:lang w:val="en-US" w:eastAsia="zh-CN" w:bidi="ar"/>
              </w:rPr>
              <w:t>疫苗株的特异性核酸，实现布氏杆菌种属及疫苗株的定性分型检测。</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3</w:t>
            </w:r>
            <w:r>
              <w:rPr>
                <w:rStyle w:val="42"/>
                <w:color w:val="auto"/>
                <w:highlight w:val="none"/>
                <w:lang w:val="en-US" w:eastAsia="zh-CN" w:bidi="ar"/>
              </w:rPr>
              <w:t>、每盒试剂可满足</w:t>
            </w:r>
            <w:r>
              <w:rPr>
                <w:rStyle w:val="43"/>
                <w:rFonts w:eastAsia="宋体"/>
                <w:color w:val="auto"/>
                <w:highlight w:val="none"/>
                <w:lang w:val="en-US" w:eastAsia="zh-CN" w:bidi="ar"/>
              </w:rPr>
              <w:t>≥50</w:t>
            </w:r>
            <w:r>
              <w:rPr>
                <w:rStyle w:val="42"/>
                <w:color w:val="auto"/>
                <w:highlight w:val="none"/>
                <w:lang w:val="en-US" w:eastAsia="zh-CN" w:bidi="ar"/>
              </w:rPr>
              <w:t>份样品的四重基因检测及种属分型。</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4</w:t>
            </w:r>
            <w:r>
              <w:rPr>
                <w:rStyle w:val="42"/>
                <w:color w:val="auto"/>
                <w:highlight w:val="none"/>
                <w:lang w:val="en-US" w:eastAsia="zh-CN" w:bidi="ar"/>
              </w:rPr>
              <w:t>、适用样本：动物组织、病毒细胞液、奶制品、抗凝血、血清、拭子类等布病疑似样本，样本直接检测，无需预扩增处理。</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5</w:t>
            </w:r>
            <w:r>
              <w:rPr>
                <w:rStyle w:val="42"/>
                <w:color w:val="auto"/>
                <w:highlight w:val="none"/>
                <w:lang w:val="en-US" w:eastAsia="zh-CN" w:bidi="ar"/>
              </w:rPr>
              <w:t>、标准反应程序总时长</w:t>
            </w:r>
            <w:r>
              <w:rPr>
                <w:rStyle w:val="43"/>
                <w:rFonts w:eastAsia="宋体"/>
                <w:color w:val="auto"/>
                <w:highlight w:val="none"/>
                <w:lang w:val="en-US" w:eastAsia="zh-CN" w:bidi="ar"/>
              </w:rPr>
              <w:t>≤40min</w:t>
            </w:r>
            <w:r>
              <w:rPr>
                <w:rStyle w:val="42"/>
                <w:color w:val="auto"/>
                <w:highlight w:val="none"/>
                <w:lang w:val="en-US" w:eastAsia="zh-CN" w:bidi="ar"/>
              </w:rPr>
              <w:t>，荧光信号在退火阶段自动采集，扩增结果可实时查看并判定。</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6</w:t>
            </w:r>
            <w:r>
              <w:rPr>
                <w:rStyle w:val="42"/>
                <w:color w:val="auto"/>
                <w:highlight w:val="none"/>
                <w:lang w:val="en-US" w:eastAsia="zh-CN" w:bidi="ar"/>
              </w:rPr>
              <w:t>、试剂盒批内和批间变异系数均</w:t>
            </w:r>
            <w:r>
              <w:rPr>
                <w:rStyle w:val="43"/>
                <w:rFonts w:eastAsia="宋体"/>
                <w:color w:val="auto"/>
                <w:highlight w:val="none"/>
                <w:lang w:val="en-US" w:eastAsia="zh-CN" w:bidi="ar"/>
              </w:rPr>
              <w:t>≤2%</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3"/>
                <w:rFonts w:hint="eastAsia"/>
                <w:color w:val="auto"/>
                <w:highlight w:val="none"/>
                <w:lang w:val="en-US" w:eastAsia="zh-CN" w:bidi="ar"/>
              </w:rPr>
              <w:t>8</w:t>
            </w:r>
            <w:r>
              <w:rPr>
                <w:rStyle w:val="42"/>
                <w:color w:val="auto"/>
                <w:highlight w:val="none"/>
                <w:lang w:val="en-US" w:eastAsia="zh-CN" w:bidi="ar"/>
              </w:rPr>
              <w:t>、试剂盒敏感性</w:t>
            </w:r>
            <w:r>
              <w:rPr>
                <w:rStyle w:val="43"/>
                <w:rFonts w:eastAsia="宋体"/>
                <w:color w:val="auto"/>
                <w:highlight w:val="none"/>
                <w:lang w:val="en-US" w:eastAsia="zh-CN" w:bidi="ar"/>
              </w:rPr>
              <w:t>≥99%</w:t>
            </w:r>
            <w:r>
              <w:rPr>
                <w:rStyle w:val="42"/>
                <w:color w:val="auto"/>
                <w:highlight w:val="none"/>
                <w:lang w:val="en-US" w:eastAsia="zh-CN" w:bidi="ar"/>
              </w:rPr>
              <w:t>，特异性</w:t>
            </w:r>
            <w:r>
              <w:rPr>
                <w:rStyle w:val="43"/>
                <w:rFonts w:eastAsia="宋体"/>
                <w:color w:val="auto"/>
                <w:highlight w:val="none"/>
                <w:lang w:val="en-US" w:eastAsia="zh-CN" w:bidi="ar"/>
              </w:rPr>
              <w:t>≥99%</w:t>
            </w:r>
            <w:r>
              <w:rPr>
                <w:rStyle w:val="42"/>
                <w:color w:val="auto"/>
                <w:highlight w:val="none"/>
                <w:lang w:val="en-US" w:eastAsia="zh-CN" w:bidi="ar"/>
              </w:rPr>
              <w:t>。</w:t>
            </w:r>
            <w:r>
              <w:rPr>
                <w:rStyle w:val="43"/>
                <w:rFonts w:eastAsia="宋体"/>
                <w:color w:val="auto"/>
                <w:highlight w:val="none"/>
                <w:lang w:val="en-US" w:eastAsia="zh-CN" w:bidi="ar"/>
              </w:rPr>
              <w:br w:type="textWrapping"/>
            </w:r>
            <w:r>
              <w:rPr>
                <w:rStyle w:val="42"/>
                <w:rFonts w:hint="eastAsia"/>
                <w:color w:val="auto"/>
                <w:highlight w:val="none"/>
                <w:lang w:val="en-US" w:eastAsia="zh-CN" w:bidi="ar"/>
              </w:rPr>
              <w:t>9</w:t>
            </w:r>
            <w:r>
              <w:rPr>
                <w:rStyle w:val="42"/>
                <w:color w:val="auto"/>
                <w:highlight w:val="none"/>
                <w:lang w:val="en-US" w:eastAsia="zh-CN" w:bidi="ar"/>
              </w:rPr>
              <w:t>、保存条件：</w:t>
            </w:r>
            <w:r>
              <w:rPr>
                <w:rStyle w:val="43"/>
                <w:rFonts w:eastAsia="宋体"/>
                <w:color w:val="auto"/>
                <w:highlight w:val="none"/>
                <w:lang w:val="en-US" w:eastAsia="zh-CN" w:bidi="ar"/>
              </w:rPr>
              <w:t>-20</w:t>
            </w:r>
            <w:r>
              <w:rPr>
                <w:rStyle w:val="42"/>
                <w:color w:val="auto"/>
                <w:highlight w:val="none"/>
                <w:lang w:val="en-US" w:eastAsia="zh-CN" w:bidi="ar"/>
              </w:rPr>
              <w:t>℃避光保存，避免反复冻融，有效期</w:t>
            </w:r>
            <w:r>
              <w:rPr>
                <w:rStyle w:val="43"/>
                <w:rFonts w:eastAsia="宋体"/>
                <w:color w:val="auto"/>
                <w:highlight w:val="none"/>
                <w:lang w:val="en-US" w:eastAsia="zh-CN" w:bidi="ar"/>
              </w:rPr>
              <w:t>≥12</w:t>
            </w:r>
            <w:r>
              <w:rPr>
                <w:rStyle w:val="42"/>
                <w:color w:val="auto"/>
                <w:highlight w:val="none"/>
                <w:lang w:val="en-US" w:eastAsia="zh-CN" w:bidi="ar"/>
              </w:rPr>
              <w:t>个月。</w:t>
            </w:r>
          </w:p>
        </w:tc>
      </w:tr>
    </w:tbl>
    <w:p w14:paraId="4665DE86">
      <w:pPr>
        <w:rPr>
          <w:rFonts w:hint="eastAsia"/>
          <w:color w:val="auto"/>
          <w:highlight w:val="none"/>
        </w:rPr>
      </w:pPr>
    </w:p>
    <w:p w14:paraId="413502C5">
      <w:pPr>
        <w:numPr>
          <w:ilvl w:val="0"/>
          <w:numId w:val="0"/>
        </w:numPr>
        <w:spacing w:line="360" w:lineRule="auto"/>
        <w:ind w:firstLine="480" w:firstLineChars="200"/>
        <w:rPr>
          <w:rFonts w:hint="default" w:ascii="宋体" w:hAnsi="宋体" w:eastAsia="宋体" w:cstheme="minorBidi"/>
          <w:color w:val="auto"/>
          <w:kern w:val="2"/>
          <w:sz w:val="21"/>
          <w:szCs w:val="21"/>
          <w:highlight w:val="none"/>
          <w:lang w:val="en-US" w:eastAsia="zh-CN" w:bidi="ar-SA"/>
        </w:rPr>
      </w:pPr>
      <w:r>
        <w:rPr>
          <w:rFonts w:hint="eastAsia" w:ascii="宋体" w:hAnsi="宋体"/>
          <w:color w:val="auto"/>
          <w:szCs w:val="21"/>
          <w:highlight w:val="none"/>
          <w:lang w:eastAsia="zh-CN"/>
        </w:rPr>
        <w:t>（二）</w:t>
      </w:r>
      <w:r>
        <w:rPr>
          <w:rFonts w:hint="eastAsia" w:ascii="宋体" w:hAnsi="宋体"/>
          <w:color w:val="auto"/>
          <w:szCs w:val="21"/>
          <w:highlight w:val="none"/>
        </w:rPr>
        <w:t>商务要求</w:t>
      </w:r>
      <w:r>
        <w:rPr>
          <w:rFonts w:hint="eastAsia" w:ascii="宋体" w:hAnsi="宋体"/>
          <w:color w:val="auto"/>
          <w:szCs w:val="21"/>
          <w:highlight w:val="none"/>
          <w:lang w:eastAsia="zh-CN"/>
        </w:rPr>
        <w:t>（各标的商务要求一致的，可合并填写）</w:t>
      </w:r>
    </w:p>
    <w:tbl>
      <w:tblPr>
        <w:tblStyle w:val="15"/>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1776"/>
        <w:gridCol w:w="1134"/>
        <w:gridCol w:w="5167"/>
      </w:tblGrid>
      <w:tr w14:paraId="6748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71" w:type="dxa"/>
          </w:tcPr>
          <w:p w14:paraId="2A57643F">
            <w:p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序号</w:t>
            </w:r>
          </w:p>
        </w:tc>
        <w:tc>
          <w:tcPr>
            <w:tcW w:w="1776" w:type="dxa"/>
          </w:tcPr>
          <w:p w14:paraId="6486151B">
            <w:p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指标项</w:t>
            </w:r>
          </w:p>
        </w:tc>
        <w:tc>
          <w:tcPr>
            <w:tcW w:w="1134" w:type="dxa"/>
          </w:tcPr>
          <w:p w14:paraId="0526A580">
            <w:p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重要性</w:t>
            </w:r>
          </w:p>
        </w:tc>
        <w:tc>
          <w:tcPr>
            <w:tcW w:w="5167" w:type="dxa"/>
          </w:tcPr>
          <w:p w14:paraId="0D39374A">
            <w:pPr>
              <w:spacing w:line="360" w:lineRule="auto"/>
              <w:ind w:firstLine="480"/>
              <w:jc w:val="center"/>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指标要求</w:t>
            </w:r>
          </w:p>
        </w:tc>
      </w:tr>
      <w:tr w14:paraId="2D21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71" w:type="dxa"/>
            <w:vAlign w:val="center"/>
          </w:tcPr>
          <w:p w14:paraId="12A270D4">
            <w:p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1</w:t>
            </w:r>
          </w:p>
        </w:tc>
        <w:tc>
          <w:tcPr>
            <w:tcW w:w="1776" w:type="dxa"/>
            <w:vAlign w:val="center"/>
          </w:tcPr>
          <w:p w14:paraId="5B6D967F">
            <w:p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供货期</w:t>
            </w:r>
          </w:p>
        </w:tc>
        <w:tc>
          <w:tcPr>
            <w:tcW w:w="1134" w:type="dxa"/>
          </w:tcPr>
          <w:p w14:paraId="00855AA7">
            <w:pPr>
              <w:spacing w:line="360" w:lineRule="auto"/>
              <w:jc w:val="left"/>
              <w:rPr>
                <w:rFonts w:hint="default" w:ascii="Times New Roman" w:hAnsi="Times New Roman" w:cs="Times New Roman" w:eastAsiaTheme="minorEastAsia"/>
                <w:snapToGrid w:val="0"/>
                <w:color w:val="auto"/>
                <w:kern w:val="0"/>
                <w:sz w:val="24"/>
                <w:szCs w:val="24"/>
                <w:highlight w:val="none"/>
                <w:lang w:val="en-US" w:eastAsia="zh-CN"/>
              </w:rPr>
            </w:pPr>
            <w:r>
              <w:rPr>
                <w:rFonts w:hint="default" w:ascii="Times New Roman" w:hAnsi="Times New Roman" w:cs="Times New Roman" w:eastAsiaTheme="minorEastAsia"/>
                <w:snapToGrid w:val="0"/>
                <w:color w:val="auto"/>
                <w:kern w:val="0"/>
                <w:sz w:val="24"/>
                <w:szCs w:val="24"/>
                <w:highlight w:val="none"/>
                <w:lang w:val="en-US" w:eastAsia="zh-CN"/>
              </w:rPr>
              <w:t>是</w:t>
            </w:r>
          </w:p>
        </w:tc>
        <w:tc>
          <w:tcPr>
            <w:tcW w:w="5167" w:type="dxa"/>
          </w:tcPr>
          <w:p w14:paraId="262300F3">
            <w:pPr>
              <w:spacing w:line="360" w:lineRule="auto"/>
              <w:rPr>
                <w:rFonts w:hint="default" w:ascii="Times New Roman" w:hAnsi="Times New Roman" w:cs="Times New Roman" w:eastAsiaTheme="minorEastAsia"/>
                <w:snapToGrid w:val="0"/>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bidi="ar"/>
              </w:rPr>
              <w:t>合同签订后，接到甲方供货通知15日内完成供货，90日内完成全部交货及验收工作</w:t>
            </w:r>
          </w:p>
        </w:tc>
      </w:tr>
      <w:tr w14:paraId="6995D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71" w:type="dxa"/>
            <w:vAlign w:val="center"/>
          </w:tcPr>
          <w:p w14:paraId="25EA6122">
            <w:p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2</w:t>
            </w:r>
          </w:p>
        </w:tc>
        <w:tc>
          <w:tcPr>
            <w:tcW w:w="1776" w:type="dxa"/>
            <w:vAlign w:val="center"/>
          </w:tcPr>
          <w:p w14:paraId="6665143D">
            <w:p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质保期</w:t>
            </w:r>
          </w:p>
        </w:tc>
        <w:tc>
          <w:tcPr>
            <w:tcW w:w="1134" w:type="dxa"/>
          </w:tcPr>
          <w:p w14:paraId="7C4B3FB1">
            <w:pPr>
              <w:spacing w:line="360" w:lineRule="auto"/>
              <w:jc w:val="left"/>
              <w:rPr>
                <w:rFonts w:hint="default" w:ascii="Times New Roman" w:hAnsi="Times New Roman" w:cs="Times New Roman" w:eastAsiaTheme="minorEastAsia"/>
                <w:snapToGrid w:val="0"/>
                <w:color w:val="auto"/>
                <w:kern w:val="0"/>
                <w:sz w:val="24"/>
                <w:szCs w:val="24"/>
                <w:highlight w:val="none"/>
                <w:lang w:val="en-US" w:eastAsia="zh-CN"/>
              </w:rPr>
            </w:pPr>
            <w:r>
              <w:rPr>
                <w:rFonts w:hint="default" w:ascii="Times New Roman" w:hAnsi="Times New Roman" w:cs="Times New Roman" w:eastAsiaTheme="minorEastAsia"/>
                <w:snapToGrid w:val="0"/>
                <w:color w:val="auto"/>
                <w:kern w:val="0"/>
                <w:sz w:val="24"/>
                <w:szCs w:val="24"/>
                <w:highlight w:val="none"/>
                <w:lang w:val="en-US" w:eastAsia="zh-CN"/>
              </w:rPr>
              <w:t>是</w:t>
            </w:r>
          </w:p>
        </w:tc>
        <w:tc>
          <w:tcPr>
            <w:tcW w:w="5167" w:type="dxa"/>
          </w:tcPr>
          <w:p w14:paraId="0FD8E4C6">
            <w:pPr>
              <w:spacing w:line="360" w:lineRule="auto"/>
              <w:rPr>
                <w:rFonts w:hint="default" w:ascii="Times New Roman" w:hAnsi="Times New Roman" w:cs="Times New Roman" w:eastAsiaTheme="minorEastAsia"/>
                <w:snapToGrid w:val="0"/>
                <w:color w:val="auto"/>
                <w:kern w:val="0"/>
                <w:sz w:val="24"/>
                <w:szCs w:val="24"/>
                <w:highlight w:val="none"/>
                <w:lang w:val="en-US" w:eastAsia="zh-CN"/>
              </w:rPr>
            </w:pPr>
            <w:r>
              <w:rPr>
                <w:rFonts w:hint="default" w:ascii="Times New Roman" w:hAnsi="Times New Roman" w:cs="Times New Roman" w:eastAsiaTheme="minorEastAsia"/>
                <w:color w:val="auto"/>
                <w:kern w:val="0"/>
                <w:sz w:val="24"/>
                <w:szCs w:val="24"/>
                <w:highlight w:val="none"/>
                <w:lang w:val="en-US" w:eastAsia="zh-CN" w:bidi="ar"/>
              </w:rPr>
              <w:t>产品质保期≥12 个月（自验收合格之日起算）</w:t>
            </w:r>
          </w:p>
        </w:tc>
      </w:tr>
      <w:tr w14:paraId="55563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31D28F6">
            <w:p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3</w:t>
            </w:r>
          </w:p>
        </w:tc>
        <w:tc>
          <w:tcPr>
            <w:tcW w:w="1776" w:type="dxa"/>
            <w:vAlign w:val="center"/>
          </w:tcPr>
          <w:p w14:paraId="350FFF62">
            <w:p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安装、调试、包装和运输</w:t>
            </w:r>
          </w:p>
        </w:tc>
        <w:tc>
          <w:tcPr>
            <w:tcW w:w="1134" w:type="dxa"/>
          </w:tcPr>
          <w:p w14:paraId="5EF78B38">
            <w:pPr>
              <w:spacing w:line="360" w:lineRule="auto"/>
              <w:jc w:val="left"/>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en-US" w:eastAsia="zh-CN"/>
              </w:rPr>
              <w:t>是</w:t>
            </w:r>
          </w:p>
        </w:tc>
        <w:tc>
          <w:tcPr>
            <w:tcW w:w="5167" w:type="dxa"/>
          </w:tcPr>
          <w:p w14:paraId="0A58E75D">
            <w:pPr>
              <w:spacing w:line="360" w:lineRule="auto"/>
              <w:rPr>
                <w:rFonts w:hint="default" w:ascii="Times New Roman" w:hAnsi="Times New Roman" w:cs="Times New Roman" w:eastAsiaTheme="minorEastAsia"/>
                <w:snapToGrid w:val="0"/>
                <w:color w:val="auto"/>
                <w:kern w:val="0"/>
                <w:sz w:val="24"/>
                <w:szCs w:val="24"/>
                <w:highlight w:val="none"/>
                <w:lang w:val="en-US" w:eastAsia="zh-CN"/>
              </w:rPr>
            </w:pPr>
            <w:r>
              <w:rPr>
                <w:rFonts w:hint="default" w:ascii="Times New Roman" w:hAnsi="Times New Roman" w:cs="Times New Roman" w:eastAsiaTheme="minorEastAsia"/>
                <w:snapToGrid w:val="0"/>
                <w:color w:val="auto"/>
                <w:kern w:val="0"/>
                <w:sz w:val="24"/>
                <w:szCs w:val="24"/>
                <w:highlight w:val="none"/>
                <w:lang w:val="en-US" w:eastAsia="zh-CN"/>
              </w:rPr>
              <w:t>乙方负责运输到甲方指定地点。根据国家相关部门规定，产品需特殊方式运输的，如冷链运输的，配送由具备冷链储存、运输条件。需冷链运输的产品，乙方应保证运输全程温度符合产品说明书要求；可提供纸质或电子温度记录</w:t>
            </w:r>
            <w:r>
              <w:rPr>
                <w:rFonts w:hint="eastAsia" w:ascii="Times New Roman" w:hAnsi="Times New Roman" w:cs="Times New Roman" w:eastAsiaTheme="minorEastAsia"/>
                <w:snapToGrid w:val="0"/>
                <w:color w:val="auto"/>
                <w:kern w:val="0"/>
                <w:sz w:val="24"/>
                <w:szCs w:val="24"/>
                <w:highlight w:val="none"/>
                <w:lang w:val="en-US" w:eastAsia="zh-CN"/>
              </w:rPr>
              <w:t>。</w:t>
            </w:r>
          </w:p>
        </w:tc>
      </w:tr>
      <w:tr w14:paraId="496B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71" w:type="dxa"/>
            <w:vAlign w:val="center"/>
          </w:tcPr>
          <w:p w14:paraId="4DE78843">
            <w:p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4</w:t>
            </w:r>
          </w:p>
        </w:tc>
        <w:tc>
          <w:tcPr>
            <w:tcW w:w="1776" w:type="dxa"/>
            <w:vAlign w:val="center"/>
          </w:tcPr>
          <w:p w14:paraId="55BE39AF">
            <w:p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服务标准/</w:t>
            </w:r>
          </w:p>
          <w:p w14:paraId="7E759AF7">
            <w:p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售后服务要求</w:t>
            </w:r>
          </w:p>
        </w:tc>
        <w:tc>
          <w:tcPr>
            <w:tcW w:w="1134" w:type="dxa"/>
          </w:tcPr>
          <w:p w14:paraId="43157D88">
            <w:pPr>
              <w:spacing w:line="360" w:lineRule="auto"/>
              <w:jc w:val="left"/>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en-US" w:eastAsia="zh-CN"/>
              </w:rPr>
              <w:t>是</w:t>
            </w:r>
          </w:p>
        </w:tc>
        <w:tc>
          <w:tcPr>
            <w:tcW w:w="5167" w:type="dxa"/>
          </w:tcPr>
          <w:p w14:paraId="4FE355BE">
            <w:pPr>
              <w:numPr>
                <w:ilvl w:val="0"/>
                <w:numId w:val="0"/>
              </w:numPr>
              <w:spacing w:line="360" w:lineRule="auto"/>
              <w:rPr>
                <w:rFonts w:hint="default" w:ascii="Times New Roman" w:hAnsi="Times New Roman" w:cs="Times New Roman" w:eastAsiaTheme="minorEastAsia"/>
                <w:snapToGrid w:val="0"/>
                <w:color w:val="auto"/>
                <w:kern w:val="0"/>
                <w:sz w:val="24"/>
                <w:szCs w:val="24"/>
                <w:highlight w:val="none"/>
                <w:lang w:val="zh-CN"/>
              </w:rPr>
            </w:pPr>
            <w:bookmarkStart w:id="254" w:name="OLE_LINK1"/>
            <w:r>
              <w:rPr>
                <w:rFonts w:hint="default" w:ascii="Times New Roman" w:hAnsi="Times New Roman" w:cs="Times New Roman" w:eastAsiaTheme="minorEastAsia"/>
                <w:snapToGrid w:val="0"/>
                <w:color w:val="auto"/>
                <w:kern w:val="0"/>
                <w:sz w:val="24"/>
                <w:szCs w:val="24"/>
                <w:highlight w:val="none"/>
                <w:lang w:val="en-US" w:eastAsia="zh-CN"/>
              </w:rPr>
              <w:t>1.</w:t>
            </w:r>
            <w:r>
              <w:rPr>
                <w:rFonts w:hint="default" w:ascii="Times New Roman" w:hAnsi="Times New Roman" w:cs="Times New Roman" w:eastAsiaTheme="minorEastAsia"/>
                <w:snapToGrid w:val="0"/>
                <w:color w:val="auto"/>
                <w:kern w:val="0"/>
                <w:sz w:val="24"/>
                <w:szCs w:val="24"/>
                <w:highlight w:val="none"/>
                <w:lang w:val="zh-CN"/>
              </w:rPr>
              <w:t>乙方应保证其提供的产品是全新的、未使用过的，采用的是最佳材料和一流工艺，并在各个方面符合合同规定的质量、规格和性能要求。</w:t>
            </w:r>
          </w:p>
          <w:p w14:paraId="76925FB1">
            <w:pPr>
              <w:numPr>
                <w:ilvl w:val="0"/>
                <w:numId w:val="0"/>
              </w:num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en-US" w:eastAsia="zh-CN"/>
              </w:rPr>
              <w:t>2.</w:t>
            </w:r>
            <w:r>
              <w:rPr>
                <w:rFonts w:hint="default" w:ascii="Times New Roman" w:hAnsi="Times New Roman" w:cs="Times New Roman" w:eastAsiaTheme="minorEastAsia"/>
                <w:snapToGrid w:val="0"/>
                <w:color w:val="auto"/>
                <w:kern w:val="0"/>
                <w:sz w:val="24"/>
                <w:szCs w:val="24"/>
                <w:highlight w:val="none"/>
                <w:lang w:val="zh-CN"/>
              </w:rPr>
              <w:t>提供的产品和投标文件一致。</w:t>
            </w:r>
          </w:p>
          <w:p w14:paraId="679807BB">
            <w:pPr>
              <w:numPr>
                <w:ilvl w:val="-1"/>
                <w:numId w:val="0"/>
              </w:num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en-US" w:eastAsia="zh-CN"/>
              </w:rPr>
              <w:t>3.</w:t>
            </w:r>
            <w:r>
              <w:rPr>
                <w:rFonts w:hint="default" w:ascii="Times New Roman" w:hAnsi="Times New Roman" w:cs="Times New Roman" w:eastAsiaTheme="minorEastAsia"/>
                <w:snapToGrid w:val="0"/>
                <w:color w:val="auto"/>
                <w:kern w:val="0"/>
                <w:sz w:val="24"/>
                <w:szCs w:val="24"/>
                <w:highlight w:val="none"/>
                <w:lang w:val="zh-CN"/>
              </w:rPr>
              <w:t>在规定的质量保证期内，乙方应对任何产品缺陷负责，乙方应在收到甲方通知后</w:t>
            </w:r>
            <w:r>
              <w:rPr>
                <w:rFonts w:hint="default" w:ascii="Times New Roman" w:hAnsi="Times New Roman" w:cs="Times New Roman" w:eastAsiaTheme="minorEastAsia"/>
                <w:snapToGrid w:val="0"/>
                <w:color w:val="auto"/>
                <w:kern w:val="0"/>
                <w:sz w:val="24"/>
                <w:szCs w:val="24"/>
                <w:highlight w:val="none"/>
                <w:lang w:val="en-US" w:eastAsia="zh-CN"/>
              </w:rPr>
              <w:t>5</w:t>
            </w:r>
            <w:r>
              <w:rPr>
                <w:rFonts w:hint="default" w:ascii="Times New Roman" w:hAnsi="Times New Roman" w:cs="Times New Roman" w:eastAsiaTheme="minorEastAsia"/>
                <w:snapToGrid w:val="0"/>
                <w:color w:val="auto"/>
                <w:kern w:val="0"/>
                <w:sz w:val="24"/>
                <w:szCs w:val="24"/>
                <w:highlight w:val="none"/>
                <w:lang w:val="zh-CN"/>
              </w:rPr>
              <w:t>天内，免费负责更换新的产品。</w:t>
            </w:r>
            <w:bookmarkEnd w:id="254"/>
          </w:p>
        </w:tc>
      </w:tr>
      <w:tr w14:paraId="04EF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71" w:type="dxa"/>
            <w:vAlign w:val="center"/>
          </w:tcPr>
          <w:p w14:paraId="258869A9">
            <w:pPr>
              <w:spacing w:line="360" w:lineRule="auto"/>
              <w:rPr>
                <w:rFonts w:hint="default" w:ascii="Times New Roman" w:hAnsi="Times New Roman" w:cs="Times New Roman" w:eastAsiaTheme="minorEastAsia"/>
                <w:snapToGrid w:val="0"/>
                <w:color w:val="auto"/>
                <w:kern w:val="0"/>
                <w:sz w:val="24"/>
                <w:szCs w:val="24"/>
                <w:highlight w:val="none"/>
                <w:lang w:val="en-US" w:eastAsia="zh-CN"/>
              </w:rPr>
            </w:pPr>
            <w:r>
              <w:rPr>
                <w:rFonts w:hint="default" w:ascii="Times New Roman" w:hAnsi="Times New Roman" w:cs="Times New Roman" w:eastAsiaTheme="minorEastAsia"/>
                <w:snapToGrid w:val="0"/>
                <w:color w:val="auto"/>
                <w:kern w:val="0"/>
                <w:sz w:val="24"/>
                <w:szCs w:val="24"/>
                <w:highlight w:val="none"/>
                <w:lang w:val="en-US" w:eastAsia="zh-CN"/>
              </w:rPr>
              <w:t>5</w:t>
            </w:r>
          </w:p>
        </w:tc>
        <w:tc>
          <w:tcPr>
            <w:tcW w:w="1776" w:type="dxa"/>
            <w:vAlign w:val="center"/>
          </w:tcPr>
          <w:p w14:paraId="78846657">
            <w:p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产品资质</w:t>
            </w:r>
          </w:p>
        </w:tc>
        <w:tc>
          <w:tcPr>
            <w:tcW w:w="1134" w:type="dxa"/>
          </w:tcPr>
          <w:p w14:paraId="315BD874">
            <w:pPr>
              <w:spacing w:line="360" w:lineRule="auto"/>
              <w:jc w:val="left"/>
              <w:rPr>
                <w:rFonts w:hint="default" w:ascii="Times New Roman" w:hAnsi="Times New Roman" w:cs="Times New Roman" w:eastAsiaTheme="minorEastAsia"/>
                <w:snapToGrid w:val="0"/>
                <w:color w:val="auto"/>
                <w:kern w:val="0"/>
                <w:sz w:val="24"/>
                <w:szCs w:val="24"/>
                <w:highlight w:val="none"/>
                <w:lang w:val="en-US" w:eastAsia="zh-CN"/>
              </w:rPr>
            </w:pPr>
            <w:r>
              <w:rPr>
                <w:rFonts w:hint="default" w:ascii="Times New Roman" w:hAnsi="Times New Roman" w:cs="Times New Roman" w:eastAsiaTheme="minorEastAsia"/>
                <w:snapToGrid w:val="0"/>
                <w:color w:val="auto"/>
                <w:kern w:val="0"/>
                <w:sz w:val="24"/>
                <w:szCs w:val="24"/>
                <w:highlight w:val="none"/>
                <w:lang w:val="en-US" w:eastAsia="zh-CN"/>
              </w:rPr>
              <w:t>是</w:t>
            </w:r>
          </w:p>
        </w:tc>
        <w:tc>
          <w:tcPr>
            <w:tcW w:w="5167" w:type="dxa"/>
          </w:tcPr>
          <w:p w14:paraId="0BD7A7CE">
            <w:p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需提供厂家授权书，产品说明书，产品检验报告、产品链</w:t>
            </w:r>
            <w:r>
              <w:rPr>
                <w:rFonts w:hint="eastAsia" w:ascii="Times New Roman" w:hAnsi="Times New Roman" w:cs="Times New Roman" w:eastAsiaTheme="minorEastAsia"/>
                <w:snapToGrid w:val="0"/>
                <w:color w:val="auto"/>
                <w:kern w:val="0"/>
                <w:sz w:val="24"/>
                <w:szCs w:val="24"/>
                <w:highlight w:val="none"/>
                <w:lang w:val="zh-CN" w:eastAsia="zh-CN" w:bidi="ar"/>
              </w:rPr>
              <w:t>接</w:t>
            </w:r>
            <w:r>
              <w:rPr>
                <w:rFonts w:hint="default" w:ascii="Times New Roman" w:hAnsi="Times New Roman" w:cs="Times New Roman" w:eastAsiaTheme="minorEastAsia"/>
                <w:color w:val="auto"/>
                <w:kern w:val="0"/>
                <w:sz w:val="24"/>
                <w:szCs w:val="24"/>
                <w:highlight w:val="none"/>
                <w:lang w:val="en-US" w:eastAsia="zh-CN" w:bidi="ar"/>
              </w:rPr>
              <w:t>。</w:t>
            </w:r>
          </w:p>
        </w:tc>
      </w:tr>
      <w:tr w14:paraId="203D5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EE1DAB8">
            <w:pPr>
              <w:spacing w:line="360" w:lineRule="auto"/>
              <w:rPr>
                <w:rFonts w:hint="default" w:ascii="Times New Roman" w:hAnsi="Times New Roman" w:cs="Times New Roman" w:eastAsiaTheme="minorEastAsia"/>
                <w:snapToGrid w:val="0"/>
                <w:color w:val="auto"/>
                <w:kern w:val="0"/>
                <w:sz w:val="24"/>
                <w:szCs w:val="24"/>
                <w:highlight w:val="none"/>
                <w:lang w:val="zh-CN" w:eastAsia="zh-CN"/>
              </w:rPr>
            </w:pPr>
            <w:r>
              <w:rPr>
                <w:rFonts w:hint="default" w:ascii="Times New Roman" w:hAnsi="Times New Roman" w:cs="Times New Roman" w:eastAsiaTheme="minorEastAsia"/>
                <w:snapToGrid w:val="0"/>
                <w:color w:val="auto"/>
                <w:kern w:val="0"/>
                <w:sz w:val="24"/>
                <w:szCs w:val="24"/>
                <w:highlight w:val="none"/>
                <w:lang w:val="en-US" w:eastAsia="zh-CN"/>
              </w:rPr>
              <w:t>6</w:t>
            </w:r>
          </w:p>
        </w:tc>
        <w:tc>
          <w:tcPr>
            <w:tcW w:w="1776" w:type="dxa"/>
            <w:vAlign w:val="center"/>
          </w:tcPr>
          <w:p w14:paraId="6A44A5CD">
            <w:p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验收标准</w:t>
            </w:r>
          </w:p>
        </w:tc>
        <w:tc>
          <w:tcPr>
            <w:tcW w:w="1134" w:type="dxa"/>
          </w:tcPr>
          <w:p w14:paraId="6027213B">
            <w:pPr>
              <w:spacing w:line="360" w:lineRule="auto"/>
              <w:jc w:val="left"/>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en-US" w:eastAsia="zh-CN"/>
              </w:rPr>
              <w:t>是</w:t>
            </w:r>
          </w:p>
        </w:tc>
        <w:tc>
          <w:tcPr>
            <w:tcW w:w="5167" w:type="dxa"/>
          </w:tcPr>
          <w:p w14:paraId="776946A4">
            <w:pPr>
              <w:numPr>
                <w:ilvl w:val="0"/>
                <w:numId w:val="0"/>
              </w:numPr>
              <w:spacing w:line="360" w:lineRule="auto"/>
              <w:rPr>
                <w:rFonts w:hint="default" w:ascii="Times New Roman" w:hAnsi="Times New Roman" w:cs="Times New Roman" w:eastAsiaTheme="minorEastAsia"/>
                <w:snapToGrid w:val="0"/>
                <w:color w:val="auto"/>
                <w:kern w:val="0"/>
                <w:sz w:val="24"/>
                <w:szCs w:val="24"/>
                <w:highlight w:val="none"/>
                <w:lang w:val="en-US" w:eastAsia="zh-CN"/>
              </w:rPr>
            </w:pPr>
            <w:r>
              <w:rPr>
                <w:rFonts w:hint="default" w:ascii="Times New Roman" w:hAnsi="Times New Roman" w:cs="Times New Roman" w:eastAsiaTheme="minorEastAsia"/>
                <w:snapToGrid w:val="0"/>
                <w:color w:val="auto"/>
                <w:kern w:val="0"/>
                <w:sz w:val="24"/>
                <w:szCs w:val="24"/>
                <w:highlight w:val="none"/>
                <w:lang w:val="en-US" w:eastAsia="zh-CN"/>
              </w:rPr>
              <w:t>1.验收时间：货到现场验收 。</w:t>
            </w:r>
          </w:p>
          <w:p w14:paraId="64B94B55">
            <w:pPr>
              <w:pStyle w:val="8"/>
              <w:numPr>
                <w:ilvl w:val="0"/>
                <w:numId w:val="0"/>
              </w:numP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2.验收方式：</w:t>
            </w:r>
          </w:p>
          <w:p w14:paraId="6826A3FB">
            <w:pPr>
              <w:pStyle w:val="8"/>
              <w:numPr>
                <w:ilvl w:val="0"/>
                <w:numId w:val="0"/>
              </w:numP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验收按照下列要求验收：</w:t>
            </w:r>
          </w:p>
          <w:p w14:paraId="754747A5">
            <w:pPr>
              <w:pStyle w:val="8"/>
              <w:numPr>
                <w:ilvl w:val="0"/>
                <w:numId w:val="0"/>
              </w:numP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（1）资料验收：供方交货时应按合同规定的要求，提供相关的技术资料。</w:t>
            </w:r>
          </w:p>
          <w:p w14:paraId="4AD117E7">
            <w:pPr>
              <w:pStyle w:val="8"/>
              <w:numPr>
                <w:ilvl w:val="0"/>
                <w:numId w:val="0"/>
              </w:numP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（2）实物验收：包括产品名称、数量、规格和包装等外观形态。质保期剩余期限不得低于该产品限定质保期的 （≥12个月） 。</w:t>
            </w:r>
          </w:p>
          <w:p w14:paraId="4557F6D0">
            <w:pPr>
              <w:pStyle w:val="8"/>
              <w:numPr>
                <w:ilvl w:val="0"/>
                <w:numId w:val="0"/>
              </w:numP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（3）产品质量抽检复核。</w:t>
            </w:r>
          </w:p>
          <w:p w14:paraId="7B43F9CA">
            <w:pPr>
              <w:pStyle w:val="8"/>
              <w:numPr>
                <w:ilvl w:val="0"/>
                <w:numId w:val="0"/>
              </w:numP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验收人员该项目组实验人员。</w:t>
            </w:r>
          </w:p>
          <w:p w14:paraId="12BAD1FF">
            <w:pPr>
              <w:numPr>
                <w:ilvl w:val="0"/>
                <w:numId w:val="0"/>
              </w:numPr>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4）对于收货时不便于开箱验收的产品或不能当场全面验收以及可能存在隐患而不能立即发现的产品，甲方验收人员有权仅点收箱数或实际数量后暂依此数据开具收货凭证，而实际收货数量按甲方验收合格后数量为准。甲方出具的收货凭证不以任何方式被解释为甲方对验收商品内在质量、标识等的认同，甲方有权在收货后7日内进行抽检，抽检比例不超过10%；如甲方已经支付货款，乙方应当在取回破损产品之日起3日内完成补货、调货或者退还货款。如发生退换货及维修等事宜，乙方应至甲方仓库提货，退换货的运费等一切费用以及途中运输风险由乙方承担。</w:t>
            </w:r>
          </w:p>
        </w:tc>
      </w:tr>
      <w:tr w14:paraId="4A4EA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71" w:type="dxa"/>
            <w:vAlign w:val="center"/>
          </w:tcPr>
          <w:p w14:paraId="1A63C5B4">
            <w:pPr>
              <w:spacing w:line="360" w:lineRule="auto"/>
              <w:rPr>
                <w:rFonts w:hint="default" w:ascii="Times New Roman" w:hAnsi="Times New Roman" w:cs="Times New Roman" w:eastAsiaTheme="minorEastAsia"/>
                <w:snapToGrid w:val="0"/>
                <w:color w:val="auto"/>
                <w:kern w:val="0"/>
                <w:sz w:val="24"/>
                <w:szCs w:val="24"/>
                <w:highlight w:val="none"/>
                <w:lang w:val="zh-CN" w:eastAsia="zh-CN"/>
              </w:rPr>
            </w:pPr>
            <w:r>
              <w:rPr>
                <w:rFonts w:hint="default" w:ascii="Times New Roman" w:hAnsi="Times New Roman" w:cs="Times New Roman" w:eastAsiaTheme="minorEastAsia"/>
                <w:snapToGrid w:val="0"/>
                <w:color w:val="auto"/>
                <w:kern w:val="0"/>
                <w:sz w:val="24"/>
                <w:szCs w:val="24"/>
                <w:highlight w:val="none"/>
                <w:lang w:val="en-US" w:eastAsia="zh-CN"/>
              </w:rPr>
              <w:t>7</w:t>
            </w:r>
          </w:p>
        </w:tc>
        <w:tc>
          <w:tcPr>
            <w:tcW w:w="1776" w:type="dxa"/>
            <w:vAlign w:val="center"/>
          </w:tcPr>
          <w:p w14:paraId="6A4D02B6">
            <w:p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付款条件（进度和方式）</w:t>
            </w:r>
          </w:p>
        </w:tc>
        <w:tc>
          <w:tcPr>
            <w:tcW w:w="1134" w:type="dxa"/>
          </w:tcPr>
          <w:p w14:paraId="61BF4D58">
            <w:pPr>
              <w:spacing w:line="360" w:lineRule="auto"/>
              <w:jc w:val="left"/>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en-US" w:eastAsia="zh-CN"/>
              </w:rPr>
              <w:t>是</w:t>
            </w:r>
          </w:p>
        </w:tc>
        <w:tc>
          <w:tcPr>
            <w:tcW w:w="5167" w:type="dxa"/>
          </w:tcPr>
          <w:p w14:paraId="5C699522">
            <w:pPr>
              <w:spacing w:line="360" w:lineRule="auto"/>
              <w:rPr>
                <w:rFonts w:hint="default" w:ascii="Times New Roman" w:hAnsi="Times New Roman" w:cs="Times New Roman" w:eastAsiaTheme="minorEastAsia"/>
                <w:snapToGrid w:val="0"/>
                <w:color w:val="auto"/>
                <w:kern w:val="0"/>
                <w:sz w:val="24"/>
                <w:szCs w:val="24"/>
                <w:highlight w:val="none"/>
                <w:lang w:eastAsia="zh-CN"/>
              </w:rPr>
            </w:pPr>
            <w:r>
              <w:rPr>
                <w:rFonts w:hint="eastAsia" w:ascii="宋体" w:hAnsi="宋体" w:eastAsia="宋体" w:cs="宋体"/>
                <w:color w:val="auto"/>
                <w:sz w:val="24"/>
                <w:szCs w:val="24"/>
                <w:highlight w:val="none"/>
              </w:rPr>
              <w:t>乙方按照甲方需求</w:t>
            </w:r>
            <w:r>
              <w:rPr>
                <w:rFonts w:hint="eastAsia" w:cs="宋体"/>
                <w:color w:val="auto"/>
                <w:sz w:val="24"/>
                <w:szCs w:val="24"/>
                <w:highlight w:val="none"/>
                <w:lang w:eastAsia="zh-CN"/>
              </w:rPr>
              <w:t>分批次</w:t>
            </w:r>
            <w:r>
              <w:rPr>
                <w:rFonts w:hint="eastAsia" w:ascii="宋体" w:hAnsi="宋体" w:eastAsia="宋体" w:cs="宋体"/>
                <w:color w:val="auto"/>
                <w:sz w:val="24"/>
                <w:szCs w:val="24"/>
                <w:highlight w:val="none"/>
              </w:rPr>
              <w:t xml:space="preserve">供货，按合同约定支付比例开具发票。甲方收到合同约定的分批支付的货款，甲方先向乙方预付合同总额的 </w:t>
            </w:r>
            <w:r>
              <w:rPr>
                <w:rFonts w:hint="eastAsia"/>
                <w:color w:val="auto"/>
                <w:szCs w:val="21"/>
                <w:highlight w:val="none"/>
                <w:u w:val="single"/>
                <w:lang w:val="en-US" w:eastAsia="zh-CN"/>
              </w:rPr>
              <w:t>50</w:t>
            </w:r>
            <w:r>
              <w:rPr>
                <w:rFonts w:hint="eastAsia" w:ascii="宋体" w:hAnsi="宋体" w:eastAsia="宋体" w:cs="宋体"/>
                <w:color w:val="auto"/>
                <w:sz w:val="24"/>
                <w:szCs w:val="24"/>
                <w:highlight w:val="none"/>
              </w:rPr>
              <w:t xml:space="preserve"> %，即 </w:t>
            </w:r>
            <w:r>
              <w:rPr>
                <w:rFonts w:hint="eastAsia" w:ascii="宋体" w:hAnsi="宋体"/>
                <w:color w:val="auto"/>
                <w:szCs w:val="21"/>
                <w:highlight w:val="none"/>
                <w:u w:val="single"/>
                <w:lang w:val="en-US" w:eastAsia="zh-CN"/>
              </w:rPr>
              <w:t xml:space="preserve"> </w:t>
            </w:r>
            <w:r>
              <w:rPr>
                <w:rFonts w:hint="eastAsia"/>
                <w:color w:val="auto"/>
                <w:szCs w:val="21"/>
                <w:highlight w:val="none"/>
                <w:u w:val="single"/>
                <w:lang w:val="en-US" w:eastAsia="zh-CN"/>
              </w:rPr>
              <w:t>112400</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 w:val="24"/>
                <w:szCs w:val="24"/>
                <w:highlight w:val="none"/>
              </w:rPr>
              <w:t xml:space="preserve">元（大写：壹拾壹万贰仟肆佰元）；待甲方收到货物总额的50%，经乙方书面通知甲方后，甲方向乙方支付合同总额的 </w:t>
            </w:r>
            <w:r>
              <w:rPr>
                <w:rFonts w:hint="eastAsia"/>
                <w:color w:val="auto"/>
                <w:szCs w:val="21"/>
                <w:highlight w:val="none"/>
                <w:u w:val="single"/>
                <w:lang w:val="en-US" w:eastAsia="zh-CN"/>
              </w:rPr>
              <w:t>30</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 w:val="24"/>
                <w:szCs w:val="24"/>
                <w:highlight w:val="none"/>
              </w:rPr>
              <w:t xml:space="preserve">%，即 </w:t>
            </w:r>
            <w:r>
              <w:rPr>
                <w:rFonts w:hint="eastAsia" w:ascii="宋体" w:hAnsi="宋体"/>
                <w:color w:val="auto"/>
                <w:szCs w:val="21"/>
                <w:highlight w:val="none"/>
                <w:u w:val="single"/>
                <w:lang w:val="en-US" w:eastAsia="zh-CN"/>
              </w:rPr>
              <w:t xml:space="preserve">  </w:t>
            </w:r>
            <w:r>
              <w:rPr>
                <w:rFonts w:hint="eastAsia"/>
                <w:color w:val="auto"/>
                <w:szCs w:val="21"/>
                <w:highlight w:val="none"/>
                <w:u w:val="single"/>
                <w:lang w:val="en-US" w:eastAsia="zh-CN"/>
              </w:rPr>
              <w:t>67440</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 w:val="24"/>
                <w:szCs w:val="24"/>
                <w:highlight w:val="none"/>
              </w:rPr>
              <w:t xml:space="preserve">元（大写：陆万柒仟肆佰肆拾元）；待全部货物验收合格后（无违约责任），甲方支付剩余 </w:t>
            </w:r>
            <w:r>
              <w:rPr>
                <w:rFonts w:hint="eastAsia"/>
                <w:color w:val="auto"/>
                <w:szCs w:val="21"/>
                <w:highlight w:val="none"/>
                <w:u w:val="single"/>
                <w:lang w:val="en-US" w:eastAsia="zh-CN"/>
              </w:rPr>
              <w:t>20</w:t>
            </w:r>
            <w:r>
              <w:rPr>
                <w:rFonts w:hint="eastAsia" w:ascii="宋体" w:hAnsi="宋体"/>
                <w:color w:val="auto"/>
                <w:szCs w:val="21"/>
                <w:highlight w:val="none"/>
                <w:u w:val="single"/>
                <w:lang w:val="en-US" w:eastAsia="zh-CN"/>
              </w:rPr>
              <w:t xml:space="preserve"> </w:t>
            </w:r>
            <w:r>
              <w:rPr>
                <w:rFonts w:hint="eastAsia" w:ascii="宋体" w:hAnsi="宋体" w:eastAsia="宋体" w:cs="宋体"/>
                <w:color w:val="auto"/>
                <w:sz w:val="24"/>
                <w:szCs w:val="24"/>
                <w:highlight w:val="none"/>
              </w:rPr>
              <w:t>%的货款。甲方需于</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eastAsia="zh-CN"/>
              </w:rPr>
              <w:t>7</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工作日付清全款。</w:t>
            </w:r>
          </w:p>
        </w:tc>
      </w:tr>
      <w:tr w14:paraId="7F94F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30C3210C">
            <w:pPr>
              <w:spacing w:line="360" w:lineRule="auto"/>
              <w:rPr>
                <w:rFonts w:hint="default" w:ascii="Times New Roman" w:hAnsi="Times New Roman" w:cs="Times New Roman" w:eastAsiaTheme="minorEastAsia"/>
                <w:snapToGrid w:val="0"/>
                <w:color w:val="auto"/>
                <w:kern w:val="0"/>
                <w:sz w:val="24"/>
                <w:szCs w:val="24"/>
                <w:highlight w:val="none"/>
                <w:lang w:val="zh-CN" w:eastAsia="zh-CN"/>
              </w:rPr>
            </w:pPr>
            <w:r>
              <w:rPr>
                <w:rFonts w:hint="default" w:ascii="Times New Roman" w:hAnsi="Times New Roman" w:cs="Times New Roman" w:eastAsiaTheme="minorEastAsia"/>
                <w:snapToGrid w:val="0"/>
                <w:color w:val="auto"/>
                <w:kern w:val="0"/>
                <w:sz w:val="24"/>
                <w:szCs w:val="24"/>
                <w:highlight w:val="none"/>
                <w:lang w:val="en-US" w:eastAsia="zh-CN"/>
              </w:rPr>
              <w:t>8</w:t>
            </w:r>
          </w:p>
        </w:tc>
        <w:tc>
          <w:tcPr>
            <w:tcW w:w="1776" w:type="dxa"/>
            <w:vAlign w:val="center"/>
          </w:tcPr>
          <w:p w14:paraId="6A862108">
            <w:pPr>
              <w:spacing w:line="360" w:lineRule="auto"/>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zh-CN"/>
              </w:rPr>
              <w:t>交货地点</w:t>
            </w:r>
          </w:p>
        </w:tc>
        <w:tc>
          <w:tcPr>
            <w:tcW w:w="1134" w:type="dxa"/>
          </w:tcPr>
          <w:p w14:paraId="03EC03AD">
            <w:pPr>
              <w:spacing w:line="360" w:lineRule="auto"/>
              <w:jc w:val="left"/>
              <w:rPr>
                <w:rFonts w:hint="default" w:ascii="Times New Roman" w:hAnsi="Times New Roman" w:cs="Times New Roman" w:eastAsiaTheme="minorEastAsia"/>
                <w:snapToGrid w:val="0"/>
                <w:color w:val="auto"/>
                <w:kern w:val="0"/>
                <w:sz w:val="24"/>
                <w:szCs w:val="24"/>
                <w:highlight w:val="none"/>
                <w:lang w:val="zh-CN"/>
              </w:rPr>
            </w:pPr>
            <w:r>
              <w:rPr>
                <w:rFonts w:hint="default" w:ascii="Times New Roman" w:hAnsi="Times New Roman" w:cs="Times New Roman" w:eastAsiaTheme="minorEastAsia"/>
                <w:snapToGrid w:val="0"/>
                <w:color w:val="auto"/>
                <w:kern w:val="0"/>
                <w:sz w:val="24"/>
                <w:szCs w:val="24"/>
                <w:highlight w:val="none"/>
                <w:lang w:val="en-US" w:eastAsia="zh-CN"/>
              </w:rPr>
              <w:t>是</w:t>
            </w:r>
          </w:p>
        </w:tc>
        <w:tc>
          <w:tcPr>
            <w:tcW w:w="5167" w:type="dxa"/>
          </w:tcPr>
          <w:p w14:paraId="1A86B93F">
            <w:pPr>
              <w:pStyle w:val="8"/>
              <w:ind w:left="0" w:leftChars="0" w:firstLine="0" w:firstLineChars="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兰州市城关区徐家坪1号中国农业科学院兰州兽医研究所 收货人：陈启伟 联系电话：13893261258</w:t>
            </w:r>
          </w:p>
        </w:tc>
      </w:tr>
      <w:tr w14:paraId="093A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03D7F912">
            <w:pPr>
              <w:spacing w:line="360" w:lineRule="auto"/>
              <w:rPr>
                <w:rFonts w:hint="default" w:ascii="Times New Roman" w:hAnsi="Times New Roman" w:cs="Times New Roman" w:eastAsiaTheme="minorEastAsia"/>
                <w:snapToGrid w:val="0"/>
                <w:color w:val="auto"/>
                <w:kern w:val="0"/>
                <w:sz w:val="24"/>
                <w:szCs w:val="24"/>
                <w:highlight w:val="none"/>
                <w:lang w:val="en-US" w:eastAsia="zh-CN"/>
              </w:rPr>
            </w:pPr>
            <w:r>
              <w:rPr>
                <w:rFonts w:hint="eastAsia" w:ascii="Times New Roman" w:hAnsi="Times New Roman" w:cs="Times New Roman" w:eastAsiaTheme="minorEastAsia"/>
                <w:snapToGrid w:val="0"/>
                <w:color w:val="auto"/>
                <w:kern w:val="0"/>
                <w:sz w:val="24"/>
                <w:szCs w:val="24"/>
                <w:highlight w:val="none"/>
                <w:lang w:val="en-US" w:eastAsia="zh-CN"/>
              </w:rPr>
              <w:t>9</w:t>
            </w:r>
          </w:p>
        </w:tc>
        <w:tc>
          <w:tcPr>
            <w:tcW w:w="1776" w:type="dxa"/>
            <w:vAlign w:val="center"/>
          </w:tcPr>
          <w:p w14:paraId="6D2953E1">
            <w:pPr>
              <w:spacing w:line="360" w:lineRule="auto"/>
              <w:rPr>
                <w:rFonts w:hint="default" w:ascii="Times New Roman" w:hAnsi="Times New Roman" w:cs="Times New Roman" w:eastAsiaTheme="minorEastAsia"/>
                <w:snapToGrid w:val="0"/>
                <w:color w:val="auto"/>
                <w:kern w:val="0"/>
                <w:sz w:val="24"/>
                <w:szCs w:val="24"/>
                <w:highlight w:val="none"/>
                <w:lang w:val="en-US" w:eastAsia="zh-CN"/>
              </w:rPr>
            </w:pPr>
            <w:r>
              <w:rPr>
                <w:rFonts w:hint="eastAsia" w:ascii="Times New Roman" w:hAnsi="Times New Roman" w:cs="Times New Roman" w:eastAsiaTheme="minorEastAsia"/>
                <w:snapToGrid w:val="0"/>
                <w:color w:val="auto"/>
                <w:kern w:val="0"/>
                <w:sz w:val="24"/>
                <w:szCs w:val="24"/>
                <w:highlight w:val="none"/>
                <w:lang w:val="en-US" w:eastAsia="zh-CN"/>
              </w:rPr>
              <w:t>使用单位</w:t>
            </w:r>
          </w:p>
        </w:tc>
        <w:tc>
          <w:tcPr>
            <w:tcW w:w="1134" w:type="dxa"/>
          </w:tcPr>
          <w:p w14:paraId="2B307995">
            <w:pPr>
              <w:spacing w:line="360" w:lineRule="auto"/>
              <w:jc w:val="left"/>
              <w:rPr>
                <w:rFonts w:hint="default" w:ascii="Times New Roman" w:hAnsi="Times New Roman" w:cs="Times New Roman" w:eastAsiaTheme="minorEastAsia"/>
                <w:snapToGrid w:val="0"/>
                <w:color w:val="auto"/>
                <w:kern w:val="0"/>
                <w:sz w:val="24"/>
                <w:szCs w:val="24"/>
                <w:highlight w:val="none"/>
                <w:lang w:val="en-US" w:eastAsia="zh-CN"/>
              </w:rPr>
            </w:pPr>
            <w:r>
              <w:rPr>
                <w:rFonts w:hint="eastAsia" w:ascii="Times New Roman" w:hAnsi="Times New Roman" w:cs="Times New Roman" w:eastAsiaTheme="minorEastAsia"/>
                <w:snapToGrid w:val="0"/>
                <w:color w:val="auto"/>
                <w:kern w:val="0"/>
                <w:sz w:val="24"/>
                <w:szCs w:val="24"/>
                <w:highlight w:val="none"/>
                <w:lang w:val="en-US" w:eastAsia="zh-CN"/>
              </w:rPr>
              <w:t>是</w:t>
            </w:r>
          </w:p>
        </w:tc>
        <w:tc>
          <w:tcPr>
            <w:tcW w:w="5167" w:type="dxa"/>
          </w:tcPr>
          <w:p w14:paraId="2BCE4139">
            <w:pPr>
              <w:pStyle w:val="8"/>
              <w:ind w:left="0" w:leftChars="0" w:firstLine="0" w:firstLineChars="0"/>
              <w:rPr>
                <w:rFonts w:hint="default" w:ascii="Times New Roman" w:hAnsi="Times New Roman" w:cs="Times New Roman" w:eastAsiaTheme="minorEastAsia"/>
                <w:color w:val="auto"/>
                <w:sz w:val="24"/>
                <w:szCs w:val="24"/>
                <w:highlight w:val="none"/>
                <w:lang w:val="en-US" w:eastAsia="zh-CN"/>
              </w:rPr>
            </w:pPr>
            <w:r>
              <w:rPr>
                <w:rFonts w:hint="default" w:ascii="Times New Roman" w:hAnsi="Times New Roman" w:cs="Times New Roman" w:eastAsiaTheme="minorEastAsia"/>
                <w:color w:val="auto"/>
                <w:sz w:val="24"/>
                <w:szCs w:val="24"/>
                <w:highlight w:val="none"/>
                <w:lang w:val="en-US" w:eastAsia="zh-CN"/>
              </w:rPr>
              <w:t>兰州兽医研究所</w:t>
            </w:r>
          </w:p>
        </w:tc>
      </w:tr>
      <w:tr w14:paraId="6F8B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1" w:type="dxa"/>
            <w:vAlign w:val="center"/>
          </w:tcPr>
          <w:p w14:paraId="712EE391">
            <w:pPr>
              <w:spacing w:line="360" w:lineRule="auto"/>
              <w:rPr>
                <w:rFonts w:hint="default" w:ascii="Times New Roman" w:hAnsi="Times New Roman" w:cs="Times New Roman" w:eastAsiaTheme="minorEastAsia"/>
                <w:snapToGrid w:val="0"/>
                <w:color w:val="auto"/>
                <w:kern w:val="0"/>
                <w:sz w:val="24"/>
                <w:szCs w:val="24"/>
                <w:highlight w:val="none"/>
                <w:lang w:val="en-US" w:eastAsia="zh-CN"/>
              </w:rPr>
            </w:pPr>
            <w:r>
              <w:rPr>
                <w:rFonts w:hint="eastAsia" w:ascii="Times New Roman" w:hAnsi="Times New Roman" w:cs="Times New Roman" w:eastAsiaTheme="minorEastAsia"/>
                <w:snapToGrid w:val="0"/>
                <w:color w:val="auto"/>
                <w:kern w:val="0"/>
                <w:sz w:val="24"/>
                <w:szCs w:val="24"/>
                <w:highlight w:val="none"/>
                <w:lang w:val="en-US" w:eastAsia="zh-CN"/>
              </w:rPr>
              <w:t>10</w:t>
            </w:r>
          </w:p>
        </w:tc>
        <w:tc>
          <w:tcPr>
            <w:tcW w:w="1776" w:type="dxa"/>
            <w:vAlign w:val="center"/>
          </w:tcPr>
          <w:p w14:paraId="1DA8AB48">
            <w:pPr>
              <w:spacing w:line="360" w:lineRule="auto"/>
              <w:rPr>
                <w:rFonts w:hint="eastAsia" w:ascii="Times New Roman" w:hAnsi="Times New Roman" w:cs="Times New Roman" w:eastAsiaTheme="minorEastAsia"/>
                <w:snapToGrid w:val="0"/>
                <w:color w:val="auto"/>
                <w:kern w:val="0"/>
                <w:sz w:val="24"/>
                <w:szCs w:val="24"/>
                <w:highlight w:val="none"/>
                <w:lang w:val="en-US" w:eastAsia="zh-CN"/>
              </w:rPr>
            </w:pPr>
            <w:r>
              <w:rPr>
                <w:rFonts w:hint="eastAsia" w:ascii="Times New Roman" w:hAnsi="Times New Roman" w:cs="Times New Roman" w:eastAsiaTheme="minorEastAsia"/>
                <w:snapToGrid w:val="0"/>
                <w:color w:val="auto"/>
                <w:kern w:val="0"/>
                <w:sz w:val="24"/>
                <w:szCs w:val="24"/>
                <w:highlight w:val="none"/>
                <w:lang w:val="en-US" w:eastAsia="zh-CN"/>
              </w:rPr>
              <w:t>交货原因</w:t>
            </w:r>
          </w:p>
        </w:tc>
        <w:tc>
          <w:tcPr>
            <w:tcW w:w="1134" w:type="dxa"/>
          </w:tcPr>
          <w:p w14:paraId="7DC8F344">
            <w:pPr>
              <w:spacing w:line="360" w:lineRule="auto"/>
              <w:jc w:val="left"/>
              <w:rPr>
                <w:rFonts w:hint="default" w:ascii="Times New Roman" w:hAnsi="Times New Roman" w:cs="Times New Roman" w:eastAsiaTheme="minorEastAsia"/>
                <w:snapToGrid w:val="0"/>
                <w:color w:val="auto"/>
                <w:kern w:val="0"/>
                <w:sz w:val="24"/>
                <w:szCs w:val="24"/>
                <w:highlight w:val="none"/>
                <w:lang w:val="en-US" w:eastAsia="zh-CN"/>
              </w:rPr>
            </w:pPr>
            <w:r>
              <w:rPr>
                <w:rFonts w:hint="eastAsia" w:ascii="Times New Roman" w:hAnsi="Times New Roman" w:cs="Times New Roman" w:eastAsiaTheme="minorEastAsia"/>
                <w:snapToGrid w:val="0"/>
                <w:color w:val="auto"/>
                <w:kern w:val="0"/>
                <w:sz w:val="24"/>
                <w:szCs w:val="24"/>
                <w:highlight w:val="none"/>
                <w:lang w:val="en-US" w:eastAsia="zh-CN"/>
              </w:rPr>
              <w:t>是</w:t>
            </w:r>
          </w:p>
        </w:tc>
        <w:tc>
          <w:tcPr>
            <w:tcW w:w="5167" w:type="dxa"/>
          </w:tcPr>
          <w:p w14:paraId="115CA572">
            <w:pPr>
              <w:pStyle w:val="8"/>
              <w:ind w:left="0" w:leftChars="0" w:firstLine="0" w:firstLineChars="0"/>
              <w:rPr>
                <w:rFonts w:hint="default" w:ascii="Times New Roman" w:hAnsi="Times New Roman" w:cs="Times New Roman" w:eastAsiaTheme="minorEastAsia"/>
                <w:color w:val="auto"/>
                <w:sz w:val="24"/>
                <w:szCs w:val="24"/>
                <w:highlight w:val="none"/>
                <w:lang w:val="en-US" w:eastAsia="zh-CN"/>
              </w:rPr>
            </w:pPr>
            <w:r>
              <w:rPr>
                <w:rFonts w:hint="eastAsia" w:ascii="Times New Roman" w:hAnsi="Times New Roman" w:cs="Times New Roman" w:eastAsiaTheme="minorEastAsia"/>
                <w:color w:val="auto"/>
                <w:sz w:val="24"/>
                <w:szCs w:val="24"/>
                <w:highlight w:val="none"/>
                <w:lang w:val="en-US" w:eastAsia="zh-CN"/>
              </w:rPr>
              <w:t>自治区疾控中心承担了合作课题《重要人兽共患病监测预警与防控技术的研发及推广应用》中项目1“重要人兽共患病病原学、流行特征和人兽间传播规律机制研究”的相关工作。本次采购的试剂将用于布鲁氏菌病的人兽间传播规律机制研究。由于该部分研究工作的负责人位于兰州兽医研究所，因此试剂将直接邮寄至兰州。</w:t>
            </w:r>
          </w:p>
        </w:tc>
      </w:tr>
    </w:tbl>
    <w:p w14:paraId="3C19CD2B">
      <w:pPr>
        <w:pStyle w:val="8"/>
        <w:ind w:firstLine="0" w:firstLineChars="0"/>
        <w:rPr>
          <w:rFonts w:hint="eastAsia"/>
          <w:color w:val="auto"/>
          <w:highlight w:val="none"/>
        </w:rPr>
      </w:pPr>
    </w:p>
    <w:p w14:paraId="0379F070">
      <w:pPr>
        <w:pStyle w:val="8"/>
        <w:ind w:left="0" w:leftChars="0" w:firstLine="0" w:firstLineChars="0"/>
        <w:rPr>
          <w:rFonts w:hint="eastAsia"/>
          <w:color w:val="auto"/>
          <w:highlight w:val="none"/>
        </w:rPr>
      </w:pPr>
    </w:p>
    <w:p w14:paraId="297085D9">
      <w:pPr>
        <w:rPr>
          <w:rFonts w:hint="eastAsia"/>
          <w:color w:val="auto"/>
          <w:highlight w:val="none"/>
        </w:rPr>
      </w:pPr>
    </w:p>
    <w:p w14:paraId="404EC61E">
      <w:pPr>
        <w:pStyle w:val="4"/>
        <w:spacing w:before="100" w:after="100" w:line="480" w:lineRule="auto"/>
        <w:ind w:left="420" w:hanging="420"/>
        <w:rPr>
          <w:rFonts w:hint="eastAsia" w:eastAsia="宋体" w:cs="宋体"/>
          <w:color w:val="auto"/>
          <w:sz w:val="36"/>
          <w:szCs w:val="36"/>
          <w:highlight w:val="none"/>
        </w:rPr>
        <w:sectPr>
          <w:pgSz w:w="11906" w:h="16838"/>
          <w:pgMar w:top="1440" w:right="1800" w:bottom="1440" w:left="1800" w:header="851" w:footer="992" w:gutter="0"/>
          <w:pgNumType w:fmt="decimal"/>
          <w:cols w:space="425" w:num="1"/>
          <w:docGrid w:type="lines" w:linePitch="312" w:charSpace="0"/>
        </w:sectPr>
      </w:pPr>
      <w:bookmarkStart w:id="255" w:name="_Toc12252"/>
      <w:bookmarkStart w:id="256" w:name="_Toc155185895"/>
      <w:bookmarkStart w:id="257" w:name="_Toc163492892"/>
    </w:p>
    <w:p w14:paraId="206038C1">
      <w:pPr>
        <w:pStyle w:val="4"/>
        <w:spacing w:before="100" w:after="100" w:line="480" w:lineRule="auto"/>
        <w:ind w:left="420" w:hanging="420"/>
        <w:rPr>
          <w:rFonts w:hint="eastAsia" w:eastAsia="宋体" w:cs="宋体"/>
          <w:color w:val="auto"/>
          <w:sz w:val="36"/>
          <w:szCs w:val="36"/>
          <w:highlight w:val="none"/>
        </w:rPr>
      </w:pPr>
      <w:r>
        <w:rPr>
          <w:rFonts w:hint="eastAsia" w:eastAsia="宋体" w:cs="宋体"/>
          <w:color w:val="auto"/>
          <w:sz w:val="36"/>
          <w:szCs w:val="36"/>
          <w:highlight w:val="none"/>
        </w:rPr>
        <w:t>第四章 资格审查</w:t>
      </w:r>
      <w:bookmarkEnd w:id="255"/>
      <w:bookmarkEnd w:id="256"/>
      <w:bookmarkEnd w:id="257"/>
    </w:p>
    <w:p w14:paraId="67EEA673">
      <w:pPr>
        <w:pStyle w:val="5"/>
        <w:spacing w:before="60" w:after="60" w:line="360" w:lineRule="auto"/>
        <w:ind w:left="420" w:hanging="420"/>
        <w:rPr>
          <w:color w:val="auto"/>
          <w:sz w:val="28"/>
          <w:szCs w:val="28"/>
          <w:highlight w:val="none"/>
          <w:lang w:val="zh-CN"/>
        </w:rPr>
      </w:pPr>
      <w:bookmarkStart w:id="258" w:name="_Toc17619"/>
      <w:r>
        <w:rPr>
          <w:rFonts w:hint="eastAsia"/>
          <w:color w:val="auto"/>
          <w:sz w:val="28"/>
          <w:szCs w:val="28"/>
          <w:highlight w:val="none"/>
        </w:rPr>
        <w:t>一、资格审查程序</w:t>
      </w:r>
      <w:bookmarkEnd w:id="258"/>
      <w:r>
        <w:rPr>
          <w:rFonts w:hint="eastAsia"/>
          <w:color w:val="auto"/>
          <w:sz w:val="28"/>
          <w:szCs w:val="28"/>
          <w:highlight w:val="none"/>
        </w:rPr>
        <w:t xml:space="preserve"> </w:t>
      </w:r>
    </w:p>
    <w:p w14:paraId="26B97721">
      <w:pPr>
        <w:pStyle w:val="20"/>
        <w:spacing w:line="400" w:lineRule="exact"/>
        <w:ind w:firstLine="482"/>
        <w:rPr>
          <w:rFonts w:hint="eastAsia" w:cs="宋体"/>
          <w:color w:val="auto"/>
          <w:szCs w:val="24"/>
          <w:highlight w:val="none"/>
        </w:rPr>
      </w:pPr>
      <w:r>
        <w:rPr>
          <w:rFonts w:hint="eastAsia" w:cs="宋体"/>
          <w:color w:val="auto"/>
          <w:szCs w:val="24"/>
          <w:highlight w:val="none"/>
          <w:lang w:val="en-US"/>
        </w:rPr>
        <w:t xml:space="preserve">1 开标结束后，采购人或采购代理机构将根据《资格审查要求》中的规定，对投标人进行资格审查，并形成资格审查结果。 </w:t>
      </w:r>
    </w:p>
    <w:p w14:paraId="5FAB8C4F">
      <w:pPr>
        <w:pStyle w:val="20"/>
        <w:spacing w:line="400" w:lineRule="exact"/>
        <w:ind w:firstLine="482"/>
        <w:rPr>
          <w:rFonts w:hint="eastAsia" w:cs="宋体"/>
          <w:color w:val="auto"/>
          <w:szCs w:val="24"/>
          <w:highlight w:val="none"/>
        </w:rPr>
      </w:pPr>
      <w:r>
        <w:rPr>
          <w:rFonts w:hint="eastAsia" w:cs="宋体"/>
          <w:color w:val="auto"/>
          <w:szCs w:val="24"/>
          <w:highlight w:val="none"/>
          <w:lang w:val="en-US"/>
        </w:rPr>
        <w:t>2 投标人《资格证明文件》有任何一项不符合《资格审查要求》的，资格审查不合格，其</w:t>
      </w:r>
      <w:r>
        <w:rPr>
          <w:rFonts w:hint="eastAsia" w:cs="宋体"/>
          <w:b/>
          <w:bCs/>
          <w:color w:val="auto"/>
          <w:szCs w:val="24"/>
          <w:highlight w:val="none"/>
          <w:lang w:val="en-US"/>
        </w:rPr>
        <w:t>投标无效</w:t>
      </w:r>
      <w:r>
        <w:rPr>
          <w:rFonts w:hint="eastAsia" w:cs="宋体"/>
          <w:color w:val="auto"/>
          <w:szCs w:val="24"/>
          <w:highlight w:val="none"/>
          <w:lang w:val="en-US"/>
        </w:rPr>
        <w:t xml:space="preserve">。 </w:t>
      </w:r>
    </w:p>
    <w:p w14:paraId="4D4A899E">
      <w:pPr>
        <w:pStyle w:val="20"/>
        <w:spacing w:line="400" w:lineRule="exact"/>
        <w:ind w:firstLine="482"/>
        <w:rPr>
          <w:rFonts w:hint="eastAsia" w:cs="宋体"/>
          <w:color w:val="auto"/>
          <w:szCs w:val="24"/>
          <w:highlight w:val="none"/>
        </w:rPr>
      </w:pPr>
      <w:r>
        <w:rPr>
          <w:rFonts w:hint="eastAsia" w:cs="宋体"/>
          <w:color w:val="auto"/>
          <w:szCs w:val="24"/>
          <w:highlight w:val="none"/>
          <w:lang w:val="en-US"/>
        </w:rPr>
        <w:t xml:space="preserve">3 资格审查合格的投标人不足 3 家的，不进行评标。 </w:t>
      </w:r>
    </w:p>
    <w:p w14:paraId="486F2D28">
      <w:pPr>
        <w:pStyle w:val="5"/>
        <w:spacing w:before="60" w:after="60" w:line="360" w:lineRule="auto"/>
        <w:ind w:left="420" w:hanging="420"/>
        <w:rPr>
          <w:color w:val="auto"/>
          <w:sz w:val="28"/>
          <w:szCs w:val="28"/>
          <w:highlight w:val="none"/>
        </w:rPr>
      </w:pPr>
      <w:bookmarkStart w:id="259" w:name="_Toc5337"/>
      <w:r>
        <w:rPr>
          <w:rFonts w:hint="eastAsia"/>
          <w:color w:val="auto"/>
          <w:sz w:val="28"/>
          <w:szCs w:val="28"/>
          <w:highlight w:val="none"/>
        </w:rPr>
        <w:t>二、资格审查要求</w:t>
      </w:r>
      <w:bookmarkEnd w:id="259"/>
      <w:r>
        <w:rPr>
          <w:rFonts w:hint="eastAsia"/>
          <w:color w:val="auto"/>
          <w:sz w:val="28"/>
          <w:szCs w:val="28"/>
          <w:highlight w:val="none"/>
        </w:rPr>
        <w:t xml:space="preserve"> </w:t>
      </w:r>
    </w:p>
    <w:p w14:paraId="412802A8">
      <w:pPr>
        <w:widowControl/>
        <w:rPr>
          <w:rFonts w:hint="eastAsia"/>
          <w:color w:val="auto"/>
          <w:highlight w:val="none"/>
        </w:rPr>
      </w:pPr>
      <w:r>
        <w:rPr>
          <w:rFonts w:hint="eastAsia" w:cs="宋体"/>
          <w:color w:val="auto"/>
          <w:kern w:val="0"/>
          <w:szCs w:val="24"/>
          <w:highlight w:val="none"/>
          <w:lang w:bidi="ar"/>
        </w:rPr>
        <w:t xml:space="preserve"> </w:t>
      </w:r>
    </w:p>
    <w:tbl>
      <w:tblPr>
        <w:tblStyle w:val="15"/>
        <w:tblW w:w="9498" w:type="dxa"/>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258"/>
        <w:gridCol w:w="6285"/>
        <w:gridCol w:w="387"/>
        <w:gridCol w:w="430"/>
        <w:gridCol w:w="506"/>
      </w:tblGrid>
      <w:tr w14:paraId="7E789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32" w:type="dxa"/>
            <w:vMerge w:val="restart"/>
            <w:vAlign w:val="center"/>
          </w:tcPr>
          <w:p w14:paraId="404546DD">
            <w:pPr>
              <w:jc w:val="center"/>
              <w:rPr>
                <w:rFonts w:hint="eastAsia" w:cs="仿宋"/>
                <w:b/>
                <w:color w:val="auto"/>
                <w:spacing w:val="-2"/>
                <w:highlight w:val="none"/>
              </w:rPr>
            </w:pPr>
            <w:r>
              <w:rPr>
                <w:rFonts w:hint="eastAsia" w:cs="仿宋"/>
                <w:b/>
                <w:color w:val="auto"/>
                <w:spacing w:val="-2"/>
                <w:highlight w:val="none"/>
              </w:rPr>
              <w:t>序号</w:t>
            </w:r>
          </w:p>
        </w:tc>
        <w:tc>
          <w:tcPr>
            <w:tcW w:w="1258" w:type="dxa"/>
            <w:vMerge w:val="restart"/>
            <w:vAlign w:val="center"/>
          </w:tcPr>
          <w:p w14:paraId="44265DA1">
            <w:pPr>
              <w:jc w:val="center"/>
              <w:rPr>
                <w:rFonts w:hint="eastAsia" w:cs="仿宋"/>
                <w:b/>
                <w:color w:val="auto"/>
                <w:spacing w:val="-2"/>
                <w:highlight w:val="none"/>
              </w:rPr>
            </w:pPr>
            <w:r>
              <w:rPr>
                <w:rFonts w:hint="eastAsia" w:cs="仿宋"/>
                <w:b/>
                <w:color w:val="auto"/>
                <w:spacing w:val="-2"/>
                <w:highlight w:val="none"/>
              </w:rPr>
              <w:t>评审内容</w:t>
            </w:r>
          </w:p>
        </w:tc>
        <w:tc>
          <w:tcPr>
            <w:tcW w:w="6285" w:type="dxa"/>
            <w:vMerge w:val="restart"/>
            <w:vAlign w:val="center"/>
          </w:tcPr>
          <w:p w14:paraId="5A6993AD">
            <w:pPr>
              <w:jc w:val="center"/>
              <w:rPr>
                <w:rFonts w:hint="eastAsia" w:cs="仿宋"/>
                <w:b/>
                <w:color w:val="auto"/>
                <w:spacing w:val="-2"/>
                <w:highlight w:val="none"/>
              </w:rPr>
            </w:pPr>
            <w:r>
              <w:rPr>
                <w:rFonts w:hint="eastAsia" w:cs="仿宋"/>
                <w:b/>
                <w:color w:val="auto"/>
                <w:spacing w:val="-2"/>
                <w:highlight w:val="none"/>
              </w:rPr>
              <w:t>评审合格标准</w:t>
            </w:r>
          </w:p>
        </w:tc>
        <w:tc>
          <w:tcPr>
            <w:tcW w:w="1323" w:type="dxa"/>
            <w:gridSpan w:val="3"/>
            <w:vAlign w:val="bottom"/>
          </w:tcPr>
          <w:p w14:paraId="5D83B3F3">
            <w:pPr>
              <w:jc w:val="center"/>
              <w:rPr>
                <w:rFonts w:hint="eastAsia" w:cs="仿宋"/>
                <w:b/>
                <w:color w:val="auto"/>
                <w:spacing w:val="-2"/>
                <w:highlight w:val="none"/>
              </w:rPr>
            </w:pPr>
            <w:r>
              <w:rPr>
                <w:rFonts w:hint="eastAsia" w:cs="仿宋"/>
                <w:b/>
                <w:color w:val="auto"/>
                <w:spacing w:val="-2"/>
                <w:highlight w:val="none"/>
              </w:rPr>
              <w:t>投标人名称</w:t>
            </w:r>
          </w:p>
        </w:tc>
      </w:tr>
      <w:tr w14:paraId="65748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632" w:type="dxa"/>
            <w:vMerge w:val="continue"/>
            <w:vAlign w:val="bottom"/>
          </w:tcPr>
          <w:p w14:paraId="29ADF60A">
            <w:pPr>
              <w:jc w:val="center"/>
              <w:rPr>
                <w:rFonts w:hint="eastAsia" w:cs="仿宋"/>
                <w:b/>
                <w:color w:val="auto"/>
                <w:spacing w:val="-2"/>
                <w:highlight w:val="none"/>
              </w:rPr>
            </w:pPr>
          </w:p>
        </w:tc>
        <w:tc>
          <w:tcPr>
            <w:tcW w:w="1258" w:type="dxa"/>
            <w:vMerge w:val="continue"/>
            <w:vAlign w:val="bottom"/>
          </w:tcPr>
          <w:p w14:paraId="3824A562">
            <w:pPr>
              <w:jc w:val="center"/>
              <w:rPr>
                <w:rFonts w:hint="eastAsia" w:cs="仿宋"/>
                <w:b/>
                <w:color w:val="auto"/>
                <w:spacing w:val="-2"/>
                <w:highlight w:val="none"/>
              </w:rPr>
            </w:pPr>
          </w:p>
        </w:tc>
        <w:tc>
          <w:tcPr>
            <w:tcW w:w="6285" w:type="dxa"/>
            <w:vMerge w:val="continue"/>
            <w:vAlign w:val="bottom"/>
          </w:tcPr>
          <w:p w14:paraId="4B63CE17">
            <w:pPr>
              <w:jc w:val="center"/>
              <w:rPr>
                <w:rFonts w:hint="eastAsia" w:cs="仿宋"/>
                <w:b/>
                <w:color w:val="auto"/>
                <w:spacing w:val="-2"/>
                <w:highlight w:val="none"/>
              </w:rPr>
            </w:pPr>
          </w:p>
        </w:tc>
        <w:tc>
          <w:tcPr>
            <w:tcW w:w="387" w:type="dxa"/>
            <w:vAlign w:val="bottom"/>
          </w:tcPr>
          <w:p w14:paraId="6690B1F9">
            <w:pPr>
              <w:jc w:val="center"/>
              <w:rPr>
                <w:rFonts w:hint="eastAsia" w:cs="仿宋"/>
                <w:b/>
                <w:color w:val="auto"/>
                <w:spacing w:val="-2"/>
                <w:highlight w:val="none"/>
              </w:rPr>
            </w:pPr>
          </w:p>
        </w:tc>
        <w:tc>
          <w:tcPr>
            <w:tcW w:w="430" w:type="dxa"/>
          </w:tcPr>
          <w:p w14:paraId="2562B21C">
            <w:pPr>
              <w:jc w:val="center"/>
              <w:rPr>
                <w:rFonts w:hint="eastAsia" w:cs="仿宋"/>
                <w:b/>
                <w:color w:val="auto"/>
                <w:spacing w:val="-2"/>
                <w:highlight w:val="none"/>
              </w:rPr>
            </w:pPr>
          </w:p>
        </w:tc>
        <w:tc>
          <w:tcPr>
            <w:tcW w:w="506" w:type="dxa"/>
          </w:tcPr>
          <w:p w14:paraId="39876355">
            <w:pPr>
              <w:jc w:val="center"/>
              <w:rPr>
                <w:rFonts w:hint="eastAsia" w:cs="仿宋"/>
                <w:b/>
                <w:color w:val="auto"/>
                <w:spacing w:val="-2"/>
                <w:highlight w:val="none"/>
              </w:rPr>
            </w:pPr>
          </w:p>
        </w:tc>
      </w:tr>
      <w:tr w14:paraId="6A8B5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2" w:hRule="atLeast"/>
        </w:trPr>
        <w:tc>
          <w:tcPr>
            <w:tcW w:w="632" w:type="dxa"/>
            <w:vAlign w:val="center"/>
          </w:tcPr>
          <w:p w14:paraId="211BD849">
            <w:pPr>
              <w:jc w:val="center"/>
              <w:rPr>
                <w:rFonts w:hint="eastAsia" w:cs="仿宋"/>
                <w:color w:val="auto"/>
                <w:spacing w:val="-2"/>
                <w:highlight w:val="none"/>
              </w:rPr>
            </w:pPr>
            <w:r>
              <w:rPr>
                <w:rFonts w:hint="eastAsia" w:cs="仿宋"/>
                <w:color w:val="auto"/>
                <w:spacing w:val="-2"/>
                <w:highlight w:val="none"/>
              </w:rPr>
              <w:t>1</w:t>
            </w:r>
          </w:p>
        </w:tc>
        <w:tc>
          <w:tcPr>
            <w:tcW w:w="1258" w:type="dxa"/>
            <w:vAlign w:val="center"/>
          </w:tcPr>
          <w:p w14:paraId="09591676">
            <w:pPr>
              <w:jc w:val="center"/>
              <w:rPr>
                <w:rFonts w:hint="eastAsia" w:cs="仿宋"/>
                <w:color w:val="auto"/>
                <w:spacing w:val="-2"/>
                <w:highlight w:val="none"/>
              </w:rPr>
            </w:pPr>
            <w:r>
              <w:rPr>
                <w:rFonts w:cs="仿宋"/>
                <w:color w:val="auto"/>
                <w:highlight w:val="none"/>
              </w:rPr>
              <w:t>营业执照等证明</w:t>
            </w:r>
          </w:p>
        </w:tc>
        <w:tc>
          <w:tcPr>
            <w:tcW w:w="6285" w:type="dxa"/>
          </w:tcPr>
          <w:p w14:paraId="23B101D8">
            <w:pPr>
              <w:rPr>
                <w:rFonts w:hint="eastAsia" w:cs="仿宋"/>
                <w:color w:val="auto"/>
                <w:spacing w:val="-2"/>
                <w:highlight w:val="none"/>
              </w:rPr>
            </w:pPr>
            <w:r>
              <w:rPr>
                <w:rFonts w:hint="eastAsia" w:cs="仿宋"/>
                <w:color w:val="auto"/>
                <w:spacing w:val="-2"/>
                <w:highlight w:val="none"/>
              </w:rPr>
              <w:t>投标人为企业（包括合伙企业）的，应提供“营业执照”；</w:t>
            </w:r>
            <w:r>
              <w:rPr>
                <w:rFonts w:hint="eastAsia" w:cs="仿宋"/>
                <w:color w:val="auto"/>
                <w:spacing w:val="-2"/>
                <w:highlight w:val="none"/>
              </w:rPr>
              <w:br w:type="textWrapping"/>
            </w:r>
            <w:r>
              <w:rPr>
                <w:rFonts w:hint="eastAsia" w:cs="仿宋"/>
                <w:color w:val="auto"/>
                <w:spacing w:val="-2"/>
                <w:highlight w:val="none"/>
              </w:rPr>
              <w:t>投标人为事业单位的，应供有效的“事业单位法人证书”；</w:t>
            </w:r>
            <w:r>
              <w:rPr>
                <w:rFonts w:hint="eastAsia" w:cs="仿宋"/>
                <w:color w:val="auto"/>
                <w:spacing w:val="-2"/>
                <w:highlight w:val="none"/>
              </w:rPr>
              <w:br w:type="textWrapping"/>
            </w:r>
            <w:r>
              <w:rPr>
                <w:rFonts w:hint="eastAsia" w:cs="仿宋"/>
                <w:color w:val="auto"/>
                <w:spacing w:val="-2"/>
                <w:highlight w:val="none"/>
              </w:rPr>
              <w:t>投标人是非企业机构的，应供“执业许可证”、“登记证书”等证明文件；</w:t>
            </w:r>
            <w:r>
              <w:rPr>
                <w:rFonts w:hint="eastAsia" w:cs="仿宋"/>
                <w:color w:val="auto"/>
                <w:spacing w:val="-2"/>
                <w:highlight w:val="none"/>
              </w:rPr>
              <w:br w:type="textWrapping"/>
            </w:r>
            <w:r>
              <w:rPr>
                <w:rFonts w:hint="eastAsia" w:cs="仿宋"/>
                <w:color w:val="auto"/>
                <w:spacing w:val="-2"/>
                <w:highlight w:val="none"/>
              </w:rPr>
              <w:t>投标人是个体工商户的，应提供“个体工商户营业执照”；</w:t>
            </w:r>
            <w:r>
              <w:rPr>
                <w:rFonts w:hint="eastAsia" w:cs="仿宋"/>
                <w:color w:val="auto"/>
                <w:spacing w:val="-2"/>
                <w:highlight w:val="none"/>
              </w:rPr>
              <w:br w:type="textWrapping"/>
            </w:r>
            <w:r>
              <w:rPr>
                <w:rFonts w:hint="eastAsia" w:cs="仿宋"/>
                <w:color w:val="auto"/>
                <w:spacing w:val="-2"/>
                <w:highlight w:val="none"/>
              </w:rPr>
              <w:t>投标人是自然人的，应提供自然人身份证明。</w:t>
            </w:r>
            <w:r>
              <w:rPr>
                <w:rFonts w:hint="eastAsia" w:cs="仿宋"/>
                <w:color w:val="auto"/>
                <w:spacing w:val="-2"/>
                <w:highlight w:val="none"/>
              </w:rPr>
              <w:br w:type="textWrapping"/>
            </w:r>
            <w:r>
              <w:rPr>
                <w:rFonts w:hint="eastAsia" w:cs="仿宋"/>
                <w:color w:val="auto"/>
                <w:spacing w:val="-2"/>
                <w:highlight w:val="none"/>
              </w:rPr>
              <w:t>分支机构参加投标的，应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387" w:type="dxa"/>
          </w:tcPr>
          <w:p w14:paraId="1D444AEA">
            <w:pPr>
              <w:rPr>
                <w:rFonts w:hint="eastAsia" w:cs="仿宋"/>
                <w:color w:val="auto"/>
                <w:spacing w:val="-2"/>
                <w:highlight w:val="none"/>
              </w:rPr>
            </w:pPr>
          </w:p>
        </w:tc>
        <w:tc>
          <w:tcPr>
            <w:tcW w:w="430" w:type="dxa"/>
          </w:tcPr>
          <w:p w14:paraId="1164D4AF">
            <w:pPr>
              <w:rPr>
                <w:rFonts w:hint="eastAsia" w:cs="仿宋"/>
                <w:color w:val="auto"/>
                <w:spacing w:val="-2"/>
                <w:highlight w:val="none"/>
              </w:rPr>
            </w:pPr>
          </w:p>
        </w:tc>
        <w:tc>
          <w:tcPr>
            <w:tcW w:w="506" w:type="dxa"/>
          </w:tcPr>
          <w:p w14:paraId="1869B503">
            <w:pPr>
              <w:rPr>
                <w:rFonts w:hint="eastAsia" w:cs="仿宋"/>
                <w:color w:val="auto"/>
                <w:spacing w:val="-2"/>
                <w:highlight w:val="none"/>
              </w:rPr>
            </w:pPr>
          </w:p>
        </w:tc>
      </w:tr>
      <w:tr w14:paraId="1D6FA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8" w:hRule="atLeast"/>
        </w:trPr>
        <w:tc>
          <w:tcPr>
            <w:tcW w:w="632" w:type="dxa"/>
            <w:vAlign w:val="center"/>
          </w:tcPr>
          <w:p w14:paraId="09A7C683">
            <w:pPr>
              <w:jc w:val="center"/>
              <w:rPr>
                <w:rFonts w:hint="eastAsia" w:cs="仿宋"/>
                <w:color w:val="auto"/>
                <w:spacing w:val="-2"/>
                <w:highlight w:val="none"/>
              </w:rPr>
            </w:pPr>
            <w:r>
              <w:rPr>
                <w:rFonts w:hint="eastAsia" w:cs="仿宋"/>
                <w:color w:val="auto"/>
                <w:spacing w:val="-2"/>
                <w:highlight w:val="none"/>
              </w:rPr>
              <w:t>2</w:t>
            </w:r>
          </w:p>
        </w:tc>
        <w:tc>
          <w:tcPr>
            <w:tcW w:w="1258" w:type="dxa"/>
            <w:shd w:val="clear" w:color="auto" w:fill="auto"/>
            <w:vAlign w:val="center"/>
          </w:tcPr>
          <w:p w14:paraId="26C2C5C3">
            <w:pPr>
              <w:jc w:val="center"/>
              <w:rPr>
                <w:rFonts w:hint="eastAsia" w:ascii="宋体" w:hAnsi="宋体" w:eastAsia="宋体" w:cs="仿宋"/>
                <w:color w:val="auto"/>
                <w:spacing w:val="-2"/>
                <w:kern w:val="2"/>
                <w:sz w:val="24"/>
                <w:szCs w:val="22"/>
                <w:highlight w:val="none"/>
                <w:lang w:val="en-US" w:eastAsia="zh-CN" w:bidi="ar-SA"/>
              </w:rPr>
            </w:pPr>
            <w:r>
              <w:rPr>
                <w:rFonts w:hint="eastAsia" w:cs="仿宋"/>
                <w:color w:val="auto"/>
                <w:highlight w:val="none"/>
              </w:rPr>
              <w:t>具有良好的商业信誉和健全的财务会计制度</w:t>
            </w:r>
          </w:p>
        </w:tc>
        <w:tc>
          <w:tcPr>
            <w:tcW w:w="6285" w:type="dxa"/>
            <w:shd w:val="clear" w:color="auto" w:fill="auto"/>
            <w:vAlign w:val="top"/>
          </w:tcPr>
          <w:p w14:paraId="3E9C84B7">
            <w:pPr>
              <w:rPr>
                <w:rFonts w:hint="eastAsia" w:cs="仿宋"/>
                <w:color w:val="auto"/>
                <w:spacing w:val="-2"/>
                <w:highlight w:val="none"/>
              </w:rPr>
            </w:pPr>
            <w:r>
              <w:rPr>
                <w:rFonts w:hint="eastAsia" w:cs="仿宋"/>
                <w:color w:val="auto"/>
                <w:spacing w:val="-2"/>
                <w:highlight w:val="none"/>
              </w:rPr>
              <w:t>（</w:t>
            </w:r>
            <w:r>
              <w:rPr>
                <w:rFonts w:cs="仿宋"/>
                <w:color w:val="auto"/>
                <w:spacing w:val="-2"/>
                <w:highlight w:val="none"/>
              </w:rPr>
              <w:t>1）提供</w:t>
            </w:r>
            <w:r>
              <w:rPr>
                <w:rFonts w:hint="eastAsia" w:cs="宋体"/>
                <w:color w:val="auto"/>
                <w:highlight w:val="none"/>
              </w:rPr>
              <w:t>202</w:t>
            </w:r>
            <w:r>
              <w:rPr>
                <w:rFonts w:hint="eastAsia" w:cs="宋体"/>
                <w:color w:val="auto"/>
                <w:highlight w:val="none"/>
                <w:lang w:val="en-US" w:eastAsia="zh-CN"/>
              </w:rPr>
              <w:t>4</w:t>
            </w:r>
            <w:r>
              <w:rPr>
                <w:rFonts w:hint="eastAsia" w:cs="宋体"/>
                <w:color w:val="auto"/>
                <w:highlight w:val="none"/>
              </w:rPr>
              <w:t>年度至今任意一年的财务审计报告（至少包括“四表一注”，即资产负债表、利润表、现金流量表、所有者权益变动表及其附注）或财务报表或银行出具的资信证明</w:t>
            </w:r>
            <w:r>
              <w:rPr>
                <w:rFonts w:hint="eastAsia" w:cs="仿宋"/>
                <w:color w:val="auto"/>
                <w:spacing w:val="-2"/>
                <w:highlight w:val="none"/>
              </w:rPr>
              <w:t>；</w:t>
            </w:r>
          </w:p>
          <w:p w14:paraId="40E403F5">
            <w:pPr>
              <w:rPr>
                <w:rFonts w:hint="eastAsia" w:ascii="宋体" w:hAnsi="宋体" w:eastAsia="宋体" w:cs="仿宋"/>
                <w:color w:val="auto"/>
                <w:spacing w:val="-2"/>
                <w:kern w:val="2"/>
                <w:sz w:val="24"/>
                <w:szCs w:val="22"/>
                <w:highlight w:val="none"/>
                <w:lang w:val="en-US" w:eastAsia="zh-CN" w:bidi="ar-SA"/>
              </w:rPr>
            </w:pPr>
            <w:r>
              <w:rPr>
                <w:rFonts w:hint="eastAsia" w:cs="仿宋"/>
                <w:color w:val="auto"/>
                <w:spacing w:val="-2"/>
                <w:highlight w:val="none"/>
              </w:rPr>
              <w:t>（</w:t>
            </w:r>
            <w:r>
              <w:rPr>
                <w:rFonts w:cs="仿宋"/>
                <w:color w:val="auto"/>
                <w:spacing w:val="-2"/>
                <w:highlight w:val="none"/>
              </w:rPr>
              <w:t>2）复印件加盖</w:t>
            </w:r>
            <w:r>
              <w:rPr>
                <w:rFonts w:hint="eastAsia" w:cs="仿宋"/>
                <w:color w:val="auto"/>
                <w:spacing w:val="-2"/>
                <w:highlight w:val="none"/>
              </w:rPr>
              <w:t>投标人</w:t>
            </w:r>
            <w:r>
              <w:rPr>
                <w:rFonts w:cs="仿宋"/>
                <w:color w:val="auto"/>
                <w:spacing w:val="-2"/>
                <w:highlight w:val="none"/>
              </w:rPr>
              <w:t xml:space="preserve">公章； </w:t>
            </w:r>
          </w:p>
        </w:tc>
        <w:tc>
          <w:tcPr>
            <w:tcW w:w="387" w:type="dxa"/>
          </w:tcPr>
          <w:p w14:paraId="2711E978">
            <w:pPr>
              <w:rPr>
                <w:rFonts w:hint="eastAsia" w:cs="仿宋"/>
                <w:color w:val="auto"/>
                <w:spacing w:val="-2"/>
                <w:highlight w:val="none"/>
              </w:rPr>
            </w:pPr>
          </w:p>
        </w:tc>
        <w:tc>
          <w:tcPr>
            <w:tcW w:w="430" w:type="dxa"/>
          </w:tcPr>
          <w:p w14:paraId="4292DB8A">
            <w:pPr>
              <w:rPr>
                <w:rFonts w:hint="eastAsia" w:cs="仿宋"/>
                <w:color w:val="auto"/>
                <w:spacing w:val="-2"/>
                <w:highlight w:val="none"/>
              </w:rPr>
            </w:pPr>
          </w:p>
        </w:tc>
        <w:tc>
          <w:tcPr>
            <w:tcW w:w="506" w:type="dxa"/>
          </w:tcPr>
          <w:p w14:paraId="19C77702">
            <w:pPr>
              <w:rPr>
                <w:rFonts w:hint="eastAsia" w:cs="仿宋"/>
                <w:color w:val="auto"/>
                <w:spacing w:val="-2"/>
                <w:highlight w:val="none"/>
              </w:rPr>
            </w:pPr>
          </w:p>
        </w:tc>
      </w:tr>
      <w:tr w14:paraId="5484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632" w:type="dxa"/>
            <w:vAlign w:val="center"/>
          </w:tcPr>
          <w:p w14:paraId="01E52EC2">
            <w:pPr>
              <w:jc w:val="center"/>
              <w:rPr>
                <w:rFonts w:hint="eastAsia" w:cs="仿宋"/>
                <w:color w:val="auto"/>
                <w:spacing w:val="-2"/>
                <w:highlight w:val="none"/>
              </w:rPr>
            </w:pPr>
            <w:r>
              <w:rPr>
                <w:rFonts w:hint="eastAsia" w:cs="仿宋"/>
                <w:color w:val="auto"/>
                <w:spacing w:val="-2"/>
                <w:highlight w:val="none"/>
              </w:rPr>
              <w:t>3</w:t>
            </w:r>
          </w:p>
        </w:tc>
        <w:tc>
          <w:tcPr>
            <w:tcW w:w="1258" w:type="dxa"/>
            <w:shd w:val="clear" w:color="auto" w:fill="auto"/>
            <w:vAlign w:val="center"/>
          </w:tcPr>
          <w:p w14:paraId="29632055">
            <w:pPr>
              <w:jc w:val="center"/>
              <w:rPr>
                <w:rFonts w:hint="eastAsia" w:ascii="宋体" w:hAnsi="宋体" w:eastAsia="宋体" w:cs="仿宋"/>
                <w:color w:val="auto"/>
                <w:kern w:val="2"/>
                <w:sz w:val="24"/>
                <w:szCs w:val="22"/>
                <w:highlight w:val="none"/>
                <w:lang w:val="en-US" w:eastAsia="zh-CN" w:bidi="ar-SA"/>
              </w:rPr>
            </w:pPr>
            <w:r>
              <w:rPr>
                <w:rFonts w:hint="eastAsia" w:cs="仿宋"/>
                <w:color w:val="auto"/>
                <w:highlight w:val="none"/>
              </w:rPr>
              <w:t>具有履行合同所必需的设备和专业技术能力</w:t>
            </w:r>
          </w:p>
        </w:tc>
        <w:tc>
          <w:tcPr>
            <w:tcW w:w="6285" w:type="dxa"/>
            <w:shd w:val="clear" w:color="auto" w:fill="auto"/>
            <w:vAlign w:val="center"/>
          </w:tcPr>
          <w:p w14:paraId="669722C8">
            <w:pPr>
              <w:rPr>
                <w:rFonts w:hint="eastAsia" w:ascii="宋体" w:hAnsi="宋体" w:eastAsia="宋体" w:cs="仿宋"/>
                <w:color w:val="auto"/>
                <w:spacing w:val="-2"/>
                <w:kern w:val="2"/>
                <w:sz w:val="24"/>
                <w:szCs w:val="22"/>
                <w:highlight w:val="none"/>
                <w:lang w:val="en-US" w:eastAsia="zh-CN" w:bidi="ar-SA"/>
              </w:rPr>
            </w:pPr>
            <w:r>
              <w:rPr>
                <w:rFonts w:hint="eastAsia" w:cs="仿宋"/>
                <w:color w:val="auto"/>
                <w:spacing w:val="-2"/>
                <w:highlight w:val="none"/>
              </w:rPr>
              <w:t>提供了可充分满足履行合同所需设备和专业技术能力的承诺（格式自拟）</w:t>
            </w:r>
          </w:p>
        </w:tc>
        <w:tc>
          <w:tcPr>
            <w:tcW w:w="387" w:type="dxa"/>
          </w:tcPr>
          <w:p w14:paraId="52438A50">
            <w:pPr>
              <w:rPr>
                <w:rFonts w:hint="eastAsia" w:cs="仿宋"/>
                <w:color w:val="auto"/>
                <w:spacing w:val="-2"/>
                <w:highlight w:val="none"/>
              </w:rPr>
            </w:pPr>
          </w:p>
        </w:tc>
        <w:tc>
          <w:tcPr>
            <w:tcW w:w="430" w:type="dxa"/>
          </w:tcPr>
          <w:p w14:paraId="3D16C581">
            <w:pPr>
              <w:rPr>
                <w:rFonts w:hint="eastAsia" w:cs="仿宋"/>
                <w:color w:val="auto"/>
                <w:spacing w:val="-2"/>
                <w:highlight w:val="none"/>
              </w:rPr>
            </w:pPr>
          </w:p>
        </w:tc>
        <w:tc>
          <w:tcPr>
            <w:tcW w:w="506" w:type="dxa"/>
          </w:tcPr>
          <w:p w14:paraId="2703698B">
            <w:pPr>
              <w:rPr>
                <w:rFonts w:hint="eastAsia" w:cs="仿宋"/>
                <w:color w:val="auto"/>
                <w:spacing w:val="-2"/>
                <w:highlight w:val="none"/>
              </w:rPr>
            </w:pPr>
          </w:p>
        </w:tc>
      </w:tr>
      <w:tr w14:paraId="6593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632" w:type="dxa"/>
            <w:vAlign w:val="center"/>
          </w:tcPr>
          <w:p w14:paraId="61CDE29E">
            <w:pPr>
              <w:jc w:val="center"/>
              <w:rPr>
                <w:rFonts w:hint="eastAsia" w:cs="仿宋"/>
                <w:color w:val="auto"/>
                <w:spacing w:val="-2"/>
                <w:highlight w:val="none"/>
              </w:rPr>
            </w:pPr>
            <w:r>
              <w:rPr>
                <w:rFonts w:hint="eastAsia" w:cs="仿宋"/>
                <w:color w:val="auto"/>
                <w:spacing w:val="-2"/>
                <w:highlight w:val="none"/>
              </w:rPr>
              <w:t>4</w:t>
            </w:r>
          </w:p>
        </w:tc>
        <w:tc>
          <w:tcPr>
            <w:tcW w:w="1258" w:type="dxa"/>
            <w:shd w:val="clear" w:color="auto" w:fill="auto"/>
            <w:vAlign w:val="center"/>
          </w:tcPr>
          <w:p w14:paraId="535E87DE">
            <w:pPr>
              <w:jc w:val="center"/>
              <w:rPr>
                <w:rFonts w:hint="eastAsia" w:ascii="宋体" w:hAnsi="宋体" w:eastAsia="宋体" w:cs="仿宋"/>
                <w:color w:val="auto"/>
                <w:kern w:val="2"/>
                <w:sz w:val="24"/>
                <w:szCs w:val="22"/>
                <w:highlight w:val="none"/>
                <w:lang w:val="en-US" w:eastAsia="zh-CN" w:bidi="ar-SA"/>
              </w:rPr>
            </w:pPr>
            <w:r>
              <w:rPr>
                <w:rFonts w:hint="eastAsia" w:cs="仿宋"/>
                <w:color w:val="auto"/>
                <w:highlight w:val="none"/>
              </w:rPr>
              <w:t>有依法缴纳税收和社会保障资金的良好记录</w:t>
            </w:r>
          </w:p>
        </w:tc>
        <w:tc>
          <w:tcPr>
            <w:tcW w:w="6285" w:type="dxa"/>
            <w:shd w:val="clear" w:color="auto" w:fill="auto"/>
            <w:vAlign w:val="top"/>
          </w:tcPr>
          <w:p w14:paraId="7C3BF6E8">
            <w:pPr>
              <w:rPr>
                <w:rFonts w:hint="eastAsia" w:cs="仿宋"/>
                <w:color w:val="auto"/>
                <w:spacing w:val="-2"/>
                <w:highlight w:val="none"/>
              </w:rPr>
            </w:pPr>
            <w:r>
              <w:rPr>
                <w:rFonts w:hint="eastAsia" w:cs="仿宋"/>
                <w:color w:val="auto"/>
                <w:spacing w:val="-2"/>
                <w:highlight w:val="none"/>
              </w:rPr>
              <w:t>（1）提供开标前六个月任意一个月的依法缴纳税收证明，证明材料可以是缴费的银行单据等复印件并加盖公章或免缴纳证明；</w:t>
            </w:r>
          </w:p>
          <w:p w14:paraId="5A2C9548">
            <w:pPr>
              <w:rPr>
                <w:rFonts w:hint="eastAsia" w:ascii="宋体" w:hAnsi="宋体" w:eastAsia="仿宋" w:cstheme="minorBidi"/>
                <w:color w:val="auto"/>
                <w:kern w:val="2"/>
                <w:sz w:val="24"/>
                <w:szCs w:val="22"/>
                <w:highlight w:val="none"/>
                <w:lang w:val="en-US" w:eastAsia="zh-CN" w:bidi="ar-SA"/>
              </w:rPr>
            </w:pPr>
            <w:r>
              <w:rPr>
                <w:rFonts w:hint="eastAsia" w:cs="仿宋"/>
                <w:color w:val="auto"/>
                <w:spacing w:val="-2"/>
                <w:highlight w:val="none"/>
              </w:rPr>
              <w:t>（2）提供开标前六个月任意一个月的依法缴纳社保证明，证明材料可以是缴费的银行单据或社保机构开具的证明等复印件并加盖公章或免缴纳证明。</w:t>
            </w:r>
          </w:p>
        </w:tc>
        <w:tc>
          <w:tcPr>
            <w:tcW w:w="387" w:type="dxa"/>
          </w:tcPr>
          <w:p w14:paraId="28B699A0">
            <w:pPr>
              <w:rPr>
                <w:rFonts w:hint="eastAsia" w:cs="仿宋"/>
                <w:color w:val="auto"/>
                <w:spacing w:val="-2"/>
                <w:highlight w:val="none"/>
              </w:rPr>
            </w:pPr>
          </w:p>
        </w:tc>
        <w:tc>
          <w:tcPr>
            <w:tcW w:w="430" w:type="dxa"/>
          </w:tcPr>
          <w:p w14:paraId="4755B0E2">
            <w:pPr>
              <w:rPr>
                <w:rFonts w:hint="eastAsia" w:cs="仿宋"/>
                <w:color w:val="auto"/>
                <w:spacing w:val="-2"/>
                <w:highlight w:val="none"/>
              </w:rPr>
            </w:pPr>
          </w:p>
        </w:tc>
        <w:tc>
          <w:tcPr>
            <w:tcW w:w="506" w:type="dxa"/>
          </w:tcPr>
          <w:p w14:paraId="67C4ACF3">
            <w:pPr>
              <w:rPr>
                <w:rFonts w:hint="eastAsia" w:cs="仿宋"/>
                <w:color w:val="auto"/>
                <w:spacing w:val="-2"/>
                <w:highlight w:val="none"/>
              </w:rPr>
            </w:pPr>
          </w:p>
        </w:tc>
      </w:tr>
      <w:tr w14:paraId="5A20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2" w:type="dxa"/>
            <w:vAlign w:val="center"/>
          </w:tcPr>
          <w:p w14:paraId="16187838">
            <w:pPr>
              <w:jc w:val="center"/>
              <w:rPr>
                <w:rFonts w:hint="eastAsia" w:cs="仿宋"/>
                <w:color w:val="auto"/>
                <w:spacing w:val="-2"/>
                <w:highlight w:val="none"/>
              </w:rPr>
            </w:pPr>
            <w:r>
              <w:rPr>
                <w:rFonts w:hint="eastAsia" w:cs="仿宋"/>
                <w:color w:val="auto"/>
                <w:spacing w:val="-2"/>
                <w:highlight w:val="none"/>
              </w:rPr>
              <w:t>5</w:t>
            </w:r>
          </w:p>
        </w:tc>
        <w:tc>
          <w:tcPr>
            <w:tcW w:w="1258" w:type="dxa"/>
            <w:shd w:val="clear" w:color="auto" w:fill="auto"/>
            <w:vAlign w:val="center"/>
          </w:tcPr>
          <w:p w14:paraId="13B3A11C">
            <w:pPr>
              <w:jc w:val="center"/>
              <w:rPr>
                <w:rFonts w:hint="eastAsia" w:ascii="宋体" w:hAnsi="宋体" w:eastAsia="宋体" w:cs="仿宋"/>
                <w:color w:val="auto"/>
                <w:kern w:val="2"/>
                <w:sz w:val="24"/>
                <w:szCs w:val="22"/>
                <w:highlight w:val="none"/>
                <w:lang w:val="en-US" w:eastAsia="zh-CN" w:bidi="ar-SA"/>
              </w:rPr>
            </w:pPr>
            <w:r>
              <w:rPr>
                <w:rFonts w:hint="eastAsia" w:cs="仿宋"/>
                <w:color w:val="auto"/>
                <w:highlight w:val="none"/>
              </w:rPr>
              <w:t>政府采购供应商信用承诺函</w:t>
            </w:r>
          </w:p>
        </w:tc>
        <w:tc>
          <w:tcPr>
            <w:tcW w:w="6285" w:type="dxa"/>
            <w:shd w:val="clear" w:color="auto" w:fill="auto"/>
            <w:vAlign w:val="top"/>
          </w:tcPr>
          <w:p w14:paraId="7085DC66">
            <w:pPr>
              <w:rPr>
                <w:rFonts w:hint="eastAsia"/>
                <w:color w:val="auto"/>
                <w:szCs w:val="32"/>
                <w:highlight w:val="none"/>
              </w:rPr>
            </w:pPr>
            <w:r>
              <w:rPr>
                <w:rFonts w:hint="eastAsia"/>
                <w:color w:val="auto"/>
                <w:szCs w:val="32"/>
                <w:highlight w:val="none"/>
              </w:rPr>
              <w:t>提供针对本次项目《政府采购供应商信用承诺函》。</w:t>
            </w:r>
          </w:p>
          <w:p w14:paraId="1318354E">
            <w:pPr>
              <w:rPr>
                <w:rFonts w:hint="eastAsia" w:ascii="宋体" w:hAnsi="宋体" w:cs="仿宋" w:eastAsiaTheme="minorEastAsia"/>
                <w:color w:val="auto"/>
                <w:spacing w:val="-2"/>
                <w:kern w:val="2"/>
                <w:sz w:val="24"/>
                <w:szCs w:val="22"/>
                <w:highlight w:val="none"/>
                <w:lang w:val="en-US" w:eastAsia="zh-CN" w:bidi="ar-SA"/>
              </w:rPr>
            </w:pPr>
            <w:r>
              <w:rPr>
                <w:rFonts w:hint="eastAsia" w:cs="仿宋"/>
                <w:color w:val="auto"/>
                <w:spacing w:val="-2"/>
                <w:highlight w:val="none"/>
              </w:rPr>
              <w:t>（格式见《第七章 投标文件格式》）</w:t>
            </w:r>
          </w:p>
        </w:tc>
        <w:tc>
          <w:tcPr>
            <w:tcW w:w="387" w:type="dxa"/>
          </w:tcPr>
          <w:p w14:paraId="78C055E5">
            <w:pPr>
              <w:rPr>
                <w:rFonts w:hint="eastAsia" w:cs="仿宋"/>
                <w:color w:val="auto"/>
                <w:spacing w:val="-2"/>
                <w:highlight w:val="none"/>
              </w:rPr>
            </w:pPr>
          </w:p>
        </w:tc>
        <w:tc>
          <w:tcPr>
            <w:tcW w:w="430" w:type="dxa"/>
          </w:tcPr>
          <w:p w14:paraId="73612F46">
            <w:pPr>
              <w:rPr>
                <w:rFonts w:hint="eastAsia" w:cs="仿宋"/>
                <w:color w:val="auto"/>
                <w:spacing w:val="-2"/>
                <w:highlight w:val="none"/>
              </w:rPr>
            </w:pPr>
          </w:p>
        </w:tc>
        <w:tc>
          <w:tcPr>
            <w:tcW w:w="506" w:type="dxa"/>
          </w:tcPr>
          <w:p w14:paraId="6B724EA8">
            <w:pPr>
              <w:rPr>
                <w:rFonts w:hint="eastAsia" w:cs="仿宋"/>
                <w:color w:val="auto"/>
                <w:spacing w:val="-2"/>
                <w:highlight w:val="none"/>
              </w:rPr>
            </w:pPr>
          </w:p>
        </w:tc>
      </w:tr>
      <w:tr w14:paraId="5A441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32" w:type="dxa"/>
            <w:vAlign w:val="center"/>
          </w:tcPr>
          <w:p w14:paraId="3A0BC07F">
            <w:pPr>
              <w:jc w:val="center"/>
              <w:rPr>
                <w:rFonts w:hint="eastAsia" w:cs="仿宋" w:eastAsiaTheme="minorEastAsia"/>
                <w:color w:val="auto"/>
                <w:spacing w:val="-2"/>
                <w:highlight w:val="none"/>
              </w:rPr>
            </w:pPr>
            <w:r>
              <w:rPr>
                <w:rFonts w:hint="eastAsia" w:cs="仿宋"/>
                <w:color w:val="auto"/>
                <w:spacing w:val="-2"/>
                <w:highlight w:val="none"/>
              </w:rPr>
              <w:t>6</w:t>
            </w:r>
          </w:p>
        </w:tc>
        <w:tc>
          <w:tcPr>
            <w:tcW w:w="1258" w:type="dxa"/>
            <w:shd w:val="clear" w:color="auto" w:fill="auto"/>
            <w:vAlign w:val="center"/>
          </w:tcPr>
          <w:p w14:paraId="4F364A77">
            <w:pPr>
              <w:jc w:val="center"/>
              <w:rPr>
                <w:rFonts w:hint="eastAsia" w:ascii="宋体" w:hAnsi="宋体" w:eastAsia="宋体" w:cs="仿宋"/>
                <w:color w:val="auto"/>
                <w:kern w:val="2"/>
                <w:sz w:val="24"/>
                <w:szCs w:val="22"/>
                <w:highlight w:val="none"/>
                <w:lang w:val="en-US" w:eastAsia="zh-CN" w:bidi="ar-SA"/>
              </w:rPr>
            </w:pPr>
            <w:r>
              <w:rPr>
                <w:rFonts w:hint="eastAsia" w:cs="仿宋"/>
                <w:color w:val="auto"/>
                <w:highlight w:val="none"/>
              </w:rPr>
              <w:t>特定资格要求</w:t>
            </w:r>
          </w:p>
        </w:tc>
        <w:tc>
          <w:tcPr>
            <w:tcW w:w="6285" w:type="dxa"/>
            <w:shd w:val="clear" w:color="auto" w:fill="auto"/>
            <w:vAlign w:val="top"/>
          </w:tcPr>
          <w:p w14:paraId="4AB8CCB1">
            <w:pPr>
              <w:ind w:firstLine="480" w:firstLineChars="200"/>
              <w:rPr>
                <w:rFonts w:hint="eastAsia" w:cs="宋体"/>
                <w:color w:val="auto"/>
                <w:szCs w:val="24"/>
                <w:highlight w:val="none"/>
              </w:rPr>
            </w:pPr>
            <w:r>
              <w:rPr>
                <w:rFonts w:hint="eastAsia" w:cs="宋体"/>
                <w:color w:val="auto"/>
                <w:szCs w:val="24"/>
                <w:highlight w:val="none"/>
              </w:rPr>
              <w:t>1</w:t>
            </w:r>
            <w:r>
              <w:rPr>
                <w:rFonts w:hint="eastAsia" w:cs="宋体"/>
                <w:color w:val="auto"/>
                <w:szCs w:val="24"/>
                <w:highlight w:val="none"/>
                <w:lang w:eastAsia="zh-CN"/>
              </w:rPr>
              <w:t>、</w:t>
            </w:r>
            <w:r>
              <w:rPr>
                <w:rFonts w:hint="eastAsia" w:cs="宋体"/>
                <w:color w:val="auto"/>
                <w:szCs w:val="24"/>
                <w:highlight w:val="none"/>
                <w:lang w:val="en-US" w:eastAsia="zh-CN"/>
              </w:rPr>
              <w:t>所投产品属于第二类医疗器械的，须提供有效的医疗器械经营备案凭证；属于第三类医疗器械的，须提供有效的医疗器械经营许可证；属于医疗器械管理的产品须按《医疗器械监督管理条例》完成注册 / 备案；不属于医疗器械的无需提供”</w:t>
            </w:r>
            <w:r>
              <w:rPr>
                <w:rFonts w:hint="eastAsia" w:cs="宋体"/>
                <w:color w:val="auto"/>
                <w:szCs w:val="24"/>
                <w:highlight w:val="none"/>
              </w:rPr>
              <w:t>投标人具有医疗器械经营资格；属于医疗器械管理的产品需根据《医疗器械监督管理条例》（国务院令第650号）有关内容办理医疗器械产品注册或备案。所投产品不属于医疗器械的可不提供以上内容。</w:t>
            </w:r>
          </w:p>
          <w:p w14:paraId="2CF3DFC6">
            <w:pPr>
              <w:ind w:firstLine="480" w:firstLineChars="200"/>
              <w:rPr>
                <w:rFonts w:hint="eastAsia" w:cs="宋体"/>
                <w:color w:val="auto"/>
                <w:szCs w:val="24"/>
                <w:highlight w:val="none"/>
                <w:lang w:val="hr-HR"/>
              </w:rPr>
            </w:pPr>
            <w:r>
              <w:rPr>
                <w:rFonts w:hint="eastAsia" w:cs="宋体"/>
                <w:color w:val="auto"/>
                <w:szCs w:val="24"/>
                <w:highlight w:val="none"/>
                <w:lang w:val="en-US"/>
              </w:rPr>
              <w:t>2</w:t>
            </w:r>
            <w:r>
              <w:rPr>
                <w:rFonts w:hint="eastAsia" w:cs="宋体"/>
                <w:color w:val="auto"/>
                <w:szCs w:val="24"/>
                <w:highlight w:val="none"/>
                <w:lang w:val="en-US" w:eastAsia="zh-CN"/>
              </w:rPr>
              <w:t>、</w:t>
            </w:r>
            <w:r>
              <w:rPr>
                <w:rFonts w:hint="eastAsia" w:cs="宋体"/>
                <w:color w:val="auto"/>
                <w:szCs w:val="24"/>
                <w:highlight w:val="none"/>
                <w:lang w:val="hr-HR"/>
              </w:rPr>
              <w:t>法定代表人或</w:t>
            </w:r>
            <w:r>
              <w:rPr>
                <w:rFonts w:hint="eastAsia" w:cs="宋体"/>
                <w:color w:val="auto"/>
                <w:szCs w:val="24"/>
                <w:highlight w:val="none"/>
                <w:lang w:val="en-US"/>
              </w:rPr>
              <w:t>单位</w:t>
            </w:r>
            <w:r>
              <w:rPr>
                <w:rFonts w:hint="eastAsia" w:cs="宋体"/>
                <w:color w:val="auto"/>
                <w:szCs w:val="24"/>
                <w:highlight w:val="none"/>
                <w:lang w:val="hr-HR"/>
              </w:rPr>
              <w:t>负责人为同一人或者存在</w:t>
            </w:r>
            <w:r>
              <w:rPr>
                <w:rFonts w:hint="eastAsia" w:cs="宋体"/>
                <w:color w:val="auto"/>
                <w:szCs w:val="24"/>
                <w:highlight w:val="none"/>
                <w:lang w:val="en-US"/>
              </w:rPr>
              <w:t>直接</w:t>
            </w:r>
            <w:r>
              <w:rPr>
                <w:rFonts w:hint="eastAsia" w:cs="宋体"/>
                <w:color w:val="auto"/>
                <w:szCs w:val="24"/>
                <w:highlight w:val="none"/>
                <w:lang w:val="hr-HR"/>
              </w:rPr>
              <w:t>控股、管理关系的</w:t>
            </w:r>
            <w:r>
              <w:rPr>
                <w:rFonts w:hint="eastAsia" w:cs="宋体"/>
                <w:color w:val="auto"/>
                <w:szCs w:val="24"/>
                <w:highlight w:val="none"/>
                <w:lang w:val="en-US"/>
              </w:rPr>
              <w:t>不同供应商</w:t>
            </w:r>
            <w:r>
              <w:rPr>
                <w:rFonts w:hint="eastAsia" w:cs="宋体"/>
                <w:color w:val="auto"/>
                <w:szCs w:val="24"/>
                <w:highlight w:val="none"/>
                <w:lang w:val="hr-HR"/>
              </w:rPr>
              <w:t>，不得参加同一合同项下的政府采购活动。</w:t>
            </w:r>
          </w:p>
          <w:p w14:paraId="106D5521">
            <w:pPr>
              <w:ind w:firstLine="480" w:firstLineChars="200"/>
              <w:rPr>
                <w:rFonts w:hint="eastAsia" w:cs="宋体"/>
                <w:color w:val="auto"/>
                <w:szCs w:val="24"/>
                <w:highlight w:val="none"/>
                <w:lang w:val="hr-HR"/>
              </w:rPr>
            </w:pPr>
            <w:r>
              <w:rPr>
                <w:rFonts w:hint="eastAsia" w:cs="宋体"/>
                <w:color w:val="auto"/>
                <w:szCs w:val="24"/>
                <w:highlight w:val="none"/>
                <w:lang w:val="en-US"/>
              </w:rPr>
              <w:t>3</w:t>
            </w:r>
            <w:r>
              <w:rPr>
                <w:rFonts w:hint="eastAsia" w:cs="宋体"/>
                <w:color w:val="auto"/>
                <w:szCs w:val="24"/>
                <w:highlight w:val="none"/>
                <w:lang w:val="en-US" w:eastAsia="zh-CN"/>
              </w:rPr>
              <w:t>、</w:t>
            </w:r>
            <w:r>
              <w:rPr>
                <w:rFonts w:hint="eastAsia" w:cs="宋体"/>
                <w:color w:val="auto"/>
                <w:szCs w:val="24"/>
                <w:highlight w:val="none"/>
                <w:lang w:val="hr-HR"/>
              </w:rPr>
              <w:t>除单一来源采购项目外，为采购项目提供整体设计、规范编制或者项目管理、监理、检测等服务的供应商，不得再参加该采购项目的其他采购活动。</w:t>
            </w:r>
          </w:p>
          <w:p w14:paraId="7A7ECF3C">
            <w:pPr>
              <w:ind w:firstLine="480" w:firstLineChars="200"/>
              <w:rPr>
                <w:rFonts w:hint="eastAsia" w:ascii="宋体" w:hAnsi="宋体" w:eastAsia="宋体" w:cstheme="minorBidi"/>
                <w:color w:val="auto"/>
                <w:kern w:val="2"/>
                <w:sz w:val="24"/>
                <w:szCs w:val="22"/>
                <w:highlight w:val="none"/>
                <w:lang w:val="en-US" w:eastAsia="zh-CN" w:bidi="ar-SA"/>
              </w:rPr>
            </w:pPr>
            <w:r>
              <w:rPr>
                <w:rFonts w:hint="eastAsia" w:cs="宋体"/>
                <w:color w:val="auto"/>
                <w:szCs w:val="24"/>
                <w:highlight w:val="none"/>
                <w:lang w:val="en-US"/>
              </w:rPr>
              <w:t>4</w:t>
            </w:r>
            <w:r>
              <w:rPr>
                <w:rFonts w:hint="eastAsia" w:cs="宋体"/>
                <w:color w:val="auto"/>
                <w:szCs w:val="24"/>
                <w:highlight w:val="none"/>
                <w:lang w:val="en-US" w:eastAsia="zh-CN"/>
              </w:rPr>
              <w:t>、</w:t>
            </w:r>
            <w:r>
              <w:rPr>
                <w:rFonts w:hint="eastAsia" w:cs="宋体"/>
                <w:color w:val="auto"/>
                <w:szCs w:val="24"/>
                <w:highlight w:val="none"/>
                <w:lang w:val="hr-HR"/>
              </w:rPr>
              <w:t>供应商的信用行为：在</w:t>
            </w:r>
            <w:r>
              <w:rPr>
                <w:rFonts w:hint="eastAsia" w:cs="宋体"/>
                <w:color w:val="auto"/>
                <w:szCs w:val="24"/>
                <w:highlight w:val="none"/>
                <w:lang w:val="en-US"/>
              </w:rPr>
              <w:t>资格审查阶段经查询</w:t>
            </w:r>
            <w:r>
              <w:rPr>
                <w:rFonts w:hint="eastAsia" w:cs="宋体"/>
                <w:color w:val="auto"/>
                <w:szCs w:val="24"/>
                <w:highlight w:val="none"/>
                <w:lang w:val="hr-HR"/>
              </w:rPr>
              <w:t>，</w:t>
            </w:r>
            <w:r>
              <w:rPr>
                <w:rFonts w:hint="eastAsia" w:cs="宋体"/>
                <w:color w:val="auto"/>
                <w:szCs w:val="24"/>
                <w:highlight w:val="none"/>
                <w:lang w:val="en-US"/>
              </w:rPr>
              <w:t>未被列入“失信被执行人”、“重大税收违法失信主体”、“政府采购严重违法失信行为记录名单”</w:t>
            </w:r>
            <w:r>
              <w:rPr>
                <w:rFonts w:hint="eastAsia" w:cs="宋体"/>
                <w:color w:val="auto"/>
                <w:szCs w:val="24"/>
                <w:highlight w:val="none"/>
                <w:lang w:val="hr-HR"/>
              </w:rPr>
              <w:t>其中之一。如有以上不良信用记录</w:t>
            </w:r>
            <w:r>
              <w:rPr>
                <w:rFonts w:hint="eastAsia" w:cs="宋体"/>
                <w:color w:val="auto"/>
                <w:szCs w:val="24"/>
                <w:highlight w:val="none"/>
                <w:lang w:val="en-US"/>
              </w:rPr>
              <w:t>之一的，</w:t>
            </w:r>
            <w:r>
              <w:rPr>
                <w:rFonts w:hint="eastAsia" w:cs="宋体"/>
                <w:color w:val="auto"/>
                <w:szCs w:val="24"/>
                <w:highlight w:val="none"/>
                <w:lang w:val="hr-HR"/>
              </w:rPr>
              <w:t>其投标</w:t>
            </w:r>
            <w:r>
              <w:rPr>
                <w:rFonts w:hint="eastAsia" w:cs="宋体"/>
                <w:color w:val="auto"/>
                <w:szCs w:val="24"/>
                <w:highlight w:val="none"/>
                <w:lang w:val="en-US"/>
              </w:rPr>
              <w:t>无效</w:t>
            </w:r>
            <w:r>
              <w:rPr>
                <w:rFonts w:hint="eastAsia" w:cs="宋体"/>
                <w:color w:val="auto"/>
                <w:szCs w:val="24"/>
                <w:highlight w:val="none"/>
                <w:lang w:val="hr-HR"/>
              </w:rPr>
              <w:t>。</w:t>
            </w:r>
            <w:r>
              <w:rPr>
                <w:rFonts w:hint="eastAsia" w:cs="宋体"/>
                <w:color w:val="auto"/>
                <w:szCs w:val="24"/>
                <w:highlight w:val="none"/>
              </w:rPr>
              <w:t xml:space="preserve">           </w:t>
            </w:r>
          </w:p>
        </w:tc>
        <w:tc>
          <w:tcPr>
            <w:tcW w:w="387" w:type="dxa"/>
          </w:tcPr>
          <w:p w14:paraId="7C350A8D">
            <w:pPr>
              <w:rPr>
                <w:rFonts w:hint="eastAsia" w:cs="仿宋"/>
                <w:color w:val="auto"/>
                <w:spacing w:val="-2"/>
                <w:highlight w:val="none"/>
              </w:rPr>
            </w:pPr>
          </w:p>
        </w:tc>
        <w:tc>
          <w:tcPr>
            <w:tcW w:w="430" w:type="dxa"/>
          </w:tcPr>
          <w:p w14:paraId="275AEC6A">
            <w:pPr>
              <w:rPr>
                <w:rFonts w:hint="eastAsia" w:cs="仿宋"/>
                <w:color w:val="auto"/>
                <w:spacing w:val="-2"/>
                <w:highlight w:val="none"/>
              </w:rPr>
            </w:pPr>
          </w:p>
        </w:tc>
        <w:tc>
          <w:tcPr>
            <w:tcW w:w="506" w:type="dxa"/>
          </w:tcPr>
          <w:p w14:paraId="3FB3784A">
            <w:pPr>
              <w:rPr>
                <w:rFonts w:hint="eastAsia" w:cs="仿宋"/>
                <w:color w:val="auto"/>
                <w:spacing w:val="-2"/>
                <w:highlight w:val="none"/>
              </w:rPr>
            </w:pPr>
          </w:p>
        </w:tc>
      </w:tr>
      <w:tr w14:paraId="0C27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632" w:type="dxa"/>
            <w:vAlign w:val="center"/>
          </w:tcPr>
          <w:p w14:paraId="78BCAFDF">
            <w:pPr>
              <w:jc w:val="center"/>
              <w:rPr>
                <w:rFonts w:hint="eastAsia" w:cs="仿宋" w:eastAsiaTheme="minorEastAsia"/>
                <w:color w:val="auto"/>
                <w:spacing w:val="-2"/>
                <w:highlight w:val="none"/>
              </w:rPr>
            </w:pPr>
            <w:r>
              <w:rPr>
                <w:rFonts w:hint="eastAsia" w:cs="仿宋"/>
                <w:color w:val="auto"/>
                <w:spacing w:val="-2"/>
                <w:highlight w:val="none"/>
              </w:rPr>
              <w:t>7</w:t>
            </w:r>
          </w:p>
        </w:tc>
        <w:tc>
          <w:tcPr>
            <w:tcW w:w="1258" w:type="dxa"/>
            <w:shd w:val="clear" w:color="auto" w:fill="auto"/>
            <w:vAlign w:val="center"/>
          </w:tcPr>
          <w:p w14:paraId="07DF9A76">
            <w:pPr>
              <w:jc w:val="center"/>
              <w:rPr>
                <w:rFonts w:hint="eastAsia" w:ascii="宋体" w:hAnsi="宋体" w:eastAsia="宋体" w:cs="仿宋"/>
                <w:color w:val="auto"/>
                <w:kern w:val="2"/>
                <w:sz w:val="24"/>
                <w:szCs w:val="22"/>
                <w:highlight w:val="none"/>
                <w:lang w:val="en-US" w:eastAsia="zh-CN" w:bidi="ar-SA"/>
              </w:rPr>
            </w:pPr>
            <w:r>
              <w:rPr>
                <w:rFonts w:hint="eastAsia" w:cs="仿宋"/>
                <w:color w:val="auto"/>
                <w:highlight w:val="none"/>
              </w:rPr>
              <w:t>采购政策</w:t>
            </w:r>
          </w:p>
        </w:tc>
        <w:tc>
          <w:tcPr>
            <w:tcW w:w="6285" w:type="dxa"/>
            <w:shd w:val="clear" w:color="auto" w:fill="auto"/>
            <w:vAlign w:val="top"/>
          </w:tcPr>
          <w:p w14:paraId="79D2E418">
            <w:pPr>
              <w:rPr>
                <w:rFonts w:hint="eastAsia" w:ascii="宋体" w:hAnsi="宋体" w:eastAsia="宋体" w:cs="宋体"/>
                <w:color w:val="auto"/>
                <w:kern w:val="2"/>
                <w:sz w:val="24"/>
                <w:szCs w:val="24"/>
                <w:highlight w:val="none"/>
                <w:lang w:val="en-US" w:eastAsia="zh-CN" w:bidi="ar-SA"/>
              </w:rPr>
            </w:pPr>
            <w:r>
              <w:rPr>
                <w:rFonts w:hint="eastAsia" w:cs="宋体"/>
                <w:color w:val="auto"/>
                <w:szCs w:val="24"/>
                <w:highlight w:val="none"/>
                <w:lang w:val="en-US" w:eastAsia="zh-CN"/>
              </w:rPr>
              <w:t>本项目面向中小企业采购，</w:t>
            </w:r>
            <w:r>
              <w:rPr>
                <w:rFonts w:ascii="宋体" w:hAnsi="宋体" w:eastAsia="宋体" w:cs="宋体"/>
                <w:color w:val="auto"/>
                <w:sz w:val="24"/>
                <w:szCs w:val="24"/>
                <w:highlight w:val="none"/>
              </w:rPr>
              <w:t>提供符合招标文件要求的《中小企业声明函》</w:t>
            </w:r>
            <w:r>
              <w:rPr>
                <w:rFonts w:hint="eastAsia" w:cs="宋体"/>
                <w:color w:val="auto"/>
                <w:sz w:val="24"/>
                <w:szCs w:val="24"/>
                <w:highlight w:val="none"/>
                <w:lang w:eastAsia="zh-CN"/>
              </w:rPr>
              <w:t>。</w:t>
            </w:r>
          </w:p>
        </w:tc>
        <w:tc>
          <w:tcPr>
            <w:tcW w:w="387" w:type="dxa"/>
          </w:tcPr>
          <w:p w14:paraId="3F8F1CD8">
            <w:pPr>
              <w:rPr>
                <w:rFonts w:hint="eastAsia" w:cs="仿宋"/>
                <w:color w:val="auto"/>
                <w:spacing w:val="-2"/>
                <w:highlight w:val="none"/>
              </w:rPr>
            </w:pPr>
          </w:p>
        </w:tc>
        <w:tc>
          <w:tcPr>
            <w:tcW w:w="430" w:type="dxa"/>
          </w:tcPr>
          <w:p w14:paraId="54ACEF66">
            <w:pPr>
              <w:rPr>
                <w:rFonts w:hint="eastAsia" w:cs="仿宋"/>
                <w:color w:val="auto"/>
                <w:spacing w:val="-2"/>
                <w:highlight w:val="none"/>
              </w:rPr>
            </w:pPr>
          </w:p>
        </w:tc>
        <w:tc>
          <w:tcPr>
            <w:tcW w:w="506" w:type="dxa"/>
          </w:tcPr>
          <w:p w14:paraId="6C0211D3">
            <w:pPr>
              <w:rPr>
                <w:rFonts w:hint="eastAsia" w:cs="仿宋"/>
                <w:color w:val="auto"/>
                <w:spacing w:val="-2"/>
                <w:highlight w:val="none"/>
              </w:rPr>
            </w:pPr>
          </w:p>
        </w:tc>
      </w:tr>
      <w:tr w14:paraId="0C83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890" w:type="dxa"/>
            <w:gridSpan w:val="2"/>
            <w:vAlign w:val="center"/>
          </w:tcPr>
          <w:p w14:paraId="1CC7627E">
            <w:pPr>
              <w:jc w:val="both"/>
              <w:rPr>
                <w:rFonts w:hint="eastAsia" w:cs="仿宋"/>
                <w:color w:val="auto"/>
                <w:highlight w:val="none"/>
              </w:rPr>
            </w:pPr>
            <w:r>
              <w:rPr>
                <w:rFonts w:hint="eastAsia" w:cs="仿宋"/>
                <w:color w:val="auto"/>
                <w:spacing w:val="-2"/>
                <w:highlight w:val="none"/>
              </w:rPr>
              <w:t>结论</w:t>
            </w:r>
          </w:p>
        </w:tc>
        <w:tc>
          <w:tcPr>
            <w:tcW w:w="6285" w:type="dxa"/>
          </w:tcPr>
          <w:p w14:paraId="1D621A55">
            <w:pPr>
              <w:rPr>
                <w:rFonts w:hint="eastAsia" w:cs="仿宋"/>
                <w:color w:val="auto"/>
                <w:spacing w:val="-2"/>
                <w:highlight w:val="none"/>
              </w:rPr>
            </w:pPr>
          </w:p>
        </w:tc>
        <w:tc>
          <w:tcPr>
            <w:tcW w:w="387" w:type="dxa"/>
          </w:tcPr>
          <w:p w14:paraId="353B4556">
            <w:pPr>
              <w:rPr>
                <w:rFonts w:hint="eastAsia" w:cs="仿宋"/>
                <w:color w:val="auto"/>
                <w:spacing w:val="-2"/>
                <w:highlight w:val="none"/>
              </w:rPr>
            </w:pPr>
          </w:p>
        </w:tc>
        <w:tc>
          <w:tcPr>
            <w:tcW w:w="430" w:type="dxa"/>
          </w:tcPr>
          <w:p w14:paraId="39C17F88">
            <w:pPr>
              <w:rPr>
                <w:rFonts w:hint="eastAsia" w:cs="仿宋"/>
                <w:color w:val="auto"/>
                <w:spacing w:val="-2"/>
                <w:highlight w:val="none"/>
              </w:rPr>
            </w:pPr>
          </w:p>
        </w:tc>
        <w:tc>
          <w:tcPr>
            <w:tcW w:w="506" w:type="dxa"/>
          </w:tcPr>
          <w:p w14:paraId="5495C82D">
            <w:pPr>
              <w:rPr>
                <w:rFonts w:hint="eastAsia" w:cs="仿宋"/>
                <w:color w:val="auto"/>
                <w:spacing w:val="-2"/>
                <w:highlight w:val="none"/>
              </w:rPr>
            </w:pPr>
          </w:p>
        </w:tc>
      </w:tr>
    </w:tbl>
    <w:p w14:paraId="31C42AAD">
      <w:pPr>
        <w:widowControl/>
        <w:rPr>
          <w:rFonts w:hint="eastAsia"/>
          <w:color w:val="auto"/>
          <w:highlight w:val="none"/>
        </w:rPr>
      </w:pPr>
    </w:p>
    <w:p w14:paraId="76EB1B19">
      <w:pPr>
        <w:widowControl/>
        <w:rPr>
          <w:rFonts w:hint="eastAsia" w:cs="宋体"/>
          <w:color w:val="auto"/>
          <w:kern w:val="0"/>
          <w:szCs w:val="24"/>
          <w:highlight w:val="none"/>
          <w:lang w:bidi="ar"/>
        </w:rPr>
        <w:sectPr>
          <w:pgSz w:w="11906" w:h="16838"/>
          <w:pgMar w:top="1440" w:right="1800" w:bottom="1440" w:left="1800" w:header="851" w:footer="992" w:gutter="0"/>
          <w:pgNumType w:fmt="decimal"/>
          <w:cols w:space="425" w:num="1"/>
          <w:docGrid w:type="lines" w:linePitch="312" w:charSpace="0"/>
        </w:sectPr>
      </w:pPr>
      <w:r>
        <w:rPr>
          <w:rFonts w:hint="eastAsia" w:cs="宋体"/>
          <w:color w:val="auto"/>
          <w:kern w:val="0"/>
          <w:szCs w:val="24"/>
          <w:highlight w:val="none"/>
          <w:lang w:bidi="ar"/>
        </w:rPr>
        <w:t xml:space="preserve"> </w:t>
      </w:r>
    </w:p>
    <w:p w14:paraId="63868ED3">
      <w:pPr>
        <w:pStyle w:val="4"/>
        <w:spacing w:before="220" w:after="220" w:line="480" w:lineRule="auto"/>
        <w:ind w:left="420" w:hanging="420"/>
        <w:rPr>
          <w:rFonts w:hint="eastAsia" w:eastAsia="宋体" w:cs="宋体"/>
          <w:color w:val="auto"/>
          <w:sz w:val="36"/>
          <w:szCs w:val="36"/>
          <w:highlight w:val="none"/>
          <w:lang w:eastAsia="zh-CN"/>
        </w:rPr>
      </w:pPr>
      <w:bookmarkStart w:id="260" w:name="_Toc155185903"/>
      <w:bookmarkStart w:id="261" w:name="_Toc163492899"/>
      <w:bookmarkStart w:id="262" w:name="_Toc23606"/>
      <w:r>
        <w:rPr>
          <w:rFonts w:hint="eastAsia" w:eastAsia="宋体" w:cs="宋体"/>
          <w:color w:val="auto"/>
          <w:sz w:val="36"/>
          <w:szCs w:val="36"/>
          <w:highlight w:val="none"/>
        </w:rPr>
        <w:t>第五章 评标方法</w:t>
      </w:r>
      <w:bookmarkEnd w:id="260"/>
      <w:r>
        <w:rPr>
          <w:rFonts w:hint="eastAsia" w:eastAsia="宋体" w:cs="宋体"/>
          <w:color w:val="auto"/>
          <w:sz w:val="36"/>
          <w:szCs w:val="36"/>
          <w:highlight w:val="none"/>
        </w:rPr>
        <w:t>及标准</w:t>
      </w:r>
      <w:bookmarkEnd w:id="261"/>
      <w:r>
        <w:rPr>
          <w:rFonts w:hint="eastAsia" w:eastAsia="宋体" w:cs="宋体"/>
          <w:color w:val="auto"/>
          <w:sz w:val="36"/>
          <w:szCs w:val="36"/>
          <w:highlight w:val="none"/>
          <w:lang w:eastAsia="zh-CN"/>
        </w:rPr>
        <w:t>（</w:t>
      </w:r>
      <w:r>
        <w:rPr>
          <w:rFonts w:hint="eastAsia" w:eastAsia="宋体" w:cs="宋体"/>
          <w:color w:val="auto"/>
          <w:sz w:val="36"/>
          <w:szCs w:val="36"/>
          <w:highlight w:val="none"/>
        </w:rPr>
        <w:t>综合评分法</w:t>
      </w:r>
      <w:bookmarkEnd w:id="262"/>
      <w:r>
        <w:rPr>
          <w:rFonts w:hint="eastAsia" w:eastAsia="宋体" w:cs="宋体"/>
          <w:color w:val="auto"/>
          <w:sz w:val="36"/>
          <w:szCs w:val="36"/>
          <w:highlight w:val="none"/>
          <w:lang w:eastAsia="zh-CN"/>
        </w:rPr>
        <w:t>）</w:t>
      </w:r>
    </w:p>
    <w:p w14:paraId="11ED2560">
      <w:pPr>
        <w:pStyle w:val="20"/>
        <w:rPr>
          <w:rFonts w:hint="eastAsia" w:cs="宋体"/>
          <w:color w:val="auto"/>
          <w:szCs w:val="24"/>
          <w:highlight w:val="none"/>
        </w:rPr>
      </w:pPr>
      <w:r>
        <w:rPr>
          <w:rFonts w:hint="eastAsia" w:cs="宋体"/>
          <w:color w:val="auto"/>
          <w:szCs w:val="24"/>
          <w:highlight w:val="none"/>
        </w:rPr>
        <w:t>根据《中华人民共和国政府采购法》及其实施条例、《政府采购货物和服务招标投标管理办法》</w:t>
      </w:r>
      <w:r>
        <w:rPr>
          <w:rFonts w:hint="eastAsia" w:cs="宋体"/>
          <w:color w:val="auto"/>
          <w:szCs w:val="24"/>
          <w:highlight w:val="none"/>
          <w:lang w:val="en-US"/>
        </w:rPr>
        <w:t>及</w:t>
      </w:r>
      <w:r>
        <w:rPr>
          <w:rFonts w:hint="eastAsia" w:cs="宋体"/>
          <w:color w:val="auto"/>
          <w:szCs w:val="24"/>
          <w:highlight w:val="none"/>
        </w:rPr>
        <w:t>相关法律法规确定以下评标</w:t>
      </w:r>
      <w:r>
        <w:rPr>
          <w:rFonts w:hint="eastAsia" w:cs="宋体"/>
          <w:color w:val="auto"/>
          <w:szCs w:val="24"/>
          <w:highlight w:val="none"/>
          <w:lang w:val="en-US"/>
        </w:rPr>
        <w:t>方</w:t>
      </w:r>
      <w:r>
        <w:rPr>
          <w:rFonts w:hint="eastAsia" w:cs="宋体"/>
          <w:color w:val="auto"/>
          <w:szCs w:val="24"/>
          <w:highlight w:val="none"/>
        </w:rPr>
        <w:t>法及标准。</w:t>
      </w:r>
    </w:p>
    <w:p w14:paraId="459A5BDC">
      <w:pPr>
        <w:pStyle w:val="5"/>
        <w:spacing w:before="160" w:after="160" w:line="360" w:lineRule="auto"/>
        <w:ind w:left="420" w:hanging="420"/>
        <w:rPr>
          <w:rFonts w:hint="eastAsia" w:ascii="宋体" w:hAnsi="宋体" w:cs="宋体"/>
          <w:color w:val="auto"/>
          <w:sz w:val="28"/>
          <w:szCs w:val="28"/>
          <w:highlight w:val="none"/>
          <w:lang w:val="zh-CN"/>
        </w:rPr>
      </w:pPr>
      <w:bookmarkStart w:id="263" w:name="_Toc163492900"/>
      <w:bookmarkStart w:id="264" w:name="_Toc29507"/>
      <w:bookmarkStart w:id="265" w:name="_Toc109900322"/>
      <w:bookmarkStart w:id="266" w:name="_Toc61280402"/>
      <w:bookmarkStart w:id="267" w:name="_Toc109899903"/>
      <w:bookmarkStart w:id="268" w:name="_Toc155185905"/>
      <w:bookmarkStart w:id="269" w:name="_Toc278891606"/>
      <w:bookmarkStart w:id="270" w:name="_Toc140132826"/>
      <w:bookmarkStart w:id="271" w:name="_Toc494561962"/>
      <w:bookmarkStart w:id="272" w:name="_Toc511894518"/>
      <w:bookmarkStart w:id="273" w:name="_Toc109899484"/>
      <w:bookmarkStart w:id="274" w:name="_Toc272247709"/>
      <w:r>
        <w:rPr>
          <w:rFonts w:hint="eastAsia" w:ascii="宋体" w:hAnsi="宋体" w:cs="宋体"/>
          <w:color w:val="auto"/>
          <w:sz w:val="28"/>
          <w:szCs w:val="28"/>
          <w:highlight w:val="none"/>
          <w:lang w:val="zh-CN"/>
        </w:rPr>
        <w:t>一、评标</w:t>
      </w:r>
      <w:r>
        <w:rPr>
          <w:rFonts w:hint="eastAsia" w:ascii="宋体" w:hAnsi="宋体" w:cs="宋体"/>
          <w:color w:val="auto"/>
          <w:sz w:val="28"/>
          <w:szCs w:val="28"/>
          <w:highlight w:val="none"/>
        </w:rPr>
        <w:t>方</w:t>
      </w:r>
      <w:r>
        <w:rPr>
          <w:rFonts w:hint="eastAsia" w:ascii="宋体" w:hAnsi="宋体" w:cs="宋体"/>
          <w:color w:val="auto"/>
          <w:sz w:val="28"/>
          <w:szCs w:val="28"/>
          <w:highlight w:val="none"/>
          <w:lang w:val="zh-CN"/>
        </w:rPr>
        <w:t>法</w:t>
      </w:r>
      <w:bookmarkEnd w:id="263"/>
      <w:bookmarkEnd w:id="264"/>
    </w:p>
    <w:p w14:paraId="04FE8323">
      <w:pPr>
        <w:pStyle w:val="20"/>
        <w:rPr>
          <w:rFonts w:hint="eastAsia"/>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76980AB0">
      <w:pPr>
        <w:pStyle w:val="5"/>
        <w:spacing w:before="160" w:after="160" w:line="360" w:lineRule="auto"/>
        <w:ind w:left="420" w:hanging="420"/>
        <w:rPr>
          <w:rFonts w:hint="eastAsia" w:ascii="宋体" w:hAnsi="宋体" w:cs="宋体"/>
          <w:color w:val="auto"/>
          <w:sz w:val="28"/>
          <w:szCs w:val="28"/>
          <w:highlight w:val="none"/>
          <w:lang w:val="zh-CN"/>
        </w:rPr>
      </w:pPr>
      <w:bookmarkStart w:id="275" w:name="_Toc27741"/>
      <w:r>
        <w:rPr>
          <w:rFonts w:hint="eastAsia" w:ascii="宋体" w:hAnsi="宋体" w:cs="宋体"/>
          <w:color w:val="auto"/>
          <w:sz w:val="28"/>
          <w:szCs w:val="28"/>
          <w:highlight w:val="none"/>
        </w:rPr>
        <w:t>二</w:t>
      </w:r>
      <w:r>
        <w:rPr>
          <w:rFonts w:hint="eastAsia" w:ascii="宋体" w:hAnsi="宋体" w:cs="宋体"/>
          <w:color w:val="auto"/>
          <w:sz w:val="28"/>
          <w:szCs w:val="28"/>
          <w:highlight w:val="none"/>
          <w:lang w:val="zh-CN"/>
        </w:rPr>
        <w:t>、评标程序</w:t>
      </w:r>
      <w:bookmarkEnd w:id="275"/>
    </w:p>
    <w:p w14:paraId="63C44450">
      <w:pPr>
        <w:pStyle w:val="6"/>
        <w:spacing w:before="160" w:after="160" w:line="360" w:lineRule="auto"/>
        <w:ind w:left="420" w:hanging="420"/>
        <w:rPr>
          <w:rFonts w:hint="eastAsia" w:cs="宋体"/>
          <w:color w:val="auto"/>
          <w:sz w:val="24"/>
          <w:szCs w:val="24"/>
          <w:highlight w:val="none"/>
          <w:lang w:val="zh-CN"/>
        </w:rPr>
      </w:pPr>
      <w:r>
        <w:rPr>
          <w:rFonts w:hint="eastAsia" w:cs="宋体"/>
          <w:color w:val="auto"/>
          <w:sz w:val="24"/>
          <w:szCs w:val="24"/>
          <w:highlight w:val="none"/>
          <w:lang w:val="zh-CN"/>
        </w:rPr>
        <w:t>（一）符合性审查</w:t>
      </w:r>
    </w:p>
    <w:p w14:paraId="36448554">
      <w:pPr>
        <w:pStyle w:val="20"/>
        <w:rPr>
          <w:rFonts w:hint="eastAsia" w:cs="宋体"/>
          <w:color w:val="auto"/>
          <w:szCs w:val="24"/>
          <w:highlight w:val="none"/>
        </w:rPr>
      </w:pPr>
      <w:r>
        <w:rPr>
          <w:rFonts w:hint="eastAsia" w:cs="宋体"/>
          <w:color w:val="auto"/>
          <w:szCs w:val="24"/>
          <w:highlight w:val="none"/>
          <w:lang w:val="en-US"/>
        </w:rPr>
        <w:t>2.</w:t>
      </w:r>
      <w:r>
        <w:rPr>
          <w:rFonts w:hint="eastAsia" w:cs="宋体"/>
          <w:color w:val="auto"/>
          <w:szCs w:val="24"/>
          <w:highlight w:val="none"/>
        </w:rPr>
        <w:t>评标委员会应当对</w:t>
      </w:r>
      <w:r>
        <w:rPr>
          <w:rFonts w:hint="eastAsia" w:cs="宋体"/>
          <w:color w:val="auto"/>
          <w:szCs w:val="24"/>
          <w:highlight w:val="none"/>
          <w:lang w:val="en-US"/>
        </w:rPr>
        <w:t>通过</w:t>
      </w:r>
      <w:r>
        <w:rPr>
          <w:rFonts w:hint="eastAsia" w:cs="宋体"/>
          <w:color w:val="auto"/>
          <w:szCs w:val="24"/>
          <w:highlight w:val="none"/>
        </w:rPr>
        <w:t>资格</w:t>
      </w:r>
      <w:r>
        <w:rPr>
          <w:rFonts w:hint="eastAsia" w:cs="宋体"/>
          <w:color w:val="auto"/>
          <w:szCs w:val="24"/>
          <w:highlight w:val="none"/>
          <w:lang w:val="en-US"/>
        </w:rPr>
        <w:t>审查</w:t>
      </w:r>
      <w:r>
        <w:rPr>
          <w:rFonts w:hint="eastAsia" w:cs="宋体"/>
          <w:color w:val="auto"/>
          <w:szCs w:val="24"/>
          <w:highlight w:val="none"/>
        </w:rPr>
        <w:t>的投标人的投标文件进行符合性审查，以确定其是否满足招标文件的实质性要求。投标人必须通过符合性审查的全部评审指标，不满足招标文件的实质性要求的，</w:t>
      </w:r>
      <w:r>
        <w:rPr>
          <w:rFonts w:hint="eastAsia" w:cs="宋体"/>
          <w:color w:val="auto"/>
          <w:szCs w:val="24"/>
          <w:highlight w:val="none"/>
          <w:lang w:val="en-US"/>
        </w:rPr>
        <w:t>其</w:t>
      </w:r>
      <w:r>
        <w:rPr>
          <w:rFonts w:hint="eastAsia" w:cs="宋体"/>
          <w:b/>
          <w:bCs/>
          <w:color w:val="auto"/>
          <w:szCs w:val="24"/>
          <w:highlight w:val="none"/>
        </w:rPr>
        <w:t>投标无效</w:t>
      </w:r>
      <w:r>
        <w:rPr>
          <w:rFonts w:hint="eastAsia" w:cs="宋体"/>
          <w:color w:val="auto"/>
          <w:szCs w:val="24"/>
          <w:highlight w:val="none"/>
        </w:rPr>
        <w:t>。</w:t>
      </w:r>
      <w:r>
        <w:rPr>
          <w:rFonts w:hint="eastAsia" w:cs="宋体"/>
          <w:color w:val="auto"/>
          <w:szCs w:val="24"/>
          <w:highlight w:val="none"/>
          <w:lang w:val="en-US"/>
        </w:rPr>
        <w:t>具体内容详</w:t>
      </w:r>
      <w:r>
        <w:rPr>
          <w:rFonts w:hint="eastAsia" w:cs="宋体"/>
          <w:color w:val="auto"/>
          <w:szCs w:val="24"/>
          <w:highlight w:val="none"/>
        </w:rPr>
        <w:t>本章“</w:t>
      </w:r>
      <w:r>
        <w:rPr>
          <w:rFonts w:hint="eastAsia" w:cs="宋体"/>
          <w:color w:val="auto"/>
          <w:szCs w:val="24"/>
          <w:highlight w:val="none"/>
          <w:lang w:val="en-US"/>
        </w:rPr>
        <w:t>四</w:t>
      </w:r>
      <w:r>
        <w:rPr>
          <w:rFonts w:hint="eastAsia" w:cs="宋体"/>
          <w:color w:val="auto"/>
          <w:szCs w:val="24"/>
          <w:highlight w:val="none"/>
        </w:rPr>
        <w:t>、评标标准”中</w:t>
      </w:r>
      <w:r>
        <w:rPr>
          <w:rFonts w:hint="eastAsia" w:cs="宋体"/>
          <w:color w:val="auto"/>
          <w:szCs w:val="24"/>
          <w:highlight w:val="none"/>
          <w:lang w:val="en-US"/>
        </w:rPr>
        <w:t>的</w:t>
      </w:r>
      <w:r>
        <w:rPr>
          <w:rFonts w:hint="eastAsia" w:cs="宋体"/>
          <w:color w:val="auto"/>
          <w:szCs w:val="24"/>
          <w:highlight w:val="none"/>
        </w:rPr>
        <w:t>“（一）符合性审查”。</w:t>
      </w:r>
    </w:p>
    <w:p w14:paraId="6F35E5FA">
      <w:pPr>
        <w:pStyle w:val="20"/>
        <w:rPr>
          <w:rFonts w:hint="eastAsia" w:cs="宋体"/>
          <w:color w:val="auto"/>
          <w:szCs w:val="24"/>
          <w:highlight w:val="none"/>
        </w:rPr>
      </w:pPr>
      <w:r>
        <w:rPr>
          <w:rFonts w:hint="eastAsia" w:cs="宋体"/>
          <w:color w:val="auto"/>
          <w:szCs w:val="24"/>
          <w:highlight w:val="none"/>
          <w:lang w:val="en-US"/>
        </w:rPr>
        <w:t>通过</w:t>
      </w:r>
      <w:r>
        <w:rPr>
          <w:rFonts w:hint="eastAsia" w:cs="宋体"/>
          <w:color w:val="auto"/>
          <w:szCs w:val="24"/>
          <w:highlight w:val="none"/>
        </w:rPr>
        <w:t>符合性审查</w:t>
      </w:r>
      <w:r>
        <w:rPr>
          <w:rFonts w:hint="eastAsia" w:cs="宋体"/>
          <w:color w:val="auto"/>
          <w:szCs w:val="24"/>
          <w:highlight w:val="none"/>
          <w:lang w:val="en-US"/>
        </w:rPr>
        <w:t>的</w:t>
      </w:r>
      <w:r>
        <w:rPr>
          <w:rFonts w:hint="eastAsia" w:cs="宋体"/>
          <w:color w:val="auto"/>
          <w:szCs w:val="24"/>
          <w:highlight w:val="none"/>
        </w:rPr>
        <w:t>有效供应商不足3家的应当终止采购活动，发布项目终止公告并说明原因，重新开展采购活动。</w:t>
      </w:r>
    </w:p>
    <w:p w14:paraId="517D7A2B">
      <w:pPr>
        <w:pStyle w:val="6"/>
        <w:spacing w:before="160" w:after="160" w:line="360" w:lineRule="auto"/>
        <w:ind w:left="420" w:hanging="420"/>
        <w:rPr>
          <w:rFonts w:hint="eastAsia" w:cs="宋体"/>
          <w:color w:val="auto"/>
          <w:sz w:val="24"/>
          <w:szCs w:val="24"/>
          <w:highlight w:val="none"/>
          <w:lang w:val="zh-CN"/>
        </w:rPr>
      </w:pPr>
      <w:bookmarkStart w:id="276" w:name="_Toc102056244"/>
      <w:bookmarkStart w:id="277" w:name="_Toc102119879"/>
      <w:bookmarkStart w:id="278" w:name="_Toc102114946"/>
      <w:bookmarkStart w:id="279" w:name="_Toc102057744"/>
      <w:bookmarkStart w:id="280" w:name="_Toc155185907"/>
      <w:bookmarkStart w:id="281" w:name="_Toc102116048"/>
      <w:bookmarkStart w:id="282" w:name="_Toc102116178"/>
      <w:bookmarkStart w:id="283" w:name="_Toc163492903"/>
      <w:r>
        <w:rPr>
          <w:rFonts w:hint="eastAsia" w:cs="宋体"/>
          <w:color w:val="auto"/>
          <w:sz w:val="24"/>
          <w:szCs w:val="24"/>
          <w:highlight w:val="none"/>
          <w:lang w:val="zh-CN"/>
        </w:rPr>
        <w:t>（</w:t>
      </w:r>
      <w:r>
        <w:rPr>
          <w:rFonts w:hint="eastAsia" w:cs="宋体"/>
          <w:color w:val="auto"/>
          <w:sz w:val="24"/>
          <w:szCs w:val="24"/>
          <w:highlight w:val="none"/>
        </w:rPr>
        <w:t>二</w:t>
      </w:r>
      <w:r>
        <w:rPr>
          <w:rFonts w:hint="eastAsia" w:cs="宋体"/>
          <w:color w:val="auto"/>
          <w:sz w:val="24"/>
          <w:szCs w:val="24"/>
          <w:highlight w:val="none"/>
          <w:lang w:val="zh-CN"/>
        </w:rPr>
        <w:t>）投标文件澄清</w:t>
      </w:r>
      <w:bookmarkEnd w:id="276"/>
      <w:bookmarkEnd w:id="277"/>
      <w:bookmarkEnd w:id="278"/>
      <w:bookmarkEnd w:id="279"/>
      <w:bookmarkEnd w:id="280"/>
      <w:bookmarkEnd w:id="281"/>
      <w:bookmarkEnd w:id="282"/>
      <w:r>
        <w:rPr>
          <w:rFonts w:hint="eastAsia" w:cs="宋体"/>
          <w:color w:val="auto"/>
          <w:sz w:val="24"/>
          <w:szCs w:val="24"/>
          <w:highlight w:val="none"/>
          <w:lang w:val="zh-CN"/>
        </w:rPr>
        <w:t>及修正</w:t>
      </w:r>
      <w:bookmarkEnd w:id="283"/>
    </w:p>
    <w:p w14:paraId="36A45458">
      <w:pPr>
        <w:pStyle w:val="20"/>
        <w:rPr>
          <w:rFonts w:hint="eastAsia" w:cs="宋体"/>
          <w:color w:val="auto"/>
          <w:szCs w:val="24"/>
          <w:highlight w:val="none"/>
        </w:rPr>
      </w:pPr>
      <w:r>
        <w:rPr>
          <w:rFonts w:hint="eastAsia" w:cs="宋体"/>
          <w:color w:val="auto"/>
          <w:szCs w:val="24"/>
          <w:highlight w:val="none"/>
          <w:lang w:val="en-US"/>
        </w:rPr>
        <w:t>3</w:t>
      </w:r>
      <w:r>
        <w:rPr>
          <w:rFonts w:hint="eastAsia" w:cs="宋体"/>
          <w:color w:val="auto"/>
          <w:szCs w:val="24"/>
          <w:highlight w:val="none"/>
        </w:rPr>
        <w:t>.评标期间，对于投标文件中含义不明确、同类问题表述不一致或者有明显文字和计算错误的内容需要投标人作出必要的澄清、说明或者补正的，评标委员会应当在</w:t>
      </w:r>
      <w:r>
        <w:rPr>
          <w:rFonts w:hint="eastAsia" w:cs="宋体"/>
          <w:color w:val="auto"/>
          <w:szCs w:val="24"/>
          <w:highlight w:val="none"/>
          <w:lang w:val="en-US"/>
        </w:rPr>
        <w:t>政采云平台评标</w:t>
      </w:r>
      <w:r>
        <w:rPr>
          <w:rFonts w:hint="eastAsia" w:cs="宋体"/>
          <w:color w:val="auto"/>
          <w:szCs w:val="24"/>
          <w:highlight w:val="none"/>
        </w:rPr>
        <w:t>系统中以书面形式要求投标人作出必要的澄清、说明或者补正。</w:t>
      </w:r>
    </w:p>
    <w:p w14:paraId="18A52DF5">
      <w:pPr>
        <w:pStyle w:val="20"/>
        <w:rPr>
          <w:rFonts w:hint="eastAsia" w:cs="宋体"/>
          <w:color w:val="auto"/>
          <w:szCs w:val="24"/>
          <w:highlight w:val="none"/>
        </w:rPr>
      </w:pPr>
      <w:r>
        <w:rPr>
          <w:rFonts w:hint="eastAsia" w:cs="宋体"/>
          <w:color w:val="auto"/>
          <w:szCs w:val="24"/>
          <w:highlight w:val="none"/>
          <w:lang w:val="en-US"/>
        </w:rPr>
        <w:t>4</w:t>
      </w:r>
      <w:r>
        <w:rPr>
          <w:rFonts w:hint="eastAsia" w:cs="宋体"/>
          <w:color w:val="auto"/>
          <w:szCs w:val="24"/>
          <w:highlight w:val="none"/>
        </w:rPr>
        <w:t>.投标人应按照评标委员会要求在规定时间内作出澄清、说明或者补正，澄清、说明或者补正不得超出投标文件的范围或者改变投标文件的实质性内容。</w:t>
      </w:r>
    </w:p>
    <w:p w14:paraId="3ACB4B8B">
      <w:pPr>
        <w:pStyle w:val="20"/>
        <w:rPr>
          <w:rFonts w:hint="eastAsia" w:cs="宋体"/>
          <w:color w:val="auto"/>
          <w:szCs w:val="24"/>
          <w:highlight w:val="none"/>
        </w:rPr>
      </w:pPr>
      <w:r>
        <w:rPr>
          <w:rFonts w:hint="eastAsia" w:cs="宋体"/>
          <w:color w:val="auto"/>
          <w:szCs w:val="24"/>
          <w:highlight w:val="none"/>
          <w:lang w:val="en-US"/>
        </w:rPr>
        <w:t>5</w:t>
      </w:r>
      <w:r>
        <w:rPr>
          <w:rFonts w:hint="eastAsia" w:cs="宋体"/>
          <w:color w:val="auto"/>
          <w:szCs w:val="24"/>
          <w:highlight w:val="none"/>
        </w:rPr>
        <w:t>.投标人的澄清、说明或者补正是其投标文件的有效组成部分，澄清、说明或者补正应当在</w:t>
      </w:r>
      <w:r>
        <w:rPr>
          <w:rFonts w:hint="eastAsia" w:cs="宋体"/>
          <w:color w:val="auto"/>
          <w:szCs w:val="24"/>
          <w:highlight w:val="none"/>
          <w:lang w:val="en-US"/>
        </w:rPr>
        <w:t>政采云平台评标</w:t>
      </w:r>
      <w:r>
        <w:rPr>
          <w:rFonts w:hint="eastAsia" w:cs="宋体"/>
          <w:color w:val="auto"/>
          <w:szCs w:val="24"/>
          <w:highlight w:val="none"/>
        </w:rPr>
        <w:t>系统中加盖电子印章后提交。</w:t>
      </w:r>
    </w:p>
    <w:p w14:paraId="13F6C568">
      <w:pPr>
        <w:pStyle w:val="20"/>
        <w:rPr>
          <w:rFonts w:hint="eastAsia" w:cs="宋体"/>
          <w:b/>
          <w:bCs/>
          <w:color w:val="auto"/>
          <w:szCs w:val="24"/>
          <w:highlight w:val="none"/>
          <w:lang w:val="en-US"/>
        </w:rPr>
      </w:pPr>
      <w:r>
        <w:rPr>
          <w:rFonts w:hint="eastAsia" w:cs="宋体"/>
          <w:color w:val="auto"/>
          <w:szCs w:val="24"/>
          <w:highlight w:val="none"/>
          <w:lang w:val="en-US"/>
        </w:rPr>
        <w:t>6.</w:t>
      </w:r>
      <w:r>
        <w:rPr>
          <w:rFonts w:hint="eastAsia" w:cs="宋体"/>
          <w:b/>
          <w:bCs/>
          <w:color w:val="auto"/>
          <w:szCs w:val="24"/>
          <w:highlight w:val="none"/>
          <w:lang w:val="en-US"/>
        </w:rPr>
        <w:t>报价合理性说明</w:t>
      </w:r>
    </w:p>
    <w:p w14:paraId="79C6E48C">
      <w:pPr>
        <w:pStyle w:val="20"/>
        <w:rPr>
          <w:rFonts w:hint="eastAsia" w:cs="宋体"/>
          <w:color w:val="auto"/>
          <w:szCs w:val="24"/>
          <w:highlight w:val="none"/>
          <w:lang w:val="en-US"/>
        </w:rPr>
      </w:pPr>
      <w:r>
        <w:rPr>
          <w:rFonts w:hint="eastAsia" w:cs="宋体"/>
          <w:color w:val="auto"/>
          <w:szCs w:val="24"/>
          <w:highlight w:val="none"/>
          <w:lang w:val="en-US"/>
        </w:rPr>
        <w:t>6.1政府采购评审中出现下列情形之一的，评审委员会应当启动异常低价投标（响应）审查程序：</w:t>
      </w:r>
    </w:p>
    <w:p w14:paraId="3A81C729">
      <w:pPr>
        <w:pStyle w:val="20"/>
        <w:rPr>
          <w:rFonts w:hint="eastAsia" w:cs="宋体"/>
          <w:color w:val="auto"/>
          <w:szCs w:val="24"/>
          <w:highlight w:val="none"/>
          <w:lang w:val="en-US"/>
        </w:rPr>
      </w:pPr>
      <w:r>
        <w:rPr>
          <w:rFonts w:hint="eastAsia" w:cs="宋体"/>
          <w:color w:val="auto"/>
          <w:szCs w:val="24"/>
          <w:highlight w:val="none"/>
          <w:lang w:val="en-US"/>
        </w:rPr>
        <w:t>（1）投标（响应）报价低于全部通过符合性审查供应商投标（响应）报价平均值50%的，即投标（响应）报价&lt;全部通过符合性审查供应商投标（响应）报价平均值×50%；</w:t>
      </w:r>
    </w:p>
    <w:p w14:paraId="193BF16E">
      <w:pPr>
        <w:pStyle w:val="20"/>
        <w:rPr>
          <w:rFonts w:hint="eastAsia" w:cs="宋体"/>
          <w:color w:val="auto"/>
          <w:szCs w:val="24"/>
          <w:highlight w:val="none"/>
          <w:lang w:val="en-US"/>
        </w:rPr>
      </w:pPr>
      <w:r>
        <w:rPr>
          <w:rFonts w:hint="eastAsia" w:cs="宋体"/>
          <w:color w:val="auto"/>
          <w:szCs w:val="24"/>
          <w:highlight w:val="none"/>
          <w:lang w:val="en-US"/>
        </w:rPr>
        <w:t>（2）投标（响应）报价低于通过符合性审查的次低报价供应商投标（响应）报价50%的，即投标（响应）报价&lt;通过符合性审查的次低报价供应商投标（响应）报价×50%；</w:t>
      </w:r>
    </w:p>
    <w:p w14:paraId="09E872C9">
      <w:pPr>
        <w:pStyle w:val="20"/>
        <w:rPr>
          <w:rFonts w:hint="eastAsia" w:cs="宋体"/>
          <w:color w:val="auto"/>
          <w:szCs w:val="24"/>
          <w:highlight w:val="none"/>
          <w:lang w:val="en-US"/>
        </w:rPr>
      </w:pPr>
      <w:r>
        <w:rPr>
          <w:rFonts w:hint="eastAsia" w:cs="宋体"/>
          <w:color w:val="auto"/>
          <w:szCs w:val="24"/>
          <w:highlight w:val="none"/>
          <w:lang w:val="en-US"/>
        </w:rPr>
        <w:t>（3）投标（响应）报价低于采购项目最高限价45%的，即投标（响应）报价&lt;采购项目最高限价×45%；</w:t>
      </w:r>
    </w:p>
    <w:p w14:paraId="46C72BCB">
      <w:pPr>
        <w:pStyle w:val="20"/>
        <w:rPr>
          <w:rFonts w:hint="eastAsia" w:cs="宋体"/>
          <w:color w:val="auto"/>
          <w:szCs w:val="24"/>
          <w:highlight w:val="none"/>
          <w:lang w:val="en-US"/>
        </w:rPr>
      </w:pPr>
      <w:r>
        <w:rPr>
          <w:rFonts w:hint="eastAsia" w:cs="宋体"/>
          <w:color w:val="auto"/>
          <w:szCs w:val="24"/>
          <w:highlight w:val="none"/>
          <w:lang w:val="en-US"/>
        </w:rPr>
        <w:t>（4）评审委员会基于专业判断，认为供应商报价过低，有可能影响产品质量或者不能诚信履约的其他情形。</w:t>
      </w:r>
    </w:p>
    <w:p w14:paraId="79A99C01">
      <w:pPr>
        <w:pStyle w:val="20"/>
        <w:rPr>
          <w:rFonts w:hint="eastAsia" w:cs="宋体"/>
          <w:color w:val="auto"/>
          <w:szCs w:val="24"/>
          <w:highlight w:val="none"/>
          <w:lang w:val="en-US"/>
        </w:rPr>
      </w:pPr>
      <w:r>
        <w:rPr>
          <w:rFonts w:hint="eastAsia" w:cs="宋体"/>
          <w:color w:val="auto"/>
          <w:szCs w:val="24"/>
          <w:highlight w:val="none"/>
          <w:lang w:val="en-US"/>
        </w:rPr>
        <w:t>6.2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w:t>
      </w:r>
    </w:p>
    <w:p w14:paraId="70C74449">
      <w:pPr>
        <w:pStyle w:val="20"/>
        <w:rPr>
          <w:rFonts w:hint="eastAsia" w:cs="宋体"/>
          <w:color w:val="auto"/>
          <w:szCs w:val="24"/>
          <w:highlight w:val="none"/>
          <w:lang w:val="en-US"/>
        </w:rPr>
      </w:pPr>
      <w:r>
        <w:rPr>
          <w:rFonts w:hint="eastAsia" w:cs="宋体"/>
          <w:color w:val="auto"/>
          <w:szCs w:val="24"/>
          <w:highlight w:val="none"/>
          <w:lang w:val="en-US"/>
        </w:rPr>
        <w:t>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w:t>
      </w:r>
    </w:p>
    <w:p w14:paraId="790E396D">
      <w:pPr>
        <w:pStyle w:val="20"/>
        <w:ind w:firstLineChars="200"/>
        <w:rPr>
          <w:rFonts w:hint="eastAsia" w:cs="宋体"/>
          <w:color w:val="auto"/>
          <w:szCs w:val="24"/>
          <w:highlight w:val="none"/>
          <w:lang w:val="en-US"/>
        </w:rPr>
      </w:pPr>
      <w:r>
        <w:rPr>
          <w:rFonts w:hint="eastAsia" w:cs="宋体"/>
          <w:color w:val="auto"/>
          <w:szCs w:val="24"/>
          <w:highlight w:val="none"/>
          <w:lang w:val="en-US"/>
        </w:rPr>
        <w:t>投标（响应）供应商不能提供书面说明、证明材料，或者提供的书面说明、证明材料不能证明其报价合理性的，评审委员会应当将其作为无效投标（响应）处理。</w:t>
      </w:r>
    </w:p>
    <w:p w14:paraId="7593856A">
      <w:pPr>
        <w:pStyle w:val="20"/>
        <w:ind w:firstLineChars="200"/>
        <w:rPr>
          <w:rFonts w:hint="eastAsia" w:cs="宋体"/>
          <w:color w:val="auto"/>
          <w:szCs w:val="24"/>
          <w:highlight w:val="none"/>
          <w:lang w:val="en-US"/>
        </w:rPr>
      </w:pPr>
      <w:r>
        <w:rPr>
          <w:rFonts w:hint="eastAsia" w:cs="宋体"/>
          <w:color w:val="auto"/>
          <w:szCs w:val="24"/>
          <w:highlight w:val="none"/>
          <w:lang w:val="en-US"/>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cs="宋体"/>
          <w:b/>
          <w:bCs/>
          <w:color w:val="auto"/>
          <w:szCs w:val="24"/>
          <w:highlight w:val="none"/>
          <w:lang w:val="en-US"/>
        </w:rPr>
        <w:t>投标无效</w:t>
      </w:r>
      <w:r>
        <w:rPr>
          <w:rFonts w:hint="eastAsia" w:cs="宋体"/>
          <w:color w:val="auto"/>
          <w:szCs w:val="24"/>
          <w:highlight w:val="none"/>
          <w:lang w:val="en-US"/>
        </w:rPr>
        <w:t>。</w:t>
      </w:r>
    </w:p>
    <w:p w14:paraId="6053C150">
      <w:pPr>
        <w:pStyle w:val="20"/>
        <w:ind w:firstLineChars="200"/>
        <w:rPr>
          <w:rFonts w:hint="eastAsia" w:cs="宋体"/>
          <w:color w:val="auto"/>
          <w:szCs w:val="24"/>
          <w:highlight w:val="none"/>
          <w:lang w:val="en-US"/>
        </w:rPr>
      </w:pPr>
      <w:r>
        <w:rPr>
          <w:rFonts w:hint="eastAsia" w:cs="宋体"/>
          <w:color w:val="auto"/>
          <w:szCs w:val="24"/>
          <w:highlight w:val="none"/>
          <w:lang w:val="en-US"/>
        </w:rPr>
        <w:t>8.投标文件报价出现前后不一致的，除招标文件另有规定外，按照下列规定修正：</w:t>
      </w:r>
    </w:p>
    <w:p w14:paraId="44FFFEE5">
      <w:pPr>
        <w:pStyle w:val="20"/>
        <w:ind w:firstLineChars="200"/>
        <w:rPr>
          <w:rFonts w:hint="eastAsia" w:cs="宋体"/>
          <w:color w:val="auto"/>
          <w:szCs w:val="24"/>
          <w:highlight w:val="none"/>
          <w:lang w:val="en-US"/>
        </w:rPr>
      </w:pPr>
      <w:r>
        <w:rPr>
          <w:rFonts w:hint="eastAsia" w:cs="宋体"/>
          <w:color w:val="auto"/>
          <w:szCs w:val="24"/>
          <w:highlight w:val="none"/>
          <w:lang w:val="en-US"/>
        </w:rPr>
        <w:t>8.1投标文件中开标一览表（报价表）内容与投标文件中相应内容不一致的，以开标一览表（报价表）为准；</w:t>
      </w:r>
    </w:p>
    <w:p w14:paraId="4701B8BC">
      <w:pPr>
        <w:pStyle w:val="20"/>
        <w:ind w:firstLineChars="200"/>
        <w:rPr>
          <w:rFonts w:hint="eastAsia" w:cs="宋体"/>
          <w:color w:val="auto"/>
          <w:szCs w:val="24"/>
          <w:highlight w:val="none"/>
          <w:lang w:val="en-US"/>
        </w:rPr>
      </w:pPr>
      <w:r>
        <w:rPr>
          <w:rFonts w:hint="eastAsia" w:cs="宋体"/>
          <w:color w:val="auto"/>
          <w:szCs w:val="24"/>
          <w:highlight w:val="none"/>
          <w:lang w:val="en-US"/>
        </w:rPr>
        <w:t>8.2大写金额和小写金额不一致的，以大写金额为准；</w:t>
      </w:r>
    </w:p>
    <w:p w14:paraId="39D4BEE5">
      <w:pPr>
        <w:pStyle w:val="20"/>
        <w:ind w:firstLineChars="200"/>
        <w:rPr>
          <w:rFonts w:hint="eastAsia" w:cs="宋体"/>
          <w:color w:val="auto"/>
          <w:szCs w:val="24"/>
          <w:highlight w:val="none"/>
          <w:lang w:val="en-US"/>
        </w:rPr>
      </w:pPr>
      <w:r>
        <w:rPr>
          <w:rFonts w:hint="eastAsia" w:cs="宋体"/>
          <w:color w:val="auto"/>
          <w:szCs w:val="24"/>
          <w:highlight w:val="none"/>
          <w:lang w:val="en-US"/>
        </w:rPr>
        <w:t>8.3单价金额小数点或者百分比有明显错位的，以开标一览表的总价为准，并修改单价；</w:t>
      </w:r>
    </w:p>
    <w:p w14:paraId="407C0D5E">
      <w:pPr>
        <w:pStyle w:val="20"/>
        <w:ind w:firstLineChars="200"/>
        <w:rPr>
          <w:rFonts w:hint="eastAsia" w:cs="宋体"/>
          <w:color w:val="auto"/>
          <w:szCs w:val="24"/>
          <w:highlight w:val="none"/>
          <w:lang w:val="en-US"/>
        </w:rPr>
      </w:pPr>
      <w:r>
        <w:rPr>
          <w:rFonts w:hint="eastAsia" w:cs="宋体"/>
          <w:color w:val="auto"/>
          <w:szCs w:val="24"/>
          <w:highlight w:val="none"/>
          <w:lang w:val="en-US"/>
        </w:rPr>
        <w:t>8.4总价金额与按单价汇总金额不一致的，以单价金额计算结果为准。</w:t>
      </w:r>
    </w:p>
    <w:p w14:paraId="7E0C08DE">
      <w:pPr>
        <w:pStyle w:val="20"/>
        <w:ind w:firstLineChars="200"/>
        <w:rPr>
          <w:rFonts w:hint="eastAsia" w:cs="宋体"/>
          <w:color w:val="auto"/>
          <w:szCs w:val="24"/>
          <w:highlight w:val="none"/>
          <w:lang w:val="en-US"/>
        </w:rPr>
      </w:pPr>
      <w:r>
        <w:rPr>
          <w:rFonts w:hint="eastAsia" w:cs="宋体"/>
          <w:color w:val="auto"/>
          <w:szCs w:val="24"/>
          <w:highlight w:val="none"/>
          <w:lang w:val="en-US"/>
        </w:rPr>
        <w:t>同时出现两种以上不一致的，按照8.1—8.4的顺序修正。修正后的报价采用书面形式，并加盖公章，或者由法定代表人或其授权的代表签字，经投标人确认后产生约束力，投标人不确认的，其</w:t>
      </w:r>
      <w:r>
        <w:rPr>
          <w:rFonts w:hint="eastAsia" w:cs="宋体"/>
          <w:b/>
          <w:bCs/>
          <w:color w:val="auto"/>
          <w:szCs w:val="24"/>
          <w:highlight w:val="none"/>
          <w:lang w:val="en-US"/>
        </w:rPr>
        <w:t>投标无效</w:t>
      </w:r>
      <w:r>
        <w:rPr>
          <w:rFonts w:hint="eastAsia" w:cs="宋体"/>
          <w:color w:val="auto"/>
          <w:szCs w:val="24"/>
          <w:highlight w:val="none"/>
          <w:lang w:val="en-US"/>
        </w:rPr>
        <w:t>。</w:t>
      </w:r>
    </w:p>
    <w:p w14:paraId="3CBC70C0">
      <w:pPr>
        <w:pStyle w:val="6"/>
        <w:spacing w:before="160" w:after="160" w:line="360" w:lineRule="auto"/>
        <w:ind w:left="420" w:hanging="420"/>
        <w:rPr>
          <w:rFonts w:hint="eastAsia" w:cs="宋体"/>
          <w:color w:val="auto"/>
          <w:sz w:val="24"/>
          <w:szCs w:val="24"/>
          <w:highlight w:val="none"/>
          <w:lang w:val="zh-CN"/>
        </w:rPr>
      </w:pPr>
      <w:r>
        <w:rPr>
          <w:rFonts w:hint="eastAsia" w:cs="宋体"/>
          <w:color w:val="auto"/>
          <w:sz w:val="24"/>
          <w:szCs w:val="24"/>
          <w:highlight w:val="none"/>
          <w:lang w:val="zh-CN"/>
        </w:rPr>
        <w:t>（</w:t>
      </w:r>
      <w:r>
        <w:rPr>
          <w:rFonts w:hint="eastAsia" w:cs="宋体"/>
          <w:color w:val="auto"/>
          <w:sz w:val="24"/>
          <w:szCs w:val="24"/>
          <w:highlight w:val="none"/>
        </w:rPr>
        <w:t>三</w:t>
      </w:r>
      <w:r>
        <w:rPr>
          <w:rFonts w:hint="eastAsia" w:cs="宋体"/>
          <w:color w:val="auto"/>
          <w:sz w:val="24"/>
          <w:szCs w:val="24"/>
          <w:highlight w:val="none"/>
          <w:lang w:val="zh-CN"/>
        </w:rPr>
        <w:t>）比较与评价</w:t>
      </w:r>
    </w:p>
    <w:p w14:paraId="2F898B8F">
      <w:pPr>
        <w:pStyle w:val="20"/>
        <w:rPr>
          <w:rFonts w:hint="eastAsia" w:cs="宋体"/>
          <w:color w:val="auto"/>
          <w:szCs w:val="24"/>
          <w:highlight w:val="none"/>
        </w:rPr>
      </w:pPr>
      <w:r>
        <w:rPr>
          <w:rFonts w:hint="eastAsia" w:cs="宋体"/>
          <w:color w:val="auto"/>
          <w:szCs w:val="24"/>
          <w:highlight w:val="none"/>
          <w:lang w:val="en-US"/>
        </w:rPr>
        <w:t>9.</w:t>
      </w:r>
      <w:r>
        <w:rPr>
          <w:rFonts w:hint="eastAsia" w:cs="宋体"/>
          <w:color w:val="auto"/>
          <w:szCs w:val="24"/>
          <w:highlight w:val="none"/>
        </w:rPr>
        <w:t>评标委员会应当按照招标文件中规定的评标方法和标准，对符合性审查合格的投标文件进行商务和技术评</w:t>
      </w:r>
      <w:r>
        <w:rPr>
          <w:rFonts w:hint="eastAsia" w:cs="宋体"/>
          <w:color w:val="auto"/>
          <w:szCs w:val="24"/>
          <w:highlight w:val="none"/>
          <w:lang w:val="en-US"/>
        </w:rPr>
        <w:t>估</w:t>
      </w:r>
      <w:r>
        <w:rPr>
          <w:rFonts w:hint="eastAsia" w:cs="宋体"/>
          <w:color w:val="auto"/>
          <w:szCs w:val="24"/>
          <w:highlight w:val="none"/>
        </w:rPr>
        <w:t>，综合比较与评价</w:t>
      </w:r>
      <w:r>
        <w:rPr>
          <w:rFonts w:hint="eastAsia" w:cs="宋体"/>
          <w:color w:val="auto"/>
          <w:szCs w:val="24"/>
          <w:highlight w:val="none"/>
          <w:lang w:val="en-US"/>
        </w:rPr>
        <w:t>；未通过符合性审查的投标文件不得进入比较与评价</w:t>
      </w:r>
      <w:r>
        <w:rPr>
          <w:rFonts w:hint="eastAsia" w:cs="宋体"/>
          <w:color w:val="auto"/>
          <w:szCs w:val="24"/>
          <w:highlight w:val="none"/>
        </w:rPr>
        <w:t>。评审因素包括投标报价、商务技术以及落实政府采购政策。评审因素及标准见本章“</w:t>
      </w:r>
      <w:r>
        <w:rPr>
          <w:rFonts w:hint="eastAsia" w:cs="宋体"/>
          <w:color w:val="auto"/>
          <w:szCs w:val="24"/>
          <w:highlight w:val="none"/>
          <w:lang w:val="en-US"/>
        </w:rPr>
        <w:t>四、</w:t>
      </w:r>
      <w:r>
        <w:rPr>
          <w:rFonts w:hint="eastAsia" w:cs="宋体"/>
          <w:color w:val="auto"/>
          <w:szCs w:val="24"/>
          <w:highlight w:val="none"/>
        </w:rPr>
        <w:t>评</w:t>
      </w:r>
      <w:r>
        <w:rPr>
          <w:rFonts w:hint="eastAsia" w:cs="宋体"/>
          <w:color w:val="auto"/>
          <w:szCs w:val="24"/>
          <w:highlight w:val="none"/>
          <w:lang w:val="en-US"/>
        </w:rPr>
        <w:t>标</w:t>
      </w:r>
      <w:r>
        <w:rPr>
          <w:rFonts w:hint="eastAsia" w:cs="宋体"/>
          <w:color w:val="auto"/>
          <w:szCs w:val="24"/>
          <w:highlight w:val="none"/>
        </w:rPr>
        <w:t>标准”。</w:t>
      </w:r>
    </w:p>
    <w:p w14:paraId="57B253BD">
      <w:pPr>
        <w:pStyle w:val="20"/>
        <w:rPr>
          <w:rFonts w:hint="eastAsia" w:cs="宋体"/>
          <w:color w:val="auto"/>
          <w:szCs w:val="24"/>
          <w:highlight w:val="none"/>
        </w:rPr>
      </w:pPr>
      <w:r>
        <w:rPr>
          <w:rFonts w:hint="eastAsia" w:cs="宋体"/>
          <w:color w:val="auto"/>
          <w:szCs w:val="24"/>
          <w:highlight w:val="none"/>
          <w:lang w:val="en-US"/>
        </w:rPr>
        <w:t>10.相同品牌处理原则</w:t>
      </w:r>
    </w:p>
    <w:p w14:paraId="4D16E5C8">
      <w:pPr>
        <w:pStyle w:val="20"/>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.1单一产品采购（或非单一产品采购中的核心产品），提供相同品牌产品且通过资格审查、符合性审查的不同投标人参加同一合同项下投标的，按一家投标人计算。</w:t>
      </w:r>
    </w:p>
    <w:p w14:paraId="3D789C31">
      <w:pPr>
        <w:pStyle w:val="20"/>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4A7E5EA3">
      <w:pPr>
        <w:pStyle w:val="20"/>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.3有效投标品牌不足3家的应按</w:t>
      </w:r>
      <w:r>
        <w:rPr>
          <w:rFonts w:hint="eastAsia" w:cs="宋体"/>
          <w:b/>
          <w:bCs/>
          <w:color w:val="auto"/>
          <w:szCs w:val="24"/>
          <w:highlight w:val="none"/>
        </w:rPr>
        <w:t>废标</w:t>
      </w:r>
      <w:r>
        <w:rPr>
          <w:rFonts w:hint="eastAsia" w:cs="宋体"/>
          <w:color w:val="auto"/>
          <w:szCs w:val="24"/>
          <w:highlight w:val="none"/>
        </w:rPr>
        <w:t>处理。</w:t>
      </w:r>
    </w:p>
    <w:p w14:paraId="0EE08C15">
      <w:pPr>
        <w:pStyle w:val="6"/>
        <w:spacing w:before="160" w:after="160" w:line="360" w:lineRule="auto"/>
        <w:ind w:left="420" w:hanging="420"/>
        <w:rPr>
          <w:rFonts w:hint="eastAsia" w:cs="宋体"/>
          <w:color w:val="auto"/>
          <w:sz w:val="24"/>
          <w:szCs w:val="24"/>
          <w:highlight w:val="none"/>
          <w:lang w:val="zh-CN"/>
        </w:rPr>
      </w:pPr>
      <w:r>
        <w:rPr>
          <w:rFonts w:hint="eastAsia" w:cs="宋体"/>
          <w:color w:val="auto"/>
          <w:sz w:val="24"/>
          <w:szCs w:val="24"/>
          <w:highlight w:val="none"/>
          <w:lang w:val="zh-CN"/>
        </w:rPr>
        <w:t>（</w:t>
      </w:r>
      <w:r>
        <w:rPr>
          <w:rFonts w:hint="eastAsia" w:cs="宋体"/>
          <w:color w:val="auto"/>
          <w:sz w:val="24"/>
          <w:szCs w:val="24"/>
          <w:highlight w:val="none"/>
        </w:rPr>
        <w:t>四</w:t>
      </w:r>
      <w:r>
        <w:rPr>
          <w:rFonts w:hint="eastAsia" w:cs="宋体"/>
          <w:color w:val="auto"/>
          <w:sz w:val="24"/>
          <w:szCs w:val="24"/>
          <w:highlight w:val="none"/>
          <w:lang w:val="zh-CN"/>
        </w:rPr>
        <w:t>）报价评审</w:t>
      </w:r>
    </w:p>
    <w:p w14:paraId="2DCAF99B">
      <w:pPr>
        <w:pStyle w:val="20"/>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投标报价评审</w:t>
      </w:r>
    </w:p>
    <w:p w14:paraId="774A41E2">
      <w:pPr>
        <w:pStyle w:val="20"/>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1</w:t>
      </w:r>
      <w:r>
        <w:rPr>
          <w:rFonts w:hint="eastAsia" w:cs="宋体"/>
          <w:color w:val="auto"/>
          <w:szCs w:val="24"/>
          <w:highlight w:val="none"/>
          <w:lang w:val="en-US"/>
        </w:rPr>
        <w:t>货物项目的价格分值占总分值的比重不得低于30%。执行国家统一定价标准和采用固定价格采购的项目，其价格不列为评审因素。</w:t>
      </w:r>
      <w:r>
        <w:rPr>
          <w:rFonts w:hint="eastAsia" w:cs="宋体"/>
          <w:color w:val="auto"/>
          <w:szCs w:val="24"/>
          <w:highlight w:val="none"/>
        </w:rPr>
        <w:t>价格分应当采用低价优先法计算，即满足招标文件要求且投标价格最低的投标报价为评标基准价，其价格分为满分。其他投标人的价格分统一按照下列公式计算：</w:t>
      </w:r>
    </w:p>
    <w:p w14:paraId="08B6EE8A">
      <w:pPr>
        <w:pStyle w:val="20"/>
        <w:rPr>
          <w:rFonts w:hint="eastAsia" w:cs="宋体"/>
          <w:color w:val="auto"/>
          <w:szCs w:val="24"/>
          <w:highlight w:val="none"/>
        </w:rPr>
      </w:pPr>
      <w:r>
        <w:rPr>
          <w:rFonts w:hint="eastAsia" w:cs="宋体"/>
          <w:color w:val="auto"/>
          <w:szCs w:val="24"/>
          <w:highlight w:val="none"/>
        </w:rPr>
        <w:t>投标报价得分=</w:t>
      </w:r>
      <w:r>
        <w:rPr>
          <w:rFonts w:hint="eastAsia" w:cs="宋体"/>
          <w:color w:val="auto"/>
          <w:szCs w:val="24"/>
          <w:highlight w:val="none"/>
          <w:lang w:eastAsia="zh-CN"/>
        </w:rPr>
        <w:t>（</w:t>
      </w:r>
      <w:r>
        <w:rPr>
          <w:rFonts w:hint="eastAsia" w:cs="宋体"/>
          <w:color w:val="auto"/>
          <w:szCs w:val="24"/>
          <w:highlight w:val="none"/>
        </w:rPr>
        <w:t>评标基准价／投标报价</w:t>
      </w:r>
      <w:r>
        <w:rPr>
          <w:rFonts w:hint="eastAsia" w:cs="宋体"/>
          <w:color w:val="auto"/>
          <w:szCs w:val="24"/>
          <w:highlight w:val="none"/>
          <w:lang w:eastAsia="zh-CN"/>
        </w:rPr>
        <w:t>）</w:t>
      </w:r>
      <w:r>
        <w:rPr>
          <w:rFonts w:hint="eastAsia" w:cs="宋体"/>
          <w:color w:val="auto"/>
          <w:szCs w:val="24"/>
          <w:highlight w:val="none"/>
        </w:rPr>
        <w:t>×价格分值</w:t>
      </w:r>
    </w:p>
    <w:p w14:paraId="6FD1431C">
      <w:pPr>
        <w:pStyle w:val="20"/>
        <w:rPr>
          <w:rFonts w:hint="eastAsia" w:cs="宋体"/>
          <w:color w:val="auto"/>
          <w:szCs w:val="24"/>
          <w:highlight w:val="none"/>
        </w:rPr>
      </w:pPr>
      <w:r>
        <w:rPr>
          <w:rFonts w:hint="eastAsia" w:cs="宋体"/>
          <w:color w:val="auto"/>
          <w:szCs w:val="24"/>
          <w:highlight w:val="none"/>
        </w:rPr>
        <w:t>评标过程中，不得去掉报价中的最高报价和最低报价。</w:t>
      </w:r>
    </w:p>
    <w:p w14:paraId="6087ACE9">
      <w:pPr>
        <w:pStyle w:val="20"/>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2</w:t>
      </w:r>
      <w:r>
        <w:rPr>
          <w:rFonts w:hint="eastAsia" w:cs="宋体"/>
          <w:color w:val="auto"/>
          <w:spacing w:val="-6"/>
          <w:szCs w:val="24"/>
          <w:highlight w:val="none"/>
        </w:rPr>
        <w:t>除算术修正和落实政府采购政策的价格扣除外，不对投标报价进行调整；</w:t>
      </w:r>
    </w:p>
    <w:p w14:paraId="310A0141">
      <w:pPr>
        <w:pStyle w:val="20"/>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3价格分值见本章“</w:t>
      </w:r>
      <w:r>
        <w:rPr>
          <w:rFonts w:hint="eastAsia" w:cs="宋体"/>
          <w:color w:val="auto"/>
          <w:szCs w:val="24"/>
          <w:highlight w:val="none"/>
          <w:lang w:val="en-US"/>
        </w:rPr>
        <w:t>四、</w:t>
      </w:r>
      <w:r>
        <w:rPr>
          <w:rFonts w:hint="eastAsia" w:cs="宋体"/>
          <w:color w:val="auto"/>
          <w:szCs w:val="24"/>
          <w:highlight w:val="none"/>
        </w:rPr>
        <w:t>评</w:t>
      </w:r>
      <w:r>
        <w:rPr>
          <w:rFonts w:hint="eastAsia" w:cs="宋体"/>
          <w:color w:val="auto"/>
          <w:szCs w:val="24"/>
          <w:highlight w:val="none"/>
          <w:lang w:val="en-US"/>
        </w:rPr>
        <w:t>标</w:t>
      </w:r>
      <w:r>
        <w:rPr>
          <w:rFonts w:hint="eastAsia" w:cs="宋体"/>
          <w:color w:val="auto"/>
          <w:szCs w:val="24"/>
          <w:highlight w:val="none"/>
        </w:rPr>
        <w:t>标准”。</w:t>
      </w:r>
    </w:p>
    <w:p w14:paraId="615CF901">
      <w:pPr>
        <w:pStyle w:val="20"/>
        <w:rPr>
          <w:rFonts w:hint="eastAsia" w:cs="宋体"/>
          <w:color w:val="auto"/>
          <w:szCs w:val="24"/>
          <w:highlight w:val="none"/>
        </w:rPr>
      </w:pP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.政府采购政策评审</w:t>
      </w:r>
    </w:p>
    <w:p w14:paraId="5E1E497C">
      <w:pPr>
        <w:pStyle w:val="20"/>
        <w:ind w:firstLineChars="200"/>
        <w:rPr>
          <w:rFonts w:hint="eastAsia" w:cs="宋体"/>
          <w:color w:val="auto"/>
          <w:szCs w:val="24"/>
          <w:highlight w:val="none"/>
        </w:rPr>
      </w:pP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.1非专门面向中小企业的采购项目或采购包，对符合规定的小微企业（</w:t>
      </w:r>
      <w:r>
        <w:rPr>
          <w:rFonts w:hint="eastAsia" w:cs="宋体"/>
          <w:color w:val="auto"/>
          <w:szCs w:val="24"/>
          <w:highlight w:val="none"/>
          <w:lang w:val="en-US"/>
        </w:rPr>
        <w:t>含</w:t>
      </w:r>
      <w:r>
        <w:rPr>
          <w:rFonts w:hint="eastAsia" w:cs="宋体"/>
          <w:color w:val="auto"/>
          <w:szCs w:val="24"/>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的报价按照本</w:t>
      </w:r>
      <w:r>
        <w:rPr>
          <w:rFonts w:hint="eastAsia" w:cs="宋体"/>
          <w:color w:val="auto"/>
          <w:szCs w:val="24"/>
          <w:highlight w:val="none"/>
          <w:lang w:val="en-US"/>
        </w:rPr>
        <w:t>招标</w:t>
      </w:r>
      <w:r>
        <w:rPr>
          <w:rFonts w:hint="eastAsia" w:cs="宋体"/>
          <w:color w:val="auto"/>
          <w:szCs w:val="24"/>
          <w:highlight w:val="none"/>
        </w:rPr>
        <w:t>文件“</w:t>
      </w:r>
      <w:r>
        <w:rPr>
          <w:rFonts w:hint="eastAsia" w:cs="宋体"/>
          <w:color w:val="auto"/>
          <w:szCs w:val="24"/>
          <w:highlight w:val="none"/>
          <w:lang w:val="en-US"/>
        </w:rPr>
        <w:t>投标人</w:t>
      </w:r>
      <w:r>
        <w:rPr>
          <w:rFonts w:hint="eastAsia" w:cs="宋体"/>
          <w:color w:val="auto"/>
          <w:szCs w:val="24"/>
          <w:highlight w:val="none"/>
        </w:rPr>
        <w:t>须知前附表”中的规定扣除，用扣除后的价格</w:t>
      </w:r>
      <w:r>
        <w:rPr>
          <w:rFonts w:hint="eastAsia" w:cs="宋体"/>
          <w:color w:val="auto"/>
          <w:szCs w:val="24"/>
          <w:highlight w:val="none"/>
          <w:lang w:val="en-US"/>
        </w:rPr>
        <w:t>参与</w:t>
      </w:r>
      <w:r>
        <w:rPr>
          <w:rFonts w:hint="eastAsia" w:cs="宋体"/>
          <w:color w:val="auto"/>
          <w:szCs w:val="24"/>
          <w:highlight w:val="none"/>
        </w:rPr>
        <w:t>评审，采购产品纳入创新产品应用示范推荐目录内企业、采购产品获得节能产品或环境标志产品认证证书</w:t>
      </w:r>
      <w:r>
        <w:rPr>
          <w:rFonts w:hint="eastAsia" w:cs="宋体"/>
          <w:color w:val="auto"/>
          <w:szCs w:val="24"/>
          <w:highlight w:val="none"/>
          <w:lang w:val="en-US"/>
        </w:rPr>
        <w:t>的投标人</w:t>
      </w:r>
      <w:r>
        <w:rPr>
          <w:rFonts w:hint="eastAsia" w:cs="宋体"/>
          <w:color w:val="auto"/>
          <w:szCs w:val="24"/>
          <w:highlight w:val="none"/>
        </w:rPr>
        <w:t>按照本</w:t>
      </w:r>
      <w:r>
        <w:rPr>
          <w:rFonts w:hint="eastAsia" w:cs="宋体"/>
          <w:color w:val="auto"/>
          <w:szCs w:val="24"/>
          <w:highlight w:val="none"/>
          <w:lang w:val="en-US"/>
        </w:rPr>
        <w:t>招标</w:t>
      </w:r>
      <w:r>
        <w:rPr>
          <w:rFonts w:hint="eastAsia" w:cs="宋体"/>
          <w:color w:val="auto"/>
          <w:szCs w:val="24"/>
          <w:highlight w:val="none"/>
        </w:rPr>
        <w:t>文件“</w:t>
      </w:r>
      <w:r>
        <w:rPr>
          <w:rFonts w:hint="eastAsia" w:cs="宋体"/>
          <w:color w:val="auto"/>
          <w:szCs w:val="24"/>
          <w:highlight w:val="none"/>
          <w:lang w:val="en-US"/>
        </w:rPr>
        <w:t>投标人</w:t>
      </w:r>
      <w:r>
        <w:rPr>
          <w:rFonts w:hint="eastAsia" w:cs="宋体"/>
          <w:color w:val="auto"/>
          <w:szCs w:val="24"/>
          <w:highlight w:val="none"/>
        </w:rPr>
        <w:t>须知前附表”中的规定</w:t>
      </w:r>
      <w:r>
        <w:rPr>
          <w:rFonts w:hint="eastAsia" w:cs="宋体"/>
          <w:color w:val="auto"/>
          <w:szCs w:val="24"/>
          <w:highlight w:val="none"/>
          <w:lang w:val="en-US"/>
        </w:rPr>
        <w:t>给予评审优惠</w:t>
      </w:r>
      <w:r>
        <w:rPr>
          <w:rFonts w:hint="eastAsia" w:cs="宋体"/>
          <w:color w:val="auto"/>
          <w:szCs w:val="24"/>
          <w:highlight w:val="none"/>
        </w:rPr>
        <w:t>。</w:t>
      </w:r>
    </w:p>
    <w:p w14:paraId="289D8691">
      <w:pPr>
        <w:pStyle w:val="20"/>
        <w:ind w:firstLineChars="200"/>
        <w:rPr>
          <w:rFonts w:hint="eastAsia" w:cs="宋体"/>
          <w:color w:val="auto"/>
          <w:szCs w:val="24"/>
          <w:highlight w:val="none"/>
        </w:rPr>
      </w:pPr>
      <w:r>
        <w:rPr>
          <w:rFonts w:hint="eastAsia" w:cs="宋体"/>
          <w:color w:val="auto"/>
          <w:szCs w:val="24"/>
          <w:highlight w:val="none"/>
          <w:lang w:val="en-US"/>
        </w:rPr>
        <w:t>12.</w:t>
      </w:r>
      <w:r>
        <w:rPr>
          <w:rFonts w:hint="eastAsia" w:cs="宋体"/>
          <w:color w:val="auto"/>
          <w:szCs w:val="24"/>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s="宋体"/>
          <w:color w:val="auto"/>
          <w:szCs w:val="24"/>
          <w:highlight w:val="none"/>
          <w:lang w:val="en-US"/>
        </w:rPr>
        <w:t>若供应商同时属于小型或微型企业、监狱企业、残疾人福利性单位 中的两种及以上，将不重复享受小微企业价格扣减的优惠政策。</w:t>
      </w:r>
    </w:p>
    <w:p w14:paraId="41E804B7">
      <w:pPr>
        <w:pStyle w:val="20"/>
        <w:shd w:val="clear" w:color="auto" w:fill="FFFFFF" w:themeFill="background1"/>
        <w:ind w:firstLineChars="200"/>
        <w:rPr>
          <w:rFonts w:hint="eastAsia" w:cs="宋体"/>
          <w:color w:val="auto"/>
          <w:szCs w:val="24"/>
          <w:highlight w:val="none"/>
          <w:lang w:val="en-US"/>
        </w:rPr>
      </w:pPr>
      <w:r>
        <w:rPr>
          <w:rFonts w:hint="eastAsia" w:cs="宋体"/>
          <w:color w:val="auto"/>
          <w:szCs w:val="24"/>
          <w:highlight w:val="none"/>
          <w:lang w:val="en-US"/>
        </w:rPr>
        <w:t>组成联合体或者接受分包的小微企业与联合体内其他企业、分包企业之间存在直接控股、管理关系的，不享受价格扣除优惠政策。</w:t>
      </w:r>
    </w:p>
    <w:p w14:paraId="676B7C84">
      <w:pPr>
        <w:pStyle w:val="20"/>
        <w:ind w:firstLineChars="200"/>
        <w:rPr>
          <w:rFonts w:hint="eastAsia" w:cs="宋体"/>
          <w:color w:val="auto"/>
          <w:szCs w:val="24"/>
          <w:highlight w:val="none"/>
        </w:rPr>
      </w:pPr>
      <w:r>
        <w:rPr>
          <w:rFonts w:hint="eastAsia" w:cs="宋体"/>
          <w:color w:val="auto"/>
          <w:szCs w:val="24"/>
          <w:highlight w:val="none"/>
          <w:lang w:val="en-US"/>
        </w:rPr>
        <w:t>价格扣除比例对小型企业和微型企业同等对待，不作区分。</w:t>
      </w:r>
    </w:p>
    <w:p w14:paraId="28CBAB10">
      <w:pPr>
        <w:pStyle w:val="20"/>
        <w:rPr>
          <w:rFonts w:hint="eastAsia" w:cs="宋体"/>
          <w:color w:val="auto"/>
          <w:szCs w:val="24"/>
          <w:highlight w:val="none"/>
        </w:rPr>
      </w:pPr>
      <w:r>
        <w:rPr>
          <w:rFonts w:hint="eastAsia" w:cs="宋体"/>
          <w:color w:val="auto"/>
          <w:szCs w:val="24"/>
          <w:highlight w:val="none"/>
          <w:lang w:val="en-US"/>
        </w:rPr>
        <w:t>12.</w:t>
      </w:r>
      <w:r>
        <w:rPr>
          <w:rFonts w:hint="eastAsia" w:cs="宋体"/>
          <w:color w:val="auto"/>
          <w:szCs w:val="24"/>
          <w:highlight w:val="none"/>
        </w:rPr>
        <w:t>3专门面向中小企业、预留部分采购份额面向中小企业采购的项目或采购包，评审时不再进行价格扣除。</w:t>
      </w:r>
    </w:p>
    <w:p w14:paraId="18FC81CA">
      <w:pPr>
        <w:pStyle w:val="20"/>
        <w:rPr>
          <w:rFonts w:hint="eastAsia" w:cs="宋体"/>
          <w:color w:val="auto"/>
          <w:szCs w:val="24"/>
          <w:highlight w:val="none"/>
        </w:rPr>
      </w:pPr>
      <w:r>
        <w:rPr>
          <w:rFonts w:hint="eastAsia" w:cs="宋体"/>
          <w:color w:val="auto"/>
          <w:szCs w:val="24"/>
          <w:highlight w:val="none"/>
          <w:lang w:val="en-US"/>
        </w:rPr>
        <w:t>12.4</w:t>
      </w:r>
      <w:r>
        <w:rPr>
          <w:rFonts w:hint="eastAsia" w:cs="宋体"/>
          <w:color w:val="auto"/>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cs="宋体"/>
          <w:color w:val="auto"/>
          <w:szCs w:val="24"/>
          <w:highlight w:val="none"/>
          <w:lang w:val="en-US"/>
        </w:rPr>
        <w:t>体</w:t>
      </w:r>
      <w:r>
        <w:rPr>
          <w:rFonts w:hint="eastAsia" w:cs="宋体"/>
          <w:color w:val="auto"/>
          <w:szCs w:val="24"/>
          <w:highlight w:val="none"/>
        </w:rPr>
        <w:t>协议</w:t>
      </w:r>
      <w:r>
        <w:rPr>
          <w:rFonts w:hint="eastAsia" w:cs="宋体"/>
          <w:color w:val="auto"/>
          <w:szCs w:val="24"/>
          <w:highlight w:val="none"/>
          <w:lang w:val="en-US"/>
        </w:rPr>
        <w:t>书</w:t>
      </w:r>
      <w:r>
        <w:rPr>
          <w:rFonts w:hint="eastAsia" w:cs="宋体"/>
          <w:color w:val="auto"/>
          <w:szCs w:val="24"/>
          <w:highlight w:val="none"/>
        </w:rPr>
        <w:t>或者分包意向协议</w:t>
      </w:r>
      <w:r>
        <w:rPr>
          <w:rFonts w:hint="eastAsia" w:cs="宋体"/>
          <w:color w:val="auto"/>
          <w:szCs w:val="24"/>
          <w:highlight w:val="none"/>
          <w:lang w:val="en-US"/>
        </w:rPr>
        <w:t>书</w:t>
      </w:r>
      <w:r>
        <w:rPr>
          <w:rFonts w:hint="eastAsia" w:cs="宋体"/>
          <w:color w:val="auto"/>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883E927">
      <w:pPr>
        <w:pStyle w:val="6"/>
        <w:spacing w:before="160" w:after="160" w:line="360" w:lineRule="auto"/>
        <w:ind w:left="420" w:hanging="420"/>
        <w:rPr>
          <w:rFonts w:hint="eastAsia" w:cs="宋体"/>
          <w:color w:val="auto"/>
          <w:sz w:val="24"/>
          <w:szCs w:val="24"/>
          <w:highlight w:val="none"/>
          <w:lang w:val="zh-CN"/>
        </w:rPr>
      </w:pPr>
      <w:r>
        <w:rPr>
          <w:rFonts w:hint="eastAsia" w:cs="宋体"/>
          <w:color w:val="auto"/>
          <w:sz w:val="24"/>
          <w:szCs w:val="24"/>
          <w:highlight w:val="none"/>
          <w:lang w:val="zh-CN"/>
        </w:rPr>
        <w:t>（</w:t>
      </w:r>
      <w:r>
        <w:rPr>
          <w:rFonts w:hint="eastAsia" w:cs="宋体"/>
          <w:color w:val="auto"/>
          <w:sz w:val="24"/>
          <w:szCs w:val="24"/>
          <w:highlight w:val="none"/>
        </w:rPr>
        <w:t>五</w:t>
      </w:r>
      <w:r>
        <w:rPr>
          <w:rFonts w:hint="eastAsia" w:cs="宋体"/>
          <w:color w:val="auto"/>
          <w:sz w:val="24"/>
          <w:szCs w:val="24"/>
          <w:highlight w:val="none"/>
          <w:lang w:val="zh-CN"/>
        </w:rPr>
        <w:t>）评标得分及复核</w:t>
      </w:r>
    </w:p>
    <w:p w14:paraId="70725009">
      <w:pPr>
        <w:pStyle w:val="20"/>
        <w:rPr>
          <w:rFonts w:hint="eastAsia" w:cs="宋体"/>
          <w:color w:val="auto"/>
          <w:szCs w:val="24"/>
          <w:highlight w:val="none"/>
        </w:rPr>
      </w:pPr>
      <w:r>
        <w:rPr>
          <w:rFonts w:hint="eastAsia" w:cs="宋体"/>
          <w:color w:val="auto"/>
          <w:szCs w:val="24"/>
          <w:highlight w:val="none"/>
          <w:lang w:val="en-US"/>
        </w:rPr>
        <w:t>13.</w:t>
      </w:r>
      <w:r>
        <w:rPr>
          <w:rFonts w:hint="eastAsia" w:cs="宋体"/>
          <w:color w:val="auto"/>
          <w:szCs w:val="24"/>
          <w:highlight w:val="none"/>
        </w:rPr>
        <w:t>评标过程中，各项分值一般精确到小数点后两位，评标得分应为商务评分、技术评分、报价评分之和。评标委员会各成员应汇总每个投标人的得分。</w:t>
      </w:r>
    </w:p>
    <w:p w14:paraId="7A596C08">
      <w:pPr>
        <w:pStyle w:val="20"/>
        <w:rPr>
          <w:rFonts w:hint="eastAsia" w:cs="宋体"/>
          <w:color w:val="auto"/>
          <w:szCs w:val="24"/>
          <w:highlight w:val="none"/>
        </w:rPr>
      </w:pPr>
      <w:r>
        <w:rPr>
          <w:rFonts w:hint="eastAsia" w:cs="宋体"/>
          <w:color w:val="auto"/>
          <w:szCs w:val="24"/>
          <w:highlight w:val="none"/>
          <w:lang w:val="en-US"/>
        </w:rPr>
        <w:t>14.</w:t>
      </w:r>
      <w:r>
        <w:rPr>
          <w:rFonts w:hint="eastAsia" w:cs="宋体"/>
          <w:color w:val="auto"/>
          <w:spacing w:val="-6"/>
          <w:szCs w:val="24"/>
          <w:highlight w:val="none"/>
        </w:rPr>
        <w:t>评标结果汇总完成后，采购代理机构应对评标结果进行复核。经复核发现存在以下情形之一的，评标委员会应当当场修改评标结果，并在评标报告中记载：</w:t>
      </w:r>
    </w:p>
    <w:p w14:paraId="06EED05F">
      <w:pPr>
        <w:pStyle w:val="20"/>
        <w:ind w:left="900" w:hanging="420"/>
        <w:rPr>
          <w:rFonts w:hint="eastAsia" w:cs="宋体"/>
          <w:color w:val="auto"/>
          <w:szCs w:val="24"/>
          <w:highlight w:val="none"/>
        </w:rPr>
      </w:pPr>
      <w:r>
        <w:rPr>
          <w:rFonts w:hint="eastAsia" w:cs="宋体"/>
          <w:color w:val="auto"/>
          <w:szCs w:val="24"/>
          <w:highlight w:val="none"/>
          <w:lang w:val="en-US"/>
        </w:rPr>
        <w:t>14.1</w:t>
      </w:r>
      <w:r>
        <w:rPr>
          <w:rFonts w:hint="eastAsia" w:cs="宋体"/>
          <w:color w:val="auto"/>
          <w:szCs w:val="24"/>
          <w:highlight w:val="none"/>
        </w:rPr>
        <w:t>分值汇总计算错误的；</w:t>
      </w:r>
    </w:p>
    <w:p w14:paraId="18DD4DC6">
      <w:pPr>
        <w:pStyle w:val="20"/>
        <w:ind w:left="900" w:hanging="420"/>
        <w:rPr>
          <w:rFonts w:hint="eastAsia" w:cs="宋体"/>
          <w:color w:val="auto"/>
          <w:szCs w:val="24"/>
          <w:highlight w:val="none"/>
        </w:rPr>
      </w:pPr>
      <w:r>
        <w:rPr>
          <w:rFonts w:hint="eastAsia" w:cs="宋体"/>
          <w:color w:val="auto"/>
          <w:szCs w:val="24"/>
          <w:highlight w:val="none"/>
          <w:lang w:val="en-US"/>
        </w:rPr>
        <w:t>14.2</w:t>
      </w:r>
      <w:r>
        <w:rPr>
          <w:rFonts w:hint="eastAsia" w:cs="宋体"/>
          <w:color w:val="auto"/>
          <w:szCs w:val="24"/>
          <w:highlight w:val="none"/>
        </w:rPr>
        <w:t>分项评分超出评分标准范围的；</w:t>
      </w:r>
    </w:p>
    <w:p w14:paraId="648556EC">
      <w:pPr>
        <w:pStyle w:val="20"/>
        <w:ind w:left="900" w:hanging="420"/>
        <w:rPr>
          <w:rFonts w:hint="eastAsia" w:cs="宋体"/>
          <w:color w:val="auto"/>
          <w:szCs w:val="24"/>
          <w:highlight w:val="none"/>
        </w:rPr>
      </w:pPr>
      <w:r>
        <w:rPr>
          <w:rFonts w:hint="eastAsia" w:cs="宋体"/>
          <w:color w:val="auto"/>
          <w:szCs w:val="24"/>
          <w:highlight w:val="none"/>
          <w:lang w:val="en-US"/>
        </w:rPr>
        <w:t>14.3</w:t>
      </w:r>
      <w:r>
        <w:rPr>
          <w:rFonts w:hint="eastAsia" w:cs="宋体"/>
          <w:color w:val="auto"/>
          <w:szCs w:val="24"/>
          <w:highlight w:val="none"/>
        </w:rPr>
        <w:t>评标委员会成员对客观评审因素评分不一致的；</w:t>
      </w:r>
    </w:p>
    <w:p w14:paraId="7AF948A0">
      <w:pPr>
        <w:pStyle w:val="20"/>
        <w:ind w:left="900" w:hanging="420"/>
        <w:rPr>
          <w:rFonts w:hint="eastAsia" w:cs="宋体"/>
          <w:color w:val="auto"/>
          <w:szCs w:val="24"/>
          <w:highlight w:val="none"/>
        </w:rPr>
      </w:pPr>
      <w:r>
        <w:rPr>
          <w:rFonts w:hint="eastAsia" w:cs="宋体"/>
          <w:color w:val="auto"/>
          <w:szCs w:val="24"/>
          <w:highlight w:val="none"/>
          <w:lang w:val="en-US"/>
        </w:rPr>
        <w:t>14.4</w:t>
      </w:r>
      <w:r>
        <w:rPr>
          <w:rFonts w:hint="eastAsia" w:cs="宋体"/>
          <w:color w:val="auto"/>
          <w:szCs w:val="24"/>
          <w:highlight w:val="none"/>
        </w:rPr>
        <w:t>经评标委员会认定评分畸高、畸低的。</w:t>
      </w:r>
    </w:p>
    <w:p w14:paraId="7B893B51">
      <w:pPr>
        <w:pStyle w:val="20"/>
        <w:rPr>
          <w:rFonts w:hint="eastAsia" w:cs="宋体"/>
          <w:color w:val="auto"/>
          <w:szCs w:val="24"/>
          <w:highlight w:val="none"/>
        </w:rPr>
      </w:pPr>
      <w:r>
        <w:rPr>
          <w:rFonts w:hint="eastAsia" w:cs="宋体"/>
          <w:color w:val="auto"/>
          <w:szCs w:val="24"/>
          <w:highlight w:val="none"/>
          <w:lang w:val="en-US"/>
        </w:rPr>
        <w:t>15.</w:t>
      </w:r>
      <w:r>
        <w:rPr>
          <w:rFonts w:hint="eastAsia" w:cs="宋体"/>
          <w:color w:val="auto"/>
          <w:szCs w:val="24"/>
          <w:highlight w:val="none"/>
        </w:rPr>
        <w:t>各投标人的最终得分为评标委员会所有成员对各投标人评标得分汇总后的算术平均值。</w:t>
      </w:r>
    </w:p>
    <w:p w14:paraId="4B537938">
      <w:pPr>
        <w:pStyle w:val="20"/>
        <w:rPr>
          <w:rFonts w:hint="eastAsia" w:cs="宋体"/>
          <w:color w:val="auto"/>
          <w:szCs w:val="24"/>
          <w:highlight w:val="none"/>
          <w:lang w:val="en-US"/>
        </w:rPr>
      </w:pPr>
      <w:r>
        <w:rPr>
          <w:rFonts w:hint="eastAsia" w:cs="宋体"/>
          <w:color w:val="auto"/>
          <w:szCs w:val="24"/>
          <w:highlight w:val="none"/>
          <w:lang w:val="en-US"/>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56CABAF3">
      <w:pPr>
        <w:pStyle w:val="20"/>
        <w:rPr>
          <w:rFonts w:hint="eastAsia" w:cs="宋体"/>
          <w:color w:val="auto"/>
          <w:szCs w:val="24"/>
          <w:highlight w:val="none"/>
          <w:lang w:val="en-US"/>
        </w:rPr>
      </w:pPr>
      <w:r>
        <w:rPr>
          <w:rFonts w:hint="eastAsia" w:cs="宋体"/>
          <w:color w:val="auto"/>
          <w:szCs w:val="24"/>
          <w:highlight w:val="none"/>
          <w:lang w:val="en-US"/>
        </w:rPr>
        <w:t>15.2采购人或者采购代理机构不得通过对样品进行检测、对投标人进行考察等方式改变评审结果。</w:t>
      </w:r>
    </w:p>
    <w:p w14:paraId="717A591F">
      <w:pPr>
        <w:pStyle w:val="6"/>
        <w:spacing w:before="160" w:after="160" w:line="360" w:lineRule="auto"/>
        <w:ind w:left="420" w:hanging="420"/>
        <w:rPr>
          <w:rFonts w:hint="eastAsia" w:cs="宋体"/>
          <w:color w:val="auto"/>
          <w:sz w:val="24"/>
          <w:szCs w:val="24"/>
          <w:highlight w:val="none"/>
          <w:lang w:val="zh-CN"/>
        </w:rPr>
      </w:pPr>
      <w:r>
        <w:rPr>
          <w:rFonts w:hint="eastAsia" w:cs="宋体"/>
          <w:color w:val="auto"/>
          <w:sz w:val="24"/>
          <w:szCs w:val="24"/>
          <w:highlight w:val="none"/>
          <w:lang w:val="zh-CN"/>
        </w:rPr>
        <w:t>（</w:t>
      </w:r>
      <w:r>
        <w:rPr>
          <w:rFonts w:hint="eastAsia" w:cs="宋体"/>
          <w:color w:val="auto"/>
          <w:sz w:val="24"/>
          <w:szCs w:val="24"/>
          <w:highlight w:val="none"/>
        </w:rPr>
        <w:t>六</w:t>
      </w:r>
      <w:r>
        <w:rPr>
          <w:rFonts w:hint="eastAsia" w:cs="宋体"/>
          <w:color w:val="auto"/>
          <w:sz w:val="24"/>
          <w:szCs w:val="24"/>
          <w:highlight w:val="none"/>
          <w:lang w:val="zh-CN"/>
        </w:rPr>
        <w:t>）排序与推荐</w:t>
      </w:r>
    </w:p>
    <w:p w14:paraId="422D580A">
      <w:pPr>
        <w:pStyle w:val="20"/>
        <w:rPr>
          <w:rFonts w:hint="eastAsia" w:cs="宋体"/>
          <w:color w:val="auto"/>
          <w:szCs w:val="24"/>
          <w:highlight w:val="none"/>
          <w:lang w:val="en-US"/>
        </w:rPr>
      </w:pPr>
      <w:r>
        <w:rPr>
          <w:rFonts w:hint="eastAsia" w:cs="宋体"/>
          <w:color w:val="auto"/>
          <w:szCs w:val="24"/>
          <w:highlight w:val="none"/>
          <w:lang w:val="en-US"/>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40DC780">
      <w:pPr>
        <w:pStyle w:val="20"/>
        <w:rPr>
          <w:rFonts w:hint="eastAsia" w:cs="宋体"/>
          <w:color w:val="auto"/>
          <w:szCs w:val="24"/>
          <w:highlight w:val="none"/>
          <w:lang w:val="en-US"/>
        </w:rPr>
      </w:pPr>
      <w:r>
        <w:rPr>
          <w:rFonts w:hint="eastAsia" w:cs="宋体"/>
          <w:color w:val="auto"/>
          <w:szCs w:val="24"/>
          <w:highlight w:val="none"/>
          <w:lang w:val="en-US"/>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2BCD6AA9">
      <w:pPr>
        <w:pStyle w:val="20"/>
        <w:rPr>
          <w:rFonts w:hint="eastAsia" w:cs="宋体"/>
          <w:color w:val="auto"/>
          <w:szCs w:val="24"/>
          <w:highlight w:val="none"/>
          <w:lang w:val="en-US"/>
        </w:rPr>
      </w:pPr>
      <w:r>
        <w:rPr>
          <w:rFonts w:hint="eastAsia" w:cs="宋体"/>
          <w:color w:val="auto"/>
          <w:szCs w:val="24"/>
          <w:highlight w:val="none"/>
          <w:lang w:val="en-US"/>
        </w:rPr>
        <w:t>18.中标候选人推荐家数详见“投标人须知前附表”。</w:t>
      </w:r>
    </w:p>
    <w:p w14:paraId="4AF08D6D">
      <w:pPr>
        <w:pStyle w:val="6"/>
        <w:spacing w:before="160" w:after="160" w:line="360" w:lineRule="auto"/>
        <w:ind w:left="420" w:hanging="420"/>
        <w:rPr>
          <w:rFonts w:hint="eastAsia" w:cs="宋体"/>
          <w:color w:val="auto"/>
          <w:sz w:val="24"/>
          <w:szCs w:val="24"/>
          <w:highlight w:val="none"/>
          <w:lang w:val="zh-CN"/>
        </w:rPr>
      </w:pPr>
      <w:r>
        <w:rPr>
          <w:rFonts w:hint="eastAsia" w:cs="宋体"/>
          <w:color w:val="auto"/>
          <w:sz w:val="24"/>
          <w:szCs w:val="24"/>
          <w:highlight w:val="none"/>
          <w:lang w:val="zh-CN"/>
        </w:rPr>
        <w:t>（</w:t>
      </w:r>
      <w:r>
        <w:rPr>
          <w:rFonts w:hint="eastAsia" w:cs="宋体"/>
          <w:color w:val="auto"/>
          <w:sz w:val="24"/>
          <w:szCs w:val="24"/>
          <w:highlight w:val="none"/>
        </w:rPr>
        <w:t>七</w:t>
      </w:r>
      <w:r>
        <w:rPr>
          <w:rFonts w:hint="eastAsia" w:cs="宋体"/>
          <w:color w:val="auto"/>
          <w:sz w:val="24"/>
          <w:szCs w:val="24"/>
          <w:highlight w:val="none"/>
          <w:lang w:val="zh-CN"/>
        </w:rPr>
        <w:t>）编写评标报告</w:t>
      </w:r>
    </w:p>
    <w:p w14:paraId="2EA5B507">
      <w:pPr>
        <w:pStyle w:val="20"/>
        <w:rPr>
          <w:rFonts w:hint="eastAsia" w:cs="宋体"/>
          <w:color w:val="auto"/>
          <w:szCs w:val="24"/>
          <w:highlight w:val="none"/>
        </w:rPr>
      </w:pPr>
      <w:r>
        <w:rPr>
          <w:rFonts w:hint="eastAsia" w:cs="宋体"/>
          <w:color w:val="auto"/>
          <w:szCs w:val="24"/>
          <w:highlight w:val="none"/>
          <w:lang w:val="en-US"/>
        </w:rPr>
        <w:t>19.</w:t>
      </w:r>
      <w:r>
        <w:rPr>
          <w:rFonts w:hint="eastAsia" w:cs="宋体"/>
          <w:color w:val="auto"/>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1DA7F7C5">
      <w:pPr>
        <w:pStyle w:val="6"/>
        <w:spacing w:before="160" w:after="160" w:line="360" w:lineRule="auto"/>
        <w:ind w:left="420" w:hanging="420"/>
        <w:rPr>
          <w:rFonts w:hint="eastAsia" w:cs="宋体"/>
          <w:color w:val="auto"/>
          <w:sz w:val="24"/>
          <w:szCs w:val="24"/>
          <w:highlight w:val="none"/>
          <w:lang w:val="zh-CN"/>
        </w:rPr>
      </w:pPr>
      <w:bookmarkStart w:id="284" w:name="_Toc163492906"/>
      <w:bookmarkStart w:id="285" w:name="_Toc102116021"/>
      <w:bookmarkStart w:id="286" w:name="_Toc102116151"/>
      <w:bookmarkStart w:id="287" w:name="_Toc102119852"/>
      <w:bookmarkStart w:id="288" w:name="_Toc102114919"/>
      <w:bookmarkStart w:id="289" w:name="_Toc155185913"/>
      <w:bookmarkStart w:id="290" w:name="_Toc102057717"/>
      <w:bookmarkStart w:id="291" w:name="_Toc102056217"/>
      <w:r>
        <w:rPr>
          <w:rFonts w:hint="eastAsia" w:cs="宋体"/>
          <w:color w:val="auto"/>
          <w:sz w:val="24"/>
          <w:szCs w:val="24"/>
          <w:highlight w:val="none"/>
          <w:lang w:val="zh-CN"/>
        </w:rPr>
        <w:t>（</w:t>
      </w:r>
      <w:r>
        <w:rPr>
          <w:rFonts w:hint="eastAsia" w:cs="宋体"/>
          <w:color w:val="auto"/>
          <w:sz w:val="24"/>
          <w:szCs w:val="24"/>
          <w:highlight w:val="none"/>
        </w:rPr>
        <w:t>八</w:t>
      </w:r>
      <w:r>
        <w:rPr>
          <w:rFonts w:hint="eastAsia" w:cs="宋体"/>
          <w:color w:val="auto"/>
          <w:sz w:val="24"/>
          <w:szCs w:val="24"/>
          <w:highlight w:val="none"/>
          <w:lang w:val="zh-CN"/>
        </w:rPr>
        <w:t>）</w:t>
      </w:r>
      <w:r>
        <w:rPr>
          <w:rFonts w:hint="eastAsia" w:cs="宋体"/>
          <w:color w:val="auto"/>
          <w:sz w:val="24"/>
          <w:szCs w:val="24"/>
          <w:highlight w:val="none"/>
        </w:rPr>
        <w:t>投标无效及</w:t>
      </w:r>
      <w:r>
        <w:rPr>
          <w:rFonts w:hint="eastAsia" w:cs="宋体"/>
          <w:color w:val="auto"/>
          <w:sz w:val="24"/>
          <w:szCs w:val="24"/>
          <w:highlight w:val="none"/>
          <w:lang w:val="zh-CN"/>
        </w:rPr>
        <w:t>应予废标的情形</w:t>
      </w:r>
      <w:bookmarkEnd w:id="284"/>
      <w:bookmarkEnd w:id="285"/>
      <w:bookmarkEnd w:id="286"/>
      <w:bookmarkEnd w:id="287"/>
      <w:bookmarkEnd w:id="288"/>
      <w:bookmarkEnd w:id="289"/>
      <w:bookmarkEnd w:id="290"/>
      <w:bookmarkEnd w:id="291"/>
    </w:p>
    <w:p w14:paraId="3150CB0D">
      <w:pPr>
        <w:pStyle w:val="20"/>
        <w:rPr>
          <w:rFonts w:hint="eastAsia" w:cs="宋体"/>
          <w:color w:val="auto"/>
          <w:szCs w:val="24"/>
          <w:highlight w:val="none"/>
          <w:lang w:val="en-US"/>
        </w:rPr>
      </w:pPr>
      <w:r>
        <w:rPr>
          <w:rFonts w:hint="eastAsia" w:cs="宋体"/>
          <w:color w:val="auto"/>
          <w:szCs w:val="24"/>
          <w:highlight w:val="none"/>
          <w:lang w:val="en-US"/>
        </w:rPr>
        <w:t>20.投标人存在下列情形之一的，</w:t>
      </w:r>
      <w:r>
        <w:rPr>
          <w:rFonts w:hint="eastAsia" w:cs="宋体"/>
          <w:b/>
          <w:bCs/>
          <w:color w:val="auto"/>
          <w:szCs w:val="24"/>
          <w:highlight w:val="none"/>
          <w:lang w:val="en-US"/>
        </w:rPr>
        <w:t>投标无效</w:t>
      </w:r>
      <w:r>
        <w:rPr>
          <w:rFonts w:hint="eastAsia" w:cs="宋体"/>
          <w:color w:val="auto"/>
          <w:szCs w:val="24"/>
          <w:highlight w:val="none"/>
          <w:lang w:val="en-US"/>
        </w:rPr>
        <w:t>：</w:t>
      </w:r>
    </w:p>
    <w:p w14:paraId="7E01CE52">
      <w:pPr>
        <w:pStyle w:val="20"/>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1</w:t>
      </w:r>
      <w:r>
        <w:rPr>
          <w:rFonts w:hint="eastAsia" w:cs="宋体"/>
          <w:color w:val="auto"/>
          <w:szCs w:val="24"/>
          <w:highlight w:val="none"/>
          <w:lang w:val="en-US"/>
        </w:rPr>
        <w:t>投标人</w:t>
      </w:r>
      <w:r>
        <w:rPr>
          <w:rFonts w:hint="eastAsia" w:cs="宋体"/>
          <w:color w:val="auto"/>
          <w:szCs w:val="24"/>
          <w:highlight w:val="none"/>
        </w:rPr>
        <w:t>不具备《中华人民共和国政府采购法》第二十二条规定条件</w:t>
      </w:r>
      <w:r>
        <w:rPr>
          <w:rFonts w:hint="eastAsia" w:cs="宋体"/>
          <w:color w:val="auto"/>
          <w:szCs w:val="24"/>
          <w:highlight w:val="none"/>
          <w:lang w:val="en-US"/>
        </w:rPr>
        <w:t>；</w:t>
      </w:r>
    </w:p>
    <w:p w14:paraId="35C96341">
      <w:pPr>
        <w:pStyle w:val="20"/>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2投标文件未按招标文件要求签署、盖章的</w:t>
      </w:r>
      <w:r>
        <w:rPr>
          <w:rFonts w:hint="eastAsia" w:cs="宋体"/>
          <w:color w:val="auto"/>
          <w:szCs w:val="24"/>
          <w:highlight w:val="none"/>
          <w:lang w:val="en-US"/>
        </w:rPr>
        <w:t>；</w:t>
      </w:r>
    </w:p>
    <w:p w14:paraId="37A9C68A">
      <w:pPr>
        <w:pStyle w:val="20"/>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3</w:t>
      </w:r>
      <w:r>
        <w:rPr>
          <w:rFonts w:hint="eastAsia" w:cs="宋体"/>
          <w:color w:val="auto"/>
          <w:szCs w:val="24"/>
          <w:highlight w:val="none"/>
          <w:lang w:val="en-US"/>
        </w:rPr>
        <w:t>不具备招标文件中规定的资格要求的（投标人未提供有效资格文件的，视为投标人不具备招标文件中规定的资格要求）；</w:t>
      </w:r>
    </w:p>
    <w:p w14:paraId="04EA9218">
      <w:pPr>
        <w:pStyle w:val="20"/>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4</w:t>
      </w:r>
      <w:r>
        <w:rPr>
          <w:rFonts w:hint="eastAsia" w:cs="宋体"/>
          <w:color w:val="auto"/>
          <w:szCs w:val="24"/>
          <w:highlight w:val="none"/>
          <w:lang w:val="en-US"/>
        </w:rPr>
        <w:t>投标</w:t>
      </w:r>
      <w:r>
        <w:rPr>
          <w:rFonts w:hint="eastAsia" w:cs="宋体"/>
          <w:color w:val="auto"/>
          <w:szCs w:val="24"/>
          <w:highlight w:val="none"/>
        </w:rPr>
        <w:t>文件提供虚假材料的</w:t>
      </w:r>
      <w:r>
        <w:rPr>
          <w:rFonts w:hint="eastAsia" w:cs="宋体"/>
          <w:color w:val="auto"/>
          <w:szCs w:val="24"/>
          <w:highlight w:val="none"/>
          <w:lang w:val="en-US"/>
        </w:rPr>
        <w:t>；</w:t>
      </w:r>
    </w:p>
    <w:p w14:paraId="49CCCE34">
      <w:pPr>
        <w:pStyle w:val="20"/>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5</w:t>
      </w:r>
      <w:r>
        <w:rPr>
          <w:rFonts w:hint="eastAsia" w:cs="宋体"/>
          <w:color w:val="auto"/>
          <w:szCs w:val="24"/>
          <w:highlight w:val="none"/>
          <w:lang w:val="en-US"/>
        </w:rPr>
        <w:t>投标</w:t>
      </w:r>
      <w:r>
        <w:rPr>
          <w:rFonts w:hint="eastAsia" w:cs="宋体"/>
          <w:color w:val="auto"/>
          <w:szCs w:val="24"/>
          <w:highlight w:val="none"/>
        </w:rPr>
        <w:t>文件不满足</w:t>
      </w:r>
      <w:r>
        <w:rPr>
          <w:rFonts w:hint="eastAsia" w:cs="宋体"/>
          <w:color w:val="auto"/>
          <w:szCs w:val="24"/>
          <w:highlight w:val="none"/>
          <w:lang w:val="en-US"/>
        </w:rPr>
        <w:t>招标</w:t>
      </w:r>
      <w:r>
        <w:rPr>
          <w:rFonts w:hint="eastAsia" w:cs="宋体"/>
          <w:color w:val="auto"/>
          <w:szCs w:val="24"/>
          <w:highlight w:val="none"/>
        </w:rPr>
        <w:t>文件中标注“★”号的实质性条款（或指标）要求的</w:t>
      </w:r>
      <w:r>
        <w:rPr>
          <w:rFonts w:hint="eastAsia" w:cs="宋体"/>
          <w:color w:val="auto"/>
          <w:szCs w:val="24"/>
          <w:highlight w:val="none"/>
          <w:lang w:val="en-US"/>
        </w:rPr>
        <w:t>；</w:t>
      </w:r>
    </w:p>
    <w:p w14:paraId="068C2D3A">
      <w:pPr>
        <w:pStyle w:val="20"/>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6</w:t>
      </w:r>
      <w:r>
        <w:rPr>
          <w:rFonts w:hint="eastAsia" w:cs="宋体"/>
          <w:color w:val="auto"/>
          <w:szCs w:val="24"/>
          <w:highlight w:val="none"/>
          <w:lang w:val="en-US"/>
        </w:rPr>
        <w:t>投标人</w:t>
      </w:r>
      <w:r>
        <w:rPr>
          <w:rFonts w:hint="eastAsia" w:cs="宋体"/>
          <w:color w:val="auto"/>
          <w:szCs w:val="24"/>
          <w:highlight w:val="none"/>
        </w:rPr>
        <w:t>报价超过招标文件中规定的最高限价或者预算金额的</w:t>
      </w:r>
      <w:r>
        <w:rPr>
          <w:rFonts w:hint="eastAsia" w:cs="宋体"/>
          <w:color w:val="auto"/>
          <w:szCs w:val="24"/>
          <w:highlight w:val="none"/>
          <w:lang w:val="en-US"/>
        </w:rPr>
        <w:t>；</w:t>
      </w:r>
    </w:p>
    <w:p w14:paraId="625887E8">
      <w:pPr>
        <w:pStyle w:val="20"/>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7联合体的供应商未提交各方共同签署的</w:t>
      </w:r>
      <w:r>
        <w:rPr>
          <w:rFonts w:hint="eastAsia" w:cs="宋体"/>
          <w:color w:val="auto"/>
          <w:szCs w:val="24"/>
          <w:highlight w:val="none"/>
          <w:lang w:val="en-US"/>
        </w:rPr>
        <w:t>联合体</w:t>
      </w:r>
      <w:r>
        <w:rPr>
          <w:rFonts w:hint="eastAsia" w:cs="宋体"/>
          <w:color w:val="auto"/>
          <w:szCs w:val="24"/>
          <w:highlight w:val="none"/>
        </w:rPr>
        <w:t>协议</w:t>
      </w:r>
      <w:r>
        <w:rPr>
          <w:rFonts w:hint="eastAsia" w:cs="宋体"/>
          <w:color w:val="auto"/>
          <w:szCs w:val="24"/>
          <w:highlight w:val="none"/>
          <w:lang w:val="en-US"/>
        </w:rPr>
        <w:t>的；</w:t>
      </w:r>
    </w:p>
    <w:p w14:paraId="580FC853">
      <w:pPr>
        <w:pStyle w:val="20"/>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8</w:t>
      </w:r>
      <w:r>
        <w:rPr>
          <w:rFonts w:hint="eastAsia" w:cs="宋体"/>
          <w:color w:val="auto"/>
          <w:szCs w:val="24"/>
          <w:highlight w:val="none"/>
          <w:lang w:val="en-US"/>
        </w:rPr>
        <w:t>投标人</w:t>
      </w:r>
      <w:r>
        <w:rPr>
          <w:rFonts w:hint="eastAsia" w:cs="宋体"/>
          <w:color w:val="auto"/>
          <w:szCs w:val="24"/>
          <w:highlight w:val="none"/>
        </w:rPr>
        <w:t>未按</w:t>
      </w:r>
      <w:r>
        <w:rPr>
          <w:rFonts w:hint="eastAsia" w:cs="宋体"/>
          <w:color w:val="auto"/>
          <w:szCs w:val="24"/>
          <w:highlight w:val="none"/>
          <w:lang w:val="en-US"/>
        </w:rPr>
        <w:t>招标</w:t>
      </w:r>
      <w:r>
        <w:rPr>
          <w:rFonts w:hint="eastAsia" w:cs="宋体"/>
          <w:color w:val="auto"/>
          <w:szCs w:val="24"/>
          <w:highlight w:val="none"/>
        </w:rPr>
        <w:t>文件</w:t>
      </w:r>
      <w:r>
        <w:rPr>
          <w:rFonts w:hint="eastAsia" w:cs="宋体"/>
          <w:color w:val="auto"/>
          <w:szCs w:val="24"/>
          <w:highlight w:val="none"/>
          <w:lang w:val="en-US"/>
        </w:rPr>
        <w:t>的规定</w:t>
      </w:r>
      <w:r>
        <w:rPr>
          <w:rFonts w:hint="eastAsia" w:cs="宋体"/>
          <w:color w:val="auto"/>
          <w:szCs w:val="24"/>
          <w:highlight w:val="none"/>
        </w:rPr>
        <w:t>交纳投标保证金</w:t>
      </w:r>
      <w:r>
        <w:rPr>
          <w:rFonts w:hint="eastAsia" w:cs="宋体"/>
          <w:color w:val="auto"/>
          <w:szCs w:val="24"/>
          <w:highlight w:val="none"/>
          <w:lang w:val="en-US"/>
        </w:rPr>
        <w:t>的；</w:t>
      </w:r>
    </w:p>
    <w:p w14:paraId="57E84989">
      <w:pPr>
        <w:pStyle w:val="20"/>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9评审期间,</w:t>
      </w:r>
      <w:r>
        <w:rPr>
          <w:rFonts w:hint="eastAsia" w:cs="宋体"/>
          <w:color w:val="auto"/>
          <w:szCs w:val="24"/>
          <w:highlight w:val="none"/>
          <w:lang w:val="en-US"/>
        </w:rPr>
        <w:t>投标人</w:t>
      </w:r>
      <w:r>
        <w:rPr>
          <w:rFonts w:hint="eastAsia" w:cs="宋体"/>
          <w:color w:val="auto"/>
          <w:szCs w:val="24"/>
          <w:highlight w:val="none"/>
        </w:rPr>
        <w:t>没有按评标委员会的要求提交经授权代表签字的澄清、说明、补正或改变了</w:t>
      </w:r>
      <w:r>
        <w:rPr>
          <w:rFonts w:hint="eastAsia" w:cs="宋体"/>
          <w:color w:val="auto"/>
          <w:szCs w:val="24"/>
          <w:highlight w:val="none"/>
          <w:lang w:val="en-US"/>
        </w:rPr>
        <w:t>投标</w:t>
      </w:r>
      <w:r>
        <w:rPr>
          <w:rFonts w:hint="eastAsia" w:cs="宋体"/>
          <w:color w:val="auto"/>
          <w:szCs w:val="24"/>
          <w:highlight w:val="none"/>
        </w:rPr>
        <w:t>文件的实质性内容</w:t>
      </w:r>
      <w:r>
        <w:rPr>
          <w:rFonts w:hint="eastAsia" w:cs="宋体"/>
          <w:color w:val="auto"/>
          <w:szCs w:val="24"/>
          <w:highlight w:val="none"/>
          <w:lang w:val="en-US"/>
        </w:rPr>
        <w:t>的；</w:t>
      </w:r>
    </w:p>
    <w:p w14:paraId="6D31546C">
      <w:pPr>
        <w:pStyle w:val="20"/>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10</w:t>
      </w:r>
      <w:r>
        <w:rPr>
          <w:rFonts w:hint="eastAsia" w:cs="宋体"/>
          <w:color w:val="auto"/>
          <w:szCs w:val="24"/>
          <w:highlight w:val="none"/>
          <w:lang w:val="en-US"/>
        </w:rPr>
        <w:t>投标人</w:t>
      </w:r>
      <w:r>
        <w:rPr>
          <w:rFonts w:hint="eastAsia" w:cs="宋体"/>
          <w:color w:val="auto"/>
          <w:szCs w:val="24"/>
          <w:highlight w:val="none"/>
        </w:rPr>
        <w:t>对采购人、采购代理机构、评标委员会及其工作人员施加影响,有碍公平、公正</w:t>
      </w:r>
      <w:r>
        <w:rPr>
          <w:rFonts w:hint="eastAsia" w:cs="宋体"/>
          <w:color w:val="auto"/>
          <w:szCs w:val="24"/>
          <w:highlight w:val="none"/>
          <w:lang w:val="en-US"/>
        </w:rPr>
        <w:t>的；</w:t>
      </w:r>
    </w:p>
    <w:p w14:paraId="726D426F">
      <w:pPr>
        <w:pStyle w:val="20"/>
        <w:rPr>
          <w:rFonts w:hint="eastAsia" w:cs="宋体"/>
          <w:color w:val="auto"/>
          <w:szCs w:val="24"/>
          <w:highlight w:val="none"/>
          <w:lang w:val="en-US"/>
        </w:rPr>
      </w:pPr>
      <w:r>
        <w:rPr>
          <w:rFonts w:hint="eastAsia" w:cs="宋体"/>
          <w:color w:val="auto"/>
          <w:szCs w:val="24"/>
          <w:highlight w:val="none"/>
          <w:lang w:val="en-US"/>
        </w:rPr>
        <w:t>20.11投标文件含有采购人不能接受的附加条件的；</w:t>
      </w:r>
    </w:p>
    <w:p w14:paraId="1C4E1F1E">
      <w:pPr>
        <w:pStyle w:val="20"/>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法律、法规、规章规定属于</w:t>
      </w:r>
      <w:r>
        <w:rPr>
          <w:rFonts w:hint="eastAsia" w:cs="宋体"/>
          <w:color w:val="auto"/>
          <w:szCs w:val="24"/>
          <w:highlight w:val="none"/>
          <w:lang w:val="en-US"/>
        </w:rPr>
        <w:t>投标</w:t>
      </w:r>
      <w:r>
        <w:rPr>
          <w:rFonts w:hint="eastAsia" w:cs="宋体"/>
          <w:color w:val="auto"/>
          <w:szCs w:val="24"/>
          <w:highlight w:val="none"/>
        </w:rPr>
        <w:t>无效的其他情形。</w:t>
      </w:r>
    </w:p>
    <w:p w14:paraId="3AD462FA">
      <w:pPr>
        <w:pStyle w:val="20"/>
        <w:rPr>
          <w:rFonts w:hint="eastAsia" w:cs="宋体"/>
          <w:color w:val="auto"/>
          <w:szCs w:val="24"/>
          <w:highlight w:val="none"/>
          <w:lang w:val="en-US"/>
        </w:rPr>
      </w:pPr>
      <w:r>
        <w:rPr>
          <w:rFonts w:hint="eastAsia" w:cs="宋体"/>
          <w:color w:val="auto"/>
          <w:szCs w:val="24"/>
          <w:highlight w:val="none"/>
          <w:lang w:val="en-US"/>
        </w:rPr>
        <w:t>21.有下列情形之一的，视为投标人串通投标，其</w:t>
      </w:r>
      <w:r>
        <w:rPr>
          <w:rFonts w:hint="eastAsia" w:cs="宋体"/>
          <w:b/>
          <w:bCs/>
          <w:color w:val="auto"/>
          <w:szCs w:val="24"/>
          <w:highlight w:val="none"/>
          <w:lang w:val="en-US"/>
        </w:rPr>
        <w:t>投标无效</w:t>
      </w:r>
      <w:r>
        <w:rPr>
          <w:rFonts w:hint="eastAsia" w:cs="宋体"/>
          <w:color w:val="auto"/>
          <w:szCs w:val="24"/>
          <w:highlight w:val="none"/>
          <w:lang w:val="en-US"/>
        </w:rPr>
        <w:t>：</w:t>
      </w:r>
    </w:p>
    <w:p w14:paraId="1BC5E237">
      <w:pPr>
        <w:pStyle w:val="20"/>
        <w:rPr>
          <w:rFonts w:hint="eastAsia" w:cs="宋体"/>
          <w:color w:val="auto"/>
          <w:szCs w:val="24"/>
          <w:highlight w:val="none"/>
          <w:lang w:val="en-US"/>
        </w:rPr>
      </w:pPr>
      <w:r>
        <w:rPr>
          <w:rFonts w:hint="eastAsia" w:cs="宋体"/>
          <w:color w:val="auto"/>
          <w:szCs w:val="24"/>
          <w:highlight w:val="none"/>
          <w:lang w:val="en-US"/>
        </w:rPr>
        <w:t>21.1不同投标人的投标文件由同一单位或者个人编制；</w:t>
      </w:r>
    </w:p>
    <w:p w14:paraId="4214B21F">
      <w:pPr>
        <w:pStyle w:val="20"/>
        <w:rPr>
          <w:rFonts w:hint="eastAsia" w:cs="宋体"/>
          <w:color w:val="auto"/>
          <w:szCs w:val="24"/>
          <w:highlight w:val="none"/>
          <w:lang w:val="en-US"/>
        </w:rPr>
      </w:pPr>
      <w:r>
        <w:rPr>
          <w:rFonts w:hint="eastAsia" w:cs="宋体"/>
          <w:color w:val="auto"/>
          <w:szCs w:val="24"/>
          <w:highlight w:val="none"/>
          <w:lang w:val="en-US"/>
        </w:rPr>
        <w:t>21.2不同投标人委托同一单位或者个人办理投标事宜；</w:t>
      </w:r>
    </w:p>
    <w:p w14:paraId="1D41E605">
      <w:pPr>
        <w:pStyle w:val="20"/>
        <w:rPr>
          <w:rFonts w:hint="eastAsia" w:cs="宋体"/>
          <w:color w:val="auto"/>
          <w:szCs w:val="24"/>
          <w:highlight w:val="none"/>
          <w:lang w:val="en-US"/>
        </w:rPr>
      </w:pPr>
      <w:r>
        <w:rPr>
          <w:rFonts w:hint="eastAsia" w:cs="宋体"/>
          <w:color w:val="auto"/>
          <w:szCs w:val="24"/>
          <w:highlight w:val="none"/>
          <w:lang w:val="en-US"/>
        </w:rPr>
        <w:t>21.3不同投标人的投标文件载明的项目管理成员或者联系人员为同一人；</w:t>
      </w:r>
    </w:p>
    <w:p w14:paraId="775BF982">
      <w:pPr>
        <w:pStyle w:val="20"/>
        <w:rPr>
          <w:rFonts w:hint="eastAsia" w:cs="宋体"/>
          <w:color w:val="auto"/>
          <w:szCs w:val="24"/>
          <w:highlight w:val="none"/>
          <w:lang w:val="en-US"/>
        </w:rPr>
      </w:pPr>
      <w:r>
        <w:rPr>
          <w:rFonts w:hint="eastAsia" w:cs="宋体"/>
          <w:color w:val="auto"/>
          <w:szCs w:val="24"/>
          <w:highlight w:val="none"/>
          <w:lang w:val="en-US"/>
        </w:rPr>
        <w:t>21.4不同投标人的投标文件异常一致或者投标报价呈规律性差异；</w:t>
      </w:r>
    </w:p>
    <w:p w14:paraId="226046AC">
      <w:pPr>
        <w:pStyle w:val="20"/>
        <w:rPr>
          <w:rFonts w:hint="eastAsia" w:cs="宋体"/>
          <w:color w:val="auto"/>
          <w:szCs w:val="24"/>
          <w:highlight w:val="none"/>
          <w:lang w:val="en-US"/>
        </w:rPr>
      </w:pPr>
      <w:r>
        <w:rPr>
          <w:rFonts w:hint="eastAsia" w:cs="宋体"/>
          <w:color w:val="auto"/>
          <w:szCs w:val="24"/>
          <w:highlight w:val="none"/>
          <w:lang w:val="en-US"/>
        </w:rPr>
        <w:t>21.5不同投标人的投标文件相互混装；</w:t>
      </w:r>
    </w:p>
    <w:p w14:paraId="63546738">
      <w:pPr>
        <w:pStyle w:val="20"/>
        <w:rPr>
          <w:rFonts w:hint="eastAsia" w:cs="宋体"/>
          <w:color w:val="auto"/>
          <w:szCs w:val="24"/>
          <w:highlight w:val="none"/>
          <w:lang w:val="en-US"/>
        </w:rPr>
      </w:pPr>
      <w:r>
        <w:rPr>
          <w:rFonts w:hint="eastAsia" w:cs="宋体"/>
          <w:color w:val="auto"/>
          <w:szCs w:val="24"/>
          <w:highlight w:val="none"/>
          <w:lang w:val="en-US"/>
        </w:rPr>
        <w:t>21.6不同投标人的投标保证金从同一单位或者个人的账户转出；</w:t>
      </w:r>
    </w:p>
    <w:p w14:paraId="6C5D1A37">
      <w:pPr>
        <w:pStyle w:val="20"/>
        <w:rPr>
          <w:rFonts w:hint="eastAsia" w:cs="宋体"/>
          <w:color w:val="auto"/>
          <w:szCs w:val="24"/>
          <w:highlight w:val="none"/>
          <w:lang w:val="en-US"/>
        </w:rPr>
      </w:pPr>
      <w:r>
        <w:rPr>
          <w:rFonts w:hint="eastAsia" w:cs="宋体"/>
          <w:color w:val="auto"/>
          <w:szCs w:val="24"/>
          <w:highlight w:val="none"/>
          <w:lang w:val="en-US"/>
        </w:rPr>
        <w:t>21.7</w:t>
      </w:r>
      <w:r>
        <w:rPr>
          <w:rFonts w:hint="eastAsia" w:cs="宋体"/>
          <w:color w:val="auto"/>
          <w:szCs w:val="24"/>
          <w:highlight w:val="none"/>
        </w:rPr>
        <w:t>不同投标人使用同一电脑（机器特征值一致：如MAC地址等）或使用同一电子密钥，编制或上传电子投标文件</w:t>
      </w:r>
      <w:r>
        <w:rPr>
          <w:rFonts w:hint="eastAsia" w:cs="宋体"/>
          <w:color w:val="auto"/>
          <w:szCs w:val="24"/>
          <w:highlight w:val="none"/>
          <w:lang w:val="en-US"/>
        </w:rPr>
        <w:t>；</w:t>
      </w:r>
    </w:p>
    <w:p w14:paraId="6FD9A22D">
      <w:pPr>
        <w:pStyle w:val="20"/>
        <w:rPr>
          <w:rFonts w:hint="eastAsia" w:cs="宋体"/>
          <w:color w:val="auto"/>
          <w:szCs w:val="24"/>
          <w:highlight w:val="none"/>
          <w:lang w:val="en-US"/>
        </w:rPr>
      </w:pPr>
      <w:r>
        <w:rPr>
          <w:rFonts w:hint="eastAsia" w:cs="宋体"/>
          <w:color w:val="auto"/>
          <w:szCs w:val="24"/>
          <w:highlight w:val="none"/>
          <w:lang w:val="en-US"/>
        </w:rPr>
        <w:t>21.8法律、法规、规章规定属于投标人串通投标的其他情形</w:t>
      </w:r>
      <w:r>
        <w:rPr>
          <w:rFonts w:hint="eastAsia" w:cs="宋体"/>
          <w:color w:val="auto"/>
          <w:szCs w:val="24"/>
          <w:highlight w:val="none"/>
        </w:rPr>
        <w:t>。</w:t>
      </w:r>
    </w:p>
    <w:p w14:paraId="5DD68CDC">
      <w:pPr>
        <w:pStyle w:val="20"/>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.根据《中华人民共和国政府采购法》第三十六条之规定，在招标采购过程中，出现下列情形之一的，应予</w:t>
      </w:r>
      <w:r>
        <w:rPr>
          <w:rFonts w:hint="eastAsia" w:cs="宋体"/>
          <w:b/>
          <w:bCs/>
          <w:color w:val="auto"/>
          <w:szCs w:val="24"/>
          <w:highlight w:val="none"/>
        </w:rPr>
        <w:t>废标</w:t>
      </w:r>
      <w:r>
        <w:rPr>
          <w:rFonts w:hint="eastAsia" w:cs="宋体"/>
          <w:color w:val="auto"/>
          <w:szCs w:val="24"/>
          <w:highlight w:val="none"/>
        </w:rPr>
        <w:t>：</w:t>
      </w:r>
    </w:p>
    <w:p w14:paraId="5757F316">
      <w:pPr>
        <w:pStyle w:val="20"/>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.1符合专业条件的供应商或者对招标文件作实质响应的供应商不足3家的；</w:t>
      </w:r>
    </w:p>
    <w:p w14:paraId="2D7A5237">
      <w:pPr>
        <w:pStyle w:val="20"/>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.2出现影响采购公正的违法、违规行为的；</w:t>
      </w:r>
    </w:p>
    <w:p w14:paraId="5629F89C">
      <w:pPr>
        <w:pStyle w:val="20"/>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.3投标人的报价均超过了采购预算，采购人不能支付的；</w:t>
      </w:r>
    </w:p>
    <w:p w14:paraId="5981503E">
      <w:pPr>
        <w:pStyle w:val="20"/>
        <w:rPr>
          <w:rFonts w:hint="eastAsia" w:cs="宋体"/>
          <w:color w:val="auto"/>
          <w:szCs w:val="24"/>
          <w:highlight w:val="none"/>
          <w:lang w:val="en-US"/>
        </w:rPr>
      </w:pPr>
      <w:r>
        <w:rPr>
          <w:rFonts w:hint="eastAsia" w:cs="宋体"/>
          <w:color w:val="auto"/>
          <w:szCs w:val="24"/>
          <w:highlight w:val="none"/>
          <w:lang w:val="en-US"/>
        </w:rPr>
        <w:t>22</w:t>
      </w:r>
      <w:r>
        <w:rPr>
          <w:rFonts w:hint="eastAsia" w:cs="宋体"/>
          <w:color w:val="auto"/>
          <w:szCs w:val="24"/>
          <w:highlight w:val="none"/>
        </w:rPr>
        <w:t>.4因重大变故，采购任务取消的</w:t>
      </w:r>
      <w:r>
        <w:rPr>
          <w:rFonts w:hint="eastAsia" w:cs="宋体"/>
          <w:color w:val="auto"/>
          <w:szCs w:val="24"/>
          <w:highlight w:val="none"/>
          <w:lang w:val="en-US"/>
        </w:rPr>
        <w:t>；</w:t>
      </w:r>
    </w:p>
    <w:p w14:paraId="24637B65">
      <w:pPr>
        <w:pStyle w:val="20"/>
        <w:rPr>
          <w:rFonts w:hint="eastAsia" w:cs="宋体"/>
          <w:color w:val="auto"/>
          <w:szCs w:val="24"/>
          <w:highlight w:val="none"/>
        </w:rPr>
      </w:pPr>
      <w:r>
        <w:rPr>
          <w:rFonts w:hint="eastAsia" w:cs="宋体"/>
          <w:color w:val="auto"/>
          <w:szCs w:val="24"/>
          <w:highlight w:val="none"/>
          <w:lang w:val="en-US"/>
        </w:rPr>
        <w:t xml:space="preserve">22.5 </w:t>
      </w:r>
      <w:r>
        <w:rPr>
          <w:rFonts w:hint="eastAsia" w:cs="宋体"/>
          <w:color w:val="auto"/>
          <w:szCs w:val="24"/>
          <w:highlight w:val="none"/>
        </w:rPr>
        <w:t>法律、法规、规章规定属于</w:t>
      </w:r>
      <w:r>
        <w:rPr>
          <w:rFonts w:hint="eastAsia" w:cs="宋体"/>
          <w:color w:val="auto"/>
          <w:szCs w:val="24"/>
          <w:highlight w:val="none"/>
          <w:lang w:val="en-US"/>
        </w:rPr>
        <w:t>废标</w:t>
      </w:r>
      <w:r>
        <w:rPr>
          <w:rFonts w:hint="eastAsia" w:cs="宋体"/>
          <w:color w:val="auto"/>
          <w:szCs w:val="24"/>
          <w:highlight w:val="none"/>
        </w:rPr>
        <w:t>的其他情形。</w:t>
      </w:r>
    </w:p>
    <w:p w14:paraId="318B1108">
      <w:pPr>
        <w:pStyle w:val="20"/>
        <w:rPr>
          <w:rFonts w:hint="eastAsia" w:cs="宋体"/>
          <w:color w:val="auto"/>
          <w:szCs w:val="24"/>
          <w:highlight w:val="none"/>
        </w:rPr>
      </w:pPr>
      <w:r>
        <w:rPr>
          <w:rFonts w:hint="eastAsia" w:cs="宋体"/>
          <w:color w:val="auto"/>
          <w:szCs w:val="24"/>
          <w:highlight w:val="none"/>
          <w:lang w:val="en-US"/>
        </w:rPr>
        <w:t>23.</w:t>
      </w:r>
      <w:r>
        <w:rPr>
          <w:rFonts w:hint="eastAsia" w:cs="宋体"/>
          <w:color w:val="auto"/>
          <w:szCs w:val="24"/>
          <w:highlight w:val="none"/>
        </w:rPr>
        <w:t>废标后，采购人应当将废标理由通知所有投标人。</w:t>
      </w:r>
    </w:p>
    <w:p w14:paraId="7A85A8AF">
      <w:pPr>
        <w:pStyle w:val="6"/>
        <w:spacing w:before="160" w:after="160" w:line="360" w:lineRule="auto"/>
        <w:ind w:left="420" w:hanging="420"/>
        <w:rPr>
          <w:rFonts w:hint="eastAsia" w:cs="宋体"/>
          <w:color w:val="auto"/>
          <w:sz w:val="24"/>
          <w:szCs w:val="24"/>
          <w:highlight w:val="none"/>
          <w:lang w:val="zh-CN"/>
        </w:rPr>
      </w:pPr>
      <w:bookmarkStart w:id="292" w:name="_Toc102114920"/>
      <w:bookmarkStart w:id="293" w:name="_Toc155185914"/>
      <w:bookmarkStart w:id="294" w:name="_Toc102056218"/>
      <w:bookmarkStart w:id="295" w:name="_Toc102116152"/>
      <w:bookmarkStart w:id="296" w:name="_Toc102057718"/>
      <w:bookmarkStart w:id="297" w:name="_Toc102119853"/>
      <w:bookmarkStart w:id="298" w:name="_Toc163492907"/>
      <w:bookmarkStart w:id="299" w:name="_Toc102116022"/>
      <w:r>
        <w:rPr>
          <w:rFonts w:hint="eastAsia" w:cs="宋体"/>
          <w:color w:val="auto"/>
          <w:sz w:val="24"/>
          <w:szCs w:val="24"/>
          <w:highlight w:val="none"/>
          <w:lang w:val="zh-CN"/>
        </w:rPr>
        <w:t>（</w:t>
      </w:r>
      <w:r>
        <w:rPr>
          <w:rFonts w:hint="eastAsia" w:cs="宋体"/>
          <w:color w:val="auto"/>
          <w:sz w:val="24"/>
          <w:szCs w:val="24"/>
          <w:highlight w:val="none"/>
        </w:rPr>
        <w:t>九</w:t>
      </w:r>
      <w:r>
        <w:rPr>
          <w:rFonts w:hint="eastAsia" w:cs="宋体"/>
          <w:color w:val="auto"/>
          <w:sz w:val="24"/>
          <w:szCs w:val="24"/>
          <w:highlight w:val="none"/>
          <w:lang w:val="zh-CN"/>
        </w:rPr>
        <w:t>）停止评标的情形</w:t>
      </w:r>
      <w:bookmarkEnd w:id="292"/>
      <w:bookmarkEnd w:id="293"/>
      <w:bookmarkEnd w:id="294"/>
      <w:bookmarkEnd w:id="295"/>
      <w:bookmarkEnd w:id="296"/>
      <w:bookmarkEnd w:id="297"/>
      <w:bookmarkEnd w:id="298"/>
      <w:bookmarkEnd w:id="299"/>
    </w:p>
    <w:p w14:paraId="121E8073">
      <w:pPr>
        <w:pStyle w:val="20"/>
        <w:rPr>
          <w:rFonts w:hint="eastAsia" w:cs="宋体"/>
          <w:color w:val="auto"/>
          <w:szCs w:val="24"/>
          <w:highlight w:val="none"/>
        </w:rPr>
      </w:pPr>
      <w:r>
        <w:rPr>
          <w:rFonts w:hint="eastAsia" w:cs="宋体"/>
          <w:color w:val="auto"/>
          <w:szCs w:val="24"/>
          <w:highlight w:val="none"/>
          <w:lang w:val="en-US"/>
        </w:rPr>
        <w:t>24</w:t>
      </w:r>
      <w:r>
        <w:rPr>
          <w:rFonts w:hint="eastAsia" w:cs="宋体"/>
          <w:color w:val="auto"/>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E7FA19B">
      <w:pPr>
        <w:pStyle w:val="6"/>
        <w:spacing w:before="160" w:after="160" w:line="360" w:lineRule="auto"/>
        <w:ind w:left="420" w:hanging="420"/>
        <w:rPr>
          <w:rFonts w:hint="eastAsia" w:cs="宋体"/>
          <w:color w:val="auto"/>
          <w:sz w:val="24"/>
          <w:szCs w:val="24"/>
          <w:highlight w:val="none"/>
          <w:lang w:val="zh-CN"/>
        </w:rPr>
      </w:pPr>
      <w:r>
        <w:rPr>
          <w:rFonts w:hint="eastAsia" w:cs="宋体"/>
          <w:color w:val="auto"/>
          <w:sz w:val="24"/>
          <w:szCs w:val="24"/>
          <w:highlight w:val="none"/>
          <w:lang w:val="zh-CN"/>
        </w:rPr>
        <w:t>（</w:t>
      </w:r>
      <w:r>
        <w:rPr>
          <w:rFonts w:hint="eastAsia" w:cs="宋体"/>
          <w:color w:val="auto"/>
          <w:sz w:val="24"/>
          <w:szCs w:val="24"/>
          <w:highlight w:val="none"/>
        </w:rPr>
        <w:t>十</w:t>
      </w:r>
      <w:r>
        <w:rPr>
          <w:rFonts w:hint="eastAsia" w:cs="宋体"/>
          <w:color w:val="auto"/>
          <w:sz w:val="24"/>
          <w:szCs w:val="24"/>
          <w:highlight w:val="none"/>
          <w:lang w:val="zh-CN"/>
        </w:rPr>
        <w:t>）重新开展采购</w:t>
      </w:r>
    </w:p>
    <w:p w14:paraId="4F5698A1">
      <w:pPr>
        <w:pStyle w:val="20"/>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有《中华人民共和国政府采购法》第七十一条、第七十二条规定的违法行为之一，影响或者可能影响中标结果的，依照下列规定处理：</w:t>
      </w:r>
    </w:p>
    <w:p w14:paraId="0556C99D">
      <w:pPr>
        <w:pStyle w:val="20"/>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.1未确定中标供应商的，终止本次政府采购活动，重新开展政府采购活动。</w:t>
      </w:r>
    </w:p>
    <w:p w14:paraId="338DC351">
      <w:pPr>
        <w:pStyle w:val="20"/>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.2已确定中标供应商但尚未签订政府采购合同的，中标结果无效，从合格的中标候选人中另行确定中标供应商；没有合格的中标候选人的，重新开展政府采购活动。</w:t>
      </w:r>
    </w:p>
    <w:p w14:paraId="192AA92C">
      <w:pPr>
        <w:pStyle w:val="20"/>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.3政府采购合同已签订但尚未履行的，撤销合同，从合格的中标候选人中另行确定中标供应商；没有合格的中标候选人的，重新开展政府采购活动。</w:t>
      </w:r>
    </w:p>
    <w:p w14:paraId="2A59685F">
      <w:pPr>
        <w:pStyle w:val="20"/>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.4政府采购合同已经履行，给采购人、供应商造成损失的，由责任人承担赔偿责任。</w:t>
      </w:r>
    </w:p>
    <w:p w14:paraId="144A650D">
      <w:pPr>
        <w:pStyle w:val="20"/>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cs="宋体"/>
          <w:color w:val="auto"/>
          <w:szCs w:val="24"/>
          <w:highlight w:val="none"/>
          <w:lang w:val="en-US"/>
        </w:rPr>
        <w:t>24</w:t>
      </w:r>
      <w:r>
        <w:rPr>
          <w:rFonts w:hint="eastAsia" w:cs="宋体"/>
          <w:color w:val="auto"/>
          <w:szCs w:val="24"/>
          <w:highlight w:val="none"/>
        </w:rPr>
        <w:t>.1—</w:t>
      </w:r>
      <w:r>
        <w:rPr>
          <w:rFonts w:hint="eastAsia" w:cs="宋体"/>
          <w:color w:val="auto"/>
          <w:szCs w:val="24"/>
          <w:highlight w:val="none"/>
          <w:lang w:val="en-US"/>
        </w:rPr>
        <w:t>24</w:t>
      </w:r>
      <w:r>
        <w:rPr>
          <w:rFonts w:hint="eastAsia" w:cs="宋体"/>
          <w:color w:val="auto"/>
          <w:szCs w:val="24"/>
          <w:highlight w:val="none"/>
        </w:rPr>
        <w:t>.4规定处理。</w:t>
      </w:r>
    </w:p>
    <w:bookmarkEnd w:id="265"/>
    <w:bookmarkEnd w:id="266"/>
    <w:bookmarkEnd w:id="267"/>
    <w:bookmarkEnd w:id="268"/>
    <w:bookmarkEnd w:id="269"/>
    <w:bookmarkEnd w:id="270"/>
    <w:bookmarkEnd w:id="271"/>
    <w:bookmarkEnd w:id="272"/>
    <w:bookmarkEnd w:id="273"/>
    <w:bookmarkEnd w:id="274"/>
    <w:p w14:paraId="3A049C52">
      <w:pPr>
        <w:pStyle w:val="5"/>
        <w:spacing w:before="160" w:after="160" w:line="360" w:lineRule="auto"/>
        <w:ind w:left="420" w:hanging="420"/>
        <w:rPr>
          <w:rFonts w:hint="eastAsia" w:ascii="宋体" w:hAnsi="宋体" w:cs="宋体"/>
          <w:color w:val="auto"/>
          <w:sz w:val="28"/>
          <w:szCs w:val="28"/>
          <w:highlight w:val="none"/>
        </w:rPr>
      </w:pPr>
      <w:bookmarkStart w:id="300" w:name="_Toc30017"/>
      <w:r>
        <w:rPr>
          <w:rFonts w:hint="eastAsia" w:ascii="宋体" w:hAnsi="宋体" w:cs="宋体"/>
          <w:color w:val="auto"/>
          <w:sz w:val="28"/>
          <w:szCs w:val="28"/>
          <w:highlight w:val="none"/>
          <w:lang w:val="zh-CN"/>
        </w:rPr>
        <w:t>三、评标</w:t>
      </w:r>
      <w:r>
        <w:rPr>
          <w:rFonts w:hint="eastAsia" w:ascii="宋体" w:hAnsi="宋体" w:cs="宋体"/>
          <w:color w:val="auto"/>
          <w:sz w:val="28"/>
          <w:szCs w:val="28"/>
          <w:highlight w:val="none"/>
        </w:rPr>
        <w:t>其他要求</w:t>
      </w:r>
      <w:bookmarkEnd w:id="300"/>
    </w:p>
    <w:p w14:paraId="4270AF31">
      <w:pPr>
        <w:pStyle w:val="20"/>
        <w:rPr>
          <w:rFonts w:hint="eastAsia"/>
          <w:color w:val="auto"/>
          <w:highlight w:val="none"/>
        </w:rPr>
      </w:pPr>
      <w:r>
        <w:rPr>
          <w:rFonts w:hint="eastAsia"/>
          <w:color w:val="auto"/>
          <w:highlight w:val="none"/>
        </w:rPr>
        <w:t>【</w:t>
      </w:r>
      <w:r>
        <w:rPr>
          <w:rFonts w:hint="eastAsia"/>
          <w:color w:val="auto"/>
          <w:highlight w:val="none"/>
          <w:lang w:val="en-US"/>
        </w:rPr>
        <w:t>可根据项目的情况增加上述内容中未包含的要求</w:t>
      </w:r>
      <w:r>
        <w:rPr>
          <w:rFonts w:hint="eastAsia"/>
          <w:color w:val="auto"/>
          <w:highlight w:val="none"/>
        </w:rPr>
        <w:t>】</w:t>
      </w:r>
    </w:p>
    <w:p w14:paraId="56FD7163">
      <w:pPr>
        <w:pStyle w:val="5"/>
        <w:keepNext w:val="0"/>
        <w:keepLines w:val="0"/>
        <w:spacing w:before="160" w:after="160" w:line="360" w:lineRule="auto"/>
        <w:ind w:left="420" w:hanging="420"/>
        <w:rPr>
          <w:rFonts w:hint="eastAsia" w:ascii="宋体" w:hAnsi="宋体" w:cs="宋体"/>
          <w:color w:val="auto"/>
          <w:sz w:val="28"/>
          <w:szCs w:val="28"/>
          <w:highlight w:val="none"/>
          <w:lang w:val="zh-CN"/>
        </w:rPr>
      </w:pPr>
      <w:bookmarkStart w:id="301" w:name="_Toc12589"/>
      <w:bookmarkStart w:id="302" w:name="_Toc163492908"/>
      <w:bookmarkStart w:id="303" w:name="_Toc155185915"/>
      <w:r>
        <w:rPr>
          <w:rFonts w:hint="eastAsia" w:ascii="宋体" w:hAnsi="宋体" w:cs="宋体"/>
          <w:color w:val="auto"/>
          <w:sz w:val="28"/>
          <w:szCs w:val="28"/>
          <w:highlight w:val="none"/>
        </w:rPr>
        <w:t>四</w:t>
      </w:r>
      <w:r>
        <w:rPr>
          <w:rFonts w:hint="eastAsia" w:ascii="宋体" w:hAnsi="宋体" w:cs="宋体"/>
          <w:color w:val="auto"/>
          <w:sz w:val="28"/>
          <w:szCs w:val="28"/>
          <w:highlight w:val="none"/>
          <w:lang w:val="zh-CN"/>
        </w:rPr>
        <w:t>、评标标准</w:t>
      </w:r>
      <w:bookmarkEnd w:id="301"/>
      <w:bookmarkEnd w:id="302"/>
      <w:bookmarkEnd w:id="303"/>
    </w:p>
    <w:p w14:paraId="42176CA2">
      <w:pPr>
        <w:pStyle w:val="6"/>
        <w:keepNext w:val="0"/>
        <w:keepLines w:val="0"/>
        <w:spacing w:before="160" w:after="160" w:line="360" w:lineRule="auto"/>
        <w:ind w:left="420" w:hanging="420"/>
        <w:rPr>
          <w:rFonts w:hint="eastAsia" w:cs="宋体"/>
          <w:color w:val="auto"/>
          <w:sz w:val="24"/>
          <w:szCs w:val="24"/>
          <w:highlight w:val="none"/>
          <w:lang w:val="zh-CN"/>
        </w:rPr>
      </w:pPr>
      <w:bookmarkStart w:id="304" w:name="_Toc163492909"/>
      <w:r>
        <w:rPr>
          <w:rFonts w:hint="eastAsia" w:cs="宋体"/>
          <w:color w:val="auto"/>
          <w:sz w:val="24"/>
          <w:szCs w:val="24"/>
          <w:highlight w:val="none"/>
          <w:lang w:val="zh-CN"/>
        </w:rPr>
        <w:t>（一）符合性审查表</w:t>
      </w:r>
      <w:bookmarkEnd w:id="304"/>
    </w:p>
    <w:tbl>
      <w:tblPr>
        <w:tblStyle w:val="15"/>
        <w:tblW w:w="5624" w:type="pct"/>
        <w:tblInd w:w="-6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83"/>
        <w:gridCol w:w="1741"/>
        <w:gridCol w:w="5206"/>
        <w:gridCol w:w="867"/>
        <w:gridCol w:w="1089"/>
      </w:tblGrid>
      <w:tr w14:paraId="41B73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356" w:type="pct"/>
            <w:vMerge w:val="restart"/>
            <w:shd w:val="clear" w:color="auto" w:fill="D8D8D8" w:themeFill="background1" w:themeFillShade="D9"/>
            <w:vAlign w:val="center"/>
          </w:tcPr>
          <w:p w14:paraId="0F916D3C">
            <w:pPr>
              <w:pStyle w:val="21"/>
              <w:jc w:val="center"/>
              <w:rPr>
                <w:rFonts w:hint="eastAsia" w:cs="宋体"/>
                <w:b/>
                <w:bCs/>
                <w:color w:val="auto"/>
                <w:sz w:val="21"/>
                <w:szCs w:val="21"/>
                <w:highlight w:val="none"/>
                <w:lang w:val="zh-CN"/>
              </w:rPr>
            </w:pPr>
            <w:r>
              <w:rPr>
                <w:rFonts w:hint="eastAsia" w:cs="宋体"/>
                <w:b/>
                <w:bCs/>
                <w:color w:val="auto"/>
                <w:sz w:val="21"/>
                <w:szCs w:val="21"/>
                <w:highlight w:val="none"/>
                <w:lang w:val="zh-CN"/>
              </w:rPr>
              <w:t>序号</w:t>
            </w:r>
          </w:p>
        </w:tc>
        <w:tc>
          <w:tcPr>
            <w:tcW w:w="908" w:type="pct"/>
            <w:vMerge w:val="restart"/>
            <w:shd w:val="clear" w:color="auto" w:fill="D8D8D8" w:themeFill="background1" w:themeFillShade="D9"/>
            <w:vAlign w:val="center"/>
          </w:tcPr>
          <w:p w14:paraId="53A57592">
            <w:pPr>
              <w:pStyle w:val="21"/>
              <w:jc w:val="center"/>
              <w:rPr>
                <w:rFonts w:hint="eastAsia" w:cs="宋体"/>
                <w:b/>
                <w:bCs/>
                <w:color w:val="auto"/>
                <w:sz w:val="21"/>
                <w:szCs w:val="21"/>
                <w:highlight w:val="none"/>
                <w:lang w:val="zh-CN"/>
              </w:rPr>
            </w:pPr>
            <w:r>
              <w:rPr>
                <w:rFonts w:hint="eastAsia" w:cs="宋体"/>
                <w:b/>
                <w:bCs/>
                <w:color w:val="auto"/>
                <w:sz w:val="21"/>
                <w:szCs w:val="21"/>
                <w:highlight w:val="none"/>
                <w:lang w:val="zh-CN"/>
              </w:rPr>
              <w:t>审查项名称</w:t>
            </w:r>
          </w:p>
        </w:tc>
        <w:tc>
          <w:tcPr>
            <w:tcW w:w="2715" w:type="pct"/>
            <w:vMerge w:val="restart"/>
            <w:shd w:val="clear" w:color="auto" w:fill="D8D8D8" w:themeFill="background1" w:themeFillShade="D9"/>
            <w:vAlign w:val="center"/>
          </w:tcPr>
          <w:p w14:paraId="089E0EFF">
            <w:pPr>
              <w:pStyle w:val="21"/>
              <w:jc w:val="center"/>
              <w:rPr>
                <w:rFonts w:hint="eastAsia" w:cs="宋体"/>
                <w:b/>
                <w:bCs/>
                <w:color w:val="auto"/>
                <w:sz w:val="21"/>
                <w:szCs w:val="21"/>
                <w:highlight w:val="none"/>
                <w:lang w:val="zh-CN"/>
              </w:rPr>
            </w:pPr>
            <w:r>
              <w:rPr>
                <w:rFonts w:hint="eastAsia" w:cs="宋体"/>
                <w:b/>
                <w:bCs/>
                <w:color w:val="auto"/>
                <w:sz w:val="21"/>
                <w:szCs w:val="21"/>
                <w:highlight w:val="none"/>
                <w:lang w:val="zh-CN"/>
              </w:rPr>
              <w:t>审查内容</w:t>
            </w:r>
          </w:p>
        </w:tc>
        <w:tc>
          <w:tcPr>
            <w:tcW w:w="1020" w:type="pct"/>
            <w:gridSpan w:val="2"/>
            <w:shd w:val="clear" w:color="auto" w:fill="D8D8D8" w:themeFill="background1" w:themeFillShade="D9"/>
            <w:vAlign w:val="center"/>
          </w:tcPr>
          <w:p w14:paraId="1C7F4E49">
            <w:pPr>
              <w:pStyle w:val="21"/>
              <w:jc w:val="center"/>
              <w:rPr>
                <w:rFonts w:hint="eastAsia" w:cs="宋体"/>
                <w:b/>
                <w:bCs/>
                <w:color w:val="auto"/>
                <w:sz w:val="21"/>
                <w:szCs w:val="21"/>
                <w:highlight w:val="none"/>
              </w:rPr>
            </w:pPr>
            <w:r>
              <w:rPr>
                <w:rFonts w:hint="eastAsia" w:cs="宋体"/>
                <w:b/>
                <w:bCs/>
                <w:color w:val="auto"/>
                <w:sz w:val="21"/>
                <w:szCs w:val="21"/>
                <w:highlight w:val="none"/>
              </w:rPr>
              <w:t>审查结果</w:t>
            </w:r>
          </w:p>
        </w:tc>
      </w:tr>
      <w:tr w14:paraId="60907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4" w:hRule="atLeast"/>
        </w:trPr>
        <w:tc>
          <w:tcPr>
            <w:tcW w:w="356" w:type="pct"/>
            <w:vMerge w:val="continue"/>
            <w:shd w:val="clear" w:color="auto" w:fill="D8D8D8" w:themeFill="background1" w:themeFillShade="D9"/>
            <w:vAlign w:val="center"/>
          </w:tcPr>
          <w:p w14:paraId="414B9274">
            <w:pPr>
              <w:pStyle w:val="21"/>
              <w:jc w:val="center"/>
              <w:rPr>
                <w:rFonts w:hint="eastAsia" w:cs="宋体"/>
                <w:b/>
                <w:bCs/>
                <w:color w:val="auto"/>
                <w:sz w:val="21"/>
                <w:szCs w:val="21"/>
                <w:highlight w:val="none"/>
                <w:lang w:val="zh-CN"/>
              </w:rPr>
            </w:pPr>
          </w:p>
        </w:tc>
        <w:tc>
          <w:tcPr>
            <w:tcW w:w="908" w:type="pct"/>
            <w:vMerge w:val="continue"/>
            <w:shd w:val="clear" w:color="auto" w:fill="D8D8D8" w:themeFill="background1" w:themeFillShade="D9"/>
            <w:vAlign w:val="center"/>
          </w:tcPr>
          <w:p w14:paraId="714D3FC2">
            <w:pPr>
              <w:pStyle w:val="21"/>
              <w:jc w:val="center"/>
              <w:rPr>
                <w:rFonts w:hint="eastAsia" w:cs="宋体"/>
                <w:b/>
                <w:bCs/>
                <w:color w:val="auto"/>
                <w:sz w:val="21"/>
                <w:szCs w:val="21"/>
                <w:highlight w:val="none"/>
                <w:lang w:val="zh-CN"/>
              </w:rPr>
            </w:pPr>
          </w:p>
        </w:tc>
        <w:tc>
          <w:tcPr>
            <w:tcW w:w="2715" w:type="pct"/>
            <w:vMerge w:val="continue"/>
            <w:shd w:val="clear" w:color="auto" w:fill="D8D8D8" w:themeFill="background1" w:themeFillShade="D9"/>
            <w:vAlign w:val="center"/>
          </w:tcPr>
          <w:p w14:paraId="0529EBF5">
            <w:pPr>
              <w:pStyle w:val="21"/>
              <w:jc w:val="center"/>
              <w:rPr>
                <w:rFonts w:hint="eastAsia" w:cs="宋体"/>
                <w:b/>
                <w:bCs/>
                <w:color w:val="auto"/>
                <w:sz w:val="21"/>
                <w:szCs w:val="21"/>
                <w:highlight w:val="none"/>
                <w:lang w:val="zh-CN"/>
              </w:rPr>
            </w:pPr>
          </w:p>
        </w:tc>
        <w:tc>
          <w:tcPr>
            <w:tcW w:w="452" w:type="pct"/>
            <w:shd w:val="clear" w:color="auto" w:fill="D8D8D8" w:themeFill="background1" w:themeFillShade="D9"/>
            <w:vAlign w:val="center"/>
          </w:tcPr>
          <w:p w14:paraId="665B5F8B">
            <w:pPr>
              <w:pStyle w:val="21"/>
              <w:jc w:val="center"/>
              <w:rPr>
                <w:rFonts w:hint="eastAsia" w:cs="宋体"/>
                <w:b/>
                <w:bCs/>
                <w:color w:val="auto"/>
                <w:sz w:val="21"/>
                <w:szCs w:val="21"/>
                <w:highlight w:val="none"/>
              </w:rPr>
            </w:pPr>
            <w:r>
              <w:rPr>
                <w:rFonts w:hint="eastAsia" w:cs="宋体"/>
                <w:b/>
                <w:bCs/>
                <w:color w:val="auto"/>
                <w:sz w:val="21"/>
                <w:szCs w:val="21"/>
                <w:highlight w:val="none"/>
              </w:rPr>
              <w:t>符合</w:t>
            </w:r>
          </w:p>
        </w:tc>
        <w:tc>
          <w:tcPr>
            <w:tcW w:w="568" w:type="pct"/>
            <w:shd w:val="clear" w:color="auto" w:fill="D8D8D8" w:themeFill="background1" w:themeFillShade="D9"/>
            <w:vAlign w:val="center"/>
          </w:tcPr>
          <w:p w14:paraId="7FEEB0E1">
            <w:pPr>
              <w:pStyle w:val="21"/>
              <w:jc w:val="center"/>
              <w:rPr>
                <w:rFonts w:hint="eastAsia" w:cs="宋体"/>
                <w:b/>
                <w:bCs/>
                <w:color w:val="auto"/>
                <w:sz w:val="21"/>
                <w:szCs w:val="21"/>
                <w:highlight w:val="none"/>
              </w:rPr>
            </w:pPr>
            <w:r>
              <w:rPr>
                <w:rFonts w:hint="eastAsia" w:cs="宋体"/>
                <w:b/>
                <w:bCs/>
                <w:color w:val="auto"/>
                <w:sz w:val="21"/>
                <w:szCs w:val="21"/>
                <w:highlight w:val="none"/>
              </w:rPr>
              <w:t>不符合</w:t>
            </w:r>
          </w:p>
        </w:tc>
      </w:tr>
      <w:tr w14:paraId="7F502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2" w:hRule="atLeast"/>
        </w:trPr>
        <w:tc>
          <w:tcPr>
            <w:tcW w:w="356" w:type="pct"/>
            <w:vAlign w:val="center"/>
          </w:tcPr>
          <w:p w14:paraId="0E91D2B1">
            <w:pPr>
              <w:pStyle w:val="21"/>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1</w:t>
            </w:r>
          </w:p>
        </w:tc>
        <w:tc>
          <w:tcPr>
            <w:tcW w:w="908" w:type="pct"/>
            <w:vAlign w:val="center"/>
          </w:tcPr>
          <w:p w14:paraId="75FB6ECD">
            <w:pPr>
              <w:pStyle w:val="21"/>
              <w:jc w:val="center"/>
              <w:rPr>
                <w:rFonts w:hint="eastAsia" w:cs="宋体"/>
                <w:color w:val="auto"/>
                <w:sz w:val="21"/>
                <w:szCs w:val="21"/>
                <w:highlight w:val="none"/>
                <w:lang w:val="zh-CN"/>
              </w:rPr>
            </w:pPr>
            <w:r>
              <w:rPr>
                <w:rFonts w:hint="eastAsia" w:cs="宋体"/>
                <w:color w:val="auto"/>
                <w:sz w:val="21"/>
                <w:szCs w:val="21"/>
                <w:highlight w:val="none"/>
                <w:lang w:val="zh-CN"/>
              </w:rPr>
              <w:t>投标文件</w:t>
            </w:r>
            <w:r>
              <w:rPr>
                <w:rFonts w:hint="eastAsia" w:cs="宋体"/>
                <w:color w:val="auto"/>
                <w:sz w:val="21"/>
                <w:szCs w:val="21"/>
                <w:highlight w:val="none"/>
              </w:rPr>
              <w:t>签署</w:t>
            </w:r>
          </w:p>
        </w:tc>
        <w:tc>
          <w:tcPr>
            <w:tcW w:w="2715" w:type="pct"/>
            <w:vAlign w:val="center"/>
          </w:tcPr>
          <w:p w14:paraId="36A5AFC0">
            <w:pPr>
              <w:pStyle w:val="21"/>
              <w:rPr>
                <w:rFonts w:hint="eastAsia" w:cs="宋体"/>
                <w:color w:val="auto"/>
                <w:sz w:val="21"/>
                <w:szCs w:val="21"/>
                <w:highlight w:val="none"/>
                <w:lang w:val="zh-CN"/>
              </w:rPr>
            </w:pPr>
            <w:r>
              <w:rPr>
                <w:rFonts w:hint="eastAsia" w:cs="宋体"/>
                <w:color w:val="auto"/>
                <w:sz w:val="21"/>
                <w:szCs w:val="21"/>
                <w:highlight w:val="none"/>
                <w:lang w:val="zh-CN"/>
              </w:rPr>
              <w:t>投标文件</w:t>
            </w:r>
            <w:r>
              <w:rPr>
                <w:rFonts w:hint="eastAsia" w:cs="宋体"/>
                <w:color w:val="auto"/>
                <w:sz w:val="21"/>
                <w:szCs w:val="21"/>
                <w:highlight w:val="none"/>
              </w:rPr>
              <w:t>按招标文件要求签署、盖章的</w:t>
            </w:r>
          </w:p>
        </w:tc>
        <w:tc>
          <w:tcPr>
            <w:tcW w:w="452" w:type="pct"/>
            <w:vAlign w:val="center"/>
          </w:tcPr>
          <w:p w14:paraId="443BED7D">
            <w:pPr>
              <w:pStyle w:val="21"/>
              <w:rPr>
                <w:rFonts w:hint="eastAsia" w:cs="宋体"/>
                <w:color w:val="auto"/>
                <w:sz w:val="21"/>
                <w:szCs w:val="21"/>
                <w:highlight w:val="none"/>
                <w:lang w:val="zh-CN"/>
              </w:rPr>
            </w:pPr>
          </w:p>
        </w:tc>
        <w:tc>
          <w:tcPr>
            <w:tcW w:w="568" w:type="pct"/>
            <w:vAlign w:val="center"/>
          </w:tcPr>
          <w:p w14:paraId="5DDE1CF8">
            <w:pPr>
              <w:pStyle w:val="21"/>
              <w:rPr>
                <w:rFonts w:hint="eastAsia" w:cs="宋体"/>
                <w:color w:val="auto"/>
                <w:sz w:val="21"/>
                <w:szCs w:val="21"/>
                <w:highlight w:val="none"/>
                <w:lang w:val="zh-CN"/>
              </w:rPr>
            </w:pPr>
          </w:p>
        </w:tc>
      </w:tr>
      <w:tr w14:paraId="46DFB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356" w:type="pct"/>
            <w:vAlign w:val="center"/>
          </w:tcPr>
          <w:p w14:paraId="34A1BF3F">
            <w:pPr>
              <w:pStyle w:val="21"/>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2</w:t>
            </w:r>
          </w:p>
        </w:tc>
        <w:tc>
          <w:tcPr>
            <w:tcW w:w="908" w:type="pct"/>
            <w:vAlign w:val="center"/>
          </w:tcPr>
          <w:p w14:paraId="5CC836F9">
            <w:pPr>
              <w:pStyle w:val="21"/>
              <w:jc w:val="center"/>
              <w:rPr>
                <w:rFonts w:hint="eastAsia" w:cs="宋体"/>
                <w:color w:val="auto"/>
                <w:sz w:val="21"/>
                <w:szCs w:val="21"/>
                <w:highlight w:val="none"/>
                <w:lang w:val="zh-CN"/>
              </w:rPr>
            </w:pPr>
            <w:r>
              <w:rPr>
                <w:rFonts w:hint="eastAsia" w:cs="宋体"/>
                <w:color w:val="auto"/>
                <w:sz w:val="21"/>
                <w:szCs w:val="21"/>
                <w:highlight w:val="none"/>
                <w:lang w:val="zh-CN"/>
              </w:rPr>
              <w:t>合同履约期限</w:t>
            </w:r>
          </w:p>
        </w:tc>
        <w:tc>
          <w:tcPr>
            <w:tcW w:w="2715" w:type="pct"/>
            <w:vAlign w:val="center"/>
          </w:tcPr>
          <w:p w14:paraId="7F4D6225">
            <w:pPr>
              <w:pStyle w:val="21"/>
              <w:rPr>
                <w:rFonts w:hint="eastAsia" w:cs="宋体"/>
                <w:color w:val="auto"/>
                <w:sz w:val="21"/>
                <w:szCs w:val="21"/>
                <w:highlight w:val="none"/>
                <w:lang w:val="zh-CN"/>
              </w:rPr>
            </w:pPr>
            <w:r>
              <w:rPr>
                <w:rFonts w:hint="eastAsia" w:cs="宋体"/>
                <w:color w:val="auto"/>
                <w:sz w:val="21"/>
                <w:szCs w:val="21"/>
                <w:highlight w:val="none"/>
                <w:lang w:val="zh-CN"/>
              </w:rPr>
              <w:t>合同履约期限满足招标文件规定的；</w:t>
            </w:r>
          </w:p>
        </w:tc>
        <w:tc>
          <w:tcPr>
            <w:tcW w:w="452" w:type="pct"/>
            <w:vAlign w:val="center"/>
          </w:tcPr>
          <w:p w14:paraId="3EBBF82B">
            <w:pPr>
              <w:pStyle w:val="21"/>
              <w:rPr>
                <w:rFonts w:hint="eastAsia" w:cs="宋体"/>
                <w:color w:val="auto"/>
                <w:sz w:val="21"/>
                <w:szCs w:val="21"/>
                <w:highlight w:val="none"/>
                <w:lang w:val="zh-CN"/>
              </w:rPr>
            </w:pPr>
          </w:p>
        </w:tc>
        <w:tc>
          <w:tcPr>
            <w:tcW w:w="568" w:type="pct"/>
            <w:vAlign w:val="center"/>
          </w:tcPr>
          <w:p w14:paraId="7E9D07F3">
            <w:pPr>
              <w:pStyle w:val="21"/>
              <w:rPr>
                <w:rFonts w:hint="eastAsia" w:cs="宋体"/>
                <w:color w:val="auto"/>
                <w:sz w:val="21"/>
                <w:szCs w:val="21"/>
                <w:highlight w:val="none"/>
                <w:lang w:val="zh-CN"/>
              </w:rPr>
            </w:pPr>
          </w:p>
        </w:tc>
      </w:tr>
      <w:tr w14:paraId="37087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trPr>
        <w:tc>
          <w:tcPr>
            <w:tcW w:w="356" w:type="pct"/>
            <w:vAlign w:val="center"/>
          </w:tcPr>
          <w:p w14:paraId="01434C58">
            <w:pPr>
              <w:pStyle w:val="21"/>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3</w:t>
            </w:r>
          </w:p>
        </w:tc>
        <w:tc>
          <w:tcPr>
            <w:tcW w:w="908" w:type="pct"/>
            <w:vAlign w:val="center"/>
          </w:tcPr>
          <w:p w14:paraId="5CED7495">
            <w:pPr>
              <w:pStyle w:val="21"/>
              <w:jc w:val="center"/>
              <w:rPr>
                <w:rFonts w:hint="eastAsia" w:cs="宋体"/>
                <w:color w:val="auto"/>
                <w:sz w:val="21"/>
                <w:szCs w:val="21"/>
                <w:highlight w:val="none"/>
                <w:lang w:val="zh-CN"/>
              </w:rPr>
            </w:pPr>
            <w:r>
              <w:rPr>
                <w:rFonts w:hint="eastAsia" w:cs="宋体"/>
                <w:color w:val="auto"/>
                <w:sz w:val="21"/>
                <w:szCs w:val="21"/>
                <w:highlight w:val="none"/>
                <w:lang w:val="zh-CN"/>
              </w:rPr>
              <w:t>投标报价</w:t>
            </w:r>
          </w:p>
        </w:tc>
        <w:tc>
          <w:tcPr>
            <w:tcW w:w="2715" w:type="pct"/>
            <w:vAlign w:val="center"/>
          </w:tcPr>
          <w:p w14:paraId="184EE329">
            <w:pPr>
              <w:pStyle w:val="21"/>
              <w:rPr>
                <w:rFonts w:hint="eastAsia" w:cs="宋体"/>
                <w:color w:val="auto"/>
                <w:sz w:val="21"/>
                <w:szCs w:val="21"/>
                <w:highlight w:val="none"/>
              </w:rPr>
            </w:pPr>
            <w:r>
              <w:rPr>
                <w:rFonts w:hint="eastAsia" w:cs="宋体"/>
                <w:color w:val="auto"/>
                <w:sz w:val="21"/>
                <w:szCs w:val="21"/>
                <w:highlight w:val="none"/>
              </w:rPr>
              <w:t>投标人报价未超过招标文件中规定的最高限价或者预算金额的</w:t>
            </w:r>
          </w:p>
        </w:tc>
        <w:tc>
          <w:tcPr>
            <w:tcW w:w="452" w:type="pct"/>
            <w:vAlign w:val="center"/>
          </w:tcPr>
          <w:p w14:paraId="4DA92C29">
            <w:pPr>
              <w:pStyle w:val="21"/>
              <w:rPr>
                <w:rFonts w:hint="eastAsia" w:cs="宋体"/>
                <w:color w:val="auto"/>
                <w:sz w:val="21"/>
                <w:szCs w:val="21"/>
                <w:highlight w:val="none"/>
                <w:lang w:val="zh-CN"/>
              </w:rPr>
            </w:pPr>
          </w:p>
        </w:tc>
        <w:tc>
          <w:tcPr>
            <w:tcW w:w="568" w:type="pct"/>
            <w:vAlign w:val="center"/>
          </w:tcPr>
          <w:p w14:paraId="7EF1D015">
            <w:pPr>
              <w:pStyle w:val="21"/>
              <w:rPr>
                <w:rFonts w:hint="eastAsia" w:cs="宋体"/>
                <w:color w:val="auto"/>
                <w:sz w:val="21"/>
                <w:szCs w:val="21"/>
                <w:highlight w:val="none"/>
                <w:lang w:val="zh-CN"/>
              </w:rPr>
            </w:pPr>
          </w:p>
        </w:tc>
      </w:tr>
      <w:tr w14:paraId="1D026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56" w:type="pct"/>
            <w:vAlign w:val="center"/>
          </w:tcPr>
          <w:p w14:paraId="7AFF0949">
            <w:pPr>
              <w:pStyle w:val="21"/>
              <w:ind w:left="420" w:hanging="420"/>
              <w:jc w:val="center"/>
              <w:rPr>
                <w:rFonts w:hint="eastAsia" w:cs="宋体"/>
                <w:color w:val="auto"/>
                <w:sz w:val="21"/>
                <w:szCs w:val="21"/>
                <w:highlight w:val="none"/>
              </w:rPr>
            </w:pPr>
            <w:r>
              <w:rPr>
                <w:rFonts w:hint="eastAsia" w:cs="宋体"/>
                <w:color w:val="auto"/>
                <w:sz w:val="21"/>
                <w:szCs w:val="21"/>
                <w:highlight w:val="none"/>
              </w:rPr>
              <w:t>4</w:t>
            </w:r>
          </w:p>
        </w:tc>
        <w:tc>
          <w:tcPr>
            <w:tcW w:w="908" w:type="pct"/>
            <w:vAlign w:val="center"/>
          </w:tcPr>
          <w:p w14:paraId="197212C6">
            <w:pPr>
              <w:pStyle w:val="21"/>
              <w:jc w:val="center"/>
              <w:rPr>
                <w:rFonts w:hint="eastAsia" w:cs="宋体"/>
                <w:color w:val="auto"/>
                <w:sz w:val="21"/>
                <w:szCs w:val="21"/>
                <w:highlight w:val="none"/>
              </w:rPr>
            </w:pPr>
            <w:r>
              <w:rPr>
                <w:rFonts w:hint="eastAsia" w:cs="宋体"/>
                <w:color w:val="auto"/>
                <w:sz w:val="21"/>
                <w:szCs w:val="21"/>
                <w:highlight w:val="none"/>
              </w:rPr>
              <w:t>保证金</w:t>
            </w:r>
          </w:p>
        </w:tc>
        <w:tc>
          <w:tcPr>
            <w:tcW w:w="2715" w:type="pct"/>
            <w:vAlign w:val="center"/>
          </w:tcPr>
          <w:p w14:paraId="3DC1CC6C">
            <w:pPr>
              <w:pStyle w:val="21"/>
              <w:rPr>
                <w:rFonts w:hint="eastAsia" w:cs="宋体"/>
                <w:color w:val="auto"/>
                <w:sz w:val="21"/>
                <w:szCs w:val="21"/>
                <w:highlight w:val="none"/>
              </w:rPr>
            </w:pPr>
            <w:r>
              <w:rPr>
                <w:rFonts w:hint="eastAsia" w:cs="宋体"/>
                <w:color w:val="auto"/>
                <w:sz w:val="21"/>
                <w:szCs w:val="21"/>
                <w:highlight w:val="none"/>
              </w:rPr>
              <w:t>招标文件规定应当缴纳的，投标人按招标文件的规定缴纳保证金的</w:t>
            </w:r>
          </w:p>
        </w:tc>
        <w:tc>
          <w:tcPr>
            <w:tcW w:w="452" w:type="pct"/>
            <w:vAlign w:val="center"/>
          </w:tcPr>
          <w:p w14:paraId="79D7E9C8">
            <w:pPr>
              <w:pStyle w:val="21"/>
              <w:rPr>
                <w:rFonts w:hint="eastAsia" w:cs="宋体"/>
                <w:color w:val="auto"/>
                <w:sz w:val="21"/>
                <w:szCs w:val="21"/>
                <w:highlight w:val="none"/>
                <w:lang w:val="zh-CN"/>
              </w:rPr>
            </w:pPr>
          </w:p>
        </w:tc>
        <w:tc>
          <w:tcPr>
            <w:tcW w:w="568" w:type="pct"/>
            <w:vAlign w:val="center"/>
          </w:tcPr>
          <w:p w14:paraId="05087E6B">
            <w:pPr>
              <w:pStyle w:val="21"/>
              <w:rPr>
                <w:rFonts w:hint="eastAsia" w:cs="宋体"/>
                <w:color w:val="auto"/>
                <w:sz w:val="21"/>
                <w:szCs w:val="21"/>
                <w:highlight w:val="none"/>
                <w:lang w:val="zh-CN"/>
              </w:rPr>
            </w:pPr>
          </w:p>
        </w:tc>
      </w:tr>
      <w:tr w14:paraId="0E475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56" w:type="pct"/>
            <w:vAlign w:val="center"/>
          </w:tcPr>
          <w:p w14:paraId="10323052">
            <w:pPr>
              <w:pStyle w:val="21"/>
              <w:ind w:left="420" w:hanging="420"/>
              <w:jc w:val="center"/>
              <w:rPr>
                <w:rFonts w:hint="eastAsia" w:cs="宋体"/>
                <w:color w:val="auto"/>
                <w:sz w:val="21"/>
                <w:szCs w:val="21"/>
                <w:highlight w:val="none"/>
              </w:rPr>
            </w:pPr>
            <w:r>
              <w:rPr>
                <w:rFonts w:hint="eastAsia" w:cs="宋体"/>
                <w:color w:val="auto"/>
                <w:sz w:val="21"/>
                <w:szCs w:val="21"/>
                <w:highlight w:val="none"/>
              </w:rPr>
              <w:t>5</w:t>
            </w:r>
          </w:p>
        </w:tc>
        <w:tc>
          <w:tcPr>
            <w:tcW w:w="908" w:type="pct"/>
            <w:vAlign w:val="center"/>
          </w:tcPr>
          <w:p w14:paraId="3663E44A">
            <w:pPr>
              <w:pStyle w:val="21"/>
              <w:jc w:val="center"/>
              <w:rPr>
                <w:rFonts w:hint="eastAsia" w:cs="宋体"/>
                <w:color w:val="auto"/>
                <w:sz w:val="21"/>
                <w:szCs w:val="21"/>
                <w:highlight w:val="none"/>
              </w:rPr>
            </w:pPr>
            <w:r>
              <w:rPr>
                <w:rFonts w:hint="eastAsia" w:cs="宋体"/>
                <w:color w:val="auto"/>
                <w:sz w:val="21"/>
                <w:szCs w:val="21"/>
                <w:highlight w:val="none"/>
              </w:rPr>
              <w:t>投标有效期</w:t>
            </w:r>
          </w:p>
        </w:tc>
        <w:tc>
          <w:tcPr>
            <w:tcW w:w="2715" w:type="pct"/>
            <w:vAlign w:val="center"/>
          </w:tcPr>
          <w:p w14:paraId="57C0950D">
            <w:pPr>
              <w:pStyle w:val="21"/>
              <w:rPr>
                <w:rFonts w:hint="eastAsia" w:cs="宋体"/>
                <w:color w:val="auto"/>
                <w:sz w:val="21"/>
                <w:szCs w:val="21"/>
                <w:highlight w:val="none"/>
              </w:rPr>
            </w:pPr>
            <w:r>
              <w:rPr>
                <w:rFonts w:hint="eastAsia" w:cs="宋体"/>
                <w:color w:val="auto"/>
                <w:sz w:val="21"/>
                <w:szCs w:val="21"/>
                <w:highlight w:val="none"/>
                <w:lang w:val="zh-CN"/>
              </w:rPr>
              <w:t>投标有效期满足招标文件要求；</w:t>
            </w:r>
          </w:p>
        </w:tc>
        <w:tc>
          <w:tcPr>
            <w:tcW w:w="452" w:type="pct"/>
            <w:vAlign w:val="center"/>
          </w:tcPr>
          <w:p w14:paraId="63A1AC98">
            <w:pPr>
              <w:pStyle w:val="21"/>
              <w:rPr>
                <w:rFonts w:hint="eastAsia" w:cs="宋体"/>
                <w:color w:val="auto"/>
                <w:sz w:val="21"/>
                <w:szCs w:val="21"/>
                <w:highlight w:val="none"/>
                <w:lang w:val="zh-CN"/>
              </w:rPr>
            </w:pPr>
          </w:p>
        </w:tc>
        <w:tc>
          <w:tcPr>
            <w:tcW w:w="568" w:type="pct"/>
            <w:vAlign w:val="center"/>
          </w:tcPr>
          <w:p w14:paraId="33475B27">
            <w:pPr>
              <w:pStyle w:val="21"/>
              <w:rPr>
                <w:rFonts w:hint="eastAsia" w:cs="宋体"/>
                <w:color w:val="auto"/>
                <w:sz w:val="21"/>
                <w:szCs w:val="21"/>
                <w:highlight w:val="none"/>
                <w:lang w:val="zh-CN"/>
              </w:rPr>
            </w:pPr>
          </w:p>
        </w:tc>
      </w:tr>
      <w:tr w14:paraId="78735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56" w:type="pct"/>
            <w:vAlign w:val="center"/>
          </w:tcPr>
          <w:p w14:paraId="1B5029FA">
            <w:pPr>
              <w:pStyle w:val="21"/>
              <w:ind w:left="420" w:hanging="420"/>
              <w:jc w:val="center"/>
              <w:rPr>
                <w:rFonts w:hint="eastAsia" w:cs="宋体"/>
                <w:color w:val="auto"/>
                <w:sz w:val="21"/>
                <w:szCs w:val="21"/>
                <w:highlight w:val="none"/>
              </w:rPr>
            </w:pPr>
            <w:r>
              <w:rPr>
                <w:rFonts w:hint="eastAsia" w:cs="宋体"/>
                <w:color w:val="auto"/>
                <w:sz w:val="21"/>
                <w:szCs w:val="21"/>
                <w:highlight w:val="none"/>
              </w:rPr>
              <w:t>6</w:t>
            </w:r>
          </w:p>
        </w:tc>
        <w:tc>
          <w:tcPr>
            <w:tcW w:w="908" w:type="pct"/>
            <w:vAlign w:val="center"/>
          </w:tcPr>
          <w:p w14:paraId="451F8EBA">
            <w:pPr>
              <w:pStyle w:val="21"/>
              <w:jc w:val="center"/>
              <w:rPr>
                <w:rFonts w:hint="eastAsia" w:cs="宋体"/>
                <w:color w:val="auto"/>
                <w:sz w:val="21"/>
                <w:szCs w:val="21"/>
                <w:highlight w:val="none"/>
              </w:rPr>
            </w:pPr>
            <w:r>
              <w:rPr>
                <w:rFonts w:hint="eastAsia" w:cs="宋体"/>
                <w:color w:val="auto"/>
                <w:sz w:val="21"/>
                <w:szCs w:val="21"/>
                <w:highlight w:val="none"/>
              </w:rPr>
              <w:t>其它实质性要求</w:t>
            </w:r>
          </w:p>
        </w:tc>
        <w:tc>
          <w:tcPr>
            <w:tcW w:w="2715" w:type="pct"/>
            <w:vAlign w:val="center"/>
          </w:tcPr>
          <w:p w14:paraId="67A86A2C">
            <w:pPr>
              <w:pStyle w:val="21"/>
              <w:rPr>
                <w:rFonts w:hint="eastAsia" w:cs="宋体"/>
                <w:color w:val="auto"/>
                <w:sz w:val="21"/>
                <w:szCs w:val="21"/>
                <w:highlight w:val="none"/>
              </w:rPr>
            </w:pPr>
            <w:r>
              <w:rPr>
                <w:rFonts w:hint="eastAsia" w:cs="宋体"/>
                <w:color w:val="auto"/>
                <w:sz w:val="21"/>
                <w:szCs w:val="21"/>
                <w:highlight w:val="none"/>
              </w:rPr>
              <w:t>符合招标文件中规定的其它实质性要求的；</w:t>
            </w:r>
          </w:p>
        </w:tc>
        <w:tc>
          <w:tcPr>
            <w:tcW w:w="452" w:type="pct"/>
            <w:vAlign w:val="center"/>
          </w:tcPr>
          <w:p w14:paraId="49EF5FBF">
            <w:pPr>
              <w:pStyle w:val="21"/>
              <w:rPr>
                <w:rFonts w:hint="eastAsia" w:cs="宋体"/>
                <w:color w:val="auto"/>
                <w:sz w:val="21"/>
                <w:szCs w:val="21"/>
                <w:highlight w:val="none"/>
                <w:lang w:val="zh-CN"/>
              </w:rPr>
            </w:pPr>
          </w:p>
        </w:tc>
        <w:tc>
          <w:tcPr>
            <w:tcW w:w="568" w:type="pct"/>
            <w:vAlign w:val="center"/>
          </w:tcPr>
          <w:p w14:paraId="1EF90B73">
            <w:pPr>
              <w:pStyle w:val="21"/>
              <w:rPr>
                <w:rFonts w:hint="eastAsia" w:cs="宋体"/>
                <w:color w:val="auto"/>
                <w:sz w:val="21"/>
                <w:szCs w:val="21"/>
                <w:highlight w:val="none"/>
                <w:lang w:val="zh-CN"/>
              </w:rPr>
            </w:pPr>
          </w:p>
        </w:tc>
      </w:tr>
      <w:tr w14:paraId="1E020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56" w:type="pct"/>
            <w:vAlign w:val="center"/>
          </w:tcPr>
          <w:p w14:paraId="2E789BAE">
            <w:pPr>
              <w:pStyle w:val="21"/>
              <w:ind w:left="420" w:hanging="420"/>
              <w:jc w:val="center"/>
              <w:rPr>
                <w:rFonts w:hint="eastAsia" w:cs="宋体"/>
                <w:color w:val="auto"/>
                <w:sz w:val="21"/>
                <w:szCs w:val="21"/>
                <w:highlight w:val="none"/>
                <w:lang w:val="zh-CN"/>
              </w:rPr>
            </w:pPr>
            <w:r>
              <w:rPr>
                <w:rFonts w:hint="eastAsia" w:cs="宋体"/>
                <w:color w:val="auto"/>
                <w:sz w:val="21"/>
                <w:szCs w:val="21"/>
                <w:highlight w:val="none"/>
              </w:rPr>
              <w:t>7</w:t>
            </w:r>
          </w:p>
        </w:tc>
        <w:tc>
          <w:tcPr>
            <w:tcW w:w="908" w:type="pct"/>
            <w:vAlign w:val="center"/>
          </w:tcPr>
          <w:p w14:paraId="75553859">
            <w:pPr>
              <w:pStyle w:val="21"/>
              <w:jc w:val="center"/>
              <w:rPr>
                <w:rFonts w:hint="eastAsia" w:cs="宋体"/>
                <w:color w:val="auto"/>
                <w:sz w:val="21"/>
                <w:szCs w:val="21"/>
                <w:highlight w:val="none"/>
              </w:rPr>
            </w:pPr>
            <w:r>
              <w:rPr>
                <w:rFonts w:hint="eastAsia" w:cs="宋体"/>
                <w:color w:val="auto"/>
                <w:sz w:val="21"/>
                <w:szCs w:val="21"/>
                <w:highlight w:val="none"/>
              </w:rPr>
              <w:t>虚假材料</w:t>
            </w:r>
          </w:p>
        </w:tc>
        <w:tc>
          <w:tcPr>
            <w:tcW w:w="2715" w:type="pct"/>
            <w:vAlign w:val="center"/>
          </w:tcPr>
          <w:p w14:paraId="59128E0B">
            <w:pPr>
              <w:pStyle w:val="21"/>
              <w:rPr>
                <w:rFonts w:hint="eastAsia" w:cs="宋体"/>
                <w:color w:val="auto"/>
                <w:sz w:val="21"/>
                <w:szCs w:val="21"/>
                <w:highlight w:val="none"/>
                <w:lang w:val="zh-CN"/>
              </w:rPr>
            </w:pPr>
            <w:r>
              <w:rPr>
                <w:rFonts w:hint="eastAsia" w:cs="宋体"/>
                <w:color w:val="auto"/>
                <w:sz w:val="21"/>
                <w:szCs w:val="21"/>
                <w:highlight w:val="none"/>
              </w:rPr>
              <w:t>投标</w:t>
            </w:r>
            <w:r>
              <w:rPr>
                <w:rFonts w:hint="eastAsia" w:cs="宋体"/>
                <w:color w:val="auto"/>
                <w:sz w:val="21"/>
                <w:szCs w:val="21"/>
                <w:highlight w:val="none"/>
                <w:lang w:val="zh-CN"/>
              </w:rPr>
              <w:t>文件</w:t>
            </w:r>
            <w:r>
              <w:rPr>
                <w:rFonts w:hint="eastAsia" w:cs="宋体"/>
                <w:color w:val="auto"/>
                <w:sz w:val="21"/>
                <w:szCs w:val="21"/>
                <w:highlight w:val="none"/>
              </w:rPr>
              <w:t>未</w:t>
            </w:r>
            <w:r>
              <w:rPr>
                <w:rFonts w:hint="eastAsia" w:cs="宋体"/>
                <w:color w:val="auto"/>
                <w:sz w:val="21"/>
                <w:szCs w:val="21"/>
                <w:highlight w:val="none"/>
                <w:lang w:val="zh-CN"/>
              </w:rPr>
              <w:t>提供虚假材料的</w:t>
            </w:r>
          </w:p>
        </w:tc>
        <w:tc>
          <w:tcPr>
            <w:tcW w:w="452" w:type="pct"/>
            <w:vAlign w:val="center"/>
          </w:tcPr>
          <w:p w14:paraId="28921FD4">
            <w:pPr>
              <w:pStyle w:val="21"/>
              <w:rPr>
                <w:rFonts w:hint="eastAsia" w:cs="宋体"/>
                <w:color w:val="auto"/>
                <w:sz w:val="21"/>
                <w:szCs w:val="21"/>
                <w:highlight w:val="none"/>
                <w:lang w:val="zh-CN"/>
              </w:rPr>
            </w:pPr>
          </w:p>
        </w:tc>
        <w:tc>
          <w:tcPr>
            <w:tcW w:w="568" w:type="pct"/>
            <w:vAlign w:val="center"/>
          </w:tcPr>
          <w:p w14:paraId="075D9471">
            <w:pPr>
              <w:pStyle w:val="21"/>
              <w:rPr>
                <w:rFonts w:hint="eastAsia" w:cs="宋体"/>
                <w:color w:val="auto"/>
                <w:sz w:val="21"/>
                <w:szCs w:val="21"/>
                <w:highlight w:val="none"/>
                <w:lang w:val="zh-CN"/>
              </w:rPr>
            </w:pPr>
          </w:p>
        </w:tc>
      </w:tr>
      <w:tr w14:paraId="27AF0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356" w:type="pct"/>
            <w:vAlign w:val="center"/>
          </w:tcPr>
          <w:p w14:paraId="25C277A5">
            <w:pPr>
              <w:pStyle w:val="21"/>
              <w:ind w:left="420" w:hanging="420"/>
              <w:jc w:val="center"/>
              <w:rPr>
                <w:rFonts w:hint="eastAsia" w:cs="宋体"/>
                <w:color w:val="auto"/>
                <w:sz w:val="21"/>
                <w:szCs w:val="21"/>
                <w:highlight w:val="none"/>
                <w:lang w:val="zh-CN"/>
              </w:rPr>
            </w:pPr>
            <w:r>
              <w:rPr>
                <w:rFonts w:hint="eastAsia" w:cs="宋体"/>
                <w:color w:val="auto"/>
                <w:sz w:val="21"/>
                <w:szCs w:val="21"/>
                <w:highlight w:val="none"/>
              </w:rPr>
              <w:t>8</w:t>
            </w:r>
          </w:p>
        </w:tc>
        <w:tc>
          <w:tcPr>
            <w:tcW w:w="908" w:type="pct"/>
            <w:vAlign w:val="center"/>
          </w:tcPr>
          <w:p w14:paraId="6DCFED04">
            <w:pPr>
              <w:pStyle w:val="21"/>
              <w:jc w:val="center"/>
              <w:rPr>
                <w:rFonts w:hint="eastAsia" w:cs="宋体"/>
                <w:color w:val="auto"/>
                <w:sz w:val="21"/>
                <w:szCs w:val="21"/>
                <w:highlight w:val="none"/>
              </w:rPr>
            </w:pPr>
            <w:r>
              <w:rPr>
                <w:rFonts w:hint="eastAsia" w:cs="宋体"/>
                <w:color w:val="auto"/>
                <w:sz w:val="21"/>
                <w:szCs w:val="21"/>
                <w:highlight w:val="none"/>
              </w:rPr>
              <w:t>投标人影响评审</w:t>
            </w:r>
          </w:p>
        </w:tc>
        <w:tc>
          <w:tcPr>
            <w:tcW w:w="2715" w:type="pct"/>
            <w:vAlign w:val="center"/>
          </w:tcPr>
          <w:p w14:paraId="32EDE7F0">
            <w:pPr>
              <w:pStyle w:val="21"/>
              <w:rPr>
                <w:rFonts w:hint="eastAsia" w:cs="宋体"/>
                <w:color w:val="auto"/>
                <w:sz w:val="21"/>
                <w:szCs w:val="21"/>
                <w:highlight w:val="none"/>
              </w:rPr>
            </w:pPr>
            <w:r>
              <w:rPr>
                <w:rFonts w:hint="eastAsia" w:cs="宋体"/>
                <w:color w:val="auto"/>
                <w:sz w:val="21"/>
                <w:szCs w:val="21"/>
                <w:highlight w:val="none"/>
              </w:rPr>
              <w:t>投标人</w:t>
            </w:r>
            <w:r>
              <w:rPr>
                <w:rFonts w:hint="eastAsia" w:cs="宋体"/>
                <w:color w:val="auto"/>
                <w:sz w:val="21"/>
                <w:szCs w:val="21"/>
                <w:highlight w:val="none"/>
                <w:lang w:val="zh-CN"/>
              </w:rPr>
              <w:t>对采购人、采购代理机构、</w:t>
            </w:r>
            <w:r>
              <w:rPr>
                <w:rFonts w:hint="eastAsia" w:cs="宋体"/>
                <w:color w:val="auto"/>
                <w:sz w:val="21"/>
                <w:szCs w:val="21"/>
                <w:highlight w:val="none"/>
              </w:rPr>
              <w:t>评审</w:t>
            </w:r>
            <w:r>
              <w:rPr>
                <w:rFonts w:hint="eastAsia" w:cs="宋体"/>
                <w:color w:val="auto"/>
                <w:sz w:val="21"/>
                <w:szCs w:val="21"/>
                <w:highlight w:val="none"/>
                <w:lang w:val="zh-CN"/>
              </w:rPr>
              <w:t>小组及其工作人员</w:t>
            </w:r>
            <w:r>
              <w:rPr>
                <w:rFonts w:hint="eastAsia" w:cs="宋体"/>
                <w:color w:val="auto"/>
                <w:sz w:val="21"/>
                <w:szCs w:val="21"/>
                <w:highlight w:val="none"/>
              </w:rPr>
              <w:t>未</w:t>
            </w:r>
            <w:r>
              <w:rPr>
                <w:rFonts w:hint="eastAsia" w:cs="宋体"/>
                <w:color w:val="auto"/>
                <w:sz w:val="21"/>
                <w:szCs w:val="21"/>
                <w:highlight w:val="none"/>
                <w:lang w:val="zh-CN"/>
              </w:rPr>
              <w:t>施加影响，</w:t>
            </w:r>
            <w:r>
              <w:rPr>
                <w:rFonts w:hint="eastAsia" w:cs="宋体"/>
                <w:color w:val="auto"/>
                <w:sz w:val="21"/>
                <w:szCs w:val="21"/>
                <w:highlight w:val="none"/>
              </w:rPr>
              <w:t>无</w:t>
            </w:r>
            <w:r>
              <w:rPr>
                <w:rFonts w:hint="eastAsia" w:cs="宋体"/>
                <w:color w:val="auto"/>
                <w:sz w:val="21"/>
                <w:szCs w:val="21"/>
                <w:highlight w:val="none"/>
                <w:lang w:val="zh-CN"/>
              </w:rPr>
              <w:t>有碍公平、公正</w:t>
            </w:r>
            <w:r>
              <w:rPr>
                <w:rFonts w:hint="eastAsia" w:cs="宋体"/>
                <w:color w:val="auto"/>
                <w:sz w:val="21"/>
                <w:szCs w:val="21"/>
                <w:highlight w:val="none"/>
              </w:rPr>
              <w:t>行为的</w:t>
            </w:r>
          </w:p>
        </w:tc>
        <w:tc>
          <w:tcPr>
            <w:tcW w:w="452" w:type="pct"/>
            <w:vAlign w:val="center"/>
          </w:tcPr>
          <w:p w14:paraId="2FF5EEA8">
            <w:pPr>
              <w:pStyle w:val="21"/>
              <w:rPr>
                <w:rFonts w:hint="eastAsia" w:cs="宋体"/>
                <w:color w:val="auto"/>
                <w:sz w:val="21"/>
                <w:szCs w:val="21"/>
                <w:highlight w:val="none"/>
                <w:lang w:val="zh-CN"/>
              </w:rPr>
            </w:pPr>
          </w:p>
        </w:tc>
        <w:tc>
          <w:tcPr>
            <w:tcW w:w="568" w:type="pct"/>
            <w:vAlign w:val="center"/>
          </w:tcPr>
          <w:p w14:paraId="0CE63E7D">
            <w:pPr>
              <w:pStyle w:val="21"/>
              <w:rPr>
                <w:rFonts w:hint="eastAsia" w:cs="宋体"/>
                <w:color w:val="auto"/>
                <w:sz w:val="21"/>
                <w:szCs w:val="21"/>
                <w:highlight w:val="none"/>
                <w:lang w:val="zh-CN"/>
              </w:rPr>
            </w:pPr>
          </w:p>
        </w:tc>
      </w:tr>
      <w:tr w14:paraId="6B90C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56" w:type="pct"/>
            <w:vAlign w:val="center"/>
          </w:tcPr>
          <w:p w14:paraId="63410B97">
            <w:pPr>
              <w:pStyle w:val="21"/>
              <w:ind w:left="420" w:hanging="420"/>
              <w:jc w:val="center"/>
              <w:rPr>
                <w:rFonts w:hint="eastAsia" w:cs="宋体"/>
                <w:color w:val="auto"/>
                <w:sz w:val="21"/>
                <w:szCs w:val="21"/>
                <w:highlight w:val="none"/>
              </w:rPr>
            </w:pPr>
            <w:r>
              <w:rPr>
                <w:rFonts w:hint="eastAsia" w:cs="宋体"/>
                <w:color w:val="auto"/>
                <w:sz w:val="21"/>
                <w:szCs w:val="21"/>
                <w:highlight w:val="none"/>
              </w:rPr>
              <w:t>9</w:t>
            </w:r>
          </w:p>
        </w:tc>
        <w:tc>
          <w:tcPr>
            <w:tcW w:w="908" w:type="pct"/>
            <w:vAlign w:val="center"/>
          </w:tcPr>
          <w:p w14:paraId="0D5642A9">
            <w:pPr>
              <w:pStyle w:val="21"/>
              <w:jc w:val="center"/>
              <w:rPr>
                <w:rFonts w:hint="eastAsia" w:cs="宋体"/>
                <w:color w:val="auto"/>
                <w:sz w:val="21"/>
                <w:szCs w:val="21"/>
                <w:highlight w:val="none"/>
              </w:rPr>
            </w:pPr>
            <w:r>
              <w:rPr>
                <w:rFonts w:hint="eastAsia" w:cs="宋体"/>
                <w:color w:val="auto"/>
                <w:sz w:val="21"/>
                <w:szCs w:val="21"/>
                <w:highlight w:val="none"/>
              </w:rPr>
              <w:t>附加条件</w:t>
            </w:r>
          </w:p>
        </w:tc>
        <w:tc>
          <w:tcPr>
            <w:tcW w:w="2715" w:type="pct"/>
            <w:vAlign w:val="center"/>
          </w:tcPr>
          <w:p w14:paraId="66CB92AC">
            <w:pPr>
              <w:pStyle w:val="21"/>
              <w:rPr>
                <w:rFonts w:hint="eastAsia" w:cs="宋体"/>
                <w:color w:val="auto"/>
                <w:sz w:val="21"/>
                <w:szCs w:val="21"/>
                <w:highlight w:val="none"/>
              </w:rPr>
            </w:pPr>
            <w:r>
              <w:rPr>
                <w:rFonts w:hint="eastAsia" w:cs="宋体"/>
                <w:color w:val="auto"/>
                <w:sz w:val="21"/>
                <w:szCs w:val="21"/>
                <w:highlight w:val="none"/>
              </w:rPr>
              <w:t>投标文件没有采购人不能接受的附加条件的</w:t>
            </w:r>
          </w:p>
        </w:tc>
        <w:tc>
          <w:tcPr>
            <w:tcW w:w="452" w:type="pct"/>
            <w:vAlign w:val="center"/>
          </w:tcPr>
          <w:p w14:paraId="689C850A">
            <w:pPr>
              <w:pStyle w:val="21"/>
              <w:rPr>
                <w:rFonts w:hint="eastAsia" w:cs="宋体"/>
                <w:color w:val="auto"/>
                <w:sz w:val="21"/>
                <w:szCs w:val="21"/>
                <w:highlight w:val="none"/>
                <w:lang w:val="zh-CN"/>
              </w:rPr>
            </w:pPr>
          </w:p>
        </w:tc>
        <w:tc>
          <w:tcPr>
            <w:tcW w:w="568" w:type="pct"/>
            <w:vAlign w:val="center"/>
          </w:tcPr>
          <w:p w14:paraId="77307F92">
            <w:pPr>
              <w:pStyle w:val="21"/>
              <w:rPr>
                <w:rFonts w:hint="eastAsia" w:cs="宋体"/>
                <w:color w:val="auto"/>
                <w:sz w:val="21"/>
                <w:szCs w:val="21"/>
                <w:highlight w:val="none"/>
                <w:lang w:val="zh-CN"/>
              </w:rPr>
            </w:pPr>
          </w:p>
        </w:tc>
      </w:tr>
      <w:tr w14:paraId="0BB15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trPr>
        <w:tc>
          <w:tcPr>
            <w:tcW w:w="356" w:type="pct"/>
            <w:vAlign w:val="center"/>
          </w:tcPr>
          <w:p w14:paraId="23A57795">
            <w:pPr>
              <w:pStyle w:val="21"/>
              <w:ind w:left="420" w:hanging="420"/>
              <w:jc w:val="center"/>
              <w:rPr>
                <w:rFonts w:hint="eastAsia" w:cs="宋体"/>
                <w:color w:val="auto"/>
                <w:sz w:val="21"/>
                <w:szCs w:val="21"/>
                <w:highlight w:val="none"/>
              </w:rPr>
            </w:pPr>
            <w:r>
              <w:rPr>
                <w:rFonts w:hint="eastAsia" w:cs="宋体"/>
                <w:color w:val="auto"/>
                <w:sz w:val="21"/>
                <w:szCs w:val="21"/>
                <w:highlight w:val="none"/>
              </w:rPr>
              <w:t>10</w:t>
            </w:r>
          </w:p>
        </w:tc>
        <w:tc>
          <w:tcPr>
            <w:tcW w:w="908" w:type="pct"/>
            <w:vAlign w:val="center"/>
          </w:tcPr>
          <w:p w14:paraId="401745FD">
            <w:pPr>
              <w:pStyle w:val="21"/>
              <w:jc w:val="center"/>
              <w:rPr>
                <w:rFonts w:hint="eastAsia" w:cs="宋体"/>
                <w:color w:val="auto"/>
                <w:sz w:val="21"/>
                <w:szCs w:val="21"/>
                <w:highlight w:val="none"/>
                <w:lang w:val="zh-CN"/>
              </w:rPr>
            </w:pPr>
            <w:r>
              <w:rPr>
                <w:rFonts w:hint="eastAsia" w:cs="宋体"/>
                <w:color w:val="auto"/>
                <w:sz w:val="21"/>
                <w:szCs w:val="21"/>
                <w:highlight w:val="none"/>
                <w:lang w:val="zh-CN"/>
              </w:rPr>
              <w:t>其他无效情形</w:t>
            </w:r>
          </w:p>
        </w:tc>
        <w:tc>
          <w:tcPr>
            <w:tcW w:w="2715" w:type="pct"/>
            <w:vAlign w:val="center"/>
          </w:tcPr>
          <w:p w14:paraId="0063C076">
            <w:pPr>
              <w:pStyle w:val="21"/>
              <w:rPr>
                <w:rFonts w:hint="eastAsia" w:cs="宋体"/>
                <w:color w:val="auto"/>
                <w:sz w:val="21"/>
                <w:szCs w:val="21"/>
                <w:highlight w:val="none"/>
                <w:lang w:val="zh-CN"/>
              </w:rPr>
            </w:pPr>
            <w:r>
              <w:rPr>
                <w:rFonts w:hint="eastAsia" w:cs="宋体"/>
                <w:color w:val="auto"/>
                <w:sz w:val="21"/>
                <w:szCs w:val="21"/>
                <w:highlight w:val="none"/>
              </w:rPr>
              <w:t>未出现</w:t>
            </w:r>
            <w:r>
              <w:rPr>
                <w:rFonts w:hint="eastAsia" w:cs="宋体"/>
                <w:color w:val="auto"/>
                <w:sz w:val="21"/>
                <w:szCs w:val="21"/>
                <w:highlight w:val="none"/>
                <w:lang w:val="zh-CN"/>
              </w:rPr>
              <w:t>法律、法规、规章以及招标</w:t>
            </w:r>
            <w:r>
              <w:rPr>
                <w:rFonts w:hint="eastAsia" w:cs="宋体"/>
                <w:color w:val="auto"/>
                <w:sz w:val="21"/>
                <w:szCs w:val="21"/>
                <w:highlight w:val="none"/>
              </w:rPr>
              <w:t>文件</w:t>
            </w:r>
            <w:r>
              <w:rPr>
                <w:rFonts w:hint="eastAsia" w:cs="宋体"/>
                <w:color w:val="auto"/>
                <w:sz w:val="21"/>
                <w:szCs w:val="21"/>
                <w:highlight w:val="none"/>
                <w:lang w:val="zh-CN"/>
              </w:rPr>
              <w:t>规定属于</w:t>
            </w:r>
            <w:r>
              <w:rPr>
                <w:rFonts w:hint="eastAsia" w:cs="宋体"/>
                <w:color w:val="auto"/>
                <w:sz w:val="21"/>
                <w:szCs w:val="21"/>
                <w:highlight w:val="none"/>
              </w:rPr>
              <w:t>投标</w:t>
            </w:r>
            <w:r>
              <w:rPr>
                <w:rFonts w:hint="eastAsia" w:cs="宋体"/>
                <w:color w:val="auto"/>
                <w:sz w:val="21"/>
                <w:szCs w:val="21"/>
                <w:highlight w:val="none"/>
                <w:lang w:val="zh-CN"/>
              </w:rPr>
              <w:t>无效的其他情形。</w:t>
            </w:r>
          </w:p>
        </w:tc>
        <w:tc>
          <w:tcPr>
            <w:tcW w:w="452" w:type="pct"/>
            <w:vAlign w:val="center"/>
          </w:tcPr>
          <w:p w14:paraId="47C89A8A">
            <w:pPr>
              <w:pStyle w:val="21"/>
              <w:rPr>
                <w:rFonts w:hint="eastAsia" w:cs="宋体"/>
                <w:color w:val="auto"/>
                <w:sz w:val="21"/>
                <w:szCs w:val="21"/>
                <w:highlight w:val="none"/>
                <w:lang w:val="zh-CN"/>
              </w:rPr>
            </w:pPr>
          </w:p>
        </w:tc>
        <w:tc>
          <w:tcPr>
            <w:tcW w:w="568" w:type="pct"/>
            <w:vAlign w:val="center"/>
          </w:tcPr>
          <w:p w14:paraId="0D0F0A46">
            <w:pPr>
              <w:pStyle w:val="21"/>
              <w:rPr>
                <w:rFonts w:hint="eastAsia" w:cs="宋体"/>
                <w:color w:val="auto"/>
                <w:sz w:val="21"/>
                <w:szCs w:val="21"/>
                <w:highlight w:val="none"/>
                <w:lang w:val="zh-CN"/>
              </w:rPr>
            </w:pPr>
          </w:p>
        </w:tc>
      </w:tr>
      <w:tr w14:paraId="2E893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atLeast"/>
        </w:trPr>
        <w:tc>
          <w:tcPr>
            <w:tcW w:w="1264" w:type="pct"/>
            <w:gridSpan w:val="2"/>
            <w:vAlign w:val="center"/>
          </w:tcPr>
          <w:p w14:paraId="6F7CBE4A">
            <w:pPr>
              <w:pStyle w:val="21"/>
              <w:jc w:val="center"/>
              <w:rPr>
                <w:rFonts w:hint="eastAsia" w:cs="宋体"/>
                <w:color w:val="auto"/>
                <w:sz w:val="21"/>
                <w:szCs w:val="21"/>
                <w:highlight w:val="none"/>
                <w:lang w:val="zh-CN"/>
              </w:rPr>
            </w:pPr>
            <w:r>
              <w:rPr>
                <w:rFonts w:hint="eastAsia" w:cs="宋体"/>
                <w:color w:val="auto"/>
                <w:sz w:val="21"/>
                <w:szCs w:val="21"/>
                <w:highlight w:val="none"/>
                <w:lang w:val="zh-CN"/>
              </w:rPr>
              <w:t>结论</w:t>
            </w:r>
          </w:p>
        </w:tc>
        <w:tc>
          <w:tcPr>
            <w:tcW w:w="2715" w:type="pct"/>
            <w:vAlign w:val="center"/>
          </w:tcPr>
          <w:p w14:paraId="141DC208">
            <w:pPr>
              <w:pStyle w:val="21"/>
              <w:rPr>
                <w:rFonts w:hint="eastAsia" w:cs="宋体"/>
                <w:color w:val="auto"/>
                <w:sz w:val="21"/>
                <w:szCs w:val="21"/>
                <w:highlight w:val="none"/>
                <w:lang w:val="zh-CN"/>
              </w:rPr>
            </w:pPr>
          </w:p>
        </w:tc>
        <w:tc>
          <w:tcPr>
            <w:tcW w:w="452" w:type="pct"/>
            <w:vAlign w:val="center"/>
          </w:tcPr>
          <w:p w14:paraId="6B677AB5">
            <w:pPr>
              <w:pStyle w:val="21"/>
              <w:rPr>
                <w:rFonts w:hint="eastAsia" w:cs="宋体"/>
                <w:color w:val="auto"/>
                <w:sz w:val="21"/>
                <w:szCs w:val="21"/>
                <w:highlight w:val="none"/>
                <w:lang w:val="zh-CN"/>
              </w:rPr>
            </w:pPr>
          </w:p>
        </w:tc>
        <w:tc>
          <w:tcPr>
            <w:tcW w:w="568" w:type="pct"/>
            <w:vAlign w:val="center"/>
          </w:tcPr>
          <w:p w14:paraId="6327C75D">
            <w:pPr>
              <w:pStyle w:val="21"/>
              <w:rPr>
                <w:rFonts w:hint="eastAsia" w:cs="宋体"/>
                <w:color w:val="auto"/>
                <w:sz w:val="21"/>
                <w:szCs w:val="21"/>
                <w:highlight w:val="none"/>
                <w:lang w:val="zh-CN"/>
              </w:rPr>
            </w:pPr>
          </w:p>
        </w:tc>
      </w:tr>
    </w:tbl>
    <w:p w14:paraId="12EE67B4">
      <w:pPr>
        <w:pStyle w:val="2"/>
        <w:rPr>
          <w:color w:val="auto"/>
          <w:highlight w:val="none"/>
        </w:rPr>
        <w:sectPr>
          <w:pgSz w:w="11906" w:h="16838"/>
          <w:pgMar w:top="1440" w:right="1800" w:bottom="1440" w:left="1800" w:header="851" w:footer="992" w:gutter="0"/>
          <w:pgNumType w:fmt="decimal"/>
          <w:cols w:space="425" w:num="1"/>
          <w:docGrid w:type="lines" w:linePitch="312" w:charSpace="0"/>
        </w:sectPr>
      </w:pPr>
    </w:p>
    <w:p w14:paraId="794A31DB">
      <w:pPr>
        <w:pStyle w:val="6"/>
        <w:keepNext w:val="0"/>
        <w:keepLines w:val="0"/>
        <w:spacing w:before="160" w:after="160" w:line="360" w:lineRule="auto"/>
        <w:ind w:left="420" w:hanging="420"/>
        <w:rPr>
          <w:rFonts w:hint="eastAsia" w:cs="宋体"/>
          <w:color w:val="auto"/>
          <w:sz w:val="24"/>
          <w:szCs w:val="24"/>
          <w:highlight w:val="none"/>
          <w:lang w:val="zh-CN"/>
        </w:rPr>
      </w:pPr>
      <w:bookmarkStart w:id="305" w:name="_Toc155185917"/>
      <w:bookmarkStart w:id="306" w:name="_Toc163492910"/>
      <w:r>
        <w:rPr>
          <w:rFonts w:hint="eastAsia" w:cs="宋体"/>
          <w:color w:val="auto"/>
          <w:sz w:val="24"/>
          <w:szCs w:val="24"/>
          <w:highlight w:val="none"/>
          <w:lang w:val="zh-CN"/>
        </w:rPr>
        <w:t>（二）评分标准</w:t>
      </w:r>
      <w:bookmarkEnd w:id="305"/>
      <w:bookmarkEnd w:id="306"/>
    </w:p>
    <w:tbl>
      <w:tblPr>
        <w:tblStyle w:val="15"/>
        <w:tblW w:w="54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371"/>
        <w:gridCol w:w="783"/>
        <w:gridCol w:w="6109"/>
      </w:tblGrid>
      <w:tr w14:paraId="68E7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blHeader/>
          <w:jc w:val="center"/>
        </w:trPr>
        <w:tc>
          <w:tcPr>
            <w:tcW w:w="556" w:type="pct"/>
            <w:shd w:val="clear" w:color="auto" w:fill="D8D8D8" w:themeFill="background1" w:themeFillShade="D9"/>
            <w:vAlign w:val="center"/>
          </w:tcPr>
          <w:p w14:paraId="1EF9E20E">
            <w:pPr>
              <w:pStyle w:val="21"/>
              <w:jc w:val="center"/>
              <w:rPr>
                <w:rFonts w:hint="eastAsia" w:cs="宋体"/>
                <w:b/>
                <w:bCs/>
                <w:color w:val="auto"/>
                <w:szCs w:val="24"/>
                <w:highlight w:val="none"/>
              </w:rPr>
            </w:pPr>
            <w:r>
              <w:rPr>
                <w:rFonts w:hint="eastAsia" w:cs="宋体"/>
                <w:b/>
                <w:bCs/>
                <w:color w:val="auto"/>
                <w:szCs w:val="24"/>
                <w:highlight w:val="none"/>
              </w:rPr>
              <w:t>评标项目</w:t>
            </w:r>
          </w:p>
        </w:tc>
        <w:tc>
          <w:tcPr>
            <w:tcW w:w="737" w:type="pct"/>
            <w:shd w:val="clear" w:color="auto" w:fill="D8D8D8" w:themeFill="background1" w:themeFillShade="D9"/>
            <w:vAlign w:val="center"/>
          </w:tcPr>
          <w:p w14:paraId="6442D1AC">
            <w:pPr>
              <w:pStyle w:val="21"/>
              <w:jc w:val="center"/>
              <w:rPr>
                <w:rFonts w:hint="eastAsia" w:cs="宋体"/>
                <w:b/>
                <w:bCs/>
                <w:color w:val="auto"/>
                <w:szCs w:val="24"/>
                <w:highlight w:val="none"/>
              </w:rPr>
            </w:pPr>
            <w:r>
              <w:rPr>
                <w:rFonts w:hint="eastAsia" w:cs="宋体"/>
                <w:b/>
                <w:bCs/>
                <w:color w:val="auto"/>
                <w:szCs w:val="24"/>
                <w:highlight w:val="none"/>
              </w:rPr>
              <w:t>评标分项</w:t>
            </w:r>
          </w:p>
        </w:tc>
        <w:tc>
          <w:tcPr>
            <w:tcW w:w="421" w:type="pct"/>
            <w:shd w:val="clear" w:color="auto" w:fill="D8D8D8" w:themeFill="background1" w:themeFillShade="D9"/>
            <w:vAlign w:val="center"/>
          </w:tcPr>
          <w:p w14:paraId="3FDCA042">
            <w:pPr>
              <w:pStyle w:val="21"/>
              <w:jc w:val="center"/>
              <w:rPr>
                <w:rFonts w:hint="eastAsia" w:cs="宋体"/>
                <w:b/>
                <w:bCs/>
                <w:color w:val="auto"/>
                <w:szCs w:val="24"/>
                <w:highlight w:val="none"/>
              </w:rPr>
            </w:pPr>
            <w:r>
              <w:rPr>
                <w:rFonts w:hint="eastAsia" w:cs="宋体"/>
                <w:b/>
                <w:bCs/>
                <w:color w:val="auto"/>
                <w:szCs w:val="24"/>
                <w:highlight w:val="none"/>
              </w:rPr>
              <w:t>分值</w:t>
            </w:r>
          </w:p>
        </w:tc>
        <w:tc>
          <w:tcPr>
            <w:tcW w:w="3285" w:type="pct"/>
            <w:shd w:val="clear" w:color="auto" w:fill="D8D8D8" w:themeFill="background1" w:themeFillShade="D9"/>
            <w:vAlign w:val="center"/>
          </w:tcPr>
          <w:p w14:paraId="3E66D5CF">
            <w:pPr>
              <w:pStyle w:val="21"/>
              <w:jc w:val="center"/>
              <w:rPr>
                <w:rFonts w:hint="eastAsia" w:cs="宋体"/>
                <w:b/>
                <w:bCs/>
                <w:color w:val="auto"/>
                <w:szCs w:val="24"/>
                <w:highlight w:val="none"/>
              </w:rPr>
            </w:pPr>
            <w:r>
              <w:rPr>
                <w:rFonts w:hint="eastAsia" w:cs="宋体"/>
                <w:b/>
                <w:bCs/>
                <w:color w:val="auto"/>
                <w:szCs w:val="24"/>
                <w:highlight w:val="none"/>
              </w:rPr>
              <w:t>子项目及分值</w:t>
            </w:r>
          </w:p>
        </w:tc>
      </w:tr>
      <w:tr w14:paraId="10605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556" w:type="pct"/>
            <w:vAlign w:val="center"/>
          </w:tcPr>
          <w:p w14:paraId="0F545C6D">
            <w:pPr>
              <w:pStyle w:val="21"/>
              <w:jc w:val="center"/>
              <w:rPr>
                <w:rFonts w:hint="eastAsia" w:cs="宋体"/>
                <w:color w:val="auto"/>
                <w:szCs w:val="24"/>
                <w:highlight w:val="none"/>
              </w:rPr>
            </w:pPr>
            <w:r>
              <w:rPr>
                <w:rFonts w:hint="eastAsia" w:cs="宋体"/>
                <w:color w:val="auto"/>
                <w:szCs w:val="24"/>
                <w:highlight w:val="none"/>
              </w:rPr>
              <w:t>价格部分</w:t>
            </w:r>
          </w:p>
          <w:p w14:paraId="52BA9F63">
            <w:pPr>
              <w:pStyle w:val="21"/>
              <w:jc w:val="center"/>
              <w:rPr>
                <w:rFonts w:hint="eastAsia" w:cs="宋体"/>
                <w:color w:val="auto"/>
                <w:szCs w:val="24"/>
                <w:highlight w:val="none"/>
              </w:rPr>
            </w:pPr>
            <w:r>
              <w:rPr>
                <w:rFonts w:hint="eastAsia" w:cs="宋体"/>
                <w:color w:val="auto"/>
                <w:szCs w:val="24"/>
                <w:highlight w:val="none"/>
              </w:rPr>
              <w:t>（30分）</w:t>
            </w:r>
          </w:p>
        </w:tc>
        <w:tc>
          <w:tcPr>
            <w:tcW w:w="737" w:type="pct"/>
            <w:tcBorders>
              <w:bottom w:val="single" w:color="auto" w:sz="4" w:space="0"/>
            </w:tcBorders>
            <w:vAlign w:val="center"/>
          </w:tcPr>
          <w:p w14:paraId="768F1658">
            <w:pPr>
              <w:pStyle w:val="21"/>
              <w:jc w:val="center"/>
              <w:rPr>
                <w:rFonts w:hint="eastAsia" w:cs="宋体"/>
                <w:color w:val="auto"/>
                <w:szCs w:val="24"/>
                <w:highlight w:val="none"/>
              </w:rPr>
            </w:pPr>
            <w:r>
              <w:rPr>
                <w:rFonts w:hint="eastAsia" w:cs="宋体"/>
                <w:color w:val="auto"/>
                <w:szCs w:val="24"/>
                <w:highlight w:val="none"/>
              </w:rPr>
              <w:t>投标报价</w:t>
            </w:r>
          </w:p>
        </w:tc>
        <w:tc>
          <w:tcPr>
            <w:tcW w:w="421" w:type="pct"/>
            <w:vAlign w:val="center"/>
          </w:tcPr>
          <w:p w14:paraId="01021311">
            <w:pPr>
              <w:pStyle w:val="21"/>
              <w:jc w:val="center"/>
              <w:rPr>
                <w:rFonts w:hint="eastAsia" w:cs="宋体"/>
                <w:color w:val="auto"/>
                <w:szCs w:val="24"/>
                <w:highlight w:val="none"/>
              </w:rPr>
            </w:pPr>
            <w:r>
              <w:rPr>
                <w:rFonts w:hint="eastAsia" w:cs="宋体"/>
                <w:color w:val="auto"/>
                <w:szCs w:val="24"/>
                <w:highlight w:val="none"/>
              </w:rPr>
              <w:t>30分</w:t>
            </w:r>
          </w:p>
        </w:tc>
        <w:tc>
          <w:tcPr>
            <w:tcW w:w="3285" w:type="pct"/>
            <w:vAlign w:val="center"/>
          </w:tcPr>
          <w:p w14:paraId="1B11CA71">
            <w:pPr>
              <w:pStyle w:val="21"/>
              <w:rPr>
                <w:rFonts w:hint="eastAsia" w:cs="宋体"/>
                <w:color w:val="auto"/>
                <w:szCs w:val="24"/>
                <w:highlight w:val="none"/>
              </w:rPr>
            </w:pPr>
            <w:r>
              <w:rPr>
                <w:rFonts w:hint="eastAsia" w:cs="宋体"/>
                <w:color w:val="auto"/>
                <w:szCs w:val="24"/>
                <w:highlight w:val="none"/>
              </w:rPr>
              <w:t>满足招标文件要求且投标价格最低的投标报价为评标基准价，其价格分为满分。其他投标人的价格分统一按照下列公式计算：</w:t>
            </w:r>
          </w:p>
          <w:p w14:paraId="11004828">
            <w:pPr>
              <w:pStyle w:val="21"/>
              <w:rPr>
                <w:rFonts w:hint="eastAsia" w:cs="宋体"/>
                <w:color w:val="auto"/>
                <w:szCs w:val="24"/>
                <w:highlight w:val="none"/>
              </w:rPr>
            </w:pPr>
            <w:r>
              <w:rPr>
                <w:rFonts w:hint="eastAsia" w:cs="宋体"/>
                <w:color w:val="auto"/>
                <w:szCs w:val="24"/>
                <w:highlight w:val="none"/>
              </w:rPr>
              <w:t>投标报价得分=（评标基准价／投标报价</w:t>
            </w:r>
            <w:r>
              <w:rPr>
                <w:rFonts w:hint="eastAsia" w:cs="宋体"/>
                <w:color w:val="auto"/>
                <w:szCs w:val="24"/>
                <w:highlight w:val="none"/>
                <w:lang w:eastAsia="zh-CN"/>
              </w:rPr>
              <w:t>）</w:t>
            </w:r>
            <w:r>
              <w:rPr>
                <w:rFonts w:hint="eastAsia" w:cs="宋体"/>
                <w:color w:val="auto"/>
                <w:szCs w:val="24"/>
                <w:highlight w:val="none"/>
              </w:rPr>
              <w:t>×价格分值</w:t>
            </w:r>
          </w:p>
          <w:p w14:paraId="4FC19ACE">
            <w:pPr>
              <w:pStyle w:val="21"/>
              <w:rPr>
                <w:rFonts w:hint="eastAsia" w:cs="宋体"/>
                <w:color w:val="auto"/>
                <w:szCs w:val="24"/>
                <w:highlight w:val="none"/>
              </w:rPr>
            </w:pPr>
            <w:r>
              <w:rPr>
                <w:rFonts w:hint="eastAsia" w:cs="宋体"/>
                <w:b/>
                <w:bCs/>
                <w:color w:val="auto"/>
                <w:szCs w:val="24"/>
                <w:highlight w:val="none"/>
              </w:rPr>
              <w:t>备注</w:t>
            </w:r>
            <w:r>
              <w:rPr>
                <w:rFonts w:hint="eastAsia" w:cs="宋体"/>
                <w:color w:val="auto"/>
                <w:szCs w:val="24"/>
                <w:highlight w:val="none"/>
              </w:rPr>
              <w:t>：符合“投标人须知前附表”中价格扣除规定的，在评审时予以价格扣除，用扣除后的价格参与评审。</w:t>
            </w:r>
          </w:p>
        </w:tc>
      </w:tr>
      <w:tr w14:paraId="36F05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jc w:val="center"/>
        </w:trPr>
        <w:tc>
          <w:tcPr>
            <w:tcW w:w="556" w:type="pct"/>
            <w:vMerge w:val="restart"/>
            <w:vAlign w:val="center"/>
          </w:tcPr>
          <w:p w14:paraId="79A2EA3C">
            <w:pPr>
              <w:pStyle w:val="21"/>
              <w:jc w:val="center"/>
              <w:rPr>
                <w:rFonts w:hint="eastAsia" w:cs="宋体"/>
                <w:color w:val="auto"/>
                <w:szCs w:val="24"/>
                <w:highlight w:val="none"/>
              </w:rPr>
            </w:pPr>
            <w:r>
              <w:rPr>
                <w:rFonts w:hint="eastAsia" w:cs="宋体"/>
                <w:color w:val="auto"/>
                <w:szCs w:val="24"/>
                <w:highlight w:val="none"/>
              </w:rPr>
              <w:t>商务技术部分</w:t>
            </w:r>
          </w:p>
          <w:p w14:paraId="2193FE06">
            <w:pPr>
              <w:pStyle w:val="21"/>
              <w:jc w:val="center"/>
              <w:rPr>
                <w:rFonts w:hint="eastAsia" w:cs="宋体"/>
                <w:color w:val="auto"/>
                <w:szCs w:val="24"/>
                <w:highlight w:val="none"/>
              </w:rPr>
            </w:pPr>
            <w:r>
              <w:rPr>
                <w:rFonts w:hint="eastAsia" w:cs="宋体"/>
                <w:color w:val="auto"/>
                <w:szCs w:val="24"/>
                <w:highlight w:val="none"/>
              </w:rPr>
              <w:t>（70分）</w:t>
            </w:r>
          </w:p>
          <w:p w14:paraId="33C6D334">
            <w:pPr>
              <w:pStyle w:val="21"/>
              <w:jc w:val="both"/>
              <w:rPr>
                <w:rFonts w:hint="eastAsia" w:cs="宋体"/>
                <w:color w:val="auto"/>
                <w:szCs w:val="24"/>
                <w:highlight w:val="none"/>
              </w:rPr>
            </w:pPr>
          </w:p>
        </w:tc>
        <w:tc>
          <w:tcPr>
            <w:tcW w:w="737" w:type="pct"/>
            <w:tcBorders>
              <w:top w:val="single" w:color="auto" w:sz="4" w:space="0"/>
            </w:tcBorders>
            <w:vAlign w:val="center"/>
          </w:tcPr>
          <w:p w14:paraId="76AFB526">
            <w:pPr>
              <w:pStyle w:val="21"/>
              <w:jc w:val="center"/>
              <w:rPr>
                <w:rFonts w:hint="eastAsia" w:cs="宋体"/>
                <w:color w:val="auto"/>
                <w:szCs w:val="24"/>
                <w:highlight w:val="none"/>
              </w:rPr>
            </w:pPr>
            <w:r>
              <w:rPr>
                <w:rFonts w:hint="eastAsia" w:cs="宋体"/>
                <w:color w:val="auto"/>
                <w:szCs w:val="24"/>
                <w:highlight w:val="none"/>
              </w:rPr>
              <w:t>类似业绩</w:t>
            </w:r>
          </w:p>
        </w:tc>
        <w:tc>
          <w:tcPr>
            <w:tcW w:w="421" w:type="pct"/>
            <w:vAlign w:val="center"/>
          </w:tcPr>
          <w:p w14:paraId="20EC92A8">
            <w:pPr>
              <w:pStyle w:val="21"/>
              <w:jc w:val="center"/>
              <w:rPr>
                <w:rFonts w:hint="eastAsia" w:cs="宋体"/>
                <w:color w:val="auto"/>
                <w:szCs w:val="24"/>
                <w:highlight w:val="none"/>
              </w:rPr>
            </w:pPr>
            <w:r>
              <w:rPr>
                <w:rFonts w:hint="eastAsia" w:cs="宋体"/>
                <w:color w:val="auto"/>
                <w:szCs w:val="24"/>
                <w:highlight w:val="none"/>
                <w:lang w:val="en-US" w:eastAsia="zh-CN"/>
              </w:rPr>
              <w:t>10</w:t>
            </w:r>
            <w:r>
              <w:rPr>
                <w:rFonts w:hint="eastAsia" w:cs="宋体"/>
                <w:color w:val="auto"/>
                <w:szCs w:val="24"/>
                <w:highlight w:val="none"/>
              </w:rPr>
              <w:t>分</w:t>
            </w:r>
          </w:p>
        </w:tc>
        <w:tc>
          <w:tcPr>
            <w:tcW w:w="3285" w:type="pct"/>
            <w:vAlign w:val="center"/>
          </w:tcPr>
          <w:p w14:paraId="3045C6C0">
            <w:pPr>
              <w:pStyle w:val="21"/>
              <w:rPr>
                <w:rFonts w:hint="eastAsia" w:cs="宋体"/>
                <w:color w:val="auto"/>
                <w:szCs w:val="24"/>
                <w:highlight w:val="none"/>
              </w:rPr>
            </w:pPr>
            <w:r>
              <w:rPr>
                <w:rFonts w:hint="eastAsia" w:cs="宋体"/>
                <w:color w:val="auto"/>
                <w:szCs w:val="24"/>
                <w:highlight w:val="none"/>
              </w:rPr>
              <w:t>投标供应商提供近三年（2023年</w:t>
            </w:r>
            <w:r>
              <w:rPr>
                <w:rFonts w:hint="eastAsia" w:cs="宋体"/>
                <w:color w:val="auto"/>
                <w:szCs w:val="24"/>
                <w:highlight w:val="none"/>
                <w:lang w:val="en-US" w:eastAsia="zh-CN"/>
              </w:rPr>
              <w:t>5</w:t>
            </w:r>
            <w:r>
              <w:rPr>
                <w:rFonts w:hint="eastAsia" w:cs="宋体"/>
                <w:color w:val="auto"/>
                <w:szCs w:val="24"/>
                <w:highlight w:val="none"/>
              </w:rPr>
              <w:t>月1日至今）类似业绩</w:t>
            </w:r>
            <w:r>
              <w:rPr>
                <w:rFonts w:hint="eastAsia" w:cs="宋体"/>
                <w:color w:val="auto"/>
                <w:szCs w:val="24"/>
                <w:highlight w:val="none"/>
                <w:lang w:eastAsia="zh-CN"/>
              </w:rPr>
              <w:t>（</w:t>
            </w:r>
            <w:r>
              <w:rPr>
                <w:rFonts w:ascii="宋体" w:hAnsi="宋体" w:eastAsia="宋体" w:cs="宋体"/>
                <w:color w:val="auto"/>
                <w:kern w:val="0"/>
                <w:sz w:val="24"/>
                <w:szCs w:val="24"/>
                <w:highlight w:val="none"/>
                <w:lang w:val="en-US" w:eastAsia="zh-CN" w:bidi="ar"/>
              </w:rPr>
              <w:t>体外诊断试剂采购项目业绩</w:t>
            </w:r>
            <w:r>
              <w:rPr>
                <w:rFonts w:hint="eastAsia" w:cs="宋体"/>
                <w:color w:val="auto"/>
                <w:kern w:val="0"/>
                <w:sz w:val="24"/>
                <w:szCs w:val="24"/>
                <w:highlight w:val="none"/>
                <w:lang w:val="en-US" w:eastAsia="zh-CN" w:bidi="ar"/>
              </w:rPr>
              <w:t>）</w:t>
            </w:r>
            <w:r>
              <w:rPr>
                <w:rFonts w:hint="eastAsia" w:cs="宋体"/>
                <w:color w:val="auto"/>
                <w:szCs w:val="24"/>
                <w:highlight w:val="none"/>
              </w:rPr>
              <w:t>，每提供一个类似业绩得2分，本项最多得</w:t>
            </w:r>
            <w:r>
              <w:rPr>
                <w:rFonts w:hint="eastAsia" w:cs="宋体"/>
                <w:color w:val="auto"/>
                <w:szCs w:val="24"/>
                <w:highlight w:val="none"/>
                <w:lang w:val="en-US" w:eastAsia="zh-CN"/>
              </w:rPr>
              <w:t>10</w:t>
            </w:r>
            <w:r>
              <w:rPr>
                <w:rFonts w:hint="eastAsia" w:cs="宋体"/>
                <w:color w:val="auto"/>
                <w:szCs w:val="24"/>
                <w:highlight w:val="none"/>
              </w:rPr>
              <w:t xml:space="preserve">分。 </w:t>
            </w:r>
          </w:p>
          <w:p w14:paraId="28FF20F0">
            <w:pPr>
              <w:pStyle w:val="21"/>
              <w:rPr>
                <w:rFonts w:hint="eastAsia" w:cs="宋体"/>
                <w:color w:val="auto"/>
                <w:szCs w:val="24"/>
                <w:highlight w:val="none"/>
              </w:rPr>
            </w:pPr>
            <w:r>
              <w:rPr>
                <w:rFonts w:hint="eastAsia" w:cs="宋体"/>
                <w:b/>
                <w:bCs/>
                <w:color w:val="auto"/>
                <w:szCs w:val="24"/>
                <w:highlight w:val="none"/>
              </w:rPr>
              <w:t>注：提供合同关键页</w:t>
            </w:r>
            <w:r>
              <w:rPr>
                <w:rFonts w:hint="eastAsia" w:cs="宋体"/>
                <w:b/>
                <w:bCs/>
                <w:color w:val="auto"/>
                <w:szCs w:val="24"/>
                <w:highlight w:val="none"/>
                <w:lang w:val="en-US" w:eastAsia="zh-CN"/>
              </w:rPr>
              <w:t>（须包含合同标的内容、金额、甲乙双方盖章页等）</w:t>
            </w:r>
            <w:r>
              <w:rPr>
                <w:rFonts w:hint="eastAsia" w:cs="宋体"/>
                <w:b/>
                <w:bCs/>
                <w:color w:val="auto"/>
                <w:szCs w:val="24"/>
                <w:highlight w:val="none"/>
              </w:rPr>
              <w:t>或中标（成交）通知书扫描件，需清晰可辨认，证明资料残缺不全、模糊难辨或未提供的不得分。</w:t>
            </w:r>
          </w:p>
        </w:tc>
      </w:tr>
      <w:tr w14:paraId="7D2E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0" w:hRule="atLeast"/>
          <w:jc w:val="center"/>
        </w:trPr>
        <w:tc>
          <w:tcPr>
            <w:tcW w:w="556" w:type="pct"/>
            <w:vMerge w:val="continue"/>
            <w:vAlign w:val="center"/>
          </w:tcPr>
          <w:p w14:paraId="6CD59CEF">
            <w:pPr>
              <w:pStyle w:val="21"/>
              <w:jc w:val="center"/>
              <w:rPr>
                <w:rFonts w:hint="eastAsia" w:cs="宋体"/>
                <w:color w:val="auto"/>
                <w:szCs w:val="24"/>
                <w:highlight w:val="none"/>
              </w:rPr>
            </w:pPr>
          </w:p>
        </w:tc>
        <w:tc>
          <w:tcPr>
            <w:tcW w:w="737" w:type="pct"/>
            <w:tcBorders>
              <w:top w:val="single" w:color="auto" w:sz="4" w:space="0"/>
            </w:tcBorders>
            <w:vAlign w:val="center"/>
          </w:tcPr>
          <w:p w14:paraId="6F72B3CE">
            <w:pPr>
              <w:pStyle w:val="21"/>
              <w:jc w:val="center"/>
              <w:rPr>
                <w:rFonts w:hint="eastAsia" w:cs="宋体"/>
                <w:color w:val="auto"/>
                <w:szCs w:val="24"/>
                <w:highlight w:val="none"/>
              </w:rPr>
            </w:pPr>
            <w:r>
              <w:rPr>
                <w:rFonts w:hint="eastAsia" w:cs="宋体"/>
                <w:color w:val="auto"/>
                <w:szCs w:val="24"/>
                <w:highlight w:val="none"/>
              </w:rPr>
              <w:t>项目实施能力、保障措施及实施计划等</w:t>
            </w:r>
          </w:p>
        </w:tc>
        <w:tc>
          <w:tcPr>
            <w:tcW w:w="421" w:type="pct"/>
            <w:vAlign w:val="center"/>
          </w:tcPr>
          <w:p w14:paraId="40D16DE7">
            <w:pPr>
              <w:pStyle w:val="21"/>
              <w:jc w:val="center"/>
              <w:rPr>
                <w:rFonts w:hint="eastAsia" w:cs="宋体"/>
                <w:color w:val="auto"/>
                <w:szCs w:val="24"/>
                <w:highlight w:val="none"/>
              </w:rPr>
            </w:pPr>
            <w:r>
              <w:rPr>
                <w:rFonts w:hint="eastAsia" w:cs="宋体"/>
                <w:color w:val="auto"/>
                <w:szCs w:val="24"/>
                <w:highlight w:val="none"/>
              </w:rPr>
              <w:t>12分</w:t>
            </w:r>
          </w:p>
        </w:tc>
        <w:tc>
          <w:tcPr>
            <w:tcW w:w="3285" w:type="pct"/>
            <w:vAlign w:val="center"/>
          </w:tcPr>
          <w:p w14:paraId="3EB3A44C">
            <w:pPr>
              <w:pStyle w:val="21"/>
              <w:rPr>
                <w:rFonts w:hint="eastAsia" w:cs="宋体"/>
                <w:color w:val="auto"/>
                <w:szCs w:val="24"/>
                <w:highlight w:val="none"/>
              </w:rPr>
            </w:pPr>
            <w:r>
              <w:rPr>
                <w:rFonts w:hint="eastAsia" w:cs="宋体"/>
                <w:color w:val="auto"/>
                <w:szCs w:val="24"/>
                <w:highlight w:val="none"/>
              </w:rPr>
              <w:t>根据投标人提供的项目实施能力、保障措施及实施计划等方案进行打分，内容包括： 1、供货计划、交货期保证措施；2、供货时间节点安排；3、备品备件库；4、人员配备计划；5、保障措施；6、应急保障方案等。</w:t>
            </w:r>
          </w:p>
          <w:p w14:paraId="50D1507F">
            <w:pPr>
              <w:pStyle w:val="21"/>
              <w:rPr>
                <w:rFonts w:hint="eastAsia" w:cs="宋体"/>
                <w:color w:val="auto"/>
                <w:szCs w:val="24"/>
                <w:highlight w:val="none"/>
              </w:rPr>
            </w:pPr>
            <w:r>
              <w:rPr>
                <w:rFonts w:hint="eastAsia" w:cs="宋体"/>
                <w:color w:val="auto"/>
                <w:szCs w:val="24"/>
                <w:highlight w:val="none"/>
              </w:rPr>
              <w:t>以上6项内容均提供，方案完整全面，科学合理，逻辑清晰，贴合采购需求，可行性高，针对性强，完全符合项目实际情况得12分；每有一处缺陷的扣1分；每缺少一项内容的扣2分；扣完为止，未提供技术培训方案的此项不得分。</w:t>
            </w:r>
          </w:p>
          <w:p w14:paraId="24DB4D81">
            <w:pPr>
              <w:pStyle w:val="21"/>
              <w:rPr>
                <w:rFonts w:hint="eastAsia" w:cs="宋体"/>
                <w:color w:val="auto"/>
                <w:szCs w:val="24"/>
                <w:highlight w:val="none"/>
              </w:rPr>
            </w:pPr>
            <w:r>
              <w:rPr>
                <w:rFonts w:hint="eastAsia" w:cs="宋体"/>
                <w:b/>
                <w:bCs/>
                <w:color w:val="auto"/>
                <w:szCs w:val="24"/>
                <w:highlight w:val="none"/>
              </w:rPr>
              <w:t>缺陷是指：①该项内容描述前后不一致，项目信息与本项目实际信息不一致；②该项内容描述不符合国家相关法律法规、政策文件、规范标准要求；③该项内容阐述的方式方法、内容描述，明显不符合本项目实际采购需求；④该项内容套用其他项目内容；⑤不利于本项目采购需求的实现等情形中的任意一种情形）</w:t>
            </w:r>
          </w:p>
        </w:tc>
      </w:tr>
      <w:tr w14:paraId="460C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5" w:hRule="atLeast"/>
          <w:jc w:val="center"/>
        </w:trPr>
        <w:tc>
          <w:tcPr>
            <w:tcW w:w="556" w:type="pct"/>
            <w:vMerge w:val="continue"/>
            <w:vAlign w:val="center"/>
          </w:tcPr>
          <w:p w14:paraId="15F520DB">
            <w:pPr>
              <w:pStyle w:val="21"/>
              <w:jc w:val="center"/>
              <w:rPr>
                <w:rFonts w:hint="eastAsia" w:cs="宋体"/>
                <w:color w:val="auto"/>
                <w:szCs w:val="24"/>
                <w:highlight w:val="none"/>
              </w:rPr>
            </w:pPr>
          </w:p>
        </w:tc>
        <w:tc>
          <w:tcPr>
            <w:tcW w:w="737" w:type="pct"/>
            <w:vAlign w:val="center"/>
          </w:tcPr>
          <w:p w14:paraId="2DEDFDBB">
            <w:pPr>
              <w:pStyle w:val="21"/>
              <w:jc w:val="center"/>
              <w:rPr>
                <w:rFonts w:hint="eastAsia" w:cs="宋体"/>
                <w:color w:val="auto"/>
                <w:szCs w:val="24"/>
                <w:highlight w:val="none"/>
              </w:rPr>
            </w:pPr>
            <w:r>
              <w:rPr>
                <w:rFonts w:hint="eastAsia" w:cs="宋体"/>
                <w:color w:val="auto"/>
                <w:szCs w:val="24"/>
                <w:highlight w:val="none"/>
              </w:rPr>
              <w:t>技术培训方案</w:t>
            </w:r>
          </w:p>
        </w:tc>
        <w:tc>
          <w:tcPr>
            <w:tcW w:w="421" w:type="pct"/>
            <w:vAlign w:val="center"/>
          </w:tcPr>
          <w:p w14:paraId="2240B360">
            <w:pPr>
              <w:pStyle w:val="21"/>
              <w:jc w:val="center"/>
              <w:rPr>
                <w:rFonts w:hint="eastAsia" w:cs="宋体"/>
                <w:color w:val="auto"/>
                <w:szCs w:val="24"/>
                <w:highlight w:val="none"/>
              </w:rPr>
            </w:pPr>
            <w:r>
              <w:rPr>
                <w:rFonts w:hint="eastAsia" w:cs="宋体"/>
                <w:color w:val="auto"/>
                <w:szCs w:val="24"/>
                <w:highlight w:val="none"/>
              </w:rPr>
              <w:t xml:space="preserve">12分 </w:t>
            </w:r>
          </w:p>
        </w:tc>
        <w:tc>
          <w:tcPr>
            <w:tcW w:w="3285" w:type="pct"/>
            <w:vAlign w:val="center"/>
          </w:tcPr>
          <w:p w14:paraId="3C333B54">
            <w:pPr>
              <w:pStyle w:val="21"/>
              <w:rPr>
                <w:rFonts w:hint="eastAsia" w:cs="宋体"/>
                <w:color w:val="auto"/>
                <w:szCs w:val="24"/>
                <w:highlight w:val="none"/>
              </w:rPr>
            </w:pPr>
            <w:r>
              <w:rPr>
                <w:rFonts w:hint="eastAsia" w:cs="宋体"/>
                <w:color w:val="auto"/>
                <w:szCs w:val="24"/>
                <w:highlight w:val="none"/>
              </w:rPr>
              <w:t>技术培训方案：供应商须制定详细的技术培训方案1.培训时间；2.培训地点；3.培训方式；4.培训产品基本原理；5.培训正确使用方法及用量；6.培训注意事项，供货前须对使用单位统一组织技术培训，针对技术培训方案进行打分：以上6项内容均提供，方案完整全面，科学合理，逻辑清晰，贴合采购需求，可行性高，针对性强，完全符合项目实际情况得12分；每有一处缺陷的扣1分；每缺少一项内容的扣2分；扣完为止，未提供技术培训方案的此项不得分。</w:t>
            </w:r>
          </w:p>
          <w:p w14:paraId="76BBE1FA">
            <w:pPr>
              <w:pStyle w:val="21"/>
              <w:rPr>
                <w:rFonts w:hint="eastAsia" w:cs="宋体"/>
                <w:color w:val="auto"/>
                <w:szCs w:val="24"/>
                <w:highlight w:val="none"/>
              </w:rPr>
            </w:pPr>
            <w:r>
              <w:rPr>
                <w:rFonts w:hint="eastAsia" w:cs="宋体"/>
                <w:b/>
                <w:bCs/>
                <w:color w:val="auto"/>
                <w:szCs w:val="24"/>
                <w:highlight w:val="none"/>
              </w:rPr>
              <w:t>缺陷是指：①该项内容描述前后不一致，项目信息与本项目实际信息不一致；②该项内容描述不符合国家相关法律法规、政策文件、规范标准要求；③该项内容阐述的方式方法、内容描述，明显不符合本项目实际采购需求；④该项内容套用其他项目内容；⑤不利于本项目采购需求的实现等情形中的任意一种情形）</w:t>
            </w:r>
          </w:p>
        </w:tc>
      </w:tr>
      <w:tr w14:paraId="3B27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5" w:hRule="atLeast"/>
          <w:jc w:val="center"/>
        </w:trPr>
        <w:tc>
          <w:tcPr>
            <w:tcW w:w="556" w:type="pct"/>
            <w:vMerge w:val="continue"/>
            <w:vAlign w:val="center"/>
          </w:tcPr>
          <w:p w14:paraId="2885306A">
            <w:pPr>
              <w:pStyle w:val="21"/>
              <w:jc w:val="center"/>
              <w:rPr>
                <w:rFonts w:hint="eastAsia" w:cs="宋体"/>
                <w:color w:val="auto"/>
                <w:szCs w:val="24"/>
                <w:highlight w:val="none"/>
              </w:rPr>
            </w:pPr>
          </w:p>
        </w:tc>
        <w:tc>
          <w:tcPr>
            <w:tcW w:w="737" w:type="pct"/>
            <w:vAlign w:val="center"/>
          </w:tcPr>
          <w:p w14:paraId="560D80F9">
            <w:pPr>
              <w:pStyle w:val="21"/>
              <w:jc w:val="center"/>
              <w:rPr>
                <w:rFonts w:hint="eastAsia" w:cs="宋体"/>
                <w:color w:val="auto"/>
                <w:szCs w:val="24"/>
                <w:highlight w:val="none"/>
              </w:rPr>
            </w:pPr>
            <w:r>
              <w:rPr>
                <w:rFonts w:hint="eastAsia" w:cs="宋体"/>
                <w:color w:val="auto"/>
                <w:szCs w:val="24"/>
                <w:highlight w:val="none"/>
              </w:rPr>
              <w:t>质量保障措施</w:t>
            </w:r>
          </w:p>
        </w:tc>
        <w:tc>
          <w:tcPr>
            <w:tcW w:w="421" w:type="pct"/>
            <w:vAlign w:val="center"/>
          </w:tcPr>
          <w:p w14:paraId="18E84B62">
            <w:pPr>
              <w:pStyle w:val="21"/>
              <w:jc w:val="center"/>
              <w:rPr>
                <w:rFonts w:hint="eastAsia" w:cs="宋体"/>
                <w:color w:val="auto"/>
                <w:szCs w:val="24"/>
                <w:highlight w:val="none"/>
              </w:rPr>
            </w:pPr>
            <w:r>
              <w:rPr>
                <w:rFonts w:hint="eastAsia" w:cs="宋体"/>
                <w:color w:val="auto"/>
                <w:szCs w:val="24"/>
                <w:highlight w:val="none"/>
                <w:lang w:val="en-US" w:eastAsia="zh-CN"/>
              </w:rPr>
              <w:t>12</w:t>
            </w:r>
            <w:r>
              <w:rPr>
                <w:rFonts w:hint="eastAsia" w:cs="宋体"/>
                <w:color w:val="auto"/>
                <w:szCs w:val="24"/>
                <w:highlight w:val="none"/>
              </w:rPr>
              <w:t>分</w:t>
            </w:r>
          </w:p>
        </w:tc>
        <w:tc>
          <w:tcPr>
            <w:tcW w:w="3285" w:type="pct"/>
            <w:vAlign w:val="center"/>
          </w:tcPr>
          <w:p w14:paraId="257EB4F7">
            <w:pPr>
              <w:pStyle w:val="21"/>
              <w:rPr>
                <w:rFonts w:hint="eastAsia" w:cs="宋体"/>
                <w:color w:val="auto"/>
                <w:szCs w:val="24"/>
                <w:highlight w:val="none"/>
              </w:rPr>
            </w:pPr>
            <w:r>
              <w:rPr>
                <w:rFonts w:hint="eastAsia" w:cs="宋体"/>
                <w:color w:val="auto"/>
                <w:szCs w:val="24"/>
                <w:highlight w:val="none"/>
              </w:rPr>
              <w:t>质量保障措施：根据各投标供应商针对本项目的实际情况自行编制的质量保障措施（包括但不限于1.生产过程及成品质量控制；2.包装与储存质量控制；3.售后服务质量反馈与控制等内容）进行评审打分：以上3项内容均提供，质量保障措施内容全面、具体、科学、合理，针对性强，完全符合采购需求、相关标准及规范要求得</w:t>
            </w:r>
            <w:r>
              <w:rPr>
                <w:rFonts w:hint="eastAsia" w:cs="宋体"/>
                <w:color w:val="auto"/>
                <w:szCs w:val="24"/>
                <w:highlight w:val="none"/>
                <w:lang w:val="en-US" w:eastAsia="zh-CN"/>
              </w:rPr>
              <w:t>12</w:t>
            </w:r>
            <w:r>
              <w:rPr>
                <w:rFonts w:hint="eastAsia" w:cs="宋体"/>
                <w:color w:val="auto"/>
                <w:szCs w:val="24"/>
                <w:highlight w:val="none"/>
              </w:rPr>
              <w:t>分；每有一处缺陷的扣</w:t>
            </w:r>
            <w:r>
              <w:rPr>
                <w:rFonts w:hint="eastAsia" w:cs="宋体"/>
                <w:color w:val="auto"/>
                <w:szCs w:val="24"/>
                <w:highlight w:val="none"/>
                <w:lang w:val="en-US" w:eastAsia="zh-CN"/>
              </w:rPr>
              <w:t>2</w:t>
            </w:r>
            <w:r>
              <w:rPr>
                <w:rFonts w:hint="eastAsia" w:cs="宋体"/>
                <w:color w:val="auto"/>
                <w:szCs w:val="24"/>
                <w:highlight w:val="none"/>
              </w:rPr>
              <w:t>分；每缺少一项内容的扣</w:t>
            </w:r>
            <w:r>
              <w:rPr>
                <w:rFonts w:hint="eastAsia" w:cs="宋体"/>
                <w:color w:val="auto"/>
                <w:szCs w:val="24"/>
                <w:highlight w:val="none"/>
                <w:lang w:val="en-US" w:eastAsia="zh-CN"/>
              </w:rPr>
              <w:t>4</w:t>
            </w:r>
            <w:r>
              <w:rPr>
                <w:rFonts w:hint="eastAsia" w:cs="宋体"/>
                <w:color w:val="auto"/>
                <w:szCs w:val="24"/>
                <w:highlight w:val="none"/>
              </w:rPr>
              <w:t>分；扣完为止，未提供质量保障措施的此项不得分。</w:t>
            </w:r>
          </w:p>
          <w:p w14:paraId="065EBB8F">
            <w:pPr>
              <w:pStyle w:val="21"/>
              <w:rPr>
                <w:rFonts w:hint="eastAsia" w:cs="宋体"/>
                <w:color w:val="auto"/>
                <w:szCs w:val="24"/>
                <w:highlight w:val="none"/>
              </w:rPr>
            </w:pPr>
            <w:r>
              <w:rPr>
                <w:rFonts w:hint="eastAsia" w:cs="宋体"/>
                <w:b/>
                <w:bCs/>
                <w:color w:val="auto"/>
                <w:szCs w:val="24"/>
                <w:highlight w:val="none"/>
              </w:rPr>
              <w:t>缺陷是指：①该项内容描述前后不一致，项目信息与本项目实际信息不一致；②该项内容描述不符合国家相关法律法规、政策文件、规范标准要求；③该项内容阐述的方式方法、内容描述，明显不符合本项目实际采购需求；④该项内容套用其他项目内容；⑤不利于本项目采购需求的实现等情形中的任意一种情形）</w:t>
            </w:r>
          </w:p>
        </w:tc>
      </w:tr>
      <w:tr w14:paraId="129EA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4" w:hRule="atLeast"/>
          <w:jc w:val="center"/>
        </w:trPr>
        <w:tc>
          <w:tcPr>
            <w:tcW w:w="556" w:type="pct"/>
            <w:vMerge w:val="continue"/>
            <w:vAlign w:val="center"/>
          </w:tcPr>
          <w:p w14:paraId="395048D3">
            <w:pPr>
              <w:pStyle w:val="21"/>
              <w:jc w:val="center"/>
              <w:rPr>
                <w:rFonts w:hint="eastAsia" w:cs="宋体"/>
                <w:color w:val="auto"/>
                <w:szCs w:val="24"/>
                <w:highlight w:val="none"/>
              </w:rPr>
            </w:pPr>
          </w:p>
        </w:tc>
        <w:tc>
          <w:tcPr>
            <w:tcW w:w="737" w:type="pct"/>
            <w:tcBorders>
              <w:top w:val="single" w:color="auto" w:sz="4" w:space="0"/>
            </w:tcBorders>
            <w:vAlign w:val="center"/>
          </w:tcPr>
          <w:p w14:paraId="0CA1D295">
            <w:pPr>
              <w:pStyle w:val="21"/>
              <w:jc w:val="center"/>
              <w:rPr>
                <w:rFonts w:hint="eastAsia" w:cs="宋体"/>
                <w:color w:val="auto"/>
                <w:szCs w:val="24"/>
                <w:highlight w:val="none"/>
              </w:rPr>
            </w:pPr>
            <w:r>
              <w:rPr>
                <w:rFonts w:hint="eastAsia" w:cs="宋体"/>
                <w:color w:val="auto"/>
                <w:szCs w:val="24"/>
                <w:highlight w:val="none"/>
              </w:rPr>
              <w:t>售后服务</w:t>
            </w:r>
          </w:p>
        </w:tc>
        <w:tc>
          <w:tcPr>
            <w:tcW w:w="421" w:type="pct"/>
            <w:vAlign w:val="center"/>
          </w:tcPr>
          <w:p w14:paraId="1B9A8BAD">
            <w:pPr>
              <w:pStyle w:val="21"/>
              <w:jc w:val="center"/>
              <w:rPr>
                <w:rFonts w:hint="eastAsia" w:cs="宋体"/>
                <w:color w:val="auto"/>
                <w:szCs w:val="24"/>
                <w:highlight w:val="none"/>
              </w:rPr>
            </w:pPr>
            <w:r>
              <w:rPr>
                <w:rFonts w:hint="eastAsia" w:cs="宋体"/>
                <w:color w:val="auto"/>
                <w:szCs w:val="24"/>
                <w:highlight w:val="none"/>
              </w:rPr>
              <w:t>8分</w:t>
            </w:r>
          </w:p>
        </w:tc>
        <w:tc>
          <w:tcPr>
            <w:tcW w:w="3285" w:type="pct"/>
            <w:vAlign w:val="center"/>
          </w:tcPr>
          <w:p w14:paraId="4E864A84">
            <w:pPr>
              <w:pStyle w:val="21"/>
              <w:rPr>
                <w:rFonts w:hint="eastAsia" w:cs="宋体"/>
                <w:color w:val="auto"/>
                <w:szCs w:val="24"/>
                <w:highlight w:val="none"/>
              </w:rPr>
            </w:pPr>
            <w:r>
              <w:rPr>
                <w:rFonts w:hint="eastAsia" w:cs="宋体"/>
                <w:color w:val="auto"/>
                <w:szCs w:val="24"/>
                <w:highlight w:val="none"/>
              </w:rPr>
              <w:t>提供售后服务方案，包含：1、售后服务管理制度及措施；2、不合格货物的退换方案；3、响应时间及现场服务支持能力措施等内容进行评审打分：4、售后服务承诺；以上4项内容均提供，售后服务方案内容全面、具体、科学、合理，针对性强，完全符合采购需求、相关标准及规范要求得8分；每有一处缺陷的扣1分；每缺少一项内容的扣2分；扣完为止，未提供售后服务方案的此项不得分。</w:t>
            </w:r>
          </w:p>
          <w:p w14:paraId="4010894A">
            <w:pPr>
              <w:pStyle w:val="21"/>
              <w:rPr>
                <w:rFonts w:hint="eastAsia" w:cs="宋体"/>
                <w:color w:val="auto"/>
                <w:szCs w:val="24"/>
                <w:highlight w:val="none"/>
              </w:rPr>
            </w:pPr>
            <w:r>
              <w:rPr>
                <w:rFonts w:hint="eastAsia" w:cs="宋体"/>
                <w:b/>
                <w:bCs/>
                <w:color w:val="auto"/>
                <w:szCs w:val="24"/>
                <w:highlight w:val="none"/>
              </w:rPr>
              <w:t>缺陷是指：①该项内容描述前后不一致，项目信息与本项目实际信息不一致；②该项内容描述不符合国家相关法律法规、政策文件、规范标准要求；③该项内容阐述的方式方法、内容描述，明显不符合本项目实际采购需求；④该项内容套用其他项目内容；⑤不利于本项目采购需求的实现等情形中的任意一种情形）</w:t>
            </w:r>
          </w:p>
        </w:tc>
      </w:tr>
      <w:tr w14:paraId="2110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jc w:val="center"/>
        </w:trPr>
        <w:tc>
          <w:tcPr>
            <w:tcW w:w="556" w:type="pct"/>
            <w:vMerge w:val="continue"/>
            <w:vAlign w:val="center"/>
          </w:tcPr>
          <w:p w14:paraId="7416F019">
            <w:pPr>
              <w:pStyle w:val="21"/>
              <w:jc w:val="center"/>
              <w:rPr>
                <w:rFonts w:hint="eastAsia" w:cs="宋体"/>
                <w:color w:val="auto"/>
                <w:szCs w:val="24"/>
                <w:highlight w:val="none"/>
              </w:rPr>
            </w:pPr>
          </w:p>
        </w:tc>
        <w:tc>
          <w:tcPr>
            <w:tcW w:w="737" w:type="pct"/>
            <w:tcBorders>
              <w:top w:val="single" w:color="auto" w:sz="4" w:space="0"/>
            </w:tcBorders>
            <w:vAlign w:val="center"/>
          </w:tcPr>
          <w:p w14:paraId="7DCCE2AF">
            <w:pPr>
              <w:pStyle w:val="21"/>
              <w:jc w:val="center"/>
              <w:rPr>
                <w:rFonts w:hint="eastAsia" w:cs="宋体"/>
                <w:color w:val="auto"/>
                <w:szCs w:val="24"/>
                <w:highlight w:val="none"/>
              </w:rPr>
            </w:pPr>
            <w:r>
              <w:rPr>
                <w:rFonts w:hint="eastAsia" w:cs="宋体"/>
                <w:color w:val="auto"/>
                <w:szCs w:val="24"/>
                <w:highlight w:val="none"/>
              </w:rPr>
              <w:t>产品详细技术参数和性能指标</w:t>
            </w:r>
          </w:p>
        </w:tc>
        <w:tc>
          <w:tcPr>
            <w:tcW w:w="421" w:type="pct"/>
            <w:vAlign w:val="center"/>
          </w:tcPr>
          <w:p w14:paraId="084EDCE5">
            <w:pPr>
              <w:pStyle w:val="21"/>
              <w:jc w:val="center"/>
              <w:rPr>
                <w:rFonts w:hint="eastAsia" w:cs="宋体"/>
                <w:color w:val="auto"/>
                <w:szCs w:val="24"/>
                <w:highlight w:val="none"/>
              </w:rPr>
            </w:pPr>
            <w:r>
              <w:rPr>
                <w:rFonts w:hint="eastAsia" w:cs="宋体"/>
                <w:color w:val="auto"/>
                <w:szCs w:val="24"/>
                <w:highlight w:val="none"/>
              </w:rPr>
              <w:t>16分</w:t>
            </w:r>
          </w:p>
        </w:tc>
        <w:tc>
          <w:tcPr>
            <w:tcW w:w="3285" w:type="pct"/>
            <w:vAlign w:val="center"/>
          </w:tcPr>
          <w:p w14:paraId="206EA68E">
            <w:pPr>
              <w:pStyle w:val="21"/>
              <w:rPr>
                <w:rFonts w:hint="eastAsia" w:cs="宋体"/>
                <w:color w:val="auto"/>
                <w:szCs w:val="24"/>
                <w:highlight w:val="none"/>
              </w:rPr>
            </w:pPr>
            <w:r>
              <w:rPr>
                <w:rFonts w:hint="eastAsia" w:cs="宋体"/>
                <w:color w:val="auto"/>
                <w:szCs w:val="24"/>
                <w:highlight w:val="none"/>
              </w:rPr>
              <w:t>供应商须对照第三章《采购需求》中技术要求内容逐条在《技术参数响应偏离表》中列明响应内容及是否偏离等情况，要求提供相关证明资料，须在“备注”栏说明证明资料在《投标文件》的具体位置或页码：</w:t>
            </w:r>
          </w:p>
          <w:p w14:paraId="4CE76F48">
            <w:pPr>
              <w:pStyle w:val="21"/>
              <w:rPr>
                <w:rFonts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val="en-US" w:eastAsia="zh-CN" w:bidi="ar"/>
              </w:rPr>
              <w:t>标注★的实质性技术参数</w:t>
            </w:r>
            <w:r>
              <w:rPr>
                <w:rFonts w:hint="eastAsia" w:cs="宋体"/>
                <w:color w:val="auto"/>
                <w:kern w:val="0"/>
                <w:sz w:val="24"/>
                <w:szCs w:val="24"/>
                <w:highlight w:val="none"/>
                <w:lang w:val="en-US" w:eastAsia="zh-CN" w:bidi="ar"/>
              </w:rPr>
              <w:t>任意一项</w:t>
            </w:r>
            <w:r>
              <w:rPr>
                <w:rFonts w:ascii="宋体" w:hAnsi="宋体" w:eastAsia="宋体" w:cs="宋体"/>
                <w:color w:val="auto"/>
                <w:kern w:val="0"/>
                <w:sz w:val="24"/>
                <w:szCs w:val="24"/>
                <w:highlight w:val="none"/>
                <w:lang w:val="en-US" w:eastAsia="zh-CN" w:bidi="ar"/>
              </w:rPr>
              <w:t>出现负偏离的</w:t>
            </w:r>
            <w:r>
              <w:rPr>
                <w:rFonts w:hint="eastAsia" w:cs="宋体"/>
                <w:color w:val="auto"/>
                <w:kern w:val="0"/>
                <w:sz w:val="24"/>
                <w:szCs w:val="24"/>
                <w:highlight w:val="none"/>
                <w:lang w:val="en-US" w:eastAsia="zh-CN" w:bidi="ar"/>
              </w:rPr>
              <w:t>（25项）</w:t>
            </w:r>
            <w:r>
              <w:rPr>
                <w:rFonts w:ascii="宋体" w:hAnsi="宋体" w:eastAsia="宋体" w:cs="宋体"/>
                <w:color w:val="auto"/>
                <w:kern w:val="0"/>
                <w:sz w:val="24"/>
                <w:szCs w:val="24"/>
                <w:highlight w:val="none"/>
                <w:lang w:val="en-US" w:eastAsia="zh-CN" w:bidi="ar"/>
              </w:rPr>
              <w:t>，投标无效</w:t>
            </w:r>
            <w:r>
              <w:rPr>
                <w:rFonts w:hint="eastAsia" w:cs="宋体"/>
                <w:color w:val="auto"/>
                <w:kern w:val="0"/>
                <w:sz w:val="24"/>
                <w:szCs w:val="24"/>
                <w:highlight w:val="none"/>
                <w:lang w:val="en-US" w:eastAsia="zh-CN" w:bidi="ar"/>
              </w:rPr>
              <w:t>。</w:t>
            </w:r>
          </w:p>
          <w:p w14:paraId="59CA9BBE">
            <w:pPr>
              <w:pStyle w:val="21"/>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2.</w:t>
            </w:r>
            <w:r>
              <w:rPr>
                <w:rFonts w:hint="eastAsia" w:cs="宋体"/>
                <w:color w:val="auto"/>
                <w:kern w:val="0"/>
                <w:sz w:val="24"/>
                <w:szCs w:val="24"/>
                <w:highlight w:val="none"/>
                <w:lang w:val="en-US" w:eastAsia="zh-CN" w:bidi="ar"/>
              </w:rPr>
              <w:t>、一般技术</w:t>
            </w:r>
            <w:r>
              <w:rPr>
                <w:rFonts w:ascii="宋体" w:hAnsi="宋体" w:eastAsia="宋体" w:cs="宋体"/>
                <w:color w:val="auto"/>
                <w:kern w:val="0"/>
                <w:sz w:val="24"/>
                <w:szCs w:val="24"/>
                <w:highlight w:val="none"/>
                <w:lang w:val="en-US" w:eastAsia="zh-CN" w:bidi="ar"/>
              </w:rPr>
              <w:t>参数单条负偏离扣 0.2 分；</w:t>
            </w:r>
          </w:p>
          <w:p w14:paraId="623AC0F4">
            <w:pPr>
              <w:pStyle w:val="21"/>
              <w:rPr>
                <w:rFonts w:hint="eastAsia" w:cs="宋体"/>
                <w:color w:val="auto"/>
                <w:szCs w:val="24"/>
                <w:highlight w:val="none"/>
              </w:rPr>
            </w:pPr>
            <w:r>
              <w:rPr>
                <w:rFonts w:hint="eastAsia" w:cs="宋体"/>
                <w:color w:val="auto"/>
                <w:szCs w:val="24"/>
                <w:highlight w:val="none"/>
              </w:rPr>
              <w:t>扣完为止。本项满分为16分</w:t>
            </w:r>
          </w:p>
          <w:p w14:paraId="2FCE6A58">
            <w:pPr>
              <w:pStyle w:val="21"/>
              <w:rPr>
                <w:rFonts w:hint="eastAsia" w:cs="宋体"/>
                <w:color w:val="auto"/>
                <w:szCs w:val="24"/>
                <w:highlight w:val="none"/>
              </w:rPr>
            </w:pPr>
            <w:r>
              <w:rPr>
                <w:rFonts w:hint="eastAsia" w:cs="宋体"/>
                <w:color w:val="auto"/>
                <w:szCs w:val="24"/>
                <w:highlight w:val="none"/>
              </w:rPr>
              <w:t>注：1.投标人须对本采购文件技术要求进行点对点应答，必须根据本采购文件的要求,结合所投产品的实际参数值，进行逐条逐项答复、说明和解释。</w:t>
            </w:r>
          </w:p>
          <w:p w14:paraId="6EDE6299">
            <w:pPr>
              <w:pStyle w:val="21"/>
              <w:rPr>
                <w:rFonts w:hint="eastAsia" w:cs="宋体"/>
                <w:b/>
                <w:bCs/>
                <w:color w:val="auto"/>
                <w:szCs w:val="24"/>
                <w:highlight w:val="none"/>
              </w:rPr>
            </w:pPr>
            <w:r>
              <w:rPr>
                <w:rFonts w:hint="eastAsia" w:cs="宋体"/>
                <w:color w:val="auto"/>
                <w:szCs w:val="24"/>
                <w:highlight w:val="none"/>
              </w:rPr>
              <w:t>2.技术参数中要求提供相关证明材料，不限于产品彩页、功能截图、证书、查询链接、技术白皮书、检测报告等；未提供或不符合要求的，视为不响应技术参数。</w:t>
            </w:r>
          </w:p>
        </w:tc>
      </w:tr>
      <w:tr w14:paraId="0344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93" w:type="pct"/>
            <w:gridSpan w:val="2"/>
            <w:vAlign w:val="center"/>
          </w:tcPr>
          <w:p w14:paraId="7578B14D">
            <w:pPr>
              <w:pStyle w:val="21"/>
              <w:jc w:val="center"/>
              <w:rPr>
                <w:rFonts w:hint="eastAsia" w:cs="宋体"/>
                <w:color w:val="auto"/>
                <w:szCs w:val="24"/>
                <w:highlight w:val="none"/>
              </w:rPr>
            </w:pPr>
            <w:r>
              <w:rPr>
                <w:rFonts w:hint="eastAsia" w:cs="宋体"/>
                <w:color w:val="auto"/>
                <w:szCs w:val="24"/>
                <w:highlight w:val="none"/>
              </w:rPr>
              <w:t>合计</w:t>
            </w:r>
          </w:p>
        </w:tc>
        <w:tc>
          <w:tcPr>
            <w:tcW w:w="421" w:type="pct"/>
            <w:tcBorders>
              <w:bottom w:val="single" w:color="auto" w:sz="4" w:space="0"/>
            </w:tcBorders>
            <w:vAlign w:val="center"/>
          </w:tcPr>
          <w:p w14:paraId="1F6C02D9">
            <w:pPr>
              <w:pStyle w:val="21"/>
              <w:jc w:val="center"/>
              <w:rPr>
                <w:rFonts w:hint="eastAsia" w:cs="宋体"/>
                <w:color w:val="auto"/>
                <w:szCs w:val="24"/>
                <w:highlight w:val="none"/>
              </w:rPr>
            </w:pPr>
            <w:r>
              <w:rPr>
                <w:rFonts w:hint="eastAsia" w:cs="宋体"/>
                <w:color w:val="auto"/>
                <w:szCs w:val="24"/>
                <w:highlight w:val="none"/>
              </w:rPr>
              <w:fldChar w:fldCharType="begin"/>
            </w:r>
            <w:r>
              <w:rPr>
                <w:rFonts w:hint="eastAsia" w:cs="宋体"/>
                <w:color w:val="auto"/>
                <w:szCs w:val="24"/>
                <w:highlight w:val="none"/>
              </w:rPr>
              <w:instrText xml:space="preserve"> =SUM(ABOVE) </w:instrText>
            </w:r>
            <w:r>
              <w:rPr>
                <w:rFonts w:hint="eastAsia" w:cs="宋体"/>
                <w:color w:val="auto"/>
                <w:szCs w:val="24"/>
                <w:highlight w:val="none"/>
              </w:rPr>
              <w:fldChar w:fldCharType="separate"/>
            </w:r>
            <w:r>
              <w:rPr>
                <w:rFonts w:hint="eastAsia" w:cs="宋体"/>
                <w:color w:val="auto"/>
                <w:szCs w:val="24"/>
                <w:highlight w:val="none"/>
              </w:rPr>
              <w:t>100</w:t>
            </w:r>
            <w:r>
              <w:rPr>
                <w:rFonts w:hint="eastAsia" w:cs="宋体"/>
                <w:color w:val="auto"/>
                <w:szCs w:val="24"/>
                <w:highlight w:val="none"/>
              </w:rPr>
              <w:fldChar w:fldCharType="end"/>
            </w:r>
            <w:r>
              <w:rPr>
                <w:rFonts w:hint="eastAsia" w:cs="宋体"/>
                <w:color w:val="auto"/>
                <w:szCs w:val="24"/>
                <w:highlight w:val="none"/>
              </w:rPr>
              <w:t>分</w:t>
            </w:r>
          </w:p>
        </w:tc>
        <w:tc>
          <w:tcPr>
            <w:tcW w:w="3285" w:type="pct"/>
            <w:tcBorders>
              <w:bottom w:val="single" w:color="auto" w:sz="4" w:space="0"/>
            </w:tcBorders>
            <w:vAlign w:val="center"/>
          </w:tcPr>
          <w:p w14:paraId="4C0302EB">
            <w:pPr>
              <w:pStyle w:val="21"/>
              <w:rPr>
                <w:rFonts w:hint="eastAsia" w:cs="宋体"/>
                <w:color w:val="auto"/>
                <w:szCs w:val="24"/>
                <w:highlight w:val="none"/>
              </w:rPr>
            </w:pPr>
          </w:p>
        </w:tc>
      </w:tr>
    </w:tbl>
    <w:p w14:paraId="4DC80589">
      <w:pPr>
        <w:pStyle w:val="20"/>
        <w:rPr>
          <w:rFonts w:hint="eastAsia"/>
          <w:color w:val="auto"/>
          <w:highlight w:val="none"/>
        </w:rPr>
      </w:pPr>
    </w:p>
    <w:p w14:paraId="5E452614">
      <w:pPr>
        <w:pStyle w:val="4"/>
        <w:spacing w:before="220" w:after="220" w:line="480" w:lineRule="auto"/>
        <w:ind w:left="420" w:hanging="420"/>
        <w:rPr>
          <w:rFonts w:hint="eastAsia" w:eastAsia="宋体" w:cs="宋体"/>
          <w:color w:val="auto"/>
          <w:sz w:val="36"/>
          <w:szCs w:val="36"/>
          <w:highlight w:val="none"/>
          <w:lang w:val="zh-CN"/>
        </w:rPr>
        <w:sectPr>
          <w:pgSz w:w="11906" w:h="16838"/>
          <w:pgMar w:top="1440" w:right="1800" w:bottom="1440" w:left="1800" w:header="851" w:footer="992" w:gutter="0"/>
          <w:pgNumType w:fmt="decimal"/>
          <w:cols w:space="425" w:num="1"/>
          <w:docGrid w:type="lines" w:linePitch="312" w:charSpace="0"/>
        </w:sectPr>
      </w:pPr>
      <w:bookmarkStart w:id="307" w:name="_Toc155185918"/>
      <w:bookmarkStart w:id="308" w:name="_Toc23323"/>
      <w:bookmarkStart w:id="309" w:name="_Toc163492912"/>
    </w:p>
    <w:p w14:paraId="72EA97E2">
      <w:pPr>
        <w:pStyle w:val="4"/>
        <w:spacing w:before="220" w:after="220" w:line="480" w:lineRule="auto"/>
        <w:ind w:left="420" w:hanging="420"/>
        <w:rPr>
          <w:rFonts w:hint="eastAsia" w:eastAsia="宋体" w:cs="宋体"/>
          <w:color w:val="auto"/>
          <w:sz w:val="36"/>
          <w:szCs w:val="36"/>
          <w:highlight w:val="none"/>
          <w:lang w:val="zh-CN"/>
        </w:rPr>
      </w:pPr>
      <w:r>
        <w:rPr>
          <w:rFonts w:hint="eastAsia" w:eastAsia="宋体" w:cs="宋体"/>
          <w:color w:val="auto"/>
          <w:sz w:val="36"/>
          <w:szCs w:val="36"/>
          <w:highlight w:val="none"/>
          <w:lang w:val="zh-CN"/>
        </w:rPr>
        <w:t>第六章 合同</w:t>
      </w:r>
      <w:bookmarkEnd w:id="307"/>
      <w:r>
        <w:rPr>
          <w:rFonts w:hint="eastAsia" w:eastAsia="宋体" w:cs="宋体"/>
          <w:color w:val="auto"/>
          <w:sz w:val="36"/>
          <w:szCs w:val="36"/>
          <w:highlight w:val="none"/>
          <w:lang w:val="zh-CN"/>
        </w:rPr>
        <w:t>草案</w:t>
      </w:r>
      <w:bookmarkEnd w:id="308"/>
      <w:bookmarkEnd w:id="309"/>
    </w:p>
    <w:p w14:paraId="6073A0E0">
      <w:pPr>
        <w:rPr>
          <w:rFonts w:hint="eastAsia"/>
          <w:color w:val="auto"/>
          <w:highlight w:val="none"/>
          <w:lang w:val="zh-CN"/>
        </w:rPr>
      </w:pPr>
    </w:p>
    <w:p w14:paraId="0C839E76">
      <w:pPr>
        <w:rPr>
          <w:rFonts w:hint="eastAsia"/>
          <w:color w:val="auto"/>
          <w:highlight w:val="none"/>
          <w:lang w:val="zh-CN"/>
        </w:rPr>
      </w:pPr>
    </w:p>
    <w:p w14:paraId="2750179E">
      <w:pPr>
        <w:rPr>
          <w:rFonts w:hint="eastAsia"/>
          <w:color w:val="auto"/>
          <w:highlight w:val="none"/>
          <w:lang w:val="zh-CN"/>
        </w:rPr>
      </w:pPr>
    </w:p>
    <w:p w14:paraId="58BC2044">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新疆维吾尔自治区疾病预防控制中心</w:t>
      </w:r>
    </w:p>
    <w:p w14:paraId="59BCB19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ab/>
      </w:r>
      <w:r>
        <w:rPr>
          <w:rFonts w:hint="eastAsia" w:ascii="方正小标宋简体" w:hAnsi="方正小标宋简体" w:eastAsia="方正小标宋简体" w:cs="方正小标宋简体"/>
          <w:color w:val="auto"/>
          <w:sz w:val="44"/>
          <w:szCs w:val="44"/>
          <w:highlight w:val="none"/>
        </w:rPr>
        <w:t>采 购 合 同（货物类）</w:t>
      </w:r>
      <w:r>
        <w:rPr>
          <w:rFonts w:hint="eastAsia" w:ascii="方正小标宋简体" w:hAnsi="方正小标宋简体" w:eastAsia="方正小标宋简体" w:cs="方正小标宋简体"/>
          <w:color w:val="auto"/>
          <w:sz w:val="44"/>
          <w:szCs w:val="44"/>
          <w:highlight w:val="none"/>
        </w:rPr>
        <w:tab/>
      </w:r>
    </w:p>
    <w:p w14:paraId="684E0CDF">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黑体" w:hAnsi="Times New Roman" w:eastAsia="宋体" w:cs="Times New Roman"/>
          <w:color w:val="auto"/>
          <w:sz w:val="44"/>
          <w:szCs w:val="44"/>
          <w:highlight w:val="none"/>
        </w:rPr>
      </w:pPr>
    </w:p>
    <w:p w14:paraId="04BBF4FB">
      <w:pPr>
        <w:adjustRightInd w:val="0"/>
        <w:snapToGrid w:val="0"/>
        <w:spacing w:line="440" w:lineRule="exact"/>
        <w:ind w:firstLine="2249" w:firstLineChars="700"/>
        <w:jc w:val="left"/>
        <w:rPr>
          <w:rFonts w:hint="eastAsia" w:ascii="黑体" w:hAnsi="Times New Roman" w:eastAsia="宋体" w:cs="Times New Roman"/>
          <w:b/>
          <w:bCs/>
          <w:color w:val="auto"/>
          <w:sz w:val="32"/>
          <w:szCs w:val="32"/>
          <w:highlight w:val="none"/>
        </w:rPr>
      </w:pPr>
      <w:r>
        <w:rPr>
          <w:rFonts w:hint="eastAsia" w:ascii="黑体" w:hAnsi="Times New Roman" w:eastAsia="宋体" w:cs="Times New Roman"/>
          <w:b/>
          <w:bCs/>
          <w:color w:val="auto"/>
          <w:sz w:val="32"/>
          <w:szCs w:val="32"/>
          <w:highlight w:val="none"/>
        </w:rPr>
        <w:t>项目编号：</w:t>
      </w:r>
    </w:p>
    <w:p w14:paraId="0330D9BC">
      <w:pPr>
        <w:adjustRightInd w:val="0"/>
        <w:snapToGrid w:val="0"/>
        <w:spacing w:line="440" w:lineRule="exact"/>
        <w:jc w:val="center"/>
        <w:rPr>
          <w:rFonts w:hint="eastAsia" w:ascii="黑体" w:hAnsi="Times New Roman" w:eastAsia="宋体" w:cs="Times New Roman"/>
          <w:b w:val="0"/>
          <w:bCs w:val="0"/>
          <w:color w:val="auto"/>
          <w:sz w:val="32"/>
          <w:szCs w:val="32"/>
          <w:highlight w:val="none"/>
        </w:rPr>
      </w:pPr>
    </w:p>
    <w:p w14:paraId="285732EE">
      <w:pPr>
        <w:adjustRightInd w:val="0"/>
        <w:snapToGrid w:val="0"/>
        <w:spacing w:line="440" w:lineRule="exact"/>
        <w:jc w:val="center"/>
        <w:rPr>
          <w:rFonts w:hint="eastAsia" w:ascii="黑体" w:hAnsi="Times New Roman" w:eastAsia="宋体" w:cs="Times New Roman"/>
          <w:b/>
          <w:bCs/>
          <w:color w:val="auto"/>
          <w:sz w:val="32"/>
          <w:szCs w:val="32"/>
          <w:highlight w:val="none"/>
        </w:rPr>
      </w:pPr>
      <w:r>
        <w:rPr>
          <w:rFonts w:hint="eastAsia" w:ascii="黑体" w:hAnsi="Times New Roman" w:eastAsia="宋体" w:cs="Times New Roman"/>
          <w:b/>
          <w:bCs/>
          <w:color w:val="auto"/>
          <w:sz w:val="32"/>
          <w:szCs w:val="32"/>
          <w:highlight w:val="none"/>
        </w:rPr>
        <w:t>（      年度）</w:t>
      </w:r>
    </w:p>
    <w:p w14:paraId="38FA5B53">
      <w:pPr>
        <w:adjustRightInd w:val="0"/>
        <w:snapToGrid w:val="0"/>
        <w:spacing w:line="440" w:lineRule="exact"/>
        <w:jc w:val="center"/>
        <w:rPr>
          <w:rFonts w:hint="eastAsia" w:ascii="黑体" w:hAnsi="Times New Roman" w:eastAsia="宋体" w:cs="Times New Roman"/>
          <w:b w:val="0"/>
          <w:bCs w:val="0"/>
          <w:color w:val="auto"/>
          <w:sz w:val="32"/>
          <w:szCs w:val="32"/>
          <w:highlight w:val="none"/>
        </w:rPr>
      </w:pPr>
      <w:r>
        <w:rPr>
          <w:rFonts w:hint="eastAsia" w:ascii="黑体" w:hAnsi="Times New Roman" w:eastAsia="宋体" w:cs="Times New Roman"/>
          <w:b w:val="0"/>
          <w:bCs w:val="0"/>
          <w:color w:val="auto"/>
          <w:sz w:val="32"/>
          <w:szCs w:val="32"/>
          <w:highlight w:val="none"/>
        </w:rPr>
        <w:t xml:space="preserve">      </w:t>
      </w:r>
    </w:p>
    <w:p w14:paraId="4A780DE4">
      <w:pPr>
        <w:adjustRightInd w:val="0"/>
        <w:snapToGrid w:val="0"/>
        <w:spacing w:line="440" w:lineRule="exact"/>
        <w:jc w:val="center"/>
        <w:rPr>
          <w:rFonts w:hint="eastAsia" w:ascii="黑体" w:hAnsi="Times New Roman" w:eastAsia="宋体" w:cs="Times New Roman"/>
          <w:color w:val="auto"/>
          <w:sz w:val="44"/>
          <w:szCs w:val="44"/>
          <w:highlight w:val="none"/>
        </w:rPr>
      </w:pPr>
      <w:r>
        <w:rPr>
          <w:rFonts w:hint="eastAsia" w:ascii="黑体" w:hAnsi="Times New Roman" w:eastAsia="宋体" w:cs="Times New Roman"/>
          <w:color w:val="auto"/>
          <w:sz w:val="44"/>
          <w:szCs w:val="44"/>
          <w:highlight w:val="none"/>
        </w:rPr>
        <w:t xml:space="preserve">          </w:t>
      </w:r>
    </w:p>
    <w:p w14:paraId="2A0A3B90">
      <w:pPr>
        <w:adjustRightInd w:val="0"/>
        <w:snapToGrid w:val="0"/>
        <w:spacing w:line="440" w:lineRule="exact"/>
        <w:jc w:val="center"/>
        <w:rPr>
          <w:rFonts w:hint="eastAsia" w:ascii="黑体" w:hAnsi="Times New Roman" w:eastAsia="宋体" w:cs="Times New Roman"/>
          <w:color w:val="auto"/>
          <w:sz w:val="44"/>
          <w:szCs w:val="44"/>
          <w:highlight w:val="none"/>
        </w:rPr>
      </w:pPr>
    </w:p>
    <w:p w14:paraId="033730F7">
      <w:pPr>
        <w:adjustRightInd w:val="0"/>
        <w:snapToGrid w:val="0"/>
        <w:spacing w:line="440" w:lineRule="exact"/>
        <w:jc w:val="center"/>
        <w:rPr>
          <w:rFonts w:hint="eastAsia" w:ascii="黑体" w:hAnsi="Times New Roman" w:eastAsia="宋体" w:cs="Times New Roman"/>
          <w:color w:val="auto"/>
          <w:sz w:val="44"/>
          <w:szCs w:val="44"/>
          <w:highlight w:val="none"/>
        </w:rPr>
      </w:pPr>
    </w:p>
    <w:p w14:paraId="33E638F3">
      <w:pPr>
        <w:adjustRightInd w:val="0"/>
        <w:snapToGrid w:val="0"/>
        <w:spacing w:line="440" w:lineRule="exact"/>
        <w:jc w:val="center"/>
        <w:rPr>
          <w:rFonts w:hint="eastAsia" w:ascii="黑体" w:hAnsi="Times New Roman" w:eastAsia="宋体" w:cs="Times New Roman"/>
          <w:color w:val="auto"/>
          <w:sz w:val="44"/>
          <w:szCs w:val="44"/>
          <w:highlight w:val="none"/>
        </w:rPr>
      </w:pPr>
    </w:p>
    <w:p w14:paraId="3214D6F8">
      <w:pPr>
        <w:adjustRightInd w:val="0"/>
        <w:snapToGrid w:val="0"/>
        <w:spacing w:line="440" w:lineRule="exact"/>
        <w:jc w:val="center"/>
        <w:rPr>
          <w:rFonts w:hint="eastAsia" w:ascii="黑体" w:hAnsi="Times New Roman" w:eastAsia="宋体" w:cs="Times New Roman"/>
          <w:color w:val="auto"/>
          <w:sz w:val="44"/>
          <w:szCs w:val="44"/>
          <w:highlight w:val="none"/>
        </w:rPr>
      </w:pPr>
    </w:p>
    <w:p w14:paraId="562E0977">
      <w:pPr>
        <w:adjustRightInd w:val="0"/>
        <w:snapToGrid w:val="0"/>
        <w:spacing w:line="440" w:lineRule="exact"/>
        <w:jc w:val="center"/>
        <w:rPr>
          <w:rFonts w:hint="eastAsia" w:ascii="黑体" w:hAnsi="Times New Roman" w:eastAsia="宋体" w:cs="Times New Roman"/>
          <w:b/>
          <w:bCs/>
          <w:color w:val="auto"/>
          <w:sz w:val="32"/>
          <w:szCs w:val="32"/>
          <w:highlight w:val="none"/>
        </w:rPr>
      </w:pPr>
    </w:p>
    <w:p w14:paraId="51D03F7C">
      <w:pPr>
        <w:adjustRightInd w:val="0"/>
        <w:snapToGrid w:val="0"/>
        <w:spacing w:line="440" w:lineRule="exact"/>
        <w:ind w:firstLine="1285" w:firstLineChars="400"/>
        <w:jc w:val="both"/>
        <w:rPr>
          <w:rFonts w:hint="eastAsia" w:ascii="黑体" w:hAnsi="Times New Roman" w:eastAsia="宋体" w:cs="Times New Roman"/>
          <w:b/>
          <w:bCs/>
          <w:color w:val="auto"/>
          <w:sz w:val="32"/>
          <w:szCs w:val="32"/>
          <w:highlight w:val="none"/>
        </w:rPr>
      </w:pPr>
      <w:r>
        <w:rPr>
          <w:rFonts w:hint="eastAsia" w:ascii="黑体" w:hAnsi="Times New Roman" w:eastAsia="宋体" w:cs="Times New Roman"/>
          <w:b/>
          <w:bCs/>
          <w:color w:val="auto"/>
          <w:sz w:val="32"/>
          <w:szCs w:val="32"/>
          <w:highlight w:val="none"/>
        </w:rPr>
        <w:t>甲  方：新疆维吾尔自治区疾病预防控制中心</w:t>
      </w:r>
    </w:p>
    <w:p w14:paraId="37AED812">
      <w:pPr>
        <w:adjustRightInd w:val="0"/>
        <w:snapToGrid w:val="0"/>
        <w:spacing w:line="440" w:lineRule="exact"/>
        <w:ind w:firstLine="1285" w:firstLineChars="400"/>
        <w:jc w:val="both"/>
        <w:rPr>
          <w:rFonts w:hint="eastAsia" w:ascii="黑体" w:hAnsi="Times New Roman" w:eastAsia="宋体" w:cs="Times New Roman"/>
          <w:b/>
          <w:bCs/>
          <w:color w:val="auto"/>
          <w:sz w:val="32"/>
          <w:szCs w:val="32"/>
          <w:highlight w:val="none"/>
        </w:rPr>
      </w:pPr>
      <w:r>
        <w:rPr>
          <w:rFonts w:hint="eastAsia" w:ascii="黑体" w:hAnsi="Times New Roman" w:eastAsia="宋体" w:cs="Times New Roman"/>
          <w:b/>
          <w:bCs/>
          <w:color w:val="auto"/>
          <w:sz w:val="32"/>
          <w:szCs w:val="32"/>
          <w:highlight w:val="none"/>
        </w:rPr>
        <w:t xml:space="preserve">乙  方： </w:t>
      </w:r>
    </w:p>
    <w:p w14:paraId="3AA2FA63">
      <w:pPr>
        <w:adjustRightInd w:val="0"/>
        <w:snapToGrid w:val="0"/>
        <w:spacing w:line="440" w:lineRule="exact"/>
        <w:jc w:val="center"/>
        <w:rPr>
          <w:rFonts w:hint="eastAsia" w:ascii="黑体" w:hAnsi="Times New Roman" w:eastAsia="宋体" w:cs="Times New Roman"/>
          <w:b/>
          <w:bCs/>
          <w:color w:val="auto"/>
          <w:sz w:val="32"/>
          <w:szCs w:val="32"/>
          <w:highlight w:val="none"/>
        </w:rPr>
      </w:pPr>
    </w:p>
    <w:p w14:paraId="09C10E7C">
      <w:pPr>
        <w:adjustRightInd w:val="0"/>
        <w:snapToGrid w:val="0"/>
        <w:spacing w:line="440" w:lineRule="exact"/>
        <w:jc w:val="center"/>
        <w:rPr>
          <w:rFonts w:hint="eastAsia" w:ascii="黑体" w:hAnsi="Times New Roman" w:eastAsia="宋体" w:cs="Times New Roman"/>
          <w:color w:val="auto"/>
          <w:sz w:val="44"/>
          <w:szCs w:val="44"/>
          <w:highlight w:val="none"/>
        </w:rPr>
      </w:pPr>
    </w:p>
    <w:p w14:paraId="40502292">
      <w:pPr>
        <w:adjustRightInd w:val="0"/>
        <w:snapToGrid w:val="0"/>
        <w:spacing w:line="440" w:lineRule="exact"/>
        <w:jc w:val="center"/>
        <w:rPr>
          <w:rFonts w:ascii="楷体_GB2312"/>
          <w:color w:val="auto"/>
          <w:szCs w:val="21"/>
          <w:highlight w:val="none"/>
        </w:rPr>
      </w:pPr>
    </w:p>
    <w:p w14:paraId="75D3A747">
      <w:pPr>
        <w:adjustRightInd w:val="0"/>
        <w:snapToGrid w:val="0"/>
        <w:spacing w:line="440" w:lineRule="exact"/>
        <w:jc w:val="center"/>
        <w:rPr>
          <w:rFonts w:ascii="楷体_GB2312"/>
          <w:color w:val="auto"/>
          <w:szCs w:val="21"/>
          <w:highlight w:val="none"/>
        </w:rPr>
      </w:pPr>
    </w:p>
    <w:p w14:paraId="6A241AC6">
      <w:pPr>
        <w:adjustRightInd w:val="0"/>
        <w:snapToGrid w:val="0"/>
        <w:spacing w:line="440" w:lineRule="exact"/>
        <w:jc w:val="center"/>
        <w:rPr>
          <w:rFonts w:hint="eastAsia" w:ascii="楷体_GB2312"/>
          <w:color w:val="auto"/>
          <w:szCs w:val="21"/>
          <w:highlight w:val="none"/>
        </w:rPr>
      </w:pPr>
    </w:p>
    <w:p w14:paraId="484C66E9">
      <w:pPr>
        <w:adjustRightInd w:val="0"/>
        <w:snapToGrid w:val="0"/>
        <w:spacing w:line="440" w:lineRule="exact"/>
        <w:jc w:val="center"/>
        <w:rPr>
          <w:rFonts w:hint="eastAsia" w:ascii="楷体_GB2312"/>
          <w:color w:val="auto"/>
          <w:szCs w:val="21"/>
          <w:highlight w:val="none"/>
        </w:rPr>
      </w:pPr>
    </w:p>
    <w:p w14:paraId="0C7DE4D7">
      <w:pPr>
        <w:adjustRightInd w:val="0"/>
        <w:snapToGrid w:val="0"/>
        <w:spacing w:line="440" w:lineRule="exact"/>
        <w:jc w:val="center"/>
        <w:rPr>
          <w:rFonts w:hint="eastAsia" w:ascii="黑体"/>
          <w:color w:val="auto"/>
          <w:szCs w:val="21"/>
          <w:highlight w:val="none"/>
        </w:rPr>
      </w:pPr>
    </w:p>
    <w:p w14:paraId="4FADE8A0">
      <w:pPr>
        <w:adjustRightInd w:val="0"/>
        <w:snapToGrid w:val="0"/>
        <w:spacing w:line="440" w:lineRule="exact"/>
        <w:jc w:val="center"/>
        <w:rPr>
          <w:rFonts w:hint="eastAsia" w:ascii="黑体"/>
          <w:color w:val="auto"/>
          <w:szCs w:val="21"/>
          <w:highlight w:val="none"/>
        </w:rPr>
      </w:pPr>
    </w:p>
    <w:p w14:paraId="5ACED30E">
      <w:pPr>
        <w:adjustRightInd w:val="0"/>
        <w:snapToGrid w:val="0"/>
        <w:spacing w:line="440" w:lineRule="exact"/>
        <w:jc w:val="center"/>
        <w:rPr>
          <w:rFonts w:hint="eastAsia" w:ascii="黑体"/>
          <w:color w:val="auto"/>
          <w:szCs w:val="21"/>
          <w:highlight w:val="none"/>
        </w:rPr>
      </w:pPr>
    </w:p>
    <w:p w14:paraId="367B9D53">
      <w:pPr>
        <w:adjustRightInd w:val="0"/>
        <w:snapToGrid w:val="0"/>
        <w:spacing w:line="440" w:lineRule="exact"/>
        <w:jc w:val="center"/>
        <w:rPr>
          <w:rFonts w:hint="eastAsia" w:ascii="黑体"/>
          <w:color w:val="auto"/>
          <w:szCs w:val="21"/>
          <w:highlight w:val="none"/>
        </w:rPr>
      </w:pPr>
    </w:p>
    <w:p w14:paraId="0816EE3C">
      <w:pPr>
        <w:adjustRightInd w:val="0"/>
        <w:snapToGrid w:val="0"/>
        <w:spacing w:line="440" w:lineRule="exact"/>
        <w:jc w:val="center"/>
        <w:rPr>
          <w:rFonts w:hint="eastAsia" w:ascii="黑体"/>
          <w:color w:val="auto"/>
          <w:szCs w:val="21"/>
          <w:highlight w:val="none"/>
        </w:rPr>
      </w:pPr>
    </w:p>
    <w:p w14:paraId="51055248">
      <w:pPr>
        <w:adjustRightInd w:val="0"/>
        <w:snapToGrid w:val="0"/>
        <w:spacing w:line="500" w:lineRule="exact"/>
        <w:jc w:val="center"/>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rPr>
        <w:t>采 购 （专 用） 合 同</w:t>
      </w:r>
    </w:p>
    <w:p w14:paraId="4E045353">
      <w:pPr>
        <w:adjustRightInd w:val="0"/>
        <w:snapToGrid w:val="0"/>
        <w:spacing w:line="500" w:lineRule="exact"/>
        <w:jc w:val="center"/>
        <w:rPr>
          <w:rFonts w:hint="eastAsia" w:ascii="宋体" w:hAnsi="宋体"/>
          <w:color w:val="auto"/>
          <w:sz w:val="30"/>
          <w:szCs w:val="30"/>
          <w:highlight w:val="none"/>
        </w:rPr>
      </w:pPr>
    </w:p>
    <w:p w14:paraId="73CEEF0A">
      <w:pPr>
        <w:adjustRightInd w:val="0"/>
        <w:snapToGrid w:val="0"/>
        <w:spacing w:line="500" w:lineRule="exact"/>
        <w:rPr>
          <w:rFonts w:hint="eastAsia" w:ascii="宋体" w:hAnsi="宋体"/>
          <w:color w:val="auto"/>
          <w:szCs w:val="21"/>
          <w:highlight w:val="none"/>
        </w:rPr>
      </w:pPr>
      <w:r>
        <w:rPr>
          <w:rFonts w:hint="eastAsia" w:ascii="宋体" w:hAnsi="宋体"/>
          <w:color w:val="auto"/>
          <w:szCs w:val="21"/>
          <w:highlight w:val="none"/>
        </w:rPr>
        <w:t>甲方：新疆维吾尔自治区疾病预防控制中心</w:t>
      </w:r>
    </w:p>
    <w:p w14:paraId="293EF0B6">
      <w:pPr>
        <w:adjustRightInd w:val="0"/>
        <w:snapToGrid w:val="0"/>
        <w:spacing w:line="500" w:lineRule="exact"/>
        <w:rPr>
          <w:rFonts w:hint="eastAsia" w:ascii="宋体" w:hAnsi="宋体"/>
          <w:color w:val="auto"/>
          <w:szCs w:val="21"/>
          <w:highlight w:val="none"/>
        </w:rPr>
      </w:pPr>
      <w:r>
        <w:rPr>
          <w:rFonts w:hint="eastAsia" w:ascii="宋体" w:hAnsi="宋体"/>
          <w:color w:val="auto"/>
          <w:szCs w:val="21"/>
          <w:highlight w:val="none"/>
        </w:rPr>
        <w:t xml:space="preserve">乙方：                                </w:t>
      </w:r>
    </w:p>
    <w:p w14:paraId="71610B29">
      <w:pPr>
        <w:widowControl/>
        <w:adjustRightInd w:val="0"/>
        <w:snapToGrid w:val="0"/>
        <w:spacing w:after="150" w:line="500" w:lineRule="exact"/>
        <w:ind w:firstLine="480" w:firstLineChars="200"/>
        <w:rPr>
          <w:rFonts w:ascii="宋体" w:hAnsi="宋体"/>
          <w:color w:val="auto"/>
          <w:szCs w:val="21"/>
          <w:highlight w:val="none"/>
        </w:rPr>
      </w:pPr>
      <w:r>
        <w:rPr>
          <w:rFonts w:ascii="宋体" w:hAnsi="宋体" w:cs="Arial"/>
          <w:color w:val="auto"/>
          <w:szCs w:val="21"/>
          <w:highlight w:val="none"/>
        </w:rPr>
        <w:t>新疆维吾尔自治区</w:t>
      </w:r>
      <w:r>
        <w:rPr>
          <w:rFonts w:hint="eastAsia" w:ascii="宋体" w:hAnsi="宋体"/>
          <w:color w:val="auto"/>
          <w:szCs w:val="21"/>
          <w:highlight w:val="none"/>
        </w:rPr>
        <w:t>疾病预防控制中心（以下简称甲方）经</w:t>
      </w:r>
      <w:r>
        <w:rPr>
          <w:rFonts w:hint="eastAsia" w:ascii="宋体" w:hAnsi="宋体"/>
          <w:color w:val="auto"/>
          <w:szCs w:val="21"/>
          <w:highlight w:val="none"/>
          <w:u w:val="single"/>
        </w:rPr>
        <w:t xml:space="preserve">             </w:t>
      </w:r>
      <w:r>
        <w:rPr>
          <w:rFonts w:hint="eastAsia" w:ascii="宋体" w:hAnsi="宋体"/>
          <w:color w:val="auto"/>
          <w:szCs w:val="21"/>
          <w:highlight w:val="none"/>
        </w:rPr>
        <w:t>组织的招标采购，选定</w:t>
      </w:r>
      <w:r>
        <w:rPr>
          <w:rFonts w:hint="eastAsia" w:ascii="宋体" w:hAnsi="宋体"/>
          <w:color w:val="auto"/>
          <w:szCs w:val="21"/>
          <w:highlight w:val="none"/>
          <w:u w:val="single"/>
        </w:rPr>
        <w:t xml:space="preserve">                                                                                    （                  （</w:t>
      </w:r>
      <w:r>
        <w:rPr>
          <w:rFonts w:hint="eastAsia" w:ascii="宋体" w:hAnsi="宋体"/>
          <w:color w:val="auto"/>
          <w:szCs w:val="21"/>
          <w:highlight w:val="none"/>
        </w:rPr>
        <w:t>以下简称乙方</w:t>
      </w:r>
      <w:r>
        <w:rPr>
          <w:rFonts w:hint="eastAsia" w:ascii="宋体" w:hAnsi="宋体"/>
          <w:color w:val="auto"/>
          <w:szCs w:val="21"/>
          <w:highlight w:val="none"/>
          <w:u w:val="single"/>
        </w:rPr>
        <w:t>）</w:t>
      </w:r>
      <w:r>
        <w:rPr>
          <w:rFonts w:hint="eastAsia" w:ascii="宋体" w:hAnsi="宋体"/>
          <w:color w:val="auto"/>
          <w:szCs w:val="21"/>
          <w:highlight w:val="none"/>
        </w:rPr>
        <w:t>：为提供</w:t>
      </w:r>
      <w:r>
        <w:rPr>
          <w:rFonts w:hint="eastAsia" w:ascii="宋体" w:hAnsi="宋体"/>
          <w:color w:val="auto"/>
          <w:szCs w:val="21"/>
          <w:highlight w:val="none"/>
          <w:u w:val="single"/>
        </w:rPr>
        <w:t xml:space="preserve">                          </w:t>
      </w:r>
      <w:r>
        <w:rPr>
          <w:rFonts w:hint="eastAsia" w:ascii="宋体" w:hAnsi="宋体"/>
          <w:color w:val="auto"/>
          <w:szCs w:val="21"/>
          <w:highlight w:val="none"/>
        </w:rPr>
        <w:t>产品的</w:t>
      </w:r>
      <w:r>
        <w:rPr>
          <w:rFonts w:hint="eastAsia" w:ascii="宋体" w:hAnsi="宋体"/>
          <w:color w:val="auto"/>
          <w:szCs w:val="21"/>
          <w:highlight w:val="none"/>
          <w:u w:val="single"/>
        </w:rPr>
        <w:t>中标单位</w:t>
      </w:r>
      <w:r>
        <w:rPr>
          <w:rFonts w:hint="eastAsia" w:ascii="宋体" w:hAnsi="宋体"/>
          <w:color w:val="auto"/>
          <w:szCs w:val="21"/>
          <w:highlight w:val="none"/>
        </w:rPr>
        <w:t>。依据《中华人民共和国民法典》、《中华人民共和国政府采购法》及相关法律、法规，经甲、乙双方共同协商，按下述条款签署本合同。</w:t>
      </w:r>
    </w:p>
    <w:p w14:paraId="1D217A67">
      <w:pPr>
        <w:widowControl/>
        <w:adjustRightInd w:val="0"/>
        <w:snapToGrid w:val="0"/>
        <w:spacing w:after="150"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本合同特别约定：本合同甲方所采购的货物（产品），最终目的地发往全疆各地州。乙方必须按甲方指定地点、时间、保质、保量送达各地。对货物（产品）的验收由目的地收货人行使甲方的权利，按本合同第二条、第三条、第四条、第五条执行，</w:t>
      </w:r>
      <w:r>
        <w:rPr>
          <w:rFonts w:hint="eastAsia" w:ascii="宋体" w:hAnsi="宋体" w:cs="Helvetica"/>
          <w:bCs/>
          <w:color w:val="auto"/>
          <w:kern w:val="0"/>
          <w:szCs w:val="21"/>
          <w:highlight w:val="none"/>
        </w:rPr>
        <w:t>保修与售后服务按本合同第九条执行。</w:t>
      </w:r>
    </w:p>
    <w:p w14:paraId="67F3415A">
      <w:pPr>
        <w:widowControl/>
        <w:adjustRightInd w:val="0"/>
        <w:snapToGrid w:val="0"/>
        <w:spacing w:line="500" w:lineRule="exact"/>
        <w:rPr>
          <w:rFonts w:ascii="宋体" w:hAnsi="宋体"/>
          <w:b/>
          <w:bCs/>
          <w:color w:val="auto"/>
          <w:szCs w:val="21"/>
          <w:highlight w:val="none"/>
        </w:rPr>
      </w:pPr>
      <w:r>
        <w:rPr>
          <w:rFonts w:hint="eastAsia" w:ascii="宋体" w:hAnsi="宋体"/>
          <w:b/>
          <w:bCs/>
          <w:color w:val="auto"/>
          <w:szCs w:val="21"/>
          <w:highlight w:val="none"/>
        </w:rPr>
        <w:t>一、合同标的、规格、数量、单价</w:t>
      </w:r>
      <w:r>
        <w:rPr>
          <w:rFonts w:ascii="宋体" w:hAnsi="宋体"/>
          <w:b/>
          <w:bCs/>
          <w:color w:val="auto"/>
          <w:szCs w:val="21"/>
          <w:highlight w:val="none"/>
        </w:rPr>
        <w:t xml:space="preserve"> </w:t>
      </w:r>
    </w:p>
    <w:tbl>
      <w:tblPr>
        <w:tblStyle w:val="15"/>
        <w:tblW w:w="0" w:type="auto"/>
        <w:jc w:val="center"/>
        <w:tblLayout w:type="fixed"/>
        <w:tblCellMar>
          <w:top w:w="0" w:type="dxa"/>
          <w:left w:w="108" w:type="dxa"/>
          <w:bottom w:w="0" w:type="dxa"/>
          <w:right w:w="108" w:type="dxa"/>
        </w:tblCellMar>
      </w:tblPr>
      <w:tblGrid>
        <w:gridCol w:w="858"/>
        <w:gridCol w:w="1271"/>
        <w:gridCol w:w="854"/>
        <w:gridCol w:w="730"/>
        <w:gridCol w:w="243"/>
        <w:gridCol w:w="734"/>
        <w:gridCol w:w="853"/>
        <w:gridCol w:w="1564"/>
        <w:gridCol w:w="1280"/>
        <w:gridCol w:w="999"/>
        <w:gridCol w:w="263"/>
        <w:gridCol w:w="808"/>
      </w:tblGrid>
      <w:tr w14:paraId="1DB17528">
        <w:tblPrEx>
          <w:tblCellMar>
            <w:top w:w="0" w:type="dxa"/>
            <w:left w:w="108" w:type="dxa"/>
            <w:bottom w:w="0" w:type="dxa"/>
            <w:right w:w="108" w:type="dxa"/>
          </w:tblCellMar>
        </w:tblPrEx>
        <w:trPr>
          <w:cantSplit/>
          <w:trHeight w:val="284" w:hRule="exact"/>
          <w:jc w:val="center"/>
        </w:trPr>
        <w:tc>
          <w:tcPr>
            <w:tcW w:w="858" w:type="dxa"/>
            <w:vMerge w:val="restart"/>
            <w:tcBorders>
              <w:top w:val="single" w:color="auto" w:sz="4" w:space="0"/>
              <w:left w:val="single" w:color="auto" w:sz="4" w:space="0"/>
              <w:right w:val="single" w:color="auto" w:sz="4" w:space="0"/>
            </w:tcBorders>
            <w:noWrap w:val="0"/>
            <w:vAlign w:val="center"/>
          </w:tcPr>
          <w:p w14:paraId="3E34AB56">
            <w:pPr>
              <w:adjustRightInd w:val="0"/>
              <w:snapToGrid w:val="0"/>
              <w:spacing w:line="500" w:lineRule="exact"/>
              <w:jc w:val="center"/>
              <w:rPr>
                <w:rFonts w:ascii="宋体" w:hAnsi="宋体"/>
                <w:color w:val="auto"/>
                <w:szCs w:val="21"/>
                <w:highlight w:val="none"/>
              </w:rPr>
            </w:pPr>
            <w:r>
              <w:rPr>
                <w:rFonts w:hint="eastAsia" w:ascii="宋体" w:hAnsi="宋体"/>
                <w:color w:val="auto"/>
                <w:szCs w:val="21"/>
                <w:highlight w:val="none"/>
              </w:rPr>
              <w:t>项目序号</w:t>
            </w:r>
          </w:p>
        </w:tc>
        <w:tc>
          <w:tcPr>
            <w:tcW w:w="1271" w:type="dxa"/>
            <w:vMerge w:val="restart"/>
            <w:tcBorders>
              <w:top w:val="single" w:color="auto" w:sz="4" w:space="0"/>
              <w:left w:val="single" w:color="auto" w:sz="4" w:space="0"/>
              <w:right w:val="single" w:color="auto" w:sz="4" w:space="0"/>
            </w:tcBorders>
            <w:noWrap w:val="0"/>
            <w:vAlign w:val="center"/>
          </w:tcPr>
          <w:p w14:paraId="31A857CC">
            <w:pPr>
              <w:adjustRightInd w:val="0"/>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名</w:t>
            </w:r>
            <w:r>
              <w:rPr>
                <w:rFonts w:ascii="宋体" w:hAnsi="宋体"/>
                <w:color w:val="auto"/>
                <w:szCs w:val="21"/>
                <w:highlight w:val="none"/>
              </w:rPr>
              <w:t xml:space="preserve">   </w:t>
            </w:r>
            <w:r>
              <w:rPr>
                <w:rFonts w:hint="eastAsia" w:ascii="宋体" w:hAnsi="宋体"/>
                <w:color w:val="auto"/>
                <w:szCs w:val="21"/>
                <w:highlight w:val="none"/>
              </w:rPr>
              <w:t>称</w:t>
            </w:r>
          </w:p>
          <w:p w14:paraId="373433A8">
            <w:pPr>
              <w:adjustRightInd w:val="0"/>
              <w:snapToGrid w:val="0"/>
              <w:spacing w:line="500" w:lineRule="exact"/>
              <w:jc w:val="center"/>
              <w:rPr>
                <w:rFonts w:ascii="宋体" w:hAnsi="宋体"/>
                <w:color w:val="auto"/>
                <w:szCs w:val="21"/>
                <w:highlight w:val="none"/>
              </w:rPr>
            </w:pPr>
            <w:r>
              <w:rPr>
                <w:rFonts w:hint="eastAsia" w:ascii="宋体" w:hAnsi="宋体"/>
                <w:color w:val="auto"/>
                <w:szCs w:val="21"/>
                <w:highlight w:val="none"/>
              </w:rPr>
              <w:t>（通用名）</w:t>
            </w:r>
          </w:p>
        </w:tc>
        <w:tc>
          <w:tcPr>
            <w:tcW w:w="854" w:type="dxa"/>
            <w:vMerge w:val="restart"/>
            <w:tcBorders>
              <w:top w:val="single" w:color="auto" w:sz="4" w:space="0"/>
              <w:left w:val="single" w:color="auto" w:sz="4" w:space="0"/>
              <w:right w:val="single" w:color="auto" w:sz="4" w:space="0"/>
            </w:tcBorders>
            <w:noWrap w:val="0"/>
            <w:vAlign w:val="center"/>
          </w:tcPr>
          <w:p w14:paraId="6F0DCF3B">
            <w:pPr>
              <w:adjustRightInd w:val="0"/>
              <w:snapToGrid w:val="0"/>
              <w:spacing w:line="500" w:lineRule="exact"/>
              <w:jc w:val="center"/>
              <w:rPr>
                <w:rFonts w:ascii="宋体" w:hAnsi="宋体"/>
                <w:color w:val="auto"/>
                <w:szCs w:val="21"/>
                <w:highlight w:val="none"/>
              </w:rPr>
            </w:pPr>
            <w:r>
              <w:rPr>
                <w:rFonts w:hint="eastAsia" w:ascii="宋体" w:hAnsi="宋体"/>
                <w:color w:val="auto"/>
                <w:szCs w:val="21"/>
                <w:highlight w:val="none"/>
              </w:rPr>
              <w:t>国产/进口</w:t>
            </w:r>
          </w:p>
        </w:tc>
        <w:tc>
          <w:tcPr>
            <w:tcW w:w="730" w:type="dxa"/>
            <w:tcBorders>
              <w:top w:val="single" w:color="auto" w:sz="4" w:space="0"/>
              <w:left w:val="single" w:color="auto" w:sz="4" w:space="0"/>
              <w:right w:val="single" w:color="auto" w:sz="4" w:space="0"/>
            </w:tcBorders>
            <w:noWrap w:val="0"/>
            <w:vAlign w:val="top"/>
          </w:tcPr>
          <w:p w14:paraId="2E8CA826">
            <w:pPr>
              <w:adjustRightInd w:val="0"/>
              <w:snapToGrid w:val="0"/>
              <w:spacing w:line="500" w:lineRule="exact"/>
              <w:rPr>
                <w:rFonts w:ascii="宋体" w:hAnsi="宋体"/>
                <w:color w:val="auto"/>
                <w:szCs w:val="21"/>
                <w:highlight w:val="none"/>
              </w:rPr>
            </w:pPr>
          </w:p>
        </w:tc>
        <w:tc>
          <w:tcPr>
            <w:tcW w:w="977" w:type="dxa"/>
            <w:gridSpan w:val="2"/>
            <w:vMerge w:val="restart"/>
            <w:tcBorders>
              <w:top w:val="single" w:color="auto" w:sz="4" w:space="0"/>
              <w:left w:val="single" w:color="auto" w:sz="4" w:space="0"/>
              <w:right w:val="single" w:color="auto" w:sz="4" w:space="0"/>
            </w:tcBorders>
            <w:noWrap w:val="0"/>
            <w:vAlign w:val="center"/>
          </w:tcPr>
          <w:p w14:paraId="7F614D64">
            <w:pPr>
              <w:adjustRightInd w:val="0"/>
              <w:snapToGrid w:val="0"/>
              <w:spacing w:line="500" w:lineRule="exact"/>
              <w:rPr>
                <w:rFonts w:ascii="宋体" w:hAnsi="宋体"/>
                <w:color w:val="auto"/>
                <w:szCs w:val="21"/>
                <w:highlight w:val="none"/>
              </w:rPr>
            </w:pPr>
            <w:r>
              <w:rPr>
                <w:rFonts w:ascii="宋体" w:hAnsi="宋体"/>
                <w:color w:val="auto"/>
                <w:szCs w:val="21"/>
                <w:highlight w:val="none"/>
              </w:rPr>
              <w:t>技术参</w:t>
            </w:r>
            <w:r>
              <w:rPr>
                <w:rFonts w:hint="eastAsia" w:ascii="宋体" w:hAnsi="宋体"/>
                <w:color w:val="auto"/>
                <w:szCs w:val="21"/>
                <w:highlight w:val="none"/>
              </w:rPr>
              <w:t xml:space="preserve"> </w:t>
            </w:r>
            <w:r>
              <w:rPr>
                <w:rFonts w:ascii="宋体" w:hAnsi="宋体"/>
                <w:color w:val="auto"/>
                <w:szCs w:val="21"/>
                <w:highlight w:val="none"/>
              </w:rPr>
              <w:t>数</w:t>
            </w:r>
          </w:p>
        </w:tc>
        <w:tc>
          <w:tcPr>
            <w:tcW w:w="853" w:type="dxa"/>
            <w:tcBorders>
              <w:top w:val="single" w:color="auto" w:sz="4" w:space="0"/>
              <w:left w:val="single" w:color="auto" w:sz="4" w:space="0"/>
              <w:right w:val="single" w:color="auto" w:sz="4" w:space="0"/>
            </w:tcBorders>
            <w:noWrap w:val="0"/>
            <w:vAlign w:val="top"/>
          </w:tcPr>
          <w:p w14:paraId="366F070D">
            <w:pPr>
              <w:adjustRightInd w:val="0"/>
              <w:snapToGrid w:val="0"/>
              <w:spacing w:line="500" w:lineRule="exact"/>
              <w:jc w:val="center"/>
              <w:rPr>
                <w:rFonts w:hint="eastAsia" w:ascii="宋体" w:hAnsi="宋体"/>
                <w:color w:val="auto"/>
                <w:szCs w:val="21"/>
                <w:highlight w:val="none"/>
              </w:rPr>
            </w:pPr>
          </w:p>
        </w:tc>
        <w:tc>
          <w:tcPr>
            <w:tcW w:w="1564" w:type="dxa"/>
            <w:vMerge w:val="restart"/>
            <w:tcBorders>
              <w:top w:val="single" w:color="auto" w:sz="4" w:space="0"/>
              <w:left w:val="single" w:color="auto" w:sz="4" w:space="0"/>
              <w:right w:val="single" w:color="auto" w:sz="4" w:space="0"/>
            </w:tcBorders>
            <w:noWrap w:val="0"/>
            <w:vAlign w:val="center"/>
          </w:tcPr>
          <w:p w14:paraId="5C6D18D1">
            <w:pPr>
              <w:adjustRightInd w:val="0"/>
              <w:snapToGrid w:val="0"/>
              <w:spacing w:line="500" w:lineRule="exact"/>
              <w:jc w:val="center"/>
              <w:rPr>
                <w:rFonts w:ascii="宋体" w:hAnsi="宋体"/>
                <w:color w:val="auto"/>
                <w:szCs w:val="21"/>
                <w:highlight w:val="none"/>
              </w:rPr>
            </w:pPr>
            <w:r>
              <w:rPr>
                <w:rFonts w:hint="eastAsia" w:ascii="宋体" w:hAnsi="宋体"/>
                <w:color w:val="auto"/>
                <w:szCs w:val="21"/>
                <w:highlight w:val="none"/>
              </w:rPr>
              <w:t>投标方报价</w:t>
            </w:r>
          </w:p>
          <w:p w14:paraId="6E1F3A33">
            <w:pPr>
              <w:adjustRightInd w:val="0"/>
              <w:snapToGrid w:val="0"/>
              <w:spacing w:line="500" w:lineRule="exact"/>
              <w:ind w:left="165"/>
              <w:jc w:val="center"/>
              <w:rPr>
                <w:rFonts w:ascii="宋体" w:hAnsi="宋体"/>
                <w:color w:val="auto"/>
                <w:szCs w:val="21"/>
                <w:highlight w:val="none"/>
              </w:rPr>
            </w:pPr>
            <w:r>
              <w:rPr>
                <w:rFonts w:hint="eastAsia" w:ascii="宋体" w:hAnsi="宋体"/>
                <w:color w:val="auto"/>
                <w:szCs w:val="21"/>
                <w:highlight w:val="none"/>
              </w:rPr>
              <w:t>单价（元/</w:t>
            </w:r>
          </w:p>
          <w:p w14:paraId="2217F18F">
            <w:pPr>
              <w:adjustRightInd w:val="0"/>
              <w:snapToGrid w:val="0"/>
              <w:spacing w:line="500" w:lineRule="exact"/>
              <w:jc w:val="center"/>
              <w:rPr>
                <w:rFonts w:ascii="宋体" w:hAnsi="宋体"/>
                <w:color w:val="auto"/>
                <w:szCs w:val="21"/>
                <w:highlight w:val="none"/>
              </w:rPr>
            </w:pPr>
            <w:r>
              <w:rPr>
                <w:rFonts w:hint="eastAsia" w:ascii="宋体" w:hAnsi="宋体"/>
                <w:color w:val="auto"/>
                <w:szCs w:val="21"/>
                <w:highlight w:val="none"/>
              </w:rPr>
              <w:t>支）</w:t>
            </w:r>
          </w:p>
        </w:tc>
        <w:tc>
          <w:tcPr>
            <w:tcW w:w="1280" w:type="dxa"/>
            <w:vMerge w:val="restart"/>
            <w:tcBorders>
              <w:top w:val="single" w:color="auto" w:sz="4" w:space="0"/>
              <w:left w:val="single" w:color="auto" w:sz="4" w:space="0"/>
              <w:right w:val="single" w:color="auto" w:sz="4" w:space="0"/>
            </w:tcBorders>
            <w:noWrap w:val="0"/>
            <w:vAlign w:val="center"/>
          </w:tcPr>
          <w:p w14:paraId="376520A7">
            <w:pPr>
              <w:adjustRightInd w:val="0"/>
              <w:snapToGrid w:val="0"/>
              <w:spacing w:line="500" w:lineRule="exact"/>
              <w:jc w:val="center"/>
              <w:rPr>
                <w:rFonts w:ascii="宋体" w:hAnsi="宋体"/>
                <w:color w:val="auto"/>
                <w:szCs w:val="21"/>
                <w:highlight w:val="none"/>
              </w:rPr>
            </w:pPr>
            <w:r>
              <w:rPr>
                <w:rFonts w:ascii="宋体" w:hAnsi="宋体"/>
                <w:color w:val="auto"/>
                <w:szCs w:val="21"/>
                <w:highlight w:val="none"/>
              </w:rPr>
              <w:t>合同总价</w:t>
            </w:r>
          </w:p>
        </w:tc>
        <w:tc>
          <w:tcPr>
            <w:tcW w:w="999" w:type="dxa"/>
            <w:vMerge w:val="restart"/>
            <w:tcBorders>
              <w:top w:val="single" w:color="auto" w:sz="4" w:space="0"/>
              <w:left w:val="single" w:color="auto" w:sz="4" w:space="0"/>
              <w:right w:val="single" w:color="auto" w:sz="4" w:space="0"/>
            </w:tcBorders>
            <w:noWrap w:val="0"/>
            <w:vAlign w:val="center"/>
          </w:tcPr>
          <w:p w14:paraId="78ED3124">
            <w:pPr>
              <w:adjustRightInd w:val="0"/>
              <w:snapToGrid w:val="0"/>
              <w:spacing w:line="500" w:lineRule="exact"/>
              <w:jc w:val="center"/>
              <w:rPr>
                <w:rFonts w:ascii="宋体" w:hAnsi="宋体"/>
                <w:color w:val="auto"/>
                <w:szCs w:val="21"/>
                <w:highlight w:val="none"/>
              </w:rPr>
            </w:pPr>
            <w:r>
              <w:rPr>
                <w:rFonts w:hint="eastAsia" w:ascii="宋体" w:hAnsi="宋体"/>
                <w:color w:val="auto"/>
                <w:szCs w:val="21"/>
                <w:highlight w:val="none"/>
              </w:rPr>
              <w:t>金额大写</w:t>
            </w:r>
          </w:p>
        </w:tc>
        <w:tc>
          <w:tcPr>
            <w:tcW w:w="263" w:type="dxa"/>
            <w:tcBorders>
              <w:top w:val="single" w:color="auto" w:sz="4" w:space="0"/>
            </w:tcBorders>
            <w:noWrap w:val="0"/>
            <w:vAlign w:val="top"/>
          </w:tcPr>
          <w:p w14:paraId="30AF2AA1">
            <w:pPr>
              <w:widowControl/>
              <w:adjustRightInd w:val="0"/>
              <w:snapToGrid w:val="0"/>
              <w:spacing w:line="500" w:lineRule="exact"/>
              <w:jc w:val="left"/>
              <w:rPr>
                <w:rFonts w:hint="eastAsia" w:ascii="宋体" w:hAnsi="宋体"/>
                <w:color w:val="auto"/>
                <w:szCs w:val="21"/>
                <w:highlight w:val="none"/>
              </w:rPr>
            </w:pPr>
          </w:p>
          <w:p w14:paraId="4BCE33D8">
            <w:pPr>
              <w:widowControl/>
              <w:adjustRightInd w:val="0"/>
              <w:snapToGrid w:val="0"/>
              <w:spacing w:line="500" w:lineRule="exact"/>
              <w:jc w:val="left"/>
              <w:rPr>
                <w:rFonts w:hint="eastAsia" w:ascii="宋体" w:hAnsi="宋体"/>
                <w:color w:val="auto"/>
                <w:szCs w:val="21"/>
                <w:highlight w:val="none"/>
              </w:rPr>
            </w:pPr>
          </w:p>
        </w:tc>
        <w:tc>
          <w:tcPr>
            <w:tcW w:w="808" w:type="dxa"/>
            <w:vMerge w:val="restart"/>
            <w:tcBorders>
              <w:top w:val="single" w:color="auto" w:sz="4" w:space="0"/>
              <w:right w:val="single" w:color="auto" w:sz="4" w:space="0"/>
            </w:tcBorders>
            <w:noWrap w:val="0"/>
            <w:vAlign w:val="center"/>
          </w:tcPr>
          <w:p w14:paraId="47CE5AED">
            <w:pPr>
              <w:widowControl/>
              <w:adjustRightInd w:val="0"/>
              <w:snapToGrid w:val="0"/>
              <w:spacing w:line="500" w:lineRule="exact"/>
              <w:jc w:val="center"/>
              <w:rPr>
                <w:rFonts w:hint="eastAsia" w:ascii="宋体" w:hAnsi="宋体"/>
                <w:color w:val="auto"/>
                <w:szCs w:val="21"/>
                <w:highlight w:val="none"/>
              </w:rPr>
            </w:pPr>
          </w:p>
          <w:p w14:paraId="022D4D02">
            <w:pPr>
              <w:widowControl/>
              <w:adjustRightInd w:val="0"/>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收</w:t>
            </w:r>
            <w:r>
              <w:rPr>
                <w:rFonts w:ascii="宋体" w:hAnsi="宋体"/>
                <w:color w:val="auto"/>
                <w:szCs w:val="21"/>
                <w:highlight w:val="none"/>
              </w:rPr>
              <w:t>货人及电话</w:t>
            </w:r>
          </w:p>
        </w:tc>
      </w:tr>
      <w:tr w14:paraId="129A843D">
        <w:tblPrEx>
          <w:tblCellMar>
            <w:top w:w="0" w:type="dxa"/>
            <w:left w:w="108" w:type="dxa"/>
            <w:bottom w:w="0" w:type="dxa"/>
            <w:right w:w="108" w:type="dxa"/>
          </w:tblCellMar>
        </w:tblPrEx>
        <w:trPr>
          <w:cantSplit/>
          <w:trHeight w:val="258" w:hRule="atLeast"/>
          <w:jc w:val="center"/>
        </w:trPr>
        <w:tc>
          <w:tcPr>
            <w:tcW w:w="858" w:type="dxa"/>
            <w:vMerge w:val="continue"/>
            <w:tcBorders>
              <w:left w:val="single" w:color="auto" w:sz="4" w:space="0"/>
              <w:bottom w:val="single" w:color="auto" w:sz="4" w:space="0"/>
              <w:right w:val="single" w:color="auto" w:sz="4" w:space="0"/>
            </w:tcBorders>
            <w:noWrap w:val="0"/>
            <w:vAlign w:val="center"/>
          </w:tcPr>
          <w:p w14:paraId="5700AC8B">
            <w:pPr>
              <w:adjustRightInd w:val="0"/>
              <w:snapToGrid w:val="0"/>
              <w:spacing w:line="500" w:lineRule="exact"/>
              <w:jc w:val="center"/>
              <w:rPr>
                <w:rFonts w:ascii="宋体" w:hAnsi="宋体"/>
                <w:color w:val="auto"/>
                <w:szCs w:val="21"/>
                <w:highlight w:val="none"/>
              </w:rPr>
            </w:pPr>
          </w:p>
        </w:tc>
        <w:tc>
          <w:tcPr>
            <w:tcW w:w="1271" w:type="dxa"/>
            <w:vMerge w:val="continue"/>
            <w:tcBorders>
              <w:left w:val="single" w:color="auto" w:sz="4" w:space="0"/>
              <w:right w:val="single" w:color="auto" w:sz="4" w:space="0"/>
            </w:tcBorders>
            <w:noWrap w:val="0"/>
            <w:vAlign w:val="center"/>
          </w:tcPr>
          <w:p w14:paraId="76DECC19">
            <w:pPr>
              <w:adjustRightInd w:val="0"/>
              <w:snapToGrid w:val="0"/>
              <w:spacing w:line="500" w:lineRule="exact"/>
              <w:jc w:val="center"/>
              <w:rPr>
                <w:rFonts w:ascii="宋体" w:hAnsi="宋体"/>
                <w:color w:val="auto"/>
                <w:szCs w:val="21"/>
                <w:highlight w:val="none"/>
              </w:rPr>
            </w:pPr>
          </w:p>
        </w:tc>
        <w:tc>
          <w:tcPr>
            <w:tcW w:w="854" w:type="dxa"/>
            <w:vMerge w:val="continue"/>
            <w:tcBorders>
              <w:left w:val="single" w:color="auto" w:sz="4" w:space="0"/>
              <w:right w:val="single" w:color="auto" w:sz="4" w:space="0"/>
            </w:tcBorders>
            <w:noWrap w:val="0"/>
            <w:vAlign w:val="center"/>
          </w:tcPr>
          <w:p w14:paraId="187A025C">
            <w:pPr>
              <w:adjustRightInd w:val="0"/>
              <w:snapToGrid w:val="0"/>
              <w:spacing w:line="500" w:lineRule="exact"/>
              <w:jc w:val="center"/>
              <w:rPr>
                <w:rFonts w:ascii="宋体" w:hAnsi="宋体"/>
                <w:color w:val="auto"/>
                <w:szCs w:val="21"/>
                <w:highlight w:val="none"/>
              </w:rPr>
            </w:pPr>
          </w:p>
        </w:tc>
        <w:tc>
          <w:tcPr>
            <w:tcW w:w="730" w:type="dxa"/>
            <w:tcBorders>
              <w:left w:val="single" w:color="auto" w:sz="4" w:space="0"/>
              <w:right w:val="single" w:color="auto" w:sz="4" w:space="0"/>
            </w:tcBorders>
            <w:noWrap w:val="0"/>
            <w:vAlign w:val="top"/>
          </w:tcPr>
          <w:p w14:paraId="209E47A1">
            <w:pPr>
              <w:adjustRightInd w:val="0"/>
              <w:snapToGrid w:val="0"/>
              <w:spacing w:line="500" w:lineRule="exact"/>
              <w:rPr>
                <w:rFonts w:hint="eastAsia" w:ascii="宋体" w:hAnsi="宋体"/>
                <w:color w:val="auto"/>
                <w:szCs w:val="21"/>
                <w:highlight w:val="none"/>
              </w:rPr>
            </w:pPr>
            <w:r>
              <w:rPr>
                <w:rFonts w:hint="eastAsia" w:ascii="宋体" w:hAnsi="宋体"/>
                <w:color w:val="auto"/>
                <w:szCs w:val="21"/>
                <w:highlight w:val="none"/>
              </w:rPr>
              <w:t>品名</w:t>
            </w:r>
            <w:r>
              <w:rPr>
                <w:rFonts w:ascii="宋体" w:hAnsi="宋体"/>
                <w:color w:val="auto"/>
                <w:szCs w:val="21"/>
                <w:highlight w:val="none"/>
              </w:rPr>
              <w:t>型号</w:t>
            </w:r>
          </w:p>
        </w:tc>
        <w:tc>
          <w:tcPr>
            <w:tcW w:w="977" w:type="dxa"/>
            <w:gridSpan w:val="2"/>
            <w:vMerge w:val="continue"/>
            <w:tcBorders>
              <w:left w:val="single" w:color="auto" w:sz="4" w:space="0"/>
              <w:right w:val="single" w:color="auto" w:sz="4" w:space="0"/>
            </w:tcBorders>
            <w:noWrap w:val="0"/>
            <w:vAlign w:val="center"/>
          </w:tcPr>
          <w:p w14:paraId="457B2274">
            <w:pPr>
              <w:adjustRightInd w:val="0"/>
              <w:snapToGrid w:val="0"/>
              <w:spacing w:line="500" w:lineRule="exact"/>
              <w:jc w:val="center"/>
              <w:rPr>
                <w:rFonts w:ascii="宋体" w:hAnsi="宋体"/>
                <w:color w:val="auto"/>
                <w:szCs w:val="21"/>
                <w:highlight w:val="none"/>
              </w:rPr>
            </w:pPr>
          </w:p>
        </w:tc>
        <w:tc>
          <w:tcPr>
            <w:tcW w:w="853" w:type="dxa"/>
            <w:tcBorders>
              <w:left w:val="single" w:color="auto" w:sz="4" w:space="0"/>
              <w:right w:val="single" w:color="auto" w:sz="4" w:space="0"/>
            </w:tcBorders>
            <w:noWrap w:val="0"/>
            <w:vAlign w:val="top"/>
          </w:tcPr>
          <w:p w14:paraId="1779BC58">
            <w:pPr>
              <w:adjustRightInd w:val="0"/>
              <w:snapToGrid w:val="0"/>
              <w:spacing w:line="500" w:lineRule="exact"/>
              <w:jc w:val="center"/>
              <w:rPr>
                <w:rFonts w:ascii="宋体" w:hAnsi="宋体"/>
                <w:color w:val="auto"/>
                <w:szCs w:val="21"/>
                <w:highlight w:val="none"/>
              </w:rPr>
            </w:pPr>
            <w:r>
              <w:rPr>
                <w:rFonts w:ascii="宋体" w:hAnsi="宋体"/>
                <w:color w:val="auto"/>
                <w:szCs w:val="21"/>
                <w:highlight w:val="none"/>
              </w:rPr>
              <w:t>数量</w:t>
            </w:r>
          </w:p>
        </w:tc>
        <w:tc>
          <w:tcPr>
            <w:tcW w:w="1564" w:type="dxa"/>
            <w:vMerge w:val="continue"/>
            <w:tcBorders>
              <w:left w:val="single" w:color="auto" w:sz="4" w:space="0"/>
              <w:right w:val="single" w:color="auto" w:sz="4" w:space="0"/>
            </w:tcBorders>
            <w:noWrap w:val="0"/>
            <w:vAlign w:val="center"/>
          </w:tcPr>
          <w:p w14:paraId="4AF72817">
            <w:pPr>
              <w:adjustRightInd w:val="0"/>
              <w:snapToGrid w:val="0"/>
              <w:spacing w:line="500" w:lineRule="exact"/>
              <w:jc w:val="center"/>
              <w:rPr>
                <w:rFonts w:ascii="宋体" w:hAnsi="宋体"/>
                <w:color w:val="auto"/>
                <w:szCs w:val="21"/>
                <w:highlight w:val="none"/>
              </w:rPr>
            </w:pPr>
          </w:p>
        </w:tc>
        <w:tc>
          <w:tcPr>
            <w:tcW w:w="1280" w:type="dxa"/>
            <w:vMerge w:val="continue"/>
            <w:tcBorders>
              <w:left w:val="single" w:color="auto" w:sz="4" w:space="0"/>
              <w:right w:val="single" w:color="auto" w:sz="4" w:space="0"/>
            </w:tcBorders>
            <w:noWrap w:val="0"/>
            <w:vAlign w:val="center"/>
          </w:tcPr>
          <w:p w14:paraId="03D04691">
            <w:pPr>
              <w:adjustRightInd w:val="0"/>
              <w:snapToGrid w:val="0"/>
              <w:spacing w:line="500" w:lineRule="exact"/>
              <w:jc w:val="center"/>
              <w:rPr>
                <w:rFonts w:ascii="宋体" w:hAnsi="宋体"/>
                <w:color w:val="auto"/>
                <w:szCs w:val="21"/>
                <w:highlight w:val="none"/>
              </w:rPr>
            </w:pPr>
          </w:p>
        </w:tc>
        <w:tc>
          <w:tcPr>
            <w:tcW w:w="999" w:type="dxa"/>
            <w:vMerge w:val="continue"/>
            <w:tcBorders>
              <w:left w:val="single" w:color="auto" w:sz="4" w:space="0"/>
              <w:bottom w:val="single" w:color="auto" w:sz="4" w:space="0"/>
              <w:right w:val="single" w:color="auto" w:sz="4" w:space="0"/>
            </w:tcBorders>
            <w:noWrap w:val="0"/>
            <w:vAlign w:val="center"/>
          </w:tcPr>
          <w:p w14:paraId="359D2756">
            <w:pPr>
              <w:adjustRightInd w:val="0"/>
              <w:snapToGrid w:val="0"/>
              <w:spacing w:line="500" w:lineRule="exact"/>
              <w:jc w:val="center"/>
              <w:rPr>
                <w:rFonts w:ascii="宋体" w:hAnsi="宋体"/>
                <w:color w:val="auto"/>
                <w:szCs w:val="21"/>
                <w:highlight w:val="none"/>
              </w:rPr>
            </w:pPr>
          </w:p>
        </w:tc>
        <w:tc>
          <w:tcPr>
            <w:tcW w:w="263" w:type="dxa"/>
            <w:tcBorders>
              <w:bottom w:val="single" w:color="auto" w:sz="4" w:space="0"/>
            </w:tcBorders>
            <w:noWrap w:val="0"/>
            <w:vAlign w:val="top"/>
          </w:tcPr>
          <w:p w14:paraId="61D006D3">
            <w:pPr>
              <w:widowControl/>
              <w:adjustRightInd w:val="0"/>
              <w:snapToGrid w:val="0"/>
              <w:spacing w:line="500" w:lineRule="exact"/>
              <w:jc w:val="left"/>
              <w:rPr>
                <w:rFonts w:ascii="宋体" w:hAnsi="宋体"/>
                <w:color w:val="auto"/>
                <w:szCs w:val="21"/>
                <w:highlight w:val="none"/>
              </w:rPr>
            </w:pPr>
          </w:p>
        </w:tc>
        <w:tc>
          <w:tcPr>
            <w:tcW w:w="808" w:type="dxa"/>
            <w:vMerge w:val="continue"/>
            <w:tcBorders>
              <w:bottom w:val="single" w:color="auto" w:sz="4" w:space="0"/>
              <w:right w:val="single" w:color="auto" w:sz="4" w:space="0"/>
            </w:tcBorders>
            <w:noWrap w:val="0"/>
            <w:vAlign w:val="top"/>
          </w:tcPr>
          <w:p w14:paraId="1027A43F">
            <w:pPr>
              <w:widowControl/>
              <w:adjustRightInd w:val="0"/>
              <w:snapToGrid w:val="0"/>
              <w:spacing w:line="500" w:lineRule="exact"/>
              <w:jc w:val="left"/>
              <w:rPr>
                <w:rFonts w:ascii="宋体" w:hAnsi="宋体"/>
                <w:color w:val="auto"/>
                <w:szCs w:val="21"/>
                <w:highlight w:val="none"/>
              </w:rPr>
            </w:pPr>
          </w:p>
        </w:tc>
      </w:tr>
      <w:tr w14:paraId="6FDCFF9D">
        <w:tblPrEx>
          <w:tblCellMar>
            <w:top w:w="0" w:type="dxa"/>
            <w:left w:w="108" w:type="dxa"/>
            <w:bottom w:w="0" w:type="dxa"/>
            <w:right w:w="108" w:type="dxa"/>
          </w:tblCellMar>
        </w:tblPrEx>
        <w:trPr>
          <w:cantSplit/>
          <w:trHeight w:val="504" w:hRule="atLeast"/>
          <w:jc w:val="center"/>
        </w:trPr>
        <w:tc>
          <w:tcPr>
            <w:tcW w:w="858" w:type="dxa"/>
            <w:tcBorders>
              <w:top w:val="single" w:color="auto" w:sz="4" w:space="0"/>
              <w:left w:val="single" w:color="auto" w:sz="6" w:space="0"/>
              <w:bottom w:val="single" w:color="auto" w:sz="4" w:space="0"/>
              <w:right w:val="single" w:color="auto" w:sz="4" w:space="0"/>
            </w:tcBorders>
            <w:noWrap w:val="0"/>
            <w:vAlign w:val="center"/>
          </w:tcPr>
          <w:p w14:paraId="4285AEB8">
            <w:pPr>
              <w:adjustRightInd w:val="0"/>
              <w:snapToGrid w:val="0"/>
              <w:spacing w:line="500" w:lineRule="exact"/>
              <w:jc w:val="center"/>
              <w:rPr>
                <w:rFonts w:hint="eastAsia" w:ascii="宋体" w:hAnsi="宋体"/>
                <w:color w:val="auto"/>
                <w:szCs w:val="21"/>
                <w:highlight w:val="none"/>
              </w:rPr>
            </w:pPr>
          </w:p>
        </w:tc>
        <w:tc>
          <w:tcPr>
            <w:tcW w:w="1271" w:type="dxa"/>
            <w:tcBorders>
              <w:top w:val="single" w:color="auto" w:sz="6" w:space="0"/>
              <w:left w:val="single" w:color="auto" w:sz="4" w:space="0"/>
              <w:bottom w:val="single" w:color="auto" w:sz="6" w:space="0"/>
              <w:right w:val="single" w:color="auto" w:sz="6" w:space="0"/>
            </w:tcBorders>
            <w:noWrap w:val="0"/>
            <w:vAlign w:val="center"/>
          </w:tcPr>
          <w:p w14:paraId="22A5F671">
            <w:pPr>
              <w:adjustRightInd w:val="0"/>
              <w:snapToGrid w:val="0"/>
              <w:spacing w:line="500" w:lineRule="exact"/>
              <w:jc w:val="center"/>
              <w:rPr>
                <w:rFonts w:hint="eastAsia" w:ascii="宋体" w:hAnsi="宋体"/>
                <w:color w:val="auto"/>
                <w:szCs w:val="21"/>
                <w:highlight w:val="none"/>
              </w:rPr>
            </w:pPr>
          </w:p>
        </w:tc>
        <w:tc>
          <w:tcPr>
            <w:tcW w:w="854" w:type="dxa"/>
            <w:tcBorders>
              <w:top w:val="single" w:color="auto" w:sz="4" w:space="0"/>
              <w:left w:val="single" w:color="auto" w:sz="6" w:space="0"/>
              <w:bottom w:val="single" w:color="auto" w:sz="4" w:space="0"/>
              <w:right w:val="single" w:color="auto" w:sz="6" w:space="0"/>
            </w:tcBorders>
            <w:noWrap w:val="0"/>
            <w:vAlign w:val="center"/>
          </w:tcPr>
          <w:p w14:paraId="42E7EF16">
            <w:pPr>
              <w:adjustRightInd w:val="0"/>
              <w:snapToGrid w:val="0"/>
              <w:spacing w:line="500" w:lineRule="exact"/>
              <w:jc w:val="center"/>
              <w:rPr>
                <w:rFonts w:hint="eastAsia" w:ascii="宋体" w:hAnsi="宋体"/>
                <w:color w:val="auto"/>
                <w:szCs w:val="21"/>
                <w:highlight w:val="none"/>
              </w:rPr>
            </w:pPr>
          </w:p>
        </w:tc>
        <w:tc>
          <w:tcPr>
            <w:tcW w:w="730" w:type="dxa"/>
            <w:tcBorders>
              <w:top w:val="single" w:color="auto" w:sz="4" w:space="0"/>
              <w:left w:val="single" w:color="auto" w:sz="6" w:space="0"/>
              <w:bottom w:val="single" w:color="auto" w:sz="4" w:space="0"/>
              <w:right w:val="single" w:color="auto" w:sz="6" w:space="0"/>
            </w:tcBorders>
            <w:noWrap w:val="0"/>
            <w:vAlign w:val="top"/>
          </w:tcPr>
          <w:p w14:paraId="784D2941">
            <w:pPr>
              <w:adjustRightInd w:val="0"/>
              <w:snapToGrid w:val="0"/>
              <w:spacing w:line="500" w:lineRule="exact"/>
              <w:jc w:val="center"/>
              <w:rPr>
                <w:rFonts w:hint="eastAsia" w:ascii="宋体" w:hAnsi="宋体"/>
                <w:color w:val="auto"/>
                <w:szCs w:val="21"/>
                <w:highlight w:val="none"/>
              </w:rPr>
            </w:pPr>
          </w:p>
        </w:tc>
        <w:tc>
          <w:tcPr>
            <w:tcW w:w="977" w:type="dxa"/>
            <w:gridSpan w:val="2"/>
            <w:tcBorders>
              <w:top w:val="single" w:color="auto" w:sz="4" w:space="0"/>
              <w:left w:val="single" w:color="auto" w:sz="6" w:space="0"/>
              <w:bottom w:val="single" w:color="auto" w:sz="4" w:space="0"/>
              <w:right w:val="single" w:color="auto" w:sz="4" w:space="0"/>
            </w:tcBorders>
            <w:noWrap w:val="0"/>
            <w:vAlign w:val="center"/>
          </w:tcPr>
          <w:p w14:paraId="6192CEE2">
            <w:pPr>
              <w:adjustRightInd w:val="0"/>
              <w:snapToGrid w:val="0"/>
              <w:spacing w:line="500" w:lineRule="exact"/>
              <w:jc w:val="center"/>
              <w:rPr>
                <w:rFonts w:hint="eastAsia" w:ascii="宋体" w:hAnsi="宋体"/>
                <w:color w:val="auto"/>
                <w:szCs w:val="21"/>
                <w:highlight w:val="none"/>
              </w:rPr>
            </w:pPr>
            <w:r>
              <w:rPr>
                <w:rFonts w:hint="eastAsia" w:ascii="宋体" w:hAnsi="宋体"/>
                <w:color w:val="auto"/>
                <w:szCs w:val="21"/>
                <w:highlight w:val="none"/>
              </w:rPr>
              <w:t xml:space="preserve">详见附件1 </w:t>
            </w:r>
          </w:p>
        </w:tc>
        <w:tc>
          <w:tcPr>
            <w:tcW w:w="853" w:type="dxa"/>
            <w:tcBorders>
              <w:top w:val="single" w:color="auto" w:sz="4" w:space="0"/>
              <w:left w:val="single" w:color="auto" w:sz="4" w:space="0"/>
              <w:bottom w:val="single" w:color="auto" w:sz="4" w:space="0"/>
              <w:right w:val="single" w:color="auto" w:sz="4" w:space="0"/>
            </w:tcBorders>
            <w:noWrap w:val="0"/>
            <w:vAlign w:val="top"/>
          </w:tcPr>
          <w:p w14:paraId="283AE459">
            <w:pPr>
              <w:adjustRightInd w:val="0"/>
              <w:snapToGrid w:val="0"/>
              <w:spacing w:line="500" w:lineRule="exact"/>
              <w:jc w:val="center"/>
              <w:rPr>
                <w:rFonts w:hint="eastAsia" w:ascii="宋体" w:hAnsi="宋体"/>
                <w:color w:val="auto"/>
                <w:szCs w:val="21"/>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1A84E95A">
            <w:pPr>
              <w:adjustRightInd w:val="0"/>
              <w:snapToGrid w:val="0"/>
              <w:spacing w:line="500" w:lineRule="exact"/>
              <w:jc w:val="center"/>
              <w:rPr>
                <w:rFonts w:hint="eastAsia" w:ascii="宋体" w:hAnsi="宋体"/>
                <w:color w:val="auto"/>
                <w:szCs w:val="21"/>
                <w:highlight w:val="none"/>
              </w:rPr>
            </w:pPr>
          </w:p>
        </w:tc>
        <w:tc>
          <w:tcPr>
            <w:tcW w:w="1280" w:type="dxa"/>
            <w:tcBorders>
              <w:top w:val="single" w:color="auto" w:sz="4" w:space="0"/>
              <w:left w:val="single" w:color="auto" w:sz="4" w:space="0"/>
              <w:bottom w:val="single" w:color="auto" w:sz="4" w:space="0"/>
              <w:right w:val="single" w:color="auto" w:sz="6" w:space="0"/>
            </w:tcBorders>
            <w:noWrap w:val="0"/>
            <w:vAlign w:val="center"/>
          </w:tcPr>
          <w:p w14:paraId="1F418B7C">
            <w:pPr>
              <w:adjustRightInd w:val="0"/>
              <w:snapToGrid w:val="0"/>
              <w:spacing w:line="500" w:lineRule="exact"/>
              <w:jc w:val="center"/>
              <w:rPr>
                <w:rFonts w:hint="eastAsia" w:ascii="宋体" w:hAnsi="宋体"/>
                <w:color w:val="auto"/>
                <w:szCs w:val="21"/>
                <w:highlight w:val="none"/>
              </w:rPr>
            </w:pPr>
          </w:p>
        </w:tc>
        <w:tc>
          <w:tcPr>
            <w:tcW w:w="999" w:type="dxa"/>
            <w:tcBorders>
              <w:top w:val="single" w:color="auto" w:sz="4" w:space="0"/>
              <w:left w:val="single" w:color="auto" w:sz="6" w:space="0"/>
              <w:right w:val="single" w:color="auto" w:sz="4" w:space="0"/>
            </w:tcBorders>
            <w:noWrap w:val="0"/>
            <w:vAlign w:val="center"/>
          </w:tcPr>
          <w:p w14:paraId="43819C0F">
            <w:pPr>
              <w:adjustRightInd w:val="0"/>
              <w:snapToGrid w:val="0"/>
              <w:spacing w:line="500" w:lineRule="exact"/>
              <w:jc w:val="center"/>
              <w:rPr>
                <w:rFonts w:hint="eastAsia" w:ascii="宋体" w:hAnsi="宋体"/>
                <w:color w:val="auto"/>
                <w:szCs w:val="21"/>
                <w:highlight w:val="none"/>
              </w:rPr>
            </w:pPr>
          </w:p>
        </w:tc>
        <w:tc>
          <w:tcPr>
            <w:tcW w:w="263" w:type="dxa"/>
            <w:tcBorders>
              <w:top w:val="single" w:color="auto" w:sz="4" w:space="0"/>
              <w:left w:val="single" w:color="auto" w:sz="4" w:space="0"/>
            </w:tcBorders>
            <w:noWrap w:val="0"/>
            <w:vAlign w:val="top"/>
          </w:tcPr>
          <w:p w14:paraId="2E56CA10">
            <w:pPr>
              <w:widowControl/>
              <w:adjustRightInd w:val="0"/>
              <w:snapToGrid w:val="0"/>
              <w:spacing w:line="500" w:lineRule="exact"/>
              <w:jc w:val="left"/>
              <w:rPr>
                <w:rFonts w:hint="eastAsia" w:ascii="宋体" w:hAnsi="宋体"/>
                <w:color w:val="auto"/>
                <w:szCs w:val="21"/>
                <w:highlight w:val="none"/>
              </w:rPr>
            </w:pPr>
          </w:p>
        </w:tc>
        <w:tc>
          <w:tcPr>
            <w:tcW w:w="808" w:type="dxa"/>
            <w:tcBorders>
              <w:top w:val="single" w:color="auto" w:sz="4" w:space="0"/>
              <w:bottom w:val="single" w:color="auto" w:sz="4" w:space="0"/>
              <w:right w:val="single" w:color="auto" w:sz="4" w:space="0"/>
            </w:tcBorders>
            <w:noWrap w:val="0"/>
            <w:vAlign w:val="top"/>
          </w:tcPr>
          <w:p w14:paraId="21A0B8F9">
            <w:pPr>
              <w:widowControl/>
              <w:adjustRightInd w:val="0"/>
              <w:snapToGrid w:val="0"/>
              <w:spacing w:line="500" w:lineRule="exact"/>
              <w:jc w:val="left"/>
              <w:rPr>
                <w:rFonts w:hint="eastAsia" w:ascii="宋体" w:hAnsi="宋体"/>
                <w:color w:val="auto"/>
                <w:szCs w:val="21"/>
                <w:highlight w:val="none"/>
              </w:rPr>
            </w:pPr>
          </w:p>
        </w:tc>
      </w:tr>
      <w:tr w14:paraId="4442BFA8">
        <w:tblPrEx>
          <w:tblCellMar>
            <w:top w:w="0" w:type="dxa"/>
            <w:left w:w="108" w:type="dxa"/>
            <w:bottom w:w="0" w:type="dxa"/>
            <w:right w:w="108" w:type="dxa"/>
          </w:tblCellMar>
        </w:tblPrEx>
        <w:trPr>
          <w:cantSplit/>
          <w:trHeight w:val="346" w:hRule="atLeast"/>
          <w:jc w:val="center"/>
        </w:trPr>
        <w:tc>
          <w:tcPr>
            <w:tcW w:w="858" w:type="dxa"/>
            <w:tcBorders>
              <w:top w:val="single" w:color="auto" w:sz="4" w:space="0"/>
              <w:left w:val="single" w:color="auto" w:sz="6" w:space="0"/>
              <w:bottom w:val="single" w:color="auto" w:sz="4" w:space="0"/>
              <w:right w:val="single" w:color="auto" w:sz="4" w:space="0"/>
            </w:tcBorders>
            <w:noWrap w:val="0"/>
            <w:vAlign w:val="center"/>
          </w:tcPr>
          <w:p w14:paraId="0604C7EA">
            <w:pPr>
              <w:adjustRightInd w:val="0"/>
              <w:snapToGrid w:val="0"/>
              <w:spacing w:line="500" w:lineRule="exact"/>
              <w:jc w:val="center"/>
              <w:rPr>
                <w:rFonts w:hint="eastAsia" w:ascii="宋体" w:hAnsi="宋体"/>
                <w:color w:val="auto"/>
                <w:szCs w:val="21"/>
                <w:highlight w:val="none"/>
              </w:rPr>
            </w:pPr>
          </w:p>
        </w:tc>
        <w:tc>
          <w:tcPr>
            <w:tcW w:w="1271" w:type="dxa"/>
            <w:tcBorders>
              <w:top w:val="single" w:color="auto" w:sz="6" w:space="0"/>
              <w:left w:val="single" w:color="auto" w:sz="4" w:space="0"/>
              <w:bottom w:val="single" w:color="auto" w:sz="6" w:space="0"/>
              <w:right w:val="single" w:color="auto" w:sz="6" w:space="0"/>
            </w:tcBorders>
            <w:noWrap w:val="0"/>
            <w:vAlign w:val="center"/>
          </w:tcPr>
          <w:p w14:paraId="50690435">
            <w:pPr>
              <w:adjustRightInd w:val="0"/>
              <w:snapToGrid w:val="0"/>
              <w:spacing w:line="500" w:lineRule="exact"/>
              <w:jc w:val="center"/>
              <w:rPr>
                <w:rFonts w:hint="eastAsia" w:ascii="宋体" w:hAnsi="宋体"/>
                <w:color w:val="auto"/>
                <w:szCs w:val="21"/>
                <w:highlight w:val="none"/>
              </w:rPr>
            </w:pPr>
          </w:p>
        </w:tc>
        <w:tc>
          <w:tcPr>
            <w:tcW w:w="854" w:type="dxa"/>
            <w:tcBorders>
              <w:top w:val="single" w:color="auto" w:sz="4" w:space="0"/>
              <w:left w:val="single" w:color="auto" w:sz="6" w:space="0"/>
              <w:bottom w:val="single" w:color="auto" w:sz="4" w:space="0"/>
              <w:right w:val="single" w:color="auto" w:sz="6" w:space="0"/>
            </w:tcBorders>
            <w:noWrap w:val="0"/>
            <w:vAlign w:val="center"/>
          </w:tcPr>
          <w:p w14:paraId="65EDA812">
            <w:pPr>
              <w:adjustRightInd w:val="0"/>
              <w:snapToGrid w:val="0"/>
              <w:spacing w:line="500" w:lineRule="exact"/>
              <w:jc w:val="center"/>
              <w:rPr>
                <w:rFonts w:hint="eastAsia" w:ascii="宋体" w:hAnsi="宋体"/>
                <w:color w:val="auto"/>
                <w:szCs w:val="21"/>
                <w:highlight w:val="none"/>
              </w:rPr>
            </w:pPr>
          </w:p>
        </w:tc>
        <w:tc>
          <w:tcPr>
            <w:tcW w:w="730" w:type="dxa"/>
            <w:tcBorders>
              <w:top w:val="single" w:color="auto" w:sz="4" w:space="0"/>
              <w:left w:val="single" w:color="auto" w:sz="6" w:space="0"/>
              <w:bottom w:val="single" w:color="auto" w:sz="4" w:space="0"/>
              <w:right w:val="single" w:color="auto" w:sz="6" w:space="0"/>
            </w:tcBorders>
            <w:noWrap w:val="0"/>
            <w:vAlign w:val="top"/>
          </w:tcPr>
          <w:p w14:paraId="7B873F98">
            <w:pPr>
              <w:adjustRightInd w:val="0"/>
              <w:snapToGrid w:val="0"/>
              <w:spacing w:line="500" w:lineRule="exact"/>
              <w:jc w:val="center"/>
              <w:rPr>
                <w:rFonts w:hint="eastAsia" w:ascii="宋体" w:hAnsi="宋体"/>
                <w:color w:val="auto"/>
                <w:szCs w:val="21"/>
                <w:highlight w:val="none"/>
              </w:rPr>
            </w:pPr>
          </w:p>
        </w:tc>
        <w:tc>
          <w:tcPr>
            <w:tcW w:w="977" w:type="dxa"/>
            <w:gridSpan w:val="2"/>
            <w:tcBorders>
              <w:top w:val="single" w:color="auto" w:sz="4" w:space="0"/>
              <w:left w:val="single" w:color="auto" w:sz="6" w:space="0"/>
              <w:bottom w:val="single" w:color="auto" w:sz="4" w:space="0"/>
              <w:right w:val="single" w:color="auto" w:sz="4" w:space="0"/>
            </w:tcBorders>
            <w:noWrap w:val="0"/>
            <w:vAlign w:val="center"/>
          </w:tcPr>
          <w:p w14:paraId="3ACDC3D1">
            <w:pPr>
              <w:adjustRightInd w:val="0"/>
              <w:snapToGrid w:val="0"/>
              <w:spacing w:line="500" w:lineRule="exact"/>
              <w:jc w:val="center"/>
              <w:rPr>
                <w:rFonts w:hint="eastAsia" w:ascii="宋体" w:hAnsi="宋体"/>
                <w:color w:val="auto"/>
                <w:szCs w:val="21"/>
                <w:highlight w:val="none"/>
              </w:rPr>
            </w:pPr>
          </w:p>
        </w:tc>
        <w:tc>
          <w:tcPr>
            <w:tcW w:w="853" w:type="dxa"/>
            <w:tcBorders>
              <w:top w:val="single" w:color="auto" w:sz="4" w:space="0"/>
              <w:left w:val="single" w:color="auto" w:sz="4" w:space="0"/>
              <w:bottom w:val="single" w:color="auto" w:sz="4" w:space="0"/>
              <w:right w:val="single" w:color="auto" w:sz="4" w:space="0"/>
            </w:tcBorders>
            <w:noWrap w:val="0"/>
            <w:vAlign w:val="top"/>
          </w:tcPr>
          <w:p w14:paraId="7DFC5810">
            <w:pPr>
              <w:adjustRightInd w:val="0"/>
              <w:snapToGrid w:val="0"/>
              <w:spacing w:line="500" w:lineRule="exact"/>
              <w:jc w:val="center"/>
              <w:rPr>
                <w:rFonts w:hint="eastAsia" w:ascii="宋体" w:hAnsi="宋体"/>
                <w:color w:val="auto"/>
                <w:szCs w:val="21"/>
                <w:highlight w:val="none"/>
              </w:rPr>
            </w:pPr>
          </w:p>
        </w:tc>
        <w:tc>
          <w:tcPr>
            <w:tcW w:w="1564" w:type="dxa"/>
            <w:tcBorders>
              <w:top w:val="single" w:color="auto" w:sz="4" w:space="0"/>
              <w:left w:val="single" w:color="auto" w:sz="4" w:space="0"/>
              <w:bottom w:val="single" w:color="auto" w:sz="4" w:space="0"/>
              <w:right w:val="single" w:color="auto" w:sz="4" w:space="0"/>
            </w:tcBorders>
            <w:noWrap w:val="0"/>
            <w:vAlign w:val="center"/>
          </w:tcPr>
          <w:p w14:paraId="6E689D89">
            <w:pPr>
              <w:adjustRightInd w:val="0"/>
              <w:snapToGrid w:val="0"/>
              <w:spacing w:line="500" w:lineRule="exact"/>
              <w:jc w:val="center"/>
              <w:rPr>
                <w:rFonts w:hint="eastAsia" w:ascii="宋体" w:hAnsi="宋体"/>
                <w:color w:val="auto"/>
                <w:szCs w:val="21"/>
                <w:highlight w:val="none"/>
              </w:rPr>
            </w:pPr>
          </w:p>
        </w:tc>
        <w:tc>
          <w:tcPr>
            <w:tcW w:w="1280" w:type="dxa"/>
            <w:tcBorders>
              <w:top w:val="single" w:color="auto" w:sz="4" w:space="0"/>
              <w:left w:val="single" w:color="auto" w:sz="4" w:space="0"/>
              <w:bottom w:val="single" w:color="auto" w:sz="4" w:space="0"/>
              <w:right w:val="single" w:color="auto" w:sz="6" w:space="0"/>
            </w:tcBorders>
            <w:noWrap w:val="0"/>
            <w:vAlign w:val="center"/>
          </w:tcPr>
          <w:p w14:paraId="187E51A5">
            <w:pPr>
              <w:adjustRightInd w:val="0"/>
              <w:snapToGrid w:val="0"/>
              <w:spacing w:line="500" w:lineRule="exact"/>
              <w:jc w:val="center"/>
              <w:rPr>
                <w:rFonts w:hint="eastAsia" w:ascii="宋体" w:hAnsi="宋体"/>
                <w:color w:val="auto"/>
                <w:szCs w:val="21"/>
                <w:highlight w:val="none"/>
              </w:rPr>
            </w:pPr>
          </w:p>
        </w:tc>
        <w:tc>
          <w:tcPr>
            <w:tcW w:w="999" w:type="dxa"/>
            <w:tcBorders>
              <w:top w:val="single" w:color="auto" w:sz="4" w:space="0"/>
              <w:left w:val="single" w:color="auto" w:sz="6" w:space="0"/>
              <w:bottom w:val="single" w:color="auto" w:sz="4" w:space="0"/>
              <w:right w:val="single" w:color="auto" w:sz="4" w:space="0"/>
            </w:tcBorders>
            <w:noWrap w:val="0"/>
            <w:vAlign w:val="center"/>
          </w:tcPr>
          <w:p w14:paraId="51396060">
            <w:pPr>
              <w:widowControl/>
              <w:adjustRightInd w:val="0"/>
              <w:snapToGrid w:val="0"/>
              <w:spacing w:line="500" w:lineRule="exact"/>
              <w:jc w:val="left"/>
              <w:rPr>
                <w:rFonts w:hint="eastAsia" w:ascii="宋体" w:hAnsi="宋体"/>
                <w:color w:val="auto"/>
                <w:szCs w:val="21"/>
                <w:highlight w:val="none"/>
              </w:rPr>
            </w:pPr>
          </w:p>
        </w:tc>
        <w:tc>
          <w:tcPr>
            <w:tcW w:w="263" w:type="dxa"/>
            <w:tcBorders>
              <w:top w:val="single" w:color="auto" w:sz="4" w:space="0"/>
              <w:left w:val="single" w:color="auto" w:sz="4" w:space="0"/>
              <w:bottom w:val="single" w:color="auto" w:sz="4" w:space="0"/>
            </w:tcBorders>
            <w:noWrap w:val="0"/>
            <w:vAlign w:val="center"/>
          </w:tcPr>
          <w:p w14:paraId="64EE0AC3">
            <w:pPr>
              <w:widowControl/>
              <w:adjustRightInd w:val="0"/>
              <w:snapToGrid w:val="0"/>
              <w:spacing w:line="500" w:lineRule="exact"/>
              <w:jc w:val="left"/>
              <w:rPr>
                <w:rFonts w:hint="eastAsia" w:ascii="宋体" w:hAnsi="宋体"/>
                <w:color w:val="auto"/>
                <w:szCs w:val="21"/>
                <w:highlight w:val="none"/>
              </w:rPr>
            </w:pPr>
          </w:p>
        </w:tc>
        <w:tc>
          <w:tcPr>
            <w:tcW w:w="808" w:type="dxa"/>
            <w:tcBorders>
              <w:top w:val="single" w:color="auto" w:sz="4" w:space="0"/>
              <w:bottom w:val="single" w:color="auto" w:sz="4" w:space="0"/>
              <w:right w:val="single" w:color="auto" w:sz="4" w:space="0"/>
            </w:tcBorders>
            <w:noWrap w:val="0"/>
            <w:vAlign w:val="top"/>
          </w:tcPr>
          <w:p w14:paraId="22007191">
            <w:pPr>
              <w:widowControl/>
              <w:adjustRightInd w:val="0"/>
              <w:snapToGrid w:val="0"/>
              <w:spacing w:line="500" w:lineRule="exact"/>
              <w:jc w:val="left"/>
              <w:rPr>
                <w:rFonts w:hint="eastAsia" w:ascii="宋体" w:hAnsi="宋体"/>
                <w:color w:val="auto"/>
                <w:szCs w:val="21"/>
                <w:highlight w:val="none"/>
              </w:rPr>
            </w:pPr>
          </w:p>
        </w:tc>
      </w:tr>
      <w:tr w14:paraId="6B17A18F">
        <w:tblPrEx>
          <w:tblCellMar>
            <w:top w:w="0" w:type="dxa"/>
            <w:left w:w="108" w:type="dxa"/>
            <w:bottom w:w="0" w:type="dxa"/>
            <w:right w:w="108" w:type="dxa"/>
          </w:tblCellMar>
        </w:tblPrEx>
        <w:trPr>
          <w:cantSplit/>
          <w:trHeight w:val="474" w:hRule="atLeast"/>
          <w:jc w:val="center"/>
        </w:trPr>
        <w:tc>
          <w:tcPr>
            <w:tcW w:w="2129" w:type="dxa"/>
            <w:gridSpan w:val="2"/>
            <w:tcBorders>
              <w:top w:val="single" w:color="auto" w:sz="4" w:space="0"/>
              <w:left w:val="single" w:color="auto" w:sz="6" w:space="0"/>
              <w:bottom w:val="single" w:color="auto" w:sz="4" w:space="0"/>
              <w:right w:val="single" w:color="auto" w:sz="6" w:space="0"/>
            </w:tcBorders>
            <w:noWrap w:val="0"/>
            <w:vAlign w:val="center"/>
          </w:tcPr>
          <w:p w14:paraId="75186BDE">
            <w:pPr>
              <w:adjustRightInd w:val="0"/>
              <w:snapToGrid w:val="0"/>
              <w:spacing w:line="500" w:lineRule="exact"/>
              <w:jc w:val="center"/>
              <w:rPr>
                <w:rFonts w:ascii="宋体" w:hAnsi="宋体"/>
                <w:color w:val="auto"/>
                <w:szCs w:val="21"/>
                <w:highlight w:val="none"/>
              </w:rPr>
            </w:pPr>
            <w:r>
              <w:rPr>
                <w:rFonts w:hint="eastAsia" w:ascii="宋体" w:hAnsi="宋体"/>
                <w:color w:val="auto"/>
                <w:szCs w:val="21"/>
                <w:highlight w:val="none"/>
              </w:rPr>
              <w:t>合同总价</w:t>
            </w:r>
          </w:p>
        </w:tc>
        <w:tc>
          <w:tcPr>
            <w:tcW w:w="854" w:type="dxa"/>
            <w:tcBorders>
              <w:top w:val="single" w:color="auto" w:sz="4" w:space="0"/>
              <w:left w:val="single" w:color="auto" w:sz="6" w:space="0"/>
              <w:bottom w:val="single" w:color="auto" w:sz="4" w:space="0"/>
              <w:right w:val="single" w:color="auto" w:sz="6" w:space="0"/>
            </w:tcBorders>
            <w:noWrap w:val="0"/>
            <w:vAlign w:val="top"/>
          </w:tcPr>
          <w:p w14:paraId="0B2146D2">
            <w:pPr>
              <w:adjustRightInd w:val="0"/>
              <w:snapToGrid w:val="0"/>
              <w:spacing w:line="500" w:lineRule="exact"/>
              <w:rPr>
                <w:rFonts w:hint="eastAsia" w:ascii="宋体" w:hAnsi="宋体"/>
                <w:color w:val="auto"/>
                <w:szCs w:val="21"/>
                <w:highlight w:val="none"/>
              </w:rPr>
            </w:pPr>
          </w:p>
        </w:tc>
        <w:tc>
          <w:tcPr>
            <w:tcW w:w="973" w:type="dxa"/>
            <w:gridSpan w:val="2"/>
            <w:tcBorders>
              <w:top w:val="single" w:color="auto" w:sz="4" w:space="0"/>
              <w:left w:val="single" w:color="auto" w:sz="6" w:space="0"/>
              <w:bottom w:val="single" w:color="auto" w:sz="4" w:space="0"/>
            </w:tcBorders>
            <w:noWrap w:val="0"/>
            <w:vAlign w:val="top"/>
          </w:tcPr>
          <w:p w14:paraId="724B7B3D">
            <w:pPr>
              <w:adjustRightInd w:val="0"/>
              <w:snapToGrid w:val="0"/>
              <w:spacing w:line="500" w:lineRule="exact"/>
              <w:rPr>
                <w:rFonts w:hint="eastAsia" w:ascii="宋体" w:hAnsi="宋体"/>
                <w:color w:val="auto"/>
                <w:szCs w:val="21"/>
                <w:highlight w:val="none"/>
              </w:rPr>
            </w:pPr>
          </w:p>
        </w:tc>
        <w:tc>
          <w:tcPr>
            <w:tcW w:w="6501" w:type="dxa"/>
            <w:gridSpan w:val="7"/>
            <w:tcBorders>
              <w:bottom w:val="single" w:color="auto" w:sz="4" w:space="0"/>
              <w:right w:val="single" w:color="auto" w:sz="4" w:space="0"/>
            </w:tcBorders>
            <w:noWrap w:val="0"/>
            <w:vAlign w:val="top"/>
          </w:tcPr>
          <w:p w14:paraId="03D40FC6">
            <w:pPr>
              <w:adjustRightInd w:val="0"/>
              <w:snapToGrid w:val="0"/>
              <w:spacing w:line="500" w:lineRule="exact"/>
              <w:rPr>
                <w:rFonts w:hint="eastAsia" w:ascii="宋体" w:hAnsi="宋体" w:cs="仿宋_GB2312"/>
                <w:color w:val="auto"/>
                <w:kern w:val="0"/>
                <w:szCs w:val="21"/>
                <w:highlight w:val="none"/>
              </w:rPr>
            </w:pPr>
          </w:p>
          <w:p w14:paraId="01B93168">
            <w:pPr>
              <w:adjustRightInd w:val="0"/>
              <w:snapToGrid w:val="0"/>
              <w:spacing w:line="50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人民币大写</w:t>
            </w:r>
            <w:r>
              <w:rPr>
                <w:rFonts w:hint="eastAsia" w:ascii="宋体" w:hAnsi="宋体" w:cs="仿宋_GB2312"/>
                <w:color w:val="auto"/>
                <w:kern w:val="0"/>
                <w:szCs w:val="21"/>
                <w:highlight w:val="none"/>
                <w:u w:val="single"/>
              </w:rPr>
              <w:t xml:space="preserve">：                       </w:t>
            </w:r>
            <w:r>
              <w:rPr>
                <w:rFonts w:hint="eastAsia" w:ascii="宋体" w:hAnsi="宋体"/>
                <w:color w:val="auto"/>
                <w:szCs w:val="21"/>
                <w:highlight w:val="none"/>
              </w:rPr>
              <w:t xml:space="preserve"> </w:t>
            </w:r>
            <w:r>
              <w:rPr>
                <w:rFonts w:hint="eastAsia" w:ascii="宋体" w:hAnsi="宋体" w:cs="仿宋_GB2312"/>
                <w:color w:val="auto"/>
                <w:kern w:val="0"/>
                <w:szCs w:val="21"/>
                <w:highlight w:val="none"/>
              </w:rPr>
              <w:t>（小写￥</w:t>
            </w:r>
            <w:r>
              <w:rPr>
                <w:rFonts w:hint="eastAsia" w:ascii="宋体" w:hAnsi="宋体"/>
                <w:color w:val="auto"/>
                <w:szCs w:val="21"/>
                <w:highlight w:val="none"/>
              </w:rPr>
              <w:t xml:space="preserve">      </w:t>
            </w:r>
            <w:r>
              <w:rPr>
                <w:rFonts w:hint="eastAsia" w:ascii="宋体" w:hAnsi="宋体" w:cs="仿宋_GB2312"/>
                <w:color w:val="auto"/>
                <w:kern w:val="0"/>
                <w:szCs w:val="21"/>
                <w:highlight w:val="none"/>
              </w:rPr>
              <w:t>元）</w:t>
            </w:r>
          </w:p>
          <w:p w14:paraId="0B4B4660">
            <w:pPr>
              <w:widowControl/>
              <w:adjustRightInd w:val="0"/>
              <w:snapToGrid w:val="0"/>
              <w:spacing w:line="500" w:lineRule="exact"/>
              <w:jc w:val="left"/>
              <w:rPr>
                <w:rFonts w:ascii="宋体" w:hAnsi="宋体"/>
                <w:color w:val="auto"/>
                <w:szCs w:val="21"/>
                <w:highlight w:val="none"/>
              </w:rPr>
            </w:pPr>
          </w:p>
        </w:tc>
      </w:tr>
    </w:tbl>
    <w:p w14:paraId="68F8A5F9">
      <w:pPr>
        <w:adjustRightInd w:val="0"/>
        <w:snapToGrid w:val="0"/>
        <w:spacing w:line="500" w:lineRule="exact"/>
        <w:rPr>
          <w:rFonts w:ascii="宋体" w:hAnsi="宋体"/>
          <w:color w:val="auto"/>
          <w:spacing w:val="-20"/>
          <w:szCs w:val="21"/>
          <w:highlight w:val="none"/>
        </w:rPr>
      </w:pPr>
      <w:r>
        <w:rPr>
          <w:rFonts w:hint="eastAsia" w:ascii="宋体" w:hAnsi="宋体"/>
          <w:color w:val="auto"/>
          <w:spacing w:val="-20"/>
          <w:szCs w:val="21"/>
          <w:highlight w:val="none"/>
        </w:rPr>
        <w:t>说</w:t>
      </w:r>
      <w:r>
        <w:rPr>
          <w:rFonts w:ascii="宋体" w:hAnsi="宋体"/>
          <w:color w:val="auto"/>
          <w:spacing w:val="-20"/>
          <w:szCs w:val="21"/>
          <w:highlight w:val="none"/>
        </w:rPr>
        <w:t xml:space="preserve">      </w:t>
      </w:r>
      <w:r>
        <w:rPr>
          <w:rFonts w:hint="eastAsia" w:ascii="宋体" w:hAnsi="宋体"/>
          <w:color w:val="auto"/>
          <w:spacing w:val="-20"/>
          <w:szCs w:val="21"/>
          <w:highlight w:val="none"/>
        </w:rPr>
        <w:t>明：</w:t>
      </w:r>
    </w:p>
    <w:p w14:paraId="4317E179">
      <w:pPr>
        <w:adjustRightInd w:val="0"/>
        <w:snapToGrid w:val="0"/>
        <w:spacing w:line="500" w:lineRule="exact"/>
        <w:ind w:firstLine="480" w:firstLineChars="200"/>
        <w:rPr>
          <w:rFonts w:ascii="宋体" w:hAnsi="宋体"/>
          <w:color w:val="auto"/>
          <w:szCs w:val="21"/>
          <w:highlight w:val="none"/>
        </w:rPr>
      </w:pPr>
      <w:r>
        <w:rPr>
          <w:rFonts w:hint="eastAsia" w:ascii="宋体" w:hAnsi="宋体"/>
          <w:color w:val="auto"/>
          <w:szCs w:val="21"/>
          <w:highlight w:val="none"/>
        </w:rPr>
        <w:t>（一） 合同总价包含到达交货地点的运杂费、技术服务（相关技术指导）、安装费、运输费、保险费、培训及其他各项费用。</w:t>
      </w:r>
    </w:p>
    <w:p w14:paraId="1DF29694">
      <w:pPr>
        <w:adjustRightInd w:val="0"/>
        <w:snapToGrid w:val="0"/>
        <w:spacing w:line="500" w:lineRule="exact"/>
        <w:ind w:firstLine="480" w:firstLineChars="200"/>
        <w:rPr>
          <w:rFonts w:ascii="宋体" w:hAnsi="宋体"/>
          <w:color w:val="auto"/>
          <w:szCs w:val="21"/>
          <w:highlight w:val="none"/>
        </w:rPr>
      </w:pPr>
      <w:r>
        <w:rPr>
          <w:rFonts w:hint="eastAsia" w:ascii="宋体" w:hAnsi="宋体"/>
          <w:color w:val="auto"/>
          <w:szCs w:val="21"/>
          <w:highlight w:val="none"/>
        </w:rPr>
        <w:t>（二）合同总价包括乙方销售本合同产品，国家根据现行税法向乙方征收的与履行合同有关的一切税费。</w:t>
      </w:r>
    </w:p>
    <w:p w14:paraId="246A7037">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（三） 合同总价一次包死，不受市场价格变化的影响，并作为结算的唯一依据。</w:t>
      </w:r>
    </w:p>
    <w:p w14:paraId="0094CAA0">
      <w:pPr>
        <w:adjustRightInd w:val="0"/>
        <w:snapToGrid w:val="0"/>
        <w:spacing w:line="500" w:lineRule="exact"/>
        <w:ind w:firstLine="482" w:firstLineChars="200"/>
        <w:rPr>
          <w:rFonts w:hint="eastAsia" w:ascii="宋体" w:hAnsi="宋体"/>
          <w:b/>
          <w:bCs/>
          <w:color w:val="auto"/>
          <w:szCs w:val="21"/>
          <w:highlight w:val="none"/>
        </w:rPr>
      </w:pPr>
      <w:r>
        <w:rPr>
          <w:rFonts w:hint="eastAsia" w:ascii="宋体" w:hAnsi="宋体"/>
          <w:b/>
          <w:bCs/>
          <w:color w:val="auto"/>
          <w:szCs w:val="21"/>
          <w:highlight w:val="none"/>
        </w:rPr>
        <w:t>二、产品质量要求</w:t>
      </w:r>
    </w:p>
    <w:p w14:paraId="328BAA03">
      <w:pPr>
        <w:adjustRightInd w:val="0"/>
        <w:snapToGrid w:val="0"/>
        <w:spacing w:line="500" w:lineRule="exact"/>
        <w:ind w:firstLine="480" w:firstLineChars="200"/>
        <w:rPr>
          <w:rFonts w:ascii="宋体" w:hAnsi="宋体"/>
          <w:color w:val="auto"/>
          <w:szCs w:val="21"/>
          <w:highlight w:val="none"/>
          <w:u w:val="single"/>
        </w:rPr>
      </w:pPr>
      <w:r>
        <w:rPr>
          <w:rFonts w:hint="eastAsia" w:ascii="宋体" w:hAnsi="宋体"/>
          <w:color w:val="auto"/>
          <w:szCs w:val="21"/>
          <w:highlight w:val="none"/>
        </w:rPr>
        <w:t>（一） 国家标准：</w:t>
      </w:r>
      <w:r>
        <w:rPr>
          <w:rFonts w:hint="eastAsia" w:ascii="宋体" w:hAnsi="宋体"/>
          <w:color w:val="auto"/>
          <w:szCs w:val="21"/>
          <w:highlight w:val="none"/>
          <w:u w:val="single"/>
        </w:rPr>
        <w:t xml:space="preserve">  符合国家标准          </w:t>
      </w:r>
    </w:p>
    <w:p w14:paraId="2CB00706">
      <w:pPr>
        <w:adjustRightInd w:val="0"/>
        <w:snapToGrid w:val="0"/>
        <w:spacing w:line="500" w:lineRule="exact"/>
        <w:ind w:firstLine="480" w:firstLineChars="200"/>
        <w:rPr>
          <w:rFonts w:ascii="宋体" w:hAnsi="宋体"/>
          <w:color w:val="auto"/>
          <w:szCs w:val="21"/>
          <w:highlight w:val="none"/>
        </w:rPr>
      </w:pPr>
      <w:r>
        <w:rPr>
          <w:rFonts w:hint="eastAsia" w:ascii="宋体" w:hAnsi="宋体"/>
          <w:color w:val="auto"/>
          <w:szCs w:val="21"/>
          <w:highlight w:val="none"/>
        </w:rPr>
        <w:t>（二）行业标准：</w:t>
      </w:r>
      <w:r>
        <w:rPr>
          <w:rFonts w:hint="eastAsia" w:ascii="宋体" w:hAnsi="宋体"/>
          <w:color w:val="auto"/>
          <w:szCs w:val="21"/>
          <w:highlight w:val="none"/>
          <w:u w:val="single"/>
        </w:rPr>
        <w:t xml:space="preserve">    符合行业标准         </w:t>
      </w:r>
      <w:r>
        <w:rPr>
          <w:rFonts w:hint="eastAsia" w:ascii="宋体" w:hAnsi="宋体"/>
          <w:color w:val="auto"/>
          <w:szCs w:val="21"/>
          <w:highlight w:val="none"/>
        </w:rPr>
        <w:t xml:space="preserve">                             </w:t>
      </w:r>
    </w:p>
    <w:p w14:paraId="6A374B2A">
      <w:pPr>
        <w:adjustRightInd w:val="0"/>
        <w:snapToGrid w:val="0"/>
        <w:spacing w:line="500" w:lineRule="exact"/>
        <w:ind w:firstLine="480" w:firstLineChars="200"/>
        <w:rPr>
          <w:rFonts w:hint="eastAsia" w:ascii="宋体" w:hAnsi="宋体"/>
          <w:color w:val="auto"/>
          <w:szCs w:val="21"/>
          <w:highlight w:val="none"/>
          <w:u w:val="single"/>
        </w:rPr>
      </w:pPr>
      <w:r>
        <w:rPr>
          <w:rFonts w:hint="eastAsia" w:ascii="宋体" w:hAnsi="宋体"/>
          <w:color w:val="auto"/>
          <w:szCs w:val="21"/>
          <w:highlight w:val="none"/>
        </w:rPr>
        <w:t>（三） 样品标准：</w:t>
      </w:r>
      <w:r>
        <w:rPr>
          <w:rFonts w:hint="eastAsia" w:ascii="宋体" w:hAnsi="宋体"/>
          <w:color w:val="auto"/>
          <w:szCs w:val="21"/>
          <w:highlight w:val="none"/>
          <w:u w:val="single"/>
        </w:rPr>
        <w:t xml:space="preserve"> /  </w:t>
      </w:r>
    </w:p>
    <w:p w14:paraId="59503F57">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四）乙方应保证其提供的产品是全新的、未使用过的，采用的是最佳材料和一流工艺，并在各个方面符合合同规定的质量、规格和性能要求。提供的产品和投标文件一致。在规定的质量保证期内，乙方应对任何缺陷负责。除合同中另有规定外，出现上述情况乙方应在收到甲方通知后</w:t>
      </w:r>
      <w:r>
        <w:rPr>
          <w:rFonts w:hint="eastAsia" w:ascii="宋体" w:hAnsi="宋体"/>
          <w:color w:val="auto"/>
          <w:szCs w:val="21"/>
          <w:highlight w:val="none"/>
          <w:u w:val="single"/>
        </w:rPr>
        <w:t>7</w:t>
      </w:r>
      <w:r>
        <w:rPr>
          <w:rFonts w:hint="eastAsia" w:ascii="宋体" w:hAnsi="宋体"/>
          <w:color w:val="auto"/>
          <w:szCs w:val="21"/>
          <w:highlight w:val="none"/>
        </w:rPr>
        <w:t>天内，免费负责更换新的产品。对造成的损失甲方保留索赔的权利。</w:t>
      </w:r>
    </w:p>
    <w:p w14:paraId="0ABABEC9">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（五）因乙方产品发生知识产权纠纷、质量问题导致的产品被监管部门没收、罚款或召回及因第三方主张民事权利等造成的甲方经济损失和相关费用均由乙方承担。</w:t>
      </w:r>
    </w:p>
    <w:p w14:paraId="2F46FE28">
      <w:pPr>
        <w:adjustRightInd w:val="0"/>
        <w:snapToGrid w:val="0"/>
        <w:spacing w:line="500" w:lineRule="exact"/>
        <w:ind w:firstLine="482" w:firstLineChars="200"/>
        <w:rPr>
          <w:rFonts w:hint="eastAsia" w:ascii="宋体" w:hAnsi="宋体"/>
          <w:b/>
          <w:bCs/>
          <w:color w:val="auto"/>
          <w:szCs w:val="21"/>
          <w:highlight w:val="none"/>
        </w:rPr>
      </w:pPr>
      <w:r>
        <w:rPr>
          <w:rFonts w:hint="eastAsia" w:ascii="宋体" w:hAnsi="宋体"/>
          <w:b/>
          <w:bCs/>
          <w:color w:val="auto"/>
          <w:szCs w:val="21"/>
          <w:highlight w:val="none"/>
        </w:rPr>
        <w:t>三、包装方式及包装品处理</w:t>
      </w:r>
    </w:p>
    <w:p w14:paraId="4B3BEBBC">
      <w:pPr>
        <w:adjustRightInd w:val="0"/>
        <w:snapToGrid w:val="0"/>
        <w:spacing w:line="500" w:lineRule="exact"/>
        <w:ind w:firstLine="480" w:firstLineChars="200"/>
        <w:rPr>
          <w:rFonts w:hint="eastAsia" w:ascii="宋体" w:hAnsi="宋体"/>
          <w:color w:val="auto"/>
          <w:szCs w:val="21"/>
          <w:highlight w:val="none"/>
          <w:u w:val="single"/>
        </w:rPr>
      </w:pPr>
      <w:r>
        <w:rPr>
          <w:rFonts w:hint="eastAsia" w:ascii="宋体" w:hAnsi="宋体"/>
          <w:color w:val="auto"/>
          <w:szCs w:val="21"/>
          <w:highlight w:val="none"/>
        </w:rPr>
        <w:t>（一）包装方式：</w:t>
      </w:r>
      <w:r>
        <w:rPr>
          <w:rFonts w:hint="eastAsia" w:ascii="宋体" w:hAnsi="宋体"/>
          <w:color w:val="auto"/>
          <w:szCs w:val="21"/>
          <w:highlight w:val="none"/>
          <w:u w:val="single"/>
        </w:rPr>
        <w:t xml:space="preserve">     纸箱/木箱/泡沫                      </w:t>
      </w:r>
    </w:p>
    <w:p w14:paraId="246CF3A0">
      <w:pPr>
        <w:adjustRightInd w:val="0"/>
        <w:snapToGrid w:val="0"/>
        <w:spacing w:line="500" w:lineRule="exact"/>
        <w:ind w:firstLine="480" w:firstLineChars="200"/>
        <w:rPr>
          <w:rFonts w:hint="eastAsia" w:ascii="宋体" w:hAnsi="宋体"/>
          <w:color w:val="auto"/>
          <w:szCs w:val="21"/>
          <w:highlight w:val="none"/>
          <w:u w:val="single"/>
        </w:rPr>
      </w:pPr>
      <w:r>
        <w:rPr>
          <w:rFonts w:hint="eastAsia" w:ascii="宋体" w:hAnsi="宋体"/>
          <w:color w:val="auto"/>
          <w:szCs w:val="21"/>
          <w:highlight w:val="none"/>
        </w:rPr>
        <w:t>（二）包装品处理：</w:t>
      </w:r>
      <w:r>
        <w:rPr>
          <w:rFonts w:hint="eastAsia" w:ascii="宋体" w:hAnsi="宋体"/>
          <w:color w:val="auto"/>
          <w:szCs w:val="21"/>
          <w:highlight w:val="none"/>
          <w:u w:val="single"/>
        </w:rPr>
        <w:t xml:space="preserve">   由甲方指定处理                      </w:t>
      </w:r>
    </w:p>
    <w:p w14:paraId="76661B52">
      <w:pPr>
        <w:numPr>
          <w:ilvl w:val="0"/>
          <w:numId w:val="5"/>
        </w:numPr>
        <w:adjustRightInd w:val="0"/>
        <w:snapToGrid w:val="0"/>
        <w:spacing w:line="500" w:lineRule="exact"/>
        <w:ind w:firstLine="482" w:firstLineChars="200"/>
        <w:rPr>
          <w:rFonts w:hint="eastAsia" w:ascii="宋体" w:hAnsi="宋体"/>
          <w:b/>
          <w:bCs/>
          <w:color w:val="auto"/>
          <w:szCs w:val="21"/>
          <w:highlight w:val="none"/>
        </w:rPr>
      </w:pPr>
      <w:r>
        <w:rPr>
          <w:rFonts w:hint="eastAsia" w:ascii="宋体" w:hAnsi="宋体"/>
          <w:b/>
          <w:bCs/>
          <w:color w:val="auto"/>
          <w:szCs w:val="21"/>
          <w:highlight w:val="none"/>
        </w:rPr>
        <w:t>交货方式</w:t>
      </w:r>
    </w:p>
    <w:p w14:paraId="04C2129F">
      <w:pPr>
        <w:numPr>
          <w:ilvl w:val="0"/>
          <w:numId w:val="6"/>
        </w:numPr>
        <w:adjustRightInd w:val="0"/>
        <w:snapToGrid w:val="0"/>
        <w:spacing w:line="500" w:lineRule="exact"/>
        <w:ind w:firstLine="480" w:firstLineChars="200"/>
        <w:rPr>
          <w:rFonts w:hint="eastAsia" w:ascii="宋体" w:hAnsi="宋体"/>
          <w:color w:val="auto"/>
          <w:szCs w:val="21"/>
          <w:highlight w:val="none"/>
          <w:u w:val="single"/>
        </w:rPr>
      </w:pPr>
      <w:r>
        <w:rPr>
          <w:rFonts w:hint="eastAsia" w:ascii="宋体" w:hAnsi="宋体"/>
          <w:color w:val="auto"/>
          <w:szCs w:val="21"/>
          <w:highlight w:val="none"/>
        </w:rPr>
        <w:t>交货期限：</w:t>
      </w:r>
      <w:r>
        <w:rPr>
          <w:rFonts w:hint="eastAsia" w:ascii="宋体" w:hAnsi="宋体"/>
          <w:color w:val="auto"/>
          <w:szCs w:val="21"/>
          <w:highlight w:val="none"/>
          <w:u w:val="single"/>
        </w:rPr>
        <w:t xml:space="preserve">    物资自合同签订之日起   日完成交货</w:t>
      </w:r>
      <w:r>
        <w:rPr>
          <w:rFonts w:hint="eastAsia" w:ascii="宋体" w:hAnsi="宋体"/>
          <w:color w:val="auto"/>
          <w:szCs w:val="21"/>
          <w:highlight w:val="none"/>
          <w:u w:val="single"/>
          <w:lang w:eastAsia="zh-CN"/>
        </w:rPr>
        <w:t>。</w:t>
      </w:r>
    </w:p>
    <w:p w14:paraId="60C572C4">
      <w:pPr>
        <w:adjustRightInd w:val="0"/>
        <w:snapToGrid w:val="0"/>
        <w:spacing w:line="500" w:lineRule="exact"/>
        <w:ind w:firstLine="480" w:firstLineChars="200"/>
        <w:rPr>
          <w:rFonts w:hint="eastAsia" w:ascii="宋体" w:hAnsi="宋体"/>
          <w:color w:val="auto"/>
          <w:szCs w:val="21"/>
          <w:highlight w:val="none"/>
          <w:u w:val="single"/>
        </w:rPr>
      </w:pPr>
      <w:r>
        <w:rPr>
          <w:rFonts w:hint="eastAsia" w:ascii="宋体" w:hAnsi="宋体"/>
          <w:color w:val="auto"/>
          <w:szCs w:val="21"/>
          <w:highlight w:val="none"/>
        </w:rPr>
        <w:t xml:space="preserve">（二）交货地点： </w:t>
      </w:r>
      <w:r>
        <w:rPr>
          <w:rFonts w:hint="eastAsia" w:ascii="宋体" w:hAnsi="宋体"/>
          <w:color w:val="auto"/>
          <w:szCs w:val="21"/>
          <w:highlight w:val="none"/>
          <w:u w:val="single"/>
        </w:rPr>
        <w:t xml:space="preserve">  </w:t>
      </w:r>
      <w:r>
        <w:rPr>
          <w:rFonts w:ascii="宋体" w:hAnsi="宋体" w:eastAsia="宋体" w:cs="宋体"/>
          <w:color w:val="auto"/>
          <w:kern w:val="0"/>
          <w:sz w:val="24"/>
          <w:szCs w:val="24"/>
          <w:highlight w:val="none"/>
          <w:lang w:val="en-US" w:eastAsia="zh-CN" w:bidi="ar"/>
        </w:rPr>
        <w:t>兰州市城关区徐家坪 1 号中国农业科学院兰州兽医研究所</w:t>
      </w:r>
      <w:r>
        <w:rPr>
          <w:rFonts w:ascii="宋体" w:hAnsi="宋体"/>
          <w:color w:val="auto"/>
          <w:szCs w:val="21"/>
          <w:highlight w:val="none"/>
          <w:u w:val="single"/>
        </w:rPr>
        <w:t>。</w:t>
      </w:r>
      <w:r>
        <w:rPr>
          <w:rFonts w:hint="eastAsia" w:ascii="宋体" w:hAnsi="宋体"/>
          <w:color w:val="auto"/>
          <w:szCs w:val="21"/>
          <w:highlight w:val="none"/>
          <w:u w:val="single"/>
        </w:rPr>
        <w:t xml:space="preserve"> </w:t>
      </w:r>
    </w:p>
    <w:p w14:paraId="5D3BB9DA">
      <w:pPr>
        <w:adjustRightInd w:val="0"/>
        <w:snapToGrid w:val="0"/>
        <w:spacing w:line="500" w:lineRule="exact"/>
        <w:ind w:firstLine="480" w:firstLineChars="200"/>
        <w:rPr>
          <w:rFonts w:hint="eastAsia" w:ascii="宋体" w:hAnsi="宋体"/>
          <w:color w:val="auto"/>
          <w:szCs w:val="21"/>
          <w:highlight w:val="none"/>
          <w:u w:val="single"/>
        </w:rPr>
      </w:pPr>
      <w:r>
        <w:rPr>
          <w:rFonts w:hint="eastAsia" w:ascii="宋体" w:hAnsi="宋体"/>
          <w:color w:val="auto"/>
          <w:szCs w:val="21"/>
          <w:highlight w:val="none"/>
        </w:rPr>
        <w:t>（三）运输方式：</w:t>
      </w:r>
      <w:r>
        <w:rPr>
          <w:rFonts w:hint="eastAsia" w:ascii="宋体" w:hAnsi="宋体"/>
          <w:color w:val="auto"/>
          <w:szCs w:val="21"/>
          <w:highlight w:val="none"/>
          <w:u w:val="single"/>
        </w:rPr>
        <w:t xml:space="preserve">  乙方</w:t>
      </w:r>
      <w:r>
        <w:rPr>
          <w:rFonts w:ascii="宋体" w:hAnsi="宋体"/>
          <w:color w:val="auto"/>
          <w:szCs w:val="21"/>
          <w:highlight w:val="none"/>
          <w:u w:val="single"/>
        </w:rPr>
        <w:t>负责运输</w:t>
      </w:r>
      <w:r>
        <w:rPr>
          <w:rFonts w:hint="eastAsia" w:ascii="宋体" w:hAnsi="宋体"/>
          <w:color w:val="auto"/>
          <w:szCs w:val="21"/>
          <w:highlight w:val="none"/>
          <w:u w:val="single"/>
        </w:rPr>
        <w:t>到</w:t>
      </w:r>
      <w:r>
        <w:rPr>
          <w:rFonts w:ascii="宋体" w:hAnsi="宋体"/>
          <w:color w:val="auto"/>
          <w:szCs w:val="21"/>
          <w:highlight w:val="none"/>
          <w:u w:val="single"/>
        </w:rPr>
        <w:t>甲方</w:t>
      </w:r>
      <w:r>
        <w:rPr>
          <w:rFonts w:hint="eastAsia" w:ascii="宋体" w:hAnsi="宋体"/>
          <w:color w:val="auto"/>
          <w:szCs w:val="21"/>
          <w:highlight w:val="none"/>
          <w:u w:val="single"/>
        </w:rPr>
        <w:t xml:space="preserve">指定地点     </w:t>
      </w:r>
    </w:p>
    <w:p w14:paraId="64CCAAE3">
      <w:pPr>
        <w:adjustRightInd w:val="0"/>
        <w:snapToGrid w:val="0"/>
        <w:spacing w:line="500" w:lineRule="exact"/>
        <w:ind w:firstLine="480" w:firstLineChars="200"/>
        <w:rPr>
          <w:rFonts w:ascii="宋体" w:hAnsi="宋体"/>
          <w:color w:val="auto"/>
          <w:szCs w:val="21"/>
          <w:highlight w:val="none"/>
        </w:rPr>
      </w:pPr>
      <w:r>
        <w:rPr>
          <w:rFonts w:hint="eastAsia" w:ascii="宋体" w:hAnsi="宋体"/>
          <w:color w:val="auto"/>
          <w:szCs w:val="21"/>
          <w:highlight w:val="none"/>
        </w:rPr>
        <w:t>根据国家相关部门规定，产品需特殊方式运输的，如冷链运输的，配送由</w:t>
      </w:r>
      <w:r>
        <w:rPr>
          <w:rFonts w:ascii="宋体" w:hAnsi="宋体"/>
          <w:color w:val="auto"/>
          <w:szCs w:val="21"/>
          <w:highlight w:val="none"/>
        </w:rPr>
        <w:t>具备冷链储存、运输条件</w:t>
      </w:r>
      <w:r>
        <w:rPr>
          <w:rFonts w:hint="eastAsia" w:ascii="宋体" w:hAnsi="宋体"/>
          <w:color w:val="auto"/>
          <w:szCs w:val="21"/>
          <w:highlight w:val="none"/>
        </w:rPr>
        <w:t>乙方或乙方</w:t>
      </w:r>
      <w:r>
        <w:rPr>
          <w:rFonts w:ascii="宋体" w:hAnsi="宋体"/>
          <w:color w:val="auto"/>
          <w:szCs w:val="21"/>
          <w:highlight w:val="none"/>
        </w:rPr>
        <w:t>委托具备冷链储存、运输条件的企业</w:t>
      </w:r>
      <w:r>
        <w:rPr>
          <w:rFonts w:hint="eastAsia" w:ascii="宋体" w:hAnsi="宋体"/>
          <w:color w:val="auto"/>
          <w:szCs w:val="21"/>
          <w:highlight w:val="none"/>
        </w:rPr>
        <w:t>负责</w:t>
      </w:r>
      <w:r>
        <w:rPr>
          <w:rFonts w:ascii="宋体" w:hAnsi="宋体"/>
          <w:color w:val="auto"/>
          <w:szCs w:val="21"/>
          <w:highlight w:val="none"/>
        </w:rPr>
        <w:t>配送。</w:t>
      </w:r>
      <w:r>
        <w:rPr>
          <w:rFonts w:hint="eastAsia" w:ascii="宋体" w:hAnsi="宋体"/>
          <w:color w:val="auto"/>
          <w:szCs w:val="21"/>
          <w:highlight w:val="none"/>
        </w:rPr>
        <w:t>配送要符合新修改条例及各级卫生主管部门和食品药品监督管理部门的相关规定，</w:t>
      </w:r>
      <w:r>
        <w:rPr>
          <w:rFonts w:ascii="宋体" w:hAnsi="宋体"/>
          <w:color w:val="auto"/>
          <w:szCs w:val="21"/>
          <w:highlight w:val="none"/>
        </w:rPr>
        <w:t>遵守储存、运输管理规范，保证</w:t>
      </w:r>
      <w:r>
        <w:rPr>
          <w:rFonts w:hint="eastAsia" w:ascii="宋体" w:hAnsi="宋体"/>
          <w:color w:val="auto"/>
          <w:szCs w:val="21"/>
          <w:highlight w:val="none"/>
        </w:rPr>
        <w:t>产品</w:t>
      </w:r>
      <w:r>
        <w:rPr>
          <w:rFonts w:ascii="宋体" w:hAnsi="宋体"/>
          <w:color w:val="auto"/>
          <w:szCs w:val="21"/>
          <w:highlight w:val="none"/>
        </w:rPr>
        <w:t>质量。</w:t>
      </w:r>
      <w:r>
        <w:rPr>
          <w:rFonts w:hint="eastAsia" w:ascii="宋体" w:hAnsi="宋体"/>
          <w:color w:val="auto"/>
          <w:szCs w:val="21"/>
          <w:highlight w:val="none"/>
        </w:rPr>
        <w:t>产品</w:t>
      </w:r>
      <w:r>
        <w:rPr>
          <w:rFonts w:ascii="宋体" w:hAnsi="宋体"/>
          <w:color w:val="auto"/>
          <w:szCs w:val="21"/>
          <w:highlight w:val="none"/>
        </w:rPr>
        <w:t>储存、运输的全过程应当始终处于规定的温度环境，不得脱离冷链，</w:t>
      </w:r>
      <w:r>
        <w:rPr>
          <w:rFonts w:hint="eastAsia" w:ascii="宋体" w:hAnsi="宋体" w:cs="仿宋"/>
          <w:color w:val="auto"/>
          <w:szCs w:val="21"/>
          <w:highlight w:val="none"/>
        </w:rPr>
        <w:t>每批货物需配备自动温度记录器，按要求做好全程温度记录，并能够现场读取。</w:t>
      </w:r>
    </w:p>
    <w:p w14:paraId="4640FF60">
      <w:pPr>
        <w:pStyle w:val="9"/>
        <w:adjustRightInd w:val="0"/>
        <w:snapToGrid w:val="0"/>
        <w:spacing w:line="5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四）风险承担：在乙方将产品交付甲方前标的物的毁损、灭失风险由乙方承担。甲方已付乙方的费用中已包含货物的保险费用，乙方应当按规定购买保险。除货物在交付甲方前的损失由乙方承担外，乙方仍应承担货物损失总额30%的违约金。</w:t>
      </w:r>
    </w:p>
    <w:p w14:paraId="63C4772A">
      <w:pPr>
        <w:numPr>
          <w:ilvl w:val="0"/>
          <w:numId w:val="5"/>
        </w:numPr>
        <w:adjustRightInd w:val="0"/>
        <w:snapToGrid w:val="0"/>
        <w:spacing w:line="500" w:lineRule="exact"/>
        <w:ind w:firstLine="482" w:firstLineChars="200"/>
        <w:rPr>
          <w:rFonts w:hint="eastAsia" w:ascii="宋体" w:hAnsi="宋体"/>
          <w:b/>
          <w:bCs/>
          <w:color w:val="auto"/>
          <w:szCs w:val="21"/>
          <w:highlight w:val="none"/>
        </w:rPr>
      </w:pPr>
      <w:r>
        <w:rPr>
          <w:rFonts w:hint="eastAsia" w:ascii="宋体" w:hAnsi="宋体"/>
          <w:b/>
          <w:bCs/>
          <w:color w:val="auto"/>
          <w:szCs w:val="21"/>
          <w:highlight w:val="none"/>
        </w:rPr>
        <w:t>验收</w:t>
      </w:r>
    </w:p>
    <w:p w14:paraId="52D6A445">
      <w:pPr>
        <w:numPr>
          <w:ilvl w:val="0"/>
          <w:numId w:val="7"/>
        </w:numPr>
        <w:adjustRightInd w:val="0"/>
        <w:snapToGrid w:val="0"/>
        <w:spacing w:line="500" w:lineRule="exact"/>
        <w:rPr>
          <w:rFonts w:hint="eastAsia" w:ascii="宋体" w:hAnsi="宋体"/>
          <w:color w:val="auto"/>
          <w:szCs w:val="21"/>
          <w:highlight w:val="none"/>
          <w:u w:val="single"/>
        </w:rPr>
      </w:pPr>
      <w:r>
        <w:rPr>
          <w:rFonts w:hint="eastAsia" w:ascii="宋体" w:hAnsi="宋体"/>
          <w:color w:val="auto"/>
          <w:szCs w:val="21"/>
          <w:highlight w:val="none"/>
        </w:rPr>
        <w:t>验收时间：</w:t>
      </w:r>
      <w:r>
        <w:rPr>
          <w:rFonts w:hint="eastAsia" w:ascii="宋体" w:hAnsi="宋体"/>
          <w:color w:val="auto"/>
          <w:szCs w:val="21"/>
          <w:highlight w:val="none"/>
          <w:u w:val="single"/>
        </w:rPr>
        <w:t xml:space="preserve"> 货</w:t>
      </w:r>
      <w:r>
        <w:rPr>
          <w:rFonts w:ascii="宋体" w:hAnsi="宋体"/>
          <w:color w:val="auto"/>
          <w:szCs w:val="21"/>
          <w:highlight w:val="none"/>
          <w:u w:val="single"/>
        </w:rPr>
        <w:t>到</w:t>
      </w:r>
      <w:r>
        <w:rPr>
          <w:rFonts w:hint="eastAsia" w:ascii="宋体" w:hAnsi="宋体"/>
          <w:color w:val="auto"/>
          <w:szCs w:val="21"/>
          <w:highlight w:val="none"/>
          <w:u w:val="single"/>
        </w:rPr>
        <w:t xml:space="preserve">现场验收 。   </w:t>
      </w:r>
    </w:p>
    <w:p w14:paraId="68AE772D">
      <w:pPr>
        <w:numPr>
          <w:ilvl w:val="0"/>
          <w:numId w:val="7"/>
        </w:numPr>
        <w:adjustRightInd w:val="0"/>
        <w:snapToGrid w:val="0"/>
        <w:spacing w:line="500" w:lineRule="exact"/>
        <w:rPr>
          <w:rFonts w:hint="eastAsia" w:ascii="宋体" w:hAnsi="宋体"/>
          <w:color w:val="auto"/>
          <w:szCs w:val="21"/>
          <w:highlight w:val="none"/>
        </w:rPr>
      </w:pPr>
      <w:r>
        <w:rPr>
          <w:rFonts w:hint="eastAsia" w:ascii="宋体" w:hAnsi="宋体"/>
          <w:color w:val="auto"/>
          <w:szCs w:val="21"/>
          <w:highlight w:val="none"/>
        </w:rPr>
        <w:t>验收方式：</w:t>
      </w:r>
    </w:p>
    <w:p w14:paraId="31099D39">
      <w:pPr>
        <w:adjustRightInd w:val="0"/>
        <w:snapToGrid w:val="0"/>
        <w:spacing w:line="500" w:lineRule="exact"/>
        <w:ind w:firstLine="720" w:firstLineChars="300"/>
        <w:rPr>
          <w:rFonts w:ascii="宋体" w:hAnsi="宋体"/>
          <w:color w:val="auto"/>
          <w:szCs w:val="21"/>
          <w:highlight w:val="none"/>
        </w:rPr>
      </w:pPr>
      <w:r>
        <w:rPr>
          <w:rFonts w:hint="eastAsia" w:ascii="宋体" w:hAnsi="宋体"/>
          <w:color w:val="auto"/>
          <w:szCs w:val="21"/>
          <w:highlight w:val="none"/>
        </w:rPr>
        <w:t>验收按照下列要求验收，如一项不合格，视同产品不合格：</w:t>
      </w:r>
    </w:p>
    <w:p w14:paraId="6FF4C298">
      <w:pPr>
        <w:adjustRightInd w:val="0"/>
        <w:snapToGrid w:val="0"/>
        <w:spacing w:line="500" w:lineRule="exact"/>
        <w:ind w:firstLine="736" w:firstLineChars="307"/>
        <w:rPr>
          <w:rFonts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 1 \* GB2 </w:instrText>
      </w:r>
      <w:r>
        <w:rPr>
          <w:rFonts w:ascii="宋体" w:hAnsi="宋体"/>
          <w:color w:val="auto"/>
          <w:szCs w:val="21"/>
          <w:highlight w:val="none"/>
        </w:rPr>
        <w:fldChar w:fldCharType="separate"/>
      </w:r>
      <w:r>
        <w:rPr>
          <w:rFonts w:hint="eastAsia" w:ascii="宋体" w:hAnsi="宋体"/>
          <w:color w:val="auto"/>
          <w:szCs w:val="21"/>
          <w:highlight w:val="none"/>
        </w:rPr>
        <w:t>⑴</w:t>
      </w:r>
      <w:r>
        <w:rPr>
          <w:rFonts w:ascii="宋体" w:hAnsi="宋体"/>
          <w:color w:val="auto"/>
          <w:szCs w:val="21"/>
          <w:highlight w:val="none"/>
        </w:rPr>
        <w:fldChar w:fldCharType="end"/>
      </w:r>
      <w:r>
        <w:rPr>
          <w:rFonts w:hint="eastAsia" w:ascii="宋体" w:hAnsi="宋体"/>
          <w:color w:val="auto"/>
          <w:szCs w:val="21"/>
          <w:highlight w:val="none"/>
        </w:rPr>
        <w:t>资料验收：供方交货时应按合同规定的要求，提供相关的技术资料。</w:t>
      </w:r>
    </w:p>
    <w:p w14:paraId="36C59B71">
      <w:pPr>
        <w:adjustRightInd w:val="0"/>
        <w:snapToGrid w:val="0"/>
        <w:spacing w:line="500" w:lineRule="exact"/>
        <w:ind w:left="240" w:leftChars="100" w:firstLine="496" w:firstLineChars="207"/>
        <w:rPr>
          <w:rFonts w:hint="eastAsia"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 2 \* GB2 </w:instrText>
      </w:r>
      <w:r>
        <w:rPr>
          <w:rFonts w:ascii="宋体" w:hAnsi="宋体"/>
          <w:color w:val="auto"/>
          <w:szCs w:val="21"/>
          <w:highlight w:val="none"/>
        </w:rPr>
        <w:fldChar w:fldCharType="separate"/>
      </w:r>
      <w:r>
        <w:rPr>
          <w:rFonts w:hint="eastAsia" w:ascii="宋体" w:hAnsi="宋体"/>
          <w:color w:val="auto"/>
          <w:szCs w:val="21"/>
          <w:highlight w:val="none"/>
        </w:rPr>
        <w:t>⑵</w:t>
      </w:r>
      <w:r>
        <w:rPr>
          <w:rFonts w:ascii="宋体" w:hAnsi="宋体"/>
          <w:color w:val="auto"/>
          <w:szCs w:val="21"/>
          <w:highlight w:val="none"/>
        </w:rPr>
        <w:fldChar w:fldCharType="end"/>
      </w:r>
      <w:r>
        <w:rPr>
          <w:rFonts w:hint="eastAsia" w:ascii="宋体" w:hAnsi="宋体"/>
          <w:color w:val="auto"/>
          <w:szCs w:val="21"/>
          <w:highlight w:val="none"/>
        </w:rPr>
        <w:t>实物验收：包括产品名称、数量、规格和包装等外观形态。质保期剩余期限不得低于该产品限</w:t>
      </w:r>
    </w:p>
    <w:p w14:paraId="35EF32D9">
      <w:pPr>
        <w:adjustRightInd w:val="0"/>
        <w:snapToGrid w:val="0"/>
        <w:spacing w:line="500" w:lineRule="exact"/>
        <w:rPr>
          <w:rFonts w:hint="eastAsia" w:ascii="宋体" w:hAnsi="宋体"/>
          <w:color w:val="auto"/>
          <w:szCs w:val="21"/>
          <w:highlight w:val="none"/>
        </w:rPr>
      </w:pPr>
      <w:r>
        <w:rPr>
          <w:rFonts w:hint="eastAsia" w:ascii="宋体" w:hAnsi="宋体"/>
          <w:color w:val="auto"/>
          <w:szCs w:val="21"/>
          <w:highlight w:val="none"/>
        </w:rPr>
        <w:t xml:space="preserve">定质保期的 </w:t>
      </w:r>
      <w:r>
        <w:rPr>
          <w:rFonts w:hint="eastAsia" w:ascii="宋体" w:hAnsi="宋体"/>
          <w:color w:val="auto"/>
          <w:szCs w:val="21"/>
          <w:highlight w:val="none"/>
          <w:u w:val="single"/>
        </w:rPr>
        <w:t>（1</w:t>
      </w:r>
      <w:r>
        <w:rPr>
          <w:rFonts w:hint="eastAsia"/>
          <w:color w:val="auto"/>
          <w:szCs w:val="21"/>
          <w:highlight w:val="none"/>
          <w:u w:val="single"/>
          <w:lang w:val="en-US" w:eastAsia="zh-CN"/>
        </w:rPr>
        <w:t>2</w:t>
      </w:r>
      <w:r>
        <w:rPr>
          <w:rFonts w:hint="eastAsia" w:ascii="宋体" w:hAnsi="宋体"/>
          <w:color w:val="auto"/>
          <w:szCs w:val="21"/>
          <w:highlight w:val="none"/>
          <w:u w:val="single"/>
        </w:rPr>
        <w:t>个</w:t>
      </w:r>
      <w:r>
        <w:rPr>
          <w:rFonts w:ascii="宋体" w:hAnsi="宋体"/>
          <w:color w:val="auto"/>
          <w:szCs w:val="21"/>
          <w:highlight w:val="none"/>
          <w:u w:val="singl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5947EF1">
      <w:pPr>
        <w:adjustRightInd w:val="0"/>
        <w:snapToGrid w:val="0"/>
        <w:spacing w:line="500" w:lineRule="exact"/>
        <w:ind w:firstLine="736" w:firstLineChars="307"/>
        <w:rPr>
          <w:rFonts w:hint="eastAsia" w:ascii="宋体" w:hAnsi="宋体"/>
          <w:color w:val="auto"/>
          <w:szCs w:val="21"/>
          <w:highlight w:val="none"/>
        </w:rPr>
      </w:pPr>
      <w:r>
        <w:rPr>
          <w:rFonts w:ascii="宋体" w:hAnsi="宋体"/>
          <w:color w:val="auto"/>
          <w:szCs w:val="21"/>
          <w:highlight w:val="none"/>
        </w:rPr>
        <w:fldChar w:fldCharType="begin"/>
      </w:r>
      <w:r>
        <w:rPr>
          <w:rFonts w:ascii="宋体" w:hAnsi="宋体"/>
          <w:color w:val="auto"/>
          <w:szCs w:val="21"/>
          <w:highlight w:val="none"/>
        </w:rPr>
        <w:instrText xml:space="preserve"> = 3 \* GB2 </w:instrText>
      </w:r>
      <w:r>
        <w:rPr>
          <w:rFonts w:ascii="宋体" w:hAnsi="宋体"/>
          <w:color w:val="auto"/>
          <w:szCs w:val="21"/>
          <w:highlight w:val="none"/>
        </w:rPr>
        <w:fldChar w:fldCharType="separate"/>
      </w:r>
      <w:r>
        <w:rPr>
          <w:rFonts w:hint="eastAsia" w:ascii="宋体" w:hAnsi="宋体"/>
          <w:color w:val="auto"/>
          <w:szCs w:val="21"/>
          <w:highlight w:val="none"/>
        </w:rPr>
        <w:t>⑶</w:t>
      </w:r>
      <w:r>
        <w:rPr>
          <w:rFonts w:ascii="宋体" w:hAnsi="宋体"/>
          <w:color w:val="auto"/>
          <w:szCs w:val="21"/>
          <w:highlight w:val="none"/>
        </w:rPr>
        <w:fldChar w:fldCharType="end"/>
      </w:r>
      <w:r>
        <w:rPr>
          <w:rFonts w:hint="eastAsia" w:ascii="宋体" w:hAnsi="宋体"/>
          <w:color w:val="auto"/>
          <w:szCs w:val="21"/>
          <w:highlight w:val="none"/>
        </w:rPr>
        <w:t>产品质量抽检复核。</w:t>
      </w:r>
    </w:p>
    <w:p w14:paraId="0413DD40">
      <w:pPr>
        <w:adjustRightInd w:val="0"/>
        <w:snapToGrid w:val="0"/>
        <w:spacing w:line="500" w:lineRule="exact"/>
        <w:ind w:firstLine="720" w:firstLineChars="300"/>
        <w:rPr>
          <w:rFonts w:ascii="宋体" w:hAnsi="宋体"/>
          <w:color w:val="auto"/>
          <w:szCs w:val="21"/>
          <w:highlight w:val="none"/>
        </w:rPr>
      </w:pPr>
      <w:r>
        <w:rPr>
          <w:rFonts w:hint="eastAsia"/>
          <w:color w:val="auto"/>
          <w:szCs w:val="21"/>
          <w:highlight w:val="none"/>
          <w:lang w:eastAsia="zh-CN"/>
        </w:rPr>
        <w:t>（</w:t>
      </w:r>
      <w:r>
        <w:rPr>
          <w:rFonts w:hint="eastAsia" w:ascii="宋体" w:hAnsi="宋体"/>
          <w:color w:val="auto"/>
          <w:szCs w:val="21"/>
          <w:highlight w:val="none"/>
        </w:rPr>
        <w:t>4</w:t>
      </w:r>
      <w:r>
        <w:rPr>
          <w:rFonts w:hint="eastAsia"/>
          <w:color w:val="auto"/>
          <w:szCs w:val="21"/>
          <w:highlight w:val="none"/>
          <w:lang w:eastAsia="zh-CN"/>
        </w:rPr>
        <w:t>）</w:t>
      </w:r>
      <w:r>
        <w:rPr>
          <w:rFonts w:hint="eastAsia" w:ascii="宋体" w:hAnsi="宋体"/>
          <w:color w:val="auto"/>
          <w:szCs w:val="21"/>
          <w:highlight w:val="none"/>
        </w:rPr>
        <w:t>验收人员可以包括使用部门人员、财务部门人员、乙方人员、代理机构。</w:t>
      </w:r>
    </w:p>
    <w:p w14:paraId="553362BB">
      <w:pPr>
        <w:adjustRightInd w:val="0"/>
        <w:snapToGrid w:val="0"/>
        <w:spacing w:line="500" w:lineRule="exact"/>
        <w:ind w:firstLine="600" w:firstLineChars="25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olor w:val="auto"/>
          <w:highlight w:val="none"/>
        </w:rPr>
        <w:t>对于收货时不便于开箱验收的产品或不能当场全面验收以及可能存在隐患而不能立即发现的产品，甲方验收人员有权仅点收箱数或实际数量后暂依此数据开具收货凭证，而实际收货数量按甲方验收合格后数量为准。甲方出具的收货凭证不以任何方式被解释为甲方对验收商品内在质量、标识等的认同，甲方保留入库后开箱抽检或全检的权利。如对不便于开箱验收的商品或不能当场全面验收的货物进行开箱验收后出现商品短缺、破损等产品不合格情况，甲方应及时书面告知乙方。甲方要求乙方取回破损产品的，乙方应在接到甲方告知之日起</w:t>
      </w:r>
      <w:r>
        <w:rPr>
          <w:rFonts w:hint="eastAsia" w:ascii="宋体" w:hAnsi="宋体"/>
          <w:color w:val="auto"/>
          <w:highlight w:val="none"/>
          <w:u w:val="single"/>
        </w:rPr>
        <w:t xml:space="preserve"> </w:t>
      </w:r>
      <w:r>
        <w:rPr>
          <w:rFonts w:hint="eastAsia"/>
          <w:color w:val="auto"/>
          <w:highlight w:val="none"/>
          <w:u w:val="single"/>
          <w:lang w:val="en-US" w:eastAsia="zh-CN"/>
        </w:rPr>
        <w:t>3</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日内完成；如甲方已经支付货款，乙方应当在取回破损产品之日起3日内完成补货、调货或者退还货款。如乙方需至甲方仓库对问题商品进行鉴定，应事先与甲方人员联络，甲方提供必要协助与支持。如发生退换货及维修等事宜，乙方应至甲方仓库提货，退换货的运费等一切费用以及途中运输风险由乙方承担。</w:t>
      </w:r>
    </w:p>
    <w:p w14:paraId="45217232">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（三）安装验收：</w:t>
      </w:r>
    </w:p>
    <w:p w14:paraId="1E59D27E">
      <w:pPr>
        <w:adjustRightInd w:val="0"/>
        <w:snapToGrid w:val="0"/>
        <w:spacing w:line="500" w:lineRule="exact"/>
        <w:ind w:firstLine="600" w:firstLineChars="250"/>
        <w:rPr>
          <w:rFonts w:hint="eastAsia" w:ascii="宋体" w:hAnsi="宋体"/>
          <w:color w:val="auto"/>
          <w:szCs w:val="21"/>
          <w:highlight w:val="none"/>
        </w:rPr>
      </w:pPr>
      <w:r>
        <w:rPr>
          <w:rFonts w:hint="eastAsia" w:ascii="宋体" w:hAnsi="宋体"/>
          <w:color w:val="auto"/>
          <w:szCs w:val="21"/>
          <w:highlight w:val="none"/>
        </w:rPr>
        <w:t>产品如需安装验收，自设备正常运转</w:t>
      </w:r>
      <w:r>
        <w:rPr>
          <w:rFonts w:hint="eastAsia" w:ascii="宋体" w:hAnsi="宋体"/>
          <w:color w:val="auto"/>
          <w:szCs w:val="21"/>
          <w:highlight w:val="none"/>
          <w:u w:val="single"/>
        </w:rPr>
        <w:t xml:space="preserve"> 7 </w:t>
      </w:r>
      <w:r>
        <w:rPr>
          <w:rFonts w:hint="eastAsia" w:ascii="宋体" w:hAnsi="宋体"/>
          <w:color w:val="auto"/>
          <w:szCs w:val="21"/>
          <w:highlight w:val="none"/>
        </w:rPr>
        <w:t>天后，视为验收合格。</w:t>
      </w:r>
    </w:p>
    <w:p w14:paraId="72922FF1">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（四）特殊产品（指疫苗等生物产品）乙方交货</w:t>
      </w:r>
      <w:r>
        <w:rPr>
          <w:rFonts w:ascii="宋体" w:hAnsi="宋体"/>
          <w:color w:val="auto"/>
          <w:szCs w:val="21"/>
          <w:highlight w:val="none"/>
        </w:rPr>
        <w:t>时，</w:t>
      </w:r>
      <w:r>
        <w:rPr>
          <w:rFonts w:hint="eastAsia" w:ascii="宋体" w:hAnsi="宋体"/>
          <w:color w:val="auto"/>
          <w:szCs w:val="21"/>
          <w:highlight w:val="none"/>
        </w:rPr>
        <w:t>同时</w:t>
      </w:r>
      <w:r>
        <w:rPr>
          <w:rFonts w:ascii="宋体" w:hAnsi="宋体"/>
          <w:color w:val="auto"/>
          <w:szCs w:val="21"/>
          <w:highlight w:val="none"/>
        </w:rPr>
        <w:t>应当提供</w:t>
      </w:r>
      <w:r>
        <w:rPr>
          <w:rFonts w:hint="eastAsia" w:ascii="宋体" w:hAnsi="宋体"/>
          <w:color w:val="auto"/>
          <w:szCs w:val="21"/>
          <w:highlight w:val="none"/>
        </w:rPr>
        <w:t>该批产品</w:t>
      </w:r>
      <w:r>
        <w:rPr>
          <w:rFonts w:ascii="宋体" w:hAnsi="宋体"/>
          <w:color w:val="auto"/>
          <w:szCs w:val="21"/>
          <w:highlight w:val="none"/>
        </w:rPr>
        <w:t>由药品检验机构依法签发的生物制品每批检验合格或者审核批准证明复印件，并加盖企业印章</w:t>
      </w:r>
      <w:r>
        <w:rPr>
          <w:rFonts w:hint="eastAsia" w:ascii="宋体" w:hAnsi="宋体"/>
          <w:color w:val="auto"/>
          <w:szCs w:val="21"/>
          <w:highlight w:val="none"/>
        </w:rPr>
        <w:t>。</w:t>
      </w:r>
      <w:r>
        <w:rPr>
          <w:rFonts w:ascii="宋体" w:hAnsi="宋体"/>
          <w:color w:val="auto"/>
          <w:szCs w:val="21"/>
          <w:highlight w:val="none"/>
        </w:rPr>
        <w:t>销售进口</w:t>
      </w:r>
      <w:r>
        <w:rPr>
          <w:rFonts w:hint="eastAsia" w:ascii="宋体" w:hAnsi="宋体"/>
          <w:color w:val="auto"/>
          <w:szCs w:val="21"/>
          <w:highlight w:val="none"/>
        </w:rPr>
        <w:t>产品</w:t>
      </w:r>
      <w:r>
        <w:rPr>
          <w:rFonts w:ascii="宋体" w:hAnsi="宋体"/>
          <w:color w:val="auto"/>
          <w:szCs w:val="21"/>
          <w:highlight w:val="none"/>
        </w:rPr>
        <w:t>的，还应当提供进口药品通关单复印件，并加盖企业印章。</w:t>
      </w:r>
      <w:r>
        <w:rPr>
          <w:rFonts w:hint="eastAsia" w:ascii="宋体" w:hAnsi="宋体"/>
          <w:color w:val="auto"/>
          <w:szCs w:val="21"/>
          <w:highlight w:val="none"/>
        </w:rPr>
        <w:t>甲方在产品质量保证期内有权进行抽检复核，如发现产品质量问题，乙方应按照甲方要求及时予以退换。</w:t>
      </w:r>
    </w:p>
    <w:p w14:paraId="433F43E3">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（五）质量争议：对产品质量发生争议由</w:t>
      </w:r>
      <w:r>
        <w:rPr>
          <w:rFonts w:hint="eastAsia" w:ascii="宋体" w:hAnsi="宋体"/>
          <w:color w:val="auto"/>
          <w:szCs w:val="21"/>
          <w:highlight w:val="none"/>
          <w:u w:val="single"/>
        </w:rPr>
        <w:t xml:space="preserve"> 具有</w:t>
      </w:r>
      <w:r>
        <w:rPr>
          <w:rFonts w:ascii="宋体" w:hAnsi="宋体"/>
          <w:color w:val="auto"/>
          <w:szCs w:val="21"/>
          <w:highlight w:val="none"/>
          <w:u w:val="single"/>
        </w:rPr>
        <w:t>检验</w:t>
      </w:r>
      <w:r>
        <w:rPr>
          <w:rFonts w:hint="eastAsia" w:ascii="宋体" w:hAnsi="宋体"/>
          <w:color w:val="auto"/>
          <w:szCs w:val="21"/>
          <w:highlight w:val="none"/>
          <w:u w:val="single"/>
        </w:rPr>
        <w:t>资质</w:t>
      </w:r>
      <w:r>
        <w:rPr>
          <w:rFonts w:ascii="宋体" w:hAnsi="宋体"/>
          <w:color w:val="auto"/>
          <w:szCs w:val="21"/>
          <w:highlight w:val="none"/>
          <w:u w:val="single"/>
        </w:rPr>
        <w:t>的</w:t>
      </w:r>
      <w:r>
        <w:rPr>
          <w:rFonts w:hint="eastAsia" w:ascii="宋体" w:hAnsi="宋体"/>
          <w:color w:val="auto"/>
          <w:szCs w:val="21"/>
          <w:highlight w:val="none"/>
          <w:u w:val="single"/>
        </w:rPr>
        <w:t xml:space="preserve">第三方 </w:t>
      </w:r>
      <w:r>
        <w:rPr>
          <w:rFonts w:hint="eastAsia" w:ascii="宋体" w:hAnsi="宋体"/>
          <w:color w:val="auto"/>
          <w:szCs w:val="21"/>
          <w:highlight w:val="none"/>
        </w:rPr>
        <w:t>检验机构进行检验，检验费由</w:t>
      </w:r>
      <w:r>
        <w:rPr>
          <w:rFonts w:hint="eastAsia" w:ascii="宋体" w:hAnsi="宋体"/>
          <w:color w:val="auto"/>
          <w:szCs w:val="21"/>
          <w:highlight w:val="none"/>
          <w:u w:val="single"/>
        </w:rPr>
        <w:t>乙方</w:t>
      </w:r>
      <w:r>
        <w:rPr>
          <w:rFonts w:hint="eastAsia" w:ascii="宋体" w:hAnsi="宋体"/>
          <w:color w:val="auto"/>
          <w:szCs w:val="21"/>
          <w:highlight w:val="none"/>
        </w:rPr>
        <w:t xml:space="preserve">承担。  </w:t>
      </w:r>
    </w:p>
    <w:p w14:paraId="28B44BEE">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（六）乙方接到甲方对产品质量提出异议的通知后，3天内负责处理并通知甲方处理情况，否则即视为默认甲方提出的异议和处理意见。</w:t>
      </w:r>
    </w:p>
    <w:p w14:paraId="0A1A3BD3">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 xml:space="preserve">（七）甲方因使用、保管、保养不善等造成产品质量下降的，不得提出异议。 </w:t>
      </w:r>
    </w:p>
    <w:p w14:paraId="2DB32BF9">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s="Arial"/>
          <w:color w:val="auto"/>
          <w:szCs w:val="21"/>
          <w:highlight w:val="none"/>
        </w:rPr>
        <w:t>（八）货物符合合同约定的技术规范要求和验收标准的，甲方签署验收合格证明</w:t>
      </w:r>
      <w:r>
        <w:rPr>
          <w:rFonts w:hint="eastAsia" w:ascii="宋体" w:hAnsi="宋体"/>
          <w:color w:val="auto"/>
          <w:szCs w:val="21"/>
          <w:highlight w:val="none"/>
        </w:rPr>
        <w:t xml:space="preserve"> 。                    </w:t>
      </w:r>
    </w:p>
    <w:p w14:paraId="665FF2A0">
      <w:pPr>
        <w:adjustRightInd w:val="0"/>
        <w:snapToGrid w:val="0"/>
        <w:spacing w:line="500" w:lineRule="exact"/>
        <w:ind w:left="420"/>
        <w:outlineLvl w:val="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六、款项支付</w:t>
      </w:r>
    </w:p>
    <w:p w14:paraId="32D42D0F">
      <w:pPr>
        <w:adjustRightInd w:val="0"/>
        <w:snapToGrid w:val="0"/>
        <w:spacing w:line="500" w:lineRule="exact"/>
        <w:ind w:left="105" w:firstLine="360" w:firstLineChars="150"/>
        <w:rPr>
          <w:rFonts w:ascii="宋体" w:hAnsi="宋体"/>
          <w:color w:val="auto"/>
          <w:szCs w:val="21"/>
          <w:highlight w:val="none"/>
        </w:rPr>
      </w:pPr>
      <w:r>
        <w:rPr>
          <w:rFonts w:hint="eastAsia" w:ascii="宋体" w:hAnsi="宋体"/>
          <w:color w:val="auto"/>
          <w:szCs w:val="21"/>
          <w:highlight w:val="none"/>
        </w:rPr>
        <w:t>合同总价包含到达交货地点的运杂费、技术服务（相关技术指导）、运输费、保险费、培训、税费及其他各项费用</w:t>
      </w:r>
      <w:r>
        <w:rPr>
          <w:rFonts w:hint="eastAsia"/>
          <w:color w:val="auto"/>
          <w:szCs w:val="21"/>
          <w:highlight w:val="none"/>
          <w:lang w:eastAsia="zh-CN"/>
        </w:rPr>
        <w:t>（</w:t>
      </w:r>
      <w:r>
        <w:rPr>
          <w:rFonts w:hint="eastAsia" w:ascii="宋体" w:hAnsi="宋体"/>
          <w:color w:val="auto"/>
          <w:szCs w:val="21"/>
          <w:highlight w:val="none"/>
        </w:rPr>
        <w:t>本合同按以下</w:t>
      </w:r>
      <w:r>
        <w:rPr>
          <w:rFonts w:hint="eastAsia" w:ascii="宋体" w:hAnsi="宋体"/>
          <w:color w:val="auto"/>
          <w:szCs w:val="21"/>
          <w:highlight w:val="none"/>
          <w:u w:val="single"/>
        </w:rPr>
        <w:t xml:space="preserve"> </w:t>
      </w:r>
      <w:r>
        <w:rPr>
          <w:rFonts w:hint="eastAsia"/>
          <w:color w:val="auto"/>
          <w:szCs w:val="21"/>
          <w:highlight w:val="none"/>
          <w:u w:val="single"/>
          <w:lang w:eastAsia="zh-CN"/>
        </w:rPr>
        <w:t>（</w:t>
      </w:r>
      <w:r>
        <w:rPr>
          <w:rFonts w:hint="eastAsia" w:ascii="宋体" w:hAnsi="宋体"/>
          <w:color w:val="auto"/>
          <w:szCs w:val="21"/>
          <w:highlight w:val="none"/>
          <w:u w:val="single"/>
        </w:rPr>
        <w:t xml:space="preserve">  </w:t>
      </w:r>
      <w:r>
        <w:rPr>
          <w:rFonts w:hint="eastAsia"/>
          <w:color w:val="auto"/>
          <w:szCs w:val="21"/>
          <w:highlight w:val="none"/>
          <w:u w:val="single"/>
          <w:lang w:eastAsia="zh-CN"/>
        </w:rPr>
        <w:t>）</w:t>
      </w:r>
      <w:r>
        <w:rPr>
          <w:rFonts w:hint="eastAsia" w:ascii="宋体" w:hAnsi="宋体"/>
          <w:color w:val="auto"/>
          <w:szCs w:val="21"/>
          <w:highlight w:val="none"/>
          <w:u w:val="single"/>
        </w:rPr>
        <w:t>和</w:t>
      </w:r>
      <w:r>
        <w:rPr>
          <w:rFonts w:ascii="宋体" w:hAnsi="宋体"/>
          <w:color w:val="auto"/>
          <w:szCs w:val="21"/>
          <w:highlight w:val="none"/>
          <w:u w:val="single"/>
        </w:rPr>
        <w:t>（</w:t>
      </w:r>
      <w:r>
        <w:rPr>
          <w:rFonts w:hint="eastAsia" w:ascii="宋体" w:hAnsi="宋体"/>
          <w:color w:val="auto"/>
          <w:szCs w:val="21"/>
          <w:highlight w:val="none"/>
          <w:u w:val="single"/>
        </w:rPr>
        <w:t>5</w:t>
      </w:r>
      <w:r>
        <w:rPr>
          <w:rFonts w:ascii="宋体" w:hAnsi="宋体"/>
          <w:color w:val="auto"/>
          <w:szCs w:val="21"/>
          <w:highlight w:val="none"/>
          <w:u w:val="single"/>
        </w:rPr>
        <w:t>）</w:t>
      </w:r>
      <w:r>
        <w:rPr>
          <w:rFonts w:hint="eastAsia" w:ascii="宋体" w:hAnsi="宋体"/>
          <w:color w:val="auto"/>
          <w:szCs w:val="21"/>
          <w:highlight w:val="none"/>
          <w:u w:val="single"/>
        </w:rPr>
        <w:t xml:space="preserve"> 条款执行</w:t>
      </w:r>
      <w:r>
        <w:rPr>
          <w:rFonts w:hint="eastAsia"/>
          <w:color w:val="auto"/>
          <w:szCs w:val="21"/>
          <w:highlight w:val="none"/>
          <w:lang w:eastAsia="zh-CN"/>
        </w:rPr>
        <w:t>）</w:t>
      </w:r>
      <w:r>
        <w:rPr>
          <w:rFonts w:hint="eastAsia" w:ascii="宋体" w:hAnsi="宋体"/>
          <w:color w:val="auto"/>
          <w:szCs w:val="21"/>
          <w:highlight w:val="none"/>
        </w:rPr>
        <w:t>。</w:t>
      </w:r>
    </w:p>
    <w:p w14:paraId="59C7BEE2">
      <w:pPr>
        <w:adjustRightInd w:val="0"/>
        <w:snapToGrid w:val="0"/>
        <w:spacing w:line="500" w:lineRule="exact"/>
        <w:ind w:firstLine="48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双方约定，试剂及</w:t>
      </w:r>
      <w:r>
        <w:rPr>
          <w:rFonts w:ascii="宋体" w:hAnsi="宋体"/>
          <w:color w:val="auto"/>
          <w:szCs w:val="21"/>
          <w:highlight w:val="none"/>
        </w:rPr>
        <w:t>耗材产品</w:t>
      </w:r>
      <w:r>
        <w:rPr>
          <w:rFonts w:hint="eastAsia" w:ascii="宋体" w:hAnsi="宋体"/>
          <w:color w:val="auto"/>
          <w:szCs w:val="21"/>
          <w:highlight w:val="none"/>
        </w:rPr>
        <w:t>合同签订后，乙方向甲方交纳10%履约金</w:t>
      </w:r>
      <w:r>
        <w:rPr>
          <w:rFonts w:hint="eastAsia" w:ascii="宋体" w:hAnsi="宋体"/>
          <w:color w:val="auto"/>
          <w:szCs w:val="21"/>
          <w:highlight w:val="none"/>
          <w:u w:val="single"/>
        </w:rPr>
        <w:t xml:space="preserve">        元</w:t>
      </w:r>
      <w:r>
        <w:rPr>
          <w:rFonts w:hint="eastAsia" w:ascii="宋体" w:hAnsi="宋体"/>
          <w:color w:val="auto"/>
          <w:szCs w:val="21"/>
          <w:highlight w:val="none"/>
          <w:u w:val="none"/>
          <w:lang w:val="en-US" w:eastAsia="zh-CN"/>
        </w:rPr>
        <w:t>或向甲方提供合同总额10%</w:t>
      </w:r>
      <w:r>
        <w:rPr>
          <w:rFonts w:hint="eastAsia" w:ascii="宋体" w:hAnsi="宋体"/>
          <w:color w:val="auto"/>
          <w:szCs w:val="21"/>
          <w:highlight w:val="none"/>
          <w:u w:val="non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元的银行保函（若保函预到期时本合同还未履行完毕，乙方须在保函到期前一个月内向甲方提供新的银行保函或对原保函进行延期，否则乙方须向甲方支付合同总额20%的违约金）</w:t>
      </w:r>
      <w:r>
        <w:rPr>
          <w:rFonts w:hint="eastAsia" w:ascii="宋体" w:hAnsi="宋体"/>
          <w:color w:val="auto"/>
          <w:szCs w:val="21"/>
          <w:highlight w:val="none"/>
          <w:u w:val="none"/>
        </w:rPr>
        <w:t>，</w:t>
      </w:r>
      <w:r>
        <w:rPr>
          <w:rFonts w:hint="eastAsia" w:ascii="宋体" w:hAnsi="宋体"/>
          <w:color w:val="auto"/>
          <w:szCs w:val="21"/>
          <w:highlight w:val="none"/>
        </w:rPr>
        <w:t>并向甲方开具合同全额发票，甲方收到履约金和全额发票后向乙方支付全额货款。</w:t>
      </w:r>
      <w:r>
        <w:rPr>
          <w:rFonts w:ascii="宋体" w:hAnsi="宋体"/>
          <w:color w:val="auto"/>
          <w:szCs w:val="21"/>
          <w:highlight w:val="none"/>
        </w:rPr>
        <w:t>待</w:t>
      </w:r>
      <w:r>
        <w:rPr>
          <w:rFonts w:hint="eastAsia" w:ascii="宋体" w:hAnsi="宋体"/>
          <w:color w:val="auto"/>
          <w:szCs w:val="21"/>
          <w:highlight w:val="none"/>
        </w:rPr>
        <w:t>所有货物验收合格后</w:t>
      </w:r>
      <w:r>
        <w:rPr>
          <w:rFonts w:ascii="宋体" w:hAnsi="宋体"/>
          <w:color w:val="auto"/>
          <w:szCs w:val="21"/>
          <w:highlight w:val="none"/>
        </w:rPr>
        <w:t>（无违约责任）</w:t>
      </w:r>
      <w:r>
        <w:rPr>
          <w:rFonts w:hint="eastAsia" w:ascii="宋体" w:hAnsi="宋体"/>
          <w:color w:val="auto"/>
          <w:szCs w:val="21"/>
          <w:highlight w:val="none"/>
        </w:rPr>
        <w:t>后返还履约金（无息）。如乙方有违约行为，甲方可用该履约保证金冲抵甲方的损失及乙方的违约金。</w:t>
      </w:r>
    </w:p>
    <w:p w14:paraId="0EED42F4">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乙方按照甲方需求供货，按合同约定支付比例开具发票。甲方收到合同约定的分批支付的货款或全额货款发票后，甲方先向乙方预付合同总额的</w:t>
      </w:r>
      <w:r>
        <w:rPr>
          <w:rFonts w:hint="eastAsia" w:ascii="宋体" w:hAnsi="宋体"/>
          <w:color w:val="auto"/>
          <w:szCs w:val="21"/>
          <w:highlight w:val="none"/>
          <w:u w:val="single"/>
        </w:rPr>
        <w:t xml:space="preserve">       </w:t>
      </w:r>
      <w:r>
        <w:rPr>
          <w:rFonts w:hint="eastAsia" w:ascii="宋体" w:hAnsi="宋体"/>
          <w:color w:val="auto"/>
          <w:szCs w:val="21"/>
          <w:highlight w:val="none"/>
        </w:rPr>
        <w:t>%，即</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元）；待甲方收到货物总额的50%，经乙方书面通知甲方后，甲方向乙方支付合同总额的</w:t>
      </w:r>
      <w:r>
        <w:rPr>
          <w:rFonts w:hint="eastAsia" w:ascii="宋体" w:hAnsi="宋体"/>
          <w:color w:val="auto"/>
          <w:szCs w:val="21"/>
          <w:highlight w:val="none"/>
          <w:u w:val="single"/>
        </w:rPr>
        <w:t xml:space="preserve">     </w:t>
      </w:r>
      <w:r>
        <w:rPr>
          <w:rFonts w:hint="eastAsia" w:ascii="宋体" w:hAnsi="宋体"/>
          <w:color w:val="auto"/>
          <w:szCs w:val="21"/>
          <w:highlight w:val="none"/>
        </w:rPr>
        <w:t>%，即</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元）；待全部货物验收合格后（无违约责任），甲方支付剩余</w:t>
      </w:r>
      <w:r>
        <w:rPr>
          <w:rFonts w:hint="eastAsia" w:ascii="宋体" w:hAnsi="宋体"/>
          <w:color w:val="auto"/>
          <w:szCs w:val="21"/>
          <w:highlight w:val="none"/>
          <w:u w:val="single"/>
        </w:rPr>
        <w:t xml:space="preserve">     </w:t>
      </w:r>
      <w:r>
        <w:rPr>
          <w:rFonts w:hint="eastAsia" w:ascii="宋体" w:hAnsi="宋体"/>
          <w:color w:val="auto"/>
          <w:szCs w:val="21"/>
          <w:highlight w:val="none"/>
        </w:rPr>
        <w:t>%的货款。甲方需于 /  工作日付清全款。</w:t>
      </w:r>
      <w:r>
        <w:rPr>
          <w:rFonts w:ascii="宋体" w:hAnsi="宋体"/>
          <w:color w:val="auto"/>
          <w:szCs w:val="21"/>
          <w:highlight w:val="none"/>
        </w:rPr>
        <w:t xml:space="preserve">   </w:t>
      </w:r>
    </w:p>
    <w:p w14:paraId="5E6AF60A">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）双方约定，合同签订后，乙方按照甲方需求一次性供货，所有货物验收合格后，乙方向甲方开具合同全额发票，甲方收到发票后向乙方支付</w:t>
      </w:r>
      <w:r>
        <w:rPr>
          <w:rFonts w:ascii="宋体" w:hAnsi="宋体"/>
          <w:color w:val="auto"/>
          <w:szCs w:val="21"/>
          <w:highlight w:val="none"/>
        </w:rPr>
        <w:t>100%</w:t>
      </w:r>
      <w:r>
        <w:rPr>
          <w:rFonts w:hint="eastAsia" w:ascii="宋体" w:hAnsi="宋体"/>
          <w:color w:val="auto"/>
          <w:szCs w:val="21"/>
          <w:highlight w:val="none"/>
        </w:rPr>
        <w:t>货款</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元</w:t>
      </w:r>
      <w:r>
        <w:rPr>
          <w:rFonts w:hint="eastAsia" w:ascii="宋体" w:hAnsi="宋体"/>
          <w:color w:val="auto"/>
          <w:szCs w:val="21"/>
          <w:highlight w:val="none"/>
        </w:rPr>
        <w:t>。</w:t>
      </w:r>
    </w:p>
    <w:p w14:paraId="20976FAC">
      <w:pPr>
        <w:adjustRightInd w:val="0"/>
        <w:snapToGrid w:val="0"/>
        <w:spacing w:line="500" w:lineRule="exact"/>
        <w:ind w:firstLine="600" w:firstLineChars="250"/>
        <w:rPr>
          <w:rFonts w:hint="eastAsia" w:ascii="宋体" w:hAnsi="宋体"/>
          <w:color w:val="auto"/>
          <w:szCs w:val="21"/>
          <w:highlight w:val="none"/>
        </w:rPr>
      </w:pPr>
      <w:r>
        <w:rPr>
          <w:rFonts w:hint="eastAsia"/>
          <w:color w:val="auto"/>
          <w:szCs w:val="21"/>
          <w:highlight w:val="none"/>
          <w:lang w:eastAsia="zh-CN"/>
        </w:rPr>
        <w:t>（</w:t>
      </w:r>
      <w:r>
        <w:rPr>
          <w:rFonts w:ascii="宋体" w:hAnsi="宋体"/>
          <w:color w:val="auto"/>
          <w:szCs w:val="21"/>
          <w:highlight w:val="none"/>
        </w:rPr>
        <w:t>4）</w:t>
      </w:r>
      <w:r>
        <w:rPr>
          <w:rFonts w:hint="eastAsia" w:ascii="宋体" w:hAnsi="宋体"/>
          <w:color w:val="auto"/>
          <w:szCs w:val="21"/>
          <w:highlight w:val="none"/>
        </w:rPr>
        <w:t>双方约定,设备产品合同签订后，乙方向甲方交纳10%履约金</w:t>
      </w:r>
      <w:r>
        <w:rPr>
          <w:rFonts w:hint="eastAsia" w:ascii="宋体" w:hAnsi="宋体"/>
          <w:color w:val="auto"/>
          <w:szCs w:val="21"/>
          <w:highlight w:val="none"/>
          <w:u w:val="single"/>
        </w:rPr>
        <w:t xml:space="preserve">           元</w:t>
      </w:r>
      <w:r>
        <w:rPr>
          <w:rFonts w:hint="eastAsia" w:ascii="宋体" w:hAnsi="宋体"/>
          <w:color w:val="auto"/>
          <w:szCs w:val="21"/>
          <w:highlight w:val="none"/>
        </w:rPr>
        <w:t>，并向甲方开具合同全额发票，甲方收到履约金和全额发票后向乙方支付全额货款。如乙方有违约行为，甲方可用该履约保证金冲抵甲方的损失及乙方的违约金。乙方按</w:t>
      </w:r>
      <w:r>
        <w:rPr>
          <w:rFonts w:ascii="宋体" w:hAnsi="宋体"/>
          <w:color w:val="auto"/>
          <w:szCs w:val="21"/>
          <w:highlight w:val="none"/>
        </w:rPr>
        <w:t>照甲方需求</w:t>
      </w:r>
      <w:r>
        <w:rPr>
          <w:rFonts w:hint="eastAsia" w:ascii="宋体" w:hAnsi="宋体"/>
          <w:color w:val="auto"/>
          <w:szCs w:val="21"/>
          <w:highlight w:val="none"/>
        </w:rPr>
        <w:t>完成</w:t>
      </w:r>
      <w:r>
        <w:rPr>
          <w:rFonts w:ascii="宋体" w:hAnsi="宋体"/>
          <w:color w:val="auto"/>
          <w:szCs w:val="21"/>
          <w:highlight w:val="none"/>
        </w:rPr>
        <w:t>设备</w:t>
      </w:r>
      <w:r>
        <w:rPr>
          <w:rFonts w:hint="eastAsia" w:ascii="宋体" w:hAnsi="宋体"/>
          <w:color w:val="auto"/>
          <w:szCs w:val="21"/>
          <w:highlight w:val="none"/>
        </w:rPr>
        <w:t>类供货， 所有设备经甲方</w:t>
      </w:r>
      <w:r>
        <w:rPr>
          <w:rFonts w:ascii="宋体" w:hAnsi="宋体"/>
          <w:color w:val="auto"/>
          <w:szCs w:val="21"/>
          <w:highlight w:val="none"/>
        </w:rPr>
        <w:t>验收合格后无异议，</w:t>
      </w:r>
      <w:r>
        <w:rPr>
          <w:rFonts w:hint="eastAsia" w:ascii="宋体" w:hAnsi="宋体"/>
          <w:color w:val="auto"/>
          <w:szCs w:val="21"/>
          <w:highlight w:val="none"/>
        </w:rPr>
        <w:t>退</w:t>
      </w:r>
      <w:r>
        <w:rPr>
          <w:rFonts w:ascii="宋体" w:hAnsi="宋体"/>
          <w:color w:val="auto"/>
          <w:szCs w:val="21"/>
          <w:highlight w:val="none"/>
        </w:rPr>
        <w:t>10%</w:t>
      </w:r>
      <w:r>
        <w:rPr>
          <w:rFonts w:hint="eastAsia" w:ascii="宋体" w:hAnsi="宋体"/>
          <w:color w:val="auto"/>
          <w:szCs w:val="21"/>
          <w:highlight w:val="none"/>
        </w:rPr>
        <w:t>履约</w:t>
      </w:r>
      <w:r>
        <w:rPr>
          <w:rFonts w:ascii="宋体" w:hAnsi="宋体"/>
          <w:color w:val="auto"/>
          <w:szCs w:val="21"/>
          <w:highlight w:val="none"/>
        </w:rPr>
        <w:t>保证金</w:t>
      </w:r>
      <w:r>
        <w:rPr>
          <w:rFonts w:hint="eastAsia"/>
          <w:color w:val="auto"/>
          <w:szCs w:val="21"/>
          <w:highlight w:val="none"/>
          <w:lang w:eastAsia="zh-CN"/>
        </w:rPr>
        <w:t>（</w:t>
      </w:r>
      <w:r>
        <w:rPr>
          <w:rFonts w:hint="eastAsia" w:ascii="宋体" w:hAnsi="宋体"/>
          <w:color w:val="auto"/>
          <w:szCs w:val="21"/>
          <w:highlight w:val="none"/>
        </w:rPr>
        <w:t>无</w:t>
      </w:r>
      <w:r>
        <w:rPr>
          <w:rFonts w:ascii="宋体" w:hAnsi="宋体"/>
          <w:color w:val="auto"/>
          <w:szCs w:val="21"/>
          <w:highlight w:val="none"/>
        </w:rPr>
        <w:t>息</w:t>
      </w:r>
      <w:r>
        <w:rPr>
          <w:rFonts w:hint="eastAsia"/>
          <w:color w:val="auto"/>
          <w:szCs w:val="21"/>
          <w:highlight w:val="none"/>
          <w:lang w:eastAsia="zh-CN"/>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 </w:t>
      </w:r>
      <w:r>
        <w:rPr>
          <w:rFonts w:hint="eastAsia" w:ascii="宋体" w:hAnsi="宋体"/>
          <w:color w:val="auto"/>
          <w:szCs w:val="21"/>
          <w:highlight w:val="none"/>
          <w:u w:val="single"/>
        </w:rPr>
        <w:t xml:space="preserve">  元</w:t>
      </w:r>
      <w:r>
        <w:rPr>
          <w:rFonts w:hint="eastAsia" w:ascii="宋体" w:hAnsi="宋体"/>
          <w:color w:val="auto"/>
          <w:szCs w:val="21"/>
          <w:highlight w:val="none"/>
        </w:rPr>
        <w:t xml:space="preserve"> </w:t>
      </w:r>
      <w:r>
        <w:rPr>
          <w:rFonts w:ascii="宋体" w:hAnsi="宋体"/>
          <w:color w:val="auto"/>
          <w:szCs w:val="21"/>
          <w:highlight w:val="none"/>
        </w:rPr>
        <w:t>，于</w:t>
      </w:r>
      <w:r>
        <w:rPr>
          <w:rFonts w:hint="eastAsia" w:ascii="宋体" w:hAnsi="宋体"/>
          <w:color w:val="auto"/>
          <w:szCs w:val="21"/>
          <w:highlight w:val="none"/>
          <w:u w:val="single"/>
        </w:rPr>
        <w:t xml:space="preserve"> </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工作日</w:t>
      </w:r>
      <w:r>
        <w:rPr>
          <w:rFonts w:ascii="宋体" w:hAnsi="宋体"/>
          <w:color w:val="auto"/>
          <w:szCs w:val="21"/>
          <w:highlight w:val="none"/>
        </w:rPr>
        <w:t>返回。</w:t>
      </w:r>
    </w:p>
    <w:p w14:paraId="3EC79AA1">
      <w:pPr>
        <w:adjustRightInd w:val="0"/>
        <w:snapToGrid w:val="0"/>
        <w:spacing w:line="500" w:lineRule="exact"/>
        <w:ind w:firstLine="480" w:firstLineChars="200"/>
        <w:rPr>
          <w:rFonts w:ascii="宋体" w:hAnsi="宋体" w:cs="宋体"/>
          <w:color w:val="auto"/>
          <w:kern w:val="0"/>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w:t>
      </w:r>
      <w:r>
        <w:rPr>
          <w:rFonts w:hint="eastAsia" w:ascii="宋体" w:hAnsi="宋体" w:cs="宋体"/>
          <w:color w:val="auto"/>
          <w:kern w:val="0"/>
          <w:szCs w:val="21"/>
          <w:highlight w:val="none"/>
        </w:rPr>
        <w:t>付款要求：甲方财务凭下列单据支付货款（按甲乙各方的义务提交）：</w:t>
      </w:r>
    </w:p>
    <w:p w14:paraId="0D7D1133">
      <w:pPr>
        <w:widowControl/>
        <w:shd w:val="clear" w:color="auto" w:fill="FFFFFF"/>
        <w:adjustRightInd w:val="0"/>
        <w:snapToGrid w:val="0"/>
        <w:spacing w:line="5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（a）全额发票（原件及复印件各1份）；（b）中标通知书复印件（1份）（</w:t>
      </w:r>
      <w:r>
        <w:rPr>
          <w:rFonts w:ascii="宋体" w:hAnsi="宋体" w:cs="宋体"/>
          <w:color w:val="auto"/>
          <w:kern w:val="0"/>
          <w:szCs w:val="21"/>
          <w:highlight w:val="none"/>
        </w:rPr>
        <w:t>c</w:t>
      </w:r>
      <w:r>
        <w:rPr>
          <w:rFonts w:hint="eastAsia" w:ascii="宋体" w:hAnsi="宋体" w:cs="宋体"/>
          <w:color w:val="auto"/>
          <w:kern w:val="0"/>
          <w:szCs w:val="21"/>
          <w:highlight w:val="none"/>
        </w:rPr>
        <w:t>）自治区疾控中心采购验收单；（d）乙方供货清单（盖章）；（e）自治区疾控中心采购合同（包括附件1和附件2）；（f）自治区疾控中心使用科室付款说明 ；（g）供应商评价表（见附件3需由使用科室签字确认）；（h）自治区疾控中心物资配发通知单（附件4）。以上资料因乙方提交单据不全导致甲方财务未能付款的，甲方不承担逾期付款责任。</w:t>
      </w:r>
    </w:p>
    <w:p w14:paraId="028E2684">
      <w:pPr>
        <w:widowControl/>
        <w:shd w:val="clear" w:color="auto" w:fill="FFFFFF"/>
        <w:adjustRightInd w:val="0"/>
        <w:snapToGrid w:val="0"/>
        <w:spacing w:line="5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付款信息:</w:t>
      </w:r>
    </w:p>
    <w:p w14:paraId="4FEC338A">
      <w:pPr>
        <w:adjustRightInd w:val="0"/>
        <w:snapToGrid w:val="0"/>
        <w:spacing w:line="500" w:lineRule="exact"/>
        <w:rPr>
          <w:rFonts w:hint="eastAsia" w:ascii="宋体" w:hAnsi="宋体"/>
          <w:color w:val="auto"/>
          <w:szCs w:val="21"/>
          <w:highlight w:val="none"/>
        </w:rPr>
      </w:pPr>
      <w:r>
        <w:rPr>
          <w:rFonts w:hint="eastAsia" w:ascii="宋体" w:hAnsi="宋体" w:cs="宋体"/>
          <w:color w:val="auto"/>
          <w:kern w:val="0"/>
          <w:szCs w:val="21"/>
          <w:highlight w:val="none"/>
        </w:rPr>
        <w:t>甲方：</w:t>
      </w:r>
      <w:r>
        <w:rPr>
          <w:rFonts w:hint="eastAsia" w:ascii="宋体" w:hAnsi="宋体"/>
          <w:color w:val="auto"/>
          <w:szCs w:val="21"/>
          <w:highlight w:val="none"/>
        </w:rPr>
        <w:t xml:space="preserve">税号：1265000074224934XX                   乙方：税号：           </w:t>
      </w:r>
    </w:p>
    <w:p w14:paraId="6F266037">
      <w:pPr>
        <w:adjustRightInd w:val="0"/>
        <w:snapToGrid w:val="0"/>
        <w:spacing w:line="500" w:lineRule="exact"/>
        <w:ind w:firstLine="600" w:firstLineChars="250"/>
        <w:rPr>
          <w:rFonts w:hint="eastAsia" w:ascii="宋体" w:hAnsi="宋体"/>
          <w:color w:val="auto"/>
          <w:szCs w:val="21"/>
          <w:highlight w:val="none"/>
        </w:rPr>
      </w:pPr>
      <w:r>
        <w:rPr>
          <w:rFonts w:hint="eastAsia" w:ascii="宋体" w:hAnsi="宋体"/>
          <w:color w:val="auto"/>
          <w:szCs w:val="21"/>
          <w:highlight w:val="none"/>
        </w:rPr>
        <w:t>开</w:t>
      </w:r>
      <w:r>
        <w:rPr>
          <w:rFonts w:ascii="宋体" w:hAnsi="宋体"/>
          <w:color w:val="auto"/>
          <w:szCs w:val="21"/>
          <w:highlight w:val="none"/>
        </w:rPr>
        <w:t xml:space="preserve"> </w:t>
      </w:r>
      <w:r>
        <w:rPr>
          <w:rFonts w:hint="eastAsia" w:ascii="宋体" w:hAnsi="宋体"/>
          <w:color w:val="auto"/>
          <w:szCs w:val="21"/>
          <w:highlight w:val="none"/>
        </w:rPr>
        <w:t>户</w:t>
      </w:r>
      <w:r>
        <w:rPr>
          <w:rFonts w:ascii="宋体" w:hAnsi="宋体"/>
          <w:color w:val="auto"/>
          <w:szCs w:val="21"/>
          <w:highlight w:val="none"/>
        </w:rPr>
        <w:t xml:space="preserve"> </w:t>
      </w:r>
      <w:r>
        <w:rPr>
          <w:rFonts w:hint="eastAsia" w:ascii="宋体" w:hAnsi="宋体"/>
          <w:color w:val="auto"/>
          <w:szCs w:val="21"/>
          <w:highlight w:val="none"/>
        </w:rPr>
        <w:t>行：招商银行乌鲁木齐新华北路支行      开</w:t>
      </w:r>
      <w:r>
        <w:rPr>
          <w:rFonts w:ascii="宋体" w:hAnsi="宋体"/>
          <w:color w:val="auto"/>
          <w:szCs w:val="21"/>
          <w:highlight w:val="none"/>
        </w:rPr>
        <w:t xml:space="preserve"> </w:t>
      </w:r>
      <w:r>
        <w:rPr>
          <w:rFonts w:hint="eastAsia" w:ascii="宋体" w:hAnsi="宋体"/>
          <w:color w:val="auto"/>
          <w:szCs w:val="21"/>
          <w:highlight w:val="none"/>
        </w:rPr>
        <w:t>户</w:t>
      </w:r>
      <w:r>
        <w:rPr>
          <w:rFonts w:ascii="宋体" w:hAnsi="宋体"/>
          <w:color w:val="auto"/>
          <w:szCs w:val="21"/>
          <w:highlight w:val="none"/>
        </w:rPr>
        <w:t xml:space="preserve"> </w:t>
      </w:r>
      <w:r>
        <w:rPr>
          <w:rFonts w:hint="eastAsia" w:ascii="宋体" w:hAnsi="宋体"/>
          <w:color w:val="auto"/>
          <w:szCs w:val="21"/>
          <w:highlight w:val="none"/>
        </w:rPr>
        <w:t>行：</w:t>
      </w:r>
    </w:p>
    <w:p w14:paraId="0D1F1F8F">
      <w:pPr>
        <w:tabs>
          <w:tab w:val="center" w:pos="5070"/>
        </w:tabs>
        <w:adjustRightInd w:val="0"/>
        <w:snapToGrid w:val="0"/>
        <w:spacing w:line="500" w:lineRule="exact"/>
        <w:ind w:firstLine="600" w:firstLineChars="250"/>
        <w:rPr>
          <w:rFonts w:hint="eastAsia" w:ascii="宋体" w:hAnsi="宋体"/>
          <w:color w:val="auto"/>
          <w:szCs w:val="21"/>
          <w:highlight w:val="none"/>
        </w:rPr>
      </w:pPr>
      <w:r>
        <w:rPr>
          <w:rFonts w:hint="eastAsia" w:ascii="宋体" w:hAnsi="宋体"/>
          <w:color w:val="auto"/>
          <w:szCs w:val="21"/>
          <w:highlight w:val="none"/>
        </w:rPr>
        <w:t>开户行号：308881029026                      开户行号：</w:t>
      </w:r>
    </w:p>
    <w:p w14:paraId="6CC1B010">
      <w:pPr>
        <w:widowControl/>
        <w:shd w:val="clear" w:color="auto" w:fill="FFFFFF"/>
        <w:adjustRightInd w:val="0"/>
        <w:snapToGrid w:val="0"/>
        <w:spacing w:line="500" w:lineRule="exact"/>
        <w:ind w:firstLine="480" w:firstLineChars="200"/>
        <w:jc w:val="left"/>
        <w:rPr>
          <w:rFonts w:hint="eastAsia" w:ascii="宋体" w:hAnsi="宋体" w:cs="宋体"/>
          <w:color w:val="auto"/>
          <w:kern w:val="0"/>
          <w:szCs w:val="21"/>
          <w:highlight w:val="none"/>
        </w:rPr>
      </w:pPr>
      <w:r>
        <w:rPr>
          <w:rFonts w:hint="eastAsia" w:ascii="宋体" w:hAnsi="宋体"/>
          <w:color w:val="auto"/>
          <w:szCs w:val="21"/>
          <w:highlight w:val="none"/>
        </w:rPr>
        <w:t xml:space="preserve"> 帐</w:t>
      </w:r>
      <w:r>
        <w:rPr>
          <w:rFonts w:ascii="宋体" w:hAnsi="宋体"/>
          <w:color w:val="auto"/>
          <w:szCs w:val="21"/>
          <w:highlight w:val="none"/>
        </w:rPr>
        <w:t xml:space="preserve">   </w:t>
      </w:r>
      <w:r>
        <w:rPr>
          <w:rFonts w:hint="eastAsia" w:ascii="宋体" w:hAnsi="宋体"/>
          <w:color w:val="auto"/>
          <w:szCs w:val="21"/>
          <w:highlight w:val="none"/>
        </w:rPr>
        <w:t xml:space="preserve">号: 991902334910906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帐</w:t>
      </w:r>
      <w:r>
        <w:rPr>
          <w:rFonts w:ascii="宋体" w:hAnsi="宋体"/>
          <w:color w:val="auto"/>
          <w:szCs w:val="21"/>
          <w:highlight w:val="none"/>
        </w:rPr>
        <w:t xml:space="preserve">   </w:t>
      </w:r>
      <w:r>
        <w:rPr>
          <w:rFonts w:hint="eastAsia" w:ascii="宋体" w:hAnsi="宋体"/>
          <w:color w:val="auto"/>
          <w:szCs w:val="21"/>
          <w:highlight w:val="none"/>
        </w:rPr>
        <w:t xml:space="preserve">号：   </w:t>
      </w:r>
    </w:p>
    <w:p w14:paraId="7A899C29">
      <w:pPr>
        <w:adjustRightInd w:val="0"/>
        <w:snapToGrid w:val="0"/>
        <w:spacing w:line="500" w:lineRule="exact"/>
        <w:ind w:firstLine="482" w:firstLineChars="200"/>
        <w:rPr>
          <w:rFonts w:hint="eastAsia" w:ascii="宋体" w:hAnsi="宋体"/>
          <w:b/>
          <w:bCs/>
          <w:color w:val="auto"/>
          <w:szCs w:val="21"/>
          <w:highlight w:val="none"/>
        </w:rPr>
      </w:pPr>
      <w:r>
        <w:rPr>
          <w:rFonts w:hint="eastAsia" w:ascii="宋体" w:hAnsi="宋体"/>
          <w:b/>
          <w:bCs/>
          <w:color w:val="auto"/>
          <w:szCs w:val="21"/>
          <w:highlight w:val="none"/>
        </w:rPr>
        <w:t>七、延期交货与核定损失额</w:t>
      </w:r>
    </w:p>
    <w:p w14:paraId="13FBB884">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如果乙方未能按合同规定的时间按期交货</w:t>
      </w:r>
      <w:r>
        <w:rPr>
          <w:rFonts w:hint="eastAsia"/>
          <w:color w:val="auto"/>
          <w:szCs w:val="21"/>
          <w:highlight w:val="none"/>
          <w:lang w:eastAsia="zh-CN"/>
        </w:rPr>
        <w:t>（</w:t>
      </w:r>
      <w:r>
        <w:rPr>
          <w:rFonts w:hint="eastAsia" w:ascii="宋体" w:hAnsi="宋体"/>
          <w:color w:val="auto"/>
          <w:szCs w:val="21"/>
          <w:highlight w:val="none"/>
        </w:rPr>
        <w:t>不可抗力除外</w:t>
      </w:r>
      <w:r>
        <w:rPr>
          <w:rFonts w:hint="eastAsia"/>
          <w:color w:val="auto"/>
          <w:szCs w:val="21"/>
          <w:highlight w:val="none"/>
          <w:lang w:eastAsia="zh-CN"/>
        </w:rPr>
        <w:t>）</w:t>
      </w:r>
      <w:r>
        <w:rPr>
          <w:rFonts w:hint="eastAsia" w:ascii="宋体" w:hAnsi="宋体"/>
          <w:color w:val="auto"/>
          <w:szCs w:val="21"/>
          <w:highlight w:val="none"/>
        </w:rPr>
        <w:t>，在乙方同意支付核定损失额的条件下，甲方可适当延长交货期。核定损失额的支付将从未付款或从质保证金中扣除。核定损失额计付比率为每迟交1天，按货款全额的</w:t>
      </w:r>
      <w:r>
        <w:rPr>
          <w:rFonts w:hint="eastAsia" w:ascii="宋体" w:hAnsi="宋体"/>
          <w:color w:val="auto"/>
          <w:szCs w:val="21"/>
          <w:highlight w:val="none"/>
          <w:u w:val="single"/>
        </w:rPr>
        <w:t xml:space="preserve"> </w:t>
      </w:r>
      <w:r>
        <w:rPr>
          <w:rFonts w:ascii="宋体" w:hAnsi="宋体"/>
          <w:color w:val="auto"/>
          <w:szCs w:val="21"/>
          <w:highlight w:val="none"/>
          <w:u w:val="single"/>
        </w:rPr>
        <w:t>0.1</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。如果乙方 </w:t>
      </w:r>
      <w:r>
        <w:rPr>
          <w:rFonts w:hint="eastAsia" w:ascii="宋体" w:hAnsi="宋体"/>
          <w:color w:val="auto"/>
          <w:szCs w:val="21"/>
          <w:highlight w:val="none"/>
          <w:u w:val="single"/>
        </w:rPr>
        <w:t>7</w:t>
      </w:r>
      <w:r>
        <w:rPr>
          <w:rFonts w:hint="eastAsia" w:ascii="宋体" w:hAnsi="宋体"/>
          <w:color w:val="auto"/>
          <w:szCs w:val="21"/>
          <w:highlight w:val="none"/>
        </w:rPr>
        <w:t>天后仍不能交货，甲方有权因乙方违约解除合同，而乙方仍有义务支付上述迟交核定损失金额。</w:t>
      </w:r>
    </w:p>
    <w:p w14:paraId="519C1870">
      <w:pPr>
        <w:adjustRightInd w:val="0"/>
        <w:snapToGrid w:val="0"/>
        <w:spacing w:line="500" w:lineRule="exact"/>
        <w:ind w:firstLine="482" w:firstLineChars="200"/>
        <w:rPr>
          <w:rFonts w:hint="eastAsia" w:ascii="宋体" w:hAnsi="宋体"/>
          <w:b/>
          <w:bCs/>
          <w:color w:val="auto"/>
          <w:szCs w:val="21"/>
          <w:highlight w:val="none"/>
        </w:rPr>
      </w:pPr>
      <w:r>
        <w:rPr>
          <w:rFonts w:hint="eastAsia" w:ascii="宋体" w:hAnsi="宋体"/>
          <w:b/>
          <w:bCs/>
          <w:color w:val="auto"/>
          <w:szCs w:val="21"/>
          <w:highlight w:val="none"/>
        </w:rPr>
        <w:t>八、保密</w:t>
      </w:r>
    </w:p>
    <w:p w14:paraId="2D4ECB9E">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双方保证对从另一方取得且无法自公开渠道获得的商业秘密（技术信息、经济信息及其他商业秘密）予以保密。未经对方同意不得向任何第三方泄露该商业秘密。</w:t>
      </w:r>
    </w:p>
    <w:p w14:paraId="6AB220D9">
      <w:pPr>
        <w:adjustRightInd w:val="0"/>
        <w:snapToGrid w:val="0"/>
        <w:spacing w:line="500" w:lineRule="exact"/>
        <w:ind w:firstLine="482" w:firstLineChars="200"/>
        <w:rPr>
          <w:rFonts w:ascii="宋体" w:hAnsi="宋体"/>
          <w:b/>
          <w:bCs/>
          <w:color w:val="auto"/>
          <w:szCs w:val="21"/>
          <w:highlight w:val="none"/>
        </w:rPr>
      </w:pPr>
      <w:r>
        <w:rPr>
          <w:rFonts w:hint="eastAsia" w:ascii="宋体" w:hAnsi="宋体"/>
          <w:b/>
          <w:bCs/>
          <w:color w:val="auto"/>
          <w:szCs w:val="21"/>
          <w:highlight w:val="none"/>
        </w:rPr>
        <w:t>九、保修与售后服务</w:t>
      </w:r>
    </w:p>
    <w:p w14:paraId="0F791C00">
      <w:pPr>
        <w:adjustRightInd w:val="0"/>
        <w:snapToGrid w:val="0"/>
        <w:spacing w:line="500" w:lineRule="exact"/>
        <w:ind w:firstLine="480" w:firstLineChars="200"/>
        <w:rPr>
          <w:rFonts w:ascii="宋体" w:hAnsi="宋体"/>
          <w:color w:val="auto"/>
          <w:szCs w:val="21"/>
          <w:highlight w:val="none"/>
        </w:rPr>
      </w:pPr>
      <w:r>
        <w:rPr>
          <w:rFonts w:hint="eastAsia" w:ascii="宋体" w:hAnsi="宋体"/>
          <w:color w:val="auto"/>
          <w:szCs w:val="21"/>
          <w:highlight w:val="none"/>
        </w:rPr>
        <w:t>（一）、质保期为</w:t>
      </w:r>
      <w:r>
        <w:rPr>
          <w:rFonts w:hint="eastAsia" w:ascii="宋体" w:hAnsi="宋体"/>
          <w:color w:val="auto"/>
          <w:szCs w:val="21"/>
          <w:highlight w:val="none"/>
          <w:u w:val="single"/>
        </w:rPr>
        <w:t xml:space="preserve">   </w:t>
      </w:r>
      <w:r>
        <w:rPr>
          <w:rFonts w:hint="eastAsia"/>
          <w:color w:val="auto"/>
          <w:szCs w:val="21"/>
          <w:highlight w:val="none"/>
          <w:u w:val="single"/>
          <w:lang w:val="en-US" w:eastAsia="zh-CN"/>
        </w:rPr>
        <w:t>1</w:t>
      </w:r>
      <w:r>
        <w:rPr>
          <w:rFonts w:hint="eastAsia" w:ascii="宋体" w:hAnsi="宋体"/>
          <w:color w:val="auto"/>
          <w:szCs w:val="21"/>
          <w:highlight w:val="none"/>
          <w:u w:val="single"/>
        </w:rPr>
        <w:t xml:space="preserve">   </w:t>
      </w:r>
      <w:r>
        <w:rPr>
          <w:rFonts w:hint="eastAsia" w:ascii="宋体" w:hAnsi="宋体"/>
          <w:color w:val="auto"/>
          <w:szCs w:val="21"/>
          <w:highlight w:val="none"/>
        </w:rPr>
        <w:t>年， 自产品最终验收合格之日起至质保期届满且经甲方确认无任何质量问题时止。在质保期内因产品质量造成产品不能正常使用，影响不能正常工作时间从质保期扣除。</w:t>
      </w:r>
    </w:p>
    <w:p w14:paraId="6DCA7110">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（二）、接到甲方通知，乙方应在</w:t>
      </w:r>
      <w:r>
        <w:rPr>
          <w:rFonts w:hint="eastAsia" w:ascii="宋体" w:hAnsi="宋体"/>
          <w:color w:val="auto"/>
          <w:szCs w:val="21"/>
          <w:highlight w:val="none"/>
          <w:u w:val="single"/>
        </w:rPr>
        <w:t xml:space="preserve"> 12 </w:t>
      </w:r>
      <w:r>
        <w:rPr>
          <w:rFonts w:hint="eastAsia" w:ascii="宋体" w:hAnsi="宋体"/>
          <w:color w:val="auto"/>
          <w:szCs w:val="21"/>
          <w:highlight w:val="none"/>
        </w:rPr>
        <w:t>小时内派遣相关人员到达现场</w:t>
      </w:r>
      <w:r>
        <w:rPr>
          <w:rFonts w:hint="eastAsia" w:ascii="宋体" w:hAnsi="宋体"/>
          <w:color w:val="auto"/>
          <w:szCs w:val="21"/>
          <w:highlight w:val="none"/>
          <w:u w:val="single"/>
        </w:rPr>
        <w:t xml:space="preserve">， 24 </w:t>
      </w:r>
      <w:r>
        <w:rPr>
          <w:rFonts w:hint="eastAsia" w:ascii="宋体" w:hAnsi="宋体"/>
          <w:color w:val="auto"/>
          <w:szCs w:val="21"/>
          <w:highlight w:val="none"/>
        </w:rPr>
        <w:t>小时内维修完毕；发生紧急抢修事故的，乙方应在接到甲方通知后立即赶往现场排除故障。乙方</w:t>
      </w:r>
      <w:r>
        <w:rPr>
          <w:rFonts w:ascii="宋体" w:hAnsi="宋体"/>
          <w:color w:val="auto"/>
          <w:szCs w:val="21"/>
          <w:highlight w:val="none"/>
        </w:rPr>
        <w:t>未在约定时间到达现场，</w:t>
      </w:r>
      <w:r>
        <w:rPr>
          <w:rFonts w:hint="eastAsia" w:ascii="宋体" w:hAnsi="宋体"/>
          <w:color w:val="auto"/>
          <w:szCs w:val="21"/>
          <w:highlight w:val="none"/>
        </w:rPr>
        <w:t>甲方可另选</w:t>
      </w:r>
      <w:r>
        <w:rPr>
          <w:rFonts w:ascii="宋体" w:hAnsi="宋体"/>
          <w:color w:val="auto"/>
          <w:szCs w:val="21"/>
          <w:highlight w:val="none"/>
        </w:rPr>
        <w:t>第三方修复，相关费用由乙方承担。</w:t>
      </w:r>
      <w:r>
        <w:rPr>
          <w:rFonts w:hint="eastAsia" w:ascii="宋体" w:hAnsi="宋体"/>
          <w:color w:val="auto"/>
          <w:szCs w:val="21"/>
          <w:highlight w:val="none"/>
        </w:rPr>
        <w:t>乙方未在约定时间内修复的或同一产品经</w:t>
      </w:r>
      <w:r>
        <w:rPr>
          <w:rFonts w:hint="eastAsia" w:ascii="宋体" w:hAnsi="宋体"/>
          <w:color w:val="auto"/>
          <w:szCs w:val="21"/>
          <w:highlight w:val="none"/>
          <w:u w:val="single"/>
        </w:rPr>
        <w:t xml:space="preserve"> 3 </w:t>
      </w:r>
      <w:r>
        <w:rPr>
          <w:rFonts w:hint="eastAsia" w:ascii="宋体" w:hAnsi="宋体"/>
          <w:color w:val="auto"/>
          <w:szCs w:val="21"/>
          <w:highlight w:val="none"/>
        </w:rPr>
        <w:t>次维修后仍不能稳定、可靠运行的，甲方有权要求乙方免费更换。</w:t>
      </w:r>
      <w:r>
        <w:rPr>
          <w:rStyle w:val="32"/>
          <w:rFonts w:hint="eastAsia" w:ascii="宋体" w:hAnsi="宋体" w:cs="宋体"/>
          <w:color w:val="auto"/>
          <w:szCs w:val="21"/>
          <w:highlight w:val="none"/>
        </w:rPr>
        <w:t>返修或更换部件后的产品保修期应重新计算。</w:t>
      </w:r>
    </w:p>
    <w:p w14:paraId="122E0657">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（三）、在质保期内，乙方应对产品出现的质量及安全问题负责处理解决并承担一切费用。</w:t>
      </w:r>
    </w:p>
    <w:p w14:paraId="1CA6470B">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 xml:space="preserve">（四）、质保期届满后，乙方对本合同项下产品提供终身维修服务，且维修时只收取所需维修部件的成本费              </w:t>
      </w:r>
    </w:p>
    <w:p w14:paraId="6B2B1D70">
      <w:pPr>
        <w:adjustRightInd w:val="0"/>
        <w:snapToGrid w:val="0"/>
        <w:spacing w:line="500" w:lineRule="exact"/>
        <w:ind w:firstLine="354" w:firstLineChars="147"/>
        <w:rPr>
          <w:rFonts w:hint="eastAsia" w:ascii="宋体" w:hAnsi="宋体"/>
          <w:b/>
          <w:bCs/>
          <w:color w:val="auto"/>
          <w:szCs w:val="21"/>
          <w:highlight w:val="none"/>
        </w:rPr>
      </w:pPr>
      <w:r>
        <w:rPr>
          <w:rFonts w:hint="eastAsia" w:ascii="宋体" w:hAnsi="宋体"/>
          <w:b/>
          <w:bCs/>
          <w:color w:val="auto"/>
          <w:szCs w:val="21"/>
          <w:highlight w:val="none"/>
        </w:rPr>
        <w:t>十、不可抗力</w:t>
      </w:r>
    </w:p>
    <w:p w14:paraId="65EB44E9">
      <w:pPr>
        <w:adjustRightInd w:val="0"/>
        <w:snapToGrid w:val="0"/>
        <w:spacing w:line="500" w:lineRule="exact"/>
        <w:ind w:firstLine="472" w:firstLineChars="197"/>
        <w:rPr>
          <w:rFonts w:hint="eastAsia" w:ascii="宋体" w:hAnsi="宋体"/>
          <w:color w:val="auto"/>
          <w:szCs w:val="21"/>
          <w:highlight w:val="none"/>
        </w:rPr>
      </w:pPr>
      <w:r>
        <w:rPr>
          <w:rFonts w:hint="eastAsia" w:ascii="宋体" w:hAnsi="宋体"/>
          <w:color w:val="auto"/>
          <w:szCs w:val="21"/>
          <w:highlight w:val="none"/>
        </w:rPr>
        <w:t>本合同所称不可抗力是指不能预见、不能克服、不能避免并对另一方造成重大影响的客观事件。包括但不限于自然灾害如洪水、地震、火灾和风暴等以及社会事件如战争、动乱、政府行为等。</w:t>
      </w:r>
    </w:p>
    <w:p w14:paraId="094EF044">
      <w:pPr>
        <w:adjustRightInd w:val="0"/>
        <w:snapToGrid w:val="0"/>
        <w:spacing w:line="500" w:lineRule="exact"/>
        <w:ind w:firstLine="472" w:firstLineChars="197"/>
        <w:rPr>
          <w:rFonts w:hint="eastAsia" w:ascii="宋体" w:hAnsi="宋体"/>
          <w:color w:val="auto"/>
          <w:szCs w:val="21"/>
          <w:highlight w:val="none"/>
        </w:rPr>
      </w:pPr>
      <w:r>
        <w:rPr>
          <w:rFonts w:hint="eastAsia" w:ascii="宋体" w:hAnsi="宋体"/>
          <w:color w:val="auto"/>
          <w:szCs w:val="21"/>
          <w:highlight w:val="none"/>
        </w:rPr>
        <w:t>如遇不可抗力事件的一方导致合同无法履行时，应立即将事故情况书面告知另一方，并在</w:t>
      </w:r>
      <w:r>
        <w:rPr>
          <w:rFonts w:hint="eastAsia" w:ascii="宋体" w:hAnsi="宋体"/>
          <w:color w:val="auto"/>
          <w:szCs w:val="21"/>
          <w:highlight w:val="none"/>
          <w:u w:val="single"/>
        </w:rPr>
        <w:t>3</w:t>
      </w:r>
      <w:r>
        <w:rPr>
          <w:rFonts w:hint="eastAsia" w:ascii="宋体" w:hAnsi="宋体"/>
          <w:color w:val="auto"/>
          <w:szCs w:val="21"/>
          <w:highlight w:val="none"/>
        </w:rPr>
        <w:t>天内，提供事故详情。</w:t>
      </w:r>
    </w:p>
    <w:p w14:paraId="5E5D7CD9">
      <w:pPr>
        <w:adjustRightInd w:val="0"/>
        <w:snapToGrid w:val="0"/>
        <w:spacing w:line="500" w:lineRule="exact"/>
        <w:ind w:firstLine="354" w:firstLineChars="147"/>
        <w:rPr>
          <w:rFonts w:hint="eastAsia" w:ascii="宋体" w:hAnsi="宋体"/>
          <w:b/>
          <w:bCs/>
          <w:color w:val="auto"/>
          <w:szCs w:val="21"/>
          <w:highlight w:val="none"/>
        </w:rPr>
      </w:pPr>
      <w:r>
        <w:rPr>
          <w:rFonts w:hint="eastAsia" w:ascii="宋体" w:hAnsi="宋体"/>
          <w:b/>
          <w:bCs/>
          <w:color w:val="auto"/>
          <w:szCs w:val="21"/>
          <w:highlight w:val="none"/>
        </w:rPr>
        <w:t>十一、违约责任</w:t>
      </w:r>
    </w:p>
    <w:p w14:paraId="6BFD1851">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（一）、在补救违约而采取的任何其他措施未能实现的情况下，即在乙方收到甲方发出的违约整改通知后</w:t>
      </w:r>
      <w:r>
        <w:rPr>
          <w:rFonts w:hint="eastAsia" w:ascii="宋体" w:hAnsi="宋体"/>
          <w:color w:val="auto"/>
          <w:szCs w:val="21"/>
          <w:highlight w:val="none"/>
          <w:u w:val="single"/>
        </w:rPr>
        <w:t xml:space="preserve"> 3</w:t>
      </w:r>
      <w:r>
        <w:rPr>
          <w:rFonts w:hint="eastAsia" w:ascii="宋体" w:hAnsi="宋体"/>
          <w:color w:val="auto"/>
          <w:szCs w:val="21"/>
          <w:highlight w:val="none"/>
        </w:rPr>
        <w:t>天内</w:t>
      </w:r>
      <w:r>
        <w:rPr>
          <w:rFonts w:hint="eastAsia"/>
          <w:color w:val="auto"/>
          <w:szCs w:val="21"/>
          <w:highlight w:val="none"/>
          <w:lang w:eastAsia="zh-CN"/>
        </w:rPr>
        <w:t>（</w:t>
      </w:r>
      <w:r>
        <w:rPr>
          <w:rFonts w:hint="eastAsia" w:ascii="宋体" w:hAnsi="宋体"/>
          <w:color w:val="auto"/>
          <w:szCs w:val="21"/>
          <w:highlight w:val="none"/>
        </w:rPr>
        <w:t>或经甲方书面确认的更长时间内</w:t>
      </w:r>
      <w:r>
        <w:rPr>
          <w:rFonts w:hint="eastAsia"/>
          <w:color w:val="auto"/>
          <w:szCs w:val="21"/>
          <w:highlight w:val="none"/>
          <w:lang w:eastAsia="zh-CN"/>
        </w:rPr>
        <w:t>）</w:t>
      </w:r>
      <w:r>
        <w:rPr>
          <w:rFonts w:hint="eastAsia" w:ascii="宋体" w:hAnsi="宋体"/>
          <w:color w:val="auto"/>
          <w:szCs w:val="21"/>
          <w:highlight w:val="none"/>
        </w:rPr>
        <w:t>仍未纠正其下述任何一种违约行为，甲方可向乙方发出书面解除通知，解除全部或部分合同条款：</w:t>
      </w:r>
    </w:p>
    <w:p w14:paraId="4BAF2E3B">
      <w:pPr>
        <w:adjustRightInd w:val="0"/>
        <w:snapToGrid w:val="0"/>
        <w:spacing w:line="500" w:lineRule="exact"/>
        <w:ind w:firstLine="480" w:firstLineChars="200"/>
        <w:rPr>
          <w:rFonts w:hint="eastAsia" w:ascii="宋体" w:hAnsi="宋体"/>
          <w:color w:val="auto"/>
          <w:szCs w:val="21"/>
          <w:highlight w:val="none"/>
        </w:rPr>
      </w:pPr>
      <w:r>
        <w:rPr>
          <w:rFonts w:hint="eastAsia"/>
          <w:color w:val="auto"/>
          <w:szCs w:val="21"/>
          <w:highlight w:val="none"/>
          <w:lang w:eastAsia="zh-CN"/>
        </w:rPr>
        <w:t>（</w:t>
      </w:r>
      <w:r>
        <w:rPr>
          <w:rFonts w:hint="eastAsia" w:ascii="宋体" w:hAnsi="宋体"/>
          <w:color w:val="auto"/>
          <w:szCs w:val="21"/>
          <w:highlight w:val="none"/>
        </w:rPr>
        <w:t>1</w:t>
      </w:r>
      <w:r>
        <w:rPr>
          <w:rFonts w:hint="eastAsia"/>
          <w:color w:val="auto"/>
          <w:szCs w:val="21"/>
          <w:highlight w:val="none"/>
          <w:lang w:eastAsia="zh-CN"/>
        </w:rPr>
        <w:t>）</w:t>
      </w:r>
      <w:r>
        <w:rPr>
          <w:rFonts w:hint="eastAsia" w:ascii="宋体" w:hAnsi="宋体"/>
          <w:color w:val="auto"/>
          <w:szCs w:val="21"/>
          <w:highlight w:val="none"/>
        </w:rPr>
        <w:t>如果乙方未能在合同规定的期限内或甲方准许的任何延期内交付部分或全部产品。</w:t>
      </w:r>
    </w:p>
    <w:p w14:paraId="34E8DE84">
      <w:pPr>
        <w:adjustRightInd w:val="0"/>
        <w:snapToGrid w:val="0"/>
        <w:spacing w:line="500" w:lineRule="exact"/>
        <w:ind w:firstLine="120" w:firstLineChars="5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color w:val="auto"/>
          <w:szCs w:val="21"/>
          <w:highlight w:val="none"/>
          <w:lang w:eastAsia="zh-CN"/>
        </w:rPr>
        <w:t>（</w:t>
      </w:r>
      <w:r>
        <w:rPr>
          <w:rFonts w:hint="eastAsia" w:ascii="宋体" w:hAnsi="宋体"/>
          <w:color w:val="auto"/>
          <w:szCs w:val="21"/>
          <w:highlight w:val="none"/>
        </w:rPr>
        <w:t>2</w:t>
      </w:r>
      <w:r>
        <w:rPr>
          <w:rFonts w:hint="eastAsia"/>
          <w:color w:val="auto"/>
          <w:szCs w:val="21"/>
          <w:highlight w:val="none"/>
          <w:lang w:eastAsia="zh-CN"/>
        </w:rPr>
        <w:t>）</w:t>
      </w:r>
      <w:r>
        <w:rPr>
          <w:rFonts w:hint="eastAsia" w:ascii="宋体" w:hAnsi="宋体"/>
          <w:color w:val="auto"/>
          <w:szCs w:val="21"/>
          <w:highlight w:val="none"/>
        </w:rPr>
        <w:t>乙方未能履行合同项下的其它义务。</w:t>
      </w:r>
    </w:p>
    <w:p w14:paraId="6C3D42C5">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（二）、因乙方违约致使甲方解除合同时，乙方除退还甲方已付全部货款及资金占用费外，应无条件承担合同总价30%的违约金。</w:t>
      </w:r>
    </w:p>
    <w:p w14:paraId="0CE1CFC1">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（三）、严禁乙方转让合同，若乙方违约，则甲方有权解除合同，乙方承担合同总价30%的违约金。</w:t>
      </w:r>
    </w:p>
    <w:p w14:paraId="39787808">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（四）、任何一方违约应承担守约方因主张权利而支付的所有费用，包含且不限于误工费、差旅费、住宿费、交通费、律师费等。</w:t>
      </w:r>
    </w:p>
    <w:p w14:paraId="720AF183">
      <w:pPr>
        <w:adjustRightInd w:val="0"/>
        <w:snapToGrid w:val="0"/>
        <w:spacing w:line="500" w:lineRule="exact"/>
        <w:ind w:firstLine="482" w:firstLineChars="200"/>
        <w:rPr>
          <w:rFonts w:ascii="宋体" w:hAnsi="宋体"/>
          <w:b/>
          <w:bCs/>
          <w:color w:val="auto"/>
          <w:szCs w:val="21"/>
          <w:highlight w:val="none"/>
        </w:rPr>
      </w:pPr>
      <w:r>
        <w:rPr>
          <w:rFonts w:hint="eastAsia" w:ascii="宋体" w:hAnsi="宋体"/>
          <w:b/>
          <w:bCs/>
          <w:color w:val="auto"/>
          <w:szCs w:val="21"/>
          <w:highlight w:val="none"/>
        </w:rPr>
        <w:t>十二、其它事项</w:t>
      </w:r>
    </w:p>
    <w:p w14:paraId="11D0EA67">
      <w:pPr>
        <w:adjustRightInd w:val="0"/>
        <w:snapToGrid w:val="0"/>
        <w:spacing w:line="500" w:lineRule="exact"/>
        <w:ind w:firstLine="480" w:firstLineChars="200"/>
        <w:rPr>
          <w:rFonts w:ascii="宋体" w:hAnsi="宋体"/>
          <w:color w:val="auto"/>
          <w:spacing w:val="0"/>
          <w:w w:val="98"/>
          <w:sz w:val="21"/>
          <w:szCs w:val="21"/>
          <w:highlight w:val="none"/>
        </w:rPr>
      </w:pPr>
      <w:r>
        <w:rPr>
          <w:rFonts w:hint="eastAsia" w:ascii="宋体" w:hAnsi="宋体"/>
          <w:color w:val="auto"/>
          <w:szCs w:val="21"/>
          <w:highlight w:val="none"/>
        </w:rPr>
        <w:t>（一）、</w:t>
      </w:r>
      <w:r>
        <w:rPr>
          <w:rFonts w:hint="eastAsia" w:ascii="宋体" w:hAnsi="宋体"/>
          <w:color w:val="auto"/>
          <w:spacing w:val="0"/>
          <w:w w:val="98"/>
          <w:sz w:val="21"/>
          <w:szCs w:val="21"/>
          <w:highlight w:val="none"/>
        </w:rPr>
        <w:t>招投标文件均作为合同不可分割的部分。解释顺序为招标文件、投标文件、合同、合同附件。</w:t>
      </w:r>
    </w:p>
    <w:p w14:paraId="71460943">
      <w:pPr>
        <w:adjustRightInd w:val="0"/>
        <w:snapToGrid w:val="0"/>
        <w:spacing w:line="500" w:lineRule="exact"/>
        <w:ind w:left="410" w:leftChars="171" w:firstLine="120" w:firstLineChars="50"/>
        <w:rPr>
          <w:rFonts w:ascii="宋体" w:hAnsi="宋体"/>
          <w:color w:val="auto"/>
          <w:szCs w:val="21"/>
          <w:highlight w:val="none"/>
        </w:rPr>
      </w:pPr>
      <w:r>
        <w:rPr>
          <w:rFonts w:hint="eastAsia" w:ascii="宋体" w:hAnsi="宋体"/>
          <w:color w:val="auto"/>
          <w:szCs w:val="21"/>
          <w:highlight w:val="none"/>
        </w:rPr>
        <w:t>（二）、合同未尽事宜，由甲、乙双方协商，作为合同的补充与原合同具有同等法律效力。</w:t>
      </w:r>
    </w:p>
    <w:p w14:paraId="5B7FB296">
      <w:pPr>
        <w:adjustRightInd w:val="0"/>
        <w:snapToGrid w:val="0"/>
        <w:spacing w:line="500" w:lineRule="exact"/>
        <w:ind w:left="410" w:leftChars="171" w:firstLine="120" w:firstLineChars="50"/>
        <w:rPr>
          <w:rFonts w:ascii="宋体" w:hAnsi="宋体"/>
          <w:color w:val="auto"/>
          <w:szCs w:val="21"/>
          <w:highlight w:val="none"/>
        </w:rPr>
      </w:pPr>
      <w:r>
        <w:rPr>
          <w:rFonts w:hint="eastAsia" w:ascii="宋体" w:hAnsi="宋体"/>
          <w:color w:val="auto"/>
          <w:szCs w:val="21"/>
          <w:highlight w:val="none"/>
        </w:rPr>
        <w:t>（三）、双方如对履行合同发生争执，应友好协商解决，如协商不成，任何一方均可向甲方所在地法院提起诉讼。</w:t>
      </w:r>
    </w:p>
    <w:p w14:paraId="16728A26">
      <w:pPr>
        <w:adjustRightInd w:val="0"/>
        <w:snapToGrid w:val="0"/>
        <w:spacing w:line="500" w:lineRule="exact"/>
        <w:ind w:firstLine="482" w:firstLineChars="200"/>
        <w:rPr>
          <w:rFonts w:hint="eastAsia" w:ascii="宋体" w:hAnsi="宋体"/>
          <w:b/>
          <w:bCs/>
          <w:color w:val="auto"/>
          <w:szCs w:val="21"/>
          <w:highlight w:val="none"/>
        </w:rPr>
      </w:pPr>
      <w:r>
        <w:rPr>
          <w:rFonts w:hint="eastAsia" w:ascii="宋体" w:hAnsi="宋体"/>
          <w:b/>
          <w:bCs/>
          <w:color w:val="auto"/>
          <w:szCs w:val="21"/>
          <w:highlight w:val="none"/>
        </w:rPr>
        <w:t>十三、 通知和送达</w:t>
      </w:r>
    </w:p>
    <w:p w14:paraId="78672884">
      <w:pPr>
        <w:adjustRightInd w:val="0"/>
        <w:snapToGrid w:val="0"/>
        <w:spacing w:line="500" w:lineRule="exact"/>
        <w:ind w:firstLine="480" w:firstLineChars="200"/>
        <w:rPr>
          <w:rFonts w:hint="eastAsia" w:ascii="宋体" w:hAnsi="宋体"/>
          <w:color w:val="auto"/>
          <w:szCs w:val="21"/>
          <w:highlight w:val="none"/>
        </w:rPr>
      </w:pPr>
      <w:r>
        <w:rPr>
          <w:rFonts w:hint="eastAsia" w:ascii="宋体" w:hAnsi="宋体"/>
          <w:color w:val="auto"/>
          <w:szCs w:val="21"/>
          <w:highlight w:val="none"/>
        </w:rPr>
        <w:t>甲、乙双方因履行本合同而相互发出或者提供的所有通知、文件、材料等均以本合同所列明的地址、电子邮箱、传真送达。一方迁址或者变更邮箱、传真电话的，应当五日内书面通知对方。</w:t>
      </w:r>
    </w:p>
    <w:p w14:paraId="15A52863">
      <w:pPr>
        <w:adjustRightInd w:val="0"/>
        <w:snapToGrid w:val="0"/>
        <w:spacing w:line="500" w:lineRule="exact"/>
        <w:ind w:firstLine="480" w:firstLineChars="200"/>
        <w:rPr>
          <w:rFonts w:ascii="宋体" w:hAnsi="宋体"/>
          <w:color w:val="auto"/>
          <w:szCs w:val="21"/>
          <w:highlight w:val="none"/>
        </w:rPr>
      </w:pPr>
      <w:r>
        <w:rPr>
          <w:rFonts w:hint="eastAsia" w:ascii="宋体" w:hAnsi="宋体"/>
          <w:color w:val="auto"/>
          <w:szCs w:val="21"/>
          <w:highlight w:val="none"/>
        </w:rPr>
        <w:t>以当面交付文件方式送达的，交付之时视为送达；以电子邮件方式送达的，发出电子邮件时视为送达；以传真方式送达的，发出传真时视为送达；以邮寄方式送达的，邮件交邮当日视为送达。</w:t>
      </w:r>
    </w:p>
    <w:p w14:paraId="78974260">
      <w:pPr>
        <w:adjustRightInd w:val="0"/>
        <w:snapToGrid w:val="0"/>
        <w:spacing w:line="500" w:lineRule="exact"/>
        <w:ind w:firstLine="482" w:firstLineChars="200"/>
        <w:rPr>
          <w:rFonts w:hint="eastAsia" w:ascii="宋体" w:hAnsi="宋体"/>
          <w:b/>
          <w:bCs/>
          <w:color w:val="auto"/>
          <w:szCs w:val="21"/>
          <w:highlight w:val="none"/>
        </w:rPr>
      </w:pPr>
      <w:r>
        <w:rPr>
          <w:rFonts w:hint="eastAsia" w:ascii="宋体" w:hAnsi="宋体"/>
          <w:b/>
          <w:bCs/>
          <w:color w:val="auto"/>
          <w:szCs w:val="21"/>
          <w:highlight w:val="none"/>
        </w:rPr>
        <w:t>十四、本合同签订时间、地点、履行期限</w:t>
      </w:r>
    </w:p>
    <w:p w14:paraId="0538696E">
      <w:pPr>
        <w:adjustRightInd w:val="0"/>
        <w:snapToGrid w:val="0"/>
        <w:spacing w:line="500" w:lineRule="exact"/>
        <w:rPr>
          <w:rFonts w:hint="eastAsia" w:ascii="宋体" w:hAnsi="宋体"/>
          <w:color w:val="auto"/>
          <w:szCs w:val="21"/>
          <w:highlight w:val="none"/>
          <w:u w:val="single"/>
        </w:rPr>
      </w:pPr>
      <w:r>
        <w:rPr>
          <w:rFonts w:hint="eastAsia" w:ascii="宋体" w:hAnsi="宋体"/>
          <w:color w:val="auto"/>
          <w:szCs w:val="21"/>
          <w:highlight w:val="none"/>
        </w:rPr>
        <w:t xml:space="preserve">   （一）签订时间：</w:t>
      </w:r>
      <w:r>
        <w:rPr>
          <w:rFonts w:hint="eastAsia" w:ascii="宋体" w:hAnsi="宋体"/>
          <w:color w:val="auto"/>
          <w:szCs w:val="21"/>
          <w:highlight w:val="none"/>
          <w:u w:val="single"/>
        </w:rPr>
        <w:t xml:space="preserve">   202</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年    月    日      </w:t>
      </w:r>
    </w:p>
    <w:p w14:paraId="7DFF7D1C">
      <w:pPr>
        <w:adjustRightInd w:val="0"/>
        <w:snapToGrid w:val="0"/>
        <w:spacing w:line="500" w:lineRule="exact"/>
        <w:rPr>
          <w:rFonts w:hint="eastAsia" w:ascii="宋体" w:hAnsi="宋体"/>
          <w:color w:val="auto"/>
          <w:szCs w:val="21"/>
          <w:highlight w:val="none"/>
        </w:rPr>
      </w:pPr>
      <w:r>
        <w:rPr>
          <w:rFonts w:hint="eastAsia" w:ascii="宋体" w:hAnsi="宋体"/>
          <w:color w:val="auto"/>
          <w:szCs w:val="21"/>
          <w:highlight w:val="none"/>
        </w:rPr>
        <w:t xml:space="preserve">   （二）签订地点：甲方所在地</w:t>
      </w:r>
      <w:r>
        <w:rPr>
          <w:rFonts w:ascii="宋体" w:hAnsi="宋体"/>
          <w:color w:val="auto"/>
          <w:szCs w:val="21"/>
          <w:highlight w:val="none"/>
        </w:rPr>
        <w:t>。</w:t>
      </w:r>
    </w:p>
    <w:p w14:paraId="682D4E2F">
      <w:pPr>
        <w:adjustRightInd w:val="0"/>
        <w:snapToGrid w:val="0"/>
        <w:spacing w:line="500" w:lineRule="exact"/>
        <w:ind w:left="480" w:leftChars="200"/>
        <w:rPr>
          <w:rFonts w:ascii="宋体" w:hAnsi="宋体"/>
          <w:color w:val="auto"/>
          <w:szCs w:val="21"/>
          <w:highlight w:val="none"/>
        </w:rPr>
      </w:pPr>
      <w:r>
        <w:rPr>
          <w:rFonts w:hint="eastAsia" w:ascii="宋体" w:hAnsi="宋体"/>
          <w:b/>
          <w:bCs/>
          <w:color w:val="auto"/>
          <w:szCs w:val="21"/>
          <w:highlight w:val="none"/>
        </w:rPr>
        <w:t>十</w:t>
      </w:r>
      <w:r>
        <w:rPr>
          <w:rFonts w:ascii="宋体" w:hAnsi="宋体"/>
          <w:b/>
          <w:bCs/>
          <w:color w:val="auto"/>
          <w:szCs w:val="21"/>
          <w:highlight w:val="none"/>
        </w:rPr>
        <w:t>五</w:t>
      </w:r>
      <w:r>
        <w:rPr>
          <w:rFonts w:hint="eastAsia" w:ascii="宋体" w:hAnsi="宋体"/>
          <w:b/>
          <w:bCs/>
          <w:color w:val="auto"/>
          <w:szCs w:val="21"/>
          <w:highlight w:val="none"/>
        </w:rPr>
        <w:t>、合同签订及生效</w:t>
      </w:r>
      <w:r>
        <w:rPr>
          <w:rFonts w:hint="eastAsia" w:ascii="宋体" w:hAnsi="宋体"/>
          <w:color w:val="auto"/>
          <w:szCs w:val="21"/>
          <w:highlight w:val="none"/>
        </w:rPr>
        <w:br w:type="textWrapping"/>
      </w:r>
      <w:r>
        <w:rPr>
          <w:rFonts w:hint="eastAsia" w:ascii="宋体" w:hAnsi="宋体"/>
          <w:color w:val="auto"/>
          <w:szCs w:val="21"/>
          <w:highlight w:val="none"/>
        </w:rPr>
        <w:t>本合同共   页</w:t>
      </w:r>
      <w:r>
        <w:rPr>
          <w:rFonts w:ascii="宋体" w:hAnsi="宋体"/>
          <w:color w:val="auto"/>
          <w:szCs w:val="21"/>
          <w:highlight w:val="none"/>
        </w:rPr>
        <w:t>，</w:t>
      </w:r>
      <w:r>
        <w:rPr>
          <w:rFonts w:hint="eastAsia" w:ascii="宋体" w:hAnsi="宋体"/>
          <w:color w:val="auto"/>
          <w:szCs w:val="21"/>
          <w:highlight w:val="none"/>
        </w:rPr>
        <w:t>一式</w:t>
      </w:r>
      <w:r>
        <w:rPr>
          <w:rFonts w:hint="eastAsia" w:ascii="宋体" w:hAnsi="宋体"/>
          <w:color w:val="auto"/>
          <w:szCs w:val="21"/>
          <w:highlight w:val="none"/>
          <w:lang w:val="en-US" w:eastAsia="zh-CN"/>
        </w:rPr>
        <w:t>肆</w:t>
      </w:r>
      <w:r>
        <w:rPr>
          <w:rFonts w:hint="eastAsia" w:ascii="宋体" w:hAnsi="宋体"/>
          <w:color w:val="auto"/>
          <w:szCs w:val="21"/>
          <w:highlight w:val="none"/>
        </w:rPr>
        <w:t>份，甲方执叁份、乙方执壹份，双方签字并盖章后生效。</w:t>
      </w:r>
    </w:p>
    <w:p w14:paraId="65752DE3">
      <w:pPr>
        <w:adjustRightInd w:val="0"/>
        <w:snapToGrid w:val="0"/>
        <w:spacing w:line="500" w:lineRule="exact"/>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（以下无正文）</w:t>
      </w:r>
    </w:p>
    <w:p w14:paraId="4A923598">
      <w:pPr>
        <w:adjustRightInd w:val="0"/>
        <w:snapToGrid w:val="0"/>
        <w:spacing w:line="500" w:lineRule="exact"/>
        <w:rPr>
          <w:rFonts w:ascii="宋体" w:hAnsi="宋体"/>
          <w:color w:val="auto"/>
          <w:szCs w:val="21"/>
          <w:highlight w:val="none"/>
        </w:rPr>
      </w:pPr>
      <w:r>
        <w:rPr>
          <w:rFonts w:hint="eastAsia" w:ascii="宋体" w:hAnsi="宋体"/>
          <w:color w:val="auto"/>
          <w:szCs w:val="21"/>
          <w:highlight w:val="none"/>
        </w:rPr>
        <w:t>甲</w:t>
      </w:r>
      <w:r>
        <w:rPr>
          <w:rFonts w:ascii="宋体" w:hAnsi="宋体"/>
          <w:color w:val="auto"/>
          <w:szCs w:val="21"/>
          <w:highlight w:val="none"/>
        </w:rPr>
        <w:t xml:space="preserve">    </w:t>
      </w:r>
      <w:r>
        <w:rPr>
          <w:rFonts w:hint="eastAsia" w:ascii="宋体" w:hAnsi="宋体"/>
          <w:color w:val="auto"/>
          <w:szCs w:val="21"/>
          <w:highlight w:val="none"/>
        </w:rPr>
        <w:t>方</w:t>
      </w:r>
      <w:r>
        <w:rPr>
          <w:rFonts w:ascii="宋体" w:hAnsi="宋体"/>
          <w:color w:val="auto"/>
          <w:szCs w:val="21"/>
          <w:highlight w:val="none"/>
        </w:rPr>
        <w:t xml:space="preserve">                                    </w:t>
      </w:r>
      <w:r>
        <w:rPr>
          <w:rFonts w:hint="eastAsia" w:ascii="宋体" w:hAnsi="宋体"/>
          <w:color w:val="auto"/>
          <w:szCs w:val="21"/>
          <w:highlight w:val="none"/>
        </w:rPr>
        <w:t>乙</w:t>
      </w:r>
      <w:r>
        <w:rPr>
          <w:rFonts w:ascii="宋体" w:hAnsi="宋体"/>
          <w:color w:val="auto"/>
          <w:szCs w:val="21"/>
          <w:highlight w:val="none"/>
        </w:rPr>
        <w:t xml:space="preserve">    </w:t>
      </w:r>
      <w:r>
        <w:rPr>
          <w:rFonts w:hint="eastAsia" w:ascii="宋体" w:hAnsi="宋体"/>
          <w:color w:val="auto"/>
          <w:szCs w:val="21"/>
          <w:highlight w:val="none"/>
        </w:rPr>
        <w:t>方</w:t>
      </w:r>
    </w:p>
    <w:p w14:paraId="51D64EFA">
      <w:pPr>
        <w:adjustRightInd w:val="0"/>
        <w:snapToGrid w:val="0"/>
        <w:spacing w:line="500" w:lineRule="exact"/>
        <w:rPr>
          <w:rFonts w:ascii="宋体" w:hAnsi="宋体"/>
          <w:color w:val="auto"/>
          <w:szCs w:val="21"/>
          <w:highlight w:val="none"/>
        </w:rPr>
      </w:pPr>
      <w:r>
        <w:rPr>
          <w:rFonts w:hint="eastAsia" w:ascii="宋体" w:hAnsi="宋体"/>
          <w:color w:val="auto"/>
          <w:szCs w:val="21"/>
          <w:highlight w:val="none"/>
        </w:rPr>
        <w:t xml:space="preserve">单位名称： </w:t>
      </w:r>
      <w:r>
        <w:rPr>
          <w:rFonts w:ascii="宋体" w:hAnsi="宋体"/>
          <w:color w:val="auto"/>
          <w:szCs w:val="21"/>
          <w:highlight w:val="none"/>
        </w:rPr>
        <w:t xml:space="preserve">                       </w:t>
      </w:r>
      <w:r>
        <w:rPr>
          <w:rFonts w:hint="eastAsia" w:ascii="宋体" w:hAnsi="宋体"/>
          <w:color w:val="auto"/>
          <w:szCs w:val="21"/>
          <w:highlight w:val="none"/>
        </w:rPr>
        <w:t xml:space="preserve">（盖章） </w:t>
      </w:r>
      <w:r>
        <w:rPr>
          <w:rFonts w:ascii="宋体" w:hAnsi="宋体"/>
          <w:color w:val="auto"/>
          <w:szCs w:val="21"/>
          <w:highlight w:val="none"/>
        </w:rPr>
        <w:t xml:space="preserve"> </w:t>
      </w:r>
      <w:r>
        <w:rPr>
          <w:rFonts w:hint="eastAsia" w:ascii="宋体" w:hAnsi="宋体"/>
          <w:color w:val="auto"/>
          <w:szCs w:val="21"/>
          <w:highlight w:val="none"/>
        </w:rPr>
        <w:t>单位名称：</w:t>
      </w:r>
      <w:r>
        <w:rPr>
          <w:rFonts w:ascii="宋体" w:hAnsi="宋体"/>
          <w:color w:val="auto"/>
          <w:szCs w:val="21"/>
          <w:highlight w:val="none"/>
        </w:rPr>
        <w:t xml:space="preserve">                           </w:t>
      </w:r>
      <w:r>
        <w:rPr>
          <w:rFonts w:hint="eastAsia" w:ascii="宋体" w:hAnsi="宋体"/>
          <w:color w:val="auto"/>
          <w:szCs w:val="21"/>
          <w:highlight w:val="none"/>
        </w:rPr>
        <w:t>（盖章）</w:t>
      </w:r>
      <w:r>
        <w:rPr>
          <w:rFonts w:ascii="宋体" w:hAnsi="宋体"/>
          <w:color w:val="auto"/>
          <w:szCs w:val="21"/>
          <w:highlight w:val="none"/>
        </w:rPr>
        <w:t xml:space="preserve">                                </w:t>
      </w:r>
    </w:p>
    <w:p w14:paraId="40D93216">
      <w:pPr>
        <w:adjustRightInd w:val="0"/>
        <w:snapToGrid w:val="0"/>
        <w:spacing w:line="500" w:lineRule="exact"/>
        <w:ind w:left="6943" w:leftChars="-7" w:right="-578" w:rightChars="-241" w:hanging="6960" w:hangingChars="2900"/>
        <w:rPr>
          <w:rFonts w:hint="eastAsia" w:ascii="宋体" w:hAnsi="宋体"/>
          <w:color w:val="auto"/>
          <w:szCs w:val="21"/>
          <w:highlight w:val="none"/>
        </w:rPr>
      </w:pP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 乌</w:t>
      </w:r>
      <w:r>
        <w:rPr>
          <w:rFonts w:ascii="宋体" w:hAnsi="宋体"/>
          <w:color w:val="auto"/>
          <w:szCs w:val="21"/>
          <w:highlight w:val="none"/>
        </w:rPr>
        <w:t xml:space="preserve">市碱泉一街380号                </w:t>
      </w:r>
      <w:r>
        <w:rPr>
          <w:rFonts w:hint="eastAsia" w:ascii="宋体" w:hAnsi="宋体"/>
          <w:color w:val="auto"/>
          <w:szCs w:val="21"/>
          <w:highlight w:val="none"/>
        </w:rPr>
        <w:t>地</w:t>
      </w:r>
      <w:r>
        <w:rPr>
          <w:rFonts w:ascii="宋体" w:hAnsi="宋体"/>
          <w:color w:val="auto"/>
          <w:szCs w:val="21"/>
          <w:highlight w:val="none"/>
        </w:rPr>
        <w:t xml:space="preserve">  </w:t>
      </w:r>
      <w:r>
        <w:rPr>
          <w:rFonts w:hint="eastAsia" w:ascii="宋体" w:hAnsi="宋体"/>
          <w:color w:val="auto"/>
          <w:szCs w:val="21"/>
          <w:highlight w:val="none"/>
        </w:rPr>
        <w:t>址：</w:t>
      </w:r>
    </w:p>
    <w:p w14:paraId="1CDB82B9">
      <w:pPr>
        <w:adjustRightInd w:val="0"/>
        <w:snapToGrid w:val="0"/>
        <w:spacing w:line="500" w:lineRule="exact"/>
        <w:ind w:right="-578" w:rightChars="-241"/>
        <w:rPr>
          <w:rFonts w:ascii="宋体" w:hAnsi="宋体"/>
          <w:color w:val="auto"/>
          <w:szCs w:val="21"/>
          <w:highlight w:val="none"/>
        </w:rPr>
      </w:pPr>
      <w:r>
        <w:rPr>
          <w:rFonts w:hint="eastAsia" w:ascii="宋体" w:hAnsi="宋体"/>
          <w:color w:val="auto"/>
          <w:szCs w:val="21"/>
          <w:highlight w:val="none"/>
        </w:rPr>
        <w:t>法定代表人：</w:t>
      </w:r>
      <w:r>
        <w:rPr>
          <w:rFonts w:ascii="宋体" w:hAnsi="宋体"/>
          <w:color w:val="auto"/>
          <w:szCs w:val="21"/>
          <w:highlight w:val="none"/>
        </w:rPr>
        <w:t xml:space="preserve">                                 </w:t>
      </w:r>
      <w:r>
        <w:rPr>
          <w:rFonts w:hint="eastAsia" w:ascii="宋体" w:hAnsi="宋体"/>
          <w:color w:val="auto"/>
          <w:szCs w:val="21"/>
          <w:highlight w:val="none"/>
        </w:rPr>
        <w:t>法定代表人（签字）：</w:t>
      </w:r>
      <w:r>
        <w:rPr>
          <w:rFonts w:ascii="宋体" w:hAnsi="宋体"/>
          <w:color w:val="auto"/>
          <w:szCs w:val="21"/>
          <w:highlight w:val="none"/>
        </w:rPr>
        <w:t xml:space="preserve"> </w:t>
      </w:r>
    </w:p>
    <w:p w14:paraId="0E58AE1B">
      <w:pPr>
        <w:adjustRightInd w:val="0"/>
        <w:snapToGrid w:val="0"/>
        <w:spacing w:line="500" w:lineRule="exact"/>
        <w:ind w:right="-578" w:rightChars="-241"/>
        <w:rPr>
          <w:rFonts w:ascii="宋体" w:hAnsi="宋体"/>
          <w:color w:val="auto"/>
          <w:szCs w:val="21"/>
          <w:highlight w:val="none"/>
        </w:rPr>
      </w:pPr>
      <w:r>
        <w:rPr>
          <w:rFonts w:hint="eastAsia" w:ascii="宋体" w:hAnsi="宋体"/>
          <w:color w:val="auto"/>
          <w:szCs w:val="21"/>
          <w:highlight w:val="none"/>
        </w:rPr>
        <w:t>代</w:t>
      </w:r>
      <w:r>
        <w:rPr>
          <w:rFonts w:ascii="宋体" w:hAnsi="宋体"/>
          <w:color w:val="auto"/>
          <w:szCs w:val="21"/>
          <w:highlight w:val="none"/>
        </w:rPr>
        <w:t xml:space="preserve"> </w:t>
      </w:r>
      <w:r>
        <w:rPr>
          <w:rFonts w:hint="eastAsia" w:ascii="宋体" w:hAnsi="宋体"/>
          <w:color w:val="auto"/>
          <w:szCs w:val="21"/>
          <w:highlight w:val="none"/>
        </w:rPr>
        <w:t>理</w:t>
      </w:r>
      <w:r>
        <w:rPr>
          <w:rFonts w:ascii="宋体" w:hAnsi="宋体"/>
          <w:color w:val="auto"/>
          <w:szCs w:val="21"/>
          <w:highlight w:val="none"/>
        </w:rPr>
        <w:t xml:space="preserve"> </w:t>
      </w:r>
      <w:r>
        <w:rPr>
          <w:rFonts w:hint="eastAsia" w:ascii="宋体" w:hAnsi="宋体"/>
          <w:color w:val="auto"/>
          <w:szCs w:val="21"/>
          <w:highlight w:val="none"/>
        </w:rPr>
        <w:t>人：</w:t>
      </w:r>
      <w:r>
        <w:rPr>
          <w:rFonts w:ascii="宋体" w:hAnsi="宋体"/>
          <w:color w:val="auto"/>
          <w:szCs w:val="21"/>
          <w:highlight w:val="none"/>
        </w:rPr>
        <w:t xml:space="preserve">                                 </w:t>
      </w:r>
      <w:r>
        <w:rPr>
          <w:rFonts w:hint="eastAsia" w:ascii="宋体" w:hAnsi="宋体"/>
          <w:color w:val="auto"/>
          <w:szCs w:val="21"/>
          <w:highlight w:val="none"/>
        </w:rPr>
        <w:t xml:space="preserve">  代</w:t>
      </w:r>
      <w:r>
        <w:rPr>
          <w:rFonts w:ascii="宋体" w:hAnsi="宋体"/>
          <w:color w:val="auto"/>
          <w:szCs w:val="21"/>
          <w:highlight w:val="none"/>
        </w:rPr>
        <w:t xml:space="preserve"> </w:t>
      </w:r>
      <w:r>
        <w:rPr>
          <w:rFonts w:hint="eastAsia" w:ascii="宋体" w:hAnsi="宋体"/>
          <w:color w:val="auto"/>
          <w:szCs w:val="21"/>
          <w:highlight w:val="none"/>
        </w:rPr>
        <w:t>理</w:t>
      </w:r>
      <w:r>
        <w:rPr>
          <w:rFonts w:ascii="宋体" w:hAnsi="宋体"/>
          <w:color w:val="auto"/>
          <w:szCs w:val="21"/>
          <w:highlight w:val="none"/>
        </w:rPr>
        <w:t xml:space="preserve"> </w:t>
      </w:r>
      <w:r>
        <w:rPr>
          <w:rFonts w:hint="eastAsia" w:ascii="宋体" w:hAnsi="宋体"/>
          <w:color w:val="auto"/>
          <w:szCs w:val="21"/>
          <w:highlight w:val="none"/>
        </w:rPr>
        <w:t>人（签字）：</w:t>
      </w:r>
    </w:p>
    <w:p w14:paraId="668E288C">
      <w:pPr>
        <w:tabs>
          <w:tab w:val="left" w:pos="5040"/>
        </w:tabs>
        <w:adjustRightInd w:val="0"/>
        <w:snapToGrid w:val="0"/>
        <w:spacing w:line="500" w:lineRule="exact"/>
        <w:ind w:left="-410" w:leftChars="-171" w:right="-578" w:rightChars="-241" w:firstLine="480" w:firstLineChars="200"/>
        <w:rPr>
          <w:rFonts w:hint="eastAsia" w:ascii="宋体" w:hAnsi="宋体"/>
          <w:color w:val="auto"/>
          <w:szCs w:val="21"/>
          <w:highlight w:val="none"/>
        </w:rPr>
      </w:pPr>
      <w:r>
        <w:rPr>
          <w:rFonts w:hint="eastAsia" w:ascii="宋体" w:hAnsi="宋体"/>
          <w:color w:val="auto"/>
          <w:szCs w:val="21"/>
          <w:highlight w:val="none"/>
        </w:rPr>
        <w:t>联系电话：0</w:t>
      </w:r>
      <w:r>
        <w:rPr>
          <w:rFonts w:ascii="宋体" w:hAnsi="宋体"/>
          <w:color w:val="auto"/>
          <w:szCs w:val="21"/>
          <w:highlight w:val="none"/>
        </w:rPr>
        <w:t xml:space="preserve">991-2623010                  </w:t>
      </w:r>
      <w:r>
        <w:rPr>
          <w:rFonts w:hint="eastAsia" w:ascii="宋体" w:hAnsi="宋体"/>
          <w:color w:val="auto"/>
          <w:szCs w:val="21"/>
          <w:highlight w:val="none"/>
        </w:rPr>
        <w:t xml:space="preserve">    联系电话：            </w:t>
      </w:r>
    </w:p>
    <w:p w14:paraId="24493C57">
      <w:pPr>
        <w:adjustRightInd w:val="0"/>
        <w:snapToGrid w:val="0"/>
        <w:spacing w:line="440" w:lineRule="exact"/>
        <w:rPr>
          <w:rFonts w:hint="eastAsia" w:ascii="宋体" w:hAnsi="宋体" w:cs="Helvetica"/>
          <w:b/>
          <w:bCs/>
          <w:color w:val="auto"/>
          <w:kern w:val="0"/>
          <w:sz w:val="24"/>
          <w:szCs w:val="24"/>
          <w:highlight w:val="none"/>
        </w:rPr>
      </w:pPr>
    </w:p>
    <w:p w14:paraId="1783E995">
      <w:pPr>
        <w:adjustRightInd w:val="0"/>
        <w:snapToGrid w:val="0"/>
        <w:spacing w:line="440" w:lineRule="exact"/>
        <w:rPr>
          <w:rFonts w:hint="eastAsia" w:ascii="宋体" w:hAnsi="宋体" w:cs="Helvetica"/>
          <w:b/>
          <w:bCs/>
          <w:color w:val="auto"/>
          <w:kern w:val="0"/>
          <w:sz w:val="24"/>
          <w:szCs w:val="24"/>
          <w:highlight w:val="none"/>
        </w:rPr>
      </w:pPr>
    </w:p>
    <w:p w14:paraId="6EEB2ED1">
      <w:pPr>
        <w:adjustRightInd w:val="0"/>
        <w:snapToGrid w:val="0"/>
        <w:spacing w:line="440" w:lineRule="exact"/>
        <w:rPr>
          <w:rFonts w:hint="eastAsia" w:ascii="宋体" w:hAnsi="宋体" w:cs="Helvetica"/>
          <w:b/>
          <w:bCs/>
          <w:color w:val="auto"/>
          <w:kern w:val="0"/>
          <w:sz w:val="24"/>
          <w:szCs w:val="24"/>
          <w:highlight w:val="none"/>
        </w:rPr>
      </w:pPr>
    </w:p>
    <w:p w14:paraId="61AB7428">
      <w:pPr>
        <w:adjustRightInd w:val="0"/>
        <w:snapToGrid w:val="0"/>
        <w:spacing w:line="440" w:lineRule="exact"/>
        <w:rPr>
          <w:rFonts w:hint="eastAsia" w:ascii="宋体" w:hAnsi="宋体" w:cs="Helvetica"/>
          <w:b/>
          <w:bCs/>
          <w:color w:val="auto"/>
          <w:kern w:val="0"/>
          <w:sz w:val="24"/>
          <w:szCs w:val="24"/>
          <w:highlight w:val="none"/>
        </w:rPr>
      </w:pPr>
    </w:p>
    <w:p w14:paraId="26A1EFB9">
      <w:pPr>
        <w:adjustRightInd w:val="0"/>
        <w:snapToGrid w:val="0"/>
        <w:spacing w:line="440" w:lineRule="exact"/>
        <w:rPr>
          <w:rFonts w:hint="eastAsia" w:ascii="宋体" w:hAnsi="宋体" w:cs="Helvetica"/>
          <w:b/>
          <w:bCs/>
          <w:color w:val="auto"/>
          <w:kern w:val="0"/>
          <w:sz w:val="24"/>
          <w:szCs w:val="24"/>
          <w:highlight w:val="none"/>
        </w:rPr>
      </w:pPr>
    </w:p>
    <w:p w14:paraId="3981445B">
      <w:pPr>
        <w:adjustRightInd w:val="0"/>
        <w:snapToGrid w:val="0"/>
        <w:spacing w:line="440" w:lineRule="exact"/>
        <w:rPr>
          <w:rFonts w:hint="eastAsia" w:ascii="宋体" w:hAnsi="宋体" w:cs="Helvetica"/>
          <w:b/>
          <w:bCs/>
          <w:color w:val="auto"/>
          <w:kern w:val="0"/>
          <w:sz w:val="24"/>
          <w:szCs w:val="24"/>
          <w:highlight w:val="none"/>
        </w:rPr>
      </w:pPr>
    </w:p>
    <w:p w14:paraId="3F64D13D">
      <w:pPr>
        <w:adjustRightInd w:val="0"/>
        <w:snapToGrid w:val="0"/>
        <w:spacing w:line="440" w:lineRule="exact"/>
        <w:rPr>
          <w:rFonts w:hint="eastAsia" w:ascii="宋体" w:hAnsi="宋体" w:cs="Helvetica"/>
          <w:b/>
          <w:bCs/>
          <w:color w:val="auto"/>
          <w:kern w:val="0"/>
          <w:sz w:val="24"/>
          <w:szCs w:val="24"/>
          <w:highlight w:val="none"/>
        </w:rPr>
      </w:pPr>
    </w:p>
    <w:p w14:paraId="0BDE22CC">
      <w:pPr>
        <w:adjustRightInd w:val="0"/>
        <w:snapToGrid w:val="0"/>
        <w:spacing w:line="440" w:lineRule="exact"/>
        <w:rPr>
          <w:rFonts w:hint="eastAsia" w:ascii="宋体" w:hAnsi="宋体" w:cs="Helvetica"/>
          <w:b/>
          <w:bCs/>
          <w:color w:val="auto"/>
          <w:kern w:val="0"/>
          <w:sz w:val="24"/>
          <w:szCs w:val="24"/>
          <w:highlight w:val="none"/>
        </w:rPr>
      </w:pPr>
    </w:p>
    <w:p w14:paraId="606EDB89">
      <w:pPr>
        <w:adjustRightInd w:val="0"/>
        <w:snapToGrid w:val="0"/>
        <w:spacing w:line="440" w:lineRule="exact"/>
        <w:rPr>
          <w:rFonts w:hint="eastAsia" w:ascii="宋体" w:hAnsi="宋体" w:cs="Helvetica"/>
          <w:b/>
          <w:bCs/>
          <w:color w:val="auto"/>
          <w:kern w:val="0"/>
          <w:sz w:val="24"/>
          <w:szCs w:val="24"/>
          <w:highlight w:val="none"/>
        </w:rPr>
      </w:pPr>
    </w:p>
    <w:p w14:paraId="0FF424E4">
      <w:pPr>
        <w:adjustRightInd w:val="0"/>
        <w:snapToGrid w:val="0"/>
        <w:spacing w:line="440" w:lineRule="exact"/>
        <w:rPr>
          <w:rFonts w:hint="eastAsia" w:ascii="宋体" w:hAnsi="宋体" w:eastAsia="宋体" w:cs="Helvetica"/>
          <w:b/>
          <w:bCs/>
          <w:color w:val="auto"/>
          <w:kern w:val="0"/>
          <w:sz w:val="24"/>
          <w:szCs w:val="24"/>
          <w:highlight w:val="none"/>
        </w:rPr>
      </w:pPr>
      <w:r>
        <w:rPr>
          <w:rFonts w:hint="eastAsia" w:ascii="宋体" w:hAnsi="宋体" w:cs="Helvetica"/>
          <w:b/>
          <w:bCs/>
          <w:color w:val="auto"/>
          <w:kern w:val="0"/>
          <w:sz w:val="24"/>
          <w:szCs w:val="24"/>
          <w:highlight w:val="none"/>
        </w:rPr>
        <w:t>附件</w:t>
      </w:r>
      <w:r>
        <w:rPr>
          <w:rFonts w:hint="eastAsia" w:ascii="宋体" w:hAnsi="宋体" w:cs="Helvetica"/>
          <w:b/>
          <w:bCs/>
          <w:color w:val="auto"/>
          <w:kern w:val="0"/>
          <w:sz w:val="24"/>
          <w:szCs w:val="24"/>
          <w:highlight w:val="none"/>
          <w:lang w:val="en-US" w:eastAsia="zh-CN"/>
        </w:rPr>
        <w:t>1</w:t>
      </w:r>
      <w:r>
        <w:rPr>
          <w:rFonts w:hint="eastAsia" w:ascii="宋体" w:hAnsi="宋体" w:eastAsia="宋体" w:cs="Helvetica"/>
          <w:b/>
          <w:bCs/>
          <w:color w:val="auto"/>
          <w:kern w:val="0"/>
          <w:sz w:val="24"/>
          <w:szCs w:val="24"/>
          <w:highlight w:val="none"/>
        </w:rPr>
        <w:t>：技术参数和售后服务</w:t>
      </w:r>
    </w:p>
    <w:p w14:paraId="3C9B9F60">
      <w:pPr>
        <w:adjustRightInd w:val="0"/>
        <w:snapToGrid w:val="0"/>
        <w:spacing w:line="440" w:lineRule="exact"/>
        <w:outlineLvl w:val="0"/>
        <w:rPr>
          <w:rFonts w:hint="eastAsia" w:ascii="宋体" w:hAnsi="宋体"/>
          <w:color w:val="auto"/>
          <w:szCs w:val="21"/>
          <w:highlight w:val="none"/>
        </w:rPr>
      </w:pPr>
    </w:p>
    <w:p w14:paraId="3774194F">
      <w:pPr>
        <w:adjustRightInd w:val="0"/>
        <w:snapToGrid w:val="0"/>
        <w:spacing w:line="440" w:lineRule="exact"/>
        <w:outlineLvl w:val="0"/>
        <w:rPr>
          <w:rFonts w:ascii="宋体"/>
          <w:color w:val="auto"/>
          <w:szCs w:val="21"/>
          <w:highlight w:val="none"/>
        </w:rPr>
      </w:pPr>
      <w:r>
        <w:rPr>
          <w:rFonts w:hint="eastAsia" w:ascii="宋体" w:hAnsi="宋体"/>
          <w:color w:val="auto"/>
          <w:szCs w:val="21"/>
          <w:highlight w:val="none"/>
        </w:rPr>
        <w:t>一、乙方承诺</w:t>
      </w:r>
    </w:p>
    <w:p w14:paraId="76880711">
      <w:pPr>
        <w:adjustRightInd w:val="0"/>
        <w:snapToGrid w:val="0"/>
        <w:spacing w:line="440" w:lineRule="exact"/>
        <w:ind w:firstLine="480" w:firstLineChars="200"/>
        <w:rPr>
          <w:rFonts w:hint="eastAsia" w:ascii="宋体" w:hAnsi="宋体"/>
          <w:color w:val="auto"/>
          <w:szCs w:val="21"/>
          <w:highlight w:val="none"/>
        </w:rPr>
      </w:pPr>
      <w:r>
        <w:rPr>
          <w:rFonts w:hint="eastAsia" w:ascii="宋体" w:hAnsi="宋体"/>
          <w:color w:val="auto"/>
          <w:szCs w:val="21"/>
          <w:highlight w:val="none"/>
        </w:rPr>
        <w:t>鉴于国家</w:t>
      </w:r>
      <w:r>
        <w:rPr>
          <w:rFonts w:hint="eastAsia" w:ascii="宋体" w:hAnsi="宋体"/>
          <w:bCs/>
          <w:color w:val="auto"/>
          <w:szCs w:val="21"/>
          <w:highlight w:val="none"/>
        </w:rPr>
        <w:t>、</w:t>
      </w:r>
      <w:r>
        <w:rPr>
          <w:rFonts w:hint="eastAsia" w:ascii="宋体" w:hAnsi="宋体"/>
          <w:color w:val="auto"/>
          <w:szCs w:val="21"/>
          <w:highlight w:val="none"/>
        </w:rPr>
        <w:t>自治区、行业对</w:t>
      </w:r>
      <w:r>
        <w:rPr>
          <w:rFonts w:hint="eastAsia" w:ascii="宋体" w:hAnsi="宋体"/>
          <w:color w:val="auto"/>
          <w:szCs w:val="21"/>
          <w:highlight w:val="none"/>
          <w:u w:val="single"/>
        </w:rPr>
        <w:t xml:space="preserve">                   </w:t>
      </w:r>
      <w:r>
        <w:rPr>
          <w:rFonts w:hint="eastAsia" w:ascii="宋体" w:hAnsi="宋体"/>
          <w:color w:val="auto"/>
          <w:szCs w:val="21"/>
          <w:highlight w:val="none"/>
        </w:rPr>
        <w:t>产</w:t>
      </w:r>
      <w:r>
        <w:rPr>
          <w:rFonts w:hint="eastAsia" w:ascii="宋体" w:hAnsi="宋体"/>
          <w:color w:val="auto"/>
          <w:szCs w:val="21"/>
          <w:highlight w:val="none"/>
          <w:u w:val="single"/>
        </w:rPr>
        <w:t>品</w:t>
      </w:r>
      <w:r>
        <w:rPr>
          <w:rFonts w:hint="eastAsia" w:ascii="宋体" w:hAnsi="宋体"/>
          <w:color w:val="auto"/>
          <w:szCs w:val="21"/>
          <w:highlight w:val="none"/>
        </w:rPr>
        <w:t>的要求，乙方承诺按照要求标准组织供货，按时运到甲方指定的交货地点并确保所中标的产品各项指标符合招标技术要求；同时乙方根据产品的使用特性做好售后服务。</w:t>
      </w:r>
    </w:p>
    <w:p w14:paraId="4876E810">
      <w:pPr>
        <w:adjustRightInd w:val="0"/>
        <w:snapToGrid w:val="0"/>
        <w:spacing w:line="440" w:lineRule="exact"/>
        <w:ind w:firstLine="480" w:firstLineChars="200"/>
        <w:rPr>
          <w:rFonts w:hint="eastAsia" w:ascii="宋体" w:hAnsi="宋体"/>
          <w:color w:val="auto"/>
          <w:szCs w:val="21"/>
          <w:highlight w:val="none"/>
        </w:rPr>
      </w:pPr>
    </w:p>
    <w:p w14:paraId="4FA49468">
      <w:pPr>
        <w:adjustRightInd w:val="0"/>
        <w:snapToGrid w:val="0"/>
        <w:spacing w:line="440" w:lineRule="exact"/>
        <w:ind w:firstLine="480" w:firstLineChars="200"/>
        <w:rPr>
          <w:rFonts w:hint="eastAsia" w:ascii="宋体" w:hAnsi="宋体"/>
          <w:color w:val="auto"/>
          <w:szCs w:val="21"/>
          <w:highlight w:val="none"/>
        </w:rPr>
      </w:pPr>
    </w:p>
    <w:p w14:paraId="68C7D94A">
      <w:pPr>
        <w:adjustRightInd w:val="0"/>
        <w:snapToGrid w:val="0"/>
        <w:spacing w:line="440" w:lineRule="exact"/>
        <w:ind w:firstLine="480" w:firstLineChars="200"/>
        <w:rPr>
          <w:rFonts w:hint="eastAsia" w:ascii="宋体" w:hAnsi="宋体"/>
          <w:color w:val="auto"/>
          <w:szCs w:val="21"/>
          <w:highlight w:val="none"/>
        </w:rPr>
      </w:pPr>
    </w:p>
    <w:p w14:paraId="2A7B3BCC">
      <w:pPr>
        <w:adjustRightInd w:val="0"/>
        <w:snapToGrid w:val="0"/>
        <w:spacing w:line="440" w:lineRule="exact"/>
        <w:ind w:firstLine="480" w:firstLineChars="200"/>
        <w:rPr>
          <w:rFonts w:hint="eastAsia" w:ascii="宋体" w:hAnsi="宋体"/>
          <w:color w:val="auto"/>
          <w:szCs w:val="21"/>
          <w:highlight w:val="none"/>
        </w:rPr>
      </w:pPr>
    </w:p>
    <w:p w14:paraId="7490E48E">
      <w:pPr>
        <w:adjustRightInd w:val="0"/>
        <w:snapToGrid w:val="0"/>
        <w:spacing w:line="440" w:lineRule="exact"/>
        <w:ind w:firstLine="480" w:firstLineChars="200"/>
        <w:rPr>
          <w:rFonts w:hint="eastAsia" w:ascii="宋体" w:hAnsi="宋体"/>
          <w:color w:val="auto"/>
          <w:szCs w:val="21"/>
          <w:highlight w:val="none"/>
        </w:rPr>
      </w:pPr>
    </w:p>
    <w:p w14:paraId="78BF0153">
      <w:pPr>
        <w:numPr>
          <w:ilvl w:val="0"/>
          <w:numId w:val="8"/>
        </w:numPr>
        <w:adjustRightInd w:val="0"/>
        <w:snapToGrid w:val="0"/>
        <w:spacing w:line="440" w:lineRule="exact"/>
        <w:rPr>
          <w:rFonts w:hint="eastAsia" w:ascii="宋体" w:hAnsi="宋体"/>
          <w:color w:val="auto"/>
          <w:szCs w:val="21"/>
          <w:highlight w:val="none"/>
        </w:rPr>
      </w:pPr>
      <w:r>
        <w:rPr>
          <w:rFonts w:hint="eastAsia" w:ascii="宋体" w:hAnsi="宋体"/>
          <w:color w:val="auto"/>
          <w:szCs w:val="21"/>
          <w:highlight w:val="none"/>
        </w:rPr>
        <w:t>详细技术参数（不仅限于投标文件中的技术参数和图片）</w:t>
      </w:r>
    </w:p>
    <w:p w14:paraId="3F0941BC">
      <w:pPr>
        <w:adjustRightInd w:val="0"/>
        <w:snapToGrid w:val="0"/>
        <w:spacing w:line="440" w:lineRule="exact"/>
        <w:rPr>
          <w:rFonts w:hint="eastAsia" w:ascii="宋体" w:hAnsi="宋体"/>
          <w:color w:val="auto"/>
          <w:szCs w:val="21"/>
          <w:highlight w:val="none"/>
        </w:rPr>
      </w:pPr>
    </w:p>
    <w:p w14:paraId="7FEBCB46">
      <w:pPr>
        <w:adjustRightInd w:val="0"/>
        <w:snapToGrid w:val="0"/>
        <w:spacing w:line="440" w:lineRule="exact"/>
        <w:rPr>
          <w:rFonts w:hint="eastAsia" w:ascii="宋体" w:hAnsi="宋体"/>
          <w:color w:val="auto"/>
          <w:szCs w:val="21"/>
          <w:highlight w:val="none"/>
        </w:rPr>
      </w:pPr>
    </w:p>
    <w:p w14:paraId="435B30E5">
      <w:pPr>
        <w:adjustRightInd w:val="0"/>
        <w:snapToGrid w:val="0"/>
        <w:spacing w:line="440" w:lineRule="exact"/>
        <w:rPr>
          <w:rFonts w:hint="eastAsia" w:ascii="宋体" w:hAnsi="宋体"/>
          <w:color w:val="auto"/>
          <w:szCs w:val="21"/>
          <w:highlight w:val="none"/>
        </w:rPr>
      </w:pPr>
    </w:p>
    <w:p w14:paraId="10AD8E0B">
      <w:pPr>
        <w:adjustRightInd w:val="0"/>
        <w:snapToGrid w:val="0"/>
        <w:spacing w:line="440" w:lineRule="exact"/>
        <w:rPr>
          <w:rFonts w:hint="eastAsia" w:ascii="宋体" w:hAnsi="宋体"/>
          <w:color w:val="auto"/>
          <w:szCs w:val="21"/>
          <w:highlight w:val="none"/>
        </w:rPr>
      </w:pPr>
    </w:p>
    <w:p w14:paraId="10079A92">
      <w:pPr>
        <w:adjustRightInd w:val="0"/>
        <w:snapToGrid w:val="0"/>
        <w:spacing w:line="440" w:lineRule="exact"/>
        <w:rPr>
          <w:rFonts w:hint="eastAsia" w:ascii="宋体" w:hAnsi="宋体"/>
          <w:color w:val="auto"/>
          <w:szCs w:val="21"/>
          <w:highlight w:val="none"/>
        </w:rPr>
      </w:pPr>
    </w:p>
    <w:p w14:paraId="20297D0F">
      <w:pPr>
        <w:adjustRightInd w:val="0"/>
        <w:snapToGrid w:val="0"/>
        <w:spacing w:line="440" w:lineRule="exact"/>
        <w:rPr>
          <w:rFonts w:hint="eastAsia" w:ascii="宋体" w:hAnsi="宋体"/>
          <w:color w:val="auto"/>
          <w:szCs w:val="21"/>
          <w:highlight w:val="none"/>
        </w:rPr>
      </w:pPr>
    </w:p>
    <w:p w14:paraId="49968992">
      <w:pPr>
        <w:numPr>
          <w:ilvl w:val="0"/>
          <w:numId w:val="8"/>
        </w:numPr>
        <w:adjustRightInd w:val="0"/>
        <w:snapToGrid w:val="0"/>
        <w:spacing w:line="440" w:lineRule="exact"/>
        <w:rPr>
          <w:rFonts w:hint="eastAsia" w:ascii="宋体" w:hAnsi="宋体"/>
          <w:color w:val="auto"/>
          <w:szCs w:val="21"/>
          <w:highlight w:val="none"/>
        </w:rPr>
      </w:pPr>
      <w:r>
        <w:rPr>
          <w:rFonts w:hint="eastAsia" w:ascii="宋体" w:hAnsi="宋体"/>
          <w:color w:val="auto"/>
          <w:szCs w:val="21"/>
          <w:highlight w:val="none"/>
        </w:rPr>
        <w:t>售后服务（不仅限于投标文件中的售后服务）</w:t>
      </w:r>
    </w:p>
    <w:p w14:paraId="07E5054C">
      <w:pPr>
        <w:widowControl/>
        <w:adjustRightInd w:val="0"/>
        <w:snapToGrid w:val="0"/>
        <w:spacing w:after="150" w:line="440" w:lineRule="exact"/>
        <w:jc w:val="left"/>
        <w:rPr>
          <w:rFonts w:ascii="宋体" w:hAnsi="宋体"/>
          <w:b/>
          <w:bCs/>
          <w:color w:val="auto"/>
          <w:szCs w:val="21"/>
          <w:highlight w:val="none"/>
        </w:rPr>
      </w:pPr>
    </w:p>
    <w:p w14:paraId="5A0A991B">
      <w:pPr>
        <w:adjustRightInd w:val="0"/>
        <w:snapToGrid w:val="0"/>
        <w:spacing w:line="440" w:lineRule="exact"/>
        <w:rPr>
          <w:rFonts w:hint="eastAsia" w:ascii="宋体" w:hAnsi="宋体"/>
          <w:color w:val="auto"/>
          <w:sz w:val="24"/>
          <w:szCs w:val="24"/>
          <w:highlight w:val="none"/>
        </w:rPr>
      </w:pPr>
    </w:p>
    <w:p w14:paraId="4B467984">
      <w:pPr>
        <w:widowControl/>
        <w:adjustRightInd w:val="0"/>
        <w:snapToGrid w:val="0"/>
        <w:spacing w:after="150" w:line="440" w:lineRule="exact"/>
        <w:jc w:val="left"/>
        <w:rPr>
          <w:rFonts w:ascii="宋体" w:hAnsi="宋体" w:cs="Helvetica"/>
          <w:color w:val="auto"/>
          <w:kern w:val="0"/>
          <w:sz w:val="24"/>
          <w:szCs w:val="24"/>
          <w:highlight w:val="none"/>
        </w:rPr>
      </w:pPr>
    </w:p>
    <w:p w14:paraId="0E228A81">
      <w:pPr>
        <w:widowControl/>
        <w:adjustRightInd w:val="0"/>
        <w:snapToGrid w:val="0"/>
        <w:spacing w:after="150" w:line="440" w:lineRule="exact"/>
        <w:jc w:val="left"/>
        <w:rPr>
          <w:rFonts w:ascii="宋体" w:hAnsi="宋体" w:cs="Helvetica"/>
          <w:color w:val="auto"/>
          <w:kern w:val="0"/>
          <w:sz w:val="24"/>
          <w:szCs w:val="24"/>
          <w:highlight w:val="none"/>
        </w:rPr>
      </w:pPr>
    </w:p>
    <w:p w14:paraId="7D999717">
      <w:pPr>
        <w:widowControl/>
        <w:adjustRightInd w:val="0"/>
        <w:snapToGrid w:val="0"/>
        <w:spacing w:after="150" w:line="440" w:lineRule="exact"/>
        <w:jc w:val="left"/>
        <w:rPr>
          <w:rFonts w:ascii="宋体" w:hAnsi="宋体" w:cs="Helvetica"/>
          <w:color w:val="auto"/>
          <w:kern w:val="0"/>
          <w:sz w:val="24"/>
          <w:szCs w:val="24"/>
          <w:highlight w:val="none"/>
        </w:rPr>
      </w:pPr>
    </w:p>
    <w:p w14:paraId="1E1C342F">
      <w:pPr>
        <w:widowControl/>
        <w:adjustRightInd w:val="0"/>
        <w:snapToGrid w:val="0"/>
        <w:spacing w:after="150" w:line="440" w:lineRule="exact"/>
        <w:jc w:val="left"/>
        <w:rPr>
          <w:rFonts w:ascii="宋体" w:hAnsi="宋体" w:cs="Helvetica"/>
          <w:color w:val="auto"/>
          <w:kern w:val="0"/>
          <w:sz w:val="24"/>
          <w:szCs w:val="24"/>
          <w:highlight w:val="none"/>
        </w:rPr>
      </w:pPr>
    </w:p>
    <w:p w14:paraId="47F1BC49">
      <w:pPr>
        <w:widowControl/>
        <w:adjustRightInd w:val="0"/>
        <w:snapToGrid w:val="0"/>
        <w:spacing w:after="150" w:line="440" w:lineRule="exact"/>
        <w:jc w:val="left"/>
        <w:rPr>
          <w:rFonts w:ascii="宋体" w:hAnsi="宋体" w:cs="Helvetica"/>
          <w:color w:val="auto"/>
          <w:kern w:val="0"/>
          <w:sz w:val="24"/>
          <w:szCs w:val="24"/>
          <w:highlight w:val="none"/>
        </w:rPr>
      </w:pPr>
    </w:p>
    <w:p w14:paraId="4DDAE109">
      <w:pPr>
        <w:adjustRightInd w:val="0"/>
        <w:snapToGrid w:val="0"/>
        <w:spacing w:line="440" w:lineRule="exact"/>
        <w:rPr>
          <w:rFonts w:hint="eastAsia" w:ascii="Arial" w:hAnsi="Arial" w:cs="Arial"/>
          <w:color w:val="auto"/>
          <w:szCs w:val="21"/>
          <w:highlight w:val="none"/>
        </w:rPr>
        <w:sectPr>
          <w:footerReference r:id="rId12" w:type="first"/>
          <w:headerReference r:id="rId9" w:type="default"/>
          <w:footerReference r:id="rId10" w:type="default"/>
          <w:footerReference r:id="rId11" w:type="even"/>
          <w:pgSz w:w="11906" w:h="16838"/>
          <w:pgMar w:top="1440" w:right="1259" w:bottom="1077" w:left="1259" w:header="851" w:footer="992" w:gutter="0"/>
          <w:pgNumType w:fmt="decimal"/>
          <w:cols w:space="720" w:num="1"/>
          <w:titlePg/>
          <w:rtlGutter w:val="0"/>
          <w:docGrid w:type="lines" w:linePitch="312" w:charSpace="0"/>
        </w:sectPr>
      </w:pPr>
    </w:p>
    <w:p w14:paraId="2D9E531A">
      <w:pPr>
        <w:spacing w:line="44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b/>
          <w:color w:val="auto"/>
          <w:szCs w:val="21"/>
          <w:highlight w:val="none"/>
        </w:rPr>
        <w:t>附件</w:t>
      </w:r>
      <w:r>
        <w:rPr>
          <w:rFonts w:hint="eastAsia" w:ascii="宋体" w:hAnsi="宋体"/>
          <w:b/>
          <w:color w:val="auto"/>
          <w:szCs w:val="21"/>
          <w:highlight w:val="none"/>
          <w:lang w:val="en-US" w:eastAsia="zh-CN"/>
        </w:rPr>
        <w:t>2</w:t>
      </w:r>
      <w:r>
        <w:rPr>
          <w:rFonts w:hint="eastAsia" w:ascii="宋体" w:hAnsi="宋体"/>
          <w:b/>
          <w:color w:val="auto"/>
          <w:szCs w:val="21"/>
          <w:highlight w:val="none"/>
        </w:rPr>
        <w:t>：</w:t>
      </w:r>
    </w:p>
    <w:p w14:paraId="6D3CF8B7">
      <w:pPr>
        <w:spacing w:line="440" w:lineRule="exact"/>
        <w:rPr>
          <w:rFonts w:hint="eastAsia" w:ascii="宋体" w:hAnsi="宋体"/>
          <w:b/>
          <w:bCs/>
          <w:color w:val="auto"/>
          <w:szCs w:val="21"/>
          <w:highlight w:val="none"/>
        </w:rPr>
      </w:pPr>
      <w:r>
        <w:rPr>
          <w:rFonts w:hint="eastAsia" w:ascii="宋体" w:hAnsi="宋体"/>
          <w:bCs/>
          <w:color w:val="auto"/>
          <w:szCs w:val="21"/>
          <w:highlight w:val="none"/>
        </w:rPr>
        <w:t xml:space="preserve"> </w:t>
      </w:r>
      <w:r>
        <w:rPr>
          <w:rFonts w:hint="eastAsia" w:ascii="宋体" w:hAnsi="宋体"/>
          <w:b/>
          <w:bCs/>
          <w:color w:val="auto"/>
          <w:szCs w:val="21"/>
          <w:highlight w:val="none"/>
        </w:rPr>
        <w:t xml:space="preserve">JL/CX06-3                                 </w:t>
      </w:r>
      <w:r>
        <w:rPr>
          <w:b/>
          <w:color w:val="auto"/>
          <w:sz w:val="24"/>
          <w:szCs w:val="24"/>
          <w:highlight w:val="none"/>
        </w:rPr>
        <w:t xml:space="preserve"> </w:t>
      </w:r>
      <w:r>
        <w:rPr>
          <w:rFonts w:hint="eastAsia" w:eastAsia="楷体_GB2312"/>
          <w:b/>
          <w:color w:val="auto"/>
          <w:spacing w:val="26"/>
          <w:sz w:val="30"/>
          <w:szCs w:val="30"/>
          <w:highlight w:val="none"/>
        </w:rPr>
        <w:t>新疆维吾尔自治区疾病预防控制中心</w:t>
      </w:r>
    </w:p>
    <w:p w14:paraId="08CD0027">
      <w:pPr>
        <w:spacing w:line="440" w:lineRule="exact"/>
        <w:jc w:val="center"/>
        <w:rPr>
          <w:rFonts w:hint="eastAsia" w:ascii="Arial" w:hAnsi="Arial" w:cs="Arial"/>
          <w:b/>
          <w:color w:val="auto"/>
          <w:sz w:val="32"/>
          <w:szCs w:val="32"/>
          <w:highlight w:val="none"/>
        </w:rPr>
      </w:pPr>
      <w:r>
        <w:rPr>
          <w:rFonts w:hint="eastAsia" w:ascii="Arial" w:hAnsi="Arial" w:cs="Arial"/>
          <w:b/>
          <w:color w:val="auto"/>
          <w:sz w:val="32"/>
          <w:szCs w:val="32"/>
          <w:highlight w:val="none"/>
        </w:rPr>
        <w:t>供 应 商 评 价 表</w:t>
      </w:r>
    </w:p>
    <w:tbl>
      <w:tblPr>
        <w:tblStyle w:val="15"/>
        <w:tblW w:w="0" w:type="auto"/>
        <w:tblInd w:w="93" w:type="dxa"/>
        <w:tblLayout w:type="fixed"/>
        <w:tblCellMar>
          <w:top w:w="0" w:type="dxa"/>
          <w:left w:w="108" w:type="dxa"/>
          <w:bottom w:w="0" w:type="dxa"/>
          <w:right w:w="108" w:type="dxa"/>
        </w:tblCellMar>
      </w:tblPr>
      <w:tblGrid>
        <w:gridCol w:w="1095"/>
        <w:gridCol w:w="1047"/>
        <w:gridCol w:w="850"/>
        <w:gridCol w:w="1276"/>
        <w:gridCol w:w="850"/>
        <w:gridCol w:w="993"/>
        <w:gridCol w:w="1417"/>
        <w:gridCol w:w="1276"/>
        <w:gridCol w:w="1134"/>
        <w:gridCol w:w="1559"/>
        <w:gridCol w:w="1487"/>
        <w:gridCol w:w="1636"/>
        <w:gridCol w:w="15"/>
      </w:tblGrid>
      <w:tr w14:paraId="77B54B9A">
        <w:tblPrEx>
          <w:tblCellMar>
            <w:top w:w="0" w:type="dxa"/>
            <w:left w:w="108" w:type="dxa"/>
            <w:bottom w:w="0" w:type="dxa"/>
            <w:right w:w="108" w:type="dxa"/>
          </w:tblCellMar>
        </w:tblPrEx>
        <w:trPr>
          <w:gridAfter w:val="1"/>
          <w:wAfter w:w="15" w:type="dxa"/>
          <w:trHeight w:val="1067" w:hRule="atLeast"/>
        </w:trPr>
        <w:tc>
          <w:tcPr>
            <w:tcW w:w="2992" w:type="dxa"/>
            <w:gridSpan w:val="3"/>
            <w:tcBorders>
              <w:top w:val="single" w:color="auto" w:sz="4" w:space="0"/>
              <w:left w:val="single" w:color="auto" w:sz="4" w:space="0"/>
              <w:bottom w:val="single" w:color="auto" w:sz="4" w:space="0"/>
              <w:right w:val="single" w:color="000000" w:sz="4" w:space="0"/>
            </w:tcBorders>
            <w:noWrap w:val="0"/>
            <w:vAlign w:val="center"/>
          </w:tcPr>
          <w:p w14:paraId="2248FCF9">
            <w:pPr>
              <w:widowControl/>
              <w:spacing w:line="440" w:lineRule="exact"/>
              <w:ind w:firstLine="480"/>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中标单位名称</w:t>
            </w:r>
            <w:r>
              <w:rPr>
                <w:rFonts w:hint="eastAsia" w:ascii="宋体" w:hAnsi="宋体" w:cs="宋体"/>
                <w:bCs/>
                <w:color w:val="auto"/>
                <w:kern w:val="0"/>
                <w:sz w:val="24"/>
                <w:szCs w:val="24"/>
                <w:highlight w:val="none"/>
              </w:rPr>
              <w:tab/>
            </w:r>
          </w:p>
        </w:tc>
        <w:tc>
          <w:tcPr>
            <w:tcW w:w="4536" w:type="dxa"/>
            <w:gridSpan w:val="4"/>
            <w:tcBorders>
              <w:top w:val="single" w:color="auto" w:sz="4" w:space="0"/>
              <w:left w:val="single" w:color="auto" w:sz="4" w:space="0"/>
              <w:bottom w:val="single" w:color="auto" w:sz="4" w:space="0"/>
              <w:right w:val="single" w:color="auto" w:sz="4" w:space="0"/>
            </w:tcBorders>
            <w:noWrap w:val="0"/>
            <w:vAlign w:val="center"/>
          </w:tcPr>
          <w:p w14:paraId="4D521015">
            <w:pPr>
              <w:widowControl/>
              <w:spacing w:line="440" w:lineRule="exact"/>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w:t>
            </w:r>
          </w:p>
        </w:tc>
        <w:tc>
          <w:tcPr>
            <w:tcW w:w="2410" w:type="dxa"/>
            <w:gridSpan w:val="2"/>
            <w:tcBorders>
              <w:top w:val="single" w:color="auto" w:sz="4" w:space="0"/>
              <w:left w:val="nil"/>
              <w:bottom w:val="single" w:color="auto" w:sz="4" w:space="0"/>
              <w:right w:val="single" w:color="auto" w:sz="4" w:space="0"/>
            </w:tcBorders>
            <w:noWrap w:val="0"/>
            <w:vAlign w:val="center"/>
          </w:tcPr>
          <w:p w14:paraId="6CD5C312">
            <w:pPr>
              <w:widowControl/>
              <w:spacing w:line="440" w:lineRule="exact"/>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中标单位联系人</w:t>
            </w:r>
          </w:p>
          <w:p w14:paraId="43C2CB12">
            <w:pPr>
              <w:widowControl/>
              <w:spacing w:line="440" w:lineRule="exact"/>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及电话</w:t>
            </w:r>
          </w:p>
        </w:tc>
        <w:tc>
          <w:tcPr>
            <w:tcW w:w="4682" w:type="dxa"/>
            <w:gridSpan w:val="3"/>
            <w:tcBorders>
              <w:top w:val="single" w:color="auto" w:sz="4" w:space="0"/>
              <w:left w:val="nil"/>
              <w:bottom w:val="single" w:color="auto" w:sz="4" w:space="0"/>
              <w:right w:val="single" w:color="auto" w:sz="4" w:space="0"/>
            </w:tcBorders>
            <w:noWrap w:val="0"/>
            <w:vAlign w:val="center"/>
          </w:tcPr>
          <w:p w14:paraId="2D92D7D4">
            <w:pPr>
              <w:widowControl/>
              <w:spacing w:line="440" w:lineRule="exact"/>
              <w:jc w:val="center"/>
              <w:rPr>
                <w:rFonts w:hint="eastAsia" w:ascii="宋体" w:hAnsi="宋体" w:cs="宋体"/>
                <w:bCs/>
                <w:color w:val="auto"/>
                <w:kern w:val="0"/>
                <w:sz w:val="24"/>
                <w:szCs w:val="24"/>
                <w:highlight w:val="none"/>
              </w:rPr>
            </w:pPr>
          </w:p>
        </w:tc>
      </w:tr>
      <w:tr w14:paraId="328B7CD3">
        <w:tblPrEx>
          <w:tblCellMar>
            <w:top w:w="0" w:type="dxa"/>
            <w:left w:w="108" w:type="dxa"/>
            <w:bottom w:w="0" w:type="dxa"/>
            <w:right w:w="108" w:type="dxa"/>
          </w:tblCellMar>
        </w:tblPrEx>
        <w:trPr>
          <w:trHeight w:val="600" w:hRule="atLeast"/>
        </w:trPr>
        <w:tc>
          <w:tcPr>
            <w:tcW w:w="2992" w:type="dxa"/>
            <w:gridSpan w:val="3"/>
            <w:tcBorders>
              <w:top w:val="single" w:color="auto" w:sz="4" w:space="0"/>
              <w:left w:val="single" w:color="auto" w:sz="4" w:space="0"/>
              <w:bottom w:val="single" w:color="auto" w:sz="4" w:space="0"/>
              <w:right w:val="single" w:color="000000" w:sz="4" w:space="0"/>
            </w:tcBorders>
            <w:noWrap w:val="0"/>
            <w:vAlign w:val="center"/>
          </w:tcPr>
          <w:p w14:paraId="426D5510">
            <w:pPr>
              <w:widowControl/>
              <w:spacing w:line="440" w:lineRule="exact"/>
              <w:jc w:val="center"/>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ab/>
            </w:r>
            <w:r>
              <w:rPr>
                <w:rFonts w:hint="eastAsia" w:ascii="宋体" w:hAnsi="宋体" w:cs="宋体"/>
                <w:bCs/>
                <w:color w:val="auto"/>
                <w:kern w:val="0"/>
                <w:sz w:val="24"/>
                <w:szCs w:val="24"/>
                <w:highlight w:val="none"/>
              </w:rPr>
              <w:t>中标金额　</w:t>
            </w:r>
          </w:p>
        </w:tc>
        <w:tc>
          <w:tcPr>
            <w:tcW w:w="4536" w:type="dxa"/>
            <w:gridSpan w:val="4"/>
            <w:tcBorders>
              <w:top w:val="single" w:color="auto" w:sz="4" w:space="0"/>
              <w:left w:val="nil"/>
              <w:bottom w:val="single" w:color="auto" w:sz="4" w:space="0"/>
              <w:right w:val="single" w:color="auto" w:sz="4" w:space="0"/>
            </w:tcBorders>
            <w:noWrap w:val="0"/>
            <w:vAlign w:val="center"/>
          </w:tcPr>
          <w:p w14:paraId="7C430412">
            <w:pPr>
              <w:widowControl/>
              <w:spacing w:line="440" w:lineRule="exact"/>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 xml:space="preserve"> </w:t>
            </w:r>
          </w:p>
        </w:tc>
        <w:tc>
          <w:tcPr>
            <w:tcW w:w="2410" w:type="dxa"/>
            <w:gridSpan w:val="2"/>
            <w:tcBorders>
              <w:top w:val="single" w:color="auto" w:sz="4" w:space="0"/>
              <w:left w:val="nil"/>
              <w:bottom w:val="single" w:color="auto" w:sz="4" w:space="0"/>
              <w:right w:val="single" w:color="auto" w:sz="4" w:space="0"/>
            </w:tcBorders>
            <w:noWrap w:val="0"/>
            <w:vAlign w:val="center"/>
          </w:tcPr>
          <w:p w14:paraId="560DBE47">
            <w:pPr>
              <w:widowControl/>
              <w:spacing w:line="440" w:lineRule="exact"/>
              <w:jc w:val="center"/>
              <w:rPr>
                <w:rFonts w:hint="eastAsia" w:ascii="宋体" w:hAnsi="宋体" w:cs="宋体"/>
                <w:bCs/>
                <w:color w:val="auto"/>
                <w:kern w:val="0"/>
                <w:sz w:val="24"/>
                <w:szCs w:val="24"/>
                <w:highlight w:val="none"/>
              </w:rPr>
            </w:pPr>
            <w:r>
              <w:rPr>
                <w:rFonts w:hint="eastAsia" w:ascii="宋体" w:hAnsi="宋体" w:cs="宋体"/>
                <w:bCs/>
                <w:color w:val="auto"/>
                <w:kern w:val="0"/>
                <w:sz w:val="24"/>
                <w:szCs w:val="24"/>
                <w:highlight w:val="none"/>
              </w:rPr>
              <w:t>合  同  号</w:t>
            </w:r>
          </w:p>
        </w:tc>
        <w:tc>
          <w:tcPr>
            <w:tcW w:w="4697" w:type="dxa"/>
            <w:gridSpan w:val="4"/>
            <w:tcBorders>
              <w:top w:val="single" w:color="auto" w:sz="4" w:space="0"/>
              <w:left w:val="nil"/>
              <w:bottom w:val="single" w:color="auto" w:sz="4" w:space="0"/>
              <w:right w:val="single" w:color="auto" w:sz="4" w:space="0"/>
            </w:tcBorders>
            <w:noWrap w:val="0"/>
            <w:vAlign w:val="center"/>
          </w:tcPr>
          <w:p w14:paraId="1184575B">
            <w:pPr>
              <w:widowControl/>
              <w:spacing w:line="440" w:lineRule="exact"/>
              <w:jc w:val="center"/>
              <w:rPr>
                <w:rFonts w:hint="eastAsia" w:ascii="宋体" w:hAnsi="宋体" w:cs="宋体"/>
                <w:bCs/>
                <w:color w:val="auto"/>
                <w:kern w:val="0"/>
                <w:sz w:val="24"/>
                <w:szCs w:val="24"/>
                <w:highlight w:val="none"/>
              </w:rPr>
            </w:pPr>
          </w:p>
        </w:tc>
      </w:tr>
      <w:tr w14:paraId="5E8E0E4B">
        <w:tblPrEx>
          <w:tblCellMar>
            <w:top w:w="0" w:type="dxa"/>
            <w:left w:w="108" w:type="dxa"/>
            <w:bottom w:w="0" w:type="dxa"/>
            <w:right w:w="108" w:type="dxa"/>
          </w:tblCellMar>
        </w:tblPrEx>
        <w:trPr>
          <w:trHeight w:val="630" w:hRule="atLeast"/>
        </w:trPr>
        <w:tc>
          <w:tcPr>
            <w:tcW w:w="1095" w:type="dxa"/>
            <w:tcBorders>
              <w:top w:val="nil"/>
              <w:left w:val="single" w:color="auto" w:sz="4" w:space="0"/>
              <w:bottom w:val="single" w:color="auto" w:sz="4" w:space="0"/>
              <w:right w:val="single" w:color="auto" w:sz="4" w:space="0"/>
            </w:tcBorders>
            <w:noWrap w:val="0"/>
            <w:vAlign w:val="center"/>
          </w:tcPr>
          <w:p w14:paraId="24453BA7">
            <w:pPr>
              <w:widowControl/>
              <w:spacing w:line="44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申请/使用科室</w:t>
            </w:r>
          </w:p>
        </w:tc>
        <w:tc>
          <w:tcPr>
            <w:tcW w:w="1047" w:type="dxa"/>
            <w:tcBorders>
              <w:top w:val="nil"/>
              <w:left w:val="nil"/>
              <w:bottom w:val="single" w:color="auto" w:sz="4" w:space="0"/>
              <w:right w:val="single" w:color="auto" w:sz="4" w:space="0"/>
            </w:tcBorders>
            <w:noWrap w:val="0"/>
            <w:vAlign w:val="center"/>
          </w:tcPr>
          <w:p w14:paraId="42106D8E">
            <w:pPr>
              <w:widowControl/>
              <w:spacing w:line="44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供应货物名称</w:t>
            </w:r>
          </w:p>
        </w:tc>
        <w:tc>
          <w:tcPr>
            <w:tcW w:w="850" w:type="dxa"/>
            <w:tcBorders>
              <w:top w:val="nil"/>
              <w:left w:val="nil"/>
              <w:bottom w:val="single" w:color="auto" w:sz="4" w:space="0"/>
              <w:right w:val="single" w:color="auto" w:sz="4" w:space="0"/>
            </w:tcBorders>
            <w:noWrap w:val="0"/>
            <w:vAlign w:val="center"/>
          </w:tcPr>
          <w:p w14:paraId="57648024">
            <w:pPr>
              <w:widowControl/>
              <w:spacing w:line="44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数量</w:t>
            </w:r>
          </w:p>
        </w:tc>
        <w:tc>
          <w:tcPr>
            <w:tcW w:w="1276" w:type="dxa"/>
            <w:tcBorders>
              <w:top w:val="nil"/>
              <w:left w:val="nil"/>
              <w:bottom w:val="single" w:color="auto" w:sz="4" w:space="0"/>
              <w:right w:val="single" w:color="auto" w:sz="4" w:space="0"/>
            </w:tcBorders>
            <w:noWrap w:val="0"/>
            <w:vAlign w:val="center"/>
          </w:tcPr>
          <w:p w14:paraId="53098877">
            <w:pPr>
              <w:widowControl/>
              <w:spacing w:line="44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合同签</w:t>
            </w:r>
          </w:p>
          <w:p w14:paraId="0C0E542B">
            <w:pPr>
              <w:widowControl/>
              <w:spacing w:line="44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订时间</w:t>
            </w:r>
          </w:p>
        </w:tc>
        <w:tc>
          <w:tcPr>
            <w:tcW w:w="850" w:type="dxa"/>
            <w:tcBorders>
              <w:top w:val="nil"/>
              <w:left w:val="nil"/>
              <w:bottom w:val="single" w:color="auto" w:sz="4" w:space="0"/>
              <w:right w:val="single" w:color="auto" w:sz="4" w:space="0"/>
            </w:tcBorders>
            <w:noWrap w:val="0"/>
            <w:vAlign w:val="center"/>
          </w:tcPr>
          <w:p w14:paraId="55A05ECC">
            <w:pPr>
              <w:widowControl/>
              <w:spacing w:line="44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到 货 时 间</w:t>
            </w:r>
          </w:p>
        </w:tc>
        <w:tc>
          <w:tcPr>
            <w:tcW w:w="993" w:type="dxa"/>
            <w:tcBorders>
              <w:top w:val="nil"/>
              <w:left w:val="nil"/>
              <w:bottom w:val="single" w:color="auto" w:sz="4" w:space="0"/>
              <w:right w:val="single" w:color="auto" w:sz="4" w:space="0"/>
            </w:tcBorders>
            <w:noWrap w:val="0"/>
            <w:vAlign w:val="center"/>
          </w:tcPr>
          <w:p w14:paraId="1736D3D2">
            <w:pPr>
              <w:widowControl/>
              <w:spacing w:line="44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供货是否及时</w:t>
            </w:r>
          </w:p>
        </w:tc>
        <w:tc>
          <w:tcPr>
            <w:tcW w:w="1417" w:type="dxa"/>
            <w:tcBorders>
              <w:top w:val="nil"/>
              <w:left w:val="nil"/>
              <w:bottom w:val="single" w:color="auto" w:sz="4" w:space="0"/>
              <w:right w:val="single" w:color="auto" w:sz="4" w:space="0"/>
            </w:tcBorders>
            <w:noWrap w:val="0"/>
            <w:vAlign w:val="center"/>
          </w:tcPr>
          <w:p w14:paraId="6E93CF91">
            <w:pPr>
              <w:widowControl/>
              <w:spacing w:line="44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回执单是否及时反馈科室并办理固定资产相关手续</w:t>
            </w:r>
          </w:p>
        </w:tc>
        <w:tc>
          <w:tcPr>
            <w:tcW w:w="1276" w:type="dxa"/>
            <w:tcBorders>
              <w:top w:val="nil"/>
              <w:left w:val="nil"/>
              <w:bottom w:val="single" w:color="auto" w:sz="4" w:space="0"/>
              <w:right w:val="single" w:color="auto" w:sz="4" w:space="0"/>
            </w:tcBorders>
            <w:noWrap w:val="0"/>
            <w:vAlign w:val="center"/>
          </w:tcPr>
          <w:p w14:paraId="697ED86C">
            <w:pPr>
              <w:widowControl/>
              <w:spacing w:line="44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是否与合同/协议内容一致</w:t>
            </w:r>
          </w:p>
        </w:tc>
        <w:tc>
          <w:tcPr>
            <w:tcW w:w="1134" w:type="dxa"/>
            <w:tcBorders>
              <w:top w:val="nil"/>
              <w:left w:val="nil"/>
              <w:bottom w:val="single" w:color="auto" w:sz="4" w:space="0"/>
              <w:right w:val="single" w:color="auto" w:sz="4" w:space="0"/>
            </w:tcBorders>
            <w:noWrap w:val="0"/>
            <w:vAlign w:val="center"/>
          </w:tcPr>
          <w:p w14:paraId="28F9745C">
            <w:pPr>
              <w:widowControl/>
              <w:spacing w:line="44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培训时间</w:t>
            </w:r>
          </w:p>
        </w:tc>
        <w:tc>
          <w:tcPr>
            <w:tcW w:w="1559" w:type="dxa"/>
            <w:tcBorders>
              <w:top w:val="nil"/>
              <w:left w:val="nil"/>
              <w:bottom w:val="single" w:color="auto" w:sz="4" w:space="0"/>
              <w:right w:val="single" w:color="auto" w:sz="4" w:space="0"/>
            </w:tcBorders>
            <w:noWrap w:val="0"/>
            <w:vAlign w:val="center"/>
          </w:tcPr>
          <w:p w14:paraId="181E0297">
            <w:pPr>
              <w:widowControl/>
              <w:spacing w:line="44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售后服务（是否按照合同条款完成售后服务</w:t>
            </w:r>
          </w:p>
        </w:tc>
        <w:tc>
          <w:tcPr>
            <w:tcW w:w="1487" w:type="dxa"/>
            <w:tcBorders>
              <w:top w:val="nil"/>
              <w:left w:val="nil"/>
              <w:bottom w:val="single" w:color="auto" w:sz="4" w:space="0"/>
              <w:right w:val="single" w:color="auto" w:sz="4" w:space="0"/>
            </w:tcBorders>
            <w:noWrap w:val="0"/>
            <w:vAlign w:val="center"/>
          </w:tcPr>
          <w:p w14:paraId="6BD9DBE4">
            <w:pPr>
              <w:widowControl/>
              <w:spacing w:line="44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服务态度</w:t>
            </w:r>
          </w:p>
          <w:p w14:paraId="7C9CC54B">
            <w:pPr>
              <w:widowControl/>
              <w:spacing w:line="440" w:lineRule="exact"/>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（优、良、中、差）</w:t>
            </w:r>
          </w:p>
        </w:tc>
        <w:tc>
          <w:tcPr>
            <w:tcW w:w="1651" w:type="dxa"/>
            <w:gridSpan w:val="2"/>
            <w:tcBorders>
              <w:top w:val="single" w:color="auto" w:sz="4" w:space="0"/>
              <w:left w:val="nil"/>
              <w:bottom w:val="nil"/>
              <w:right w:val="single" w:color="auto" w:sz="4" w:space="0"/>
            </w:tcBorders>
            <w:noWrap w:val="0"/>
            <w:vAlign w:val="center"/>
          </w:tcPr>
          <w:p w14:paraId="717426DC">
            <w:pPr>
              <w:widowControl/>
              <w:spacing w:line="44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供货质量</w:t>
            </w:r>
          </w:p>
          <w:p w14:paraId="10B68CFB">
            <w:pPr>
              <w:widowControl/>
              <w:spacing w:line="440" w:lineRule="exact"/>
              <w:jc w:val="center"/>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（优、良、中、差）</w:t>
            </w:r>
          </w:p>
        </w:tc>
      </w:tr>
      <w:tr w14:paraId="313AEC4A">
        <w:tblPrEx>
          <w:tblCellMar>
            <w:top w:w="0" w:type="dxa"/>
            <w:left w:w="108" w:type="dxa"/>
            <w:bottom w:w="0" w:type="dxa"/>
            <w:right w:w="108" w:type="dxa"/>
          </w:tblCellMar>
        </w:tblPrEx>
        <w:trPr>
          <w:trHeight w:val="660" w:hRule="atLeast"/>
        </w:trPr>
        <w:tc>
          <w:tcPr>
            <w:tcW w:w="1095" w:type="dxa"/>
            <w:tcBorders>
              <w:top w:val="nil"/>
              <w:left w:val="single" w:color="auto" w:sz="4" w:space="0"/>
              <w:bottom w:val="single" w:color="auto" w:sz="4" w:space="0"/>
              <w:right w:val="single" w:color="auto" w:sz="4" w:space="0"/>
            </w:tcBorders>
            <w:noWrap w:val="0"/>
            <w:vAlign w:val="center"/>
          </w:tcPr>
          <w:p w14:paraId="256BA1F4">
            <w:pPr>
              <w:widowControl/>
              <w:spacing w:line="440" w:lineRule="exact"/>
              <w:jc w:val="center"/>
              <w:rPr>
                <w:rFonts w:hint="eastAsia" w:ascii="宋体" w:hAnsi="宋体" w:cs="宋体"/>
                <w:bCs/>
                <w:color w:val="auto"/>
                <w:kern w:val="0"/>
                <w:sz w:val="20"/>
                <w:szCs w:val="20"/>
                <w:highlight w:val="none"/>
              </w:rPr>
            </w:pPr>
          </w:p>
        </w:tc>
        <w:tc>
          <w:tcPr>
            <w:tcW w:w="1047" w:type="dxa"/>
            <w:tcBorders>
              <w:top w:val="nil"/>
              <w:left w:val="nil"/>
              <w:bottom w:val="single" w:color="auto" w:sz="4" w:space="0"/>
              <w:right w:val="single" w:color="auto" w:sz="4" w:space="0"/>
            </w:tcBorders>
            <w:noWrap w:val="0"/>
            <w:vAlign w:val="center"/>
          </w:tcPr>
          <w:p w14:paraId="17D8D402">
            <w:pPr>
              <w:widowControl/>
              <w:spacing w:line="440" w:lineRule="exact"/>
              <w:jc w:val="center"/>
              <w:rPr>
                <w:rFonts w:hint="eastAsia" w:ascii="宋体" w:hAnsi="宋体" w:cs="宋体"/>
                <w:bCs/>
                <w:color w:val="auto"/>
                <w:kern w:val="0"/>
                <w:sz w:val="20"/>
                <w:szCs w:val="20"/>
                <w:highlight w:val="none"/>
              </w:rPr>
            </w:pPr>
          </w:p>
        </w:tc>
        <w:tc>
          <w:tcPr>
            <w:tcW w:w="850" w:type="dxa"/>
            <w:tcBorders>
              <w:top w:val="nil"/>
              <w:left w:val="nil"/>
              <w:bottom w:val="single" w:color="auto" w:sz="4" w:space="0"/>
              <w:right w:val="single" w:color="auto" w:sz="4" w:space="0"/>
            </w:tcBorders>
            <w:noWrap w:val="0"/>
            <w:vAlign w:val="center"/>
          </w:tcPr>
          <w:p w14:paraId="3977492F">
            <w:pPr>
              <w:widowControl/>
              <w:spacing w:line="440" w:lineRule="exact"/>
              <w:jc w:val="center"/>
              <w:rPr>
                <w:rFonts w:hint="eastAsia" w:ascii="宋体" w:hAnsi="宋体" w:cs="宋体"/>
                <w:bCs/>
                <w:color w:val="auto"/>
                <w:kern w:val="0"/>
                <w:sz w:val="20"/>
                <w:szCs w:val="20"/>
                <w:highlight w:val="none"/>
              </w:rPr>
            </w:pPr>
          </w:p>
        </w:tc>
        <w:tc>
          <w:tcPr>
            <w:tcW w:w="1276" w:type="dxa"/>
            <w:tcBorders>
              <w:top w:val="nil"/>
              <w:left w:val="nil"/>
              <w:bottom w:val="single" w:color="auto" w:sz="4" w:space="0"/>
              <w:right w:val="single" w:color="auto" w:sz="4" w:space="0"/>
            </w:tcBorders>
            <w:noWrap w:val="0"/>
            <w:vAlign w:val="center"/>
          </w:tcPr>
          <w:p w14:paraId="4BADFED3">
            <w:pPr>
              <w:widowControl/>
              <w:spacing w:line="440" w:lineRule="exact"/>
              <w:jc w:val="center"/>
              <w:rPr>
                <w:rFonts w:hint="eastAsia" w:ascii="宋体" w:hAnsi="宋体" w:cs="宋体"/>
                <w:bCs/>
                <w:color w:val="auto"/>
                <w:kern w:val="0"/>
                <w:sz w:val="20"/>
                <w:szCs w:val="20"/>
                <w:highlight w:val="none"/>
              </w:rPr>
            </w:pPr>
          </w:p>
        </w:tc>
        <w:tc>
          <w:tcPr>
            <w:tcW w:w="850" w:type="dxa"/>
            <w:tcBorders>
              <w:top w:val="nil"/>
              <w:left w:val="nil"/>
              <w:bottom w:val="single" w:color="auto" w:sz="4" w:space="0"/>
              <w:right w:val="single" w:color="auto" w:sz="4" w:space="0"/>
            </w:tcBorders>
            <w:noWrap w:val="0"/>
            <w:vAlign w:val="center"/>
          </w:tcPr>
          <w:p w14:paraId="27256A9A">
            <w:pPr>
              <w:widowControl/>
              <w:spacing w:line="440" w:lineRule="exact"/>
              <w:jc w:val="center"/>
              <w:rPr>
                <w:rFonts w:ascii="宋体" w:hAnsi="宋体" w:cs="宋体"/>
                <w:bCs/>
                <w:color w:val="auto"/>
                <w:kern w:val="0"/>
                <w:sz w:val="20"/>
                <w:szCs w:val="20"/>
                <w:highlight w:val="none"/>
              </w:rPr>
            </w:pPr>
          </w:p>
        </w:tc>
        <w:tc>
          <w:tcPr>
            <w:tcW w:w="993" w:type="dxa"/>
            <w:tcBorders>
              <w:top w:val="nil"/>
              <w:left w:val="nil"/>
              <w:bottom w:val="single" w:color="auto" w:sz="4" w:space="0"/>
              <w:right w:val="single" w:color="auto" w:sz="4" w:space="0"/>
            </w:tcBorders>
            <w:noWrap w:val="0"/>
            <w:vAlign w:val="center"/>
          </w:tcPr>
          <w:p w14:paraId="179EA2DD">
            <w:pPr>
              <w:widowControl/>
              <w:spacing w:line="440" w:lineRule="exact"/>
              <w:jc w:val="center"/>
              <w:rPr>
                <w:rFonts w:ascii="宋体" w:hAnsi="宋体" w:cs="宋体"/>
                <w:bCs/>
                <w:color w:val="auto"/>
                <w:kern w:val="0"/>
                <w:sz w:val="20"/>
                <w:szCs w:val="20"/>
                <w:highlight w:val="none"/>
              </w:rPr>
            </w:pPr>
          </w:p>
        </w:tc>
        <w:tc>
          <w:tcPr>
            <w:tcW w:w="1417" w:type="dxa"/>
            <w:tcBorders>
              <w:top w:val="nil"/>
              <w:left w:val="nil"/>
              <w:bottom w:val="single" w:color="auto" w:sz="4" w:space="0"/>
              <w:right w:val="single" w:color="auto" w:sz="4" w:space="0"/>
            </w:tcBorders>
            <w:noWrap w:val="0"/>
            <w:vAlign w:val="center"/>
          </w:tcPr>
          <w:p w14:paraId="14ACB2A8">
            <w:pPr>
              <w:widowControl/>
              <w:spacing w:line="440" w:lineRule="exact"/>
              <w:jc w:val="center"/>
              <w:rPr>
                <w:rFonts w:hint="eastAsia" w:ascii="宋体" w:hAnsi="宋体" w:cs="宋体"/>
                <w:bCs/>
                <w:color w:val="auto"/>
                <w:kern w:val="0"/>
                <w:sz w:val="20"/>
                <w:szCs w:val="20"/>
                <w:highlight w:val="none"/>
              </w:rPr>
            </w:pPr>
          </w:p>
        </w:tc>
        <w:tc>
          <w:tcPr>
            <w:tcW w:w="1276" w:type="dxa"/>
            <w:tcBorders>
              <w:top w:val="nil"/>
              <w:left w:val="nil"/>
              <w:bottom w:val="single" w:color="auto" w:sz="4" w:space="0"/>
              <w:right w:val="single" w:color="auto" w:sz="4" w:space="0"/>
            </w:tcBorders>
            <w:noWrap w:val="0"/>
            <w:vAlign w:val="center"/>
          </w:tcPr>
          <w:p w14:paraId="68246EFB">
            <w:pPr>
              <w:widowControl/>
              <w:spacing w:line="440" w:lineRule="exact"/>
              <w:jc w:val="center"/>
              <w:rPr>
                <w:rFonts w:hint="eastAsia" w:ascii="宋体" w:hAnsi="宋体" w:cs="宋体"/>
                <w:bCs/>
                <w:color w:val="auto"/>
                <w:kern w:val="0"/>
                <w:sz w:val="20"/>
                <w:szCs w:val="20"/>
                <w:highlight w:val="none"/>
              </w:rPr>
            </w:pPr>
          </w:p>
        </w:tc>
        <w:tc>
          <w:tcPr>
            <w:tcW w:w="1134" w:type="dxa"/>
            <w:tcBorders>
              <w:top w:val="nil"/>
              <w:left w:val="nil"/>
              <w:bottom w:val="single" w:color="auto" w:sz="4" w:space="0"/>
              <w:right w:val="single" w:color="auto" w:sz="4" w:space="0"/>
            </w:tcBorders>
            <w:noWrap w:val="0"/>
            <w:vAlign w:val="center"/>
          </w:tcPr>
          <w:p w14:paraId="18049D79">
            <w:pPr>
              <w:widowControl/>
              <w:spacing w:line="440" w:lineRule="exact"/>
              <w:jc w:val="center"/>
              <w:rPr>
                <w:rFonts w:ascii="宋体" w:hAnsi="宋体" w:cs="宋体"/>
                <w:bCs/>
                <w:color w:val="auto"/>
                <w:kern w:val="0"/>
                <w:sz w:val="20"/>
                <w:szCs w:val="20"/>
                <w:highlight w:val="none"/>
              </w:rPr>
            </w:pPr>
            <w:r>
              <w:rPr>
                <w:rFonts w:hint="eastAsia" w:ascii="宋体" w:hAnsi="宋体" w:cs="宋体"/>
                <w:bCs/>
                <w:color w:val="auto"/>
                <w:kern w:val="0"/>
                <w:sz w:val="20"/>
                <w:szCs w:val="20"/>
                <w:highlight w:val="none"/>
              </w:rPr>
              <w:t>　</w:t>
            </w:r>
          </w:p>
        </w:tc>
        <w:tc>
          <w:tcPr>
            <w:tcW w:w="1559" w:type="dxa"/>
            <w:tcBorders>
              <w:top w:val="nil"/>
              <w:left w:val="nil"/>
              <w:bottom w:val="single" w:color="auto" w:sz="4" w:space="0"/>
              <w:right w:val="single" w:color="auto" w:sz="4" w:space="0"/>
            </w:tcBorders>
            <w:noWrap w:val="0"/>
            <w:vAlign w:val="center"/>
          </w:tcPr>
          <w:p w14:paraId="17B4625E">
            <w:pPr>
              <w:widowControl/>
              <w:spacing w:line="440" w:lineRule="exact"/>
              <w:jc w:val="center"/>
              <w:rPr>
                <w:rFonts w:ascii="宋体" w:hAnsi="宋体" w:cs="宋体"/>
                <w:bCs/>
                <w:color w:val="auto"/>
                <w:kern w:val="0"/>
                <w:sz w:val="20"/>
                <w:szCs w:val="20"/>
                <w:highlight w:val="none"/>
              </w:rPr>
            </w:pPr>
          </w:p>
        </w:tc>
        <w:tc>
          <w:tcPr>
            <w:tcW w:w="1487" w:type="dxa"/>
            <w:tcBorders>
              <w:top w:val="nil"/>
              <w:left w:val="nil"/>
              <w:bottom w:val="single" w:color="auto" w:sz="4" w:space="0"/>
              <w:right w:val="single" w:color="auto" w:sz="4" w:space="0"/>
            </w:tcBorders>
            <w:noWrap w:val="0"/>
            <w:vAlign w:val="center"/>
          </w:tcPr>
          <w:p w14:paraId="2948F739">
            <w:pPr>
              <w:widowControl/>
              <w:spacing w:line="440" w:lineRule="exact"/>
              <w:jc w:val="center"/>
              <w:rPr>
                <w:rFonts w:ascii="宋体" w:hAnsi="宋体" w:cs="宋体"/>
                <w:bCs/>
                <w:color w:val="auto"/>
                <w:kern w:val="0"/>
                <w:sz w:val="20"/>
                <w:szCs w:val="20"/>
                <w:highlight w:val="none"/>
              </w:rPr>
            </w:pPr>
          </w:p>
        </w:tc>
        <w:tc>
          <w:tcPr>
            <w:tcW w:w="1651" w:type="dxa"/>
            <w:gridSpan w:val="2"/>
            <w:tcBorders>
              <w:top w:val="single" w:color="auto" w:sz="4" w:space="0"/>
              <w:left w:val="nil"/>
              <w:bottom w:val="single" w:color="auto" w:sz="4" w:space="0"/>
              <w:right w:val="single" w:color="auto" w:sz="4" w:space="0"/>
            </w:tcBorders>
            <w:noWrap w:val="0"/>
            <w:vAlign w:val="center"/>
          </w:tcPr>
          <w:p w14:paraId="2CC9288A">
            <w:pPr>
              <w:widowControl/>
              <w:spacing w:line="440" w:lineRule="exact"/>
              <w:jc w:val="center"/>
              <w:rPr>
                <w:rFonts w:hint="eastAsia" w:ascii="宋体" w:hAnsi="宋体" w:cs="宋体"/>
                <w:bCs/>
                <w:color w:val="auto"/>
                <w:kern w:val="0"/>
                <w:sz w:val="20"/>
                <w:szCs w:val="20"/>
                <w:highlight w:val="none"/>
              </w:rPr>
            </w:pPr>
          </w:p>
        </w:tc>
      </w:tr>
      <w:tr w14:paraId="5B59A0A4">
        <w:tblPrEx>
          <w:tblCellMar>
            <w:top w:w="0" w:type="dxa"/>
            <w:left w:w="108" w:type="dxa"/>
            <w:bottom w:w="0" w:type="dxa"/>
            <w:right w:w="108" w:type="dxa"/>
          </w:tblCellMar>
        </w:tblPrEx>
        <w:trPr>
          <w:trHeight w:val="660" w:hRule="atLeast"/>
        </w:trPr>
        <w:tc>
          <w:tcPr>
            <w:tcW w:w="1095" w:type="dxa"/>
            <w:tcBorders>
              <w:top w:val="single" w:color="auto" w:sz="4" w:space="0"/>
              <w:left w:val="single" w:color="auto" w:sz="4" w:space="0"/>
              <w:bottom w:val="single" w:color="auto" w:sz="4" w:space="0"/>
              <w:right w:val="single" w:color="auto" w:sz="4" w:space="0"/>
            </w:tcBorders>
            <w:noWrap w:val="0"/>
            <w:vAlign w:val="center"/>
          </w:tcPr>
          <w:p w14:paraId="290EBD63">
            <w:pPr>
              <w:widowControl/>
              <w:spacing w:line="440" w:lineRule="exact"/>
              <w:jc w:val="center"/>
              <w:rPr>
                <w:rFonts w:hint="eastAsia" w:ascii="宋体" w:hAnsi="宋体" w:cs="宋体"/>
                <w:bCs/>
                <w:color w:val="auto"/>
                <w:kern w:val="0"/>
                <w:sz w:val="20"/>
                <w:szCs w:val="20"/>
                <w:highlight w:val="none"/>
              </w:rPr>
            </w:pPr>
          </w:p>
        </w:tc>
        <w:tc>
          <w:tcPr>
            <w:tcW w:w="1047" w:type="dxa"/>
            <w:tcBorders>
              <w:top w:val="single" w:color="auto" w:sz="4" w:space="0"/>
              <w:left w:val="nil"/>
              <w:bottom w:val="single" w:color="auto" w:sz="4" w:space="0"/>
              <w:right w:val="single" w:color="auto" w:sz="4" w:space="0"/>
            </w:tcBorders>
            <w:noWrap w:val="0"/>
            <w:vAlign w:val="center"/>
          </w:tcPr>
          <w:p w14:paraId="100A4F2C">
            <w:pPr>
              <w:widowControl/>
              <w:spacing w:line="440" w:lineRule="exact"/>
              <w:jc w:val="center"/>
              <w:rPr>
                <w:rFonts w:hint="eastAsia" w:ascii="宋体" w:hAnsi="宋体" w:cs="宋体"/>
                <w:bCs/>
                <w:color w:val="auto"/>
                <w:kern w:val="0"/>
                <w:sz w:val="20"/>
                <w:szCs w:val="20"/>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23E2CFC9">
            <w:pPr>
              <w:widowControl/>
              <w:spacing w:line="440" w:lineRule="exact"/>
              <w:jc w:val="center"/>
              <w:rPr>
                <w:rFonts w:hint="eastAsia" w:ascii="宋体" w:hAnsi="宋体" w:cs="宋体"/>
                <w:bCs/>
                <w:color w:val="auto"/>
                <w:kern w:val="0"/>
                <w:sz w:val="20"/>
                <w:szCs w:val="20"/>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649D1EC0">
            <w:pPr>
              <w:widowControl/>
              <w:spacing w:line="440" w:lineRule="exact"/>
              <w:jc w:val="center"/>
              <w:rPr>
                <w:rFonts w:hint="eastAsia" w:ascii="宋体" w:hAnsi="宋体" w:cs="宋体"/>
                <w:bCs/>
                <w:color w:val="auto"/>
                <w:kern w:val="0"/>
                <w:sz w:val="20"/>
                <w:szCs w:val="20"/>
                <w:highlight w:val="none"/>
              </w:rPr>
            </w:pPr>
          </w:p>
        </w:tc>
        <w:tc>
          <w:tcPr>
            <w:tcW w:w="850" w:type="dxa"/>
            <w:tcBorders>
              <w:top w:val="single" w:color="auto" w:sz="4" w:space="0"/>
              <w:left w:val="nil"/>
              <w:bottom w:val="single" w:color="auto" w:sz="4" w:space="0"/>
              <w:right w:val="single" w:color="auto" w:sz="4" w:space="0"/>
            </w:tcBorders>
            <w:noWrap w:val="0"/>
            <w:vAlign w:val="center"/>
          </w:tcPr>
          <w:p w14:paraId="09281A79">
            <w:pPr>
              <w:widowControl/>
              <w:spacing w:line="440" w:lineRule="exact"/>
              <w:jc w:val="center"/>
              <w:rPr>
                <w:rFonts w:hint="eastAsia" w:ascii="宋体" w:hAnsi="宋体" w:cs="宋体"/>
                <w:bCs/>
                <w:color w:val="auto"/>
                <w:kern w:val="0"/>
                <w:sz w:val="20"/>
                <w:szCs w:val="20"/>
                <w:highlight w:val="none"/>
              </w:rPr>
            </w:pPr>
          </w:p>
        </w:tc>
        <w:tc>
          <w:tcPr>
            <w:tcW w:w="993" w:type="dxa"/>
            <w:tcBorders>
              <w:top w:val="single" w:color="auto" w:sz="4" w:space="0"/>
              <w:left w:val="nil"/>
              <w:bottom w:val="single" w:color="auto" w:sz="4" w:space="0"/>
              <w:right w:val="single" w:color="auto" w:sz="4" w:space="0"/>
            </w:tcBorders>
            <w:noWrap w:val="0"/>
            <w:vAlign w:val="center"/>
          </w:tcPr>
          <w:p w14:paraId="623F3D83">
            <w:pPr>
              <w:widowControl/>
              <w:spacing w:line="440" w:lineRule="exact"/>
              <w:jc w:val="center"/>
              <w:rPr>
                <w:rFonts w:hint="eastAsia" w:ascii="宋体" w:hAnsi="宋体" w:cs="宋体"/>
                <w:bCs/>
                <w:color w:val="auto"/>
                <w:kern w:val="0"/>
                <w:sz w:val="20"/>
                <w:szCs w:val="20"/>
                <w:highlight w:val="none"/>
              </w:rPr>
            </w:pPr>
          </w:p>
        </w:tc>
        <w:tc>
          <w:tcPr>
            <w:tcW w:w="1417" w:type="dxa"/>
            <w:tcBorders>
              <w:top w:val="single" w:color="auto" w:sz="4" w:space="0"/>
              <w:left w:val="nil"/>
              <w:bottom w:val="single" w:color="auto" w:sz="4" w:space="0"/>
              <w:right w:val="single" w:color="auto" w:sz="4" w:space="0"/>
            </w:tcBorders>
            <w:noWrap w:val="0"/>
            <w:vAlign w:val="center"/>
          </w:tcPr>
          <w:p w14:paraId="17149A1F">
            <w:pPr>
              <w:widowControl/>
              <w:spacing w:line="440" w:lineRule="exact"/>
              <w:jc w:val="center"/>
              <w:rPr>
                <w:rFonts w:hint="eastAsia" w:ascii="宋体" w:hAnsi="宋体" w:cs="宋体"/>
                <w:bCs/>
                <w:color w:val="auto"/>
                <w:kern w:val="0"/>
                <w:sz w:val="20"/>
                <w:szCs w:val="20"/>
                <w:highlight w:val="none"/>
              </w:rPr>
            </w:pPr>
          </w:p>
        </w:tc>
        <w:tc>
          <w:tcPr>
            <w:tcW w:w="1276" w:type="dxa"/>
            <w:tcBorders>
              <w:top w:val="single" w:color="auto" w:sz="4" w:space="0"/>
              <w:left w:val="nil"/>
              <w:bottom w:val="single" w:color="auto" w:sz="4" w:space="0"/>
              <w:right w:val="single" w:color="auto" w:sz="4" w:space="0"/>
            </w:tcBorders>
            <w:noWrap w:val="0"/>
            <w:vAlign w:val="center"/>
          </w:tcPr>
          <w:p w14:paraId="5AFC3E63">
            <w:pPr>
              <w:widowControl/>
              <w:spacing w:line="440" w:lineRule="exact"/>
              <w:jc w:val="center"/>
              <w:rPr>
                <w:rFonts w:hint="eastAsia" w:ascii="宋体" w:hAnsi="宋体" w:cs="宋体"/>
                <w:bCs/>
                <w:color w:val="auto"/>
                <w:kern w:val="0"/>
                <w:sz w:val="20"/>
                <w:szCs w:val="20"/>
                <w:highlight w:val="none"/>
              </w:rPr>
            </w:pPr>
          </w:p>
        </w:tc>
        <w:tc>
          <w:tcPr>
            <w:tcW w:w="1134" w:type="dxa"/>
            <w:tcBorders>
              <w:top w:val="single" w:color="auto" w:sz="4" w:space="0"/>
              <w:left w:val="nil"/>
              <w:bottom w:val="single" w:color="auto" w:sz="4" w:space="0"/>
              <w:right w:val="single" w:color="auto" w:sz="4" w:space="0"/>
            </w:tcBorders>
            <w:noWrap w:val="0"/>
            <w:vAlign w:val="center"/>
          </w:tcPr>
          <w:p w14:paraId="706769E3">
            <w:pPr>
              <w:widowControl/>
              <w:spacing w:line="440" w:lineRule="exact"/>
              <w:jc w:val="center"/>
              <w:rPr>
                <w:rFonts w:hint="eastAsia" w:ascii="宋体" w:hAnsi="宋体" w:cs="宋体"/>
                <w:bCs/>
                <w:color w:val="auto"/>
                <w:kern w:val="0"/>
                <w:sz w:val="20"/>
                <w:szCs w:val="20"/>
                <w:highlight w:val="none"/>
              </w:rPr>
            </w:pPr>
          </w:p>
        </w:tc>
        <w:tc>
          <w:tcPr>
            <w:tcW w:w="1559" w:type="dxa"/>
            <w:tcBorders>
              <w:top w:val="single" w:color="auto" w:sz="4" w:space="0"/>
              <w:left w:val="nil"/>
              <w:bottom w:val="single" w:color="auto" w:sz="4" w:space="0"/>
              <w:right w:val="single" w:color="auto" w:sz="4" w:space="0"/>
            </w:tcBorders>
            <w:noWrap w:val="0"/>
            <w:vAlign w:val="center"/>
          </w:tcPr>
          <w:p w14:paraId="103F03DB">
            <w:pPr>
              <w:widowControl/>
              <w:spacing w:line="440" w:lineRule="exact"/>
              <w:jc w:val="center"/>
              <w:rPr>
                <w:rFonts w:hint="eastAsia" w:ascii="宋体" w:hAnsi="宋体" w:cs="宋体"/>
                <w:bCs/>
                <w:color w:val="auto"/>
                <w:kern w:val="0"/>
                <w:sz w:val="20"/>
                <w:szCs w:val="20"/>
                <w:highlight w:val="none"/>
              </w:rPr>
            </w:pPr>
          </w:p>
        </w:tc>
        <w:tc>
          <w:tcPr>
            <w:tcW w:w="1487" w:type="dxa"/>
            <w:tcBorders>
              <w:top w:val="single" w:color="auto" w:sz="4" w:space="0"/>
              <w:left w:val="nil"/>
              <w:bottom w:val="single" w:color="auto" w:sz="4" w:space="0"/>
              <w:right w:val="single" w:color="auto" w:sz="4" w:space="0"/>
            </w:tcBorders>
            <w:noWrap w:val="0"/>
            <w:vAlign w:val="center"/>
          </w:tcPr>
          <w:p w14:paraId="2727F9CB">
            <w:pPr>
              <w:widowControl/>
              <w:spacing w:line="440" w:lineRule="exact"/>
              <w:jc w:val="center"/>
              <w:rPr>
                <w:rFonts w:hint="eastAsia" w:ascii="宋体" w:hAnsi="宋体" w:cs="宋体"/>
                <w:bCs/>
                <w:color w:val="auto"/>
                <w:kern w:val="0"/>
                <w:sz w:val="20"/>
                <w:szCs w:val="20"/>
                <w:highlight w:val="none"/>
              </w:rPr>
            </w:pPr>
          </w:p>
        </w:tc>
        <w:tc>
          <w:tcPr>
            <w:tcW w:w="1651" w:type="dxa"/>
            <w:gridSpan w:val="2"/>
            <w:tcBorders>
              <w:top w:val="single" w:color="auto" w:sz="4" w:space="0"/>
              <w:left w:val="nil"/>
              <w:bottom w:val="single" w:color="auto" w:sz="4" w:space="0"/>
              <w:right w:val="single" w:color="auto" w:sz="4" w:space="0"/>
            </w:tcBorders>
            <w:noWrap w:val="0"/>
            <w:vAlign w:val="center"/>
          </w:tcPr>
          <w:p w14:paraId="5483A3D8">
            <w:pPr>
              <w:widowControl/>
              <w:spacing w:line="440" w:lineRule="exact"/>
              <w:jc w:val="center"/>
              <w:rPr>
                <w:rFonts w:hint="eastAsia" w:ascii="宋体" w:hAnsi="宋体" w:cs="宋体"/>
                <w:bCs/>
                <w:color w:val="auto"/>
                <w:kern w:val="0"/>
                <w:sz w:val="20"/>
                <w:szCs w:val="20"/>
                <w:highlight w:val="none"/>
              </w:rPr>
            </w:pPr>
          </w:p>
        </w:tc>
      </w:tr>
      <w:tr w14:paraId="403F53EC">
        <w:tblPrEx>
          <w:tblCellMar>
            <w:top w:w="0" w:type="dxa"/>
            <w:left w:w="108" w:type="dxa"/>
            <w:bottom w:w="0" w:type="dxa"/>
            <w:right w:w="108" w:type="dxa"/>
          </w:tblCellMar>
        </w:tblPrEx>
        <w:trPr>
          <w:trHeight w:val="1494" w:hRule="atLeast"/>
        </w:trPr>
        <w:tc>
          <w:tcPr>
            <w:tcW w:w="14635" w:type="dxa"/>
            <w:gridSpan w:val="13"/>
            <w:tcBorders>
              <w:top w:val="single" w:color="auto" w:sz="4" w:space="0"/>
              <w:left w:val="single" w:color="auto" w:sz="4" w:space="0"/>
              <w:bottom w:val="single" w:color="auto" w:sz="4" w:space="0"/>
              <w:right w:val="single" w:color="auto" w:sz="4" w:space="0"/>
            </w:tcBorders>
            <w:noWrap w:val="0"/>
            <w:vAlign w:val="top"/>
          </w:tcPr>
          <w:p w14:paraId="2F82460C">
            <w:pPr>
              <w:widowControl/>
              <w:spacing w:line="440" w:lineRule="exact"/>
              <w:rPr>
                <w:rFonts w:hint="eastAsia" w:ascii="宋体" w:hAnsi="宋体" w:cs="宋体"/>
                <w:bCs/>
                <w:color w:val="auto"/>
                <w:kern w:val="0"/>
                <w:sz w:val="20"/>
                <w:szCs w:val="20"/>
                <w:highlight w:val="none"/>
              </w:rPr>
            </w:pPr>
            <w:r>
              <w:rPr>
                <w:rFonts w:hint="eastAsia" w:ascii="宋体" w:hAnsi="宋体" w:cs="宋体"/>
                <w:bCs/>
                <w:color w:val="auto"/>
                <w:kern w:val="0"/>
                <w:szCs w:val="21"/>
                <w:highlight w:val="none"/>
              </w:rPr>
              <w:t>科室意见</w:t>
            </w:r>
            <w:r>
              <w:rPr>
                <w:rFonts w:hint="eastAsia" w:ascii="宋体" w:hAnsi="宋体" w:cs="宋体"/>
                <w:bCs/>
                <w:color w:val="auto"/>
                <w:kern w:val="0"/>
                <w:sz w:val="20"/>
                <w:szCs w:val="20"/>
                <w:highlight w:val="none"/>
              </w:rPr>
              <w:t>：</w:t>
            </w:r>
          </w:p>
          <w:p w14:paraId="2EA2050F">
            <w:pPr>
              <w:widowControl/>
              <w:spacing w:line="440" w:lineRule="exact"/>
              <w:rPr>
                <w:rFonts w:hint="eastAsia" w:ascii="宋体" w:hAnsi="宋体" w:cs="宋体"/>
                <w:bCs/>
                <w:color w:val="auto"/>
                <w:kern w:val="0"/>
                <w:sz w:val="20"/>
                <w:szCs w:val="20"/>
                <w:highlight w:val="none"/>
              </w:rPr>
            </w:pPr>
            <w:r>
              <w:rPr>
                <w:rFonts w:hint="eastAsia" w:ascii="宋体" w:hAnsi="宋体" w:cs="宋体"/>
                <w:bCs/>
                <w:color w:val="auto"/>
                <w:kern w:val="0"/>
                <w:sz w:val="20"/>
                <w:szCs w:val="20"/>
                <w:highlight w:val="none"/>
              </w:rPr>
              <w:t xml:space="preserve">                                     </w:t>
            </w:r>
          </w:p>
          <w:p w14:paraId="45A9C96C">
            <w:pPr>
              <w:widowControl/>
              <w:spacing w:line="440" w:lineRule="exact"/>
              <w:rPr>
                <w:rFonts w:hint="eastAsia" w:ascii="宋体" w:hAnsi="宋体" w:cs="宋体"/>
                <w:bCs/>
                <w:color w:val="auto"/>
                <w:kern w:val="0"/>
                <w:sz w:val="20"/>
                <w:szCs w:val="20"/>
                <w:highlight w:val="none"/>
              </w:rPr>
            </w:pPr>
            <w:r>
              <w:rPr>
                <w:rFonts w:hint="eastAsia" w:ascii="宋体" w:hAnsi="宋体" w:cs="宋体"/>
                <w:bCs/>
                <w:color w:val="auto"/>
                <w:kern w:val="0"/>
                <w:szCs w:val="21"/>
                <w:highlight w:val="none"/>
              </w:rPr>
              <w:t xml:space="preserve">是否同意支付货款：                        </w:t>
            </w:r>
            <w:r>
              <w:rPr>
                <w:rFonts w:hint="eastAsia" w:ascii="宋体" w:hAnsi="宋体" w:cs="宋体"/>
                <w:bCs/>
                <w:color w:val="auto"/>
                <w:kern w:val="0"/>
                <w:sz w:val="20"/>
                <w:szCs w:val="20"/>
                <w:highlight w:val="none"/>
              </w:rPr>
              <w:t xml:space="preserve">    经办人：                            科室主任：                日期                               </w:t>
            </w:r>
          </w:p>
        </w:tc>
      </w:tr>
    </w:tbl>
    <w:p w14:paraId="79914911">
      <w:pPr>
        <w:widowControl/>
        <w:adjustRightInd w:val="0"/>
        <w:snapToGrid w:val="0"/>
        <w:spacing w:after="150" w:line="440" w:lineRule="exact"/>
        <w:jc w:val="left"/>
        <w:rPr>
          <w:color w:val="auto"/>
          <w:szCs w:val="24"/>
          <w:highlight w:val="none"/>
        </w:rPr>
      </w:pPr>
      <w:r>
        <w:rPr>
          <w:rFonts w:hint="eastAsia"/>
          <w:color w:val="auto"/>
          <w:szCs w:val="24"/>
          <w:highlight w:val="none"/>
        </w:rPr>
        <w:t>备注：请使用科室认真负责填写该表1、</w:t>
      </w:r>
      <w:r>
        <w:rPr>
          <w:rFonts w:hint="eastAsia" w:ascii="宋体" w:hAnsi="宋体" w:cs="宋体"/>
          <w:bCs/>
          <w:color w:val="auto"/>
          <w:kern w:val="0"/>
          <w:sz w:val="20"/>
          <w:szCs w:val="20"/>
          <w:highlight w:val="none"/>
        </w:rPr>
        <w:t>培训时间：</w:t>
      </w:r>
      <w:r>
        <w:rPr>
          <w:rFonts w:hint="eastAsia"/>
          <w:color w:val="auto"/>
          <w:szCs w:val="24"/>
          <w:highlight w:val="none"/>
        </w:rPr>
        <w:t>合同中如有培训项目，请注明具体培训时间及次数；2、本表作为支付质量保证金的证明资料，同时作为供应商评价记录。</w:t>
      </w:r>
    </w:p>
    <w:p w14:paraId="74932517">
      <w:pPr>
        <w:widowControl/>
        <w:adjustRightInd w:val="0"/>
        <w:snapToGrid w:val="0"/>
        <w:spacing w:line="240" w:lineRule="auto"/>
        <w:jc w:val="left"/>
        <w:rPr>
          <w:rFonts w:hint="eastAsia" w:ascii="宋体" w:hAnsi="宋体"/>
          <w:b/>
          <w:bCs/>
          <w:color w:val="auto"/>
          <w:szCs w:val="21"/>
          <w:highlight w:val="none"/>
        </w:rPr>
      </w:pPr>
    </w:p>
    <w:p w14:paraId="1857DFE7">
      <w:pPr>
        <w:widowControl/>
        <w:adjustRightInd w:val="0"/>
        <w:snapToGrid w:val="0"/>
        <w:spacing w:after="150" w:line="440" w:lineRule="exact"/>
        <w:jc w:val="left"/>
        <w:rPr>
          <w:rFonts w:hint="eastAsia" w:ascii="宋体" w:hAnsi="宋体"/>
          <w:b/>
          <w:bCs/>
          <w:color w:val="auto"/>
          <w:szCs w:val="21"/>
          <w:highlight w:val="none"/>
        </w:rPr>
      </w:pPr>
      <w:r>
        <w:rPr>
          <w:rFonts w:hint="eastAsia" w:ascii="宋体" w:hAnsi="宋体"/>
          <w:b/>
          <w:bCs/>
          <w:color w:val="auto"/>
          <w:szCs w:val="21"/>
          <w:highlight w:val="none"/>
        </w:rPr>
        <w:t>附件</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w:t>
      </w:r>
    </w:p>
    <w:p w14:paraId="2154D3AC">
      <w:pPr>
        <w:widowControl/>
        <w:shd w:val="clear" w:color="auto" w:fill="FFFFFF"/>
        <w:adjustRightInd w:val="0"/>
        <w:snapToGrid w:val="0"/>
        <w:spacing w:line="440" w:lineRule="exact"/>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 xml:space="preserve"> </w:t>
      </w:r>
      <w:r>
        <w:rPr>
          <w:rFonts w:hint="eastAsia" w:ascii="仿宋_GB2312" w:hAnsi="宋体" w:eastAsia="仿宋_GB2312" w:cs="宋体"/>
          <w:color w:val="auto"/>
          <w:kern w:val="0"/>
          <w:sz w:val="24"/>
          <w:highlight w:val="none"/>
          <w:u w:val="single"/>
        </w:rPr>
        <w:t xml:space="preserve">                       </w:t>
      </w:r>
      <w:r>
        <w:rPr>
          <w:rFonts w:hint="eastAsia" w:ascii="仿宋_GB2312" w:hAnsi="宋体" w:eastAsia="仿宋_GB2312" w:cs="宋体"/>
          <w:color w:val="auto"/>
          <w:kern w:val="0"/>
          <w:sz w:val="24"/>
          <w:highlight w:val="none"/>
        </w:rPr>
        <w:t>单位：</w:t>
      </w:r>
    </w:p>
    <w:p w14:paraId="23667DA8">
      <w:pPr>
        <w:widowControl/>
        <w:shd w:val="clear" w:color="auto" w:fill="FFFFFF"/>
        <w:adjustRightInd w:val="0"/>
        <w:snapToGrid w:val="0"/>
        <w:spacing w:line="440" w:lineRule="exact"/>
        <w:ind w:firstLine="48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根据工作需要，现将以下</w:t>
      </w:r>
      <w:r>
        <w:rPr>
          <w:rFonts w:hint="eastAsia" w:ascii="仿宋_GB2312" w:hAnsi="宋体" w:eastAsia="仿宋_GB2312" w:cs="宋体"/>
          <w:color w:val="auto"/>
          <w:kern w:val="0"/>
          <w:sz w:val="24"/>
          <w:highlight w:val="none"/>
          <w:lang w:eastAsia="zh-CN"/>
        </w:rPr>
        <w:t>物资</w:t>
      </w:r>
      <w:r>
        <w:rPr>
          <w:rFonts w:hint="eastAsia" w:ascii="仿宋_GB2312" w:hAnsi="宋体" w:eastAsia="仿宋_GB2312" w:cs="宋体"/>
          <w:color w:val="auto"/>
          <w:kern w:val="0"/>
          <w:sz w:val="24"/>
          <w:highlight w:val="none"/>
        </w:rPr>
        <w:t>配发给你单位，请按照«政府会计制度»相关要求，做好固定资产入库或库存物资管理等相关工作，确保国有资产不流失，安全完整。</w:t>
      </w:r>
    </w:p>
    <w:p w14:paraId="0D69F97D">
      <w:pPr>
        <w:widowControl/>
        <w:shd w:val="clear" w:color="auto" w:fill="FFFFFF"/>
        <w:adjustRightInd w:val="0"/>
        <w:snapToGrid w:val="0"/>
        <w:spacing w:line="440" w:lineRule="exact"/>
        <w:jc w:val="center"/>
        <w:rPr>
          <w:rFonts w:ascii="黑体" w:hAnsi="黑体" w:eastAsia="黑体" w:cs="宋体"/>
          <w:color w:val="auto"/>
          <w:kern w:val="0"/>
          <w:sz w:val="32"/>
          <w:szCs w:val="32"/>
          <w:highlight w:val="none"/>
        </w:rPr>
      </w:pPr>
      <w:r>
        <w:rPr>
          <w:rFonts w:hint="eastAsia" w:ascii="黑体" w:hAnsi="黑体" w:eastAsia="黑体" w:cs="宋体"/>
          <w:color w:val="auto"/>
          <w:kern w:val="0"/>
          <w:sz w:val="32"/>
          <w:szCs w:val="32"/>
          <w:highlight w:val="none"/>
        </w:rPr>
        <w:t>自治区疾控中心物资配发通知单</w:t>
      </w:r>
    </w:p>
    <w:tbl>
      <w:tblPr>
        <w:tblStyle w:val="15"/>
        <w:tblW w:w="0" w:type="auto"/>
        <w:jc w:val="center"/>
        <w:tblLayout w:type="fixed"/>
        <w:tblCellMar>
          <w:top w:w="0" w:type="dxa"/>
          <w:left w:w="108" w:type="dxa"/>
          <w:bottom w:w="0" w:type="dxa"/>
          <w:right w:w="108" w:type="dxa"/>
        </w:tblCellMar>
      </w:tblPr>
      <w:tblGrid>
        <w:gridCol w:w="1418"/>
        <w:gridCol w:w="2092"/>
        <w:gridCol w:w="2121"/>
        <w:gridCol w:w="896"/>
        <w:gridCol w:w="1152"/>
        <w:gridCol w:w="1880"/>
        <w:gridCol w:w="1414"/>
        <w:gridCol w:w="1356"/>
        <w:gridCol w:w="1276"/>
      </w:tblGrid>
      <w:tr w14:paraId="23EDBDAF">
        <w:tblPrEx>
          <w:tblCellMar>
            <w:top w:w="0" w:type="dxa"/>
            <w:left w:w="108" w:type="dxa"/>
            <w:bottom w:w="0" w:type="dxa"/>
            <w:right w:w="108" w:type="dxa"/>
          </w:tblCellMar>
        </w:tblPrEx>
        <w:trPr>
          <w:trHeight w:val="522" w:hRule="atLeast"/>
          <w:jc w:val="center"/>
        </w:trPr>
        <w:tc>
          <w:tcPr>
            <w:tcW w:w="12329" w:type="dxa"/>
            <w:gridSpan w:val="8"/>
            <w:tcBorders>
              <w:top w:val="nil"/>
              <w:left w:val="nil"/>
              <w:bottom w:val="nil"/>
              <w:right w:val="nil"/>
            </w:tcBorders>
            <w:noWrap w:val="0"/>
            <w:vAlign w:val="bottom"/>
          </w:tcPr>
          <w:p w14:paraId="51C0ACA1">
            <w:pPr>
              <w:widowControl/>
              <w:adjustRightInd w:val="0"/>
              <w:snapToGrid w:val="0"/>
              <w:spacing w:line="440" w:lineRule="exact"/>
              <w:jc w:val="left"/>
              <w:rPr>
                <w:rFonts w:ascii="仿宋_GB2312" w:hAnsi="宋体" w:eastAsia="仿宋_GB2312" w:cs="宋体"/>
                <w:color w:val="auto"/>
                <w:kern w:val="0"/>
                <w:sz w:val="22"/>
                <w:highlight w:val="none"/>
              </w:rPr>
            </w:pPr>
            <w:r>
              <w:rPr>
                <w:rFonts w:hint="eastAsia" w:ascii="仿宋_GB2312" w:hAnsi="宋体" w:eastAsia="仿宋_GB2312" w:cs="宋体"/>
                <w:color w:val="auto"/>
                <w:kern w:val="0"/>
                <w:sz w:val="22"/>
                <w:highlight w:val="none"/>
              </w:rPr>
              <w:t xml:space="preserve">                                                       年     月     日                                 </w:t>
            </w:r>
          </w:p>
        </w:tc>
        <w:tc>
          <w:tcPr>
            <w:tcW w:w="1276" w:type="dxa"/>
            <w:tcBorders>
              <w:top w:val="nil"/>
              <w:left w:val="nil"/>
              <w:bottom w:val="nil"/>
              <w:right w:val="nil"/>
            </w:tcBorders>
            <w:noWrap w:val="0"/>
            <w:vAlign w:val="top"/>
          </w:tcPr>
          <w:p w14:paraId="70B77993">
            <w:pPr>
              <w:widowControl/>
              <w:adjustRightInd w:val="0"/>
              <w:snapToGrid w:val="0"/>
              <w:spacing w:line="440" w:lineRule="exact"/>
              <w:jc w:val="left"/>
              <w:rPr>
                <w:rFonts w:ascii="仿宋_GB2312" w:hAnsi="宋体" w:eastAsia="仿宋_GB2312" w:cs="宋体"/>
                <w:color w:val="auto"/>
                <w:kern w:val="0"/>
                <w:sz w:val="22"/>
                <w:highlight w:val="none"/>
              </w:rPr>
            </w:pPr>
          </w:p>
        </w:tc>
      </w:tr>
      <w:tr w14:paraId="5189DB9E">
        <w:tblPrEx>
          <w:tblCellMar>
            <w:top w:w="0" w:type="dxa"/>
            <w:left w:w="108" w:type="dxa"/>
            <w:bottom w:w="0" w:type="dxa"/>
            <w:right w:w="108" w:type="dxa"/>
          </w:tblCellMar>
        </w:tblPrEx>
        <w:trPr>
          <w:trHeight w:val="522" w:hRule="atLeast"/>
          <w:jc w:val="center"/>
        </w:trPr>
        <w:tc>
          <w:tcPr>
            <w:tcW w:w="1418" w:type="dxa"/>
            <w:tcBorders>
              <w:top w:val="single" w:color="auto" w:sz="4" w:space="0"/>
              <w:left w:val="single" w:color="auto" w:sz="4" w:space="0"/>
              <w:bottom w:val="single" w:color="auto" w:sz="4" w:space="0"/>
              <w:right w:val="single" w:color="auto" w:sz="4" w:space="0"/>
            </w:tcBorders>
            <w:noWrap w:val="0"/>
            <w:vAlign w:val="center"/>
          </w:tcPr>
          <w:p w14:paraId="0802CCB2">
            <w:pPr>
              <w:widowControl/>
              <w:adjustRightInd w:val="0"/>
              <w:snapToGrid w:val="0"/>
              <w:spacing w:line="440" w:lineRule="exact"/>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物 资 名 称</w:t>
            </w:r>
          </w:p>
        </w:tc>
        <w:tc>
          <w:tcPr>
            <w:tcW w:w="2092" w:type="dxa"/>
            <w:tcBorders>
              <w:top w:val="single" w:color="auto" w:sz="4" w:space="0"/>
              <w:left w:val="nil"/>
              <w:bottom w:val="single" w:color="auto" w:sz="4" w:space="0"/>
              <w:right w:val="single" w:color="auto" w:sz="4" w:space="0"/>
            </w:tcBorders>
            <w:noWrap w:val="0"/>
            <w:vAlign w:val="center"/>
          </w:tcPr>
          <w:p w14:paraId="158DA994">
            <w:pPr>
              <w:widowControl/>
              <w:adjustRightInd w:val="0"/>
              <w:snapToGrid w:val="0"/>
              <w:spacing w:line="440" w:lineRule="exact"/>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规格型号</w:t>
            </w:r>
          </w:p>
        </w:tc>
        <w:tc>
          <w:tcPr>
            <w:tcW w:w="2121" w:type="dxa"/>
            <w:tcBorders>
              <w:top w:val="single" w:color="auto" w:sz="4" w:space="0"/>
              <w:left w:val="nil"/>
              <w:bottom w:val="single" w:color="auto" w:sz="4" w:space="0"/>
              <w:right w:val="single" w:color="auto" w:sz="4" w:space="0"/>
            </w:tcBorders>
            <w:noWrap w:val="0"/>
            <w:vAlign w:val="center"/>
          </w:tcPr>
          <w:p w14:paraId="561A2E09">
            <w:pPr>
              <w:widowControl/>
              <w:adjustRightInd w:val="0"/>
              <w:snapToGrid w:val="0"/>
              <w:spacing w:line="440" w:lineRule="exact"/>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外包装是否良好</w:t>
            </w:r>
          </w:p>
        </w:tc>
        <w:tc>
          <w:tcPr>
            <w:tcW w:w="896" w:type="dxa"/>
            <w:tcBorders>
              <w:top w:val="single" w:color="auto" w:sz="4" w:space="0"/>
              <w:left w:val="nil"/>
              <w:bottom w:val="single" w:color="auto" w:sz="4" w:space="0"/>
              <w:right w:val="single" w:color="auto" w:sz="4" w:space="0"/>
            </w:tcBorders>
            <w:noWrap w:val="0"/>
            <w:vAlign w:val="center"/>
          </w:tcPr>
          <w:p w14:paraId="2A83F8B1">
            <w:pPr>
              <w:adjustRightInd w:val="0"/>
              <w:snapToGrid w:val="0"/>
              <w:spacing w:line="440" w:lineRule="exact"/>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单位</w:t>
            </w:r>
          </w:p>
        </w:tc>
        <w:tc>
          <w:tcPr>
            <w:tcW w:w="1152" w:type="dxa"/>
            <w:tcBorders>
              <w:top w:val="single" w:color="auto" w:sz="4" w:space="0"/>
              <w:left w:val="nil"/>
              <w:bottom w:val="single" w:color="auto" w:sz="4" w:space="0"/>
              <w:right w:val="single" w:color="auto" w:sz="4" w:space="0"/>
            </w:tcBorders>
            <w:noWrap w:val="0"/>
            <w:vAlign w:val="center"/>
          </w:tcPr>
          <w:p w14:paraId="1228B4FA">
            <w:pPr>
              <w:widowControl/>
              <w:adjustRightInd w:val="0"/>
              <w:snapToGrid w:val="0"/>
              <w:spacing w:line="440" w:lineRule="exact"/>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数 量</w:t>
            </w:r>
          </w:p>
        </w:tc>
        <w:tc>
          <w:tcPr>
            <w:tcW w:w="1880" w:type="dxa"/>
            <w:tcBorders>
              <w:top w:val="single" w:color="auto" w:sz="4" w:space="0"/>
              <w:left w:val="nil"/>
              <w:bottom w:val="single" w:color="auto" w:sz="4" w:space="0"/>
              <w:right w:val="single" w:color="auto" w:sz="4" w:space="0"/>
            </w:tcBorders>
            <w:noWrap w:val="0"/>
            <w:vAlign w:val="center"/>
          </w:tcPr>
          <w:p w14:paraId="42944EFD">
            <w:pPr>
              <w:widowControl/>
              <w:adjustRightInd w:val="0"/>
              <w:snapToGrid w:val="0"/>
              <w:spacing w:line="440" w:lineRule="exact"/>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单价（元）</w:t>
            </w:r>
          </w:p>
        </w:tc>
        <w:tc>
          <w:tcPr>
            <w:tcW w:w="1414" w:type="dxa"/>
            <w:tcBorders>
              <w:top w:val="single" w:color="auto" w:sz="4" w:space="0"/>
              <w:left w:val="nil"/>
              <w:bottom w:val="single" w:color="auto" w:sz="4" w:space="0"/>
              <w:right w:val="single" w:color="auto" w:sz="4" w:space="0"/>
            </w:tcBorders>
            <w:noWrap w:val="0"/>
            <w:vAlign w:val="center"/>
          </w:tcPr>
          <w:p w14:paraId="4947995A">
            <w:pPr>
              <w:widowControl/>
              <w:adjustRightInd w:val="0"/>
              <w:snapToGrid w:val="0"/>
              <w:spacing w:line="440" w:lineRule="exact"/>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金额（元）</w:t>
            </w:r>
          </w:p>
        </w:tc>
        <w:tc>
          <w:tcPr>
            <w:tcW w:w="1356" w:type="dxa"/>
            <w:tcBorders>
              <w:top w:val="single" w:color="auto" w:sz="4" w:space="0"/>
              <w:left w:val="nil"/>
              <w:bottom w:val="single" w:color="auto" w:sz="4" w:space="0"/>
              <w:right w:val="single" w:color="auto" w:sz="4" w:space="0"/>
            </w:tcBorders>
            <w:noWrap w:val="0"/>
            <w:vAlign w:val="center"/>
          </w:tcPr>
          <w:p w14:paraId="05435258">
            <w:pPr>
              <w:widowControl/>
              <w:adjustRightInd w:val="0"/>
              <w:snapToGrid w:val="0"/>
              <w:spacing w:line="440" w:lineRule="exact"/>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验收是否合格</w:t>
            </w:r>
          </w:p>
        </w:tc>
        <w:tc>
          <w:tcPr>
            <w:tcW w:w="1276" w:type="dxa"/>
            <w:tcBorders>
              <w:top w:val="single" w:color="auto" w:sz="4" w:space="0"/>
              <w:left w:val="nil"/>
              <w:bottom w:val="single" w:color="auto" w:sz="4" w:space="0"/>
              <w:right w:val="single" w:color="auto" w:sz="4" w:space="0"/>
            </w:tcBorders>
            <w:noWrap w:val="0"/>
            <w:vAlign w:val="center"/>
          </w:tcPr>
          <w:p w14:paraId="288A5F65">
            <w:pPr>
              <w:widowControl/>
              <w:adjustRightInd w:val="0"/>
              <w:snapToGrid w:val="0"/>
              <w:spacing w:line="440" w:lineRule="exact"/>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备 注</w:t>
            </w:r>
          </w:p>
        </w:tc>
      </w:tr>
      <w:tr w14:paraId="5B8749EB">
        <w:tblPrEx>
          <w:tblCellMar>
            <w:top w:w="0" w:type="dxa"/>
            <w:left w:w="108" w:type="dxa"/>
            <w:bottom w:w="0" w:type="dxa"/>
            <w:right w:w="108" w:type="dxa"/>
          </w:tblCellMar>
        </w:tblPrEx>
        <w:trPr>
          <w:trHeight w:val="522" w:hRule="atLeast"/>
          <w:jc w:val="center"/>
        </w:trPr>
        <w:tc>
          <w:tcPr>
            <w:tcW w:w="1418" w:type="dxa"/>
            <w:tcBorders>
              <w:top w:val="nil"/>
              <w:left w:val="single" w:color="auto" w:sz="4" w:space="0"/>
              <w:bottom w:val="single" w:color="auto" w:sz="4" w:space="0"/>
              <w:right w:val="single" w:color="auto" w:sz="4" w:space="0"/>
            </w:tcBorders>
            <w:noWrap w:val="0"/>
            <w:vAlign w:val="bottom"/>
          </w:tcPr>
          <w:p w14:paraId="5A23E36F">
            <w:pPr>
              <w:widowControl/>
              <w:adjustRightInd w:val="0"/>
              <w:snapToGrid w:val="0"/>
              <w:spacing w:line="440" w:lineRule="exact"/>
              <w:rPr>
                <w:rFonts w:ascii="仿宋_GB2312" w:hAnsi="宋体" w:eastAsia="仿宋_GB2312" w:cs="宋体"/>
                <w:color w:val="auto"/>
                <w:kern w:val="0"/>
                <w:sz w:val="24"/>
                <w:highlight w:val="none"/>
              </w:rPr>
            </w:pPr>
          </w:p>
        </w:tc>
        <w:tc>
          <w:tcPr>
            <w:tcW w:w="2092" w:type="dxa"/>
            <w:tcBorders>
              <w:top w:val="nil"/>
              <w:left w:val="nil"/>
              <w:bottom w:val="single" w:color="auto" w:sz="4" w:space="0"/>
              <w:right w:val="single" w:color="auto" w:sz="4" w:space="0"/>
            </w:tcBorders>
            <w:noWrap w:val="0"/>
            <w:vAlign w:val="bottom"/>
          </w:tcPr>
          <w:p w14:paraId="6E4109BC">
            <w:pPr>
              <w:widowControl/>
              <w:adjustRightInd w:val="0"/>
              <w:snapToGrid w:val="0"/>
              <w:spacing w:line="440" w:lineRule="exact"/>
              <w:rPr>
                <w:rFonts w:ascii="仿宋_GB2312" w:hAnsi="宋体" w:eastAsia="仿宋_GB2312" w:cs="宋体"/>
                <w:color w:val="auto"/>
                <w:kern w:val="0"/>
                <w:sz w:val="24"/>
                <w:highlight w:val="none"/>
              </w:rPr>
            </w:pPr>
          </w:p>
        </w:tc>
        <w:tc>
          <w:tcPr>
            <w:tcW w:w="2121" w:type="dxa"/>
            <w:tcBorders>
              <w:top w:val="nil"/>
              <w:left w:val="nil"/>
              <w:bottom w:val="single" w:color="auto" w:sz="4" w:space="0"/>
              <w:right w:val="single" w:color="auto" w:sz="4" w:space="0"/>
            </w:tcBorders>
            <w:noWrap w:val="0"/>
            <w:vAlign w:val="top"/>
          </w:tcPr>
          <w:p w14:paraId="58D95712">
            <w:pPr>
              <w:widowControl/>
              <w:adjustRightInd w:val="0"/>
              <w:snapToGrid w:val="0"/>
              <w:spacing w:line="440" w:lineRule="exact"/>
              <w:rPr>
                <w:rFonts w:ascii="仿宋_GB2312" w:hAnsi="宋体" w:eastAsia="仿宋_GB2312" w:cs="宋体"/>
                <w:color w:val="auto"/>
                <w:kern w:val="0"/>
                <w:sz w:val="24"/>
                <w:highlight w:val="none"/>
              </w:rPr>
            </w:pPr>
          </w:p>
        </w:tc>
        <w:tc>
          <w:tcPr>
            <w:tcW w:w="896" w:type="dxa"/>
            <w:tcBorders>
              <w:top w:val="nil"/>
              <w:left w:val="nil"/>
              <w:bottom w:val="single" w:color="auto" w:sz="4" w:space="0"/>
              <w:right w:val="single" w:color="auto" w:sz="4" w:space="0"/>
            </w:tcBorders>
            <w:noWrap w:val="0"/>
            <w:vAlign w:val="top"/>
          </w:tcPr>
          <w:p w14:paraId="67340867">
            <w:pPr>
              <w:widowControl/>
              <w:adjustRightInd w:val="0"/>
              <w:snapToGrid w:val="0"/>
              <w:spacing w:line="440" w:lineRule="exact"/>
              <w:rPr>
                <w:rFonts w:ascii="仿宋_GB2312" w:hAnsi="宋体" w:eastAsia="仿宋_GB2312" w:cs="宋体"/>
                <w:color w:val="auto"/>
                <w:kern w:val="0"/>
                <w:sz w:val="24"/>
                <w:highlight w:val="none"/>
              </w:rPr>
            </w:pPr>
          </w:p>
        </w:tc>
        <w:tc>
          <w:tcPr>
            <w:tcW w:w="1152" w:type="dxa"/>
            <w:tcBorders>
              <w:top w:val="nil"/>
              <w:left w:val="nil"/>
              <w:bottom w:val="single" w:color="auto" w:sz="4" w:space="0"/>
              <w:right w:val="single" w:color="auto" w:sz="4" w:space="0"/>
            </w:tcBorders>
            <w:noWrap w:val="0"/>
            <w:vAlign w:val="bottom"/>
          </w:tcPr>
          <w:p w14:paraId="2D5370AE">
            <w:pPr>
              <w:widowControl/>
              <w:adjustRightInd w:val="0"/>
              <w:snapToGrid w:val="0"/>
              <w:spacing w:line="440" w:lineRule="exact"/>
              <w:rPr>
                <w:rFonts w:ascii="仿宋_GB2312" w:hAnsi="宋体" w:eastAsia="仿宋_GB2312" w:cs="宋体"/>
                <w:color w:val="auto"/>
                <w:kern w:val="0"/>
                <w:sz w:val="24"/>
                <w:highlight w:val="none"/>
              </w:rPr>
            </w:pPr>
          </w:p>
        </w:tc>
        <w:tc>
          <w:tcPr>
            <w:tcW w:w="1880" w:type="dxa"/>
            <w:tcBorders>
              <w:top w:val="nil"/>
              <w:left w:val="nil"/>
              <w:bottom w:val="single" w:color="auto" w:sz="4" w:space="0"/>
              <w:right w:val="single" w:color="auto" w:sz="4" w:space="0"/>
            </w:tcBorders>
            <w:noWrap w:val="0"/>
            <w:vAlign w:val="top"/>
          </w:tcPr>
          <w:p w14:paraId="3336A397">
            <w:pPr>
              <w:widowControl/>
              <w:adjustRightInd w:val="0"/>
              <w:snapToGrid w:val="0"/>
              <w:spacing w:line="440" w:lineRule="exact"/>
              <w:rPr>
                <w:rFonts w:ascii="仿宋_GB2312" w:hAnsi="宋体" w:eastAsia="仿宋_GB2312" w:cs="宋体"/>
                <w:color w:val="auto"/>
                <w:kern w:val="0"/>
                <w:sz w:val="24"/>
                <w:highlight w:val="none"/>
              </w:rPr>
            </w:pPr>
          </w:p>
        </w:tc>
        <w:tc>
          <w:tcPr>
            <w:tcW w:w="1414" w:type="dxa"/>
            <w:tcBorders>
              <w:top w:val="nil"/>
              <w:left w:val="nil"/>
              <w:bottom w:val="single" w:color="auto" w:sz="4" w:space="0"/>
              <w:right w:val="single" w:color="auto" w:sz="4" w:space="0"/>
            </w:tcBorders>
            <w:noWrap w:val="0"/>
            <w:vAlign w:val="bottom"/>
          </w:tcPr>
          <w:p w14:paraId="29FA3FB1">
            <w:pPr>
              <w:widowControl/>
              <w:adjustRightInd w:val="0"/>
              <w:snapToGrid w:val="0"/>
              <w:spacing w:line="440" w:lineRule="exact"/>
              <w:rPr>
                <w:rFonts w:ascii="仿宋_GB2312" w:hAnsi="宋体" w:eastAsia="仿宋_GB2312" w:cs="宋体"/>
                <w:color w:val="auto"/>
                <w:kern w:val="0"/>
                <w:sz w:val="24"/>
                <w:highlight w:val="none"/>
              </w:rPr>
            </w:pPr>
          </w:p>
        </w:tc>
        <w:tc>
          <w:tcPr>
            <w:tcW w:w="1356" w:type="dxa"/>
            <w:tcBorders>
              <w:top w:val="nil"/>
              <w:left w:val="nil"/>
              <w:bottom w:val="single" w:color="auto" w:sz="4" w:space="0"/>
              <w:right w:val="single" w:color="auto" w:sz="4" w:space="0"/>
            </w:tcBorders>
            <w:noWrap w:val="0"/>
            <w:vAlign w:val="bottom"/>
          </w:tcPr>
          <w:p w14:paraId="31489A4A">
            <w:pPr>
              <w:widowControl/>
              <w:adjustRightInd w:val="0"/>
              <w:snapToGrid w:val="0"/>
              <w:spacing w:line="440" w:lineRule="exact"/>
              <w:rPr>
                <w:rFonts w:ascii="仿宋_GB2312" w:hAnsi="宋体" w:eastAsia="仿宋_GB2312" w:cs="宋体"/>
                <w:color w:val="auto"/>
                <w:kern w:val="0"/>
                <w:sz w:val="24"/>
                <w:highlight w:val="none"/>
              </w:rPr>
            </w:pPr>
          </w:p>
        </w:tc>
        <w:tc>
          <w:tcPr>
            <w:tcW w:w="1276" w:type="dxa"/>
            <w:tcBorders>
              <w:top w:val="nil"/>
              <w:left w:val="nil"/>
              <w:bottom w:val="single" w:color="auto" w:sz="4" w:space="0"/>
              <w:right w:val="single" w:color="auto" w:sz="4" w:space="0"/>
            </w:tcBorders>
            <w:noWrap w:val="0"/>
            <w:vAlign w:val="top"/>
          </w:tcPr>
          <w:p w14:paraId="4C421045">
            <w:pPr>
              <w:widowControl/>
              <w:adjustRightInd w:val="0"/>
              <w:snapToGrid w:val="0"/>
              <w:spacing w:line="440" w:lineRule="exact"/>
              <w:rPr>
                <w:rFonts w:ascii="仿宋_GB2312" w:hAnsi="宋体" w:eastAsia="仿宋_GB2312" w:cs="宋体"/>
                <w:color w:val="auto"/>
                <w:kern w:val="0"/>
                <w:sz w:val="24"/>
                <w:highlight w:val="none"/>
              </w:rPr>
            </w:pPr>
          </w:p>
        </w:tc>
      </w:tr>
      <w:tr w14:paraId="325F7E17">
        <w:tblPrEx>
          <w:tblCellMar>
            <w:top w:w="0" w:type="dxa"/>
            <w:left w:w="108" w:type="dxa"/>
            <w:bottom w:w="0" w:type="dxa"/>
            <w:right w:w="108" w:type="dxa"/>
          </w:tblCellMar>
        </w:tblPrEx>
        <w:trPr>
          <w:trHeight w:val="522" w:hRule="atLeast"/>
          <w:jc w:val="center"/>
        </w:trPr>
        <w:tc>
          <w:tcPr>
            <w:tcW w:w="1418" w:type="dxa"/>
            <w:tcBorders>
              <w:top w:val="nil"/>
              <w:left w:val="single" w:color="auto" w:sz="4" w:space="0"/>
              <w:bottom w:val="single" w:color="auto" w:sz="4" w:space="0"/>
              <w:right w:val="single" w:color="auto" w:sz="4" w:space="0"/>
            </w:tcBorders>
            <w:noWrap w:val="0"/>
            <w:vAlign w:val="bottom"/>
          </w:tcPr>
          <w:p w14:paraId="47FDDC29">
            <w:pPr>
              <w:widowControl/>
              <w:adjustRightInd w:val="0"/>
              <w:snapToGrid w:val="0"/>
              <w:spacing w:line="440" w:lineRule="exact"/>
              <w:rPr>
                <w:rFonts w:ascii="仿宋_GB2312" w:hAnsi="宋体" w:eastAsia="仿宋_GB2312" w:cs="宋体"/>
                <w:color w:val="auto"/>
                <w:kern w:val="0"/>
                <w:sz w:val="24"/>
                <w:highlight w:val="none"/>
              </w:rPr>
            </w:pPr>
          </w:p>
        </w:tc>
        <w:tc>
          <w:tcPr>
            <w:tcW w:w="2092" w:type="dxa"/>
            <w:tcBorders>
              <w:top w:val="nil"/>
              <w:left w:val="nil"/>
              <w:bottom w:val="single" w:color="auto" w:sz="4" w:space="0"/>
              <w:right w:val="single" w:color="auto" w:sz="4" w:space="0"/>
            </w:tcBorders>
            <w:noWrap w:val="0"/>
            <w:vAlign w:val="bottom"/>
          </w:tcPr>
          <w:p w14:paraId="2FB6F753">
            <w:pPr>
              <w:widowControl/>
              <w:adjustRightInd w:val="0"/>
              <w:snapToGrid w:val="0"/>
              <w:spacing w:line="440" w:lineRule="exact"/>
              <w:rPr>
                <w:rFonts w:ascii="仿宋_GB2312" w:hAnsi="宋体" w:eastAsia="仿宋_GB2312" w:cs="宋体"/>
                <w:color w:val="auto"/>
                <w:kern w:val="0"/>
                <w:sz w:val="24"/>
                <w:highlight w:val="none"/>
              </w:rPr>
            </w:pPr>
          </w:p>
        </w:tc>
        <w:tc>
          <w:tcPr>
            <w:tcW w:w="2121" w:type="dxa"/>
            <w:tcBorders>
              <w:top w:val="nil"/>
              <w:left w:val="nil"/>
              <w:bottom w:val="single" w:color="auto" w:sz="4" w:space="0"/>
              <w:right w:val="single" w:color="auto" w:sz="4" w:space="0"/>
            </w:tcBorders>
            <w:noWrap w:val="0"/>
            <w:vAlign w:val="top"/>
          </w:tcPr>
          <w:p w14:paraId="3B8306EB">
            <w:pPr>
              <w:widowControl/>
              <w:adjustRightInd w:val="0"/>
              <w:snapToGrid w:val="0"/>
              <w:spacing w:line="440" w:lineRule="exact"/>
              <w:rPr>
                <w:rFonts w:ascii="仿宋_GB2312" w:hAnsi="宋体" w:eastAsia="仿宋_GB2312" w:cs="宋体"/>
                <w:color w:val="auto"/>
                <w:kern w:val="0"/>
                <w:sz w:val="24"/>
                <w:highlight w:val="none"/>
              </w:rPr>
            </w:pPr>
          </w:p>
        </w:tc>
        <w:tc>
          <w:tcPr>
            <w:tcW w:w="896" w:type="dxa"/>
            <w:tcBorders>
              <w:top w:val="nil"/>
              <w:left w:val="nil"/>
              <w:bottom w:val="single" w:color="auto" w:sz="4" w:space="0"/>
              <w:right w:val="single" w:color="auto" w:sz="4" w:space="0"/>
            </w:tcBorders>
            <w:noWrap w:val="0"/>
            <w:vAlign w:val="top"/>
          </w:tcPr>
          <w:p w14:paraId="54154D1F">
            <w:pPr>
              <w:widowControl/>
              <w:adjustRightInd w:val="0"/>
              <w:snapToGrid w:val="0"/>
              <w:spacing w:line="440" w:lineRule="exact"/>
              <w:rPr>
                <w:rFonts w:ascii="仿宋_GB2312" w:hAnsi="宋体" w:eastAsia="仿宋_GB2312" w:cs="宋体"/>
                <w:color w:val="auto"/>
                <w:kern w:val="0"/>
                <w:sz w:val="24"/>
                <w:highlight w:val="none"/>
              </w:rPr>
            </w:pPr>
          </w:p>
        </w:tc>
        <w:tc>
          <w:tcPr>
            <w:tcW w:w="1152" w:type="dxa"/>
            <w:tcBorders>
              <w:top w:val="nil"/>
              <w:left w:val="nil"/>
              <w:bottom w:val="single" w:color="auto" w:sz="4" w:space="0"/>
              <w:right w:val="single" w:color="auto" w:sz="4" w:space="0"/>
            </w:tcBorders>
            <w:noWrap w:val="0"/>
            <w:vAlign w:val="bottom"/>
          </w:tcPr>
          <w:p w14:paraId="7D5B1FE4">
            <w:pPr>
              <w:widowControl/>
              <w:adjustRightInd w:val="0"/>
              <w:snapToGrid w:val="0"/>
              <w:spacing w:line="440" w:lineRule="exact"/>
              <w:rPr>
                <w:rFonts w:ascii="仿宋_GB2312" w:hAnsi="宋体" w:eastAsia="仿宋_GB2312" w:cs="宋体"/>
                <w:color w:val="auto"/>
                <w:kern w:val="0"/>
                <w:sz w:val="24"/>
                <w:highlight w:val="none"/>
              </w:rPr>
            </w:pPr>
          </w:p>
        </w:tc>
        <w:tc>
          <w:tcPr>
            <w:tcW w:w="1880" w:type="dxa"/>
            <w:tcBorders>
              <w:top w:val="nil"/>
              <w:left w:val="nil"/>
              <w:bottom w:val="single" w:color="auto" w:sz="4" w:space="0"/>
              <w:right w:val="single" w:color="auto" w:sz="4" w:space="0"/>
            </w:tcBorders>
            <w:noWrap w:val="0"/>
            <w:vAlign w:val="top"/>
          </w:tcPr>
          <w:p w14:paraId="7CB26ADD">
            <w:pPr>
              <w:widowControl/>
              <w:adjustRightInd w:val="0"/>
              <w:snapToGrid w:val="0"/>
              <w:spacing w:line="440" w:lineRule="exact"/>
              <w:rPr>
                <w:rFonts w:ascii="仿宋_GB2312" w:hAnsi="宋体" w:eastAsia="仿宋_GB2312" w:cs="宋体"/>
                <w:color w:val="auto"/>
                <w:kern w:val="0"/>
                <w:sz w:val="24"/>
                <w:highlight w:val="none"/>
              </w:rPr>
            </w:pPr>
          </w:p>
        </w:tc>
        <w:tc>
          <w:tcPr>
            <w:tcW w:w="1414" w:type="dxa"/>
            <w:tcBorders>
              <w:top w:val="nil"/>
              <w:left w:val="nil"/>
              <w:bottom w:val="single" w:color="auto" w:sz="4" w:space="0"/>
              <w:right w:val="single" w:color="auto" w:sz="4" w:space="0"/>
            </w:tcBorders>
            <w:noWrap w:val="0"/>
            <w:vAlign w:val="bottom"/>
          </w:tcPr>
          <w:p w14:paraId="0BBC7E14">
            <w:pPr>
              <w:widowControl/>
              <w:adjustRightInd w:val="0"/>
              <w:snapToGrid w:val="0"/>
              <w:spacing w:line="440" w:lineRule="exact"/>
              <w:rPr>
                <w:rFonts w:ascii="仿宋_GB2312" w:hAnsi="宋体" w:eastAsia="仿宋_GB2312" w:cs="宋体"/>
                <w:color w:val="auto"/>
                <w:kern w:val="0"/>
                <w:sz w:val="24"/>
                <w:highlight w:val="none"/>
              </w:rPr>
            </w:pPr>
          </w:p>
        </w:tc>
        <w:tc>
          <w:tcPr>
            <w:tcW w:w="1356" w:type="dxa"/>
            <w:tcBorders>
              <w:top w:val="nil"/>
              <w:left w:val="nil"/>
              <w:bottom w:val="single" w:color="auto" w:sz="4" w:space="0"/>
              <w:right w:val="single" w:color="auto" w:sz="4" w:space="0"/>
            </w:tcBorders>
            <w:noWrap w:val="0"/>
            <w:vAlign w:val="bottom"/>
          </w:tcPr>
          <w:p w14:paraId="0F983CA3">
            <w:pPr>
              <w:widowControl/>
              <w:adjustRightInd w:val="0"/>
              <w:snapToGrid w:val="0"/>
              <w:spacing w:line="440" w:lineRule="exact"/>
              <w:rPr>
                <w:rFonts w:ascii="仿宋_GB2312" w:hAnsi="宋体" w:eastAsia="仿宋_GB2312" w:cs="宋体"/>
                <w:color w:val="auto"/>
                <w:kern w:val="0"/>
                <w:sz w:val="24"/>
                <w:highlight w:val="none"/>
              </w:rPr>
            </w:pPr>
          </w:p>
        </w:tc>
        <w:tc>
          <w:tcPr>
            <w:tcW w:w="1276" w:type="dxa"/>
            <w:tcBorders>
              <w:top w:val="nil"/>
              <w:left w:val="nil"/>
              <w:bottom w:val="single" w:color="auto" w:sz="4" w:space="0"/>
              <w:right w:val="single" w:color="auto" w:sz="4" w:space="0"/>
            </w:tcBorders>
            <w:noWrap w:val="0"/>
            <w:vAlign w:val="top"/>
          </w:tcPr>
          <w:p w14:paraId="00CCB495">
            <w:pPr>
              <w:widowControl/>
              <w:adjustRightInd w:val="0"/>
              <w:snapToGrid w:val="0"/>
              <w:spacing w:line="440" w:lineRule="exact"/>
              <w:rPr>
                <w:rFonts w:ascii="仿宋_GB2312" w:hAnsi="宋体" w:eastAsia="仿宋_GB2312" w:cs="宋体"/>
                <w:color w:val="auto"/>
                <w:kern w:val="0"/>
                <w:sz w:val="24"/>
                <w:highlight w:val="none"/>
              </w:rPr>
            </w:pPr>
          </w:p>
        </w:tc>
      </w:tr>
      <w:tr w14:paraId="144EAFC2">
        <w:tblPrEx>
          <w:tblCellMar>
            <w:top w:w="0" w:type="dxa"/>
            <w:left w:w="108" w:type="dxa"/>
            <w:bottom w:w="0" w:type="dxa"/>
            <w:right w:w="108" w:type="dxa"/>
          </w:tblCellMar>
        </w:tblPrEx>
        <w:trPr>
          <w:trHeight w:val="522" w:hRule="atLeast"/>
          <w:jc w:val="center"/>
        </w:trPr>
        <w:tc>
          <w:tcPr>
            <w:tcW w:w="1418" w:type="dxa"/>
            <w:tcBorders>
              <w:top w:val="nil"/>
              <w:left w:val="single" w:color="auto" w:sz="4" w:space="0"/>
              <w:bottom w:val="single" w:color="auto" w:sz="4" w:space="0"/>
              <w:right w:val="single" w:color="auto" w:sz="4" w:space="0"/>
            </w:tcBorders>
            <w:noWrap w:val="0"/>
            <w:vAlign w:val="bottom"/>
          </w:tcPr>
          <w:p w14:paraId="63E608FB">
            <w:pPr>
              <w:widowControl/>
              <w:adjustRightInd w:val="0"/>
              <w:snapToGrid w:val="0"/>
              <w:spacing w:line="440" w:lineRule="exact"/>
              <w:rPr>
                <w:rFonts w:ascii="仿宋_GB2312" w:hAnsi="宋体" w:eastAsia="仿宋_GB2312" w:cs="宋体"/>
                <w:color w:val="auto"/>
                <w:kern w:val="0"/>
                <w:sz w:val="24"/>
                <w:highlight w:val="none"/>
              </w:rPr>
            </w:pPr>
          </w:p>
        </w:tc>
        <w:tc>
          <w:tcPr>
            <w:tcW w:w="2092" w:type="dxa"/>
            <w:tcBorders>
              <w:top w:val="nil"/>
              <w:left w:val="nil"/>
              <w:bottom w:val="single" w:color="auto" w:sz="4" w:space="0"/>
              <w:right w:val="single" w:color="auto" w:sz="4" w:space="0"/>
            </w:tcBorders>
            <w:noWrap w:val="0"/>
            <w:vAlign w:val="bottom"/>
          </w:tcPr>
          <w:p w14:paraId="4E9BE6AA">
            <w:pPr>
              <w:widowControl/>
              <w:adjustRightInd w:val="0"/>
              <w:snapToGrid w:val="0"/>
              <w:spacing w:line="440" w:lineRule="exact"/>
              <w:rPr>
                <w:rFonts w:ascii="仿宋_GB2312" w:hAnsi="宋体" w:eastAsia="仿宋_GB2312" w:cs="宋体"/>
                <w:color w:val="auto"/>
                <w:kern w:val="0"/>
                <w:sz w:val="24"/>
                <w:highlight w:val="none"/>
              </w:rPr>
            </w:pPr>
          </w:p>
        </w:tc>
        <w:tc>
          <w:tcPr>
            <w:tcW w:w="2121" w:type="dxa"/>
            <w:tcBorders>
              <w:top w:val="nil"/>
              <w:left w:val="nil"/>
              <w:bottom w:val="single" w:color="auto" w:sz="4" w:space="0"/>
              <w:right w:val="single" w:color="auto" w:sz="4" w:space="0"/>
            </w:tcBorders>
            <w:noWrap w:val="0"/>
            <w:vAlign w:val="top"/>
          </w:tcPr>
          <w:p w14:paraId="13D96EC5">
            <w:pPr>
              <w:widowControl/>
              <w:adjustRightInd w:val="0"/>
              <w:snapToGrid w:val="0"/>
              <w:spacing w:line="440" w:lineRule="exact"/>
              <w:rPr>
                <w:rFonts w:ascii="仿宋_GB2312" w:hAnsi="宋体" w:eastAsia="仿宋_GB2312" w:cs="宋体"/>
                <w:color w:val="auto"/>
                <w:kern w:val="0"/>
                <w:sz w:val="24"/>
                <w:highlight w:val="none"/>
              </w:rPr>
            </w:pPr>
          </w:p>
        </w:tc>
        <w:tc>
          <w:tcPr>
            <w:tcW w:w="896" w:type="dxa"/>
            <w:tcBorders>
              <w:top w:val="nil"/>
              <w:left w:val="nil"/>
              <w:bottom w:val="single" w:color="auto" w:sz="4" w:space="0"/>
              <w:right w:val="single" w:color="auto" w:sz="4" w:space="0"/>
            </w:tcBorders>
            <w:noWrap w:val="0"/>
            <w:vAlign w:val="top"/>
          </w:tcPr>
          <w:p w14:paraId="57A38F42">
            <w:pPr>
              <w:widowControl/>
              <w:adjustRightInd w:val="0"/>
              <w:snapToGrid w:val="0"/>
              <w:spacing w:line="440" w:lineRule="exact"/>
              <w:rPr>
                <w:rFonts w:ascii="仿宋_GB2312" w:hAnsi="宋体" w:eastAsia="仿宋_GB2312" w:cs="宋体"/>
                <w:color w:val="auto"/>
                <w:kern w:val="0"/>
                <w:sz w:val="24"/>
                <w:highlight w:val="none"/>
              </w:rPr>
            </w:pPr>
          </w:p>
        </w:tc>
        <w:tc>
          <w:tcPr>
            <w:tcW w:w="1152" w:type="dxa"/>
            <w:tcBorders>
              <w:top w:val="nil"/>
              <w:left w:val="nil"/>
              <w:bottom w:val="single" w:color="auto" w:sz="4" w:space="0"/>
              <w:right w:val="single" w:color="auto" w:sz="4" w:space="0"/>
            </w:tcBorders>
            <w:noWrap w:val="0"/>
            <w:vAlign w:val="bottom"/>
          </w:tcPr>
          <w:p w14:paraId="464B23D8">
            <w:pPr>
              <w:widowControl/>
              <w:adjustRightInd w:val="0"/>
              <w:snapToGrid w:val="0"/>
              <w:spacing w:line="440" w:lineRule="exact"/>
              <w:rPr>
                <w:rFonts w:ascii="仿宋_GB2312" w:hAnsi="宋体" w:eastAsia="仿宋_GB2312" w:cs="宋体"/>
                <w:color w:val="auto"/>
                <w:kern w:val="0"/>
                <w:sz w:val="24"/>
                <w:highlight w:val="none"/>
              </w:rPr>
            </w:pPr>
          </w:p>
        </w:tc>
        <w:tc>
          <w:tcPr>
            <w:tcW w:w="1880" w:type="dxa"/>
            <w:tcBorders>
              <w:top w:val="nil"/>
              <w:left w:val="nil"/>
              <w:bottom w:val="single" w:color="auto" w:sz="4" w:space="0"/>
              <w:right w:val="single" w:color="auto" w:sz="4" w:space="0"/>
            </w:tcBorders>
            <w:noWrap w:val="0"/>
            <w:vAlign w:val="top"/>
          </w:tcPr>
          <w:p w14:paraId="6C0C2D8F">
            <w:pPr>
              <w:widowControl/>
              <w:adjustRightInd w:val="0"/>
              <w:snapToGrid w:val="0"/>
              <w:spacing w:line="440" w:lineRule="exact"/>
              <w:rPr>
                <w:rFonts w:ascii="仿宋_GB2312" w:hAnsi="宋体" w:eastAsia="仿宋_GB2312" w:cs="宋体"/>
                <w:color w:val="auto"/>
                <w:kern w:val="0"/>
                <w:sz w:val="24"/>
                <w:highlight w:val="none"/>
              </w:rPr>
            </w:pPr>
          </w:p>
        </w:tc>
        <w:tc>
          <w:tcPr>
            <w:tcW w:w="1414" w:type="dxa"/>
            <w:tcBorders>
              <w:top w:val="nil"/>
              <w:left w:val="nil"/>
              <w:bottom w:val="single" w:color="auto" w:sz="4" w:space="0"/>
              <w:right w:val="single" w:color="auto" w:sz="4" w:space="0"/>
            </w:tcBorders>
            <w:noWrap w:val="0"/>
            <w:vAlign w:val="bottom"/>
          </w:tcPr>
          <w:p w14:paraId="7791E252">
            <w:pPr>
              <w:widowControl/>
              <w:adjustRightInd w:val="0"/>
              <w:snapToGrid w:val="0"/>
              <w:spacing w:line="440" w:lineRule="exact"/>
              <w:rPr>
                <w:rFonts w:ascii="仿宋_GB2312" w:hAnsi="宋体" w:eastAsia="仿宋_GB2312" w:cs="宋体"/>
                <w:color w:val="auto"/>
                <w:kern w:val="0"/>
                <w:sz w:val="24"/>
                <w:highlight w:val="none"/>
              </w:rPr>
            </w:pPr>
          </w:p>
        </w:tc>
        <w:tc>
          <w:tcPr>
            <w:tcW w:w="1356" w:type="dxa"/>
            <w:tcBorders>
              <w:top w:val="nil"/>
              <w:left w:val="nil"/>
              <w:bottom w:val="single" w:color="auto" w:sz="4" w:space="0"/>
              <w:right w:val="single" w:color="auto" w:sz="4" w:space="0"/>
            </w:tcBorders>
            <w:noWrap w:val="0"/>
            <w:vAlign w:val="bottom"/>
          </w:tcPr>
          <w:p w14:paraId="5FFE24FB">
            <w:pPr>
              <w:widowControl/>
              <w:adjustRightInd w:val="0"/>
              <w:snapToGrid w:val="0"/>
              <w:spacing w:line="440" w:lineRule="exact"/>
              <w:rPr>
                <w:rFonts w:ascii="仿宋_GB2312" w:hAnsi="宋体" w:eastAsia="仿宋_GB2312" w:cs="宋体"/>
                <w:color w:val="auto"/>
                <w:kern w:val="0"/>
                <w:sz w:val="24"/>
                <w:highlight w:val="none"/>
              </w:rPr>
            </w:pPr>
          </w:p>
        </w:tc>
        <w:tc>
          <w:tcPr>
            <w:tcW w:w="1276" w:type="dxa"/>
            <w:tcBorders>
              <w:top w:val="nil"/>
              <w:left w:val="nil"/>
              <w:bottom w:val="single" w:color="auto" w:sz="4" w:space="0"/>
              <w:right w:val="single" w:color="auto" w:sz="4" w:space="0"/>
            </w:tcBorders>
            <w:noWrap w:val="0"/>
            <w:vAlign w:val="top"/>
          </w:tcPr>
          <w:p w14:paraId="1572C010">
            <w:pPr>
              <w:widowControl/>
              <w:adjustRightInd w:val="0"/>
              <w:snapToGrid w:val="0"/>
              <w:spacing w:line="440" w:lineRule="exact"/>
              <w:rPr>
                <w:rFonts w:ascii="仿宋_GB2312" w:hAnsi="宋体" w:eastAsia="仿宋_GB2312" w:cs="宋体"/>
                <w:color w:val="auto"/>
                <w:kern w:val="0"/>
                <w:sz w:val="24"/>
                <w:highlight w:val="none"/>
              </w:rPr>
            </w:pPr>
          </w:p>
        </w:tc>
      </w:tr>
      <w:tr w14:paraId="5B9D0085">
        <w:tblPrEx>
          <w:tblCellMar>
            <w:top w:w="0" w:type="dxa"/>
            <w:left w:w="108" w:type="dxa"/>
            <w:bottom w:w="0" w:type="dxa"/>
            <w:right w:w="108" w:type="dxa"/>
          </w:tblCellMar>
        </w:tblPrEx>
        <w:trPr>
          <w:trHeight w:val="522" w:hRule="atLeast"/>
          <w:jc w:val="center"/>
        </w:trPr>
        <w:tc>
          <w:tcPr>
            <w:tcW w:w="1418" w:type="dxa"/>
            <w:tcBorders>
              <w:top w:val="nil"/>
              <w:left w:val="single" w:color="auto" w:sz="4" w:space="0"/>
              <w:bottom w:val="single" w:color="auto" w:sz="4" w:space="0"/>
              <w:right w:val="single" w:color="auto" w:sz="4" w:space="0"/>
            </w:tcBorders>
            <w:noWrap w:val="0"/>
            <w:vAlign w:val="bottom"/>
          </w:tcPr>
          <w:p w14:paraId="3E6368DC">
            <w:pPr>
              <w:widowControl/>
              <w:adjustRightInd w:val="0"/>
              <w:snapToGrid w:val="0"/>
              <w:spacing w:line="440" w:lineRule="exact"/>
              <w:rPr>
                <w:rFonts w:ascii="仿宋_GB2312" w:hAnsi="宋体" w:eastAsia="仿宋_GB2312" w:cs="宋体"/>
                <w:color w:val="auto"/>
                <w:kern w:val="0"/>
                <w:sz w:val="24"/>
                <w:highlight w:val="none"/>
              </w:rPr>
            </w:pPr>
          </w:p>
        </w:tc>
        <w:tc>
          <w:tcPr>
            <w:tcW w:w="2092" w:type="dxa"/>
            <w:tcBorders>
              <w:top w:val="nil"/>
              <w:left w:val="nil"/>
              <w:bottom w:val="single" w:color="auto" w:sz="4" w:space="0"/>
              <w:right w:val="single" w:color="auto" w:sz="4" w:space="0"/>
            </w:tcBorders>
            <w:noWrap w:val="0"/>
            <w:vAlign w:val="bottom"/>
          </w:tcPr>
          <w:p w14:paraId="0C130E45">
            <w:pPr>
              <w:widowControl/>
              <w:adjustRightInd w:val="0"/>
              <w:snapToGrid w:val="0"/>
              <w:spacing w:line="440" w:lineRule="exact"/>
              <w:rPr>
                <w:rFonts w:ascii="仿宋_GB2312" w:hAnsi="宋体" w:eastAsia="仿宋_GB2312" w:cs="宋体"/>
                <w:color w:val="auto"/>
                <w:kern w:val="0"/>
                <w:sz w:val="24"/>
                <w:highlight w:val="none"/>
              </w:rPr>
            </w:pPr>
          </w:p>
        </w:tc>
        <w:tc>
          <w:tcPr>
            <w:tcW w:w="2121" w:type="dxa"/>
            <w:tcBorders>
              <w:top w:val="nil"/>
              <w:left w:val="nil"/>
              <w:bottom w:val="single" w:color="auto" w:sz="4" w:space="0"/>
              <w:right w:val="single" w:color="auto" w:sz="4" w:space="0"/>
            </w:tcBorders>
            <w:noWrap w:val="0"/>
            <w:vAlign w:val="top"/>
          </w:tcPr>
          <w:p w14:paraId="7A35D1D9">
            <w:pPr>
              <w:widowControl/>
              <w:adjustRightInd w:val="0"/>
              <w:snapToGrid w:val="0"/>
              <w:spacing w:line="440" w:lineRule="exact"/>
              <w:rPr>
                <w:rFonts w:ascii="仿宋_GB2312" w:hAnsi="宋体" w:eastAsia="仿宋_GB2312" w:cs="宋体"/>
                <w:color w:val="auto"/>
                <w:kern w:val="0"/>
                <w:sz w:val="24"/>
                <w:highlight w:val="none"/>
              </w:rPr>
            </w:pPr>
          </w:p>
        </w:tc>
        <w:tc>
          <w:tcPr>
            <w:tcW w:w="896" w:type="dxa"/>
            <w:tcBorders>
              <w:top w:val="nil"/>
              <w:left w:val="nil"/>
              <w:bottom w:val="single" w:color="auto" w:sz="4" w:space="0"/>
              <w:right w:val="single" w:color="auto" w:sz="4" w:space="0"/>
            </w:tcBorders>
            <w:noWrap w:val="0"/>
            <w:vAlign w:val="top"/>
          </w:tcPr>
          <w:p w14:paraId="0AE75A29">
            <w:pPr>
              <w:widowControl/>
              <w:adjustRightInd w:val="0"/>
              <w:snapToGrid w:val="0"/>
              <w:spacing w:line="440" w:lineRule="exact"/>
              <w:rPr>
                <w:rFonts w:ascii="仿宋_GB2312" w:hAnsi="宋体" w:eastAsia="仿宋_GB2312" w:cs="宋体"/>
                <w:color w:val="auto"/>
                <w:kern w:val="0"/>
                <w:sz w:val="24"/>
                <w:highlight w:val="none"/>
              </w:rPr>
            </w:pPr>
          </w:p>
        </w:tc>
        <w:tc>
          <w:tcPr>
            <w:tcW w:w="1152" w:type="dxa"/>
            <w:tcBorders>
              <w:top w:val="nil"/>
              <w:left w:val="nil"/>
              <w:bottom w:val="single" w:color="auto" w:sz="4" w:space="0"/>
              <w:right w:val="single" w:color="auto" w:sz="4" w:space="0"/>
            </w:tcBorders>
            <w:noWrap w:val="0"/>
            <w:vAlign w:val="bottom"/>
          </w:tcPr>
          <w:p w14:paraId="251EF075">
            <w:pPr>
              <w:widowControl/>
              <w:adjustRightInd w:val="0"/>
              <w:snapToGrid w:val="0"/>
              <w:spacing w:line="440" w:lineRule="exact"/>
              <w:rPr>
                <w:rFonts w:ascii="仿宋_GB2312" w:hAnsi="宋体" w:eastAsia="仿宋_GB2312" w:cs="宋体"/>
                <w:color w:val="auto"/>
                <w:kern w:val="0"/>
                <w:sz w:val="24"/>
                <w:highlight w:val="none"/>
              </w:rPr>
            </w:pPr>
          </w:p>
        </w:tc>
        <w:tc>
          <w:tcPr>
            <w:tcW w:w="1880" w:type="dxa"/>
            <w:tcBorders>
              <w:top w:val="nil"/>
              <w:left w:val="nil"/>
              <w:bottom w:val="single" w:color="auto" w:sz="4" w:space="0"/>
              <w:right w:val="single" w:color="auto" w:sz="4" w:space="0"/>
            </w:tcBorders>
            <w:noWrap w:val="0"/>
            <w:vAlign w:val="top"/>
          </w:tcPr>
          <w:p w14:paraId="655D6B74">
            <w:pPr>
              <w:widowControl/>
              <w:adjustRightInd w:val="0"/>
              <w:snapToGrid w:val="0"/>
              <w:spacing w:line="440" w:lineRule="exact"/>
              <w:rPr>
                <w:rFonts w:ascii="仿宋_GB2312" w:hAnsi="宋体" w:eastAsia="仿宋_GB2312" w:cs="宋体"/>
                <w:color w:val="auto"/>
                <w:kern w:val="0"/>
                <w:sz w:val="24"/>
                <w:highlight w:val="none"/>
              </w:rPr>
            </w:pPr>
          </w:p>
        </w:tc>
        <w:tc>
          <w:tcPr>
            <w:tcW w:w="1414" w:type="dxa"/>
            <w:tcBorders>
              <w:top w:val="nil"/>
              <w:left w:val="nil"/>
              <w:bottom w:val="single" w:color="auto" w:sz="4" w:space="0"/>
              <w:right w:val="single" w:color="auto" w:sz="4" w:space="0"/>
            </w:tcBorders>
            <w:noWrap w:val="0"/>
            <w:vAlign w:val="bottom"/>
          </w:tcPr>
          <w:p w14:paraId="7E7DF73A">
            <w:pPr>
              <w:widowControl/>
              <w:adjustRightInd w:val="0"/>
              <w:snapToGrid w:val="0"/>
              <w:spacing w:line="440" w:lineRule="exact"/>
              <w:rPr>
                <w:rFonts w:ascii="仿宋_GB2312" w:hAnsi="宋体" w:eastAsia="仿宋_GB2312" w:cs="宋体"/>
                <w:color w:val="auto"/>
                <w:kern w:val="0"/>
                <w:sz w:val="24"/>
                <w:highlight w:val="none"/>
              </w:rPr>
            </w:pPr>
          </w:p>
        </w:tc>
        <w:tc>
          <w:tcPr>
            <w:tcW w:w="1356" w:type="dxa"/>
            <w:tcBorders>
              <w:top w:val="nil"/>
              <w:left w:val="nil"/>
              <w:bottom w:val="single" w:color="auto" w:sz="4" w:space="0"/>
              <w:right w:val="single" w:color="auto" w:sz="4" w:space="0"/>
            </w:tcBorders>
            <w:noWrap w:val="0"/>
            <w:vAlign w:val="bottom"/>
          </w:tcPr>
          <w:p w14:paraId="5BB00E04">
            <w:pPr>
              <w:widowControl/>
              <w:adjustRightInd w:val="0"/>
              <w:snapToGrid w:val="0"/>
              <w:spacing w:line="440" w:lineRule="exact"/>
              <w:rPr>
                <w:rFonts w:ascii="仿宋_GB2312" w:hAnsi="宋体" w:eastAsia="仿宋_GB2312" w:cs="宋体"/>
                <w:color w:val="auto"/>
                <w:kern w:val="0"/>
                <w:sz w:val="24"/>
                <w:highlight w:val="none"/>
              </w:rPr>
            </w:pPr>
          </w:p>
        </w:tc>
        <w:tc>
          <w:tcPr>
            <w:tcW w:w="1276" w:type="dxa"/>
            <w:tcBorders>
              <w:top w:val="nil"/>
              <w:left w:val="nil"/>
              <w:bottom w:val="single" w:color="auto" w:sz="4" w:space="0"/>
              <w:right w:val="single" w:color="auto" w:sz="4" w:space="0"/>
            </w:tcBorders>
            <w:noWrap w:val="0"/>
            <w:vAlign w:val="top"/>
          </w:tcPr>
          <w:p w14:paraId="1823572D">
            <w:pPr>
              <w:widowControl/>
              <w:adjustRightInd w:val="0"/>
              <w:snapToGrid w:val="0"/>
              <w:spacing w:line="440" w:lineRule="exact"/>
              <w:rPr>
                <w:rFonts w:ascii="仿宋_GB2312" w:hAnsi="宋体" w:eastAsia="仿宋_GB2312" w:cs="宋体"/>
                <w:color w:val="auto"/>
                <w:kern w:val="0"/>
                <w:sz w:val="24"/>
                <w:highlight w:val="none"/>
              </w:rPr>
            </w:pPr>
          </w:p>
        </w:tc>
      </w:tr>
      <w:tr w14:paraId="01851366">
        <w:tblPrEx>
          <w:tblCellMar>
            <w:top w:w="0" w:type="dxa"/>
            <w:left w:w="108" w:type="dxa"/>
            <w:bottom w:w="0" w:type="dxa"/>
            <w:right w:w="108" w:type="dxa"/>
          </w:tblCellMar>
        </w:tblPrEx>
        <w:trPr>
          <w:trHeight w:val="522" w:hRule="atLeast"/>
          <w:jc w:val="center"/>
        </w:trPr>
        <w:tc>
          <w:tcPr>
            <w:tcW w:w="1418" w:type="dxa"/>
            <w:tcBorders>
              <w:top w:val="nil"/>
              <w:left w:val="single" w:color="auto" w:sz="4" w:space="0"/>
              <w:bottom w:val="single" w:color="auto" w:sz="4" w:space="0"/>
              <w:right w:val="single" w:color="auto" w:sz="4" w:space="0"/>
            </w:tcBorders>
            <w:noWrap w:val="0"/>
            <w:vAlign w:val="bottom"/>
          </w:tcPr>
          <w:p w14:paraId="2A8EED55">
            <w:pPr>
              <w:widowControl/>
              <w:adjustRightInd w:val="0"/>
              <w:snapToGrid w:val="0"/>
              <w:spacing w:line="440" w:lineRule="exact"/>
              <w:rPr>
                <w:rFonts w:ascii="仿宋_GB2312" w:hAnsi="宋体" w:eastAsia="仿宋_GB2312" w:cs="宋体"/>
                <w:color w:val="auto"/>
                <w:kern w:val="0"/>
                <w:sz w:val="24"/>
                <w:highlight w:val="none"/>
              </w:rPr>
            </w:pPr>
          </w:p>
        </w:tc>
        <w:tc>
          <w:tcPr>
            <w:tcW w:w="2092" w:type="dxa"/>
            <w:tcBorders>
              <w:top w:val="nil"/>
              <w:left w:val="nil"/>
              <w:bottom w:val="single" w:color="auto" w:sz="4" w:space="0"/>
              <w:right w:val="single" w:color="auto" w:sz="4" w:space="0"/>
            </w:tcBorders>
            <w:noWrap w:val="0"/>
            <w:vAlign w:val="bottom"/>
          </w:tcPr>
          <w:p w14:paraId="2B73D1B4">
            <w:pPr>
              <w:widowControl/>
              <w:adjustRightInd w:val="0"/>
              <w:snapToGrid w:val="0"/>
              <w:spacing w:line="440" w:lineRule="exact"/>
              <w:rPr>
                <w:rFonts w:ascii="仿宋_GB2312" w:hAnsi="宋体" w:eastAsia="仿宋_GB2312" w:cs="宋体"/>
                <w:color w:val="auto"/>
                <w:kern w:val="0"/>
                <w:sz w:val="24"/>
                <w:highlight w:val="none"/>
              </w:rPr>
            </w:pPr>
          </w:p>
        </w:tc>
        <w:tc>
          <w:tcPr>
            <w:tcW w:w="2121" w:type="dxa"/>
            <w:tcBorders>
              <w:top w:val="nil"/>
              <w:left w:val="nil"/>
              <w:bottom w:val="single" w:color="auto" w:sz="4" w:space="0"/>
              <w:right w:val="single" w:color="auto" w:sz="4" w:space="0"/>
            </w:tcBorders>
            <w:noWrap w:val="0"/>
            <w:vAlign w:val="top"/>
          </w:tcPr>
          <w:p w14:paraId="1FFF17C5">
            <w:pPr>
              <w:widowControl/>
              <w:adjustRightInd w:val="0"/>
              <w:snapToGrid w:val="0"/>
              <w:spacing w:line="440" w:lineRule="exact"/>
              <w:rPr>
                <w:rFonts w:ascii="仿宋_GB2312" w:hAnsi="宋体" w:eastAsia="仿宋_GB2312" w:cs="宋体"/>
                <w:color w:val="auto"/>
                <w:kern w:val="0"/>
                <w:sz w:val="24"/>
                <w:highlight w:val="none"/>
              </w:rPr>
            </w:pPr>
          </w:p>
        </w:tc>
        <w:tc>
          <w:tcPr>
            <w:tcW w:w="896" w:type="dxa"/>
            <w:tcBorders>
              <w:top w:val="nil"/>
              <w:left w:val="nil"/>
              <w:bottom w:val="single" w:color="auto" w:sz="4" w:space="0"/>
              <w:right w:val="single" w:color="auto" w:sz="4" w:space="0"/>
            </w:tcBorders>
            <w:noWrap w:val="0"/>
            <w:vAlign w:val="top"/>
          </w:tcPr>
          <w:p w14:paraId="13010A23">
            <w:pPr>
              <w:widowControl/>
              <w:adjustRightInd w:val="0"/>
              <w:snapToGrid w:val="0"/>
              <w:spacing w:line="440" w:lineRule="exact"/>
              <w:rPr>
                <w:rFonts w:ascii="仿宋_GB2312" w:hAnsi="宋体" w:eastAsia="仿宋_GB2312" w:cs="宋体"/>
                <w:color w:val="auto"/>
                <w:kern w:val="0"/>
                <w:sz w:val="24"/>
                <w:highlight w:val="none"/>
              </w:rPr>
            </w:pPr>
          </w:p>
        </w:tc>
        <w:tc>
          <w:tcPr>
            <w:tcW w:w="1152" w:type="dxa"/>
            <w:tcBorders>
              <w:top w:val="nil"/>
              <w:left w:val="nil"/>
              <w:bottom w:val="single" w:color="auto" w:sz="4" w:space="0"/>
              <w:right w:val="single" w:color="auto" w:sz="4" w:space="0"/>
            </w:tcBorders>
            <w:noWrap w:val="0"/>
            <w:vAlign w:val="bottom"/>
          </w:tcPr>
          <w:p w14:paraId="1AB8BD0C">
            <w:pPr>
              <w:widowControl/>
              <w:adjustRightInd w:val="0"/>
              <w:snapToGrid w:val="0"/>
              <w:spacing w:line="440" w:lineRule="exact"/>
              <w:rPr>
                <w:rFonts w:ascii="仿宋_GB2312" w:hAnsi="宋体" w:eastAsia="仿宋_GB2312" w:cs="宋体"/>
                <w:color w:val="auto"/>
                <w:kern w:val="0"/>
                <w:sz w:val="24"/>
                <w:highlight w:val="none"/>
              </w:rPr>
            </w:pPr>
          </w:p>
        </w:tc>
        <w:tc>
          <w:tcPr>
            <w:tcW w:w="1880" w:type="dxa"/>
            <w:tcBorders>
              <w:top w:val="nil"/>
              <w:left w:val="nil"/>
              <w:bottom w:val="single" w:color="auto" w:sz="4" w:space="0"/>
              <w:right w:val="single" w:color="auto" w:sz="4" w:space="0"/>
            </w:tcBorders>
            <w:noWrap w:val="0"/>
            <w:vAlign w:val="top"/>
          </w:tcPr>
          <w:p w14:paraId="1158626D">
            <w:pPr>
              <w:widowControl/>
              <w:adjustRightInd w:val="0"/>
              <w:snapToGrid w:val="0"/>
              <w:spacing w:line="440" w:lineRule="exact"/>
              <w:rPr>
                <w:rFonts w:ascii="仿宋_GB2312" w:hAnsi="宋体" w:eastAsia="仿宋_GB2312" w:cs="宋体"/>
                <w:color w:val="auto"/>
                <w:kern w:val="0"/>
                <w:sz w:val="24"/>
                <w:highlight w:val="none"/>
              </w:rPr>
            </w:pPr>
          </w:p>
        </w:tc>
        <w:tc>
          <w:tcPr>
            <w:tcW w:w="1414" w:type="dxa"/>
            <w:tcBorders>
              <w:top w:val="nil"/>
              <w:left w:val="nil"/>
              <w:bottom w:val="single" w:color="auto" w:sz="4" w:space="0"/>
              <w:right w:val="single" w:color="auto" w:sz="4" w:space="0"/>
            </w:tcBorders>
            <w:noWrap w:val="0"/>
            <w:vAlign w:val="bottom"/>
          </w:tcPr>
          <w:p w14:paraId="5663A505">
            <w:pPr>
              <w:widowControl/>
              <w:adjustRightInd w:val="0"/>
              <w:snapToGrid w:val="0"/>
              <w:spacing w:line="440" w:lineRule="exact"/>
              <w:rPr>
                <w:rFonts w:ascii="仿宋_GB2312" w:hAnsi="宋体" w:eastAsia="仿宋_GB2312" w:cs="宋体"/>
                <w:color w:val="auto"/>
                <w:kern w:val="0"/>
                <w:sz w:val="24"/>
                <w:highlight w:val="none"/>
              </w:rPr>
            </w:pPr>
          </w:p>
        </w:tc>
        <w:tc>
          <w:tcPr>
            <w:tcW w:w="1356" w:type="dxa"/>
            <w:tcBorders>
              <w:top w:val="nil"/>
              <w:left w:val="nil"/>
              <w:bottom w:val="single" w:color="auto" w:sz="4" w:space="0"/>
              <w:right w:val="single" w:color="auto" w:sz="4" w:space="0"/>
            </w:tcBorders>
            <w:noWrap w:val="0"/>
            <w:vAlign w:val="bottom"/>
          </w:tcPr>
          <w:p w14:paraId="69704506">
            <w:pPr>
              <w:widowControl/>
              <w:adjustRightInd w:val="0"/>
              <w:snapToGrid w:val="0"/>
              <w:spacing w:line="440" w:lineRule="exact"/>
              <w:rPr>
                <w:rFonts w:ascii="仿宋_GB2312" w:hAnsi="宋体" w:eastAsia="仿宋_GB2312" w:cs="宋体"/>
                <w:color w:val="auto"/>
                <w:kern w:val="0"/>
                <w:sz w:val="24"/>
                <w:highlight w:val="none"/>
              </w:rPr>
            </w:pPr>
          </w:p>
        </w:tc>
        <w:tc>
          <w:tcPr>
            <w:tcW w:w="1276" w:type="dxa"/>
            <w:tcBorders>
              <w:top w:val="nil"/>
              <w:left w:val="nil"/>
              <w:bottom w:val="single" w:color="auto" w:sz="4" w:space="0"/>
              <w:right w:val="single" w:color="auto" w:sz="4" w:space="0"/>
            </w:tcBorders>
            <w:noWrap w:val="0"/>
            <w:vAlign w:val="top"/>
          </w:tcPr>
          <w:p w14:paraId="570D1E21">
            <w:pPr>
              <w:widowControl/>
              <w:adjustRightInd w:val="0"/>
              <w:snapToGrid w:val="0"/>
              <w:spacing w:line="440" w:lineRule="exact"/>
              <w:rPr>
                <w:rFonts w:ascii="仿宋_GB2312" w:hAnsi="宋体" w:eastAsia="仿宋_GB2312" w:cs="宋体"/>
                <w:color w:val="auto"/>
                <w:kern w:val="0"/>
                <w:sz w:val="24"/>
                <w:highlight w:val="none"/>
              </w:rPr>
            </w:pPr>
          </w:p>
        </w:tc>
      </w:tr>
    </w:tbl>
    <w:p w14:paraId="3338A651">
      <w:pPr>
        <w:widowControl/>
        <w:shd w:val="clear" w:color="auto" w:fill="FFFFFF"/>
        <w:adjustRightInd w:val="0"/>
        <w:snapToGrid w:val="0"/>
        <w:spacing w:line="440" w:lineRule="exact"/>
        <w:ind w:firstLine="120" w:firstLineChars="50"/>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移交人签字：              接交人签字：                  监交人签字：              接收单位（财务）盖章：</w:t>
      </w:r>
    </w:p>
    <w:p w14:paraId="6341B3F7">
      <w:pPr>
        <w:widowControl/>
        <w:shd w:val="clear" w:color="auto" w:fill="FFFFFF"/>
        <w:adjustRightInd w:val="0"/>
        <w:snapToGrid w:val="0"/>
        <w:spacing w:line="440" w:lineRule="exact"/>
        <w:ind w:right="1440"/>
        <w:rPr>
          <w:rFonts w:hint="eastAsia" w:ascii="仿宋_GB2312" w:hAnsi="宋体" w:eastAsia="仿宋_GB2312" w:cs="宋体"/>
          <w:color w:val="auto"/>
          <w:kern w:val="0"/>
          <w:sz w:val="24"/>
          <w:highlight w:val="none"/>
        </w:rPr>
      </w:pPr>
    </w:p>
    <w:p w14:paraId="16659A81">
      <w:pPr>
        <w:widowControl/>
        <w:shd w:val="clear" w:color="auto" w:fill="FFFFFF"/>
        <w:adjustRightInd w:val="0"/>
        <w:snapToGrid w:val="0"/>
        <w:spacing w:line="440" w:lineRule="exact"/>
        <w:ind w:right="1440"/>
        <w:rPr>
          <w:rFonts w:hint="eastAsia" w:ascii="仿宋_GB2312" w:hAnsi="宋体" w:eastAsia="仿宋_GB2312" w:cs="宋体"/>
          <w:color w:val="auto"/>
          <w:kern w:val="0"/>
          <w:sz w:val="24"/>
          <w:highlight w:val="none"/>
        </w:rPr>
      </w:pPr>
    </w:p>
    <w:p w14:paraId="6B976740">
      <w:pPr>
        <w:widowControl/>
        <w:shd w:val="clear" w:color="auto" w:fill="FFFFFF"/>
        <w:adjustRightInd w:val="0"/>
        <w:snapToGrid w:val="0"/>
        <w:spacing w:line="440" w:lineRule="exact"/>
        <w:ind w:right="1440"/>
        <w:rPr>
          <w:rFonts w:hint="eastAsia" w:ascii="仿宋_GB2312" w:hAnsi="宋体" w:eastAsia="仿宋_GB2312" w:cs="宋体"/>
          <w:color w:val="auto"/>
          <w:kern w:val="0"/>
          <w:sz w:val="24"/>
          <w:highlight w:val="none"/>
        </w:rPr>
      </w:pPr>
    </w:p>
    <w:p w14:paraId="5A1FAE59">
      <w:pPr>
        <w:keepNext w:val="0"/>
        <w:keepLines w:val="0"/>
        <w:pageBreakBefore w:val="0"/>
        <w:kinsoku/>
        <w:wordWrap/>
        <w:overflowPunct/>
        <w:topLinePunct w:val="0"/>
        <w:autoSpaceDE/>
        <w:autoSpaceDN/>
        <w:bidi w:val="0"/>
        <w:adjustRightInd w:val="0"/>
        <w:snapToGrid w:val="0"/>
        <w:spacing w:line="240" w:lineRule="auto"/>
        <w:ind w:right="0" w:rightChars="0"/>
        <w:jc w:val="both"/>
        <w:textAlignment w:val="auto"/>
        <w:rPr>
          <w:rFonts w:hint="eastAsia" w:ascii="宋体" w:hAnsi="宋体" w:cs="Helvetica"/>
          <w:b/>
          <w:bCs/>
          <w:color w:val="auto"/>
          <w:kern w:val="0"/>
          <w:sz w:val="24"/>
          <w:szCs w:val="24"/>
          <w:highlight w:val="none"/>
        </w:rPr>
      </w:pPr>
    </w:p>
    <w:p w14:paraId="34EDF8D8">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eastAsia" w:ascii="方正小标宋简体" w:hAnsi="方正小标宋简体" w:eastAsia="方正小标宋简体" w:cs="方正小标宋简体"/>
          <w:b w:val="0"/>
          <w:bCs/>
          <w:color w:val="auto"/>
          <w:sz w:val="32"/>
          <w:szCs w:val="32"/>
          <w:highlight w:val="none"/>
        </w:rPr>
        <w:sectPr>
          <w:headerReference r:id="rId14" w:type="first"/>
          <w:footerReference r:id="rId17" w:type="first"/>
          <w:headerReference r:id="rId13" w:type="default"/>
          <w:footerReference r:id="rId15" w:type="default"/>
          <w:footerReference r:id="rId16" w:type="even"/>
          <w:pgSz w:w="16838" w:h="11906" w:orient="landscape"/>
          <w:pgMar w:top="1259" w:right="1440" w:bottom="471" w:left="1077" w:header="851" w:footer="992" w:gutter="0"/>
          <w:pgNumType w:fmt="decimal"/>
          <w:cols w:space="720" w:num="1"/>
          <w:titlePg/>
          <w:docGrid w:type="lines" w:linePitch="312" w:charSpace="0"/>
        </w:sectPr>
      </w:pPr>
    </w:p>
    <w:p w14:paraId="086F03BE">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hint="eastAsia" w:ascii="方正小标宋简体" w:hAnsi="方正小标宋简体" w:eastAsia="方正小标宋简体" w:cs="方正小标宋简体"/>
          <w:b w:val="0"/>
          <w:bCs/>
          <w:color w:val="auto"/>
          <w:sz w:val="36"/>
          <w:szCs w:val="36"/>
          <w:highlight w:val="none"/>
        </w:rPr>
      </w:pPr>
      <w:r>
        <w:rPr>
          <w:rFonts w:hint="eastAsia" w:ascii="方正小标宋简体" w:hAnsi="方正小标宋简体" w:eastAsia="方正小标宋简体" w:cs="方正小标宋简体"/>
          <w:b w:val="0"/>
          <w:bCs/>
          <w:color w:val="auto"/>
          <w:sz w:val="36"/>
          <w:szCs w:val="36"/>
          <w:highlight w:val="none"/>
        </w:rPr>
        <w:t>自治区疾控中心</w:t>
      </w:r>
      <w:r>
        <w:rPr>
          <w:rFonts w:hint="eastAsia" w:ascii="方正小标宋简体" w:hAnsi="方正小标宋简体" w:eastAsia="方正小标宋简体" w:cs="方正小标宋简体"/>
          <w:b w:val="0"/>
          <w:bCs/>
          <w:color w:val="auto"/>
          <w:sz w:val="36"/>
          <w:szCs w:val="36"/>
          <w:highlight w:val="none"/>
          <w:lang w:val="en-US" w:eastAsia="zh-CN"/>
        </w:rPr>
        <w:t>采购</w:t>
      </w:r>
      <w:r>
        <w:rPr>
          <w:rFonts w:hint="eastAsia" w:ascii="方正小标宋简体" w:hAnsi="方正小标宋简体" w:eastAsia="方正小标宋简体" w:cs="方正小标宋简体"/>
          <w:b w:val="0"/>
          <w:bCs/>
          <w:color w:val="auto"/>
          <w:sz w:val="36"/>
          <w:szCs w:val="36"/>
          <w:highlight w:val="none"/>
        </w:rPr>
        <w:t>廉洁合同</w:t>
      </w:r>
    </w:p>
    <w:p w14:paraId="344B4BFB">
      <w:pPr>
        <w:keepNext w:val="0"/>
        <w:keepLines w:val="0"/>
        <w:pageBreakBefore w:val="0"/>
        <w:kinsoku/>
        <w:wordWrap/>
        <w:overflowPunct/>
        <w:topLinePunct w:val="0"/>
        <w:autoSpaceDE/>
        <w:autoSpaceDN/>
        <w:bidi w:val="0"/>
        <w:adjustRightInd w:val="0"/>
        <w:snapToGrid w:val="0"/>
        <w:spacing w:line="350" w:lineRule="exact"/>
        <w:ind w:right="0" w:rightChars="0"/>
        <w:textAlignment w:val="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项目名称：</w:t>
      </w:r>
    </w:p>
    <w:p w14:paraId="6783FBE7">
      <w:pPr>
        <w:keepNext w:val="0"/>
        <w:keepLines w:val="0"/>
        <w:pageBreakBefore w:val="0"/>
        <w:kinsoku/>
        <w:wordWrap/>
        <w:overflowPunct/>
        <w:topLinePunct w:val="0"/>
        <w:autoSpaceDE/>
        <w:autoSpaceDN/>
        <w:bidi w:val="0"/>
        <w:adjustRightInd w:val="0"/>
        <w:snapToGrid w:val="0"/>
        <w:spacing w:line="350" w:lineRule="exact"/>
        <w:ind w:right="0" w:rightChars="0"/>
        <w:textAlignment w:val="auto"/>
        <w:outlineLvl w:val="9"/>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项目金额：</w:t>
      </w:r>
    </w:p>
    <w:p w14:paraId="0551C60B">
      <w:pPr>
        <w:pStyle w:val="34"/>
        <w:keepNext w:val="0"/>
        <w:keepLines w:val="0"/>
        <w:pageBreakBefore w:val="0"/>
        <w:kinsoku/>
        <w:wordWrap/>
        <w:overflowPunct/>
        <w:topLinePunct w:val="0"/>
        <w:autoSpaceDE/>
        <w:autoSpaceDN/>
        <w:bidi w:val="0"/>
        <w:spacing w:line="350" w:lineRule="exact"/>
        <w:ind w:right="0" w:rightChars="0" w:firstLine="6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为了加强廉政建设，进一步物资采购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技术服务</w:t>
      </w:r>
      <w:r>
        <w:rPr>
          <w:rFonts w:hint="eastAsia" w:ascii="宋体" w:hAnsi="宋体" w:eastAsia="宋体" w:cs="宋体"/>
          <w:color w:val="auto"/>
          <w:sz w:val="21"/>
          <w:szCs w:val="21"/>
          <w:highlight w:val="none"/>
        </w:rPr>
        <w:t>和基建工程等工作的管理，预防违法违纪行为等问题的发生，维护各方主体的合法权益，督促从业人员敬业守法，保证</w:t>
      </w:r>
      <w:r>
        <w:rPr>
          <w:rFonts w:hint="eastAsia" w:ascii="宋体" w:hAnsi="宋体" w:eastAsia="宋体" w:cs="宋体"/>
          <w:color w:val="auto"/>
          <w:sz w:val="21"/>
          <w:szCs w:val="21"/>
          <w:highlight w:val="none"/>
          <w:lang w:val="en-US" w:eastAsia="zh-CN"/>
        </w:rPr>
        <w:t>中心</w:t>
      </w:r>
      <w:r>
        <w:rPr>
          <w:rFonts w:hint="eastAsia" w:ascii="宋体" w:hAnsi="宋体" w:eastAsia="宋体" w:cs="宋体"/>
          <w:color w:val="auto"/>
          <w:sz w:val="21"/>
          <w:szCs w:val="21"/>
          <w:highlight w:val="none"/>
        </w:rPr>
        <w:t>各项活动健康有序开展，经甲、乙双方协商，同意签订本合同，并共同遵守：</w:t>
      </w:r>
    </w:p>
    <w:p w14:paraId="568BAF05">
      <w:pPr>
        <w:pStyle w:val="34"/>
        <w:keepNext w:val="0"/>
        <w:keepLines w:val="0"/>
        <w:pageBreakBefore w:val="0"/>
        <w:kinsoku/>
        <w:wordWrap/>
        <w:overflowPunct/>
        <w:topLinePunct w:val="0"/>
        <w:autoSpaceDE/>
        <w:autoSpaceDN/>
        <w:bidi w:val="0"/>
        <w:spacing w:line="350" w:lineRule="exact"/>
        <w:ind w:right="0" w:rightChars="0" w:firstLine="6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第一条 中心</w:t>
      </w:r>
      <w:r>
        <w:rPr>
          <w:rFonts w:hint="eastAsia" w:ascii="宋体" w:hAnsi="宋体" w:eastAsia="宋体" w:cs="宋体"/>
          <w:color w:val="auto"/>
          <w:sz w:val="21"/>
          <w:szCs w:val="21"/>
          <w:highlight w:val="none"/>
        </w:rPr>
        <w:t>和供应商双方的业务活动应坚持公开、公正、诚信的原则，自觉遵守国家的法律法规和行业的规章制度，依法采购和经销，保证</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质优价廉、安全有效。</w:t>
      </w:r>
    </w:p>
    <w:p w14:paraId="36D96791">
      <w:pPr>
        <w:pStyle w:val="34"/>
        <w:keepNext w:val="0"/>
        <w:keepLines w:val="0"/>
        <w:pageBreakBefore w:val="0"/>
        <w:kinsoku/>
        <w:wordWrap/>
        <w:overflowPunct/>
        <w:topLinePunct w:val="0"/>
        <w:autoSpaceDE/>
        <w:autoSpaceDN/>
        <w:bidi w:val="0"/>
        <w:spacing w:line="350" w:lineRule="exact"/>
        <w:ind w:right="0" w:rightChars="0" w:firstLine="6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第二条 </w:t>
      </w:r>
      <w:r>
        <w:rPr>
          <w:rFonts w:hint="eastAsia" w:ascii="宋体" w:hAnsi="宋体" w:eastAsia="宋体" w:cs="宋体"/>
          <w:color w:val="auto"/>
          <w:sz w:val="21"/>
          <w:szCs w:val="21"/>
          <w:highlight w:val="none"/>
        </w:rPr>
        <w:t>严格执行国家政策，不得弄虚作假、虚高定价、徇私舞弊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不得损害国家和集体利益，不得违反物资采购、工程建设、医药购销等相关管理规章制度。</w:t>
      </w:r>
    </w:p>
    <w:p w14:paraId="17DF6078">
      <w:pPr>
        <w:pStyle w:val="34"/>
        <w:keepNext w:val="0"/>
        <w:keepLines w:val="0"/>
        <w:pageBreakBefore w:val="0"/>
        <w:kinsoku/>
        <w:wordWrap/>
        <w:overflowPunct/>
        <w:topLinePunct w:val="0"/>
        <w:autoSpaceDE/>
        <w:autoSpaceDN/>
        <w:bidi w:val="0"/>
        <w:spacing w:line="350" w:lineRule="exact"/>
        <w:ind w:right="0" w:rightChars="0" w:firstLine="6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第三条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各方主体从业人员要做到各负其责、敬业守法、秉公办事，互相配合支持，不推诿扯皮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设卡刁难，杜绝暗箱操作，禁止不正当竞争。</w:t>
      </w:r>
    </w:p>
    <w:p w14:paraId="01916ACE">
      <w:pPr>
        <w:pStyle w:val="34"/>
        <w:keepNext w:val="0"/>
        <w:keepLines w:val="0"/>
        <w:pageBreakBefore w:val="0"/>
        <w:kinsoku/>
        <w:wordWrap/>
        <w:overflowPunct/>
        <w:topLinePunct w:val="0"/>
        <w:autoSpaceDE/>
        <w:autoSpaceDN/>
        <w:bidi w:val="0"/>
        <w:spacing w:line="350" w:lineRule="exact"/>
        <w:ind w:right="0" w:rightChars="0" w:firstLine="6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坚决制止任何形式的商业贿赂和其他腐败行为。甲方严禁接受乙方以任何名义、形式给予的回扣，不得将接受捐赠资助与采购挂钩。</w:t>
      </w:r>
      <w:r>
        <w:rPr>
          <w:rFonts w:hint="eastAsia" w:ascii="宋体" w:hAnsi="宋体" w:eastAsia="宋体" w:cs="宋体"/>
          <w:color w:val="auto"/>
          <w:sz w:val="21"/>
          <w:szCs w:val="21"/>
          <w:highlight w:val="none"/>
          <w:lang w:val="en-US" w:eastAsia="zh-CN"/>
        </w:rPr>
        <w:t>甲方工作人员不得利用任何途径和方式，私自为乙方提供物资用量、底价等信息，或为乙方投标提供便利。乙方</w:t>
      </w:r>
      <w:r>
        <w:rPr>
          <w:rFonts w:hint="eastAsia" w:ascii="宋体" w:hAnsi="宋体" w:eastAsia="宋体" w:cs="宋体"/>
          <w:color w:val="auto"/>
          <w:sz w:val="21"/>
          <w:szCs w:val="21"/>
          <w:highlight w:val="none"/>
        </w:rPr>
        <w:t>不得以任何不正当方式进行经营活动，不得到</w:t>
      </w:r>
      <w:r>
        <w:rPr>
          <w:rFonts w:hint="eastAsia" w:ascii="宋体" w:hAnsi="宋体" w:eastAsia="宋体" w:cs="宋体"/>
          <w:color w:val="auto"/>
          <w:sz w:val="21"/>
          <w:szCs w:val="21"/>
          <w:highlight w:val="none"/>
          <w:lang w:val="en-US" w:eastAsia="zh-CN"/>
        </w:rPr>
        <w:t>中心</w:t>
      </w:r>
      <w:r>
        <w:rPr>
          <w:rFonts w:hint="eastAsia" w:ascii="宋体" w:hAnsi="宋体" w:eastAsia="宋体" w:cs="宋体"/>
          <w:color w:val="auto"/>
          <w:sz w:val="21"/>
          <w:szCs w:val="21"/>
          <w:highlight w:val="none"/>
        </w:rPr>
        <w:t>科室私下向</w:t>
      </w:r>
      <w:r>
        <w:rPr>
          <w:rFonts w:hint="eastAsia" w:ascii="宋体" w:hAnsi="宋体" w:eastAsia="宋体" w:cs="宋体"/>
          <w:color w:val="auto"/>
          <w:sz w:val="21"/>
          <w:szCs w:val="21"/>
          <w:highlight w:val="none"/>
          <w:lang w:val="en-US" w:eastAsia="zh-CN"/>
        </w:rPr>
        <w:t>中心职工</w:t>
      </w:r>
      <w:r>
        <w:rPr>
          <w:rFonts w:hint="eastAsia" w:ascii="宋体" w:hAnsi="宋体" w:eastAsia="宋体" w:cs="宋体"/>
          <w:color w:val="auto"/>
          <w:sz w:val="21"/>
          <w:szCs w:val="21"/>
          <w:highlight w:val="none"/>
        </w:rPr>
        <w:t>进行任何形式的促销活动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不得以各种名义给</w:t>
      </w:r>
      <w:r>
        <w:rPr>
          <w:rFonts w:hint="eastAsia" w:ascii="宋体" w:hAnsi="宋体" w:eastAsia="宋体" w:cs="宋体"/>
          <w:color w:val="auto"/>
          <w:sz w:val="21"/>
          <w:szCs w:val="21"/>
          <w:highlight w:val="none"/>
          <w:lang w:val="en-US" w:eastAsia="zh-CN"/>
        </w:rPr>
        <w:t>中心职工</w:t>
      </w:r>
      <w:r>
        <w:rPr>
          <w:rFonts w:hint="eastAsia" w:ascii="宋体" w:hAnsi="宋体" w:eastAsia="宋体" w:cs="宋体"/>
          <w:color w:val="auto"/>
          <w:sz w:val="21"/>
          <w:szCs w:val="21"/>
          <w:highlight w:val="none"/>
        </w:rPr>
        <w:t>促销费、礼金、回扣、提成、贵重礼品或其它不正当利益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乙方不得以回扣、宴请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提供旅游、超标准支付食宿费用等方式影响甲方工作人员采购或使用物资的选择权。</w:t>
      </w:r>
    </w:p>
    <w:p w14:paraId="5DF23D0F">
      <w:pPr>
        <w:pStyle w:val="34"/>
        <w:keepNext w:val="0"/>
        <w:keepLines w:val="0"/>
        <w:pageBreakBefore w:val="0"/>
        <w:kinsoku/>
        <w:wordWrap/>
        <w:overflowPunct/>
        <w:topLinePunct w:val="0"/>
        <w:autoSpaceDE/>
        <w:autoSpaceDN/>
        <w:bidi w:val="0"/>
        <w:spacing w:line="350" w:lineRule="exact"/>
        <w:ind w:right="0" w:rightChars="0" w:firstLine="6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第五条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乙方指定作为销售代表洽谈业务。销售代表必须在工作时间到甲方指定地点联系商谈，不得到各科室推销产品，不得借故到甲方相关领导、部门负责人及相关工作人员家中访谈并提供任何好处费。</w:t>
      </w:r>
    </w:p>
    <w:p w14:paraId="50F87C8F">
      <w:pPr>
        <w:pStyle w:val="34"/>
        <w:keepNext w:val="0"/>
        <w:keepLines w:val="0"/>
        <w:pageBreakBefore w:val="0"/>
        <w:kinsoku/>
        <w:wordWrap/>
        <w:overflowPunct/>
        <w:topLinePunct w:val="0"/>
        <w:autoSpaceDE/>
        <w:autoSpaceDN/>
        <w:bidi w:val="0"/>
        <w:spacing w:line="350" w:lineRule="exact"/>
        <w:ind w:right="0" w:rightChars="0" w:firstLine="6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认真履行合同，诚信服务，严把产品质量关，杜绝假冒伪劣产品进入</w:t>
      </w:r>
      <w:r>
        <w:rPr>
          <w:rFonts w:hint="eastAsia" w:ascii="宋体" w:hAnsi="宋体" w:eastAsia="宋体" w:cs="宋体"/>
          <w:color w:val="auto"/>
          <w:sz w:val="21"/>
          <w:szCs w:val="21"/>
          <w:highlight w:val="none"/>
          <w:lang w:val="en-US" w:eastAsia="zh-CN"/>
        </w:rPr>
        <w:t>中心</w:t>
      </w:r>
      <w:r>
        <w:rPr>
          <w:rFonts w:hint="eastAsia" w:ascii="宋体" w:hAnsi="宋体" w:eastAsia="宋体" w:cs="宋体"/>
          <w:color w:val="auto"/>
          <w:sz w:val="21"/>
          <w:szCs w:val="21"/>
          <w:highlight w:val="none"/>
        </w:rPr>
        <w:t>，做好产品的售前、售中、售后服务工作。由产品质量问题造成的事故一切责任由</w:t>
      </w:r>
      <w:r>
        <w:rPr>
          <w:rFonts w:hint="eastAsia" w:ascii="宋体" w:hAnsi="宋体" w:eastAsia="宋体" w:cs="宋体"/>
          <w:color w:val="auto"/>
          <w:sz w:val="21"/>
          <w:szCs w:val="21"/>
          <w:highlight w:val="none"/>
          <w:lang w:val="en-US" w:eastAsia="zh-CN"/>
        </w:rPr>
        <w:t>乙</w:t>
      </w:r>
      <w:r>
        <w:rPr>
          <w:rFonts w:hint="eastAsia" w:ascii="宋体" w:hAnsi="宋体" w:eastAsia="宋体" w:cs="宋体"/>
          <w:color w:val="auto"/>
          <w:sz w:val="21"/>
          <w:szCs w:val="21"/>
          <w:highlight w:val="none"/>
        </w:rPr>
        <w:t>方承担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不得违反有关规定合同外采购、违价采购或从非规定渠道采购。</w:t>
      </w:r>
    </w:p>
    <w:p w14:paraId="30CFD16E">
      <w:pPr>
        <w:pStyle w:val="34"/>
        <w:keepNext w:val="0"/>
        <w:keepLines w:val="0"/>
        <w:pageBreakBefore w:val="0"/>
        <w:kinsoku/>
        <w:wordWrap/>
        <w:overflowPunct/>
        <w:topLinePunct w:val="0"/>
        <w:autoSpaceDE/>
        <w:autoSpaceDN/>
        <w:bidi w:val="0"/>
        <w:spacing w:line="350" w:lineRule="exact"/>
        <w:ind w:right="0" w:rightChars="0" w:firstLine="6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各主体从业人员如发现双方工作人员有违法违纪等不廉洁行为应及时向监督部门报告。</w:t>
      </w:r>
    </w:p>
    <w:p w14:paraId="67953D6E">
      <w:pPr>
        <w:pStyle w:val="34"/>
        <w:keepNext w:val="0"/>
        <w:keepLines w:val="0"/>
        <w:pageBreakBefore w:val="0"/>
        <w:kinsoku/>
        <w:wordWrap/>
        <w:overflowPunct/>
        <w:topLinePunct w:val="0"/>
        <w:autoSpaceDE/>
        <w:autoSpaceDN/>
        <w:bidi w:val="0"/>
        <w:spacing w:line="350" w:lineRule="exact"/>
        <w:ind w:right="0" w:rightChars="0" w:firstLine="6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条</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本合同作为中心</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合同的重要组成部分，与</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合同一并执行，具有同等的法律效力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本合约自双方签订后生效，双方应共同遵守和履行合约规定</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对违反上述规定者，将依据有关规定给予严肃处理，终止合同或暂停其产品在</w:t>
      </w:r>
      <w:r>
        <w:rPr>
          <w:rFonts w:hint="eastAsia" w:ascii="宋体" w:hAnsi="宋体" w:eastAsia="宋体" w:cs="宋体"/>
          <w:color w:val="auto"/>
          <w:sz w:val="21"/>
          <w:szCs w:val="21"/>
          <w:highlight w:val="none"/>
          <w:lang w:val="en-US" w:eastAsia="zh-CN"/>
        </w:rPr>
        <w:t>中心</w:t>
      </w:r>
      <w:r>
        <w:rPr>
          <w:rFonts w:hint="eastAsia" w:ascii="宋体" w:hAnsi="宋体" w:eastAsia="宋体" w:cs="宋体"/>
          <w:color w:val="auto"/>
          <w:sz w:val="21"/>
          <w:szCs w:val="21"/>
          <w:highlight w:val="none"/>
        </w:rPr>
        <w:t>内的销售和使用，触犯法律的，移交司法机关处理。</w:t>
      </w:r>
    </w:p>
    <w:p w14:paraId="733ABB35">
      <w:pPr>
        <w:pStyle w:val="34"/>
        <w:keepNext w:val="0"/>
        <w:keepLines w:val="0"/>
        <w:pageBreakBefore w:val="0"/>
        <w:kinsoku/>
        <w:wordWrap/>
        <w:overflowPunct/>
        <w:topLinePunct w:val="0"/>
        <w:autoSpaceDE/>
        <w:autoSpaceDN/>
        <w:bidi w:val="0"/>
        <w:spacing w:line="350" w:lineRule="exact"/>
        <w:ind w:right="0" w:rightChars="0" w:firstLine="6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第九条 本合同与采购合同份数一致，甲方监督部门留存一份。</w:t>
      </w:r>
    </w:p>
    <w:p w14:paraId="01B928CB">
      <w:pPr>
        <w:pStyle w:val="34"/>
        <w:keepNext w:val="0"/>
        <w:keepLines w:val="0"/>
        <w:pageBreakBefore w:val="0"/>
        <w:kinsoku/>
        <w:wordWrap/>
        <w:overflowPunct/>
        <w:topLinePunct w:val="0"/>
        <w:autoSpaceDE/>
        <w:autoSpaceDN/>
        <w:bidi w:val="0"/>
        <w:spacing w:line="350" w:lineRule="exact"/>
        <w:ind w:right="0" w:rightChars="0" w:firstLine="60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第十条 本合同共计十条。</w:t>
      </w:r>
    </w:p>
    <w:p w14:paraId="36204C9E">
      <w:pPr>
        <w:keepNext w:val="0"/>
        <w:keepLines w:val="0"/>
        <w:pageBreakBefore w:val="0"/>
        <w:widowControl w:val="0"/>
        <w:kinsoku/>
        <w:wordWrap/>
        <w:overflowPunct/>
        <w:topLinePunct w:val="0"/>
        <w:autoSpaceDE/>
        <w:autoSpaceDN/>
        <w:bidi w:val="0"/>
        <w:adjustRightInd w:val="0"/>
        <w:snapToGrid w:val="0"/>
        <w:spacing w:line="350" w:lineRule="exact"/>
        <w:ind w:right="0" w:rightChars="0"/>
        <w:jc w:val="left"/>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甲方：                                 乙方（盖  章）：</w:t>
      </w:r>
    </w:p>
    <w:p w14:paraId="34AD50BB">
      <w:pPr>
        <w:keepNext w:val="0"/>
        <w:keepLines w:val="0"/>
        <w:pageBreakBefore w:val="0"/>
        <w:widowControl w:val="0"/>
        <w:kinsoku/>
        <w:wordWrap/>
        <w:overflowPunct/>
        <w:topLinePunct w:val="0"/>
        <w:autoSpaceDE/>
        <w:autoSpaceDN/>
        <w:bidi w:val="0"/>
        <w:adjustRightInd w:val="0"/>
        <w:snapToGrid w:val="0"/>
        <w:spacing w:line="350" w:lineRule="exact"/>
        <w:ind w:right="0" w:rightChars="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申请部门负责人：                       法定代表人（负责人）：</w:t>
      </w:r>
    </w:p>
    <w:p w14:paraId="1B833F13">
      <w:pPr>
        <w:keepNext w:val="0"/>
        <w:keepLines w:val="0"/>
        <w:pageBreakBefore w:val="0"/>
        <w:widowControl w:val="0"/>
        <w:kinsoku/>
        <w:wordWrap/>
        <w:overflowPunct/>
        <w:topLinePunct w:val="0"/>
        <w:autoSpaceDE/>
        <w:autoSpaceDN/>
        <w:bidi w:val="0"/>
        <w:adjustRightInd w:val="0"/>
        <w:snapToGrid w:val="0"/>
        <w:spacing w:line="350" w:lineRule="exact"/>
        <w:ind w:right="0" w:rightChars="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采购部门负责人：                       经办人签名：</w:t>
      </w:r>
    </w:p>
    <w:p w14:paraId="3D990304">
      <w:pPr>
        <w:keepNext w:val="0"/>
        <w:keepLines w:val="0"/>
        <w:pageBreakBefore w:val="0"/>
        <w:widowControl w:val="0"/>
        <w:kinsoku/>
        <w:wordWrap/>
        <w:overflowPunct/>
        <w:topLinePunct w:val="0"/>
        <w:autoSpaceDE/>
        <w:autoSpaceDN/>
        <w:bidi w:val="0"/>
        <w:adjustRightInd w:val="0"/>
        <w:snapToGrid w:val="0"/>
        <w:spacing w:line="350" w:lineRule="exact"/>
        <w:ind w:right="0" w:rightChars="0"/>
        <w:textAlignment w:val="auto"/>
        <w:outlineLvl w:val="9"/>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监督部门签章：                  </w:t>
      </w:r>
    </w:p>
    <w:p w14:paraId="08FCA5EE">
      <w:pPr>
        <w:keepNext w:val="0"/>
        <w:keepLines w:val="0"/>
        <w:pageBreakBefore w:val="0"/>
        <w:widowControl w:val="0"/>
        <w:kinsoku/>
        <w:wordWrap/>
        <w:overflowPunct/>
        <w:topLinePunct w:val="0"/>
        <w:autoSpaceDE/>
        <w:autoSpaceDN/>
        <w:bidi w:val="0"/>
        <w:adjustRightInd w:val="0"/>
        <w:snapToGrid w:val="0"/>
        <w:spacing w:line="350" w:lineRule="exact"/>
        <w:ind w:right="0" w:rightChars="0" w:firstLine="630" w:firstLineChars="300"/>
        <w:textAlignment w:val="auto"/>
        <w:outlineLvl w:val="9"/>
        <w:rPr>
          <w:rFonts w:hint="eastAsia" w:ascii="宋体" w:hAnsi="宋体" w:eastAsia="宋体" w:cs="宋体"/>
          <w:color w:val="auto"/>
          <w:kern w:val="0"/>
          <w:sz w:val="21"/>
          <w:szCs w:val="21"/>
          <w:highlight w:val="none"/>
          <w:lang w:val="en-US" w:eastAsia="zh-CN" w:bidi="ar-SA"/>
        </w:rPr>
      </w:pPr>
    </w:p>
    <w:p w14:paraId="15A09BE0">
      <w:pPr>
        <w:keepNext w:val="0"/>
        <w:keepLines w:val="0"/>
        <w:pageBreakBefore w:val="0"/>
        <w:widowControl w:val="0"/>
        <w:kinsoku/>
        <w:wordWrap/>
        <w:overflowPunct/>
        <w:topLinePunct w:val="0"/>
        <w:autoSpaceDE/>
        <w:autoSpaceDN/>
        <w:bidi w:val="0"/>
        <w:adjustRightInd w:val="0"/>
        <w:snapToGrid w:val="0"/>
        <w:spacing w:line="350" w:lineRule="exact"/>
        <w:ind w:right="0" w:rightChars="0" w:firstLine="630" w:firstLineChars="300"/>
        <w:textAlignment w:val="auto"/>
        <w:outlineLvl w:val="9"/>
        <w:rPr>
          <w:rFonts w:hint="eastAsia" w:ascii="仿宋_GB2312" w:hAnsi="宋体" w:eastAsia="仿宋_GB2312" w:cs="宋体"/>
          <w:color w:val="auto"/>
          <w:kern w:val="0"/>
          <w:sz w:val="24"/>
          <w:highlight w:val="none"/>
        </w:rPr>
      </w:pPr>
      <w:r>
        <w:rPr>
          <w:rFonts w:hint="eastAsia" w:ascii="宋体" w:hAnsi="宋体" w:eastAsia="宋体" w:cs="宋体"/>
          <w:color w:val="auto"/>
          <w:kern w:val="0"/>
          <w:sz w:val="21"/>
          <w:szCs w:val="21"/>
          <w:highlight w:val="none"/>
          <w:lang w:val="en-US" w:eastAsia="zh-CN" w:bidi="ar-SA"/>
        </w:rPr>
        <w:t>年     月     日                          年     月     日</w:t>
      </w:r>
    </w:p>
    <w:p w14:paraId="771F9904">
      <w:pPr>
        <w:adjustRightInd w:val="0"/>
        <w:snapToGrid w:val="0"/>
        <w:spacing w:line="440" w:lineRule="exact"/>
        <w:jc w:val="center"/>
        <w:rPr>
          <w:rFonts w:hint="eastAsia" w:ascii="黑体"/>
          <w:color w:val="auto"/>
          <w:szCs w:val="21"/>
          <w:highlight w:val="none"/>
        </w:rPr>
        <w:sectPr>
          <w:headerReference r:id="rId18" w:type="default"/>
          <w:footerReference r:id="rId19" w:type="default"/>
          <w:pgSz w:w="11906" w:h="16838"/>
          <w:pgMar w:top="1440" w:right="1800" w:bottom="1440" w:left="1800" w:header="851" w:footer="992" w:gutter="0"/>
          <w:pgNumType w:fmt="decimal"/>
          <w:cols w:space="425" w:num="1"/>
          <w:docGrid w:type="lines" w:linePitch="312" w:charSpace="0"/>
        </w:sectPr>
      </w:pPr>
    </w:p>
    <w:p w14:paraId="7C8E32F8">
      <w:pPr>
        <w:pStyle w:val="4"/>
        <w:spacing w:before="220" w:after="220" w:line="480" w:lineRule="auto"/>
        <w:ind w:left="420" w:hanging="420"/>
        <w:rPr>
          <w:rFonts w:hint="eastAsia" w:eastAsia="宋体" w:cs="宋体"/>
          <w:color w:val="auto"/>
          <w:sz w:val="36"/>
          <w:szCs w:val="36"/>
          <w:highlight w:val="none"/>
        </w:rPr>
      </w:pPr>
      <w:bookmarkStart w:id="310" w:name="_Toc155185919"/>
      <w:bookmarkStart w:id="311" w:name="_Toc163492913"/>
      <w:bookmarkStart w:id="312" w:name="_Toc15820"/>
      <w:r>
        <w:rPr>
          <w:rFonts w:hint="eastAsia" w:eastAsia="宋体" w:cs="宋体"/>
          <w:color w:val="auto"/>
          <w:sz w:val="36"/>
          <w:szCs w:val="36"/>
          <w:highlight w:val="none"/>
        </w:rPr>
        <w:t>第七章 投标文件格式</w:t>
      </w:r>
      <w:bookmarkEnd w:id="310"/>
      <w:bookmarkEnd w:id="311"/>
      <w:bookmarkEnd w:id="312"/>
    </w:p>
    <w:p w14:paraId="36466C47">
      <w:pPr>
        <w:ind w:firstLine="480" w:firstLineChars="200"/>
        <w:rPr>
          <w:rFonts w:hint="eastAsia" w:cs="仿宋_GB2312"/>
          <w:color w:val="auto"/>
          <w:szCs w:val="24"/>
          <w:highlight w:val="none"/>
          <w:lang w:val="zh-CN"/>
        </w:rPr>
      </w:pPr>
      <w:bookmarkStart w:id="313" w:name="_Toc163492937"/>
    </w:p>
    <w:p w14:paraId="470CCA66">
      <w:pPr>
        <w:ind w:firstLine="480" w:firstLineChars="200"/>
        <w:rPr>
          <w:rFonts w:hint="eastAsia" w:cs="仿宋_GB2312"/>
          <w:color w:val="auto"/>
          <w:szCs w:val="24"/>
          <w:highlight w:val="none"/>
          <w:lang w:val="zh-CN"/>
        </w:rPr>
      </w:pPr>
      <w:r>
        <w:rPr>
          <w:rFonts w:hint="eastAsia" w:cs="仿宋_GB2312"/>
          <w:color w:val="auto"/>
          <w:szCs w:val="24"/>
          <w:highlight w:val="none"/>
          <w:lang w:val="zh-CN"/>
        </w:rPr>
        <w:t>封面：</w:t>
      </w:r>
    </w:p>
    <w:p w14:paraId="1B1ACC32">
      <w:pPr>
        <w:autoSpaceDE w:val="0"/>
        <w:autoSpaceDN w:val="0"/>
        <w:adjustRightInd w:val="0"/>
        <w:rPr>
          <w:rFonts w:hint="eastAsia"/>
          <w:color w:val="auto"/>
          <w:sz w:val="21"/>
          <w:szCs w:val="24"/>
          <w:highlight w:val="none"/>
        </w:rPr>
      </w:pPr>
    </w:p>
    <w:p w14:paraId="76D1BE59">
      <w:pPr>
        <w:autoSpaceDE w:val="0"/>
        <w:autoSpaceDN w:val="0"/>
        <w:adjustRightInd w:val="0"/>
        <w:rPr>
          <w:rFonts w:hint="eastAsia"/>
          <w:color w:val="auto"/>
          <w:sz w:val="21"/>
          <w:szCs w:val="24"/>
          <w:highlight w:val="none"/>
        </w:rPr>
      </w:pPr>
    </w:p>
    <w:p w14:paraId="18670E7C">
      <w:pPr>
        <w:autoSpaceDE w:val="0"/>
        <w:autoSpaceDN w:val="0"/>
        <w:adjustRightInd w:val="0"/>
        <w:jc w:val="center"/>
        <w:rPr>
          <w:rFonts w:hint="eastAsia"/>
          <w:color w:val="auto"/>
          <w:sz w:val="21"/>
          <w:szCs w:val="24"/>
          <w:highlight w:val="none"/>
        </w:rPr>
      </w:pPr>
    </w:p>
    <w:p w14:paraId="29FDD96C">
      <w:pPr>
        <w:autoSpaceDE w:val="0"/>
        <w:autoSpaceDN w:val="0"/>
        <w:adjustRightInd w:val="0"/>
        <w:jc w:val="center"/>
        <w:rPr>
          <w:rFonts w:hint="eastAsia"/>
          <w:b/>
          <w:color w:val="auto"/>
          <w:sz w:val="84"/>
          <w:szCs w:val="84"/>
          <w:highlight w:val="none"/>
        </w:rPr>
      </w:pPr>
      <w:r>
        <w:rPr>
          <w:rFonts w:hint="eastAsia"/>
          <w:b/>
          <w:color w:val="auto"/>
          <w:sz w:val="84"/>
          <w:szCs w:val="84"/>
          <w:highlight w:val="none"/>
        </w:rPr>
        <w:t>投 标 文 件</w:t>
      </w:r>
    </w:p>
    <w:p w14:paraId="267BDF82">
      <w:pPr>
        <w:autoSpaceDE w:val="0"/>
        <w:autoSpaceDN w:val="0"/>
        <w:adjustRightInd w:val="0"/>
        <w:rPr>
          <w:rFonts w:hint="eastAsia"/>
          <w:b/>
          <w:bCs/>
          <w:color w:val="auto"/>
          <w:sz w:val="22"/>
          <w:highlight w:val="none"/>
        </w:rPr>
      </w:pPr>
    </w:p>
    <w:p w14:paraId="5F4DB4FE">
      <w:pPr>
        <w:autoSpaceDE w:val="0"/>
        <w:autoSpaceDN w:val="0"/>
        <w:adjustRightInd w:val="0"/>
        <w:jc w:val="center"/>
        <w:rPr>
          <w:rFonts w:hint="eastAsia"/>
          <w:color w:val="auto"/>
          <w:sz w:val="36"/>
          <w:szCs w:val="36"/>
          <w:highlight w:val="none"/>
        </w:rPr>
      </w:pPr>
      <w:r>
        <w:rPr>
          <w:rFonts w:hint="eastAsia"/>
          <w:color w:val="auto"/>
          <w:sz w:val="36"/>
          <w:szCs w:val="36"/>
          <w:highlight w:val="none"/>
        </w:rPr>
        <w:t>（第XX包）【如不分包，请删去本行】</w:t>
      </w:r>
    </w:p>
    <w:p w14:paraId="20BE8A44">
      <w:pPr>
        <w:autoSpaceDE w:val="0"/>
        <w:autoSpaceDN w:val="0"/>
        <w:adjustRightInd w:val="0"/>
        <w:rPr>
          <w:rFonts w:hint="eastAsia"/>
          <w:color w:val="auto"/>
          <w:sz w:val="21"/>
          <w:szCs w:val="21"/>
          <w:highlight w:val="none"/>
        </w:rPr>
      </w:pPr>
    </w:p>
    <w:p w14:paraId="02EA23E3">
      <w:pPr>
        <w:pStyle w:val="5"/>
        <w:rPr>
          <w:color w:val="auto"/>
          <w:highlight w:val="none"/>
        </w:rPr>
      </w:pPr>
    </w:p>
    <w:p w14:paraId="27939409">
      <w:pPr>
        <w:rPr>
          <w:rFonts w:hint="eastAsia"/>
          <w:color w:val="auto"/>
          <w:highlight w:val="none"/>
        </w:rPr>
      </w:pPr>
    </w:p>
    <w:p w14:paraId="0F721ED7">
      <w:pPr>
        <w:rPr>
          <w:rFonts w:hint="eastAsia"/>
          <w:color w:val="auto"/>
          <w:highlight w:val="none"/>
        </w:rPr>
      </w:pPr>
    </w:p>
    <w:p w14:paraId="68230EA9">
      <w:pPr>
        <w:autoSpaceDE w:val="0"/>
        <w:autoSpaceDN w:val="0"/>
        <w:adjustRightInd w:val="0"/>
        <w:rPr>
          <w:rFonts w:hint="eastAsia"/>
          <w:color w:val="auto"/>
          <w:sz w:val="21"/>
          <w:szCs w:val="21"/>
          <w:highlight w:val="none"/>
        </w:rPr>
      </w:pPr>
    </w:p>
    <w:p w14:paraId="0198E5C8">
      <w:pPr>
        <w:ind w:left="420" w:leftChars="175"/>
        <w:rPr>
          <w:rFonts w:hint="eastAsia" w:cs="宋体"/>
          <w:color w:val="auto"/>
          <w:sz w:val="36"/>
          <w:szCs w:val="36"/>
          <w:highlight w:val="none"/>
        </w:rPr>
      </w:pPr>
      <w:r>
        <w:rPr>
          <w:rFonts w:hint="eastAsia" w:cs="宋体"/>
          <w:color w:val="auto"/>
          <w:sz w:val="36"/>
          <w:szCs w:val="36"/>
          <w:highlight w:val="none"/>
        </w:rPr>
        <w:t>项目编号/包号：</w:t>
      </w:r>
      <w:r>
        <w:rPr>
          <w:rFonts w:hint="eastAsia" w:cs="宋体"/>
          <w:color w:val="auto"/>
          <w:sz w:val="36"/>
          <w:szCs w:val="36"/>
          <w:highlight w:val="none"/>
          <w:u w:val="single"/>
        </w:rPr>
        <w:t xml:space="preserve">                           </w:t>
      </w:r>
    </w:p>
    <w:p w14:paraId="6BC6D373">
      <w:pPr>
        <w:ind w:left="420" w:leftChars="175"/>
        <w:rPr>
          <w:rFonts w:hint="eastAsia" w:cs="宋体"/>
          <w:color w:val="auto"/>
          <w:sz w:val="36"/>
          <w:szCs w:val="36"/>
          <w:highlight w:val="none"/>
        </w:rPr>
      </w:pPr>
      <w:r>
        <w:rPr>
          <w:rFonts w:hint="eastAsia" w:cs="宋体"/>
          <w:color w:val="auto"/>
          <w:sz w:val="36"/>
          <w:szCs w:val="36"/>
          <w:highlight w:val="none"/>
        </w:rPr>
        <w:t>项目名称：</w:t>
      </w:r>
      <w:r>
        <w:rPr>
          <w:rFonts w:hint="eastAsia" w:cs="宋体"/>
          <w:color w:val="auto"/>
          <w:sz w:val="36"/>
          <w:szCs w:val="36"/>
          <w:highlight w:val="none"/>
          <w:u w:val="single"/>
        </w:rPr>
        <w:t xml:space="preserve">                                </w:t>
      </w:r>
    </w:p>
    <w:p w14:paraId="0D74ECCC">
      <w:pPr>
        <w:ind w:left="420" w:leftChars="175"/>
        <w:rPr>
          <w:rFonts w:hint="eastAsia" w:cs="宋体"/>
          <w:color w:val="auto"/>
          <w:sz w:val="36"/>
          <w:szCs w:val="36"/>
          <w:highlight w:val="none"/>
        </w:rPr>
      </w:pPr>
      <w:r>
        <w:rPr>
          <w:rFonts w:hint="eastAsia" w:cs="宋体"/>
          <w:color w:val="auto"/>
          <w:sz w:val="36"/>
          <w:szCs w:val="36"/>
          <w:highlight w:val="none"/>
        </w:rPr>
        <w:t>投 标 人：</w:t>
      </w:r>
      <w:r>
        <w:rPr>
          <w:rFonts w:hint="eastAsia" w:cs="宋体"/>
          <w:color w:val="auto"/>
          <w:sz w:val="36"/>
          <w:szCs w:val="36"/>
          <w:highlight w:val="none"/>
          <w:u w:val="single"/>
        </w:rPr>
        <w:t xml:space="preserve">                                </w:t>
      </w:r>
    </w:p>
    <w:p w14:paraId="21282619">
      <w:pPr>
        <w:ind w:left="420" w:leftChars="175"/>
        <w:rPr>
          <w:rFonts w:hint="eastAsia" w:cs="宋体"/>
          <w:color w:val="auto"/>
          <w:sz w:val="36"/>
          <w:szCs w:val="36"/>
          <w:highlight w:val="none"/>
        </w:rPr>
      </w:pPr>
      <w:r>
        <w:rPr>
          <w:rFonts w:hint="eastAsia" w:cs="宋体"/>
          <w:color w:val="auto"/>
          <w:sz w:val="36"/>
          <w:szCs w:val="36"/>
          <w:highlight w:val="none"/>
        </w:rPr>
        <w:t>联 系 人：</w:t>
      </w:r>
      <w:r>
        <w:rPr>
          <w:rFonts w:hint="eastAsia" w:cs="宋体"/>
          <w:color w:val="auto"/>
          <w:sz w:val="36"/>
          <w:szCs w:val="36"/>
          <w:highlight w:val="none"/>
          <w:u w:val="single"/>
        </w:rPr>
        <w:t xml:space="preserve">                                </w:t>
      </w:r>
    </w:p>
    <w:p w14:paraId="588B4BC0">
      <w:pPr>
        <w:ind w:left="420" w:leftChars="175"/>
        <w:rPr>
          <w:rFonts w:hint="eastAsia" w:cs="宋体"/>
          <w:color w:val="auto"/>
          <w:sz w:val="36"/>
          <w:szCs w:val="36"/>
          <w:highlight w:val="none"/>
        </w:rPr>
      </w:pPr>
      <w:r>
        <w:rPr>
          <w:rFonts w:hint="eastAsia" w:cs="宋体"/>
          <w:color w:val="auto"/>
          <w:sz w:val="36"/>
          <w:szCs w:val="36"/>
          <w:highlight w:val="none"/>
        </w:rPr>
        <w:t>联系电话：</w:t>
      </w:r>
      <w:r>
        <w:rPr>
          <w:rFonts w:hint="eastAsia" w:cs="宋体"/>
          <w:color w:val="auto"/>
          <w:sz w:val="36"/>
          <w:szCs w:val="36"/>
          <w:highlight w:val="none"/>
          <w:u w:val="single"/>
        </w:rPr>
        <w:t xml:space="preserve">                                </w:t>
      </w:r>
    </w:p>
    <w:p w14:paraId="558D7EEF">
      <w:pPr>
        <w:ind w:left="420" w:leftChars="175"/>
        <w:rPr>
          <w:rFonts w:hint="eastAsia" w:cs="宋体"/>
          <w:color w:val="auto"/>
          <w:sz w:val="36"/>
          <w:szCs w:val="36"/>
          <w:highlight w:val="none"/>
        </w:rPr>
      </w:pPr>
      <w:r>
        <w:rPr>
          <w:rFonts w:hint="eastAsia" w:cs="宋体"/>
          <w:color w:val="auto"/>
          <w:sz w:val="36"/>
          <w:szCs w:val="36"/>
          <w:highlight w:val="none"/>
        </w:rPr>
        <w:t>联系地址：</w:t>
      </w:r>
      <w:r>
        <w:rPr>
          <w:rFonts w:hint="eastAsia" w:cs="宋体"/>
          <w:color w:val="auto"/>
          <w:sz w:val="36"/>
          <w:szCs w:val="36"/>
          <w:highlight w:val="none"/>
          <w:u w:val="single"/>
        </w:rPr>
        <w:t xml:space="preserve">                                </w:t>
      </w:r>
    </w:p>
    <w:p w14:paraId="23683897">
      <w:pPr>
        <w:jc w:val="center"/>
        <w:rPr>
          <w:rFonts w:hint="eastAsia" w:cs="宋体"/>
          <w:color w:val="auto"/>
          <w:sz w:val="32"/>
          <w:szCs w:val="32"/>
          <w:highlight w:val="none"/>
        </w:rPr>
      </w:pPr>
      <w:r>
        <w:rPr>
          <w:rFonts w:hint="eastAsia" w:cs="宋体"/>
          <w:color w:val="auto"/>
          <w:sz w:val="32"/>
          <w:szCs w:val="32"/>
          <w:highlight w:val="none"/>
        </w:rPr>
        <w:t>年   月    日</w:t>
      </w:r>
    </w:p>
    <w:p w14:paraId="5687DF50">
      <w:pPr>
        <w:rPr>
          <w:rFonts w:hint="eastAsia"/>
          <w:color w:val="auto"/>
          <w:highlight w:val="none"/>
          <w:lang w:val="zh-CN"/>
        </w:rPr>
      </w:pPr>
      <w:r>
        <w:rPr>
          <w:color w:val="auto"/>
          <w:highlight w:val="none"/>
          <w:lang w:val="zh-CN"/>
        </w:rPr>
        <w:br w:type="page"/>
      </w:r>
    </w:p>
    <w:p w14:paraId="4388D3BD">
      <w:pPr>
        <w:pStyle w:val="5"/>
        <w:spacing w:before="100" w:after="100" w:line="360" w:lineRule="auto"/>
        <w:ind w:left="420" w:hanging="420"/>
        <w:rPr>
          <w:color w:val="auto"/>
          <w:sz w:val="28"/>
          <w:szCs w:val="28"/>
          <w:highlight w:val="none"/>
        </w:rPr>
      </w:pPr>
      <w:bookmarkStart w:id="314" w:name="_Toc25898"/>
      <w:bookmarkStart w:id="315" w:name="_Toc163492921"/>
      <w:bookmarkStart w:id="316" w:name="_Toc155185927"/>
      <w:r>
        <w:rPr>
          <w:rFonts w:hint="eastAsia"/>
          <w:color w:val="auto"/>
          <w:sz w:val="28"/>
          <w:szCs w:val="28"/>
          <w:highlight w:val="none"/>
        </w:rPr>
        <w:t>一、满足《中华人民共和国政府采购法》第二十二条规定</w:t>
      </w:r>
      <w:bookmarkEnd w:id="314"/>
    </w:p>
    <w:bookmarkEnd w:id="315"/>
    <w:bookmarkEnd w:id="316"/>
    <w:p w14:paraId="6190F356">
      <w:pPr>
        <w:rPr>
          <w:rFonts w:hint="eastAsia" w:cs="宋体"/>
          <w:b/>
          <w:bCs/>
          <w:color w:val="auto"/>
          <w:szCs w:val="24"/>
          <w:highlight w:val="none"/>
        </w:rPr>
      </w:pPr>
      <w:bookmarkStart w:id="317" w:name="_Toc155185928"/>
      <w:bookmarkStart w:id="318" w:name="_Toc163492922"/>
      <w:r>
        <w:rPr>
          <w:rFonts w:hint="eastAsia" w:cs="宋体"/>
          <w:b/>
          <w:bCs/>
          <w:color w:val="auto"/>
          <w:szCs w:val="24"/>
          <w:highlight w:val="none"/>
        </w:rPr>
        <w:t>（一）法人、其他组织或者自然人的证明文件</w:t>
      </w:r>
    </w:p>
    <w:p w14:paraId="3DA0FA00">
      <w:pPr>
        <w:ind w:firstLine="480" w:firstLineChars="200"/>
        <w:rPr>
          <w:rFonts w:hint="eastAsia" w:cs="宋体"/>
          <w:color w:val="auto"/>
          <w:kern w:val="0"/>
          <w:szCs w:val="24"/>
          <w:highlight w:val="none"/>
        </w:rPr>
      </w:pPr>
      <w:r>
        <w:rPr>
          <w:rFonts w:hint="eastAsia" w:cs="宋体"/>
          <w:color w:val="auto"/>
          <w:kern w:val="0"/>
          <w:szCs w:val="24"/>
          <w:highlight w:val="none"/>
        </w:rPr>
        <w:t>1、投标人为企业（包括合伙企业）的，应提供有效的“营业执照”；</w:t>
      </w:r>
    </w:p>
    <w:p w14:paraId="7DA70022">
      <w:pPr>
        <w:ind w:firstLine="480" w:firstLineChars="200"/>
        <w:rPr>
          <w:rFonts w:hint="eastAsia" w:cs="宋体"/>
          <w:color w:val="auto"/>
          <w:kern w:val="0"/>
          <w:szCs w:val="24"/>
          <w:highlight w:val="none"/>
        </w:rPr>
      </w:pPr>
      <w:r>
        <w:rPr>
          <w:rFonts w:hint="eastAsia" w:cs="宋体"/>
          <w:color w:val="auto"/>
          <w:kern w:val="0"/>
          <w:szCs w:val="24"/>
          <w:highlight w:val="none"/>
        </w:rPr>
        <w:t>2、投标人为事业单位的，应提供有效的“事业单位法人证书”；</w:t>
      </w:r>
    </w:p>
    <w:p w14:paraId="663266E6">
      <w:pPr>
        <w:ind w:firstLine="480" w:firstLineChars="200"/>
        <w:rPr>
          <w:rFonts w:hint="eastAsia" w:cs="宋体"/>
          <w:color w:val="auto"/>
          <w:kern w:val="0"/>
          <w:szCs w:val="24"/>
          <w:highlight w:val="none"/>
        </w:rPr>
      </w:pPr>
      <w:r>
        <w:rPr>
          <w:rFonts w:hint="eastAsia" w:cs="宋体"/>
          <w:color w:val="auto"/>
          <w:kern w:val="0"/>
          <w:szCs w:val="24"/>
          <w:highlight w:val="none"/>
        </w:rPr>
        <w:t>3、投标人为非企业机构的，应提供有效的“执业许可证”、“登记证书”等证明文件；</w:t>
      </w:r>
    </w:p>
    <w:p w14:paraId="7D09B59C">
      <w:pPr>
        <w:ind w:firstLine="480" w:firstLineChars="200"/>
        <w:rPr>
          <w:rFonts w:hint="eastAsia" w:cs="宋体"/>
          <w:color w:val="auto"/>
          <w:kern w:val="0"/>
          <w:szCs w:val="24"/>
          <w:highlight w:val="none"/>
        </w:rPr>
      </w:pPr>
      <w:r>
        <w:rPr>
          <w:rFonts w:hint="eastAsia" w:cs="宋体"/>
          <w:color w:val="auto"/>
          <w:kern w:val="0"/>
          <w:szCs w:val="24"/>
          <w:highlight w:val="none"/>
        </w:rPr>
        <w:t>4、投标人是个体工商户的，应提供有效的“个体工商户营业执照”；</w:t>
      </w:r>
    </w:p>
    <w:p w14:paraId="4F2F4E79">
      <w:pPr>
        <w:ind w:firstLine="480" w:firstLineChars="200"/>
        <w:rPr>
          <w:rFonts w:hint="eastAsia" w:cs="宋体"/>
          <w:color w:val="auto"/>
          <w:kern w:val="0"/>
          <w:szCs w:val="24"/>
          <w:highlight w:val="none"/>
        </w:rPr>
      </w:pPr>
      <w:r>
        <w:rPr>
          <w:rFonts w:hint="eastAsia" w:cs="宋体"/>
          <w:color w:val="auto"/>
          <w:kern w:val="0"/>
          <w:szCs w:val="24"/>
          <w:highlight w:val="none"/>
        </w:rPr>
        <w:t>5、投标人是自然人的，应提供有效的自然人身份证明。</w:t>
      </w:r>
    </w:p>
    <w:p w14:paraId="0270DE7A">
      <w:pPr>
        <w:ind w:firstLine="480" w:firstLineChars="200"/>
        <w:rPr>
          <w:rFonts w:hint="eastAsia" w:cs="宋体"/>
          <w:color w:val="auto"/>
          <w:kern w:val="0"/>
          <w:szCs w:val="24"/>
          <w:highlight w:val="none"/>
        </w:rPr>
      </w:pPr>
    </w:p>
    <w:p w14:paraId="186B7B97">
      <w:pPr>
        <w:rPr>
          <w:rFonts w:hint="eastAsia" w:cs="宋体"/>
          <w:color w:val="auto"/>
          <w:kern w:val="0"/>
          <w:szCs w:val="24"/>
          <w:highlight w:val="none"/>
        </w:rPr>
      </w:pPr>
      <w:r>
        <w:rPr>
          <w:rFonts w:hint="eastAsia" w:cs="宋体"/>
          <w:color w:val="auto"/>
          <w:kern w:val="0"/>
          <w:szCs w:val="24"/>
          <w:highlight w:val="none"/>
        </w:rPr>
        <w:br w:type="page"/>
      </w:r>
    </w:p>
    <w:bookmarkEnd w:id="317"/>
    <w:bookmarkEnd w:id="318"/>
    <w:p w14:paraId="221AABFF">
      <w:pPr>
        <w:pStyle w:val="5"/>
        <w:spacing w:before="100" w:after="100" w:line="360" w:lineRule="auto"/>
        <w:rPr>
          <w:color w:val="auto"/>
          <w:sz w:val="24"/>
          <w:szCs w:val="24"/>
          <w:highlight w:val="none"/>
        </w:rPr>
      </w:pPr>
      <w:bookmarkStart w:id="319" w:name="_Toc16010"/>
      <w:r>
        <w:rPr>
          <w:rFonts w:hint="eastAsia"/>
          <w:color w:val="auto"/>
          <w:sz w:val="24"/>
          <w:szCs w:val="24"/>
          <w:highlight w:val="none"/>
        </w:rPr>
        <w:t>（二）政府采购供应商信用承诺函</w:t>
      </w:r>
      <w:bookmarkEnd w:id="319"/>
    </w:p>
    <w:p w14:paraId="43BA0813">
      <w:pPr>
        <w:spacing w:line="560" w:lineRule="exact"/>
        <w:rPr>
          <w:rFonts w:hint="eastAsia" w:cs="宋体"/>
          <w:color w:val="auto"/>
          <w:kern w:val="0"/>
          <w:szCs w:val="24"/>
          <w:highlight w:val="none"/>
        </w:rPr>
      </w:pPr>
      <w:r>
        <w:rPr>
          <w:rFonts w:hint="eastAsia" w:cs="宋体"/>
          <w:color w:val="auto"/>
          <w:kern w:val="0"/>
          <w:szCs w:val="24"/>
          <w:highlight w:val="none"/>
        </w:rPr>
        <w:t>单位名称（自然人姓名）：</w:t>
      </w:r>
    </w:p>
    <w:p w14:paraId="14A3467E">
      <w:pPr>
        <w:spacing w:line="560" w:lineRule="exact"/>
        <w:rPr>
          <w:rFonts w:hint="eastAsia" w:cs="宋体"/>
          <w:color w:val="auto"/>
          <w:kern w:val="0"/>
          <w:szCs w:val="24"/>
          <w:highlight w:val="none"/>
        </w:rPr>
      </w:pPr>
      <w:r>
        <w:rPr>
          <w:rFonts w:hint="eastAsia" w:cs="宋体"/>
          <w:color w:val="auto"/>
          <w:kern w:val="0"/>
          <w:szCs w:val="24"/>
          <w:highlight w:val="none"/>
        </w:rPr>
        <w:t>统一社会信用代码（身份证号码）：</w:t>
      </w:r>
    </w:p>
    <w:p w14:paraId="00B252D9">
      <w:pPr>
        <w:spacing w:line="560" w:lineRule="exact"/>
        <w:rPr>
          <w:rFonts w:hint="eastAsia" w:cs="宋体"/>
          <w:color w:val="auto"/>
          <w:kern w:val="0"/>
          <w:szCs w:val="24"/>
          <w:highlight w:val="none"/>
        </w:rPr>
      </w:pPr>
      <w:r>
        <w:rPr>
          <w:rFonts w:hint="eastAsia" w:cs="宋体"/>
          <w:color w:val="auto"/>
          <w:kern w:val="0"/>
          <w:szCs w:val="24"/>
          <w:highlight w:val="none"/>
        </w:rPr>
        <w:t>法定代表人（负责人）：</w:t>
      </w:r>
    </w:p>
    <w:p w14:paraId="3B3F7D5D">
      <w:pPr>
        <w:spacing w:line="560" w:lineRule="exact"/>
        <w:ind w:firstLine="480" w:firstLineChars="200"/>
        <w:rPr>
          <w:rFonts w:hint="eastAsia" w:cs="宋体"/>
          <w:color w:val="auto"/>
          <w:kern w:val="0"/>
          <w:szCs w:val="24"/>
          <w:highlight w:val="none"/>
        </w:rPr>
      </w:pPr>
    </w:p>
    <w:p w14:paraId="4F1E24A7">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 xml:space="preserve">我单位（本人）自愿参加本次政府采购活动，严格遵守《中华人民共和国政府采购法》及相关法律法规，坚守公开、公平、公正和诚实信用等原则，依法诚信经营，并郑重承诺：    </w:t>
      </w:r>
    </w:p>
    <w:p w14:paraId="6C13EACD">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一、我单位（本人）符合《中华人民共和国政府采购法》第二十二条规定：</w:t>
      </w:r>
    </w:p>
    <w:p w14:paraId="30E4CE94">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（一）具有独立承担民事责任的能力;</w:t>
      </w:r>
    </w:p>
    <w:p w14:paraId="76005CC1">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（二）具有良好的商业信誉和健全的财务会计制度;</w:t>
      </w:r>
    </w:p>
    <w:p w14:paraId="2EDC7910">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（三）具有履行合同所必需的设备和专业技术能力;</w:t>
      </w:r>
    </w:p>
    <w:p w14:paraId="0FBD5D96">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（四）有依法缴纳税收和社会保障资金的良好记录;</w:t>
      </w:r>
    </w:p>
    <w:p w14:paraId="6D0BE1CC">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（五）参加政府采购活动前三年内，在经营活动中没有重大违法记录;</w:t>
      </w:r>
    </w:p>
    <w:p w14:paraId="73F8EA1A">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（六）符合法律、行政法规规定的其他条件。</w:t>
      </w:r>
    </w:p>
    <w:p w14:paraId="21438141">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二、我单位（本人）未被列入严重违法失信名单、失信被执行人名单、重大税收违法失信主体、政府采购严重违法失信行为记录名单。</w:t>
      </w:r>
    </w:p>
    <w:p w14:paraId="6802FAC1">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三、如果本公司（本人）有幸中标（成交），在合同签订之前，采购单位有权要求本公司（本人）提供资格证明材料原件进行核验。</w:t>
      </w:r>
    </w:p>
    <w:p w14:paraId="2EB5A6FF">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四、我单位（本人）保证上述承诺事项的真实性。如有弄虚作假或其他违法违规行为，自愿按照规定将违背承诺行为作为失信行为记录到社会信用信息平台，并视同为“提供虚假材料谋取中标、成交”按照《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cs="宋体"/>
          <w:color w:val="auto"/>
          <w:kern w:val="0"/>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1751526A">
      <w:pPr>
        <w:spacing w:line="560" w:lineRule="exact"/>
        <w:rPr>
          <w:rFonts w:hint="eastAsia" w:cs="宋体"/>
          <w:color w:val="auto"/>
          <w:kern w:val="0"/>
          <w:szCs w:val="24"/>
          <w:highlight w:val="none"/>
        </w:rPr>
      </w:pPr>
    </w:p>
    <w:p w14:paraId="7C9C0A78">
      <w:pPr>
        <w:spacing w:line="560" w:lineRule="exact"/>
        <w:rPr>
          <w:rFonts w:hint="eastAsia" w:cs="宋体"/>
          <w:color w:val="auto"/>
          <w:kern w:val="0"/>
          <w:szCs w:val="24"/>
          <w:highlight w:val="none"/>
        </w:rPr>
      </w:pPr>
    </w:p>
    <w:p w14:paraId="659B8442">
      <w:pPr>
        <w:spacing w:line="560" w:lineRule="exact"/>
        <w:rPr>
          <w:rFonts w:hint="eastAsia" w:cs="宋体"/>
          <w:color w:val="auto"/>
          <w:kern w:val="0"/>
          <w:szCs w:val="24"/>
          <w:highlight w:val="none"/>
        </w:rPr>
      </w:pPr>
      <w:r>
        <w:rPr>
          <w:rFonts w:hint="eastAsia" w:cs="宋体"/>
          <w:color w:val="auto"/>
          <w:kern w:val="0"/>
          <w:szCs w:val="24"/>
          <w:highlight w:val="none"/>
        </w:rPr>
        <w:t>供应商名称（公章）：</w:t>
      </w:r>
    </w:p>
    <w:p w14:paraId="148CF566">
      <w:pPr>
        <w:spacing w:line="560" w:lineRule="exact"/>
        <w:rPr>
          <w:rFonts w:hint="eastAsia" w:cs="宋体"/>
          <w:color w:val="auto"/>
          <w:kern w:val="0"/>
          <w:szCs w:val="24"/>
          <w:highlight w:val="none"/>
        </w:rPr>
      </w:pPr>
      <w:r>
        <w:rPr>
          <w:rFonts w:hint="eastAsia" w:cs="宋体"/>
          <w:color w:val="auto"/>
          <w:kern w:val="0"/>
          <w:szCs w:val="24"/>
          <w:highlight w:val="none"/>
        </w:rPr>
        <w:t>法定代表人（负责人或本人）或授权代表（签字或盖章）：</w:t>
      </w:r>
    </w:p>
    <w:p w14:paraId="37776627">
      <w:pPr>
        <w:spacing w:line="560" w:lineRule="exact"/>
        <w:rPr>
          <w:rFonts w:hint="eastAsia" w:cs="宋体"/>
          <w:color w:val="auto"/>
          <w:kern w:val="0"/>
          <w:szCs w:val="24"/>
          <w:highlight w:val="none"/>
        </w:rPr>
      </w:pPr>
      <w:r>
        <w:rPr>
          <w:rFonts w:hint="eastAsia" w:cs="宋体"/>
          <w:color w:val="auto"/>
          <w:kern w:val="0"/>
          <w:szCs w:val="24"/>
          <w:highlight w:val="none"/>
        </w:rPr>
        <w:t>日期： 年 月 日</w:t>
      </w:r>
    </w:p>
    <w:p w14:paraId="30F3902F">
      <w:pPr>
        <w:widowControl/>
        <w:spacing w:line="560" w:lineRule="exact"/>
        <w:ind w:firstLine="630"/>
        <w:rPr>
          <w:rFonts w:hint="eastAsia" w:cs="宋体"/>
          <w:color w:val="auto"/>
          <w:kern w:val="0"/>
          <w:szCs w:val="24"/>
          <w:highlight w:val="none"/>
        </w:rPr>
      </w:pPr>
    </w:p>
    <w:p w14:paraId="17118E6B">
      <w:pPr>
        <w:rPr>
          <w:rFonts w:ascii="Arial" w:hAnsi="Arial" w:cs="Arial"/>
          <w:color w:val="auto"/>
          <w:szCs w:val="21"/>
          <w:highlight w:val="none"/>
        </w:rPr>
      </w:pPr>
      <w:r>
        <w:rPr>
          <w:rFonts w:ascii="Arial" w:hAnsi="Arial" w:cs="Arial"/>
          <w:color w:val="auto"/>
          <w:szCs w:val="21"/>
          <w:highlight w:val="none"/>
        </w:rPr>
        <w:br w:type="page"/>
      </w:r>
    </w:p>
    <w:p w14:paraId="68CDCFDF">
      <w:pPr>
        <w:pStyle w:val="5"/>
        <w:spacing w:before="100" w:after="100" w:line="360" w:lineRule="auto"/>
        <w:ind w:left="420" w:hanging="420"/>
        <w:rPr>
          <w:color w:val="auto"/>
          <w:sz w:val="28"/>
          <w:szCs w:val="28"/>
          <w:highlight w:val="none"/>
          <w:lang w:val="zh-CN"/>
        </w:rPr>
      </w:pPr>
      <w:bookmarkStart w:id="320" w:name="_Toc109899917"/>
      <w:bookmarkStart w:id="321" w:name="_Toc109900336"/>
      <w:bookmarkStart w:id="322" w:name="_Toc163492923"/>
      <w:bookmarkStart w:id="323" w:name="_Toc140132840"/>
      <w:bookmarkStart w:id="324" w:name="_Toc109899498"/>
      <w:bookmarkStart w:id="325" w:name="_Toc155185930"/>
      <w:bookmarkStart w:id="326" w:name="_Toc17265"/>
      <w:r>
        <w:rPr>
          <w:rFonts w:hint="eastAsia"/>
          <w:color w:val="auto"/>
          <w:sz w:val="28"/>
          <w:szCs w:val="28"/>
          <w:highlight w:val="none"/>
        </w:rPr>
        <w:t>二、</w:t>
      </w:r>
      <w:bookmarkEnd w:id="320"/>
      <w:bookmarkEnd w:id="321"/>
      <w:bookmarkEnd w:id="322"/>
      <w:bookmarkEnd w:id="323"/>
      <w:bookmarkEnd w:id="324"/>
      <w:bookmarkEnd w:id="325"/>
      <w:bookmarkStart w:id="327" w:name="_Toc155185931"/>
      <w:bookmarkStart w:id="328" w:name="_Toc163492924"/>
      <w:r>
        <w:rPr>
          <w:rFonts w:hint="eastAsia"/>
          <w:color w:val="auto"/>
          <w:sz w:val="28"/>
          <w:szCs w:val="28"/>
          <w:highlight w:val="none"/>
          <w:lang w:val="zh-CN"/>
        </w:rPr>
        <w:t>联合体协议书</w:t>
      </w:r>
      <w:bookmarkEnd w:id="327"/>
      <w:r>
        <w:rPr>
          <w:rFonts w:hint="eastAsia" w:ascii="宋体" w:hAnsi="宋体" w:cstheme="minorBidi"/>
          <w:b w:val="0"/>
          <w:bCs w:val="0"/>
          <w:color w:val="auto"/>
          <w:sz w:val="28"/>
          <w:szCs w:val="28"/>
          <w:highlight w:val="none"/>
          <w:lang w:val="zh-CN"/>
        </w:rPr>
        <w:t>【如适用】</w:t>
      </w:r>
      <w:bookmarkEnd w:id="326"/>
      <w:bookmarkEnd w:id="328"/>
    </w:p>
    <w:p w14:paraId="7295D232">
      <w:pPr>
        <w:snapToGrid w:val="0"/>
        <w:jc w:val="center"/>
        <w:outlineLvl w:val="0"/>
        <w:rPr>
          <w:rFonts w:hint="eastAsia" w:cs="宋体"/>
          <w:b/>
          <w:color w:val="auto"/>
          <w:kern w:val="0"/>
          <w:sz w:val="32"/>
          <w:szCs w:val="32"/>
          <w:highlight w:val="none"/>
        </w:rPr>
      </w:pPr>
    </w:p>
    <w:p w14:paraId="4B13D206">
      <w:pPr>
        <w:snapToGrid w:val="0"/>
        <w:jc w:val="center"/>
        <w:outlineLvl w:val="0"/>
        <w:rPr>
          <w:rFonts w:hint="eastAsia" w:cs="宋体"/>
          <w:b/>
          <w:color w:val="auto"/>
          <w:kern w:val="0"/>
          <w:sz w:val="32"/>
          <w:szCs w:val="32"/>
          <w:highlight w:val="none"/>
        </w:rPr>
      </w:pPr>
      <w:bookmarkStart w:id="329" w:name="_Toc17246"/>
      <w:r>
        <w:rPr>
          <w:rFonts w:hint="eastAsia" w:cs="宋体"/>
          <w:b/>
          <w:color w:val="auto"/>
          <w:kern w:val="0"/>
          <w:sz w:val="32"/>
          <w:szCs w:val="32"/>
          <w:highlight w:val="none"/>
        </w:rPr>
        <w:t>联合体协议书</w:t>
      </w:r>
      <w:bookmarkEnd w:id="329"/>
    </w:p>
    <w:p w14:paraId="2C9FD9FA">
      <w:pPr>
        <w:widowControl/>
        <w:ind w:firstLine="482" w:firstLineChars="200"/>
        <w:rPr>
          <w:rFonts w:hint="eastAsia" w:cs="宋体"/>
          <w:b/>
          <w:color w:val="auto"/>
          <w:highlight w:val="none"/>
        </w:rPr>
      </w:pPr>
      <w:r>
        <w:rPr>
          <w:rFonts w:hint="eastAsia" w:cs="宋体"/>
          <w:b/>
          <w:color w:val="auto"/>
          <w:highlight w:val="none"/>
        </w:rPr>
        <w:t>（以联合体形式投标的，提供联合体协议书；本项目不接受联合体投标或者投标人不以联合体形式投标的，则不需要提供）</w:t>
      </w:r>
    </w:p>
    <w:p w14:paraId="7A09F1D2">
      <w:pPr>
        <w:snapToGrid w:val="0"/>
        <w:ind w:firstLine="576"/>
        <w:rPr>
          <w:rFonts w:hint="eastAsia" w:cs="宋体"/>
          <w:color w:val="auto"/>
          <w:kern w:val="0"/>
          <w:highlight w:val="none"/>
          <w:lang w:val="zh-CN"/>
        </w:rPr>
      </w:pPr>
      <w:r>
        <w:rPr>
          <w:rFonts w:hint="eastAsia" w:cs="宋体"/>
          <w:color w:val="auto"/>
          <w:kern w:val="0"/>
          <w:highlight w:val="none"/>
          <w:u w:val="single"/>
        </w:rPr>
        <w:t>（联合体所有成员名称）</w:t>
      </w:r>
      <w:r>
        <w:rPr>
          <w:rFonts w:hint="eastAsia" w:cs="宋体"/>
          <w:color w:val="auto"/>
          <w:kern w:val="0"/>
          <w:highlight w:val="none"/>
        </w:rPr>
        <w:t>自愿</w:t>
      </w:r>
      <w:r>
        <w:rPr>
          <w:rFonts w:hint="eastAsia" w:cs="宋体"/>
          <w:color w:val="auto"/>
          <w:kern w:val="0"/>
          <w:highlight w:val="none"/>
          <w:lang w:val="zh-CN"/>
        </w:rPr>
        <w:t>组成一个联合体，以一个投标人的身份</w:t>
      </w:r>
      <w:r>
        <w:rPr>
          <w:rFonts w:hint="eastAsia" w:cs="宋体"/>
          <w:color w:val="auto"/>
          <w:kern w:val="0"/>
          <w:highlight w:val="none"/>
        </w:rPr>
        <w:t>参加</w:t>
      </w:r>
      <w:r>
        <w:rPr>
          <w:rFonts w:hint="eastAsia" w:cs="宋体"/>
          <w:color w:val="auto"/>
          <w:highlight w:val="none"/>
        </w:rPr>
        <w:t>（项目名称）【项目编号/包号：    】</w:t>
      </w:r>
      <w:r>
        <w:rPr>
          <w:rFonts w:hint="eastAsia" w:cs="宋体"/>
          <w:color w:val="auto"/>
          <w:kern w:val="0"/>
          <w:highlight w:val="none"/>
          <w:lang w:val="zh-CN"/>
        </w:rPr>
        <w:t xml:space="preserve">投标。 </w:t>
      </w:r>
    </w:p>
    <w:p w14:paraId="21262BDB">
      <w:pPr>
        <w:snapToGrid w:val="0"/>
        <w:ind w:firstLine="576"/>
        <w:rPr>
          <w:rFonts w:hint="eastAsia" w:cs="宋体"/>
          <w:color w:val="auto"/>
          <w:kern w:val="0"/>
          <w:highlight w:val="none"/>
          <w:lang w:val="zh-CN"/>
        </w:rPr>
      </w:pPr>
      <w:r>
        <w:rPr>
          <w:rFonts w:hint="eastAsia" w:cs="宋体"/>
          <w:color w:val="auto"/>
          <w:kern w:val="0"/>
          <w:highlight w:val="none"/>
          <w:lang w:val="zh-CN"/>
        </w:rPr>
        <w:t>一、各方一致决定，</w:t>
      </w:r>
      <w:r>
        <w:rPr>
          <w:rFonts w:hint="eastAsia" w:cs="宋体"/>
          <w:color w:val="auto"/>
          <w:kern w:val="0"/>
          <w:highlight w:val="none"/>
          <w:u w:val="single"/>
        </w:rPr>
        <w:t>（某联合体成员名称）</w:t>
      </w:r>
      <w:r>
        <w:rPr>
          <w:rFonts w:hint="eastAsia" w:cs="宋体"/>
          <w:color w:val="auto"/>
          <w:kern w:val="0"/>
          <w:highlight w:val="none"/>
        </w:rPr>
        <w:t>为联合体</w:t>
      </w:r>
      <w:r>
        <w:rPr>
          <w:rFonts w:hint="eastAsia" w:cs="宋体"/>
          <w:color w:val="auto"/>
          <w:kern w:val="0"/>
          <w:highlight w:val="none"/>
          <w:lang w:val="zh-CN"/>
        </w:rPr>
        <w:t>牵头人</w:t>
      </w:r>
      <w:r>
        <w:rPr>
          <w:rFonts w:hint="eastAsia" w:cs="宋体"/>
          <w:color w:val="auto"/>
          <w:highlight w:val="none"/>
        </w:rPr>
        <w:t>，代表所有联合体成员负责投标和合同实施阶段的主办、协调工作</w:t>
      </w:r>
      <w:r>
        <w:rPr>
          <w:rFonts w:hint="eastAsia" w:cs="宋体"/>
          <w:color w:val="auto"/>
          <w:kern w:val="0"/>
          <w:highlight w:val="none"/>
          <w:lang w:val="zh-CN"/>
        </w:rPr>
        <w:t>。</w:t>
      </w:r>
    </w:p>
    <w:p w14:paraId="7B870298">
      <w:pPr>
        <w:snapToGrid w:val="0"/>
        <w:ind w:firstLine="576"/>
        <w:rPr>
          <w:rFonts w:hint="eastAsia" w:cs="宋体"/>
          <w:color w:val="auto"/>
          <w:kern w:val="0"/>
          <w:highlight w:val="none"/>
          <w:lang w:val="zh-CN"/>
        </w:rPr>
      </w:pPr>
      <w:r>
        <w:rPr>
          <w:rFonts w:hint="eastAsia" w:cs="宋体"/>
          <w:color w:val="auto"/>
          <w:kern w:val="0"/>
          <w:highlight w:val="none"/>
          <w:lang w:val="zh-CN"/>
        </w:rPr>
        <w:t>二、</w:t>
      </w:r>
      <w:r>
        <w:rPr>
          <w:rFonts w:hint="eastAsia" w:cs="宋体"/>
          <w:color w:val="auto"/>
          <w:highlight w:val="none"/>
        </w:rPr>
        <w:t>所有联合体成员各方签署授权书，授权书载明的</w:t>
      </w:r>
      <w:r>
        <w:rPr>
          <w:rFonts w:hint="eastAsia" w:cs="宋体"/>
          <w:color w:val="auto"/>
          <w:kern w:val="0"/>
          <w:highlight w:val="none"/>
          <w:lang w:val="zh-CN"/>
        </w:rPr>
        <w:t>授权代表根据招标文件规定及投标内容而对采购人、采购代理机构所作的任何合法承诺，包括书面澄清及相应等均对联合投标各方产生约束力。</w:t>
      </w:r>
    </w:p>
    <w:p w14:paraId="79E1CAEC">
      <w:pPr>
        <w:snapToGrid w:val="0"/>
        <w:ind w:firstLine="576"/>
        <w:rPr>
          <w:rFonts w:hint="eastAsia" w:cs="宋体"/>
          <w:color w:val="auto"/>
          <w:kern w:val="0"/>
          <w:highlight w:val="none"/>
          <w:lang w:val="zh-CN"/>
        </w:rPr>
      </w:pPr>
      <w:r>
        <w:rPr>
          <w:rFonts w:hint="eastAsia" w:cs="宋体"/>
          <w:color w:val="auto"/>
          <w:kern w:val="0"/>
          <w:highlight w:val="none"/>
          <w:lang w:val="zh-CN"/>
        </w:rPr>
        <w:t>三、本次联合投标中，分工如下：</w:t>
      </w:r>
    </w:p>
    <w:p w14:paraId="7B836348">
      <w:pPr>
        <w:snapToGrid w:val="0"/>
        <w:ind w:firstLine="576"/>
        <w:rPr>
          <w:rFonts w:hint="eastAsia" w:cs="宋体"/>
          <w:color w:val="auto"/>
          <w:kern w:val="0"/>
          <w:highlight w:val="none"/>
          <w:lang w:val="zh-CN"/>
        </w:rPr>
      </w:pPr>
      <w:bookmarkStart w:id="330" w:name="_Hlk101134295"/>
      <w:r>
        <w:rPr>
          <w:rFonts w:hint="eastAsia" w:cs="宋体"/>
          <w:color w:val="auto"/>
          <w:kern w:val="0"/>
          <w:highlight w:val="none"/>
          <w:u w:val="single"/>
        </w:rPr>
        <w:t xml:space="preserve">（联合体成员1）  </w:t>
      </w:r>
      <w:r>
        <w:rPr>
          <w:rFonts w:hint="eastAsia" w:cs="宋体"/>
          <w:color w:val="auto"/>
          <w:kern w:val="0"/>
          <w:highlight w:val="none"/>
          <w:lang w:val="zh-CN"/>
        </w:rPr>
        <w:t>承担</w:t>
      </w:r>
      <w:r>
        <w:rPr>
          <w:rFonts w:hint="eastAsia" w:cs="宋体"/>
          <w:color w:val="auto"/>
          <w:kern w:val="0"/>
          <w:highlight w:val="none"/>
        </w:rPr>
        <w:t>项目采购合同金额的</w:t>
      </w:r>
      <w:r>
        <w:rPr>
          <w:rFonts w:hint="eastAsia" w:cs="宋体"/>
          <w:color w:val="auto"/>
          <w:kern w:val="0"/>
          <w:highlight w:val="none"/>
          <w:u w:val="single"/>
        </w:rPr>
        <w:t xml:space="preserve">      %</w:t>
      </w:r>
      <w:r>
        <w:rPr>
          <w:rFonts w:hint="eastAsia" w:cs="宋体"/>
          <w:color w:val="auto"/>
          <w:kern w:val="0"/>
          <w:highlight w:val="none"/>
        </w:rPr>
        <w:t>，负责</w:t>
      </w:r>
      <w:r>
        <w:rPr>
          <w:rFonts w:hint="eastAsia" w:cs="宋体"/>
          <w:color w:val="auto"/>
          <w:kern w:val="0"/>
          <w:highlight w:val="none"/>
          <w:lang w:val="zh-CN"/>
        </w:rPr>
        <w:t>的工作和义务为：</w:t>
      </w:r>
      <w:r>
        <w:rPr>
          <w:rFonts w:hint="eastAsia" w:cs="宋体"/>
          <w:color w:val="auto"/>
          <w:highlight w:val="none"/>
          <w:u w:val="single"/>
        </w:rPr>
        <w:t xml:space="preserve">             </w:t>
      </w:r>
      <w:r>
        <w:rPr>
          <w:rFonts w:hint="eastAsia" w:cs="宋体"/>
          <w:color w:val="auto"/>
          <w:kern w:val="0"/>
          <w:highlight w:val="none"/>
          <w:lang w:val="zh-CN"/>
        </w:rPr>
        <w:t>；</w:t>
      </w:r>
    </w:p>
    <w:p w14:paraId="49CC0810">
      <w:pPr>
        <w:snapToGrid w:val="0"/>
        <w:ind w:firstLine="576"/>
        <w:rPr>
          <w:rFonts w:hint="eastAsia" w:cs="宋体"/>
          <w:color w:val="auto"/>
          <w:kern w:val="0"/>
          <w:highlight w:val="none"/>
          <w:lang w:val="zh-CN"/>
        </w:rPr>
      </w:pPr>
      <w:r>
        <w:rPr>
          <w:rFonts w:hint="eastAsia" w:cs="宋体"/>
          <w:color w:val="auto"/>
          <w:kern w:val="0"/>
          <w:highlight w:val="none"/>
          <w:u w:val="single"/>
        </w:rPr>
        <w:t>（联合体成员</w:t>
      </w:r>
      <w:r>
        <w:rPr>
          <w:rFonts w:cs="宋体"/>
          <w:color w:val="auto"/>
          <w:kern w:val="0"/>
          <w:highlight w:val="none"/>
          <w:u w:val="single"/>
        </w:rPr>
        <w:t>2</w:t>
      </w:r>
      <w:r>
        <w:rPr>
          <w:rFonts w:hint="eastAsia" w:cs="宋体"/>
          <w:color w:val="auto"/>
          <w:kern w:val="0"/>
          <w:highlight w:val="none"/>
          <w:u w:val="single"/>
        </w:rPr>
        <w:t xml:space="preserve">）  </w:t>
      </w:r>
      <w:r>
        <w:rPr>
          <w:rFonts w:hint="eastAsia" w:cs="宋体"/>
          <w:color w:val="auto"/>
          <w:kern w:val="0"/>
          <w:highlight w:val="none"/>
          <w:lang w:val="zh-CN"/>
        </w:rPr>
        <w:t>承担</w:t>
      </w:r>
      <w:r>
        <w:rPr>
          <w:rFonts w:hint="eastAsia" w:cs="宋体"/>
          <w:color w:val="auto"/>
          <w:kern w:val="0"/>
          <w:highlight w:val="none"/>
        </w:rPr>
        <w:t>项目采购合同金额的</w:t>
      </w:r>
      <w:r>
        <w:rPr>
          <w:rFonts w:hint="eastAsia" w:cs="宋体"/>
          <w:color w:val="auto"/>
          <w:kern w:val="0"/>
          <w:highlight w:val="none"/>
          <w:u w:val="single"/>
        </w:rPr>
        <w:t xml:space="preserve">      %</w:t>
      </w:r>
      <w:r>
        <w:rPr>
          <w:rFonts w:hint="eastAsia" w:cs="宋体"/>
          <w:color w:val="auto"/>
          <w:kern w:val="0"/>
          <w:highlight w:val="none"/>
        </w:rPr>
        <w:t>，负责</w:t>
      </w:r>
      <w:r>
        <w:rPr>
          <w:rFonts w:hint="eastAsia" w:cs="宋体"/>
          <w:color w:val="auto"/>
          <w:kern w:val="0"/>
          <w:highlight w:val="none"/>
          <w:lang w:val="zh-CN"/>
        </w:rPr>
        <w:t>的工作和义务为：</w:t>
      </w:r>
      <w:r>
        <w:rPr>
          <w:rFonts w:hint="eastAsia" w:cs="宋体"/>
          <w:color w:val="auto"/>
          <w:highlight w:val="none"/>
          <w:u w:val="single"/>
        </w:rPr>
        <w:t xml:space="preserve">             </w:t>
      </w:r>
      <w:r>
        <w:rPr>
          <w:rFonts w:hint="eastAsia" w:cs="宋体"/>
          <w:color w:val="auto"/>
          <w:kern w:val="0"/>
          <w:highlight w:val="none"/>
          <w:lang w:val="zh-CN"/>
        </w:rPr>
        <w:t>；</w:t>
      </w:r>
    </w:p>
    <w:p w14:paraId="7AF958FB">
      <w:pPr>
        <w:snapToGrid w:val="0"/>
        <w:ind w:firstLine="576"/>
        <w:rPr>
          <w:rFonts w:hint="eastAsia" w:cs="宋体"/>
          <w:color w:val="auto"/>
          <w:kern w:val="0"/>
          <w:highlight w:val="none"/>
          <w:lang w:val="zh-CN"/>
        </w:rPr>
      </w:pPr>
      <w:r>
        <w:rPr>
          <w:rFonts w:hint="eastAsia" w:cs="宋体"/>
          <w:color w:val="auto"/>
          <w:kern w:val="0"/>
          <w:highlight w:val="none"/>
          <w:lang w:val="zh-CN"/>
        </w:rPr>
        <w:t>……</w:t>
      </w:r>
    </w:p>
    <w:bookmarkEnd w:id="330"/>
    <w:p w14:paraId="29842257">
      <w:pPr>
        <w:snapToGrid w:val="0"/>
        <w:ind w:firstLine="576"/>
        <w:rPr>
          <w:rFonts w:hint="eastAsia" w:cs="宋体"/>
          <w:color w:val="auto"/>
          <w:kern w:val="0"/>
          <w:highlight w:val="none"/>
          <w:lang w:val="zh-CN"/>
        </w:rPr>
      </w:pPr>
      <w:r>
        <w:rPr>
          <w:rFonts w:hint="eastAsia" w:cs="宋体"/>
          <w:color w:val="auto"/>
          <w:kern w:val="0"/>
          <w:highlight w:val="none"/>
          <w:lang w:val="zh-CN"/>
        </w:rPr>
        <w:t>四、联合体成员中小企业合同份额。</w:t>
      </w:r>
    </w:p>
    <w:p w14:paraId="42467587">
      <w:pPr>
        <w:snapToGrid w:val="0"/>
        <w:ind w:firstLine="576"/>
        <w:rPr>
          <w:rFonts w:hint="eastAsia" w:cs="宋体"/>
          <w:b/>
          <w:color w:val="auto"/>
          <w:kern w:val="0"/>
          <w:highlight w:val="none"/>
          <w:lang w:val="zh-CN"/>
        </w:rPr>
      </w:pPr>
      <w:r>
        <w:rPr>
          <w:rFonts w:hint="eastAsia" w:cs="宋体"/>
          <w:color w:val="auto"/>
          <w:kern w:val="0"/>
          <w:highlight w:val="none"/>
          <w:lang w:val="zh-CN"/>
        </w:rPr>
        <w:t>1、</w:t>
      </w:r>
      <w:r>
        <w:rPr>
          <w:rFonts w:hint="eastAsia" w:cs="宋体"/>
          <w:color w:val="auto"/>
          <w:kern w:val="0"/>
          <w:highlight w:val="none"/>
          <w:u w:val="single"/>
        </w:rPr>
        <w:t>（联合体成员</w:t>
      </w:r>
      <w:r>
        <w:rPr>
          <w:rFonts w:cs="宋体"/>
          <w:color w:val="auto"/>
          <w:kern w:val="0"/>
          <w:highlight w:val="none"/>
          <w:u w:val="single"/>
        </w:rPr>
        <w:t>X,</w:t>
      </w:r>
      <w:r>
        <w:rPr>
          <w:rFonts w:hint="eastAsia" w:cs="宋体"/>
          <w:color w:val="auto"/>
          <w:kern w:val="0"/>
          <w:highlight w:val="none"/>
          <w:u w:val="single"/>
        </w:rPr>
        <w:t>……）</w:t>
      </w:r>
      <w:r>
        <w:rPr>
          <w:rFonts w:hint="eastAsia" w:cs="宋体"/>
          <w:color w:val="auto"/>
          <w:kern w:val="0"/>
          <w:highlight w:val="none"/>
        </w:rPr>
        <w:t>提供的全部货物由小微企业制造，其合同份额占到合同总金额</w:t>
      </w:r>
      <w:r>
        <w:rPr>
          <w:rFonts w:hint="eastAsia" w:cs="宋体"/>
          <w:color w:val="auto"/>
          <w:kern w:val="0"/>
          <w:highlight w:val="none"/>
          <w:u w:val="single"/>
        </w:rPr>
        <w:t xml:space="preserve">     </w:t>
      </w:r>
      <w:r>
        <w:rPr>
          <w:rFonts w:hint="eastAsia" w:cs="宋体"/>
          <w:color w:val="auto"/>
          <w:kern w:val="0"/>
          <w:highlight w:val="none"/>
        </w:rPr>
        <w:t>%以上；</w:t>
      </w:r>
      <w:r>
        <w:rPr>
          <w:rFonts w:hint="eastAsia" w:cs="宋体"/>
          <w:color w:val="auto"/>
          <w:kern w:val="0"/>
          <w:highlight w:val="none"/>
          <w:lang w:val="zh-CN"/>
        </w:rPr>
        <w:t>……。</w:t>
      </w:r>
      <w:r>
        <w:rPr>
          <w:rFonts w:hint="eastAsia" w:cs="宋体"/>
          <w:b/>
          <w:color w:val="auto"/>
          <w:kern w:val="0"/>
          <w:highlight w:val="none"/>
          <w:lang w:val="zh-CN"/>
        </w:rPr>
        <w:t>（未预留份额专门面向中小企业采购的采购项目，以及预留份额中的非预留部分采购包，接受联合体投标的，联合</w:t>
      </w:r>
      <w:r>
        <w:rPr>
          <w:rFonts w:hint="eastAsia" w:cs="宋体"/>
          <w:b/>
          <w:color w:val="auto"/>
          <w:kern w:val="0"/>
          <w:highlight w:val="none"/>
        </w:rPr>
        <w:t>体</w:t>
      </w:r>
      <w:r>
        <w:rPr>
          <w:rFonts w:hint="eastAsia" w:cs="宋体"/>
          <w:b/>
          <w:color w:val="auto"/>
          <w:kern w:val="0"/>
          <w:highlight w:val="none"/>
          <w:lang w:val="zh-CN"/>
        </w:rPr>
        <w:t>协议</w:t>
      </w:r>
      <w:r>
        <w:rPr>
          <w:rFonts w:hint="eastAsia" w:cs="宋体"/>
          <w:b/>
          <w:color w:val="auto"/>
          <w:kern w:val="0"/>
          <w:highlight w:val="none"/>
        </w:rPr>
        <w:t>书</w:t>
      </w:r>
      <w:r>
        <w:rPr>
          <w:rFonts w:hint="eastAsia" w:cs="宋体"/>
          <w:b/>
          <w:color w:val="auto"/>
          <w:kern w:val="0"/>
          <w:highlight w:val="none"/>
          <w:lang w:val="zh-CN"/>
        </w:rPr>
        <w:t>约定小微企业的合同份额占到合同总金额30%以上的，对联合体报价按评标标准确定的比例给予扣除。供应商</w:t>
      </w:r>
      <w:r>
        <w:rPr>
          <w:rFonts w:hint="eastAsia" w:cs="宋体"/>
          <w:b/>
          <w:color w:val="auto"/>
          <w:highlight w:val="none"/>
        </w:rPr>
        <w:t>拟享受以上价格扣除政策的，填写有关内容。</w:t>
      </w:r>
      <w:r>
        <w:rPr>
          <w:rFonts w:hint="eastAsia" w:cs="宋体"/>
          <w:b/>
          <w:color w:val="auto"/>
          <w:kern w:val="0"/>
          <w:highlight w:val="none"/>
          <w:lang w:val="zh-CN"/>
        </w:rPr>
        <w:t>）</w:t>
      </w:r>
    </w:p>
    <w:p w14:paraId="352536F3">
      <w:pPr>
        <w:snapToGrid w:val="0"/>
        <w:ind w:firstLine="576"/>
        <w:rPr>
          <w:rFonts w:hint="eastAsia" w:cs="宋体"/>
          <w:color w:val="auto"/>
          <w:kern w:val="0"/>
          <w:highlight w:val="none"/>
          <w:lang w:val="zh-CN"/>
        </w:rPr>
      </w:pPr>
      <w:r>
        <w:rPr>
          <w:rFonts w:hint="eastAsia" w:cs="宋体"/>
          <w:color w:val="auto"/>
          <w:highlight w:val="none"/>
        </w:rPr>
        <w:t>2、中小企业合同金额达到</w:t>
      </w:r>
      <w:r>
        <w:rPr>
          <w:rFonts w:hint="eastAsia" w:cs="宋体"/>
          <w:color w:val="auto"/>
          <w:highlight w:val="none"/>
          <w:u w:val="single"/>
        </w:rPr>
        <w:t xml:space="preserve">    </w:t>
      </w:r>
      <w:r>
        <w:rPr>
          <w:rFonts w:hint="eastAsia" w:cs="宋体"/>
          <w:color w:val="auto"/>
          <w:highlight w:val="none"/>
        </w:rPr>
        <w:t>%，其中小微企业合同金额达到</w:t>
      </w:r>
      <w:r>
        <w:rPr>
          <w:rFonts w:hint="eastAsia" w:cs="宋体"/>
          <w:color w:val="auto"/>
          <w:highlight w:val="none"/>
          <w:u w:val="single"/>
        </w:rPr>
        <w:t xml:space="preserve">   </w:t>
      </w:r>
      <w:r>
        <w:rPr>
          <w:rFonts w:hint="eastAsia" w:cs="宋体"/>
          <w:color w:val="auto"/>
          <w:highlight w:val="none"/>
        </w:rPr>
        <w:t>%</w:t>
      </w:r>
      <w:r>
        <w:rPr>
          <w:rFonts w:hint="eastAsia" w:cs="宋体"/>
          <w:color w:val="auto"/>
          <w:kern w:val="0"/>
          <w:highlight w:val="none"/>
          <w:lang w:val="zh-CN"/>
        </w:rPr>
        <w:t>。</w:t>
      </w:r>
      <w:r>
        <w:rPr>
          <w:rFonts w:hint="eastAsia" w:cs="宋体"/>
          <w:b/>
          <w:bCs/>
          <w:color w:val="auto"/>
          <w:kern w:val="0"/>
          <w:highlight w:val="none"/>
          <w:lang w:val="zh-CN"/>
        </w:rPr>
        <w:t>（</w:t>
      </w:r>
      <w:r>
        <w:rPr>
          <w:rFonts w:hint="eastAsia" w:cs="宋体"/>
          <w:b/>
          <w:bCs/>
          <w:color w:val="auto"/>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cs="宋体"/>
          <w:b/>
          <w:bCs/>
          <w:color w:val="auto"/>
          <w:kern w:val="0"/>
          <w:highlight w:val="none"/>
          <w:lang w:val="zh-CN"/>
        </w:rPr>
        <w:t>）</w:t>
      </w:r>
    </w:p>
    <w:p w14:paraId="61FD7B5B">
      <w:pPr>
        <w:snapToGrid w:val="0"/>
        <w:ind w:firstLine="576"/>
        <w:rPr>
          <w:rFonts w:hint="eastAsia" w:cs="宋体"/>
          <w:color w:val="auto"/>
          <w:kern w:val="0"/>
          <w:highlight w:val="none"/>
          <w:lang w:val="zh-CN"/>
        </w:rPr>
      </w:pPr>
      <w:r>
        <w:rPr>
          <w:rFonts w:hint="eastAsia" w:cs="宋体"/>
          <w:color w:val="auto"/>
          <w:kern w:val="0"/>
          <w:highlight w:val="none"/>
          <w:lang w:val="zh-CN"/>
        </w:rPr>
        <w:t>五、如果中标，</w:t>
      </w:r>
      <w:r>
        <w:rPr>
          <w:rFonts w:hint="eastAsia" w:cs="宋体"/>
          <w:color w:val="auto"/>
          <w:highlight w:val="none"/>
        </w:rPr>
        <w:t>联合体各成员方共同与采购人签订采购合同，并就采购合同约定的事项对采购人承担连带责任。</w:t>
      </w:r>
    </w:p>
    <w:p w14:paraId="507AEE07">
      <w:pPr>
        <w:snapToGrid w:val="0"/>
        <w:ind w:firstLine="576"/>
        <w:rPr>
          <w:rFonts w:hint="eastAsia" w:cs="宋体"/>
          <w:color w:val="auto"/>
          <w:kern w:val="0"/>
          <w:highlight w:val="none"/>
          <w:lang w:val="zh-CN"/>
        </w:rPr>
      </w:pPr>
      <w:r>
        <w:rPr>
          <w:rFonts w:hint="eastAsia" w:cs="宋体"/>
          <w:color w:val="auto"/>
          <w:kern w:val="0"/>
          <w:highlight w:val="none"/>
          <w:lang w:val="zh-CN"/>
        </w:rPr>
        <w:t>六、有关本次联合投标的其他事宜：</w:t>
      </w:r>
    </w:p>
    <w:p w14:paraId="57F83E61">
      <w:pPr>
        <w:snapToGrid w:val="0"/>
        <w:ind w:firstLine="576"/>
        <w:rPr>
          <w:rFonts w:hint="eastAsia" w:cs="宋体"/>
          <w:color w:val="auto"/>
          <w:kern w:val="0"/>
          <w:highlight w:val="none"/>
          <w:lang w:val="zh-CN"/>
        </w:rPr>
      </w:pPr>
      <w:r>
        <w:rPr>
          <w:rFonts w:hint="eastAsia" w:cs="宋体"/>
          <w:color w:val="auto"/>
          <w:kern w:val="0"/>
          <w:highlight w:val="none"/>
          <w:lang w:val="zh-CN"/>
        </w:rPr>
        <w:t>1、联合体各方不再单独参加或者与其他供应商另外组成联合体参加同一合同项下的政府采购活动。</w:t>
      </w:r>
    </w:p>
    <w:p w14:paraId="1E1CDEAB">
      <w:pPr>
        <w:snapToGrid w:val="0"/>
        <w:ind w:firstLine="576"/>
        <w:rPr>
          <w:rFonts w:hint="eastAsia" w:cs="宋体"/>
          <w:color w:val="auto"/>
          <w:kern w:val="0"/>
          <w:highlight w:val="none"/>
          <w:lang w:val="zh-CN"/>
        </w:rPr>
      </w:pPr>
      <w:r>
        <w:rPr>
          <w:rFonts w:hint="eastAsia" w:cs="宋体"/>
          <w:color w:val="auto"/>
          <w:kern w:val="0"/>
          <w:highlight w:val="none"/>
          <w:lang w:val="zh-CN"/>
        </w:rPr>
        <w:t>2、联合体中有同类资质的各方按照联合体分工承担相同工作的，按照资质等级较低的供应商确定资质等级。</w:t>
      </w:r>
    </w:p>
    <w:p w14:paraId="6CC62532">
      <w:pPr>
        <w:snapToGrid w:val="0"/>
        <w:ind w:firstLine="576"/>
        <w:rPr>
          <w:rFonts w:hint="eastAsia" w:cs="宋体"/>
          <w:color w:val="auto"/>
          <w:kern w:val="0"/>
          <w:highlight w:val="none"/>
          <w:lang w:val="zh-CN"/>
        </w:rPr>
      </w:pPr>
      <w:r>
        <w:rPr>
          <w:rFonts w:hint="eastAsia" w:cs="宋体"/>
          <w:color w:val="auto"/>
          <w:kern w:val="0"/>
          <w:highlight w:val="none"/>
          <w:lang w:val="zh-CN"/>
        </w:rPr>
        <w:t>3、本协议提交采购人、采购代理机构后，联合体各方不得以任何形式对上述内容进行修改或撤销。</w:t>
      </w:r>
    </w:p>
    <w:p w14:paraId="56A1E8D8">
      <w:pPr>
        <w:snapToGrid w:val="0"/>
        <w:ind w:firstLine="576"/>
        <w:rPr>
          <w:rFonts w:hint="eastAsia" w:cs="宋体"/>
          <w:color w:val="auto"/>
          <w:kern w:val="0"/>
          <w:highlight w:val="none"/>
          <w:lang w:val="zh-CN"/>
        </w:rPr>
      </w:pPr>
      <w:r>
        <w:rPr>
          <w:rFonts w:hint="eastAsia" w:cs="宋体"/>
          <w:color w:val="auto"/>
          <w:kern w:val="0"/>
          <w:highlight w:val="none"/>
        </w:rPr>
        <w:t>4、</w:t>
      </w:r>
      <w:r>
        <w:rPr>
          <w:rFonts w:hint="eastAsia" w:cs="宋体"/>
          <w:color w:val="auto"/>
          <w:kern w:val="0"/>
          <w:highlight w:val="none"/>
          <w:lang w:val="zh-CN"/>
        </w:rPr>
        <w:t>其他：……</w:t>
      </w:r>
    </w:p>
    <w:p w14:paraId="096D8071">
      <w:pPr>
        <w:snapToGrid w:val="0"/>
        <w:ind w:firstLine="576"/>
        <w:rPr>
          <w:rFonts w:hint="eastAsia" w:cs="宋体"/>
          <w:color w:val="auto"/>
          <w:kern w:val="0"/>
          <w:highlight w:val="none"/>
          <w:lang w:val="zh-CN"/>
        </w:rPr>
      </w:pPr>
      <w:r>
        <w:rPr>
          <w:rFonts w:hint="eastAsia" w:cs="宋体"/>
          <w:color w:val="auto"/>
          <w:kern w:val="0"/>
          <w:highlight w:val="none"/>
        </w:rPr>
        <w:t>5、</w:t>
      </w:r>
      <w:r>
        <w:rPr>
          <w:rFonts w:hint="eastAsia" w:cs="宋体"/>
          <w:color w:val="auto"/>
          <w:kern w:val="0"/>
          <w:highlight w:val="none"/>
          <w:lang w:val="zh-CN"/>
        </w:rPr>
        <w:t>本协议书自签署之日起生效，若未中标，自本次投标有效期结束后自行失效；若中标，自合同书规定的期限之后自行失效。</w:t>
      </w:r>
    </w:p>
    <w:p w14:paraId="10EE917F">
      <w:pPr>
        <w:snapToGrid w:val="0"/>
        <w:ind w:firstLine="576"/>
        <w:rPr>
          <w:rFonts w:hint="eastAsia" w:cs="宋体"/>
          <w:color w:val="auto"/>
          <w:kern w:val="0"/>
          <w:highlight w:val="none"/>
          <w:lang w:val="zh-CN"/>
        </w:rPr>
      </w:pPr>
      <w:r>
        <w:rPr>
          <w:rFonts w:hint="eastAsia" w:cs="宋体"/>
          <w:color w:val="auto"/>
          <w:kern w:val="0"/>
          <w:highlight w:val="none"/>
        </w:rPr>
        <w:t>6、</w:t>
      </w:r>
      <w:r>
        <w:rPr>
          <w:rFonts w:hint="eastAsia" w:cs="宋体"/>
          <w:color w:val="auto"/>
          <w:kern w:val="0"/>
          <w:highlight w:val="none"/>
          <w:lang w:val="zh-CN"/>
        </w:rPr>
        <w:t>本协议书正本一式</w:t>
      </w:r>
      <w:r>
        <w:rPr>
          <w:rFonts w:hint="eastAsia" w:cs="宋体"/>
          <w:color w:val="auto"/>
          <w:kern w:val="0"/>
          <w:highlight w:val="none"/>
          <w:u w:val="single"/>
          <w:lang w:val="zh-CN"/>
        </w:rPr>
        <w:t xml:space="preserve">    </w:t>
      </w:r>
      <w:r>
        <w:rPr>
          <w:rFonts w:hint="eastAsia" w:cs="宋体"/>
          <w:color w:val="auto"/>
          <w:kern w:val="0"/>
          <w:highlight w:val="none"/>
          <w:lang w:val="zh-CN"/>
        </w:rPr>
        <w:t>份，联合体成员各执</w:t>
      </w:r>
      <w:r>
        <w:rPr>
          <w:rFonts w:hint="eastAsia" w:cs="宋体"/>
          <w:color w:val="auto"/>
          <w:kern w:val="0"/>
          <w:highlight w:val="none"/>
          <w:u w:val="single"/>
          <w:lang w:val="zh-CN"/>
        </w:rPr>
        <w:t xml:space="preserve">    </w:t>
      </w:r>
      <w:r>
        <w:rPr>
          <w:rFonts w:hint="eastAsia" w:cs="宋体"/>
          <w:color w:val="auto"/>
          <w:kern w:val="0"/>
          <w:highlight w:val="none"/>
          <w:lang w:val="zh-CN"/>
        </w:rPr>
        <w:t>份；副本一式</w:t>
      </w:r>
      <w:r>
        <w:rPr>
          <w:rFonts w:hint="eastAsia" w:cs="宋体"/>
          <w:color w:val="auto"/>
          <w:kern w:val="0"/>
          <w:highlight w:val="none"/>
          <w:u w:val="single"/>
          <w:lang w:val="zh-CN"/>
        </w:rPr>
        <w:t xml:space="preserve">    </w:t>
      </w:r>
      <w:r>
        <w:rPr>
          <w:rFonts w:hint="eastAsia" w:cs="宋体"/>
          <w:color w:val="auto"/>
          <w:kern w:val="0"/>
          <w:highlight w:val="none"/>
          <w:lang w:val="zh-CN"/>
        </w:rPr>
        <w:t>份，联合体成员各执</w:t>
      </w:r>
      <w:r>
        <w:rPr>
          <w:rFonts w:hint="eastAsia" w:cs="宋体"/>
          <w:color w:val="auto"/>
          <w:kern w:val="0"/>
          <w:highlight w:val="none"/>
          <w:u w:val="single"/>
          <w:lang w:val="zh-CN"/>
        </w:rPr>
        <w:t xml:space="preserve">     </w:t>
      </w:r>
      <w:r>
        <w:rPr>
          <w:rFonts w:hint="eastAsia" w:cs="宋体"/>
          <w:color w:val="auto"/>
          <w:kern w:val="0"/>
          <w:highlight w:val="none"/>
          <w:lang w:val="zh-CN"/>
        </w:rPr>
        <w:t>份。</w:t>
      </w:r>
    </w:p>
    <w:p w14:paraId="66ABC777">
      <w:pPr>
        <w:pStyle w:val="5"/>
        <w:rPr>
          <w:color w:val="auto"/>
          <w:highlight w:val="none"/>
          <w:lang w:val="zh-CN"/>
        </w:rPr>
      </w:pPr>
    </w:p>
    <w:p w14:paraId="1857BFDF">
      <w:pPr>
        <w:snapToGrid w:val="0"/>
        <w:ind w:firstLine="3840" w:firstLineChars="1600"/>
        <w:rPr>
          <w:rFonts w:hint="eastAsia" w:cs="宋体"/>
          <w:color w:val="auto"/>
          <w:kern w:val="0"/>
          <w:highlight w:val="none"/>
          <w:lang w:val="zh-CN"/>
        </w:rPr>
      </w:pPr>
      <w:r>
        <w:rPr>
          <w:rFonts w:hint="eastAsia" w:cs="宋体"/>
          <w:color w:val="auto"/>
          <w:kern w:val="0"/>
          <w:highlight w:val="none"/>
          <w:lang w:val="zh-CN"/>
        </w:rPr>
        <w:t>联合体成员</w:t>
      </w:r>
      <w:r>
        <w:rPr>
          <w:rFonts w:hint="eastAsia" w:cs="宋体"/>
          <w:color w:val="auto"/>
          <w:kern w:val="0"/>
          <w:highlight w:val="none"/>
        </w:rPr>
        <w:t>1</w:t>
      </w:r>
      <w:r>
        <w:rPr>
          <w:rFonts w:hint="eastAsia" w:cs="宋体"/>
          <w:color w:val="auto"/>
          <w:kern w:val="0"/>
          <w:highlight w:val="none"/>
          <w:lang w:val="zh-CN"/>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06228B35">
      <w:pPr>
        <w:snapToGrid w:val="0"/>
        <w:ind w:firstLine="3840" w:firstLineChars="1600"/>
        <w:rPr>
          <w:rFonts w:hint="eastAsia" w:cs="宋体"/>
          <w:color w:val="auto"/>
          <w:kern w:val="0"/>
          <w:highlight w:val="none"/>
          <w:lang w:val="zh-CN"/>
        </w:rPr>
      </w:pPr>
      <w:r>
        <w:rPr>
          <w:rFonts w:hint="eastAsia" w:cs="宋体"/>
          <w:color w:val="auto"/>
          <w:kern w:val="0"/>
          <w:highlight w:val="none"/>
          <w:lang w:val="zh-CN"/>
        </w:rPr>
        <w:t>联合体成员</w:t>
      </w:r>
      <w:r>
        <w:rPr>
          <w:rFonts w:hint="eastAsia" w:cs="宋体"/>
          <w:color w:val="auto"/>
          <w:kern w:val="0"/>
          <w:highlight w:val="none"/>
        </w:rPr>
        <w:t>2</w:t>
      </w:r>
      <w:r>
        <w:rPr>
          <w:rFonts w:hint="eastAsia" w:cs="宋体"/>
          <w:color w:val="auto"/>
          <w:kern w:val="0"/>
          <w:highlight w:val="none"/>
          <w:lang w:val="zh-CN"/>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6A3DB951">
      <w:pPr>
        <w:snapToGrid w:val="0"/>
        <w:ind w:right="960"/>
        <w:jc w:val="center"/>
        <w:rPr>
          <w:rFonts w:hint="eastAsia" w:cs="宋体"/>
          <w:color w:val="auto"/>
          <w:kern w:val="0"/>
          <w:highlight w:val="none"/>
          <w:lang w:val="zh-CN"/>
        </w:rPr>
      </w:pPr>
      <w:r>
        <w:rPr>
          <w:rFonts w:hint="eastAsia" w:cs="宋体"/>
          <w:color w:val="auto"/>
          <w:kern w:val="0"/>
          <w:highlight w:val="none"/>
          <w:lang w:val="zh-CN"/>
        </w:rPr>
        <w:t xml:space="preserve">                   ……</w:t>
      </w:r>
    </w:p>
    <w:p w14:paraId="029FE9AB">
      <w:pPr>
        <w:snapToGrid w:val="0"/>
        <w:jc w:val="right"/>
        <w:rPr>
          <w:rFonts w:hint="eastAsia" w:cs="宋体"/>
          <w:color w:val="auto"/>
          <w:kern w:val="0"/>
          <w:highlight w:val="none"/>
          <w:lang w:val="zh-CN"/>
        </w:rPr>
      </w:pPr>
      <w:r>
        <w:rPr>
          <w:rFonts w:hint="eastAsia" w:cs="宋体"/>
          <w:color w:val="auto"/>
          <w:kern w:val="0"/>
          <w:highlight w:val="none"/>
          <w:lang w:val="zh-CN"/>
        </w:rPr>
        <w:t>日期：  年  月   日</w:t>
      </w:r>
    </w:p>
    <w:p w14:paraId="41F351DA">
      <w:pPr>
        <w:ind w:right="420"/>
        <w:rPr>
          <w:rFonts w:hint="eastAsia" w:cs="宋体"/>
          <w:color w:val="auto"/>
          <w:sz w:val="21"/>
          <w:szCs w:val="21"/>
          <w:highlight w:val="none"/>
        </w:rPr>
      </w:pPr>
      <w:r>
        <w:rPr>
          <w:rFonts w:hint="eastAsia" w:cs="宋体"/>
          <w:color w:val="auto"/>
          <w:sz w:val="21"/>
          <w:szCs w:val="21"/>
          <w:highlight w:val="none"/>
        </w:rPr>
        <w:t>注：按本格式和要求提供。</w:t>
      </w:r>
    </w:p>
    <w:p w14:paraId="24F222A1">
      <w:pPr>
        <w:spacing w:before="156" w:beforeLines="50" w:after="156" w:afterLines="50"/>
        <w:ind w:left="2520" w:leftChars="1050"/>
        <w:rPr>
          <w:rFonts w:hint="eastAsia" w:cs="Tahoma"/>
          <w:color w:val="auto"/>
          <w:highlight w:val="none"/>
          <w:u w:val="single"/>
        </w:rPr>
      </w:pPr>
      <w:r>
        <w:rPr>
          <w:rFonts w:cs="Tahoma"/>
          <w:color w:val="auto"/>
          <w:highlight w:val="none"/>
          <w:u w:val="single"/>
        </w:rPr>
        <w:br w:type="page"/>
      </w:r>
    </w:p>
    <w:p w14:paraId="0E5E1660">
      <w:pPr>
        <w:pStyle w:val="5"/>
        <w:spacing w:before="100" w:after="100" w:line="360" w:lineRule="auto"/>
        <w:ind w:left="420" w:hanging="420"/>
        <w:rPr>
          <w:color w:val="auto"/>
          <w:sz w:val="28"/>
          <w:szCs w:val="28"/>
          <w:highlight w:val="none"/>
          <w:lang w:val="zh-CN"/>
        </w:rPr>
      </w:pPr>
      <w:bookmarkStart w:id="331" w:name="_Toc162299566"/>
      <w:bookmarkStart w:id="332" w:name="_Toc156490356"/>
      <w:bookmarkStart w:id="333" w:name="_Toc163492925"/>
      <w:bookmarkStart w:id="334" w:name="_Toc4768"/>
      <w:r>
        <w:rPr>
          <w:rFonts w:hint="eastAsia"/>
          <w:color w:val="auto"/>
          <w:sz w:val="28"/>
          <w:szCs w:val="28"/>
          <w:highlight w:val="none"/>
        </w:rPr>
        <w:t>三、</w:t>
      </w:r>
      <w:r>
        <w:rPr>
          <w:rFonts w:hint="eastAsia"/>
          <w:color w:val="auto"/>
          <w:sz w:val="28"/>
          <w:szCs w:val="28"/>
          <w:highlight w:val="none"/>
          <w:lang w:val="zh-CN"/>
        </w:rPr>
        <w:t>分包意向协议书</w:t>
      </w:r>
      <w:r>
        <w:rPr>
          <w:rFonts w:hint="eastAsia" w:ascii="宋体" w:hAnsi="宋体" w:cstheme="minorBidi"/>
          <w:b w:val="0"/>
          <w:bCs w:val="0"/>
          <w:color w:val="auto"/>
          <w:sz w:val="28"/>
          <w:szCs w:val="28"/>
          <w:highlight w:val="none"/>
          <w:lang w:val="zh-CN"/>
        </w:rPr>
        <w:t>【如适用】</w:t>
      </w:r>
      <w:bookmarkEnd w:id="331"/>
      <w:bookmarkEnd w:id="332"/>
      <w:bookmarkEnd w:id="333"/>
      <w:bookmarkEnd w:id="334"/>
    </w:p>
    <w:p w14:paraId="61D4B978">
      <w:pPr>
        <w:snapToGrid w:val="0"/>
        <w:jc w:val="center"/>
        <w:outlineLvl w:val="0"/>
        <w:rPr>
          <w:rFonts w:hint="eastAsia" w:cs="宋体"/>
          <w:b/>
          <w:color w:val="auto"/>
          <w:kern w:val="0"/>
          <w:sz w:val="32"/>
          <w:szCs w:val="32"/>
          <w:highlight w:val="none"/>
        </w:rPr>
      </w:pPr>
      <w:bookmarkStart w:id="335" w:name="_Hlk101169080"/>
    </w:p>
    <w:p w14:paraId="21BCFD63">
      <w:pPr>
        <w:snapToGrid w:val="0"/>
        <w:jc w:val="center"/>
        <w:outlineLvl w:val="0"/>
        <w:rPr>
          <w:rFonts w:hint="eastAsia" w:cs="宋体"/>
          <w:b/>
          <w:color w:val="auto"/>
          <w:kern w:val="0"/>
          <w:sz w:val="32"/>
          <w:szCs w:val="32"/>
          <w:highlight w:val="none"/>
        </w:rPr>
      </w:pPr>
      <w:bookmarkStart w:id="336" w:name="_Toc1771"/>
      <w:r>
        <w:rPr>
          <w:rFonts w:hint="eastAsia" w:cs="宋体"/>
          <w:b/>
          <w:color w:val="auto"/>
          <w:kern w:val="0"/>
          <w:sz w:val="32"/>
          <w:szCs w:val="32"/>
          <w:highlight w:val="none"/>
        </w:rPr>
        <w:t>分包意向协议书</w:t>
      </w:r>
      <w:bookmarkEnd w:id="336"/>
    </w:p>
    <w:p w14:paraId="25E8E2BD">
      <w:pPr>
        <w:widowControl/>
        <w:ind w:firstLine="120" w:firstLineChars="50"/>
        <w:rPr>
          <w:rFonts w:hint="eastAsia" w:cs="宋体"/>
          <w:color w:val="auto"/>
          <w:highlight w:val="none"/>
        </w:rPr>
      </w:pPr>
      <w:r>
        <w:rPr>
          <w:rFonts w:hint="eastAsia" w:cs="宋体"/>
          <w:color w:val="auto"/>
          <w:highlight w:val="none"/>
        </w:rPr>
        <w:t>【</w:t>
      </w:r>
      <w:r>
        <w:rPr>
          <w:rFonts w:hint="eastAsia" w:cs="宋体"/>
          <w:b/>
          <w:color w:val="auto"/>
          <w:highlight w:val="none"/>
        </w:rPr>
        <w:t>中标后以分包方式履行合同的，提供分包意向协议书；采购人不同意分包或者投标人中标后不以分包方式履行合同的，则不需要提供。</w:t>
      </w:r>
      <w:r>
        <w:rPr>
          <w:rFonts w:hint="eastAsia" w:cs="宋体"/>
          <w:color w:val="auto"/>
          <w:highlight w:val="none"/>
        </w:rPr>
        <w:t>】</w:t>
      </w:r>
    </w:p>
    <w:p w14:paraId="636367BB">
      <w:pPr>
        <w:snapToGrid w:val="0"/>
        <w:ind w:firstLine="576"/>
        <w:rPr>
          <w:rFonts w:hint="eastAsia" w:cs="宋体"/>
          <w:color w:val="auto"/>
          <w:kern w:val="0"/>
          <w:highlight w:val="none"/>
          <w:lang w:val="zh-CN"/>
        </w:rPr>
      </w:pPr>
      <w:r>
        <w:rPr>
          <w:rFonts w:hint="eastAsia" w:cs="宋体"/>
          <w:color w:val="auto"/>
          <w:kern w:val="0"/>
          <w:highlight w:val="none"/>
          <w:u w:val="single"/>
        </w:rPr>
        <w:t>（投标人名称）</w:t>
      </w:r>
      <w:r>
        <w:rPr>
          <w:rFonts w:hint="eastAsia" w:cs="宋体"/>
          <w:color w:val="auto"/>
          <w:kern w:val="0"/>
          <w:highlight w:val="none"/>
          <w:lang w:val="zh-CN"/>
        </w:rPr>
        <w:t>若成为</w:t>
      </w:r>
      <w:r>
        <w:rPr>
          <w:rFonts w:hint="eastAsia" w:cs="宋体"/>
          <w:color w:val="auto"/>
          <w:highlight w:val="none"/>
        </w:rPr>
        <w:t>（项目名称）【项目编号/包号：  】</w:t>
      </w:r>
      <w:r>
        <w:rPr>
          <w:rFonts w:hint="eastAsia" w:cs="宋体"/>
          <w:color w:val="auto"/>
          <w:kern w:val="0"/>
          <w:highlight w:val="none"/>
          <w:lang w:val="zh-CN"/>
        </w:rPr>
        <w:t>的中标供应商，将依法采取分包方式履行合同。</w:t>
      </w:r>
      <w:r>
        <w:rPr>
          <w:rFonts w:hint="eastAsia" w:cs="宋体"/>
          <w:color w:val="auto"/>
          <w:kern w:val="0"/>
          <w:highlight w:val="none"/>
          <w:u w:val="single"/>
        </w:rPr>
        <w:t>（投标人名称）</w:t>
      </w:r>
      <w:r>
        <w:rPr>
          <w:rFonts w:hint="eastAsia" w:cs="宋体"/>
          <w:color w:val="auto"/>
          <w:kern w:val="0"/>
          <w:highlight w:val="none"/>
        </w:rPr>
        <w:t>与</w:t>
      </w:r>
      <w:r>
        <w:rPr>
          <w:rFonts w:hint="eastAsia" w:cs="宋体"/>
          <w:color w:val="auto"/>
          <w:kern w:val="0"/>
          <w:highlight w:val="none"/>
          <w:u w:val="single"/>
        </w:rPr>
        <w:t>（所有分包供应商名称）</w:t>
      </w:r>
      <w:r>
        <w:rPr>
          <w:rFonts w:hint="eastAsia" w:cs="宋体"/>
          <w:color w:val="auto"/>
          <w:kern w:val="0"/>
          <w:highlight w:val="none"/>
        </w:rPr>
        <w:t>达成分包意向协议书</w:t>
      </w:r>
      <w:r>
        <w:rPr>
          <w:rFonts w:hint="eastAsia" w:cs="宋体"/>
          <w:color w:val="auto"/>
          <w:kern w:val="0"/>
          <w:highlight w:val="none"/>
          <w:lang w:val="zh-CN"/>
        </w:rPr>
        <w:t xml:space="preserve">。 </w:t>
      </w:r>
    </w:p>
    <w:p w14:paraId="13681051">
      <w:pPr>
        <w:snapToGrid w:val="0"/>
        <w:ind w:firstLine="576"/>
        <w:rPr>
          <w:rFonts w:hint="eastAsia" w:cs="宋体"/>
          <w:color w:val="auto"/>
          <w:kern w:val="0"/>
          <w:highlight w:val="none"/>
          <w:lang w:val="zh-CN"/>
        </w:rPr>
      </w:pPr>
      <w:r>
        <w:rPr>
          <w:rFonts w:hint="eastAsia" w:cs="宋体"/>
          <w:color w:val="auto"/>
          <w:kern w:val="0"/>
          <w:highlight w:val="none"/>
          <w:lang w:val="zh-CN"/>
        </w:rPr>
        <w:t>一、分包标的及数量</w:t>
      </w:r>
    </w:p>
    <w:p w14:paraId="126A7366">
      <w:pPr>
        <w:snapToGrid w:val="0"/>
        <w:ind w:firstLine="576"/>
        <w:rPr>
          <w:rFonts w:hint="eastAsia" w:cs="宋体"/>
          <w:color w:val="auto"/>
          <w:kern w:val="0"/>
          <w:highlight w:val="none"/>
          <w:lang w:val="zh-CN"/>
        </w:rPr>
      </w:pPr>
      <w:r>
        <w:rPr>
          <w:rFonts w:hint="eastAsia" w:cs="宋体"/>
          <w:color w:val="auto"/>
          <w:kern w:val="0"/>
          <w:highlight w:val="none"/>
          <w:u w:val="single"/>
        </w:rPr>
        <w:t>（投标人名称）</w:t>
      </w:r>
      <w:r>
        <w:rPr>
          <w:rFonts w:hint="eastAsia" w:cs="宋体"/>
          <w:color w:val="auto"/>
          <w:kern w:val="0"/>
          <w:highlight w:val="none"/>
          <w:lang w:val="zh-CN"/>
        </w:rPr>
        <w:t>将</w:t>
      </w:r>
      <w:r>
        <w:rPr>
          <w:rFonts w:hint="eastAsia" w:cs="宋体"/>
          <w:color w:val="auto"/>
          <w:highlight w:val="none"/>
          <w:u w:val="single"/>
        </w:rPr>
        <w:t xml:space="preserve"> </w:t>
      </w:r>
      <w:r>
        <w:rPr>
          <w:rFonts w:cs="宋体"/>
          <w:color w:val="auto"/>
          <w:kern w:val="0"/>
          <w:highlight w:val="none"/>
          <w:u w:val="single"/>
        </w:rPr>
        <w:t xml:space="preserve">  XX工作内容   </w:t>
      </w:r>
      <w:r>
        <w:rPr>
          <w:rFonts w:hint="eastAsia" w:cs="宋体"/>
          <w:color w:val="auto"/>
          <w:highlight w:val="none"/>
        </w:rPr>
        <w:t>分包给</w:t>
      </w:r>
      <w:r>
        <w:rPr>
          <w:rFonts w:hint="eastAsia" w:cs="宋体"/>
          <w:color w:val="auto"/>
          <w:kern w:val="0"/>
          <w:highlight w:val="none"/>
          <w:u w:val="single"/>
        </w:rPr>
        <w:t>（分包供应商1名称）</w:t>
      </w:r>
      <w:r>
        <w:rPr>
          <w:rFonts w:hint="eastAsia" w:cs="宋体"/>
          <w:color w:val="auto"/>
          <w:kern w:val="0"/>
          <w:highlight w:val="none"/>
          <w:lang w:val="zh-CN"/>
        </w:rPr>
        <w:t>，</w:t>
      </w:r>
      <w:r>
        <w:rPr>
          <w:rFonts w:hint="eastAsia" w:cs="宋体"/>
          <w:color w:val="auto"/>
          <w:kern w:val="0"/>
          <w:highlight w:val="none"/>
          <w:u w:val="single"/>
        </w:rPr>
        <w:t>（分包供应商1名称），</w:t>
      </w:r>
      <w:r>
        <w:rPr>
          <w:rFonts w:hint="eastAsia" w:cs="宋体"/>
          <w:color w:val="auto"/>
          <w:kern w:val="0"/>
          <w:highlight w:val="none"/>
          <w:lang w:val="zh-CN"/>
        </w:rPr>
        <w:t>具备承</w:t>
      </w:r>
      <w:r>
        <w:rPr>
          <w:rFonts w:hint="eastAsia" w:cs="宋体"/>
          <w:color w:val="auto"/>
          <w:kern w:val="0"/>
          <w:highlight w:val="none"/>
        </w:rPr>
        <w:t>担</w:t>
      </w:r>
      <w:r>
        <w:rPr>
          <w:rFonts w:hint="eastAsia" w:cs="宋体"/>
          <w:color w:val="auto"/>
          <w:kern w:val="0"/>
          <w:highlight w:val="none"/>
          <w:u w:val="single"/>
          <w:lang w:val="zh-CN"/>
        </w:rPr>
        <w:t>XX工作内容</w:t>
      </w:r>
      <w:r>
        <w:rPr>
          <w:rFonts w:hint="eastAsia" w:cs="宋体"/>
          <w:color w:val="auto"/>
          <w:kern w:val="0"/>
          <w:highlight w:val="none"/>
          <w:lang w:val="zh-CN"/>
        </w:rPr>
        <w:t>相应资质条件且不得再次分包；</w:t>
      </w:r>
    </w:p>
    <w:p w14:paraId="394E397E">
      <w:pPr>
        <w:pStyle w:val="5"/>
        <w:tabs>
          <w:tab w:val="left" w:pos="432"/>
        </w:tabs>
        <w:ind w:left="758" w:leftChars="316" w:firstLine="229" w:firstLineChars="95"/>
        <w:rPr>
          <w:rFonts w:hint="eastAsia" w:ascii="宋体" w:hAnsi="宋体" w:cs="宋体"/>
          <w:color w:val="auto"/>
          <w:kern w:val="0"/>
          <w:sz w:val="24"/>
          <w:szCs w:val="24"/>
          <w:highlight w:val="none"/>
        </w:rPr>
      </w:pPr>
      <w:bookmarkStart w:id="337" w:name="_Toc22084"/>
      <w:r>
        <w:rPr>
          <w:rFonts w:hint="eastAsia" w:ascii="宋体" w:hAnsi="宋体" w:cs="宋体"/>
          <w:color w:val="auto"/>
          <w:kern w:val="0"/>
          <w:sz w:val="24"/>
          <w:szCs w:val="24"/>
          <w:highlight w:val="none"/>
        </w:rPr>
        <w:t>……</w:t>
      </w:r>
      <w:bookmarkEnd w:id="337"/>
    </w:p>
    <w:p w14:paraId="1484FC26">
      <w:pPr>
        <w:snapToGrid w:val="0"/>
        <w:ind w:firstLine="576"/>
        <w:rPr>
          <w:rFonts w:hint="eastAsia" w:cs="宋体"/>
          <w:color w:val="auto"/>
          <w:kern w:val="0"/>
          <w:highlight w:val="none"/>
          <w:lang w:val="zh-CN"/>
        </w:rPr>
      </w:pPr>
      <w:r>
        <w:rPr>
          <w:rFonts w:hint="eastAsia" w:cs="宋体"/>
          <w:color w:val="auto"/>
          <w:kern w:val="0"/>
          <w:highlight w:val="none"/>
          <w:lang w:val="zh-CN"/>
        </w:rPr>
        <w:t>二、分包供应商中小企业合同份额</w:t>
      </w:r>
    </w:p>
    <w:p w14:paraId="12B58F33">
      <w:pPr>
        <w:snapToGrid w:val="0"/>
        <w:ind w:firstLine="576"/>
        <w:rPr>
          <w:rFonts w:hint="eastAsia" w:cs="宋体"/>
          <w:b/>
          <w:color w:val="auto"/>
          <w:kern w:val="0"/>
          <w:highlight w:val="none"/>
          <w:lang w:val="zh-CN"/>
        </w:rPr>
      </w:pPr>
      <w:r>
        <w:rPr>
          <w:rFonts w:cs="宋体"/>
          <w:color w:val="auto"/>
          <w:kern w:val="0"/>
          <w:highlight w:val="none"/>
        </w:rPr>
        <w:t>1、</w:t>
      </w:r>
      <w:r>
        <w:rPr>
          <w:rFonts w:hint="eastAsia" w:cs="宋体"/>
          <w:color w:val="auto"/>
          <w:kern w:val="0"/>
          <w:highlight w:val="none"/>
          <w:u w:val="single"/>
        </w:rPr>
        <w:t>（分包供应商X</w:t>
      </w:r>
      <w:r>
        <w:rPr>
          <w:rFonts w:cs="宋体"/>
          <w:color w:val="auto"/>
          <w:kern w:val="0"/>
          <w:highlight w:val="none"/>
          <w:u w:val="single"/>
        </w:rPr>
        <w:t>,</w:t>
      </w:r>
      <w:r>
        <w:rPr>
          <w:rFonts w:hint="eastAsia" w:cs="宋体"/>
          <w:color w:val="auto"/>
          <w:kern w:val="0"/>
          <w:highlight w:val="none"/>
          <w:u w:val="single"/>
        </w:rPr>
        <w:t>……）提供的货物全部由小微企业制造，</w:t>
      </w:r>
      <w:r>
        <w:rPr>
          <w:rFonts w:hint="eastAsia" w:cs="宋体"/>
          <w:color w:val="auto"/>
          <w:kern w:val="0"/>
          <w:highlight w:val="none"/>
        </w:rPr>
        <w:t>其合同份额占到合同总金额</w:t>
      </w:r>
      <w:r>
        <w:rPr>
          <w:rFonts w:hint="eastAsia" w:cs="宋体"/>
          <w:color w:val="auto"/>
          <w:kern w:val="0"/>
          <w:highlight w:val="none"/>
          <w:u w:val="single"/>
        </w:rPr>
        <w:t xml:space="preserve">     </w:t>
      </w:r>
      <w:r>
        <w:rPr>
          <w:rFonts w:hint="eastAsia" w:cs="宋体"/>
          <w:color w:val="auto"/>
          <w:kern w:val="0"/>
          <w:highlight w:val="none"/>
        </w:rPr>
        <w:t>%以上</w:t>
      </w:r>
      <w:r>
        <w:rPr>
          <w:rFonts w:hint="eastAsia" w:cs="宋体"/>
          <w:color w:val="auto"/>
          <w:highlight w:val="none"/>
        </w:rPr>
        <w:t>。</w:t>
      </w:r>
      <w:r>
        <w:rPr>
          <w:rFonts w:hint="eastAsia" w:cs="宋体"/>
          <w:b/>
          <w:color w:val="auto"/>
          <w:kern w:val="0"/>
          <w:highlight w:val="none"/>
          <w:lang w:val="zh-CN"/>
        </w:rPr>
        <w:t>（未预留份额专门面向中小企业采购的采购项目，以及预留份额中的非预留部分采购包，允许分包的，分包意向协议</w:t>
      </w:r>
      <w:r>
        <w:rPr>
          <w:rFonts w:hint="eastAsia" w:cs="宋体"/>
          <w:b/>
          <w:color w:val="auto"/>
          <w:kern w:val="0"/>
          <w:highlight w:val="none"/>
        </w:rPr>
        <w:t>书</w:t>
      </w:r>
      <w:r>
        <w:rPr>
          <w:rFonts w:hint="eastAsia" w:cs="宋体"/>
          <w:b/>
          <w:color w:val="auto"/>
          <w:kern w:val="0"/>
          <w:highlight w:val="none"/>
          <w:lang w:val="zh-CN"/>
        </w:rPr>
        <w:t>约定小微企业的合同份额占到合同总金额30%以上的，对大中型企业的报价按评标标准确定的比例给予扣除。供应商</w:t>
      </w:r>
      <w:r>
        <w:rPr>
          <w:rFonts w:hint="eastAsia" w:cs="宋体"/>
          <w:b/>
          <w:color w:val="auto"/>
          <w:highlight w:val="none"/>
        </w:rPr>
        <w:t>拟享受以上价格扣除政策的，填写有关内容。</w:t>
      </w:r>
      <w:r>
        <w:rPr>
          <w:rFonts w:hint="eastAsia" w:cs="宋体"/>
          <w:b/>
          <w:color w:val="auto"/>
          <w:kern w:val="0"/>
          <w:highlight w:val="none"/>
          <w:lang w:val="zh-CN"/>
        </w:rPr>
        <w:t>）</w:t>
      </w:r>
    </w:p>
    <w:p w14:paraId="72798EC2">
      <w:pPr>
        <w:ind w:firstLine="480" w:firstLineChars="200"/>
        <w:rPr>
          <w:rFonts w:hint="eastAsia" w:cs="宋体"/>
          <w:b/>
          <w:bCs/>
          <w:color w:val="auto"/>
          <w:kern w:val="0"/>
          <w:highlight w:val="none"/>
          <w:lang w:val="zh-CN"/>
        </w:rPr>
      </w:pPr>
      <w:r>
        <w:rPr>
          <w:rFonts w:hint="eastAsia" w:cs="宋体"/>
          <w:color w:val="auto"/>
          <w:highlight w:val="none"/>
        </w:rPr>
        <w:t>2、</w:t>
      </w:r>
      <w:bookmarkStart w:id="338" w:name="_Hlk101133173"/>
      <w:r>
        <w:rPr>
          <w:rFonts w:hint="eastAsia" w:cs="宋体"/>
          <w:color w:val="auto"/>
          <w:highlight w:val="none"/>
        </w:rPr>
        <w:t>中小企业合同金额达到</w:t>
      </w:r>
      <w:r>
        <w:rPr>
          <w:rFonts w:hint="eastAsia" w:cs="宋体"/>
          <w:color w:val="auto"/>
          <w:highlight w:val="none"/>
          <w:u w:val="single"/>
        </w:rPr>
        <w:t xml:space="preserve">  </w:t>
      </w:r>
      <w:r>
        <w:rPr>
          <w:rFonts w:hint="eastAsia" w:cs="宋体"/>
          <w:color w:val="auto"/>
          <w:highlight w:val="none"/>
        </w:rPr>
        <w:t>%，其中小微企业合同金额达到</w:t>
      </w:r>
      <w:r>
        <w:rPr>
          <w:rFonts w:hint="eastAsia" w:cs="宋体"/>
          <w:color w:val="auto"/>
          <w:highlight w:val="none"/>
          <w:u w:val="single"/>
        </w:rPr>
        <w:t xml:space="preserve"> </w:t>
      </w:r>
      <w:r>
        <w:rPr>
          <w:rFonts w:hint="eastAsia" w:cs="宋体"/>
          <w:color w:val="auto"/>
          <w:highlight w:val="none"/>
        </w:rPr>
        <w:t>%</w:t>
      </w:r>
      <w:r>
        <w:rPr>
          <w:rFonts w:hint="eastAsia" w:cs="宋体"/>
          <w:color w:val="auto"/>
          <w:kern w:val="0"/>
          <w:highlight w:val="none"/>
          <w:lang w:val="zh-CN"/>
        </w:rPr>
        <w:t>。</w:t>
      </w:r>
      <w:r>
        <w:rPr>
          <w:rFonts w:hint="eastAsia" w:cs="宋体"/>
          <w:b/>
          <w:bCs/>
          <w:color w:val="auto"/>
          <w:kern w:val="0"/>
          <w:highlight w:val="none"/>
          <w:lang w:val="zh-CN"/>
        </w:rPr>
        <w:t>（</w:t>
      </w:r>
      <w:r>
        <w:rPr>
          <w:rFonts w:hint="eastAsia" w:cs="宋体"/>
          <w:b/>
          <w:bCs/>
          <w:color w:val="auto"/>
          <w:highlight w:val="none"/>
        </w:rPr>
        <w:t>要求合同分包形式参加的项目或采购包，供应商按招标文件第一部分招标公告申请人的资格要求中规定的</w:t>
      </w:r>
      <w:r>
        <w:rPr>
          <w:rFonts w:hint="eastAsia" w:cs="宋体"/>
          <w:b/>
          <w:color w:val="auto"/>
          <w:kern w:val="0"/>
          <w:highlight w:val="none"/>
          <w:lang w:val="zh-CN"/>
        </w:rPr>
        <w:t>分包意向协议</w:t>
      </w:r>
      <w:r>
        <w:rPr>
          <w:rFonts w:hint="eastAsia" w:cs="宋体"/>
          <w:b/>
          <w:color w:val="auto"/>
          <w:kern w:val="0"/>
          <w:highlight w:val="none"/>
        </w:rPr>
        <w:t>书</w:t>
      </w:r>
      <w:r>
        <w:rPr>
          <w:rFonts w:hint="eastAsia" w:cs="宋体"/>
          <w:b/>
          <w:bCs/>
          <w:color w:val="auto"/>
          <w:highlight w:val="none"/>
        </w:rPr>
        <w:t>中中小企业、小微企业合同金额应当达到的比例要求填写。</w:t>
      </w:r>
      <w:r>
        <w:rPr>
          <w:rFonts w:hint="eastAsia" w:cs="宋体"/>
          <w:b/>
          <w:bCs/>
          <w:color w:val="auto"/>
          <w:kern w:val="0"/>
          <w:highlight w:val="none"/>
          <w:lang w:val="zh-CN"/>
        </w:rPr>
        <w:t>）</w:t>
      </w:r>
      <w:bookmarkEnd w:id="338"/>
    </w:p>
    <w:p w14:paraId="7DD74123">
      <w:pPr>
        <w:snapToGrid w:val="0"/>
        <w:ind w:firstLine="576"/>
        <w:rPr>
          <w:rFonts w:hint="eastAsia" w:cs="宋体"/>
          <w:color w:val="auto"/>
          <w:kern w:val="0"/>
          <w:highlight w:val="none"/>
          <w:lang w:val="zh-CN"/>
        </w:rPr>
      </w:pPr>
      <w:r>
        <w:rPr>
          <w:rFonts w:hint="eastAsia" w:cs="宋体"/>
          <w:color w:val="auto"/>
          <w:kern w:val="0"/>
          <w:highlight w:val="none"/>
          <w:lang w:val="zh-CN"/>
        </w:rPr>
        <w:t>三、分包工作履行期限、地点、方式</w:t>
      </w:r>
    </w:p>
    <w:p w14:paraId="6D1D3246">
      <w:pPr>
        <w:snapToGrid w:val="0"/>
        <w:ind w:firstLine="576"/>
        <w:rPr>
          <w:rFonts w:hint="eastAsia" w:cs="宋体"/>
          <w:color w:val="auto"/>
          <w:highlight w:val="none"/>
          <w:u w:val="single"/>
        </w:rPr>
      </w:pPr>
      <w:r>
        <w:rPr>
          <w:rFonts w:hint="eastAsia" w:cs="宋体"/>
          <w:color w:val="auto"/>
          <w:highlight w:val="none"/>
          <w:u w:val="single"/>
        </w:rPr>
        <w:t xml:space="preserve">                                                                                  </w:t>
      </w:r>
    </w:p>
    <w:p w14:paraId="799BBFD4">
      <w:pPr>
        <w:snapToGrid w:val="0"/>
        <w:ind w:firstLine="576"/>
        <w:rPr>
          <w:rFonts w:hint="eastAsia" w:cs="宋体"/>
          <w:color w:val="auto"/>
          <w:kern w:val="0"/>
          <w:highlight w:val="none"/>
          <w:lang w:val="zh-CN"/>
        </w:rPr>
      </w:pPr>
      <w:r>
        <w:rPr>
          <w:rFonts w:hint="eastAsia" w:cs="宋体"/>
          <w:color w:val="auto"/>
          <w:kern w:val="0"/>
          <w:highlight w:val="none"/>
          <w:lang w:val="zh-CN"/>
        </w:rPr>
        <w:t>四、质量</w:t>
      </w:r>
    </w:p>
    <w:p w14:paraId="10B8CA0C">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4A9140A6">
      <w:pPr>
        <w:snapToGrid w:val="0"/>
        <w:ind w:firstLine="576"/>
        <w:rPr>
          <w:rFonts w:hint="eastAsia" w:cs="宋体"/>
          <w:color w:val="auto"/>
          <w:kern w:val="0"/>
          <w:highlight w:val="none"/>
          <w:lang w:val="zh-CN"/>
        </w:rPr>
      </w:pPr>
      <w:r>
        <w:rPr>
          <w:rFonts w:hint="eastAsia" w:cs="宋体"/>
          <w:color w:val="auto"/>
          <w:kern w:val="0"/>
          <w:highlight w:val="none"/>
          <w:lang w:val="zh-CN"/>
        </w:rPr>
        <w:t>五、价款或者报酬</w:t>
      </w:r>
    </w:p>
    <w:p w14:paraId="7BA05FFF">
      <w:pPr>
        <w:snapToGrid w:val="0"/>
        <w:ind w:left="655" w:leftChars="273"/>
        <w:rPr>
          <w:rFonts w:hint="eastAsia" w:cs="宋体"/>
          <w:color w:val="auto"/>
          <w:kern w:val="0"/>
          <w:highlight w:val="none"/>
          <w:lang w:val="zh-CN"/>
        </w:rPr>
      </w:pPr>
      <w:r>
        <w:rPr>
          <w:rFonts w:hint="eastAsia" w:cs="宋体"/>
          <w:color w:val="auto"/>
          <w:highlight w:val="none"/>
          <w:u w:val="single"/>
        </w:rPr>
        <w:t xml:space="preserve">                                                                                     </w:t>
      </w:r>
    </w:p>
    <w:p w14:paraId="6E78BE5B">
      <w:pPr>
        <w:snapToGrid w:val="0"/>
        <w:ind w:left="655" w:leftChars="273"/>
        <w:rPr>
          <w:rFonts w:hint="eastAsia" w:cs="宋体"/>
          <w:color w:val="auto"/>
          <w:kern w:val="0"/>
          <w:highlight w:val="none"/>
          <w:lang w:val="zh-CN"/>
        </w:rPr>
      </w:pPr>
      <w:r>
        <w:rPr>
          <w:rFonts w:hint="eastAsia" w:cs="宋体"/>
          <w:color w:val="auto"/>
          <w:kern w:val="0"/>
          <w:highlight w:val="none"/>
          <w:lang w:val="zh-CN"/>
        </w:rPr>
        <w:t>六、违约责任</w:t>
      </w:r>
    </w:p>
    <w:p w14:paraId="7A38A0E2">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5DEAF188">
      <w:pPr>
        <w:snapToGrid w:val="0"/>
        <w:ind w:firstLine="576"/>
        <w:rPr>
          <w:rFonts w:hint="eastAsia" w:cs="宋体"/>
          <w:color w:val="auto"/>
          <w:kern w:val="0"/>
          <w:highlight w:val="none"/>
          <w:lang w:val="zh-CN"/>
        </w:rPr>
      </w:pPr>
      <w:r>
        <w:rPr>
          <w:rFonts w:hint="eastAsia" w:cs="宋体"/>
          <w:color w:val="auto"/>
          <w:kern w:val="0"/>
          <w:highlight w:val="none"/>
          <w:lang w:val="zh-CN"/>
        </w:rPr>
        <w:t>七、争议解决的办法</w:t>
      </w:r>
    </w:p>
    <w:p w14:paraId="2F3C5CCC">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45738B6B">
      <w:pPr>
        <w:snapToGrid w:val="0"/>
        <w:ind w:left="5861" w:leftChars="342" w:hanging="5040" w:hangingChars="2100"/>
        <w:rPr>
          <w:rFonts w:hint="eastAsia" w:cs="宋体"/>
          <w:color w:val="auto"/>
          <w:kern w:val="0"/>
          <w:highlight w:val="none"/>
          <w:lang w:val="zh-CN"/>
        </w:rPr>
      </w:pPr>
      <w:r>
        <w:rPr>
          <w:rFonts w:hint="eastAsia" w:cs="宋体"/>
          <w:color w:val="auto"/>
          <w:kern w:val="0"/>
          <w:highlight w:val="none"/>
          <w:lang w:val="zh-CN"/>
        </w:rPr>
        <w:t xml:space="preserve">                                          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49D45F84">
      <w:pPr>
        <w:snapToGrid w:val="0"/>
        <w:jc w:val="right"/>
        <w:rPr>
          <w:rFonts w:hint="eastAsia" w:cs="宋体"/>
          <w:color w:val="auto"/>
          <w:kern w:val="0"/>
          <w:highlight w:val="none"/>
          <w:lang w:val="zh-CN"/>
        </w:rPr>
      </w:pPr>
      <w:r>
        <w:rPr>
          <w:rFonts w:hint="eastAsia" w:cs="宋体"/>
          <w:color w:val="auto"/>
          <w:kern w:val="0"/>
          <w:highlight w:val="none"/>
          <w:lang w:val="zh-CN"/>
        </w:rPr>
        <w:t>分包供应商名称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393F309E">
      <w:pPr>
        <w:snapToGrid w:val="0"/>
        <w:ind w:firstLine="5760" w:firstLineChars="2400"/>
        <w:rPr>
          <w:rFonts w:hint="eastAsia" w:cs="宋体"/>
          <w:color w:val="auto"/>
          <w:highlight w:val="none"/>
        </w:rPr>
      </w:pPr>
      <w:r>
        <w:rPr>
          <w:rFonts w:hint="eastAsia" w:cs="宋体"/>
          <w:color w:val="auto"/>
          <w:kern w:val="0"/>
          <w:highlight w:val="none"/>
          <w:lang w:val="zh-CN"/>
        </w:rPr>
        <w:t>……</w:t>
      </w:r>
    </w:p>
    <w:p w14:paraId="4DF8B425">
      <w:pPr>
        <w:jc w:val="center"/>
        <w:rPr>
          <w:rFonts w:hint="eastAsia" w:cs="宋体"/>
          <w:color w:val="auto"/>
          <w:kern w:val="0"/>
          <w:highlight w:val="none"/>
          <w:lang w:val="zh-CN"/>
        </w:rPr>
      </w:pPr>
      <w:r>
        <w:rPr>
          <w:rFonts w:hint="eastAsia" w:cs="宋体"/>
          <w:color w:val="auto"/>
          <w:kern w:val="0"/>
          <w:highlight w:val="none"/>
          <w:lang w:val="zh-CN"/>
        </w:rPr>
        <w:t xml:space="preserve">                                        日期：  年  月   日</w:t>
      </w:r>
    </w:p>
    <w:p w14:paraId="25DDDD70">
      <w:pPr>
        <w:ind w:right="420"/>
        <w:rPr>
          <w:rFonts w:hint="eastAsia" w:cs="宋体"/>
          <w:color w:val="auto"/>
          <w:sz w:val="21"/>
          <w:szCs w:val="21"/>
          <w:highlight w:val="none"/>
        </w:rPr>
      </w:pPr>
      <w:r>
        <w:rPr>
          <w:rFonts w:hint="eastAsia" w:cs="宋体"/>
          <w:color w:val="auto"/>
          <w:sz w:val="21"/>
          <w:szCs w:val="21"/>
          <w:highlight w:val="none"/>
        </w:rPr>
        <w:t>注：按本格式和要求提供。</w:t>
      </w:r>
    </w:p>
    <w:p w14:paraId="62858A08">
      <w:pPr>
        <w:topLinePunct/>
        <w:ind w:firstLine="480" w:firstLineChars="200"/>
        <w:rPr>
          <w:rFonts w:hint="eastAsia"/>
          <w:color w:val="auto"/>
          <w:szCs w:val="32"/>
          <w:highlight w:val="none"/>
        </w:rPr>
      </w:pPr>
    </w:p>
    <w:p w14:paraId="1A92DF20">
      <w:pPr>
        <w:topLinePunct/>
        <w:ind w:firstLine="480" w:firstLineChars="200"/>
        <w:rPr>
          <w:rFonts w:hint="eastAsia"/>
          <w:color w:val="auto"/>
          <w:szCs w:val="32"/>
          <w:highlight w:val="none"/>
        </w:rPr>
      </w:pPr>
    </w:p>
    <w:p w14:paraId="2E0196FB">
      <w:pPr>
        <w:topLinePunct/>
        <w:ind w:firstLine="480" w:firstLineChars="200"/>
        <w:rPr>
          <w:rFonts w:hint="eastAsia"/>
          <w:color w:val="auto"/>
          <w:szCs w:val="32"/>
          <w:highlight w:val="none"/>
        </w:rPr>
      </w:pPr>
    </w:p>
    <w:p w14:paraId="6D61F5EC">
      <w:pPr>
        <w:topLinePunct/>
        <w:ind w:firstLine="480" w:firstLineChars="200"/>
        <w:rPr>
          <w:rFonts w:hint="eastAsia"/>
          <w:color w:val="auto"/>
          <w:szCs w:val="32"/>
          <w:highlight w:val="none"/>
        </w:rPr>
      </w:pPr>
    </w:p>
    <w:bookmarkEnd w:id="335"/>
    <w:p w14:paraId="37FF3AC2">
      <w:pPr>
        <w:ind w:left="2520" w:leftChars="1050"/>
        <w:rPr>
          <w:rFonts w:hint="eastAsia"/>
          <w:color w:val="auto"/>
          <w:highlight w:val="none"/>
        </w:rPr>
      </w:pPr>
      <w:r>
        <w:rPr>
          <w:rFonts w:cs="Courier New"/>
          <w:color w:val="auto"/>
          <w:szCs w:val="24"/>
          <w:highlight w:val="none"/>
        </w:rPr>
        <w:br w:type="page"/>
      </w:r>
    </w:p>
    <w:p w14:paraId="07648684">
      <w:pPr>
        <w:pStyle w:val="5"/>
        <w:spacing w:before="100" w:after="100" w:line="360" w:lineRule="auto"/>
        <w:ind w:left="420" w:hanging="420"/>
        <w:rPr>
          <w:color w:val="auto"/>
          <w:sz w:val="28"/>
          <w:szCs w:val="28"/>
          <w:highlight w:val="none"/>
        </w:rPr>
      </w:pPr>
      <w:bookmarkStart w:id="339" w:name="_Toc155185932"/>
      <w:bookmarkStart w:id="340" w:name="_Toc163492926"/>
      <w:bookmarkStart w:id="341" w:name="_Toc11321"/>
      <w:r>
        <w:rPr>
          <w:rFonts w:hint="eastAsia"/>
          <w:color w:val="auto"/>
          <w:sz w:val="28"/>
          <w:szCs w:val="28"/>
          <w:highlight w:val="none"/>
        </w:rPr>
        <w:t>四、</w:t>
      </w:r>
      <w:bookmarkEnd w:id="339"/>
      <w:bookmarkEnd w:id="340"/>
      <w:r>
        <w:rPr>
          <w:rFonts w:hint="eastAsia"/>
          <w:color w:val="auto"/>
          <w:sz w:val="28"/>
          <w:szCs w:val="28"/>
          <w:highlight w:val="none"/>
        </w:rPr>
        <w:t>落实政府采购政策相关证明文件</w:t>
      </w:r>
      <w:bookmarkEnd w:id="313"/>
      <w:bookmarkEnd w:id="341"/>
    </w:p>
    <w:p w14:paraId="7C2AE62E">
      <w:pPr>
        <w:pStyle w:val="6"/>
        <w:spacing w:before="80" w:after="80" w:line="240" w:lineRule="auto"/>
        <w:ind w:left="420" w:hanging="420"/>
        <w:rPr>
          <w:rFonts w:hint="eastAsia" w:cs="宋体"/>
          <w:color w:val="auto"/>
          <w:sz w:val="24"/>
          <w:szCs w:val="24"/>
          <w:highlight w:val="none"/>
        </w:rPr>
      </w:pPr>
      <w:bookmarkStart w:id="342" w:name="_Toc163492938"/>
      <w:r>
        <w:rPr>
          <w:rFonts w:hint="eastAsia" w:cs="宋体"/>
          <w:color w:val="auto"/>
          <w:sz w:val="24"/>
          <w:szCs w:val="24"/>
          <w:highlight w:val="none"/>
        </w:rPr>
        <w:t>（一）节能环保产品清单及证明材料</w:t>
      </w:r>
      <w:r>
        <w:rPr>
          <w:rFonts w:hint="eastAsia" w:cs="宋体"/>
          <w:b w:val="0"/>
          <w:bCs w:val="0"/>
          <w:color w:val="auto"/>
          <w:sz w:val="24"/>
          <w:szCs w:val="24"/>
          <w:highlight w:val="none"/>
        </w:rPr>
        <w:t>【如适用】</w:t>
      </w:r>
      <w:bookmarkEnd w:id="342"/>
    </w:p>
    <w:p w14:paraId="74D25FEF">
      <w:pPr>
        <w:spacing w:line="300" w:lineRule="auto"/>
        <w:rPr>
          <w:rFonts w:hint="eastAsia" w:cs="宋体"/>
          <w:color w:val="auto"/>
          <w:szCs w:val="24"/>
          <w:highlight w:val="none"/>
          <w:u w:val="single"/>
        </w:rPr>
      </w:pPr>
      <w:r>
        <w:rPr>
          <w:rFonts w:hint="eastAsia" w:cs="宋体"/>
          <w:color w:val="auto"/>
          <w:szCs w:val="24"/>
          <w:highlight w:val="none"/>
        </w:rPr>
        <w:t>项目名称：             项目编号/包号：</w:t>
      </w:r>
    </w:p>
    <w:p w14:paraId="05420B72">
      <w:pPr>
        <w:spacing w:line="300" w:lineRule="auto"/>
        <w:rPr>
          <w:rFonts w:hint="eastAsia" w:cs="宋体"/>
          <w:color w:val="auto"/>
          <w:szCs w:val="24"/>
          <w:highlight w:val="none"/>
        </w:rPr>
      </w:pPr>
      <w:r>
        <w:rPr>
          <w:rFonts w:hint="eastAsia" w:cs="宋体"/>
          <w:color w:val="auto"/>
          <w:szCs w:val="24"/>
          <w:highlight w:val="none"/>
        </w:rPr>
        <w:t>1、节能产品</w:t>
      </w:r>
    </w:p>
    <w:tbl>
      <w:tblPr>
        <w:tblStyle w:val="1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0E5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323C40E">
            <w:pPr>
              <w:pStyle w:val="21"/>
              <w:jc w:val="center"/>
              <w:rPr>
                <w:rFonts w:hint="eastAsia"/>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71600151">
            <w:pPr>
              <w:pStyle w:val="21"/>
              <w:jc w:val="center"/>
              <w:rPr>
                <w:rFonts w:hint="eastAsia"/>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27FD3152">
            <w:pPr>
              <w:pStyle w:val="21"/>
              <w:jc w:val="center"/>
              <w:rPr>
                <w:rFonts w:hint="eastAsia"/>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3F20743D">
            <w:pPr>
              <w:pStyle w:val="21"/>
              <w:jc w:val="center"/>
              <w:rPr>
                <w:rFonts w:hint="eastAsia"/>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188E69D">
            <w:pPr>
              <w:pStyle w:val="21"/>
              <w:jc w:val="center"/>
              <w:rPr>
                <w:rFonts w:hint="eastAsia"/>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72EA8A4F">
            <w:pPr>
              <w:pStyle w:val="21"/>
              <w:jc w:val="center"/>
              <w:rPr>
                <w:rFonts w:hint="eastAsia"/>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20BDD39">
            <w:pPr>
              <w:pStyle w:val="21"/>
              <w:jc w:val="center"/>
              <w:rPr>
                <w:rFonts w:hint="eastAsia"/>
                <w:color w:val="auto"/>
                <w:sz w:val="21"/>
                <w:szCs w:val="21"/>
                <w:highlight w:val="none"/>
              </w:rPr>
            </w:pPr>
            <w:r>
              <w:rPr>
                <w:rFonts w:hint="eastAsia"/>
                <w:color w:val="auto"/>
                <w:sz w:val="21"/>
                <w:szCs w:val="21"/>
                <w:highlight w:val="none"/>
              </w:rPr>
              <w:t>单价</w:t>
            </w:r>
          </w:p>
          <w:p w14:paraId="41344DAC">
            <w:pPr>
              <w:pStyle w:val="21"/>
              <w:jc w:val="center"/>
              <w:rPr>
                <w:rFonts w:hint="eastAsia"/>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3B9D10FA">
            <w:pPr>
              <w:pStyle w:val="21"/>
              <w:jc w:val="center"/>
              <w:rPr>
                <w:rFonts w:hint="eastAsia"/>
                <w:color w:val="auto"/>
                <w:sz w:val="21"/>
                <w:szCs w:val="21"/>
                <w:highlight w:val="none"/>
              </w:rPr>
            </w:pPr>
            <w:r>
              <w:rPr>
                <w:rFonts w:hint="eastAsia"/>
                <w:color w:val="auto"/>
                <w:sz w:val="21"/>
                <w:szCs w:val="21"/>
                <w:highlight w:val="none"/>
              </w:rPr>
              <w:t>总价</w:t>
            </w:r>
          </w:p>
          <w:p w14:paraId="76775468">
            <w:pPr>
              <w:pStyle w:val="21"/>
              <w:jc w:val="center"/>
              <w:rPr>
                <w:rFonts w:hint="eastAsia"/>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843BAFC">
            <w:pPr>
              <w:pStyle w:val="21"/>
              <w:jc w:val="center"/>
              <w:rPr>
                <w:rFonts w:hint="eastAsia"/>
                <w:color w:val="auto"/>
                <w:sz w:val="21"/>
                <w:szCs w:val="21"/>
                <w:highlight w:val="none"/>
              </w:rPr>
            </w:pPr>
            <w:r>
              <w:rPr>
                <w:rFonts w:hint="eastAsia"/>
                <w:color w:val="auto"/>
                <w:sz w:val="21"/>
                <w:szCs w:val="21"/>
                <w:highlight w:val="none"/>
              </w:rPr>
              <w:t>属强制采购或优先采购</w:t>
            </w:r>
          </w:p>
        </w:tc>
      </w:tr>
      <w:tr w14:paraId="1966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FD96E26">
            <w:pPr>
              <w:pStyle w:val="21"/>
              <w:numPr>
                <w:ilvl w:val="0"/>
                <w:numId w:val="9"/>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9595482">
            <w:pPr>
              <w:pStyle w:val="21"/>
              <w:jc w:val="center"/>
              <w:rPr>
                <w:rFonts w:hint="eastAsia"/>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73F65E20">
            <w:pPr>
              <w:pStyle w:val="21"/>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32C2580">
            <w:pPr>
              <w:pStyle w:val="21"/>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31040D91">
            <w:pPr>
              <w:pStyle w:val="21"/>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96D6725">
            <w:pPr>
              <w:pStyle w:val="21"/>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7B656981">
            <w:pPr>
              <w:pStyle w:val="21"/>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4596DDDC">
            <w:pPr>
              <w:pStyle w:val="21"/>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868E009">
            <w:pPr>
              <w:pStyle w:val="21"/>
              <w:jc w:val="center"/>
              <w:rPr>
                <w:rFonts w:hint="eastAsia"/>
                <w:color w:val="auto"/>
                <w:sz w:val="21"/>
                <w:szCs w:val="21"/>
                <w:highlight w:val="none"/>
              </w:rPr>
            </w:pPr>
          </w:p>
        </w:tc>
      </w:tr>
      <w:tr w14:paraId="37D7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95000D8">
            <w:pPr>
              <w:pStyle w:val="21"/>
              <w:numPr>
                <w:ilvl w:val="0"/>
                <w:numId w:val="9"/>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0E23D1B8">
            <w:pPr>
              <w:pStyle w:val="21"/>
              <w:jc w:val="center"/>
              <w:rPr>
                <w:rFonts w:hint="eastAsia"/>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5CB808AE">
            <w:pPr>
              <w:pStyle w:val="21"/>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79A0CA2">
            <w:pPr>
              <w:pStyle w:val="21"/>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68D6C8D2">
            <w:pPr>
              <w:pStyle w:val="21"/>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38E4D1B1">
            <w:pPr>
              <w:pStyle w:val="21"/>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A5F70A5">
            <w:pPr>
              <w:pStyle w:val="21"/>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586A8E26">
            <w:pPr>
              <w:pStyle w:val="21"/>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790BA05C">
            <w:pPr>
              <w:pStyle w:val="21"/>
              <w:jc w:val="center"/>
              <w:rPr>
                <w:rFonts w:hint="eastAsia"/>
                <w:color w:val="auto"/>
                <w:sz w:val="21"/>
                <w:szCs w:val="21"/>
                <w:highlight w:val="none"/>
              </w:rPr>
            </w:pPr>
          </w:p>
        </w:tc>
      </w:tr>
      <w:tr w14:paraId="5DE9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719628DE">
            <w:pPr>
              <w:pStyle w:val="21"/>
              <w:numPr>
                <w:ilvl w:val="0"/>
                <w:numId w:val="9"/>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6469CA6">
            <w:pPr>
              <w:pStyle w:val="21"/>
              <w:jc w:val="center"/>
              <w:rPr>
                <w:rFonts w:hint="eastAsia"/>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3804BDDA">
            <w:pPr>
              <w:pStyle w:val="21"/>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50281D10">
            <w:pPr>
              <w:pStyle w:val="21"/>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4CCC8DC3">
            <w:pPr>
              <w:pStyle w:val="21"/>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B957D81">
            <w:pPr>
              <w:pStyle w:val="21"/>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207EF91">
            <w:pPr>
              <w:pStyle w:val="21"/>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FAE3FD7">
            <w:pPr>
              <w:pStyle w:val="21"/>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9A62883">
            <w:pPr>
              <w:pStyle w:val="21"/>
              <w:jc w:val="center"/>
              <w:rPr>
                <w:rFonts w:hint="eastAsia"/>
                <w:color w:val="auto"/>
                <w:sz w:val="21"/>
                <w:szCs w:val="21"/>
                <w:highlight w:val="none"/>
              </w:rPr>
            </w:pPr>
          </w:p>
        </w:tc>
      </w:tr>
    </w:tbl>
    <w:p w14:paraId="1D49E243">
      <w:pPr>
        <w:spacing w:line="300" w:lineRule="auto"/>
        <w:rPr>
          <w:rFonts w:ascii="Arial" w:hAnsi="Arial" w:cs="Arial"/>
          <w:color w:val="auto"/>
          <w:szCs w:val="21"/>
          <w:highlight w:val="none"/>
        </w:rPr>
      </w:pPr>
    </w:p>
    <w:p w14:paraId="135EC25B">
      <w:pPr>
        <w:spacing w:line="300" w:lineRule="auto"/>
        <w:rPr>
          <w:rFonts w:hint="eastAsia" w:cs="宋体"/>
          <w:color w:val="auto"/>
          <w:szCs w:val="21"/>
          <w:highlight w:val="none"/>
        </w:rPr>
      </w:pPr>
      <w:r>
        <w:rPr>
          <w:rFonts w:hint="eastAsia" w:cs="宋体"/>
          <w:color w:val="auto"/>
          <w:szCs w:val="21"/>
          <w:highlight w:val="none"/>
        </w:rPr>
        <w:t>2、环保产品</w:t>
      </w:r>
    </w:p>
    <w:tbl>
      <w:tblPr>
        <w:tblStyle w:val="1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590E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452F52A">
            <w:pPr>
              <w:pStyle w:val="21"/>
              <w:jc w:val="center"/>
              <w:rPr>
                <w:rFonts w:hint="eastAsia"/>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6584E1FC">
            <w:pPr>
              <w:pStyle w:val="21"/>
              <w:jc w:val="center"/>
              <w:rPr>
                <w:rFonts w:hint="eastAsia"/>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654A3066">
            <w:pPr>
              <w:pStyle w:val="21"/>
              <w:jc w:val="center"/>
              <w:rPr>
                <w:rFonts w:hint="eastAsia"/>
                <w:color w:val="auto"/>
                <w:sz w:val="21"/>
                <w:szCs w:val="21"/>
                <w:highlight w:val="none"/>
              </w:rPr>
            </w:pPr>
            <w:r>
              <w:rPr>
                <w:rFonts w:hint="eastAsia"/>
                <w:color w:val="auto"/>
                <w:sz w:val="21"/>
                <w:szCs w:val="21"/>
                <w:highlight w:val="none"/>
              </w:rPr>
              <w:t>制造商</w:t>
            </w:r>
          </w:p>
          <w:p w14:paraId="3E49A9B8">
            <w:pPr>
              <w:pStyle w:val="21"/>
              <w:jc w:val="center"/>
              <w:rPr>
                <w:rFonts w:hint="eastAsia"/>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5F092ED0">
            <w:pPr>
              <w:pStyle w:val="21"/>
              <w:jc w:val="center"/>
              <w:rPr>
                <w:rFonts w:hint="eastAsia"/>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784335B4">
            <w:pPr>
              <w:pStyle w:val="21"/>
              <w:jc w:val="center"/>
              <w:rPr>
                <w:rFonts w:hint="eastAsia"/>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283AD8CB">
            <w:pPr>
              <w:pStyle w:val="21"/>
              <w:jc w:val="center"/>
              <w:rPr>
                <w:rFonts w:hint="eastAsia"/>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45E43A6B">
            <w:pPr>
              <w:pStyle w:val="21"/>
              <w:jc w:val="center"/>
              <w:rPr>
                <w:rFonts w:hint="eastAsia"/>
                <w:color w:val="auto"/>
                <w:sz w:val="21"/>
                <w:szCs w:val="21"/>
                <w:highlight w:val="none"/>
              </w:rPr>
            </w:pPr>
            <w:r>
              <w:rPr>
                <w:rFonts w:hint="eastAsia"/>
                <w:color w:val="auto"/>
                <w:sz w:val="21"/>
                <w:szCs w:val="21"/>
                <w:highlight w:val="none"/>
              </w:rPr>
              <w:t>单价</w:t>
            </w:r>
          </w:p>
          <w:p w14:paraId="43A8E0F7">
            <w:pPr>
              <w:pStyle w:val="21"/>
              <w:jc w:val="center"/>
              <w:rPr>
                <w:rFonts w:hint="eastAsia"/>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5267C688">
            <w:pPr>
              <w:pStyle w:val="21"/>
              <w:jc w:val="center"/>
              <w:rPr>
                <w:rFonts w:hint="eastAsia"/>
                <w:color w:val="auto"/>
                <w:sz w:val="21"/>
                <w:szCs w:val="21"/>
                <w:highlight w:val="none"/>
              </w:rPr>
            </w:pPr>
            <w:r>
              <w:rPr>
                <w:rFonts w:hint="eastAsia"/>
                <w:color w:val="auto"/>
                <w:sz w:val="21"/>
                <w:szCs w:val="21"/>
                <w:highlight w:val="none"/>
              </w:rPr>
              <w:t>总价</w:t>
            </w:r>
          </w:p>
          <w:p w14:paraId="0707D0F5">
            <w:pPr>
              <w:pStyle w:val="21"/>
              <w:jc w:val="center"/>
              <w:rPr>
                <w:rFonts w:hint="eastAsia"/>
                <w:color w:val="auto"/>
                <w:sz w:val="21"/>
                <w:szCs w:val="21"/>
                <w:highlight w:val="none"/>
              </w:rPr>
            </w:pPr>
            <w:r>
              <w:rPr>
                <w:rFonts w:hint="eastAsia"/>
                <w:color w:val="auto"/>
                <w:sz w:val="21"/>
                <w:szCs w:val="21"/>
                <w:highlight w:val="none"/>
              </w:rPr>
              <w:t>（万元）</w:t>
            </w:r>
          </w:p>
        </w:tc>
      </w:tr>
      <w:tr w14:paraId="30A7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517CA8C">
            <w:pPr>
              <w:pStyle w:val="21"/>
              <w:numPr>
                <w:ilvl w:val="0"/>
                <w:numId w:val="10"/>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029385B">
            <w:pPr>
              <w:pStyle w:val="21"/>
              <w:jc w:val="center"/>
              <w:rPr>
                <w:rFonts w:hint="eastAsia"/>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188495E">
            <w:pPr>
              <w:pStyle w:val="21"/>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80B264">
            <w:pPr>
              <w:pStyle w:val="21"/>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43A6707">
            <w:pPr>
              <w:pStyle w:val="21"/>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06D2C337">
            <w:pPr>
              <w:pStyle w:val="21"/>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FA327C0">
            <w:pPr>
              <w:pStyle w:val="21"/>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DC7A803">
            <w:pPr>
              <w:pStyle w:val="21"/>
              <w:jc w:val="center"/>
              <w:rPr>
                <w:rFonts w:hint="eastAsia"/>
                <w:color w:val="auto"/>
                <w:sz w:val="21"/>
                <w:szCs w:val="21"/>
                <w:highlight w:val="none"/>
              </w:rPr>
            </w:pPr>
          </w:p>
        </w:tc>
      </w:tr>
      <w:tr w14:paraId="42E5A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609FD8D4">
            <w:pPr>
              <w:pStyle w:val="21"/>
              <w:numPr>
                <w:ilvl w:val="0"/>
                <w:numId w:val="10"/>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7E4E2D1">
            <w:pPr>
              <w:pStyle w:val="21"/>
              <w:jc w:val="center"/>
              <w:rPr>
                <w:rFonts w:hint="eastAsia"/>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32C0E20D">
            <w:pPr>
              <w:pStyle w:val="21"/>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56B0D48">
            <w:pPr>
              <w:pStyle w:val="21"/>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4DB05BE">
            <w:pPr>
              <w:pStyle w:val="21"/>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29CF696">
            <w:pPr>
              <w:pStyle w:val="21"/>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A48E788">
            <w:pPr>
              <w:pStyle w:val="21"/>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2D86C55B">
            <w:pPr>
              <w:pStyle w:val="21"/>
              <w:jc w:val="center"/>
              <w:rPr>
                <w:rFonts w:hint="eastAsia"/>
                <w:color w:val="auto"/>
                <w:sz w:val="21"/>
                <w:szCs w:val="21"/>
                <w:highlight w:val="none"/>
              </w:rPr>
            </w:pPr>
          </w:p>
        </w:tc>
      </w:tr>
      <w:tr w14:paraId="5485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00304D4">
            <w:pPr>
              <w:pStyle w:val="21"/>
              <w:numPr>
                <w:ilvl w:val="0"/>
                <w:numId w:val="10"/>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78832093">
            <w:pPr>
              <w:pStyle w:val="21"/>
              <w:jc w:val="center"/>
              <w:rPr>
                <w:rFonts w:hint="eastAsia"/>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D1D6BC7">
            <w:pPr>
              <w:pStyle w:val="21"/>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0A654B3">
            <w:pPr>
              <w:pStyle w:val="21"/>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2D49323">
            <w:pPr>
              <w:pStyle w:val="21"/>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C68CB44">
            <w:pPr>
              <w:pStyle w:val="21"/>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DD859E5">
            <w:pPr>
              <w:pStyle w:val="21"/>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97D430F">
            <w:pPr>
              <w:pStyle w:val="21"/>
              <w:jc w:val="center"/>
              <w:rPr>
                <w:rFonts w:hint="eastAsia"/>
                <w:color w:val="auto"/>
                <w:sz w:val="21"/>
                <w:szCs w:val="21"/>
                <w:highlight w:val="none"/>
              </w:rPr>
            </w:pPr>
          </w:p>
        </w:tc>
      </w:tr>
    </w:tbl>
    <w:p w14:paraId="5753ABA5">
      <w:pPr>
        <w:spacing w:line="300" w:lineRule="auto"/>
        <w:rPr>
          <w:rFonts w:ascii="Arial" w:hAnsi="Arial" w:cs="Arial"/>
          <w:color w:val="auto"/>
          <w:szCs w:val="21"/>
          <w:highlight w:val="none"/>
        </w:rPr>
      </w:pPr>
    </w:p>
    <w:p w14:paraId="59A695F3">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特别说明：投标人应将所投产品中节能、环保产品分别列入上表中，并按本招标文件“第二章投标人须知”提供相关证明材料，未填写本表或未提供有效认证证书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不给予评审优惠。</w:t>
      </w:r>
    </w:p>
    <w:p w14:paraId="1066B47C">
      <w:pPr>
        <w:spacing w:line="300" w:lineRule="auto"/>
        <w:rPr>
          <w:rFonts w:ascii="Arial" w:hAnsi="Arial" w:cs="Arial"/>
          <w:color w:val="auto"/>
          <w:szCs w:val="21"/>
          <w:highlight w:val="none"/>
        </w:rPr>
      </w:pPr>
    </w:p>
    <w:p w14:paraId="5D9C9C82">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ascii="Arial" w:hAnsi="Arial" w:cs="Arial"/>
          <w:color w:val="auto"/>
          <w:szCs w:val="21"/>
          <w:highlight w:val="none"/>
        </w:rPr>
        <w:t>：</w:t>
      </w:r>
    </w:p>
    <w:p w14:paraId="08373F3D">
      <w:pPr>
        <w:rPr>
          <w:rFonts w:ascii="Arial" w:hAnsi="Arial" w:cs="Arial"/>
          <w:color w:val="auto"/>
          <w:szCs w:val="21"/>
          <w:highlight w:val="none"/>
        </w:rPr>
      </w:pPr>
      <w:r>
        <w:rPr>
          <w:rFonts w:ascii="Arial" w:hAnsi="Arial" w:cs="Arial"/>
          <w:color w:val="auto"/>
          <w:szCs w:val="21"/>
          <w:highlight w:val="none"/>
        </w:rPr>
        <w:t>日期：</w:t>
      </w:r>
    </w:p>
    <w:p w14:paraId="16EF7526">
      <w:pPr>
        <w:rPr>
          <w:rFonts w:ascii="Arial" w:hAnsi="Arial" w:cs="Arial"/>
          <w:color w:val="auto"/>
          <w:szCs w:val="21"/>
          <w:highlight w:val="none"/>
        </w:rPr>
      </w:pPr>
      <w:r>
        <w:rPr>
          <w:rFonts w:ascii="Arial" w:hAnsi="Arial" w:cs="Arial"/>
          <w:color w:val="auto"/>
          <w:szCs w:val="21"/>
          <w:highlight w:val="none"/>
        </w:rPr>
        <w:br w:type="page"/>
      </w:r>
    </w:p>
    <w:p w14:paraId="1C30485B">
      <w:pPr>
        <w:pStyle w:val="6"/>
        <w:spacing w:before="0" w:after="0" w:line="360" w:lineRule="auto"/>
        <w:rPr>
          <w:rFonts w:hint="eastAsia"/>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bookmarkStart w:id="343" w:name="_Toc163492939"/>
    </w:p>
    <w:p w14:paraId="34FA3DE4">
      <w:pPr>
        <w:widowControl/>
        <w:rPr>
          <w:rFonts w:hint="eastAsia" w:cs="宋体"/>
          <w:b/>
          <w:bCs/>
          <w:color w:val="auto"/>
          <w:kern w:val="0"/>
          <w:sz w:val="31"/>
          <w:szCs w:val="31"/>
          <w:highlight w:val="none"/>
          <w:lang w:bidi="ar"/>
        </w:rPr>
      </w:pPr>
      <w:r>
        <w:rPr>
          <w:rFonts w:hint="eastAsia"/>
          <w:b/>
          <w:bCs/>
          <w:color w:val="auto"/>
          <w:szCs w:val="24"/>
          <w:highlight w:val="none"/>
        </w:rPr>
        <w:t>（二）关于符合本国产品标准的声明函</w:t>
      </w:r>
    </w:p>
    <w:p w14:paraId="0E74CE30">
      <w:pPr>
        <w:pStyle w:val="33"/>
        <w:numPr>
          <w:ilvl w:val="0"/>
          <w:numId w:val="0"/>
        </w:numPr>
        <w:ind w:left="420" w:hanging="420"/>
        <w:jc w:val="center"/>
        <w:rPr>
          <w:rFonts w:hint="eastAsia"/>
          <w:b/>
          <w:bCs/>
          <w:color w:val="auto"/>
          <w:sz w:val="32"/>
          <w:szCs w:val="32"/>
          <w:highlight w:val="none"/>
        </w:rPr>
      </w:pPr>
    </w:p>
    <w:p w14:paraId="58025BB2">
      <w:pPr>
        <w:pStyle w:val="33"/>
        <w:numPr>
          <w:ilvl w:val="0"/>
          <w:numId w:val="0"/>
        </w:numPr>
        <w:ind w:left="420" w:hanging="420"/>
        <w:jc w:val="center"/>
        <w:rPr>
          <w:rFonts w:hint="eastAsia"/>
          <w:b/>
          <w:bCs/>
          <w:color w:val="auto"/>
          <w:sz w:val="32"/>
          <w:szCs w:val="32"/>
          <w:highlight w:val="none"/>
        </w:rPr>
      </w:pPr>
      <w:r>
        <w:rPr>
          <w:rFonts w:hint="eastAsia"/>
          <w:b/>
          <w:bCs/>
          <w:color w:val="auto"/>
          <w:sz w:val="32"/>
          <w:szCs w:val="32"/>
          <w:highlight w:val="none"/>
        </w:rPr>
        <w:t xml:space="preserve">关于符合本国产品标准的声明函 </w:t>
      </w:r>
    </w:p>
    <w:p w14:paraId="7E8382A1">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本公司（单位）郑重声明，根据《国务院办公厅关于在政府采购中实施本国产品标准及相关政策的通知》（国办发〔2025〕34号）的规定，本公司（单位）提供的以下产品属于本国产品。具体情况如下： </w:t>
      </w:r>
    </w:p>
    <w:p w14:paraId="5978CB60">
      <w:pPr>
        <w:widowControl/>
        <w:rPr>
          <w:rFonts w:hint="eastAsia"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（产品名称1）</w:t>
      </w:r>
      <w:r>
        <w:rPr>
          <w:rFonts w:cs="宋体"/>
          <w:color w:val="auto"/>
          <w:szCs w:val="24"/>
          <w:highlight w:val="none"/>
        </w:rPr>
        <w:t>¹</w:t>
      </w:r>
      <w:r>
        <w:rPr>
          <w:rFonts w:hint="eastAsia" w:cs="宋体"/>
          <w:color w:val="auto"/>
          <w:spacing w:val="6"/>
          <w:szCs w:val="24"/>
          <w:highlight w:val="none"/>
        </w:rPr>
        <w:t>，生产厂为</w:t>
      </w:r>
      <w:r>
        <w:rPr>
          <w:rFonts w:hint="eastAsia" w:cs="宋体"/>
          <w:color w:val="auto"/>
          <w:spacing w:val="6"/>
          <w:szCs w:val="24"/>
          <w:highlight w:val="none"/>
          <w:u w:val="single"/>
        </w:rPr>
        <w:t>（厂名）</w:t>
      </w:r>
      <w:r>
        <w:rPr>
          <w:rFonts w:cs="宋体"/>
          <w:color w:val="auto"/>
          <w:szCs w:val="24"/>
          <w:highlight w:val="none"/>
        </w:rPr>
        <w:t>²</w:t>
      </w:r>
      <w:r>
        <w:rPr>
          <w:rFonts w:hint="eastAsia" w:cs="宋体"/>
          <w:color w:val="auto"/>
          <w:spacing w:val="6"/>
          <w:szCs w:val="24"/>
          <w:highlight w:val="none"/>
        </w:rPr>
        <w:t>，厂址为</w:t>
      </w:r>
      <w:r>
        <w:rPr>
          <w:rFonts w:hint="eastAsia" w:cs="宋体"/>
          <w:color w:val="auto"/>
          <w:spacing w:val="6"/>
          <w:szCs w:val="24"/>
          <w:highlight w:val="none"/>
          <w:u w:val="single"/>
        </w:rPr>
        <w:t>（生产厂址）</w:t>
      </w:r>
      <w:r>
        <w:rPr>
          <w:rFonts w:hint="eastAsia" w:cs="宋体"/>
          <w:color w:val="auto"/>
          <w:spacing w:val="6"/>
          <w:szCs w:val="24"/>
          <w:highlight w:val="none"/>
        </w:rPr>
        <w:t>。</w:t>
      </w:r>
      <w:r>
        <w:rPr>
          <w:rFonts w:hint="eastAsia" w:cs="宋体"/>
          <w:color w:val="auto"/>
          <w:spacing w:val="6"/>
          <w:szCs w:val="24"/>
          <w:highlight w:val="none"/>
          <w:u w:val="single"/>
        </w:rPr>
        <w:t>（产品名称1）</w:t>
      </w:r>
      <w:r>
        <w:rPr>
          <w:rFonts w:hint="eastAsia" w:cs="宋体"/>
          <w:color w:val="auto"/>
          <w:spacing w:val="6"/>
          <w:szCs w:val="24"/>
          <w:highlight w:val="none"/>
        </w:rPr>
        <w:t>的中国境内生产的组件成本占比≥</w:t>
      </w:r>
      <w:r>
        <w:rPr>
          <w:rFonts w:hint="eastAsia" w:cs="宋体"/>
          <w:color w:val="auto"/>
          <w:spacing w:val="6"/>
          <w:szCs w:val="24"/>
          <w:highlight w:val="none"/>
          <w:u w:val="single"/>
        </w:rPr>
        <w:t>（规定比例）</w:t>
      </w:r>
      <w:r>
        <w:rPr>
          <w:rFonts w:cs="宋体"/>
          <w:color w:val="auto"/>
          <w:szCs w:val="24"/>
          <w:highlight w:val="none"/>
        </w:rPr>
        <w:t>³</w:t>
      </w:r>
      <w:r>
        <w:rPr>
          <w:rFonts w:hint="eastAsia" w:cs="宋体"/>
          <w:color w:val="auto"/>
          <w:spacing w:val="6"/>
          <w:szCs w:val="24"/>
          <w:highlight w:val="none"/>
        </w:rPr>
        <w:t>。</w:t>
      </w:r>
      <w:r>
        <w:rPr>
          <w:rFonts w:hint="eastAsia" w:cs="宋体"/>
          <w:color w:val="auto"/>
          <w:spacing w:val="6"/>
          <w:szCs w:val="24"/>
          <w:highlight w:val="none"/>
          <w:u w:val="single"/>
        </w:rPr>
        <w:t>（产品名称1）</w:t>
      </w:r>
      <w:r>
        <w:rPr>
          <w:rFonts w:hint="eastAsia" w:cs="宋体"/>
          <w:color w:val="auto"/>
          <w:spacing w:val="6"/>
          <w:szCs w:val="24"/>
          <w:highlight w:val="none"/>
        </w:rPr>
        <w:t>的</w:t>
      </w:r>
      <w:r>
        <w:rPr>
          <w:rFonts w:hint="eastAsia" w:cs="宋体"/>
          <w:color w:val="auto"/>
          <w:spacing w:val="6"/>
          <w:szCs w:val="24"/>
          <w:highlight w:val="none"/>
          <w:u w:val="single"/>
        </w:rPr>
        <w:t>（关键组件）</w:t>
      </w:r>
      <w:r>
        <w:rPr>
          <w:rFonts w:hint="eastAsia" w:cs="宋体"/>
          <w:color w:val="auto"/>
          <w:spacing w:val="6"/>
          <w:szCs w:val="24"/>
          <w:highlight w:val="none"/>
        </w:rPr>
        <w:t>⁴在中国境内生产。</w:t>
      </w:r>
      <w:r>
        <w:rPr>
          <w:rFonts w:hint="eastAsia" w:cs="宋体"/>
          <w:color w:val="auto"/>
          <w:spacing w:val="6"/>
          <w:szCs w:val="24"/>
          <w:highlight w:val="none"/>
          <w:u w:val="single"/>
        </w:rPr>
        <w:t>（产品名称1）</w:t>
      </w:r>
      <w:r>
        <w:rPr>
          <w:rFonts w:hint="eastAsia" w:cs="宋体"/>
          <w:color w:val="auto"/>
          <w:spacing w:val="6"/>
          <w:szCs w:val="24"/>
          <w:highlight w:val="none"/>
        </w:rPr>
        <w:t>的</w:t>
      </w:r>
      <w:r>
        <w:rPr>
          <w:rFonts w:hint="eastAsia" w:cs="宋体"/>
          <w:color w:val="auto"/>
          <w:spacing w:val="6"/>
          <w:szCs w:val="24"/>
          <w:highlight w:val="none"/>
          <w:u w:val="single"/>
        </w:rPr>
        <w:t>（关键工序）</w:t>
      </w:r>
      <w:r>
        <w:rPr>
          <w:rFonts w:cs="宋体"/>
          <w:color w:val="auto"/>
          <w:szCs w:val="24"/>
          <w:highlight w:val="none"/>
        </w:rPr>
        <w:t>⁵</w:t>
      </w:r>
      <w:r>
        <w:rPr>
          <w:rFonts w:hint="eastAsia" w:cs="宋体"/>
          <w:color w:val="auto"/>
          <w:spacing w:val="6"/>
          <w:szCs w:val="24"/>
          <w:highlight w:val="none"/>
        </w:rPr>
        <w:t xml:space="preserve">在中国境内完成。 </w:t>
      </w:r>
    </w:p>
    <w:p w14:paraId="641ADA2A">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（产品名称2）</w:t>
      </w:r>
      <w:r>
        <w:rPr>
          <w:rFonts w:hint="eastAsia" w:cs="宋体"/>
          <w:color w:val="auto"/>
          <w:spacing w:val="6"/>
          <w:szCs w:val="24"/>
          <w:highlight w:val="none"/>
        </w:rPr>
        <w:t>，生产厂为</w:t>
      </w:r>
      <w:r>
        <w:rPr>
          <w:rFonts w:hint="eastAsia" w:cs="宋体"/>
          <w:color w:val="auto"/>
          <w:spacing w:val="6"/>
          <w:szCs w:val="24"/>
          <w:highlight w:val="none"/>
          <w:u w:val="single"/>
        </w:rPr>
        <w:t>（厂名）</w:t>
      </w:r>
      <w:r>
        <w:rPr>
          <w:rFonts w:hint="eastAsia" w:cs="宋体"/>
          <w:color w:val="auto"/>
          <w:spacing w:val="6"/>
          <w:szCs w:val="24"/>
          <w:highlight w:val="none"/>
        </w:rPr>
        <w:t>，厂址为</w:t>
      </w:r>
      <w:r>
        <w:rPr>
          <w:rFonts w:hint="eastAsia" w:cs="宋体"/>
          <w:color w:val="auto"/>
          <w:spacing w:val="6"/>
          <w:szCs w:val="24"/>
          <w:highlight w:val="none"/>
          <w:u w:val="single"/>
        </w:rPr>
        <w:t>（生产厂址）</w:t>
      </w:r>
      <w:r>
        <w:rPr>
          <w:rFonts w:hint="eastAsia" w:cs="宋体"/>
          <w:color w:val="auto"/>
          <w:spacing w:val="6"/>
          <w:szCs w:val="24"/>
          <w:highlight w:val="none"/>
        </w:rPr>
        <w:t>。</w:t>
      </w:r>
      <w:r>
        <w:rPr>
          <w:rFonts w:hint="eastAsia" w:cs="宋体"/>
          <w:color w:val="auto"/>
          <w:spacing w:val="6"/>
          <w:szCs w:val="24"/>
          <w:highlight w:val="none"/>
          <w:u w:val="single"/>
        </w:rPr>
        <w:t>（产品名称2）</w:t>
      </w:r>
      <w:r>
        <w:rPr>
          <w:rFonts w:hint="eastAsia" w:cs="宋体"/>
          <w:color w:val="auto"/>
          <w:spacing w:val="6"/>
          <w:szCs w:val="24"/>
          <w:highlight w:val="none"/>
        </w:rPr>
        <w:t>的中国境内生产的组件成本占比≥</w:t>
      </w:r>
      <w:r>
        <w:rPr>
          <w:rFonts w:hint="eastAsia" w:cs="宋体"/>
          <w:color w:val="auto"/>
          <w:spacing w:val="6"/>
          <w:szCs w:val="24"/>
          <w:highlight w:val="none"/>
          <w:u w:val="single"/>
        </w:rPr>
        <w:t>（规定比例）</w:t>
      </w:r>
      <w:r>
        <w:rPr>
          <w:rFonts w:hint="eastAsia" w:cs="宋体"/>
          <w:color w:val="auto"/>
          <w:spacing w:val="6"/>
          <w:szCs w:val="24"/>
          <w:highlight w:val="none"/>
        </w:rPr>
        <w:t>。</w:t>
      </w:r>
      <w:r>
        <w:rPr>
          <w:rFonts w:hint="eastAsia" w:cs="宋体"/>
          <w:color w:val="auto"/>
          <w:spacing w:val="6"/>
          <w:szCs w:val="24"/>
          <w:highlight w:val="none"/>
          <w:u w:val="single"/>
        </w:rPr>
        <w:t>（产品名称2）</w:t>
      </w:r>
      <w:r>
        <w:rPr>
          <w:rFonts w:hint="eastAsia" w:cs="宋体"/>
          <w:color w:val="auto"/>
          <w:spacing w:val="6"/>
          <w:szCs w:val="24"/>
          <w:highlight w:val="none"/>
        </w:rPr>
        <w:t>的</w:t>
      </w:r>
      <w:r>
        <w:rPr>
          <w:rFonts w:hint="eastAsia" w:cs="宋体"/>
          <w:color w:val="auto"/>
          <w:spacing w:val="6"/>
          <w:szCs w:val="24"/>
          <w:highlight w:val="none"/>
          <w:u w:val="single"/>
        </w:rPr>
        <w:t>（关键组件）</w:t>
      </w:r>
      <w:r>
        <w:rPr>
          <w:rFonts w:hint="eastAsia" w:cs="宋体"/>
          <w:color w:val="auto"/>
          <w:spacing w:val="6"/>
          <w:szCs w:val="24"/>
          <w:highlight w:val="none"/>
        </w:rPr>
        <w:t>在中国境内生产。</w:t>
      </w:r>
      <w:r>
        <w:rPr>
          <w:rFonts w:hint="eastAsia" w:cs="宋体"/>
          <w:color w:val="auto"/>
          <w:spacing w:val="6"/>
          <w:szCs w:val="24"/>
          <w:highlight w:val="none"/>
          <w:u w:val="single"/>
        </w:rPr>
        <w:t>（产品名称2）</w:t>
      </w:r>
      <w:r>
        <w:rPr>
          <w:rFonts w:hint="eastAsia" w:cs="宋体"/>
          <w:color w:val="auto"/>
          <w:spacing w:val="6"/>
          <w:szCs w:val="24"/>
          <w:highlight w:val="none"/>
        </w:rPr>
        <w:t>的</w:t>
      </w:r>
      <w:r>
        <w:rPr>
          <w:rFonts w:hint="eastAsia" w:cs="宋体"/>
          <w:color w:val="auto"/>
          <w:spacing w:val="6"/>
          <w:szCs w:val="24"/>
          <w:highlight w:val="none"/>
          <w:u w:val="single"/>
        </w:rPr>
        <w:t>（关键工序）</w:t>
      </w:r>
      <w:r>
        <w:rPr>
          <w:rFonts w:hint="eastAsia" w:cs="宋体"/>
          <w:color w:val="auto"/>
          <w:spacing w:val="6"/>
          <w:szCs w:val="24"/>
          <w:highlight w:val="none"/>
        </w:rPr>
        <w:t xml:space="preserve">在中国境内完成。 </w:t>
      </w:r>
    </w:p>
    <w:p w14:paraId="32A50141">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 </w:t>
      </w:r>
    </w:p>
    <w:p w14:paraId="40E38DDB">
      <w:pPr>
        <w:ind w:firstLine="504" w:firstLineChars="200"/>
        <w:rPr>
          <w:rFonts w:hint="eastAsia" w:cs="宋体"/>
          <w:color w:val="auto"/>
          <w:kern w:val="0"/>
          <w:szCs w:val="24"/>
          <w:highlight w:val="none"/>
          <w:lang w:bidi="ar"/>
        </w:rPr>
      </w:pPr>
      <w:r>
        <w:rPr>
          <w:rFonts w:hint="eastAsia" w:cs="宋体"/>
          <w:color w:val="auto"/>
          <w:spacing w:val="6"/>
          <w:szCs w:val="24"/>
          <w:highlight w:val="none"/>
        </w:rPr>
        <w:t>本公司（单位）对上述声明内容的真实性负责。如有虚假，愿承担相应法律责任。</w:t>
      </w:r>
      <w:r>
        <w:rPr>
          <w:rFonts w:hint="eastAsia" w:cs="宋体"/>
          <w:color w:val="auto"/>
          <w:kern w:val="0"/>
          <w:szCs w:val="24"/>
          <w:highlight w:val="none"/>
          <w:lang w:bidi="ar"/>
        </w:rPr>
        <w:t xml:space="preserve"> </w:t>
      </w:r>
    </w:p>
    <w:p w14:paraId="5633A7D3">
      <w:pPr>
        <w:ind w:firstLine="480" w:firstLineChars="200"/>
        <w:rPr>
          <w:rFonts w:hint="eastAsia" w:cs="宋体"/>
          <w:color w:val="auto"/>
          <w:kern w:val="0"/>
          <w:szCs w:val="24"/>
          <w:highlight w:val="none"/>
          <w:lang w:bidi="ar"/>
        </w:rPr>
      </w:pPr>
    </w:p>
    <w:p w14:paraId="1E750709">
      <w:pPr>
        <w:ind w:firstLine="504" w:firstLineChars="200"/>
        <w:jc w:val="right"/>
        <w:rPr>
          <w:rFonts w:hint="eastAsia" w:cs="宋体"/>
          <w:color w:val="auto"/>
          <w:spacing w:val="6"/>
          <w:szCs w:val="24"/>
          <w:highlight w:val="none"/>
        </w:rPr>
      </w:pPr>
      <w:r>
        <w:rPr>
          <w:rFonts w:hint="eastAsia" w:cs="宋体"/>
          <w:color w:val="auto"/>
          <w:spacing w:val="6"/>
          <w:szCs w:val="24"/>
          <w:highlight w:val="none"/>
        </w:rPr>
        <w:t xml:space="preserve">公司（单位）名称（盖章）： </w:t>
      </w:r>
    </w:p>
    <w:p w14:paraId="2D206757">
      <w:pPr>
        <w:ind w:firstLine="504" w:firstLineChars="200"/>
        <w:jc w:val="right"/>
        <w:rPr>
          <w:rFonts w:hint="eastAsia" w:cs="宋体"/>
          <w:color w:val="auto"/>
          <w:spacing w:val="6"/>
          <w:szCs w:val="24"/>
          <w:highlight w:val="none"/>
        </w:rPr>
      </w:pPr>
      <w:r>
        <w:rPr>
          <w:rFonts w:hint="eastAsia" w:cs="宋体"/>
          <w:color w:val="auto"/>
          <w:spacing w:val="6"/>
          <w:szCs w:val="24"/>
          <w:highlight w:val="none"/>
        </w:rPr>
        <w:t>日期： 年 月 日</w:t>
      </w:r>
    </w:p>
    <w:p w14:paraId="1AA13D59">
      <w:pPr>
        <w:rPr>
          <w:rFonts w:ascii="Arial" w:hAnsi="Arial" w:cs="Arial"/>
          <w:color w:val="auto"/>
          <w:szCs w:val="21"/>
          <w:highlight w:val="none"/>
        </w:rPr>
      </w:pPr>
    </w:p>
    <w:p w14:paraId="6223FD01">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1.产品如有型号，请在“产品名称”栏一并填写。 </w:t>
      </w:r>
    </w:p>
    <w:p w14:paraId="3DBFED04">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2.生产厂名与厂址应与生产厂营业执照载明的相关信息保持一致。 </w:t>
      </w:r>
    </w:p>
    <w:p w14:paraId="13EFA0BF">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3.该产品的中国境内生产的组件成本占比相关要求实施前，“规定比例”栏可不填，下同。 </w:t>
      </w:r>
    </w:p>
    <w:p w14:paraId="45846006">
      <w:pPr>
        <w:ind w:firstLine="504" w:firstLineChars="200"/>
        <w:rPr>
          <w:rFonts w:hint="eastAsia" w:cs="宋体"/>
          <w:color w:val="auto"/>
          <w:spacing w:val="6"/>
          <w:szCs w:val="24"/>
          <w:highlight w:val="none"/>
        </w:rPr>
      </w:pPr>
      <w:r>
        <w:rPr>
          <w:rFonts w:hint="eastAsia" w:cs="宋体"/>
          <w:color w:val="auto"/>
          <w:spacing w:val="6"/>
          <w:szCs w:val="24"/>
          <w:highlight w:val="none"/>
        </w:rPr>
        <w:t xml:space="preserve">4.该产品的关键组件要求实施前，“关键组件”栏可不填，下同。 </w:t>
      </w:r>
    </w:p>
    <w:p w14:paraId="0C577125">
      <w:pPr>
        <w:ind w:firstLine="504" w:firstLineChars="200"/>
        <w:rPr>
          <w:rFonts w:hint="eastAsia" w:cs="宋体"/>
          <w:color w:val="auto"/>
          <w:spacing w:val="6"/>
          <w:szCs w:val="24"/>
          <w:highlight w:val="none"/>
        </w:rPr>
      </w:pPr>
      <w:r>
        <w:rPr>
          <w:rFonts w:hint="eastAsia" w:cs="宋体"/>
          <w:color w:val="auto"/>
          <w:spacing w:val="6"/>
          <w:szCs w:val="24"/>
          <w:highlight w:val="none"/>
        </w:rPr>
        <w:t>5.该产品的关键工序要求实施前，“关键工序”栏可不填，下同。</w:t>
      </w:r>
    </w:p>
    <w:p w14:paraId="5B1FF28D">
      <w:pPr>
        <w:rPr>
          <w:rFonts w:ascii="Arial" w:hAnsi="Arial" w:cs="Arial"/>
          <w:color w:val="auto"/>
          <w:szCs w:val="21"/>
          <w:highlight w:val="none"/>
        </w:rPr>
        <w:sectPr>
          <w:pgSz w:w="11906" w:h="16838"/>
          <w:pgMar w:top="1440" w:right="1800" w:bottom="1440" w:left="1800" w:header="851" w:footer="992" w:gutter="0"/>
          <w:pgNumType w:fmt="decimal"/>
          <w:cols w:space="425" w:num="1"/>
          <w:docGrid w:type="lines" w:linePitch="312" w:charSpace="0"/>
        </w:sectPr>
      </w:pPr>
    </w:p>
    <w:p w14:paraId="563C67C2">
      <w:pPr>
        <w:pStyle w:val="6"/>
        <w:spacing w:before="0" w:after="0" w:line="360" w:lineRule="auto"/>
        <w:rPr>
          <w:rFonts w:hint="eastAsia"/>
          <w:color w:val="auto"/>
          <w:sz w:val="24"/>
          <w:szCs w:val="24"/>
          <w:highlight w:val="none"/>
        </w:rPr>
      </w:pPr>
      <w:r>
        <w:rPr>
          <w:rFonts w:hint="eastAsia"/>
          <w:color w:val="auto"/>
          <w:sz w:val="24"/>
          <w:szCs w:val="24"/>
          <w:highlight w:val="none"/>
        </w:rPr>
        <w:t>（三）中小企业声明函</w:t>
      </w:r>
      <w:r>
        <w:rPr>
          <w:rFonts w:hint="eastAsia"/>
          <w:b w:val="0"/>
          <w:bCs w:val="0"/>
          <w:color w:val="auto"/>
          <w:sz w:val="24"/>
          <w:szCs w:val="24"/>
          <w:highlight w:val="none"/>
        </w:rPr>
        <w:t>【如专门面向中小企业采购的项目，此函可放于此处，否则，应后置于“其他资格证明文件”】</w:t>
      </w:r>
      <w:bookmarkEnd w:id="343"/>
    </w:p>
    <w:p w14:paraId="61769E23">
      <w:pPr>
        <w:pStyle w:val="33"/>
        <w:numPr>
          <w:ilvl w:val="0"/>
          <w:numId w:val="0"/>
        </w:numPr>
        <w:spacing w:line="300" w:lineRule="exact"/>
        <w:ind w:left="420" w:hanging="420"/>
        <w:jc w:val="center"/>
        <w:rPr>
          <w:rFonts w:hint="eastAsia"/>
          <w:b/>
          <w:bCs/>
          <w:color w:val="auto"/>
          <w:sz w:val="32"/>
          <w:szCs w:val="32"/>
          <w:highlight w:val="none"/>
        </w:rPr>
      </w:pPr>
    </w:p>
    <w:p w14:paraId="723B5848">
      <w:pPr>
        <w:pStyle w:val="33"/>
        <w:numPr>
          <w:ilvl w:val="0"/>
          <w:numId w:val="0"/>
        </w:numPr>
        <w:ind w:left="420" w:hanging="420"/>
        <w:jc w:val="center"/>
        <w:rPr>
          <w:rFonts w:hint="eastAsia"/>
          <w:b/>
          <w:bCs/>
          <w:color w:val="auto"/>
          <w:sz w:val="32"/>
          <w:szCs w:val="32"/>
          <w:highlight w:val="none"/>
        </w:rPr>
      </w:pPr>
      <w:r>
        <w:rPr>
          <w:rFonts w:hint="eastAsia"/>
          <w:b/>
          <w:bCs/>
          <w:color w:val="auto"/>
          <w:sz w:val="32"/>
          <w:szCs w:val="32"/>
          <w:highlight w:val="none"/>
        </w:rPr>
        <w:t>中小企业声明函</w:t>
      </w:r>
    </w:p>
    <w:p w14:paraId="2A796D45">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282C895D">
      <w:pPr>
        <w:ind w:firstLine="504" w:firstLineChars="200"/>
        <w:rPr>
          <w:rFonts w:hint="eastAsia"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6EA74E75">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2765579">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4CAD7210">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6FB0297A">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8181C5C">
      <w:pPr>
        <w:ind w:right="1008" w:firstLine="4788" w:firstLineChars="1900"/>
        <w:rPr>
          <w:rFonts w:hint="eastAsia" w:cs="宋体"/>
          <w:color w:val="auto"/>
          <w:spacing w:val="6"/>
          <w:szCs w:val="24"/>
          <w:highlight w:val="none"/>
        </w:rPr>
      </w:pPr>
    </w:p>
    <w:p w14:paraId="46E72431">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spacing w:val="6"/>
          <w:szCs w:val="24"/>
          <w:highlight w:val="none"/>
        </w:rPr>
        <w:t>：</w:t>
      </w:r>
    </w:p>
    <w:p w14:paraId="048453C0">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日期：   年  月  日</w:t>
      </w:r>
    </w:p>
    <w:p w14:paraId="0F23A34C">
      <w:pPr>
        <w:ind w:firstLine="504" w:firstLineChars="200"/>
        <w:rPr>
          <w:rFonts w:hint="eastAsia" w:cs="宋体"/>
          <w:color w:val="auto"/>
          <w:spacing w:val="6"/>
          <w:szCs w:val="24"/>
          <w:highlight w:val="none"/>
        </w:rPr>
      </w:pPr>
    </w:p>
    <w:p w14:paraId="71511077">
      <w:pPr>
        <w:rPr>
          <w:rFonts w:hint="eastAsia" w:cs="宋体"/>
          <w:b/>
          <w:bCs/>
          <w:color w:val="auto"/>
          <w:spacing w:val="6"/>
          <w:sz w:val="21"/>
          <w:szCs w:val="21"/>
          <w:highlight w:val="none"/>
        </w:rPr>
      </w:pPr>
      <w:r>
        <w:rPr>
          <w:rFonts w:hint="eastAsia" w:cs="宋体"/>
          <w:b/>
          <w:bCs/>
          <w:color w:val="auto"/>
          <w:spacing w:val="6"/>
          <w:sz w:val="21"/>
          <w:szCs w:val="21"/>
          <w:highlight w:val="none"/>
        </w:rPr>
        <w:t>说明：1.重要提示：供应商应仔细阅读本函附件1关于</w:t>
      </w:r>
      <w:r>
        <w:rPr>
          <w:rFonts w:hint="eastAsia" w:cs="宋体"/>
          <w:color w:val="auto"/>
          <w:spacing w:val="-6"/>
          <w:kern w:val="0"/>
          <w:sz w:val="21"/>
          <w:szCs w:val="21"/>
          <w:highlight w:val="none"/>
          <w:lang w:bidi="ar"/>
        </w:rPr>
        <w:t>“</w:t>
      </w:r>
      <w:r>
        <w:rPr>
          <w:rFonts w:hint="eastAsia" w:cs="宋体"/>
          <w:b/>
          <w:bCs/>
          <w:color w:val="auto"/>
          <w:spacing w:val="6"/>
          <w:sz w:val="21"/>
          <w:szCs w:val="21"/>
          <w:highlight w:val="none"/>
        </w:rPr>
        <w:t>中小企业声明函”的填写要求及提交要求，否则，因填写或提交等产生的一切不利后果，须自行承担。</w:t>
      </w:r>
    </w:p>
    <w:p w14:paraId="4FBF2335">
      <w:pPr>
        <w:ind w:firstLine="668" w:firstLineChars="300"/>
        <w:rPr>
          <w:rFonts w:hint="eastAsia" w:cs="宋体"/>
          <w:color w:val="auto"/>
          <w:spacing w:val="6"/>
          <w:sz w:val="21"/>
          <w:szCs w:val="21"/>
          <w:highlight w:val="none"/>
        </w:rPr>
      </w:pPr>
      <w:r>
        <w:rPr>
          <w:rFonts w:hint="eastAsia" w:cs="宋体"/>
          <w:b/>
          <w:bCs/>
          <w:color w:val="auto"/>
          <w:spacing w:val="6"/>
          <w:sz w:val="21"/>
          <w:szCs w:val="21"/>
          <w:highlight w:val="none"/>
        </w:rPr>
        <w:t>2.</w:t>
      </w:r>
      <w:r>
        <w:rPr>
          <w:rFonts w:hint="eastAsia" w:cs="宋体"/>
          <w:color w:val="auto"/>
          <w:spacing w:val="6"/>
          <w:sz w:val="21"/>
          <w:szCs w:val="21"/>
          <w:highlight w:val="none"/>
        </w:rPr>
        <w:t>从业人员、营业收入、资产总额填报上一年度数据，无上一年度数据的新成立企业可不填报。</w:t>
      </w:r>
    </w:p>
    <w:p w14:paraId="049851FC">
      <w:pPr>
        <w:spacing w:line="360" w:lineRule="exact"/>
        <w:rPr>
          <w:rFonts w:hint="eastAsia"/>
          <w:b/>
          <w:bCs/>
          <w:color w:val="auto"/>
          <w:highlight w:val="none"/>
        </w:rPr>
      </w:pPr>
    </w:p>
    <w:p w14:paraId="26419FDB">
      <w:pPr>
        <w:spacing w:line="360" w:lineRule="exact"/>
        <w:rPr>
          <w:rFonts w:hint="eastAsia"/>
          <w:b/>
          <w:bCs/>
          <w:color w:val="auto"/>
          <w:highlight w:val="none"/>
        </w:rPr>
      </w:pPr>
    </w:p>
    <w:p w14:paraId="2512D4F9">
      <w:pPr>
        <w:spacing w:line="360" w:lineRule="exact"/>
        <w:rPr>
          <w:rFonts w:hint="eastAsia"/>
          <w:b/>
          <w:bCs/>
          <w:color w:val="auto"/>
          <w:highlight w:val="none"/>
        </w:rPr>
      </w:pPr>
    </w:p>
    <w:p w14:paraId="31C2E892">
      <w:pPr>
        <w:spacing w:line="360" w:lineRule="exact"/>
        <w:rPr>
          <w:rFonts w:hint="eastAsia"/>
          <w:b/>
          <w:bCs/>
          <w:color w:val="auto"/>
          <w:highlight w:val="none"/>
        </w:rPr>
      </w:pPr>
    </w:p>
    <w:p w14:paraId="100BEC05">
      <w:pPr>
        <w:spacing w:line="360" w:lineRule="exact"/>
        <w:rPr>
          <w:rFonts w:hint="eastAsia"/>
          <w:b/>
          <w:bCs/>
          <w:color w:val="auto"/>
          <w:highlight w:val="none"/>
        </w:rPr>
      </w:pPr>
      <w:r>
        <w:rPr>
          <w:rFonts w:hint="eastAsia"/>
          <w:b/>
          <w:bCs/>
          <w:color w:val="auto"/>
          <w:highlight w:val="none"/>
        </w:rPr>
        <w:t xml:space="preserve">附件1 </w:t>
      </w:r>
    </w:p>
    <w:p w14:paraId="1EFF44C3">
      <w:pPr>
        <w:widowControl/>
        <w:ind w:firstLine="562" w:firstLineChars="200"/>
        <w:rPr>
          <w:rStyle w:val="18"/>
          <w:rFonts w:hint="eastAsia" w:cs="宋体"/>
          <w:color w:val="auto"/>
          <w:kern w:val="0"/>
          <w:sz w:val="28"/>
          <w:szCs w:val="28"/>
          <w:highlight w:val="none"/>
          <w:lang w:bidi="ar"/>
        </w:rPr>
      </w:pPr>
    </w:p>
    <w:p w14:paraId="751F057A">
      <w:pPr>
        <w:widowControl/>
        <w:ind w:firstLine="482" w:firstLineChars="200"/>
        <w:rPr>
          <w:rStyle w:val="18"/>
          <w:rFonts w:hint="eastAsia" w:cs="宋体"/>
          <w:color w:val="auto"/>
          <w:kern w:val="0"/>
          <w:szCs w:val="24"/>
          <w:highlight w:val="none"/>
          <w:lang w:bidi="ar"/>
        </w:rPr>
      </w:pPr>
      <w:r>
        <w:rPr>
          <w:rStyle w:val="18"/>
          <w:rFonts w:hint="eastAsia" w:cs="宋体"/>
          <w:color w:val="auto"/>
          <w:kern w:val="0"/>
          <w:szCs w:val="24"/>
          <w:highlight w:val="none"/>
          <w:lang w:bidi="ar"/>
        </w:rPr>
        <w:t>（一）关于“中小企业声明函”的填写要求</w:t>
      </w:r>
    </w:p>
    <w:p w14:paraId="6C8E79C4">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“中小企业声明函”具体填写要求如下：</w:t>
      </w:r>
    </w:p>
    <w:p w14:paraId="6468ECCC">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1.“单位名称”应填写采购人名称。</w:t>
      </w:r>
    </w:p>
    <w:p w14:paraId="0705DFBE">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63AC5EFB">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51BC9D9">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0050D955">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4126197A">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47E9416E">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5.“企业名称”应填写投标（响应）的货物制造商/服务承接商/工程承建商（根据项目属性确定）。</w:t>
      </w:r>
    </w:p>
    <w:p w14:paraId="403DAB90">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对于分包方式面向中小企业采购的项目，“企业名称”应填写分包部分采购标的对应的货物制造商/服务承接商/工程承建商（根据项目属性确定）。</w:t>
      </w:r>
    </w:p>
    <w:p w14:paraId="67E597FE">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对于以联合体方式面向中小企业采购的项目，“企业名称”应填写联合体中中小企业承担采购标的对应的货物制造商/服务承接商/工程承建商（根据项目属性确定）。</w:t>
      </w:r>
    </w:p>
    <w:p w14:paraId="58954BEF">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6.从业人员、资产总额指标以上年度末数据为依据，营业收入指标以上年度累计数据为依据。无上年度数据的新成立企业可不填报。</w:t>
      </w:r>
    </w:p>
    <w:p w14:paraId="32BF3763">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37C3ED32">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54B03726">
      <w:pPr>
        <w:widowControl/>
        <w:ind w:firstLine="482" w:firstLineChars="200"/>
        <w:rPr>
          <w:rStyle w:val="18"/>
          <w:rFonts w:hint="eastAsia" w:cs="宋体"/>
          <w:color w:val="auto"/>
          <w:kern w:val="0"/>
          <w:szCs w:val="24"/>
          <w:highlight w:val="none"/>
          <w:lang w:bidi="ar"/>
        </w:rPr>
      </w:pPr>
      <w:r>
        <w:rPr>
          <w:rStyle w:val="18"/>
          <w:rFonts w:hint="eastAsia" w:cs="宋体"/>
          <w:color w:val="auto"/>
          <w:kern w:val="0"/>
          <w:szCs w:val="24"/>
          <w:highlight w:val="none"/>
          <w:lang w:bidi="ar"/>
        </w:rPr>
        <w:t>（二）关于“中小企业声明函”的提交要求</w:t>
      </w:r>
    </w:p>
    <w:p w14:paraId="37C046A4">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2A6CB50">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2.鼓励供应商在投标（响应）时一并提供对货物制造商、服务承接商、工程承建商相关信息的核实核验情况以及其他佐证材料。</w:t>
      </w:r>
    </w:p>
    <w:p w14:paraId="1732F745">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8EC6312">
      <w:pPr>
        <w:rPr>
          <w:rFonts w:hint="eastAsia" w:cs="宋体"/>
          <w:color w:val="auto"/>
          <w:spacing w:val="6"/>
          <w:sz w:val="21"/>
          <w:szCs w:val="21"/>
          <w:highlight w:val="none"/>
        </w:rPr>
      </w:pPr>
    </w:p>
    <w:p w14:paraId="1EBDECEB">
      <w:pPr>
        <w:spacing w:line="360" w:lineRule="exact"/>
        <w:rPr>
          <w:rFonts w:hint="eastAsia"/>
          <w:b/>
          <w:bCs/>
          <w:color w:val="auto"/>
          <w:highlight w:val="none"/>
        </w:rPr>
      </w:pPr>
      <w:r>
        <w:rPr>
          <w:rFonts w:hint="eastAsia"/>
          <w:b/>
          <w:bCs/>
          <w:color w:val="auto"/>
          <w:highlight w:val="none"/>
        </w:rPr>
        <w:t>附件2：</w:t>
      </w:r>
    </w:p>
    <w:p w14:paraId="797BF3CD">
      <w:pPr>
        <w:pStyle w:val="11"/>
        <w:spacing w:line="240" w:lineRule="auto"/>
        <w:jc w:val="center"/>
        <w:rPr>
          <w:rFonts w:hint="eastAsia" w:hAnsi="宋体" w:cs="宋体"/>
          <w:b/>
          <w:color w:val="auto"/>
          <w:sz w:val="32"/>
          <w:szCs w:val="32"/>
          <w:highlight w:val="none"/>
        </w:rPr>
      </w:pPr>
      <w:r>
        <w:rPr>
          <w:rFonts w:hint="eastAsia" w:hAnsi="宋体" w:cs="宋体"/>
          <w:b/>
          <w:color w:val="auto"/>
          <w:sz w:val="32"/>
          <w:szCs w:val="32"/>
          <w:highlight w:val="none"/>
        </w:rPr>
        <w:t>关于印发中小企业划型标准规定的通知</w:t>
      </w:r>
    </w:p>
    <w:p w14:paraId="2EFEFCFF">
      <w:pPr>
        <w:spacing w:line="360" w:lineRule="exact"/>
        <w:jc w:val="center"/>
        <w:rPr>
          <w:rStyle w:val="18"/>
          <w:rFonts w:hint="eastAsia" w:cs="宋体"/>
          <w:b w:val="0"/>
          <w:color w:val="auto"/>
          <w:szCs w:val="24"/>
          <w:highlight w:val="none"/>
        </w:rPr>
      </w:pPr>
      <w:r>
        <w:rPr>
          <w:rStyle w:val="18"/>
          <w:rFonts w:hint="eastAsia" w:cs="宋体"/>
          <w:b w:val="0"/>
          <w:color w:val="auto"/>
          <w:szCs w:val="24"/>
          <w:highlight w:val="none"/>
        </w:rPr>
        <w:t>工信部联企业〔2011〕300号</w:t>
      </w:r>
    </w:p>
    <w:p w14:paraId="78552E80">
      <w:pPr>
        <w:spacing w:line="360" w:lineRule="exact"/>
        <w:jc w:val="center"/>
        <w:rPr>
          <w:rStyle w:val="18"/>
          <w:rFonts w:hint="eastAsia" w:cs="宋体"/>
          <w:b w:val="0"/>
          <w:color w:val="auto"/>
          <w:szCs w:val="24"/>
          <w:highlight w:val="none"/>
        </w:rPr>
      </w:pPr>
    </w:p>
    <w:p w14:paraId="2799E2FF">
      <w:pPr>
        <w:spacing w:line="360" w:lineRule="exact"/>
        <w:rPr>
          <w:rStyle w:val="18"/>
          <w:rFonts w:hint="eastAsia" w:cs="宋体"/>
          <w:b w:val="0"/>
          <w:color w:val="auto"/>
          <w:szCs w:val="24"/>
          <w:highlight w:val="none"/>
        </w:rPr>
      </w:pPr>
      <w:r>
        <w:rPr>
          <w:rStyle w:val="18"/>
          <w:rFonts w:hint="eastAsia" w:cs="宋体"/>
          <w:b w:val="0"/>
          <w:color w:val="auto"/>
          <w:szCs w:val="24"/>
          <w:highlight w:val="none"/>
        </w:rPr>
        <w:t>各省、自治区、直辖市人民政府，国务院各部委、各直属机构及有关单位：</w:t>
      </w:r>
    </w:p>
    <w:p w14:paraId="1825935D">
      <w:pPr>
        <w:spacing w:line="36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920F16C">
      <w:pPr>
        <w:spacing w:line="360" w:lineRule="exact"/>
        <w:jc w:val="right"/>
        <w:rPr>
          <w:rStyle w:val="18"/>
          <w:rFonts w:hint="eastAsia" w:cs="宋体"/>
          <w:b w:val="0"/>
          <w:bCs w:val="0"/>
          <w:color w:val="auto"/>
          <w:szCs w:val="24"/>
          <w:highlight w:val="none"/>
        </w:rPr>
      </w:pPr>
      <w:r>
        <w:rPr>
          <w:rStyle w:val="18"/>
          <w:rFonts w:hint="eastAsia" w:cs="宋体"/>
          <w:b w:val="0"/>
          <w:bCs w:val="0"/>
          <w:color w:val="auto"/>
          <w:szCs w:val="24"/>
          <w:highlight w:val="none"/>
        </w:rPr>
        <w:t>工业和信息化部　国家统计局</w:t>
      </w:r>
    </w:p>
    <w:p w14:paraId="5F3BB138">
      <w:pPr>
        <w:spacing w:line="360" w:lineRule="exact"/>
        <w:jc w:val="right"/>
        <w:rPr>
          <w:rStyle w:val="18"/>
          <w:rFonts w:hint="eastAsia" w:cs="宋体"/>
          <w:b w:val="0"/>
          <w:bCs w:val="0"/>
          <w:color w:val="auto"/>
          <w:szCs w:val="24"/>
          <w:highlight w:val="none"/>
        </w:rPr>
      </w:pPr>
      <w:r>
        <w:rPr>
          <w:rStyle w:val="18"/>
          <w:rFonts w:hint="eastAsia" w:cs="宋体"/>
          <w:b w:val="0"/>
          <w:bCs w:val="0"/>
          <w:color w:val="auto"/>
          <w:szCs w:val="24"/>
          <w:highlight w:val="none"/>
        </w:rPr>
        <w:t>国家发展和改革委员会　财政部</w:t>
      </w:r>
    </w:p>
    <w:p w14:paraId="5B8AE195">
      <w:pPr>
        <w:spacing w:line="360" w:lineRule="exact"/>
        <w:jc w:val="right"/>
        <w:rPr>
          <w:rStyle w:val="18"/>
          <w:rFonts w:hint="eastAsia" w:cs="宋体"/>
          <w:b w:val="0"/>
          <w:bCs w:val="0"/>
          <w:color w:val="auto"/>
          <w:szCs w:val="24"/>
          <w:highlight w:val="none"/>
        </w:rPr>
      </w:pPr>
      <w:r>
        <w:rPr>
          <w:rStyle w:val="18"/>
          <w:rFonts w:hint="eastAsia" w:cs="宋体"/>
          <w:b w:val="0"/>
          <w:bCs w:val="0"/>
          <w:color w:val="auto"/>
          <w:szCs w:val="24"/>
          <w:highlight w:val="none"/>
        </w:rPr>
        <w:t>二○一一年六月十八日</w:t>
      </w:r>
    </w:p>
    <w:p w14:paraId="026F18AA">
      <w:pPr>
        <w:spacing w:line="36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xml:space="preserve"> </w:t>
      </w:r>
    </w:p>
    <w:p w14:paraId="5E64BB29">
      <w:pPr>
        <w:spacing w:line="400" w:lineRule="exact"/>
        <w:jc w:val="center"/>
        <w:rPr>
          <w:rStyle w:val="18"/>
          <w:rFonts w:hint="eastAsia" w:cs="宋体"/>
          <w:bCs w:val="0"/>
          <w:color w:val="auto"/>
          <w:sz w:val="28"/>
          <w:szCs w:val="28"/>
          <w:highlight w:val="none"/>
        </w:rPr>
      </w:pPr>
      <w:r>
        <w:rPr>
          <w:rStyle w:val="18"/>
          <w:rFonts w:hint="eastAsia" w:cs="宋体"/>
          <w:bCs w:val="0"/>
          <w:color w:val="auto"/>
          <w:sz w:val="28"/>
          <w:szCs w:val="28"/>
          <w:highlight w:val="none"/>
        </w:rPr>
        <w:t>中小企业划型标准规定</w:t>
      </w:r>
    </w:p>
    <w:p w14:paraId="19A64544">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一、根据《中华人民共和国中小企业促进法》和《国务院关于进一步促进中小企业发展的若干意见》</w:t>
      </w:r>
      <w:r>
        <w:rPr>
          <w:rStyle w:val="18"/>
          <w:rFonts w:hint="eastAsia" w:cs="宋体"/>
          <w:b w:val="0"/>
          <w:bCs w:val="0"/>
          <w:color w:val="auto"/>
          <w:szCs w:val="24"/>
          <w:highlight w:val="none"/>
          <w:lang w:eastAsia="zh-CN"/>
        </w:rPr>
        <w:t>（</w:t>
      </w:r>
      <w:r>
        <w:rPr>
          <w:rStyle w:val="18"/>
          <w:rFonts w:hint="eastAsia" w:cs="宋体"/>
          <w:b w:val="0"/>
          <w:bCs w:val="0"/>
          <w:color w:val="auto"/>
          <w:szCs w:val="24"/>
          <w:highlight w:val="none"/>
        </w:rPr>
        <w:t>国发〔2009〕36号</w:t>
      </w:r>
      <w:r>
        <w:rPr>
          <w:rStyle w:val="18"/>
          <w:rFonts w:hint="eastAsia" w:cs="宋体"/>
          <w:b w:val="0"/>
          <w:bCs w:val="0"/>
          <w:color w:val="auto"/>
          <w:szCs w:val="24"/>
          <w:highlight w:val="none"/>
          <w:lang w:eastAsia="zh-CN"/>
        </w:rPr>
        <w:t>）</w:t>
      </w:r>
      <w:r>
        <w:rPr>
          <w:rStyle w:val="18"/>
          <w:rFonts w:hint="eastAsia" w:cs="宋体"/>
          <w:b w:val="0"/>
          <w:bCs w:val="0"/>
          <w:color w:val="auto"/>
          <w:szCs w:val="24"/>
          <w:highlight w:val="none"/>
        </w:rPr>
        <w:t>，制定本规定。</w:t>
      </w:r>
    </w:p>
    <w:p w14:paraId="4FE36EE0">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二、中小企业划分为中型、小型、微型三种类型，具体标准根据企业从业人员、营业收入、资产总额等指标，结合行业特点制定。</w:t>
      </w:r>
    </w:p>
    <w:p w14:paraId="31F6761C">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29A805BA">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四、各行业划型标准为：</w:t>
      </w:r>
    </w:p>
    <w:p w14:paraId="313ECF72">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（一）农、林、牧、渔业。营业收入20000万元以下的为中小微型企业。其中，营业收入500万元及以上的为中型企业，营业收入50万元及以上的为小型企业，营业收入50万元以下的为微型企业。</w:t>
      </w:r>
    </w:p>
    <w:p w14:paraId="57F0B0A0">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81F3331">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37946E7">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F9F9978">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67B26DE">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2E182FE">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09D44DD">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3F7BCDB">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E8B8836">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4A486D5">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317221B">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CEE0EC">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9BE3480">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200BDD5">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7A57C7D">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（十六）其他未列明行业。从业人员300人以下的为中小微型企业。其中，从业人员100人及以上的为中型企业；从业人员10人及以上的为小型企业；从业人员10人以下的为微型企业。　　</w:t>
      </w:r>
    </w:p>
    <w:p w14:paraId="0598EB8C">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五、企业类型的划分以统计部门的统计数据为依据。</w:t>
      </w:r>
    </w:p>
    <w:p w14:paraId="6803741C">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六、本规定适用于在中华人民共和国境内依法设立的各类所有制和各种组织形式的企业。个体工商户和本规定以外的行业，参照本规定进行划型。</w:t>
      </w:r>
    </w:p>
    <w:p w14:paraId="68750DE0">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C1AF0A8">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八、本规定由工业和信息化部、国家统计局会同有关部门根据《国民经济行业分类》修订情况和企业发展变化情况适时修订。</w:t>
      </w:r>
    </w:p>
    <w:p w14:paraId="5F17B6CE">
      <w:pPr>
        <w:spacing w:line="40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九、本规定由工业和信息化部、国家统计局会同有关部门负责解释。</w:t>
      </w:r>
    </w:p>
    <w:p w14:paraId="59F491DD">
      <w:pPr>
        <w:spacing w:line="400" w:lineRule="exact"/>
        <w:rPr>
          <w:rFonts w:hint="eastAsia" w:cs="宋体"/>
          <w:color w:val="auto"/>
          <w:spacing w:val="6"/>
          <w:sz w:val="21"/>
          <w:szCs w:val="21"/>
          <w:highlight w:val="none"/>
        </w:rPr>
      </w:pPr>
      <w:r>
        <w:rPr>
          <w:rStyle w:val="18"/>
          <w:rFonts w:hint="eastAsia" w:cs="宋体"/>
          <w:b w:val="0"/>
          <w:bCs w:val="0"/>
          <w:color w:val="auto"/>
          <w:szCs w:val="24"/>
          <w:highlight w:val="none"/>
        </w:rPr>
        <w:t>十、本规定自发布之日起执行，原国家经贸委、原国家计委、财政部和国家统计局2003年颁布的《中小企业标准暂行规定》同时废止。</w:t>
      </w:r>
    </w:p>
    <w:p w14:paraId="31CE4856">
      <w:pPr>
        <w:rPr>
          <w:rFonts w:hint="eastAsia" w:cs="宋体"/>
          <w:color w:val="auto"/>
          <w:spacing w:val="6"/>
          <w:sz w:val="21"/>
          <w:szCs w:val="21"/>
          <w:highlight w:val="none"/>
        </w:rPr>
      </w:pPr>
    </w:p>
    <w:p w14:paraId="2D507E11">
      <w:pPr>
        <w:rPr>
          <w:rFonts w:hint="eastAsia" w:cs="宋体"/>
          <w:color w:val="auto"/>
          <w:spacing w:val="6"/>
          <w:sz w:val="21"/>
          <w:szCs w:val="21"/>
          <w:highlight w:val="none"/>
        </w:rPr>
      </w:pPr>
    </w:p>
    <w:p w14:paraId="28413B4E">
      <w:pPr>
        <w:rPr>
          <w:rFonts w:hint="eastAsia" w:cs="宋体"/>
          <w:color w:val="auto"/>
          <w:spacing w:val="6"/>
          <w:sz w:val="21"/>
          <w:szCs w:val="21"/>
          <w:highlight w:val="none"/>
        </w:rPr>
      </w:pPr>
    </w:p>
    <w:p w14:paraId="48C72A11">
      <w:pPr>
        <w:spacing w:line="360" w:lineRule="exact"/>
        <w:rPr>
          <w:rFonts w:hint="eastAsia"/>
          <w:b/>
          <w:bCs/>
          <w:color w:val="auto"/>
          <w:highlight w:val="none"/>
        </w:rPr>
      </w:pPr>
      <w:r>
        <w:rPr>
          <w:rFonts w:hint="eastAsia"/>
          <w:b/>
          <w:bCs/>
          <w:color w:val="auto"/>
          <w:highlight w:val="none"/>
        </w:rPr>
        <w:t>附件3：</w:t>
      </w:r>
    </w:p>
    <w:p w14:paraId="6A76B57F">
      <w:pPr>
        <w:rPr>
          <w:rFonts w:hint="eastAsia" w:cs="宋体"/>
          <w:color w:val="auto"/>
          <w:spacing w:val="6"/>
          <w:sz w:val="21"/>
          <w:szCs w:val="21"/>
          <w:highlight w:val="none"/>
        </w:rPr>
      </w:pPr>
    </w:p>
    <w:p w14:paraId="5F7A7FE1">
      <w:pPr>
        <w:pStyle w:val="11"/>
        <w:spacing w:line="240" w:lineRule="auto"/>
        <w:jc w:val="center"/>
        <w:rPr>
          <w:rFonts w:hint="eastAsia" w:hAnsi="宋体" w:cs="宋体"/>
          <w:b/>
          <w:color w:val="auto"/>
          <w:sz w:val="32"/>
          <w:szCs w:val="32"/>
          <w:highlight w:val="none"/>
        </w:rPr>
      </w:pPr>
      <w:r>
        <w:rPr>
          <w:rFonts w:hint="eastAsia" w:hAnsi="宋体" w:cs="宋体"/>
          <w:b/>
          <w:color w:val="auto"/>
          <w:sz w:val="32"/>
          <w:szCs w:val="32"/>
          <w:highlight w:val="none"/>
        </w:rPr>
        <w:t>关于印发《金融业企业划型标准规定》的通知</w:t>
      </w:r>
    </w:p>
    <w:p w14:paraId="23480CCE">
      <w:pPr>
        <w:jc w:val="center"/>
        <w:rPr>
          <w:rStyle w:val="18"/>
          <w:rFonts w:hint="eastAsia" w:cs="宋体"/>
          <w:b w:val="0"/>
          <w:color w:val="auto"/>
          <w:szCs w:val="24"/>
          <w:highlight w:val="none"/>
        </w:rPr>
      </w:pPr>
      <w:r>
        <w:rPr>
          <w:rStyle w:val="18"/>
          <w:rFonts w:hint="eastAsia" w:cs="宋体"/>
          <w:b w:val="0"/>
          <w:color w:val="auto"/>
          <w:szCs w:val="24"/>
          <w:highlight w:val="none"/>
        </w:rPr>
        <w:t>银发〔2015〕309号</w:t>
      </w:r>
    </w:p>
    <w:p w14:paraId="7B708276">
      <w:pPr>
        <w:spacing w:line="46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28066886">
      <w:pPr>
        <w:spacing w:line="46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请人民银行上海总部，各分行、营业管理部、省会（首府）城市中心支行、副省级城市中心支行会同所在省（区、市）银监局、证监局、保监局、统计局将本通知联合转发至辖内相关机构。</w:t>
      </w:r>
    </w:p>
    <w:p w14:paraId="085338CD">
      <w:pPr>
        <w:spacing w:line="460" w:lineRule="exact"/>
        <w:ind w:firstLine="483"/>
        <w:rPr>
          <w:rStyle w:val="18"/>
          <w:rFonts w:hint="eastAsia" w:cs="宋体"/>
          <w:b w:val="0"/>
          <w:bCs w:val="0"/>
          <w:color w:val="auto"/>
          <w:szCs w:val="24"/>
          <w:highlight w:val="none"/>
        </w:rPr>
      </w:pPr>
    </w:p>
    <w:p w14:paraId="3A6DA6BD">
      <w:pPr>
        <w:spacing w:line="46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附件：金融业企业划型标准规定</w:t>
      </w:r>
    </w:p>
    <w:p w14:paraId="6F04A065">
      <w:pPr>
        <w:spacing w:line="460" w:lineRule="exact"/>
        <w:rPr>
          <w:rStyle w:val="18"/>
          <w:rFonts w:hint="eastAsia" w:cs="宋体"/>
          <w:b w:val="0"/>
          <w:bCs w:val="0"/>
          <w:color w:val="auto"/>
          <w:szCs w:val="24"/>
          <w:highlight w:val="none"/>
        </w:rPr>
      </w:pPr>
      <w:r>
        <w:rPr>
          <w:rFonts w:hint="eastAsia" w:cs="宋体"/>
          <w:color w:val="auto"/>
          <w:spacing w:val="6"/>
          <w:szCs w:val="24"/>
          <w:highlight w:val="none"/>
        </w:rPr>
        <w:t>                                      </w:t>
      </w:r>
      <w:r>
        <w:rPr>
          <w:rStyle w:val="18"/>
          <w:rFonts w:hint="eastAsia" w:cs="宋体"/>
          <w:b w:val="0"/>
          <w:bCs w:val="0"/>
          <w:color w:val="auto"/>
          <w:szCs w:val="24"/>
          <w:highlight w:val="none"/>
        </w:rPr>
        <w:t>                                   中国人民银行</w:t>
      </w:r>
    </w:p>
    <w:p w14:paraId="6A9426DC">
      <w:pPr>
        <w:spacing w:line="460" w:lineRule="exact"/>
        <w:ind w:firstLine="2400" w:firstLineChars="1000"/>
        <w:rPr>
          <w:rStyle w:val="18"/>
          <w:rFonts w:hint="eastAsia" w:cs="宋体"/>
          <w:b w:val="0"/>
          <w:bCs w:val="0"/>
          <w:color w:val="auto"/>
          <w:szCs w:val="24"/>
          <w:highlight w:val="none"/>
        </w:rPr>
      </w:pPr>
      <w:r>
        <w:rPr>
          <w:rStyle w:val="18"/>
          <w:rFonts w:hint="eastAsia" w:cs="宋体"/>
          <w:b w:val="0"/>
          <w:bCs w:val="0"/>
          <w:color w:val="auto"/>
          <w:szCs w:val="24"/>
          <w:highlight w:val="none"/>
        </w:rPr>
        <w:t>          中国银行业监督管理委员会</w:t>
      </w:r>
    </w:p>
    <w:p w14:paraId="31C87A6D">
      <w:pPr>
        <w:spacing w:line="460" w:lineRule="exact"/>
        <w:ind w:firstLine="2400" w:firstLineChars="1000"/>
        <w:rPr>
          <w:rStyle w:val="18"/>
          <w:rFonts w:hint="eastAsia" w:cs="宋体"/>
          <w:b w:val="0"/>
          <w:bCs w:val="0"/>
          <w:color w:val="auto"/>
          <w:szCs w:val="24"/>
          <w:highlight w:val="none"/>
        </w:rPr>
      </w:pPr>
      <w:r>
        <w:rPr>
          <w:rStyle w:val="18"/>
          <w:rFonts w:hint="eastAsia" w:cs="宋体"/>
          <w:b w:val="0"/>
          <w:bCs w:val="0"/>
          <w:color w:val="auto"/>
          <w:szCs w:val="24"/>
          <w:highlight w:val="none"/>
        </w:rPr>
        <w:t>           中国证券监督管理委员会</w:t>
      </w:r>
    </w:p>
    <w:p w14:paraId="2861692D">
      <w:pPr>
        <w:spacing w:line="460" w:lineRule="exact"/>
        <w:ind w:firstLine="2400" w:firstLineChars="1000"/>
        <w:rPr>
          <w:rStyle w:val="18"/>
          <w:rFonts w:hint="eastAsia" w:cs="宋体"/>
          <w:b w:val="0"/>
          <w:bCs w:val="0"/>
          <w:color w:val="auto"/>
          <w:szCs w:val="24"/>
          <w:highlight w:val="none"/>
        </w:rPr>
      </w:pPr>
      <w:r>
        <w:rPr>
          <w:rStyle w:val="18"/>
          <w:rFonts w:hint="eastAsia" w:cs="宋体"/>
          <w:b w:val="0"/>
          <w:bCs w:val="0"/>
          <w:color w:val="auto"/>
          <w:szCs w:val="24"/>
          <w:highlight w:val="none"/>
        </w:rPr>
        <w:t>           中国保险监督管理委员会</w:t>
      </w:r>
    </w:p>
    <w:p w14:paraId="5D788BB4">
      <w:pPr>
        <w:spacing w:line="460" w:lineRule="exact"/>
        <w:ind w:firstLine="2160" w:firstLineChars="900"/>
        <w:rPr>
          <w:rStyle w:val="18"/>
          <w:rFonts w:hint="eastAsia" w:cs="宋体"/>
          <w:b w:val="0"/>
          <w:bCs w:val="0"/>
          <w:color w:val="auto"/>
          <w:szCs w:val="24"/>
          <w:highlight w:val="none"/>
        </w:rPr>
      </w:pPr>
      <w:r>
        <w:rPr>
          <w:rStyle w:val="18"/>
          <w:rFonts w:hint="eastAsia" w:cs="宋体"/>
          <w:b w:val="0"/>
          <w:bCs w:val="0"/>
          <w:color w:val="auto"/>
          <w:szCs w:val="24"/>
          <w:highlight w:val="none"/>
        </w:rPr>
        <w:t>           中华人民共和国国家统计局</w:t>
      </w:r>
    </w:p>
    <w:p w14:paraId="39E720F5">
      <w:pPr>
        <w:spacing w:line="460" w:lineRule="exact"/>
        <w:rPr>
          <w:rStyle w:val="18"/>
          <w:rFonts w:hint="eastAsia" w:cs="宋体"/>
          <w:b w:val="0"/>
          <w:bCs w:val="0"/>
          <w:color w:val="auto"/>
          <w:szCs w:val="24"/>
          <w:highlight w:val="none"/>
        </w:rPr>
      </w:pPr>
      <w:r>
        <w:rPr>
          <w:rStyle w:val="18"/>
          <w:rFonts w:hint="eastAsia" w:cs="宋体"/>
          <w:b w:val="0"/>
          <w:bCs w:val="0"/>
          <w:color w:val="auto"/>
          <w:szCs w:val="24"/>
          <w:highlight w:val="none"/>
        </w:rPr>
        <w:t>                                                           2015年9月28日</w:t>
      </w:r>
    </w:p>
    <w:p w14:paraId="538914A0">
      <w:pPr>
        <w:rPr>
          <w:rFonts w:hint="eastAsia" w:cs="宋体"/>
          <w:color w:val="auto"/>
          <w:spacing w:val="6"/>
          <w:sz w:val="21"/>
          <w:szCs w:val="21"/>
          <w:highlight w:val="none"/>
        </w:rPr>
      </w:pPr>
    </w:p>
    <w:p w14:paraId="0C82F9D3">
      <w:pPr>
        <w:rPr>
          <w:rFonts w:hint="eastAsia" w:cs="宋体"/>
          <w:color w:val="auto"/>
          <w:spacing w:val="6"/>
          <w:sz w:val="21"/>
          <w:szCs w:val="21"/>
          <w:highlight w:val="none"/>
        </w:rPr>
      </w:pPr>
    </w:p>
    <w:p w14:paraId="0824CD38">
      <w:pPr>
        <w:rPr>
          <w:rFonts w:hint="eastAsia" w:cs="宋体"/>
          <w:color w:val="auto"/>
          <w:spacing w:val="6"/>
          <w:sz w:val="21"/>
          <w:szCs w:val="21"/>
          <w:highlight w:val="none"/>
        </w:rPr>
      </w:pPr>
    </w:p>
    <w:p w14:paraId="7A259D36">
      <w:pPr>
        <w:rPr>
          <w:rFonts w:hint="eastAsia" w:cs="宋体"/>
          <w:color w:val="auto"/>
          <w:spacing w:val="6"/>
          <w:sz w:val="21"/>
          <w:szCs w:val="21"/>
          <w:highlight w:val="none"/>
        </w:rPr>
      </w:pPr>
    </w:p>
    <w:p w14:paraId="76E9D95C">
      <w:pPr>
        <w:rPr>
          <w:rFonts w:hint="eastAsia" w:cs="宋体"/>
          <w:color w:val="auto"/>
          <w:spacing w:val="6"/>
          <w:sz w:val="21"/>
          <w:szCs w:val="21"/>
          <w:highlight w:val="none"/>
        </w:rPr>
      </w:pPr>
    </w:p>
    <w:p w14:paraId="0DE99579">
      <w:pPr>
        <w:rPr>
          <w:rFonts w:hint="eastAsia" w:cs="宋体"/>
          <w:color w:val="auto"/>
          <w:spacing w:val="6"/>
          <w:sz w:val="21"/>
          <w:szCs w:val="21"/>
          <w:highlight w:val="none"/>
        </w:rPr>
      </w:pPr>
    </w:p>
    <w:p w14:paraId="06386CA7">
      <w:pPr>
        <w:rPr>
          <w:rFonts w:hint="eastAsia" w:cs="宋体"/>
          <w:color w:val="auto"/>
          <w:spacing w:val="6"/>
          <w:sz w:val="21"/>
          <w:szCs w:val="21"/>
          <w:highlight w:val="none"/>
        </w:rPr>
      </w:pPr>
      <w:r>
        <w:rPr>
          <w:rFonts w:hint="eastAsia" w:cs="宋体"/>
          <w:color w:val="auto"/>
          <w:spacing w:val="6"/>
          <w:sz w:val="21"/>
          <w:szCs w:val="21"/>
          <w:highlight w:val="none"/>
        </w:rPr>
        <w:t>附件              </w:t>
      </w:r>
    </w:p>
    <w:p w14:paraId="3D3C5A55">
      <w:pPr>
        <w:pStyle w:val="11"/>
        <w:spacing w:line="240" w:lineRule="auto"/>
        <w:jc w:val="center"/>
        <w:rPr>
          <w:rFonts w:hint="eastAsia" w:hAnsi="宋体" w:cs="宋体"/>
          <w:b/>
          <w:color w:val="auto"/>
          <w:sz w:val="28"/>
          <w:szCs w:val="28"/>
          <w:highlight w:val="none"/>
        </w:rPr>
      </w:pPr>
      <w:r>
        <w:rPr>
          <w:rFonts w:hint="eastAsia" w:hAnsi="宋体" w:cs="宋体"/>
          <w:b/>
          <w:color w:val="auto"/>
          <w:sz w:val="28"/>
          <w:szCs w:val="28"/>
          <w:highlight w:val="none"/>
        </w:rPr>
        <w:t>金融业企业划型标准规定</w:t>
      </w:r>
    </w:p>
    <w:p w14:paraId="75E9EE02">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7045DF85">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二、适用范围。本规定适用于从事《国民经济行业分类》（GB/T4754-2011）中J门类（金融业）活动的企业。</w:t>
      </w:r>
    </w:p>
    <w:p w14:paraId="123FDE42">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5B07E5C2">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四、划型标准指标。采用一个完整会计年度中四个季度末法人并表口径的资产总额（信托公司为信托资产）平均值作为划型指标，该指标以监管部门数据为准。</w:t>
      </w:r>
    </w:p>
    <w:p w14:paraId="5FF79648">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五、指标标准值。依据指标标准值，将各类金融业企业划分为大、中、小、微四个规模类型，中型企业标准上限及以上的为大型企业。</w:t>
      </w:r>
    </w:p>
    <w:p w14:paraId="29F0DA18">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0BFCE3B9">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5397C68F">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1577AD4">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29A7F376">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1AEE4FF5">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（六）信托公司。信托资产1000亿元以下的为中小微型企业。其中，信托资产400亿元及以上的为中型企业，信托资产20亿元及以上的为小型企业，信托资产20亿元以下的为微型企业。</w:t>
      </w:r>
    </w:p>
    <w:p w14:paraId="02EB6B50">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（七）金融控股公司。资产总额40000亿元以下的为中小微企业。其中，资产总额5000亿元及以上的为中型企业，资产总额50亿元及以上的为小型企业，资产总额50亿元以下的为微型企业。、</w:t>
      </w:r>
    </w:p>
    <w:p w14:paraId="52A3D04F">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lang w:eastAsia="zh-CN"/>
        </w:rPr>
        <w:t>（</w:t>
      </w:r>
      <w:r>
        <w:rPr>
          <w:rStyle w:val="18"/>
          <w:rFonts w:hint="eastAsia" w:cs="宋体"/>
          <w:b w:val="0"/>
          <w:bCs w:val="0"/>
          <w:color w:val="auto"/>
          <w:szCs w:val="24"/>
          <w:highlight w:val="none"/>
        </w:rPr>
        <w:t>八</w:t>
      </w:r>
      <w:r>
        <w:rPr>
          <w:rStyle w:val="18"/>
          <w:rFonts w:hint="eastAsia" w:cs="宋体"/>
          <w:b w:val="0"/>
          <w:bCs w:val="0"/>
          <w:color w:val="auto"/>
          <w:szCs w:val="24"/>
          <w:highlight w:val="none"/>
          <w:lang w:eastAsia="zh-CN"/>
        </w:rPr>
        <w:t>）</w:t>
      </w:r>
      <w:r>
        <w:rPr>
          <w:rStyle w:val="18"/>
          <w:rFonts w:hint="eastAsia" w:cs="宋体"/>
          <w:b w:val="0"/>
          <w:bCs w:val="0"/>
          <w:color w:val="auto"/>
          <w:szCs w:val="24"/>
          <w:highlight w:val="none"/>
        </w:rPr>
        <w:t>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0A07146B">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14:paraId="68F06883">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七、标准值的评估和调整。金融业企业划型标准工作组每五年对划型标准值受经济发展与通货膨胀等因素的影响程度进行评估和调整。</w:t>
      </w:r>
    </w:p>
    <w:p w14:paraId="126516F5">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八、本规定的中型金融业企业标准上限即为大型金融业企业下限。国务院有关部门据此进行相关数据的统计分析，不得制定与本规定不一致的金融业企业划型标准。</w:t>
      </w:r>
    </w:p>
    <w:p w14:paraId="13911CA1">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九、融资担保公司参照本规定中“除贷款公司、小额贷款公司、典当行以外的其他金融机构”标准划型。</w:t>
      </w:r>
    </w:p>
    <w:p w14:paraId="1FC97865">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十、本规定由人民银行会同银监会、证监会、保监会和统计局负责解释。</w:t>
      </w:r>
    </w:p>
    <w:p w14:paraId="0BA55329">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十一、本规定自发布之日起实施。</w:t>
      </w:r>
    </w:p>
    <w:p w14:paraId="653F0799">
      <w:pPr>
        <w:spacing w:line="400" w:lineRule="exact"/>
        <w:ind w:firstLine="483"/>
        <w:rPr>
          <w:rStyle w:val="18"/>
          <w:rFonts w:hint="eastAsia" w:cs="宋体"/>
          <w:b w:val="0"/>
          <w:bCs w:val="0"/>
          <w:color w:val="auto"/>
          <w:szCs w:val="24"/>
          <w:highlight w:val="none"/>
        </w:rPr>
      </w:pPr>
    </w:p>
    <w:p w14:paraId="72A0F0A3">
      <w:pPr>
        <w:spacing w:line="400" w:lineRule="exact"/>
        <w:ind w:firstLine="483"/>
        <w:rPr>
          <w:rStyle w:val="18"/>
          <w:rFonts w:hint="eastAsia" w:cs="宋体"/>
          <w:b w:val="0"/>
          <w:bCs w:val="0"/>
          <w:color w:val="auto"/>
          <w:szCs w:val="24"/>
          <w:highlight w:val="none"/>
        </w:rPr>
      </w:pPr>
      <w:r>
        <w:rPr>
          <w:rStyle w:val="18"/>
          <w:rFonts w:hint="eastAsia" w:cs="宋体"/>
          <w:b w:val="0"/>
          <w:bCs w:val="0"/>
          <w:color w:val="auto"/>
          <w:szCs w:val="24"/>
          <w:highlight w:val="none"/>
        </w:rPr>
        <w:t>附：金融业企业划型标准</w:t>
      </w:r>
    </w:p>
    <w:p w14:paraId="754D5A1E">
      <w:pPr>
        <w:rPr>
          <w:rFonts w:hint="eastAsia" w:cs="宋体"/>
          <w:color w:val="auto"/>
          <w:spacing w:val="6"/>
          <w:sz w:val="21"/>
          <w:szCs w:val="21"/>
          <w:highlight w:val="none"/>
        </w:rPr>
      </w:pPr>
    </w:p>
    <w:p w14:paraId="1629E27E">
      <w:pPr>
        <w:rPr>
          <w:rFonts w:hint="eastAsia" w:cs="宋体"/>
          <w:color w:val="auto"/>
          <w:spacing w:val="6"/>
          <w:szCs w:val="24"/>
          <w:highlight w:val="none"/>
        </w:rPr>
      </w:pPr>
      <w:r>
        <w:rPr>
          <w:rFonts w:hint="eastAsia" w:cs="宋体"/>
          <w:color w:val="auto"/>
          <w:spacing w:val="6"/>
          <w:szCs w:val="24"/>
          <w:highlight w:val="none"/>
        </w:rPr>
        <w:t>附</w:t>
      </w:r>
    </w:p>
    <w:p w14:paraId="40A13C5E">
      <w:pPr>
        <w:pStyle w:val="11"/>
        <w:spacing w:line="240" w:lineRule="auto"/>
        <w:jc w:val="center"/>
        <w:rPr>
          <w:rFonts w:hint="eastAsia" w:hAnsi="宋体" w:cs="宋体"/>
          <w:b/>
          <w:color w:val="auto"/>
          <w:sz w:val="28"/>
          <w:szCs w:val="28"/>
          <w:highlight w:val="none"/>
        </w:rPr>
      </w:pPr>
      <w:r>
        <w:rPr>
          <w:rFonts w:hint="eastAsia" w:hAnsi="宋体" w:cs="宋体"/>
          <w:b/>
          <w:color w:val="auto"/>
          <w:sz w:val="28"/>
          <w:szCs w:val="28"/>
          <w:highlight w:val="none"/>
        </w:rPr>
        <w:t>金融业企业划型标准</w:t>
      </w:r>
    </w:p>
    <w:tbl>
      <w:tblPr>
        <w:tblStyle w:val="1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1370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08D37560">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行业</w:t>
            </w:r>
          </w:p>
        </w:tc>
        <w:tc>
          <w:tcPr>
            <w:tcW w:w="1817" w:type="dxa"/>
            <w:vAlign w:val="center"/>
          </w:tcPr>
          <w:p w14:paraId="2B423EE5">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类别</w:t>
            </w:r>
          </w:p>
        </w:tc>
        <w:tc>
          <w:tcPr>
            <w:tcW w:w="1143" w:type="dxa"/>
            <w:vAlign w:val="center"/>
          </w:tcPr>
          <w:p w14:paraId="25CB3223">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类型</w:t>
            </w:r>
          </w:p>
        </w:tc>
        <w:tc>
          <w:tcPr>
            <w:tcW w:w="3251" w:type="dxa"/>
            <w:vAlign w:val="center"/>
          </w:tcPr>
          <w:p w14:paraId="127486EC">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资产总额</w:t>
            </w:r>
          </w:p>
        </w:tc>
      </w:tr>
      <w:tr w14:paraId="6C5C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333BE66">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货币金融服务</w:t>
            </w:r>
          </w:p>
        </w:tc>
        <w:tc>
          <w:tcPr>
            <w:tcW w:w="1168" w:type="dxa"/>
            <w:vMerge w:val="restart"/>
            <w:vAlign w:val="center"/>
          </w:tcPr>
          <w:p w14:paraId="09612C8A">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货币银行服务</w:t>
            </w:r>
          </w:p>
        </w:tc>
        <w:tc>
          <w:tcPr>
            <w:tcW w:w="1817" w:type="dxa"/>
            <w:vMerge w:val="restart"/>
            <w:vAlign w:val="center"/>
          </w:tcPr>
          <w:p w14:paraId="61275350">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银行业存款类金融机构</w:t>
            </w:r>
          </w:p>
        </w:tc>
        <w:tc>
          <w:tcPr>
            <w:tcW w:w="1143" w:type="dxa"/>
            <w:vAlign w:val="center"/>
          </w:tcPr>
          <w:p w14:paraId="71AD9890">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vAlign w:val="center"/>
          </w:tcPr>
          <w:p w14:paraId="2AFFB59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5000亿元（含）至40000亿元</w:t>
            </w:r>
          </w:p>
        </w:tc>
      </w:tr>
      <w:tr w14:paraId="159E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A4F48E9">
            <w:pPr>
              <w:spacing w:line="240" w:lineRule="auto"/>
              <w:jc w:val="both"/>
              <w:rPr>
                <w:rFonts w:hint="eastAsia" w:cs="宋体"/>
                <w:color w:val="auto"/>
                <w:spacing w:val="6"/>
                <w:sz w:val="21"/>
                <w:szCs w:val="21"/>
                <w:highlight w:val="none"/>
              </w:rPr>
            </w:pPr>
          </w:p>
        </w:tc>
        <w:tc>
          <w:tcPr>
            <w:tcW w:w="1168" w:type="dxa"/>
            <w:vMerge w:val="continue"/>
            <w:vAlign w:val="center"/>
          </w:tcPr>
          <w:p w14:paraId="7FECE6CE">
            <w:pPr>
              <w:spacing w:line="240" w:lineRule="auto"/>
              <w:jc w:val="both"/>
              <w:rPr>
                <w:rFonts w:hint="eastAsia" w:cs="宋体"/>
                <w:color w:val="auto"/>
                <w:spacing w:val="6"/>
                <w:sz w:val="21"/>
                <w:szCs w:val="21"/>
                <w:highlight w:val="none"/>
              </w:rPr>
            </w:pPr>
          </w:p>
        </w:tc>
        <w:tc>
          <w:tcPr>
            <w:tcW w:w="1817" w:type="dxa"/>
            <w:vMerge w:val="continue"/>
            <w:vAlign w:val="center"/>
          </w:tcPr>
          <w:p w14:paraId="4895B406">
            <w:pPr>
              <w:spacing w:line="240" w:lineRule="auto"/>
              <w:jc w:val="both"/>
              <w:rPr>
                <w:rFonts w:hint="eastAsia" w:cs="宋体"/>
                <w:color w:val="auto"/>
                <w:spacing w:val="6"/>
                <w:sz w:val="21"/>
                <w:szCs w:val="21"/>
                <w:highlight w:val="none"/>
              </w:rPr>
            </w:pPr>
          </w:p>
        </w:tc>
        <w:tc>
          <w:tcPr>
            <w:tcW w:w="1143" w:type="dxa"/>
            <w:vAlign w:val="center"/>
          </w:tcPr>
          <w:p w14:paraId="549EE522">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vAlign w:val="center"/>
          </w:tcPr>
          <w:p w14:paraId="28F3306E">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50亿元（含）至5000亿元</w:t>
            </w:r>
          </w:p>
        </w:tc>
      </w:tr>
      <w:tr w14:paraId="0103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EF79A70">
            <w:pPr>
              <w:spacing w:line="240" w:lineRule="auto"/>
              <w:jc w:val="both"/>
              <w:rPr>
                <w:rFonts w:hint="eastAsia" w:cs="宋体"/>
                <w:color w:val="auto"/>
                <w:spacing w:val="6"/>
                <w:sz w:val="21"/>
                <w:szCs w:val="21"/>
                <w:highlight w:val="none"/>
              </w:rPr>
            </w:pPr>
          </w:p>
        </w:tc>
        <w:tc>
          <w:tcPr>
            <w:tcW w:w="1168" w:type="dxa"/>
            <w:vMerge w:val="continue"/>
            <w:vAlign w:val="center"/>
          </w:tcPr>
          <w:p w14:paraId="77BBABBB">
            <w:pPr>
              <w:spacing w:line="240" w:lineRule="auto"/>
              <w:jc w:val="both"/>
              <w:rPr>
                <w:rFonts w:hint="eastAsia" w:cs="宋体"/>
                <w:color w:val="auto"/>
                <w:spacing w:val="6"/>
                <w:sz w:val="21"/>
                <w:szCs w:val="21"/>
                <w:highlight w:val="none"/>
              </w:rPr>
            </w:pPr>
          </w:p>
        </w:tc>
        <w:tc>
          <w:tcPr>
            <w:tcW w:w="1817" w:type="dxa"/>
            <w:vMerge w:val="continue"/>
            <w:vAlign w:val="center"/>
          </w:tcPr>
          <w:p w14:paraId="5C3F524F">
            <w:pPr>
              <w:spacing w:line="240" w:lineRule="auto"/>
              <w:jc w:val="both"/>
              <w:rPr>
                <w:rFonts w:hint="eastAsia" w:cs="宋体"/>
                <w:color w:val="auto"/>
                <w:spacing w:val="6"/>
                <w:sz w:val="21"/>
                <w:szCs w:val="21"/>
                <w:highlight w:val="none"/>
              </w:rPr>
            </w:pPr>
          </w:p>
        </w:tc>
        <w:tc>
          <w:tcPr>
            <w:tcW w:w="1143" w:type="dxa"/>
            <w:vAlign w:val="center"/>
          </w:tcPr>
          <w:p w14:paraId="5E15DF70">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7E43C60D">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3CFF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62A6DF9">
            <w:pPr>
              <w:spacing w:line="240" w:lineRule="auto"/>
              <w:jc w:val="both"/>
              <w:rPr>
                <w:rFonts w:hint="eastAsia" w:cs="宋体"/>
                <w:color w:val="auto"/>
                <w:spacing w:val="6"/>
                <w:sz w:val="21"/>
                <w:szCs w:val="21"/>
                <w:highlight w:val="none"/>
              </w:rPr>
            </w:pPr>
          </w:p>
        </w:tc>
        <w:tc>
          <w:tcPr>
            <w:tcW w:w="1168" w:type="dxa"/>
            <w:vMerge w:val="restart"/>
            <w:vAlign w:val="center"/>
          </w:tcPr>
          <w:p w14:paraId="4BBB112D">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非货币银行服务</w:t>
            </w:r>
          </w:p>
        </w:tc>
        <w:tc>
          <w:tcPr>
            <w:tcW w:w="1817" w:type="dxa"/>
            <w:vMerge w:val="restart"/>
            <w:vAlign w:val="center"/>
          </w:tcPr>
          <w:p w14:paraId="1DEC5A40">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银行业非存款类金融机构</w:t>
            </w:r>
          </w:p>
        </w:tc>
        <w:tc>
          <w:tcPr>
            <w:tcW w:w="1143" w:type="dxa"/>
            <w:vAlign w:val="center"/>
          </w:tcPr>
          <w:p w14:paraId="54C7ADE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vAlign w:val="center"/>
          </w:tcPr>
          <w:p w14:paraId="4FBF5CCD">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7EC67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D333C54">
            <w:pPr>
              <w:spacing w:line="240" w:lineRule="auto"/>
              <w:jc w:val="both"/>
              <w:rPr>
                <w:rFonts w:hint="eastAsia" w:cs="宋体"/>
                <w:color w:val="auto"/>
                <w:spacing w:val="6"/>
                <w:sz w:val="21"/>
                <w:szCs w:val="21"/>
                <w:highlight w:val="none"/>
              </w:rPr>
            </w:pPr>
          </w:p>
        </w:tc>
        <w:tc>
          <w:tcPr>
            <w:tcW w:w="1168" w:type="dxa"/>
            <w:vMerge w:val="continue"/>
            <w:vAlign w:val="center"/>
          </w:tcPr>
          <w:p w14:paraId="74476253">
            <w:pPr>
              <w:spacing w:line="240" w:lineRule="auto"/>
              <w:jc w:val="both"/>
              <w:rPr>
                <w:rFonts w:hint="eastAsia" w:cs="宋体"/>
                <w:color w:val="auto"/>
                <w:spacing w:val="6"/>
                <w:sz w:val="21"/>
                <w:szCs w:val="21"/>
                <w:highlight w:val="none"/>
              </w:rPr>
            </w:pPr>
          </w:p>
        </w:tc>
        <w:tc>
          <w:tcPr>
            <w:tcW w:w="1817" w:type="dxa"/>
            <w:vMerge w:val="continue"/>
            <w:vAlign w:val="center"/>
          </w:tcPr>
          <w:p w14:paraId="54DDA30F">
            <w:pPr>
              <w:spacing w:line="240" w:lineRule="auto"/>
              <w:jc w:val="both"/>
              <w:rPr>
                <w:rFonts w:hint="eastAsia" w:cs="宋体"/>
                <w:color w:val="auto"/>
                <w:spacing w:val="6"/>
                <w:sz w:val="21"/>
                <w:szCs w:val="21"/>
                <w:highlight w:val="none"/>
              </w:rPr>
            </w:pPr>
          </w:p>
        </w:tc>
        <w:tc>
          <w:tcPr>
            <w:tcW w:w="1143" w:type="dxa"/>
            <w:vAlign w:val="center"/>
          </w:tcPr>
          <w:p w14:paraId="380C5C8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vAlign w:val="center"/>
          </w:tcPr>
          <w:p w14:paraId="45D6A36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09CD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3891E15">
            <w:pPr>
              <w:spacing w:line="240" w:lineRule="auto"/>
              <w:jc w:val="both"/>
              <w:rPr>
                <w:rFonts w:hint="eastAsia" w:cs="宋体"/>
                <w:color w:val="auto"/>
                <w:spacing w:val="6"/>
                <w:sz w:val="21"/>
                <w:szCs w:val="21"/>
                <w:highlight w:val="none"/>
              </w:rPr>
            </w:pPr>
          </w:p>
        </w:tc>
        <w:tc>
          <w:tcPr>
            <w:tcW w:w="1168" w:type="dxa"/>
            <w:vMerge w:val="continue"/>
            <w:vAlign w:val="center"/>
          </w:tcPr>
          <w:p w14:paraId="780F8378">
            <w:pPr>
              <w:spacing w:line="240" w:lineRule="auto"/>
              <w:jc w:val="both"/>
              <w:rPr>
                <w:rFonts w:hint="eastAsia" w:cs="宋体"/>
                <w:color w:val="auto"/>
                <w:spacing w:val="6"/>
                <w:sz w:val="21"/>
                <w:szCs w:val="21"/>
                <w:highlight w:val="none"/>
              </w:rPr>
            </w:pPr>
          </w:p>
        </w:tc>
        <w:tc>
          <w:tcPr>
            <w:tcW w:w="1817" w:type="dxa"/>
            <w:vMerge w:val="continue"/>
            <w:vAlign w:val="center"/>
          </w:tcPr>
          <w:p w14:paraId="0FF1757C">
            <w:pPr>
              <w:spacing w:line="240" w:lineRule="auto"/>
              <w:jc w:val="both"/>
              <w:rPr>
                <w:rFonts w:hint="eastAsia" w:cs="宋体"/>
                <w:color w:val="auto"/>
                <w:spacing w:val="6"/>
                <w:sz w:val="21"/>
                <w:szCs w:val="21"/>
                <w:highlight w:val="none"/>
              </w:rPr>
            </w:pPr>
          </w:p>
        </w:tc>
        <w:tc>
          <w:tcPr>
            <w:tcW w:w="1143" w:type="dxa"/>
            <w:vAlign w:val="center"/>
          </w:tcPr>
          <w:p w14:paraId="24C9ACB2">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2F1D3E1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67C5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4B5ADAD">
            <w:pPr>
              <w:spacing w:line="240" w:lineRule="auto"/>
              <w:jc w:val="both"/>
              <w:rPr>
                <w:rFonts w:hint="eastAsia" w:cs="宋体"/>
                <w:color w:val="auto"/>
                <w:spacing w:val="6"/>
                <w:sz w:val="21"/>
                <w:szCs w:val="21"/>
                <w:highlight w:val="none"/>
              </w:rPr>
            </w:pPr>
          </w:p>
        </w:tc>
        <w:tc>
          <w:tcPr>
            <w:tcW w:w="1168" w:type="dxa"/>
            <w:vMerge w:val="continue"/>
            <w:vAlign w:val="center"/>
          </w:tcPr>
          <w:p w14:paraId="1552C77E">
            <w:pPr>
              <w:spacing w:line="240" w:lineRule="auto"/>
              <w:jc w:val="both"/>
              <w:rPr>
                <w:rFonts w:hint="eastAsia" w:cs="宋体"/>
                <w:color w:val="auto"/>
                <w:spacing w:val="6"/>
                <w:sz w:val="21"/>
                <w:szCs w:val="21"/>
                <w:highlight w:val="none"/>
              </w:rPr>
            </w:pPr>
          </w:p>
        </w:tc>
        <w:tc>
          <w:tcPr>
            <w:tcW w:w="1817" w:type="dxa"/>
            <w:vMerge w:val="restart"/>
            <w:vAlign w:val="center"/>
          </w:tcPr>
          <w:p w14:paraId="7F0C5521">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贷款公司、小额贷款公司及典当行</w:t>
            </w:r>
          </w:p>
        </w:tc>
        <w:tc>
          <w:tcPr>
            <w:tcW w:w="1143" w:type="dxa"/>
            <w:vAlign w:val="center"/>
          </w:tcPr>
          <w:p w14:paraId="375C11E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vAlign w:val="center"/>
          </w:tcPr>
          <w:p w14:paraId="03BA7D82">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1226E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997D3B">
            <w:pPr>
              <w:spacing w:line="240" w:lineRule="auto"/>
              <w:jc w:val="both"/>
              <w:rPr>
                <w:rFonts w:hint="eastAsia" w:cs="宋体"/>
                <w:color w:val="auto"/>
                <w:spacing w:val="6"/>
                <w:sz w:val="21"/>
                <w:szCs w:val="21"/>
                <w:highlight w:val="none"/>
              </w:rPr>
            </w:pPr>
          </w:p>
        </w:tc>
        <w:tc>
          <w:tcPr>
            <w:tcW w:w="1168" w:type="dxa"/>
            <w:vMerge w:val="continue"/>
            <w:vAlign w:val="center"/>
          </w:tcPr>
          <w:p w14:paraId="6F53DB18">
            <w:pPr>
              <w:spacing w:line="240" w:lineRule="auto"/>
              <w:jc w:val="both"/>
              <w:rPr>
                <w:rFonts w:hint="eastAsia" w:cs="宋体"/>
                <w:color w:val="auto"/>
                <w:spacing w:val="6"/>
                <w:sz w:val="21"/>
                <w:szCs w:val="21"/>
                <w:highlight w:val="none"/>
              </w:rPr>
            </w:pPr>
          </w:p>
        </w:tc>
        <w:tc>
          <w:tcPr>
            <w:tcW w:w="1817" w:type="dxa"/>
            <w:vMerge w:val="continue"/>
            <w:vAlign w:val="center"/>
          </w:tcPr>
          <w:p w14:paraId="6F74D9DA">
            <w:pPr>
              <w:spacing w:line="240" w:lineRule="auto"/>
              <w:jc w:val="both"/>
              <w:rPr>
                <w:rFonts w:hint="eastAsia" w:cs="宋体"/>
                <w:color w:val="auto"/>
                <w:spacing w:val="6"/>
                <w:sz w:val="21"/>
                <w:szCs w:val="21"/>
                <w:highlight w:val="none"/>
              </w:rPr>
            </w:pPr>
          </w:p>
        </w:tc>
        <w:tc>
          <w:tcPr>
            <w:tcW w:w="1143" w:type="dxa"/>
            <w:vAlign w:val="center"/>
          </w:tcPr>
          <w:p w14:paraId="179C8FA4">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vAlign w:val="center"/>
          </w:tcPr>
          <w:p w14:paraId="46E1793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0AD6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BD55F76">
            <w:pPr>
              <w:spacing w:line="240" w:lineRule="auto"/>
              <w:jc w:val="both"/>
              <w:rPr>
                <w:rFonts w:hint="eastAsia" w:cs="宋体"/>
                <w:color w:val="auto"/>
                <w:spacing w:val="6"/>
                <w:sz w:val="21"/>
                <w:szCs w:val="21"/>
                <w:highlight w:val="none"/>
              </w:rPr>
            </w:pPr>
          </w:p>
        </w:tc>
        <w:tc>
          <w:tcPr>
            <w:tcW w:w="1168" w:type="dxa"/>
            <w:vMerge w:val="continue"/>
            <w:vAlign w:val="center"/>
          </w:tcPr>
          <w:p w14:paraId="06497FF4">
            <w:pPr>
              <w:spacing w:line="240" w:lineRule="auto"/>
              <w:jc w:val="both"/>
              <w:rPr>
                <w:rFonts w:hint="eastAsia" w:cs="宋体"/>
                <w:color w:val="auto"/>
                <w:spacing w:val="6"/>
                <w:sz w:val="21"/>
                <w:szCs w:val="21"/>
                <w:highlight w:val="none"/>
              </w:rPr>
            </w:pPr>
          </w:p>
        </w:tc>
        <w:tc>
          <w:tcPr>
            <w:tcW w:w="1817" w:type="dxa"/>
            <w:vMerge w:val="continue"/>
            <w:vAlign w:val="center"/>
          </w:tcPr>
          <w:p w14:paraId="161689C8">
            <w:pPr>
              <w:spacing w:line="240" w:lineRule="auto"/>
              <w:jc w:val="both"/>
              <w:rPr>
                <w:rFonts w:hint="eastAsia" w:cs="宋体"/>
                <w:color w:val="auto"/>
                <w:spacing w:val="6"/>
                <w:sz w:val="21"/>
                <w:szCs w:val="21"/>
                <w:highlight w:val="none"/>
              </w:rPr>
            </w:pPr>
          </w:p>
        </w:tc>
        <w:tc>
          <w:tcPr>
            <w:tcW w:w="1143" w:type="dxa"/>
            <w:vAlign w:val="center"/>
          </w:tcPr>
          <w:p w14:paraId="7D9D3A0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10F9F2E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1454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426D4DBA">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资本市场服务</w:t>
            </w:r>
          </w:p>
        </w:tc>
        <w:tc>
          <w:tcPr>
            <w:tcW w:w="1817" w:type="dxa"/>
            <w:vMerge w:val="restart"/>
            <w:vAlign w:val="center"/>
          </w:tcPr>
          <w:p w14:paraId="7C0A3AF2">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证券业金融机构</w:t>
            </w:r>
          </w:p>
        </w:tc>
        <w:tc>
          <w:tcPr>
            <w:tcW w:w="1143" w:type="dxa"/>
            <w:vAlign w:val="center"/>
          </w:tcPr>
          <w:p w14:paraId="4C7BF4F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vAlign w:val="center"/>
          </w:tcPr>
          <w:p w14:paraId="2B9B9743">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100亿元（含）至1000亿元</w:t>
            </w:r>
          </w:p>
        </w:tc>
      </w:tr>
      <w:tr w14:paraId="33E7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22E9B67A">
            <w:pPr>
              <w:spacing w:line="240" w:lineRule="auto"/>
              <w:jc w:val="both"/>
              <w:rPr>
                <w:rFonts w:hint="eastAsia" w:cs="宋体"/>
                <w:color w:val="auto"/>
                <w:spacing w:val="6"/>
                <w:sz w:val="21"/>
                <w:szCs w:val="21"/>
                <w:highlight w:val="none"/>
              </w:rPr>
            </w:pPr>
          </w:p>
        </w:tc>
        <w:tc>
          <w:tcPr>
            <w:tcW w:w="1817" w:type="dxa"/>
            <w:vMerge w:val="continue"/>
            <w:vAlign w:val="center"/>
          </w:tcPr>
          <w:p w14:paraId="413BAABE">
            <w:pPr>
              <w:spacing w:line="240" w:lineRule="auto"/>
              <w:jc w:val="both"/>
              <w:rPr>
                <w:rFonts w:hint="eastAsia" w:cs="宋体"/>
                <w:color w:val="auto"/>
                <w:spacing w:val="6"/>
                <w:sz w:val="21"/>
                <w:szCs w:val="21"/>
                <w:highlight w:val="none"/>
              </w:rPr>
            </w:pPr>
          </w:p>
        </w:tc>
        <w:tc>
          <w:tcPr>
            <w:tcW w:w="1143" w:type="dxa"/>
            <w:vAlign w:val="center"/>
          </w:tcPr>
          <w:p w14:paraId="71B6C94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vAlign w:val="center"/>
          </w:tcPr>
          <w:p w14:paraId="7157901E">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10亿元（含）至100亿元</w:t>
            </w:r>
          </w:p>
        </w:tc>
      </w:tr>
      <w:tr w14:paraId="4A0F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54912E7E">
            <w:pPr>
              <w:spacing w:line="240" w:lineRule="auto"/>
              <w:jc w:val="both"/>
              <w:rPr>
                <w:rFonts w:hint="eastAsia" w:cs="宋体"/>
                <w:color w:val="auto"/>
                <w:spacing w:val="6"/>
                <w:sz w:val="21"/>
                <w:szCs w:val="21"/>
                <w:highlight w:val="none"/>
              </w:rPr>
            </w:pPr>
          </w:p>
        </w:tc>
        <w:tc>
          <w:tcPr>
            <w:tcW w:w="1817" w:type="dxa"/>
            <w:vMerge w:val="continue"/>
            <w:vAlign w:val="center"/>
          </w:tcPr>
          <w:p w14:paraId="48E2FA13">
            <w:pPr>
              <w:spacing w:line="240" w:lineRule="auto"/>
              <w:jc w:val="both"/>
              <w:rPr>
                <w:rFonts w:hint="eastAsia" w:cs="宋体"/>
                <w:color w:val="auto"/>
                <w:spacing w:val="6"/>
                <w:sz w:val="21"/>
                <w:szCs w:val="21"/>
                <w:highlight w:val="none"/>
              </w:rPr>
            </w:pPr>
          </w:p>
        </w:tc>
        <w:tc>
          <w:tcPr>
            <w:tcW w:w="1143" w:type="dxa"/>
            <w:vAlign w:val="center"/>
          </w:tcPr>
          <w:p w14:paraId="60402E8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41A91A9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10亿元以下</w:t>
            </w:r>
          </w:p>
        </w:tc>
      </w:tr>
      <w:tr w14:paraId="638C7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829200C">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保险业</w:t>
            </w:r>
          </w:p>
        </w:tc>
        <w:tc>
          <w:tcPr>
            <w:tcW w:w="1817" w:type="dxa"/>
            <w:vMerge w:val="restart"/>
            <w:vAlign w:val="center"/>
          </w:tcPr>
          <w:p w14:paraId="284D62BC">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保险业金融机构</w:t>
            </w:r>
          </w:p>
        </w:tc>
        <w:tc>
          <w:tcPr>
            <w:tcW w:w="1143" w:type="dxa"/>
            <w:vAlign w:val="center"/>
          </w:tcPr>
          <w:p w14:paraId="4A7DFB4E">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vAlign w:val="center"/>
          </w:tcPr>
          <w:p w14:paraId="3A728B10">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400亿元（含）至5000亿元</w:t>
            </w:r>
          </w:p>
        </w:tc>
      </w:tr>
      <w:tr w14:paraId="5E52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6F8127FB">
            <w:pPr>
              <w:spacing w:line="240" w:lineRule="auto"/>
              <w:jc w:val="both"/>
              <w:rPr>
                <w:rFonts w:hint="eastAsia" w:cs="宋体"/>
                <w:color w:val="auto"/>
                <w:spacing w:val="6"/>
                <w:sz w:val="21"/>
                <w:szCs w:val="21"/>
                <w:highlight w:val="none"/>
              </w:rPr>
            </w:pPr>
          </w:p>
        </w:tc>
        <w:tc>
          <w:tcPr>
            <w:tcW w:w="1817" w:type="dxa"/>
            <w:vMerge w:val="continue"/>
            <w:vAlign w:val="center"/>
          </w:tcPr>
          <w:p w14:paraId="2F0E6C6E">
            <w:pPr>
              <w:spacing w:line="240" w:lineRule="auto"/>
              <w:jc w:val="both"/>
              <w:rPr>
                <w:rFonts w:hint="eastAsia" w:cs="宋体"/>
                <w:color w:val="auto"/>
                <w:spacing w:val="6"/>
                <w:sz w:val="21"/>
                <w:szCs w:val="21"/>
                <w:highlight w:val="none"/>
              </w:rPr>
            </w:pPr>
          </w:p>
        </w:tc>
        <w:tc>
          <w:tcPr>
            <w:tcW w:w="1143" w:type="dxa"/>
            <w:vAlign w:val="center"/>
          </w:tcPr>
          <w:p w14:paraId="2AD6A73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vAlign w:val="center"/>
          </w:tcPr>
          <w:p w14:paraId="372AFF3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20亿元（含）至400亿元</w:t>
            </w:r>
          </w:p>
        </w:tc>
      </w:tr>
      <w:tr w14:paraId="6C45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5377F3DA">
            <w:pPr>
              <w:spacing w:line="240" w:lineRule="auto"/>
              <w:jc w:val="both"/>
              <w:rPr>
                <w:rFonts w:hint="eastAsia" w:cs="宋体"/>
                <w:color w:val="auto"/>
                <w:spacing w:val="6"/>
                <w:sz w:val="21"/>
                <w:szCs w:val="21"/>
                <w:highlight w:val="none"/>
              </w:rPr>
            </w:pPr>
          </w:p>
        </w:tc>
        <w:tc>
          <w:tcPr>
            <w:tcW w:w="1817" w:type="dxa"/>
            <w:vMerge w:val="continue"/>
            <w:vAlign w:val="center"/>
          </w:tcPr>
          <w:p w14:paraId="2D2793E0">
            <w:pPr>
              <w:spacing w:line="240" w:lineRule="auto"/>
              <w:jc w:val="both"/>
              <w:rPr>
                <w:rFonts w:hint="eastAsia" w:cs="宋体"/>
                <w:color w:val="auto"/>
                <w:spacing w:val="6"/>
                <w:sz w:val="21"/>
                <w:szCs w:val="21"/>
                <w:highlight w:val="none"/>
              </w:rPr>
            </w:pPr>
          </w:p>
        </w:tc>
        <w:tc>
          <w:tcPr>
            <w:tcW w:w="1143" w:type="dxa"/>
            <w:vAlign w:val="center"/>
          </w:tcPr>
          <w:p w14:paraId="553D37F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7A8D9A02">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20亿元以下</w:t>
            </w:r>
          </w:p>
        </w:tc>
      </w:tr>
      <w:tr w14:paraId="75699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E16AA0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其他金融业</w:t>
            </w:r>
          </w:p>
        </w:tc>
        <w:tc>
          <w:tcPr>
            <w:tcW w:w="1168" w:type="dxa"/>
            <w:vMerge w:val="restart"/>
            <w:vAlign w:val="center"/>
          </w:tcPr>
          <w:p w14:paraId="4CC7720B">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金融信托与管理服务</w:t>
            </w:r>
          </w:p>
        </w:tc>
        <w:tc>
          <w:tcPr>
            <w:tcW w:w="1817" w:type="dxa"/>
            <w:vMerge w:val="restart"/>
            <w:vAlign w:val="center"/>
          </w:tcPr>
          <w:p w14:paraId="13DC525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信托公司</w:t>
            </w:r>
          </w:p>
        </w:tc>
        <w:tc>
          <w:tcPr>
            <w:tcW w:w="1143" w:type="dxa"/>
            <w:vAlign w:val="center"/>
          </w:tcPr>
          <w:p w14:paraId="7D0E927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vAlign w:val="center"/>
          </w:tcPr>
          <w:p w14:paraId="1203952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400亿元（含）至1000亿元</w:t>
            </w:r>
          </w:p>
        </w:tc>
      </w:tr>
      <w:tr w14:paraId="30F88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0F89057">
            <w:pPr>
              <w:spacing w:line="240" w:lineRule="auto"/>
              <w:jc w:val="both"/>
              <w:rPr>
                <w:rFonts w:hint="eastAsia" w:cs="宋体"/>
                <w:color w:val="auto"/>
                <w:spacing w:val="6"/>
                <w:sz w:val="21"/>
                <w:szCs w:val="21"/>
                <w:highlight w:val="none"/>
              </w:rPr>
            </w:pPr>
          </w:p>
        </w:tc>
        <w:tc>
          <w:tcPr>
            <w:tcW w:w="1168" w:type="dxa"/>
            <w:vMerge w:val="continue"/>
            <w:vAlign w:val="center"/>
          </w:tcPr>
          <w:p w14:paraId="01206695">
            <w:pPr>
              <w:spacing w:line="240" w:lineRule="auto"/>
              <w:jc w:val="both"/>
              <w:rPr>
                <w:rFonts w:hint="eastAsia" w:cs="宋体"/>
                <w:color w:val="auto"/>
                <w:spacing w:val="6"/>
                <w:sz w:val="21"/>
                <w:szCs w:val="21"/>
                <w:highlight w:val="none"/>
              </w:rPr>
            </w:pPr>
          </w:p>
        </w:tc>
        <w:tc>
          <w:tcPr>
            <w:tcW w:w="1817" w:type="dxa"/>
            <w:vMerge w:val="continue"/>
            <w:vAlign w:val="center"/>
          </w:tcPr>
          <w:p w14:paraId="10B18F85">
            <w:pPr>
              <w:spacing w:line="240" w:lineRule="auto"/>
              <w:jc w:val="both"/>
              <w:rPr>
                <w:rFonts w:hint="eastAsia" w:cs="宋体"/>
                <w:color w:val="auto"/>
                <w:spacing w:val="6"/>
                <w:sz w:val="21"/>
                <w:szCs w:val="21"/>
                <w:highlight w:val="none"/>
              </w:rPr>
            </w:pPr>
          </w:p>
        </w:tc>
        <w:tc>
          <w:tcPr>
            <w:tcW w:w="1143" w:type="dxa"/>
            <w:vAlign w:val="center"/>
          </w:tcPr>
          <w:p w14:paraId="0E9E83C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vAlign w:val="center"/>
          </w:tcPr>
          <w:p w14:paraId="55C0DDE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20亿元（含）至400亿元</w:t>
            </w:r>
          </w:p>
        </w:tc>
      </w:tr>
      <w:tr w14:paraId="7801E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6CEB563">
            <w:pPr>
              <w:spacing w:line="240" w:lineRule="auto"/>
              <w:jc w:val="both"/>
              <w:rPr>
                <w:rFonts w:hint="eastAsia" w:cs="宋体"/>
                <w:color w:val="auto"/>
                <w:spacing w:val="6"/>
                <w:sz w:val="21"/>
                <w:szCs w:val="21"/>
                <w:highlight w:val="none"/>
              </w:rPr>
            </w:pPr>
          </w:p>
        </w:tc>
        <w:tc>
          <w:tcPr>
            <w:tcW w:w="1168" w:type="dxa"/>
            <w:vMerge w:val="continue"/>
            <w:vAlign w:val="center"/>
          </w:tcPr>
          <w:p w14:paraId="2507FBC7">
            <w:pPr>
              <w:spacing w:line="240" w:lineRule="auto"/>
              <w:jc w:val="both"/>
              <w:rPr>
                <w:rFonts w:hint="eastAsia" w:cs="宋体"/>
                <w:color w:val="auto"/>
                <w:spacing w:val="6"/>
                <w:sz w:val="21"/>
                <w:szCs w:val="21"/>
                <w:highlight w:val="none"/>
              </w:rPr>
            </w:pPr>
          </w:p>
        </w:tc>
        <w:tc>
          <w:tcPr>
            <w:tcW w:w="1817" w:type="dxa"/>
            <w:vMerge w:val="continue"/>
            <w:vAlign w:val="center"/>
          </w:tcPr>
          <w:p w14:paraId="53745CFA">
            <w:pPr>
              <w:spacing w:line="240" w:lineRule="auto"/>
              <w:jc w:val="both"/>
              <w:rPr>
                <w:rFonts w:hint="eastAsia" w:cs="宋体"/>
                <w:color w:val="auto"/>
                <w:spacing w:val="6"/>
                <w:sz w:val="21"/>
                <w:szCs w:val="21"/>
                <w:highlight w:val="none"/>
              </w:rPr>
            </w:pPr>
          </w:p>
        </w:tc>
        <w:tc>
          <w:tcPr>
            <w:tcW w:w="1143" w:type="dxa"/>
            <w:vAlign w:val="center"/>
          </w:tcPr>
          <w:p w14:paraId="172FE50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4D668E2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20亿元以下</w:t>
            </w:r>
          </w:p>
        </w:tc>
      </w:tr>
      <w:tr w14:paraId="17244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21D6451">
            <w:pPr>
              <w:spacing w:line="240" w:lineRule="auto"/>
              <w:jc w:val="both"/>
              <w:rPr>
                <w:rFonts w:hint="eastAsia" w:cs="宋体"/>
                <w:color w:val="auto"/>
                <w:spacing w:val="6"/>
                <w:sz w:val="21"/>
                <w:szCs w:val="21"/>
                <w:highlight w:val="none"/>
              </w:rPr>
            </w:pPr>
          </w:p>
        </w:tc>
        <w:tc>
          <w:tcPr>
            <w:tcW w:w="1168" w:type="dxa"/>
            <w:vMerge w:val="restart"/>
            <w:vAlign w:val="center"/>
          </w:tcPr>
          <w:p w14:paraId="0DE67126">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控股公司服务</w:t>
            </w:r>
          </w:p>
        </w:tc>
        <w:tc>
          <w:tcPr>
            <w:tcW w:w="1817" w:type="dxa"/>
            <w:vMerge w:val="restart"/>
            <w:vAlign w:val="center"/>
          </w:tcPr>
          <w:p w14:paraId="75E39CC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金融控股公司</w:t>
            </w:r>
          </w:p>
        </w:tc>
        <w:tc>
          <w:tcPr>
            <w:tcW w:w="1143" w:type="dxa"/>
            <w:vAlign w:val="center"/>
          </w:tcPr>
          <w:p w14:paraId="539D3A32">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vAlign w:val="center"/>
          </w:tcPr>
          <w:p w14:paraId="67FC60C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5000亿元（含）至40000亿元</w:t>
            </w:r>
          </w:p>
        </w:tc>
      </w:tr>
      <w:tr w14:paraId="24AB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5827DA2">
            <w:pPr>
              <w:spacing w:line="240" w:lineRule="auto"/>
              <w:jc w:val="both"/>
              <w:rPr>
                <w:rFonts w:hint="eastAsia" w:cs="宋体"/>
                <w:color w:val="auto"/>
                <w:spacing w:val="6"/>
                <w:sz w:val="21"/>
                <w:szCs w:val="21"/>
                <w:highlight w:val="none"/>
              </w:rPr>
            </w:pPr>
          </w:p>
        </w:tc>
        <w:tc>
          <w:tcPr>
            <w:tcW w:w="1168" w:type="dxa"/>
            <w:vMerge w:val="continue"/>
            <w:vAlign w:val="center"/>
          </w:tcPr>
          <w:p w14:paraId="2EF5690E">
            <w:pPr>
              <w:spacing w:line="240" w:lineRule="auto"/>
              <w:jc w:val="both"/>
              <w:rPr>
                <w:rFonts w:hint="eastAsia" w:cs="宋体"/>
                <w:color w:val="auto"/>
                <w:spacing w:val="6"/>
                <w:sz w:val="21"/>
                <w:szCs w:val="21"/>
                <w:highlight w:val="none"/>
              </w:rPr>
            </w:pPr>
          </w:p>
        </w:tc>
        <w:tc>
          <w:tcPr>
            <w:tcW w:w="1817" w:type="dxa"/>
            <w:vMerge w:val="continue"/>
            <w:vAlign w:val="center"/>
          </w:tcPr>
          <w:p w14:paraId="6382FB6D">
            <w:pPr>
              <w:spacing w:line="240" w:lineRule="auto"/>
              <w:jc w:val="both"/>
              <w:rPr>
                <w:rFonts w:hint="eastAsia" w:cs="宋体"/>
                <w:color w:val="auto"/>
                <w:spacing w:val="6"/>
                <w:sz w:val="21"/>
                <w:szCs w:val="21"/>
                <w:highlight w:val="none"/>
              </w:rPr>
            </w:pPr>
          </w:p>
        </w:tc>
        <w:tc>
          <w:tcPr>
            <w:tcW w:w="1143" w:type="dxa"/>
            <w:vAlign w:val="center"/>
          </w:tcPr>
          <w:p w14:paraId="6090E4D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vAlign w:val="center"/>
          </w:tcPr>
          <w:p w14:paraId="52D72FA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50亿元（含）至5000亿元</w:t>
            </w:r>
          </w:p>
        </w:tc>
      </w:tr>
      <w:tr w14:paraId="0C03E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FD3D18D">
            <w:pPr>
              <w:spacing w:line="240" w:lineRule="auto"/>
              <w:jc w:val="both"/>
              <w:rPr>
                <w:rFonts w:hint="eastAsia" w:cs="宋体"/>
                <w:color w:val="auto"/>
                <w:spacing w:val="6"/>
                <w:sz w:val="21"/>
                <w:szCs w:val="21"/>
                <w:highlight w:val="none"/>
              </w:rPr>
            </w:pPr>
          </w:p>
        </w:tc>
        <w:tc>
          <w:tcPr>
            <w:tcW w:w="1168" w:type="dxa"/>
            <w:vMerge w:val="continue"/>
            <w:vAlign w:val="center"/>
          </w:tcPr>
          <w:p w14:paraId="6E636FBB">
            <w:pPr>
              <w:spacing w:line="240" w:lineRule="auto"/>
              <w:jc w:val="both"/>
              <w:rPr>
                <w:rFonts w:hint="eastAsia" w:cs="宋体"/>
                <w:color w:val="auto"/>
                <w:spacing w:val="6"/>
                <w:sz w:val="21"/>
                <w:szCs w:val="21"/>
                <w:highlight w:val="none"/>
              </w:rPr>
            </w:pPr>
          </w:p>
        </w:tc>
        <w:tc>
          <w:tcPr>
            <w:tcW w:w="1817" w:type="dxa"/>
            <w:vMerge w:val="continue"/>
            <w:vAlign w:val="center"/>
          </w:tcPr>
          <w:p w14:paraId="7CB427F4">
            <w:pPr>
              <w:spacing w:line="240" w:lineRule="auto"/>
              <w:jc w:val="both"/>
              <w:rPr>
                <w:rFonts w:hint="eastAsia" w:cs="宋体"/>
                <w:color w:val="auto"/>
                <w:spacing w:val="6"/>
                <w:sz w:val="21"/>
                <w:szCs w:val="21"/>
                <w:highlight w:val="none"/>
              </w:rPr>
            </w:pPr>
          </w:p>
        </w:tc>
        <w:tc>
          <w:tcPr>
            <w:tcW w:w="1143" w:type="dxa"/>
            <w:vAlign w:val="center"/>
          </w:tcPr>
          <w:p w14:paraId="366CB8CB">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2975088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2DCA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C42779C">
            <w:pPr>
              <w:spacing w:line="240" w:lineRule="auto"/>
              <w:jc w:val="both"/>
              <w:rPr>
                <w:rFonts w:hint="eastAsia" w:cs="宋体"/>
                <w:color w:val="auto"/>
                <w:spacing w:val="6"/>
                <w:sz w:val="21"/>
                <w:szCs w:val="21"/>
                <w:highlight w:val="none"/>
              </w:rPr>
            </w:pPr>
          </w:p>
        </w:tc>
        <w:tc>
          <w:tcPr>
            <w:tcW w:w="1168" w:type="dxa"/>
            <w:vMerge w:val="restart"/>
            <w:vAlign w:val="center"/>
          </w:tcPr>
          <w:p w14:paraId="7ABB0E1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其他未包括的金融业</w:t>
            </w:r>
          </w:p>
        </w:tc>
        <w:tc>
          <w:tcPr>
            <w:tcW w:w="1817" w:type="dxa"/>
            <w:vMerge w:val="restart"/>
            <w:vAlign w:val="center"/>
          </w:tcPr>
          <w:p w14:paraId="5F5B1496">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除贷款公司、小额贷款公司、典当行以外的其他金融机构</w:t>
            </w:r>
          </w:p>
        </w:tc>
        <w:tc>
          <w:tcPr>
            <w:tcW w:w="1143" w:type="dxa"/>
            <w:vAlign w:val="center"/>
          </w:tcPr>
          <w:p w14:paraId="2BD96CA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vAlign w:val="center"/>
          </w:tcPr>
          <w:p w14:paraId="24E4900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2CA9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78DBDE5F">
            <w:pPr>
              <w:spacing w:line="240" w:lineRule="auto"/>
              <w:rPr>
                <w:rFonts w:hint="eastAsia" w:cs="宋体"/>
                <w:color w:val="auto"/>
                <w:spacing w:val="6"/>
                <w:sz w:val="21"/>
                <w:szCs w:val="21"/>
                <w:highlight w:val="none"/>
              </w:rPr>
            </w:pPr>
          </w:p>
        </w:tc>
        <w:tc>
          <w:tcPr>
            <w:tcW w:w="1168" w:type="dxa"/>
            <w:vMerge w:val="continue"/>
          </w:tcPr>
          <w:p w14:paraId="5B63D7EF">
            <w:pPr>
              <w:spacing w:line="240" w:lineRule="auto"/>
              <w:rPr>
                <w:rFonts w:hint="eastAsia" w:cs="宋体"/>
                <w:color w:val="auto"/>
                <w:spacing w:val="6"/>
                <w:sz w:val="21"/>
                <w:szCs w:val="21"/>
                <w:highlight w:val="none"/>
              </w:rPr>
            </w:pPr>
          </w:p>
        </w:tc>
        <w:tc>
          <w:tcPr>
            <w:tcW w:w="1817" w:type="dxa"/>
            <w:vMerge w:val="continue"/>
          </w:tcPr>
          <w:p w14:paraId="7A84E007">
            <w:pPr>
              <w:spacing w:line="240" w:lineRule="auto"/>
              <w:rPr>
                <w:rFonts w:hint="eastAsia" w:cs="宋体"/>
                <w:color w:val="auto"/>
                <w:spacing w:val="6"/>
                <w:sz w:val="21"/>
                <w:szCs w:val="21"/>
                <w:highlight w:val="none"/>
              </w:rPr>
            </w:pPr>
          </w:p>
        </w:tc>
        <w:tc>
          <w:tcPr>
            <w:tcW w:w="1143" w:type="dxa"/>
            <w:vAlign w:val="center"/>
          </w:tcPr>
          <w:p w14:paraId="1F92EE2E">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vAlign w:val="center"/>
          </w:tcPr>
          <w:p w14:paraId="7B3F00F5">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7769A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141C4A4E">
            <w:pPr>
              <w:spacing w:line="240" w:lineRule="auto"/>
              <w:rPr>
                <w:rFonts w:hint="eastAsia" w:cs="宋体"/>
                <w:color w:val="auto"/>
                <w:spacing w:val="6"/>
                <w:sz w:val="21"/>
                <w:szCs w:val="21"/>
                <w:highlight w:val="none"/>
              </w:rPr>
            </w:pPr>
          </w:p>
        </w:tc>
        <w:tc>
          <w:tcPr>
            <w:tcW w:w="1168" w:type="dxa"/>
            <w:vMerge w:val="continue"/>
          </w:tcPr>
          <w:p w14:paraId="3AEE052B">
            <w:pPr>
              <w:spacing w:line="240" w:lineRule="auto"/>
              <w:rPr>
                <w:rFonts w:hint="eastAsia" w:cs="宋体"/>
                <w:color w:val="auto"/>
                <w:spacing w:val="6"/>
                <w:sz w:val="21"/>
                <w:szCs w:val="21"/>
                <w:highlight w:val="none"/>
              </w:rPr>
            </w:pPr>
          </w:p>
        </w:tc>
        <w:tc>
          <w:tcPr>
            <w:tcW w:w="1817" w:type="dxa"/>
            <w:vMerge w:val="continue"/>
          </w:tcPr>
          <w:p w14:paraId="028AC9CB">
            <w:pPr>
              <w:spacing w:line="240" w:lineRule="auto"/>
              <w:rPr>
                <w:rFonts w:hint="eastAsia" w:cs="宋体"/>
                <w:color w:val="auto"/>
                <w:spacing w:val="6"/>
                <w:sz w:val="21"/>
                <w:szCs w:val="21"/>
                <w:highlight w:val="none"/>
              </w:rPr>
            </w:pPr>
          </w:p>
        </w:tc>
        <w:tc>
          <w:tcPr>
            <w:tcW w:w="1143" w:type="dxa"/>
            <w:vAlign w:val="center"/>
          </w:tcPr>
          <w:p w14:paraId="1E8C7C7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4870259B">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bl>
    <w:p w14:paraId="4DB243B1">
      <w:pPr>
        <w:rPr>
          <w:rFonts w:hint="eastAsia" w:cs="宋体"/>
          <w:color w:val="auto"/>
          <w:spacing w:val="6"/>
          <w:sz w:val="21"/>
          <w:szCs w:val="21"/>
          <w:highlight w:val="none"/>
        </w:rPr>
      </w:pPr>
      <w:r>
        <w:rPr>
          <w:rFonts w:cs="宋体"/>
          <w:color w:val="auto"/>
          <w:spacing w:val="6"/>
          <w:sz w:val="21"/>
          <w:szCs w:val="21"/>
          <w:highlight w:val="none"/>
        </w:rPr>
        <w:br w:type="page"/>
      </w:r>
    </w:p>
    <w:p w14:paraId="0CFCF682">
      <w:pPr>
        <w:pStyle w:val="6"/>
        <w:spacing w:before="80" w:after="80" w:line="240" w:lineRule="auto"/>
        <w:ind w:left="420" w:hanging="420"/>
        <w:rPr>
          <w:rFonts w:hint="eastAsia"/>
          <w:color w:val="auto"/>
          <w:sz w:val="24"/>
          <w:szCs w:val="24"/>
          <w:highlight w:val="none"/>
        </w:rPr>
      </w:pPr>
      <w:bookmarkStart w:id="344" w:name="_Toc163492940"/>
      <w:r>
        <w:rPr>
          <w:rFonts w:hint="eastAsia"/>
          <w:color w:val="auto"/>
          <w:sz w:val="24"/>
          <w:szCs w:val="24"/>
          <w:highlight w:val="none"/>
        </w:rPr>
        <w:t>（四）监狱企业证明文件</w:t>
      </w:r>
      <w:r>
        <w:rPr>
          <w:rFonts w:hint="eastAsia"/>
          <w:b w:val="0"/>
          <w:bCs w:val="0"/>
          <w:color w:val="auto"/>
          <w:sz w:val="24"/>
          <w:szCs w:val="24"/>
          <w:highlight w:val="none"/>
        </w:rPr>
        <w:t>【如适用】</w:t>
      </w:r>
      <w:bookmarkEnd w:id="344"/>
    </w:p>
    <w:p w14:paraId="21581288">
      <w:pPr>
        <w:rPr>
          <w:rFonts w:hint="eastAsia" w:cs="仿宋_GB2312"/>
          <w:b/>
          <w:color w:val="auto"/>
          <w:sz w:val="28"/>
          <w:szCs w:val="28"/>
          <w:highlight w:val="none"/>
        </w:rPr>
      </w:pPr>
    </w:p>
    <w:p w14:paraId="2BBCE47F">
      <w:pPr>
        <w:adjustRightInd w:val="0"/>
        <w:snapToGrid w:val="0"/>
        <w:ind w:firstLine="480" w:firstLineChars="200"/>
        <w:rPr>
          <w:rFonts w:hint="eastAsia" w:cs="宋体"/>
          <w:color w:val="auto"/>
          <w:szCs w:val="24"/>
          <w:highlight w:val="none"/>
        </w:rPr>
      </w:pPr>
      <w:r>
        <w:rPr>
          <w:rFonts w:hint="eastAsia" w:cs="宋体"/>
          <w:color w:val="auto"/>
          <w:szCs w:val="24"/>
          <w:highlight w:val="none"/>
        </w:rPr>
        <w:t>【监狱企业应当提供由省级及以上监狱管理局、戒毒管理局（含新疆生产建设兵团）出具的监狱企业的证明文件，格式如下】。</w:t>
      </w:r>
    </w:p>
    <w:p w14:paraId="329BEBFA">
      <w:pPr>
        <w:pStyle w:val="11"/>
        <w:jc w:val="center"/>
        <w:rPr>
          <w:rFonts w:hint="eastAsia" w:hAnsi="宋体" w:cs="宋体"/>
          <w:b/>
          <w:color w:val="auto"/>
          <w:sz w:val="32"/>
          <w:szCs w:val="32"/>
          <w:highlight w:val="none"/>
        </w:rPr>
      </w:pPr>
    </w:p>
    <w:p w14:paraId="64285846">
      <w:pPr>
        <w:pStyle w:val="11"/>
        <w:jc w:val="center"/>
        <w:rPr>
          <w:rFonts w:hint="eastAsia" w:hAnsi="宋体" w:cs="宋体"/>
          <w:b/>
          <w:color w:val="auto"/>
          <w:sz w:val="32"/>
          <w:szCs w:val="32"/>
          <w:highlight w:val="none"/>
        </w:rPr>
      </w:pPr>
      <w:r>
        <w:rPr>
          <w:rFonts w:hint="eastAsia" w:hAnsi="宋体" w:cs="宋体"/>
          <w:b/>
          <w:color w:val="auto"/>
          <w:sz w:val="32"/>
          <w:szCs w:val="32"/>
          <w:highlight w:val="none"/>
        </w:rPr>
        <w:t>监狱企业证明函</w:t>
      </w:r>
    </w:p>
    <w:p w14:paraId="39AE78A6">
      <w:pPr>
        <w:rPr>
          <w:rFonts w:hint="eastAsia" w:ascii="仿宋_GB2312" w:hAnsi="仿宋_GB2312" w:eastAsia="仿宋_GB2312" w:cs="仿宋_GB2312"/>
          <w:color w:val="auto"/>
          <w:sz w:val="32"/>
          <w:szCs w:val="32"/>
          <w:highlight w:val="none"/>
        </w:rPr>
      </w:pPr>
    </w:p>
    <w:p w14:paraId="7CCAB120">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本公司郑重声明，根据财政部、司法部《关于政府采购支持监狱企业发展有关问题的通知》（财库〔2014〕68号）的规定，本公司为监狱企业。</w:t>
      </w:r>
    </w:p>
    <w:p w14:paraId="6447A47F">
      <w:pPr>
        <w:rPr>
          <w:rFonts w:hint="eastAsia" w:cs="宋体"/>
          <w:color w:val="auto"/>
          <w:szCs w:val="24"/>
          <w:highlight w:val="none"/>
        </w:rPr>
      </w:pPr>
    </w:p>
    <w:p w14:paraId="1950A145">
      <w:pPr>
        <w:ind w:firstLine="4440" w:firstLineChars="1850"/>
        <w:rPr>
          <w:rFonts w:hint="eastAsia" w:cs="宋体"/>
          <w:color w:val="auto"/>
          <w:szCs w:val="24"/>
          <w:highlight w:val="none"/>
        </w:rPr>
      </w:pPr>
    </w:p>
    <w:p w14:paraId="3A411954">
      <w:pPr>
        <w:ind w:firstLine="4440" w:firstLineChars="1850"/>
        <w:rPr>
          <w:rFonts w:hint="eastAsia" w:cs="宋体"/>
          <w:color w:val="auto"/>
          <w:szCs w:val="24"/>
          <w:highlight w:val="none"/>
        </w:rPr>
      </w:pPr>
    </w:p>
    <w:p w14:paraId="7C57A73D">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投标人名称</w:t>
      </w:r>
      <w:r>
        <w:rPr>
          <w:rFonts w:hint="eastAsia" w:cs="宋体"/>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spacing w:val="6"/>
          <w:szCs w:val="24"/>
          <w:highlight w:val="none"/>
        </w:rPr>
        <w:t>：</w:t>
      </w:r>
    </w:p>
    <w:p w14:paraId="732C980C">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日期：   年  月  日</w:t>
      </w:r>
    </w:p>
    <w:p w14:paraId="1912D5C0">
      <w:pPr>
        <w:ind w:firstLine="240" w:firstLineChars="100"/>
        <w:rPr>
          <w:rFonts w:hint="eastAsia" w:cs="宋体"/>
          <w:color w:val="auto"/>
          <w:szCs w:val="24"/>
          <w:highlight w:val="none"/>
        </w:rPr>
      </w:pPr>
    </w:p>
    <w:p w14:paraId="76BE0614">
      <w:pPr>
        <w:ind w:firstLine="240" w:firstLineChars="100"/>
        <w:rPr>
          <w:rFonts w:hint="eastAsia" w:cs="宋体"/>
          <w:color w:val="auto"/>
          <w:szCs w:val="24"/>
          <w:highlight w:val="none"/>
        </w:rPr>
      </w:pPr>
    </w:p>
    <w:p w14:paraId="3DD98812">
      <w:pPr>
        <w:ind w:firstLine="3360" w:firstLineChars="1400"/>
        <w:rPr>
          <w:rFonts w:hint="eastAsia" w:cs="宋体"/>
          <w:color w:val="auto"/>
          <w:szCs w:val="24"/>
          <w:highlight w:val="none"/>
        </w:rPr>
      </w:pPr>
      <w:r>
        <w:rPr>
          <w:rFonts w:hint="eastAsia" w:cs="宋体"/>
          <w:color w:val="auto"/>
          <w:szCs w:val="24"/>
          <w:highlight w:val="none"/>
        </w:rPr>
        <w:t>省级以上监狱管理局、戒毒管理局</w:t>
      </w:r>
    </w:p>
    <w:p w14:paraId="6D0CA1F5">
      <w:pPr>
        <w:ind w:firstLine="3360" w:firstLineChars="1400"/>
        <w:rPr>
          <w:rFonts w:hint="eastAsia" w:cs="宋体"/>
          <w:color w:val="auto"/>
          <w:szCs w:val="24"/>
          <w:highlight w:val="none"/>
        </w:rPr>
      </w:pPr>
      <w:r>
        <w:rPr>
          <w:rFonts w:hint="eastAsia" w:cs="宋体"/>
          <w:color w:val="auto"/>
          <w:szCs w:val="24"/>
          <w:highlight w:val="none"/>
        </w:rPr>
        <w:t>（含新疆生产建设兵团）</w:t>
      </w:r>
      <w:r>
        <w:rPr>
          <w:rFonts w:hint="eastAsia" w:cs="宋体"/>
          <w:color w:val="auto"/>
          <w:kern w:val="0"/>
          <w:highlight w:val="none"/>
          <w:lang w:val="zh-CN"/>
        </w:rPr>
        <w:t>（</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szCs w:val="24"/>
          <w:highlight w:val="none"/>
        </w:rPr>
        <w:t xml:space="preserve">：  </w:t>
      </w:r>
    </w:p>
    <w:p w14:paraId="3E460BFD">
      <w:pPr>
        <w:ind w:firstLine="4320" w:firstLineChars="1800"/>
        <w:rPr>
          <w:rFonts w:hint="eastAsia" w:cs="宋体"/>
          <w:color w:val="auto"/>
          <w:szCs w:val="24"/>
          <w:highlight w:val="none"/>
        </w:rPr>
      </w:pPr>
      <w:r>
        <w:rPr>
          <w:rFonts w:hint="eastAsia" w:cs="宋体"/>
          <w:color w:val="auto"/>
          <w:szCs w:val="24"/>
          <w:highlight w:val="none"/>
        </w:rPr>
        <w:t>日期：</w:t>
      </w:r>
      <w:r>
        <w:rPr>
          <w:rFonts w:hint="eastAsia" w:cs="宋体"/>
          <w:color w:val="auto"/>
          <w:spacing w:val="6"/>
          <w:szCs w:val="24"/>
          <w:highlight w:val="none"/>
        </w:rPr>
        <w:t xml:space="preserve">   年  月  日</w:t>
      </w:r>
    </w:p>
    <w:p w14:paraId="69986BA7">
      <w:pPr>
        <w:ind w:firstLine="240" w:firstLineChars="100"/>
        <w:rPr>
          <w:rFonts w:hint="eastAsia" w:cs="宋体"/>
          <w:color w:val="auto"/>
          <w:szCs w:val="24"/>
          <w:highlight w:val="none"/>
        </w:rPr>
      </w:pPr>
    </w:p>
    <w:p w14:paraId="3B281E5E">
      <w:pPr>
        <w:ind w:firstLine="4000" w:firstLineChars="1250"/>
        <w:rPr>
          <w:rFonts w:hint="eastAsia" w:ascii="仿宋_GB2312" w:hAnsi="仿宋_GB2312" w:eastAsia="仿宋_GB2312" w:cs="仿宋_GB2312"/>
          <w:color w:val="auto"/>
          <w:sz w:val="32"/>
          <w:szCs w:val="32"/>
          <w:highlight w:val="none"/>
        </w:rPr>
      </w:pPr>
    </w:p>
    <w:p w14:paraId="70B13CA2">
      <w:pPr>
        <w:rPr>
          <w:rFonts w:hint="eastAsia" w:ascii="仿宋_GB2312" w:hAnsi="仿宋_GB2312" w:eastAsia="仿宋_GB2312" w:cs="仿宋_GB2312"/>
          <w:color w:val="auto"/>
          <w:sz w:val="32"/>
          <w:szCs w:val="32"/>
          <w:highlight w:val="none"/>
        </w:rPr>
      </w:pPr>
    </w:p>
    <w:p w14:paraId="37742B28">
      <w:pPr>
        <w:widowControl/>
        <w:spacing w:before="100" w:beforeAutospacing="1" w:after="100" w:afterAutospacing="1"/>
        <w:rPr>
          <w:rFonts w:ascii="Arial" w:hAnsi="Arial" w:cs="Arial"/>
          <w:color w:val="auto"/>
          <w:sz w:val="21"/>
          <w:szCs w:val="21"/>
          <w:highlight w:val="none"/>
        </w:rPr>
      </w:pPr>
    </w:p>
    <w:p w14:paraId="3692B29D">
      <w:pPr>
        <w:widowControl/>
        <w:spacing w:before="100" w:beforeAutospacing="1" w:after="100" w:afterAutospacing="1"/>
        <w:rPr>
          <w:rFonts w:ascii="Arial" w:hAnsi="Arial" w:cs="Arial"/>
          <w:color w:val="auto"/>
          <w:sz w:val="21"/>
          <w:szCs w:val="21"/>
          <w:highlight w:val="none"/>
        </w:rPr>
      </w:pPr>
    </w:p>
    <w:p w14:paraId="7E6D5227">
      <w:pPr>
        <w:pStyle w:val="6"/>
        <w:spacing w:before="80" w:after="80" w:line="240" w:lineRule="auto"/>
        <w:ind w:left="420" w:hanging="420"/>
        <w:rPr>
          <w:rFonts w:hint="eastAsia"/>
          <w:color w:val="auto"/>
          <w:sz w:val="24"/>
          <w:szCs w:val="24"/>
          <w:highlight w:val="none"/>
        </w:rPr>
        <w:sectPr>
          <w:pgSz w:w="11906" w:h="16838"/>
          <w:pgMar w:top="1440" w:right="1800" w:bottom="1440" w:left="1800" w:header="851" w:footer="992" w:gutter="0"/>
          <w:pgNumType w:fmt="decimal"/>
          <w:cols w:space="425" w:num="1"/>
          <w:docGrid w:type="lines" w:linePitch="312" w:charSpace="0"/>
        </w:sectPr>
      </w:pPr>
      <w:bookmarkStart w:id="345" w:name="_Toc163492941"/>
    </w:p>
    <w:p w14:paraId="3CAE0123">
      <w:pPr>
        <w:pStyle w:val="6"/>
        <w:spacing w:before="80" w:after="80" w:line="240" w:lineRule="auto"/>
        <w:ind w:left="420" w:hanging="420"/>
        <w:rPr>
          <w:rFonts w:hint="eastAsia"/>
          <w:color w:val="auto"/>
          <w:sz w:val="24"/>
          <w:szCs w:val="24"/>
          <w:highlight w:val="none"/>
        </w:rPr>
      </w:pPr>
      <w:r>
        <w:rPr>
          <w:rFonts w:hint="eastAsia"/>
          <w:color w:val="auto"/>
          <w:sz w:val="24"/>
          <w:szCs w:val="24"/>
          <w:highlight w:val="none"/>
        </w:rPr>
        <w:t>（五）残疾人福利性单位声明函</w:t>
      </w:r>
      <w:r>
        <w:rPr>
          <w:rFonts w:hint="eastAsia"/>
          <w:b w:val="0"/>
          <w:bCs w:val="0"/>
          <w:color w:val="auto"/>
          <w:sz w:val="24"/>
          <w:szCs w:val="24"/>
          <w:highlight w:val="none"/>
        </w:rPr>
        <w:t>【如适用】</w:t>
      </w:r>
      <w:bookmarkEnd w:id="345"/>
    </w:p>
    <w:p w14:paraId="39A8DF2B">
      <w:pPr>
        <w:pStyle w:val="33"/>
        <w:numPr>
          <w:ilvl w:val="0"/>
          <w:numId w:val="0"/>
        </w:numPr>
        <w:ind w:left="420" w:hanging="420"/>
        <w:jc w:val="center"/>
        <w:rPr>
          <w:rFonts w:hint="eastAsia"/>
          <w:b/>
          <w:bCs/>
          <w:color w:val="auto"/>
          <w:sz w:val="32"/>
          <w:szCs w:val="32"/>
          <w:highlight w:val="none"/>
        </w:rPr>
      </w:pPr>
    </w:p>
    <w:p w14:paraId="54DA88AE">
      <w:pPr>
        <w:pStyle w:val="33"/>
        <w:numPr>
          <w:ilvl w:val="0"/>
          <w:numId w:val="0"/>
        </w:numPr>
        <w:ind w:left="420" w:hanging="420"/>
        <w:jc w:val="center"/>
        <w:rPr>
          <w:rFonts w:hint="eastAsia"/>
          <w:b/>
          <w:bCs/>
          <w:color w:val="auto"/>
          <w:sz w:val="32"/>
          <w:szCs w:val="32"/>
          <w:highlight w:val="none"/>
        </w:rPr>
      </w:pPr>
      <w:r>
        <w:rPr>
          <w:rFonts w:hint="eastAsia"/>
          <w:b/>
          <w:bCs/>
          <w:color w:val="auto"/>
          <w:sz w:val="32"/>
          <w:szCs w:val="32"/>
          <w:highlight w:val="none"/>
        </w:rPr>
        <w:t>残疾人福利性单位声明函</w:t>
      </w:r>
    </w:p>
    <w:p w14:paraId="141437FD">
      <w:pPr>
        <w:wordWrap w:val="0"/>
        <w:ind w:firstLine="480" w:firstLineChars="200"/>
        <w:rPr>
          <w:rFonts w:hint="eastAsia"/>
          <w:color w:val="auto"/>
          <w:szCs w:val="24"/>
          <w:highlight w:val="none"/>
        </w:rPr>
      </w:pPr>
    </w:p>
    <w:p w14:paraId="6F1D773C">
      <w:pPr>
        <w:wordWrap w:val="0"/>
        <w:ind w:firstLine="480" w:firstLineChars="200"/>
        <w:rPr>
          <w:rFonts w:hint="eastAsia"/>
          <w:color w:val="auto"/>
          <w:szCs w:val="24"/>
          <w:highlight w:val="none"/>
        </w:rPr>
      </w:pPr>
      <w:r>
        <w:rPr>
          <w:rFonts w:hint="eastAsia"/>
          <w:color w:val="auto"/>
          <w:szCs w:val="24"/>
          <w:highlight w:val="none"/>
        </w:rPr>
        <w:t>本公司（联合体）郑重声明，根据《财政部 民政部 中国残疾人联合会关于促进残疾人就业政府采购政策的通知》（财库〔2017〕141号）的规定，本公司（联合体）参加</w:t>
      </w:r>
      <w:r>
        <w:rPr>
          <w:rFonts w:hint="eastAsia"/>
          <w:color w:val="auto"/>
          <w:szCs w:val="24"/>
          <w:highlight w:val="none"/>
          <w:u w:val="single"/>
        </w:rPr>
        <w:t xml:space="preserve"> （单位名称） </w:t>
      </w:r>
      <w:r>
        <w:rPr>
          <w:rFonts w:hint="eastAsia"/>
          <w:color w:val="auto"/>
          <w:szCs w:val="24"/>
          <w:highlight w:val="none"/>
        </w:rPr>
        <w:t>的</w:t>
      </w:r>
      <w:r>
        <w:rPr>
          <w:rFonts w:hint="eastAsia"/>
          <w:color w:val="auto"/>
          <w:szCs w:val="24"/>
          <w:highlight w:val="none"/>
          <w:u w:val="single"/>
        </w:rPr>
        <w:t xml:space="preserve"> （项目名称） </w:t>
      </w:r>
      <w:r>
        <w:rPr>
          <w:rFonts w:hint="eastAsia"/>
          <w:color w:val="auto"/>
          <w:szCs w:val="24"/>
          <w:highlight w:val="none"/>
        </w:rPr>
        <w:t>采购活动，提供的货物</w:t>
      </w:r>
      <w:r>
        <w:rPr>
          <w:rFonts w:hint="eastAsia"/>
          <w:b/>
          <w:color w:val="auto"/>
          <w:szCs w:val="24"/>
          <w:highlight w:val="none"/>
        </w:rPr>
        <w:t>全部由</w:t>
      </w:r>
      <w:r>
        <w:rPr>
          <w:rFonts w:hint="eastAsia"/>
          <w:color w:val="auto"/>
          <w:szCs w:val="24"/>
          <w:highlight w:val="none"/>
        </w:rPr>
        <w:t>符合政策要求的</w:t>
      </w:r>
      <w:r>
        <w:rPr>
          <w:rFonts w:hint="eastAsia"/>
          <w:b/>
          <w:color w:val="auto"/>
          <w:szCs w:val="24"/>
          <w:highlight w:val="none"/>
        </w:rPr>
        <w:t>残疾人福利性单位制造</w:t>
      </w:r>
      <w:r>
        <w:rPr>
          <w:rFonts w:hint="eastAsia"/>
          <w:color w:val="auto"/>
          <w:szCs w:val="24"/>
          <w:highlight w:val="none"/>
        </w:rPr>
        <w:t>。相关企业（含联合体中的残疾人福利性单位、签订分包意向协议书的残疾人福利性单位）的具体情况如下：</w:t>
      </w:r>
    </w:p>
    <w:p w14:paraId="2EA35990">
      <w:pPr>
        <w:wordWrap w:val="0"/>
        <w:ind w:firstLine="480" w:firstLineChars="200"/>
        <w:rPr>
          <w:rFonts w:hint="eastAsia"/>
          <w:color w:val="auto"/>
          <w:szCs w:val="24"/>
          <w:highlight w:val="none"/>
        </w:rPr>
      </w:pPr>
      <w:r>
        <w:rPr>
          <w:rFonts w:hint="eastAsia"/>
          <w:color w:val="auto"/>
          <w:szCs w:val="24"/>
          <w:highlight w:val="none"/>
        </w:rPr>
        <w:t>1.</w:t>
      </w:r>
      <w:r>
        <w:rPr>
          <w:rFonts w:hint="eastAsia"/>
          <w:color w:val="auto"/>
          <w:szCs w:val="24"/>
          <w:highlight w:val="none"/>
          <w:u w:val="single"/>
        </w:rPr>
        <w:t xml:space="preserve"> （标的名称） </w:t>
      </w:r>
      <w:r>
        <w:rPr>
          <w:rFonts w:hint="eastAsia"/>
          <w:color w:val="auto"/>
          <w:szCs w:val="24"/>
          <w:highlight w:val="none"/>
        </w:rPr>
        <w:t xml:space="preserve">，制造商为 </w:t>
      </w:r>
      <w:r>
        <w:rPr>
          <w:color w:val="auto"/>
          <w:szCs w:val="24"/>
          <w:highlight w:val="none"/>
          <w:u w:val="single"/>
        </w:rPr>
        <w:t xml:space="preserve">  </w:t>
      </w:r>
      <w:r>
        <w:rPr>
          <w:rFonts w:hint="eastAsia"/>
          <w:color w:val="auto"/>
          <w:szCs w:val="24"/>
          <w:highlight w:val="none"/>
          <w:u w:val="single"/>
        </w:rPr>
        <w:t xml:space="preserve">（企业名称） </w:t>
      </w:r>
      <w:r>
        <w:rPr>
          <w:rFonts w:hint="eastAsia"/>
          <w:color w:val="auto"/>
          <w:szCs w:val="24"/>
          <w:highlight w:val="none"/>
        </w:rPr>
        <w:t>，属于残疾人福利性单位；</w:t>
      </w:r>
    </w:p>
    <w:p w14:paraId="70AE8D9B">
      <w:pPr>
        <w:wordWrap w:val="0"/>
        <w:ind w:firstLine="480" w:firstLineChars="200"/>
        <w:rPr>
          <w:rFonts w:hint="eastAsia"/>
          <w:color w:val="auto"/>
          <w:szCs w:val="24"/>
          <w:highlight w:val="none"/>
        </w:rPr>
      </w:pPr>
      <w:r>
        <w:rPr>
          <w:rFonts w:hint="eastAsia"/>
          <w:color w:val="auto"/>
          <w:szCs w:val="24"/>
          <w:highlight w:val="none"/>
        </w:rPr>
        <w:t xml:space="preserve">2. </w:t>
      </w:r>
      <w:r>
        <w:rPr>
          <w:rFonts w:hint="eastAsia"/>
          <w:color w:val="auto"/>
          <w:szCs w:val="24"/>
          <w:highlight w:val="none"/>
          <w:u w:val="single"/>
        </w:rPr>
        <w:t xml:space="preserve">（标的名称） </w:t>
      </w:r>
      <w:r>
        <w:rPr>
          <w:rFonts w:hint="eastAsia"/>
          <w:color w:val="auto"/>
          <w:szCs w:val="24"/>
          <w:highlight w:val="none"/>
        </w:rPr>
        <w:t xml:space="preserve">，制造商为 </w:t>
      </w:r>
      <w:r>
        <w:rPr>
          <w:color w:val="auto"/>
          <w:szCs w:val="24"/>
          <w:highlight w:val="none"/>
          <w:u w:val="single"/>
        </w:rPr>
        <w:t xml:space="preserve">  </w:t>
      </w:r>
      <w:r>
        <w:rPr>
          <w:rFonts w:hint="eastAsia"/>
          <w:color w:val="auto"/>
          <w:szCs w:val="24"/>
          <w:highlight w:val="none"/>
          <w:u w:val="single"/>
        </w:rPr>
        <w:t xml:space="preserve">（企业名称） </w:t>
      </w:r>
      <w:r>
        <w:rPr>
          <w:rFonts w:hint="eastAsia"/>
          <w:color w:val="auto"/>
          <w:szCs w:val="24"/>
          <w:highlight w:val="none"/>
        </w:rPr>
        <w:t>，属于残疾人福利性单位；</w:t>
      </w:r>
    </w:p>
    <w:p w14:paraId="63FC1C96">
      <w:pPr>
        <w:wordWrap w:val="0"/>
        <w:ind w:firstLine="480" w:firstLineChars="200"/>
        <w:rPr>
          <w:rFonts w:hint="eastAsia"/>
          <w:color w:val="auto"/>
          <w:szCs w:val="24"/>
          <w:highlight w:val="none"/>
        </w:rPr>
      </w:pPr>
      <w:r>
        <w:rPr>
          <w:rFonts w:hint="eastAsia"/>
          <w:color w:val="auto"/>
          <w:szCs w:val="24"/>
          <w:highlight w:val="none"/>
        </w:rPr>
        <w:t>……</w:t>
      </w:r>
    </w:p>
    <w:p w14:paraId="3F715183">
      <w:pPr>
        <w:wordWrap w:val="0"/>
        <w:ind w:firstLine="480" w:firstLineChars="200"/>
        <w:rPr>
          <w:rFonts w:hint="eastAsia"/>
          <w:color w:val="auto"/>
          <w:szCs w:val="24"/>
          <w:highlight w:val="none"/>
        </w:rPr>
      </w:pPr>
      <w:r>
        <w:rPr>
          <w:rFonts w:hint="eastAsia"/>
          <w:color w:val="auto"/>
          <w:szCs w:val="24"/>
          <w:highlight w:val="none"/>
        </w:rPr>
        <w:t>以上企业，不属于大企业的分支机构，不存在控股股东为大企业的情形，也不存在与大企业的负责人为同一人的情形。</w:t>
      </w:r>
    </w:p>
    <w:p w14:paraId="0A4FB7C7">
      <w:pPr>
        <w:wordWrap w:val="0"/>
        <w:ind w:left="1087" w:leftChars="200" w:hanging="607" w:hangingChars="253"/>
        <w:rPr>
          <w:rFonts w:hint="eastAsia"/>
          <w:color w:val="auto"/>
          <w:szCs w:val="24"/>
          <w:highlight w:val="none"/>
        </w:rPr>
      </w:pPr>
      <w:r>
        <w:rPr>
          <w:rFonts w:hint="eastAsia"/>
          <w:color w:val="auto"/>
          <w:szCs w:val="24"/>
          <w:highlight w:val="none"/>
        </w:rPr>
        <w:t>本企业对上述声明内容的真实性负责。如有虚假，将依法承担相应责任。</w:t>
      </w:r>
    </w:p>
    <w:p w14:paraId="682531BD">
      <w:pPr>
        <w:wordWrap w:val="0"/>
        <w:ind w:left="1091" w:hanging="1091" w:hangingChars="453"/>
        <w:rPr>
          <w:rFonts w:hint="eastAsia"/>
          <w:b/>
          <w:bCs/>
          <w:color w:val="auto"/>
          <w:szCs w:val="24"/>
          <w:highlight w:val="none"/>
        </w:rPr>
      </w:pPr>
    </w:p>
    <w:p w14:paraId="79EFDBB8">
      <w:pPr>
        <w:wordWrap w:val="0"/>
        <w:ind w:left="1091" w:hanging="1091" w:hangingChars="453"/>
        <w:rPr>
          <w:rFonts w:hint="eastAsia"/>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479A1663">
      <w:pPr>
        <w:wordWrap w:val="0"/>
        <w:ind w:left="1087" w:hanging="1087" w:hangingChars="453"/>
        <w:rPr>
          <w:rFonts w:hint="eastAsia"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59899162">
      <w:pPr>
        <w:wordWrap w:val="0"/>
        <w:spacing w:before="100" w:beforeAutospacing="1" w:after="100" w:afterAutospacing="1"/>
        <w:ind w:firstLine="3316" w:firstLineChars="1382"/>
        <w:rPr>
          <w:rFonts w:hint="eastAsia"/>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0793BF11">
      <w:pPr>
        <w:wordWrap w:val="0"/>
        <w:spacing w:before="100" w:beforeAutospacing="1" w:after="100" w:afterAutospacing="1"/>
        <w:ind w:firstLine="3316" w:firstLineChars="1382"/>
        <w:rPr>
          <w:rFonts w:hint="eastAsia"/>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598265F3">
      <w:pPr>
        <w:ind w:left="4620" w:firstLine="281" w:firstLineChars="100"/>
        <w:rPr>
          <w:rFonts w:hint="eastAsia" w:cs="仿宋_GB2312"/>
          <w:b/>
          <w:color w:val="auto"/>
          <w:sz w:val="28"/>
          <w:szCs w:val="28"/>
          <w:highlight w:val="none"/>
        </w:rPr>
      </w:pPr>
    </w:p>
    <w:p w14:paraId="6A1F6BA9">
      <w:pPr>
        <w:rPr>
          <w:rFonts w:hint="eastAsia"/>
          <w:color w:val="auto"/>
          <w:highlight w:val="none"/>
        </w:rPr>
      </w:pPr>
      <w:r>
        <w:rPr>
          <w:color w:val="auto"/>
          <w:highlight w:val="none"/>
        </w:rPr>
        <w:br w:type="page"/>
      </w:r>
    </w:p>
    <w:p w14:paraId="4374B398">
      <w:pPr>
        <w:pStyle w:val="5"/>
        <w:spacing w:before="100" w:after="100" w:line="360" w:lineRule="auto"/>
        <w:ind w:left="420" w:hanging="420"/>
        <w:rPr>
          <w:color w:val="auto"/>
          <w:sz w:val="28"/>
          <w:szCs w:val="28"/>
          <w:highlight w:val="none"/>
        </w:rPr>
      </w:pPr>
      <w:bookmarkStart w:id="346" w:name="_Toc17480"/>
      <w:bookmarkStart w:id="347" w:name="_Toc163492942"/>
      <w:r>
        <w:rPr>
          <w:rFonts w:hint="eastAsia"/>
          <w:color w:val="auto"/>
          <w:sz w:val="28"/>
          <w:szCs w:val="28"/>
          <w:highlight w:val="none"/>
        </w:rPr>
        <w:t>五、不参与围标串标承诺书</w:t>
      </w:r>
      <w:bookmarkEnd w:id="346"/>
    </w:p>
    <w:p w14:paraId="38E20663">
      <w:pPr>
        <w:pStyle w:val="5"/>
        <w:spacing w:before="100" w:after="100" w:line="240" w:lineRule="auto"/>
        <w:ind w:left="420" w:hanging="420"/>
        <w:rPr>
          <w:color w:val="auto"/>
          <w:highlight w:val="none"/>
        </w:rPr>
      </w:pPr>
    </w:p>
    <w:p w14:paraId="45F6C6EF">
      <w:pPr>
        <w:jc w:val="center"/>
        <w:rPr>
          <w:rFonts w:hint="eastAsia"/>
          <w:color w:val="auto"/>
          <w:highlight w:val="none"/>
        </w:rPr>
      </w:pPr>
      <w:r>
        <w:rPr>
          <w:rFonts w:hint="eastAsia" w:cstheme="majorBidi"/>
          <w:b/>
          <w:bCs/>
          <w:color w:val="auto"/>
          <w:sz w:val="32"/>
          <w:szCs w:val="32"/>
          <w:highlight w:val="none"/>
        </w:rPr>
        <w:t>不参与围标串标承诺书</w:t>
      </w:r>
    </w:p>
    <w:p w14:paraId="3E22DCCE">
      <w:pPr>
        <w:rPr>
          <w:rFonts w:hint="eastAsia"/>
          <w:color w:val="auto"/>
          <w:highlight w:val="none"/>
        </w:rPr>
      </w:pPr>
      <w:r>
        <w:rPr>
          <w:rFonts w:hint="eastAsia"/>
          <w:color w:val="auto"/>
          <w:highlight w:val="none"/>
        </w:rPr>
        <w:t>  </w:t>
      </w:r>
    </w:p>
    <w:p w14:paraId="7985C97B">
      <w:pPr>
        <w:ind w:firstLine="480" w:firstLineChars="200"/>
        <w:rPr>
          <w:rFonts w:hint="eastAsia"/>
          <w:color w:val="auto"/>
          <w:highlight w:val="none"/>
        </w:rPr>
      </w:pPr>
      <w:r>
        <w:rPr>
          <w:rFonts w:hint="eastAsia"/>
          <w:color w:val="auto"/>
          <w:highlight w:val="none"/>
        </w:rPr>
        <w:t>本人作为经授权的投标人代表,清楚知晓我单位本项目投标活动,对以下事项作出承诺：</w:t>
      </w:r>
    </w:p>
    <w:p w14:paraId="0CCD2251">
      <w:pPr>
        <w:ind w:firstLine="480" w:firstLineChars="200"/>
        <w:rPr>
          <w:rFonts w:hint="eastAsia"/>
          <w:color w:val="auto"/>
          <w:highlight w:val="none"/>
        </w:rPr>
      </w:pPr>
    </w:p>
    <w:p w14:paraId="16889253">
      <w:pPr>
        <w:ind w:firstLine="480" w:firstLineChars="200"/>
        <w:rPr>
          <w:rFonts w:hint="eastAsia"/>
          <w:color w:val="auto"/>
          <w:highlight w:val="none"/>
        </w:rPr>
      </w:pPr>
      <w:r>
        <w:rPr>
          <w:rFonts w:hint="eastAsia"/>
          <w:color w:val="auto"/>
          <w:highlight w:val="none"/>
        </w:rPr>
        <w:t>一、我单位和我本人遵循公开透明、公平竞争、公正和诚实信用的原则,依法依规参与本项目竞标。</w:t>
      </w:r>
    </w:p>
    <w:p w14:paraId="5DC39F76">
      <w:pPr>
        <w:ind w:firstLine="480" w:firstLineChars="200"/>
        <w:rPr>
          <w:rFonts w:hint="eastAsia"/>
          <w:color w:val="auto"/>
          <w:highlight w:val="none"/>
        </w:rPr>
      </w:pPr>
      <w:r>
        <w:rPr>
          <w:rFonts w:hint="eastAsia"/>
          <w:color w:val="auto"/>
          <w:highlight w:val="none"/>
        </w:rPr>
        <w:t>二、我单位和我本人在本项目政府采购投标活动中,未参与围标串标。</w:t>
      </w:r>
    </w:p>
    <w:p w14:paraId="7C53193C">
      <w:pPr>
        <w:ind w:firstLine="480" w:firstLineChars="200"/>
        <w:rPr>
          <w:rFonts w:hint="eastAsia"/>
          <w:color w:val="auto"/>
          <w:highlight w:val="none"/>
        </w:rPr>
      </w:pPr>
      <w:r>
        <w:rPr>
          <w:rFonts w:hint="eastAsia"/>
          <w:color w:val="auto"/>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733034D9">
      <w:pPr>
        <w:pStyle w:val="10"/>
        <w:rPr>
          <w:rFonts w:hint="eastAsia"/>
          <w:color w:val="auto"/>
          <w:highlight w:val="none"/>
        </w:rPr>
      </w:pPr>
    </w:p>
    <w:p w14:paraId="2D776F1F">
      <w:pPr>
        <w:spacing w:line="560" w:lineRule="exact"/>
        <w:rPr>
          <w:rFonts w:hint="eastAsia" w:cs="宋体"/>
          <w:color w:val="auto"/>
          <w:kern w:val="0"/>
          <w:szCs w:val="24"/>
          <w:highlight w:val="none"/>
        </w:rPr>
      </w:pPr>
    </w:p>
    <w:p w14:paraId="02FA496E">
      <w:pPr>
        <w:spacing w:line="560" w:lineRule="exact"/>
        <w:rPr>
          <w:rFonts w:hint="eastAsia" w:cs="宋体"/>
          <w:color w:val="auto"/>
          <w:kern w:val="0"/>
          <w:szCs w:val="24"/>
          <w:highlight w:val="none"/>
        </w:rPr>
      </w:pPr>
      <w:r>
        <w:rPr>
          <w:rFonts w:hint="eastAsia" w:cs="宋体"/>
          <w:color w:val="auto"/>
          <w:kern w:val="0"/>
          <w:szCs w:val="24"/>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rPr>
        <w:t>：</w:t>
      </w:r>
    </w:p>
    <w:p w14:paraId="508125AF">
      <w:pPr>
        <w:spacing w:line="560" w:lineRule="exact"/>
        <w:rPr>
          <w:rFonts w:hint="eastAsia" w:cs="宋体"/>
          <w:color w:val="auto"/>
          <w:kern w:val="0"/>
          <w:szCs w:val="24"/>
          <w:highlight w:val="none"/>
        </w:rPr>
      </w:pPr>
      <w:r>
        <w:rPr>
          <w:rFonts w:hint="eastAsia" w:cs="宋体"/>
          <w:color w:val="auto"/>
          <w:kern w:val="0"/>
          <w:szCs w:val="24"/>
          <w:highlight w:val="none"/>
        </w:rPr>
        <w:t>法定代表人（负责人或本人）或授权代表（签字或盖章）：</w:t>
      </w:r>
    </w:p>
    <w:p w14:paraId="444D26AF">
      <w:pPr>
        <w:spacing w:line="560" w:lineRule="exact"/>
        <w:rPr>
          <w:rFonts w:hint="eastAsia" w:cs="宋体"/>
          <w:color w:val="auto"/>
          <w:kern w:val="0"/>
          <w:szCs w:val="24"/>
          <w:highlight w:val="none"/>
        </w:rPr>
      </w:pPr>
      <w:r>
        <w:rPr>
          <w:rFonts w:hint="eastAsia" w:cs="宋体"/>
          <w:color w:val="auto"/>
          <w:kern w:val="0"/>
          <w:szCs w:val="24"/>
          <w:highlight w:val="none"/>
        </w:rPr>
        <w:t>日期： 年 月 日</w:t>
      </w:r>
    </w:p>
    <w:p w14:paraId="77781445">
      <w:pPr>
        <w:widowControl/>
        <w:spacing w:line="560" w:lineRule="exact"/>
        <w:ind w:firstLine="630"/>
        <w:rPr>
          <w:rFonts w:hint="eastAsia" w:cs="宋体"/>
          <w:color w:val="auto"/>
          <w:kern w:val="0"/>
          <w:szCs w:val="24"/>
          <w:highlight w:val="none"/>
        </w:rPr>
      </w:pPr>
    </w:p>
    <w:p w14:paraId="0A7F471B">
      <w:pPr>
        <w:pStyle w:val="10"/>
        <w:rPr>
          <w:rFonts w:hint="eastAsia"/>
          <w:color w:val="auto"/>
          <w:highlight w:val="none"/>
        </w:rPr>
      </w:pPr>
    </w:p>
    <w:p w14:paraId="1B83DA18">
      <w:pPr>
        <w:pStyle w:val="10"/>
        <w:rPr>
          <w:rFonts w:hint="eastAsia"/>
          <w:color w:val="auto"/>
          <w:highlight w:val="none"/>
        </w:rPr>
      </w:pPr>
    </w:p>
    <w:p w14:paraId="38D8D574">
      <w:pPr>
        <w:pStyle w:val="10"/>
        <w:rPr>
          <w:rFonts w:hint="eastAsia"/>
          <w:color w:val="auto"/>
          <w:highlight w:val="none"/>
        </w:rPr>
      </w:pPr>
    </w:p>
    <w:p w14:paraId="0CB4231C">
      <w:pPr>
        <w:pStyle w:val="10"/>
        <w:rPr>
          <w:rFonts w:hint="eastAsia"/>
          <w:color w:val="auto"/>
          <w:highlight w:val="none"/>
        </w:rPr>
      </w:pPr>
    </w:p>
    <w:p w14:paraId="41B6FDCC">
      <w:pPr>
        <w:pStyle w:val="10"/>
        <w:rPr>
          <w:rFonts w:hint="eastAsia"/>
          <w:color w:val="auto"/>
          <w:highlight w:val="none"/>
        </w:rPr>
      </w:pPr>
    </w:p>
    <w:p w14:paraId="48BF0A3B">
      <w:pPr>
        <w:pStyle w:val="10"/>
        <w:rPr>
          <w:rFonts w:hint="eastAsia"/>
          <w:color w:val="auto"/>
          <w:highlight w:val="none"/>
        </w:rPr>
      </w:pPr>
    </w:p>
    <w:p w14:paraId="6D381292">
      <w:pPr>
        <w:pStyle w:val="10"/>
        <w:rPr>
          <w:rFonts w:hint="eastAsia"/>
          <w:color w:val="auto"/>
          <w:highlight w:val="none"/>
        </w:rPr>
      </w:pPr>
    </w:p>
    <w:p w14:paraId="34D1ACAB">
      <w:pPr>
        <w:pStyle w:val="10"/>
        <w:rPr>
          <w:rFonts w:hint="eastAsia"/>
          <w:color w:val="auto"/>
          <w:highlight w:val="none"/>
        </w:rPr>
      </w:pPr>
    </w:p>
    <w:p w14:paraId="414972C1">
      <w:pPr>
        <w:pStyle w:val="5"/>
        <w:spacing w:before="100" w:after="100" w:line="360" w:lineRule="auto"/>
        <w:ind w:left="420" w:hanging="420"/>
        <w:rPr>
          <w:color w:val="auto"/>
          <w:sz w:val="28"/>
          <w:szCs w:val="28"/>
          <w:highlight w:val="none"/>
          <w:lang w:val="zh-CN"/>
        </w:rPr>
      </w:pPr>
      <w:bookmarkStart w:id="348" w:name="_Toc15491"/>
      <w:r>
        <w:rPr>
          <w:rFonts w:hint="eastAsia"/>
          <w:color w:val="auto"/>
          <w:sz w:val="28"/>
          <w:szCs w:val="28"/>
          <w:highlight w:val="none"/>
        </w:rPr>
        <w:t>六、</w:t>
      </w:r>
      <w:bookmarkEnd w:id="347"/>
      <w:r>
        <w:rPr>
          <w:rFonts w:hint="eastAsia"/>
          <w:color w:val="auto"/>
          <w:sz w:val="28"/>
          <w:szCs w:val="28"/>
          <w:highlight w:val="none"/>
          <w:lang w:val="zh-CN"/>
        </w:rPr>
        <w:t>其他资格证明文件</w:t>
      </w:r>
      <w:bookmarkEnd w:id="348"/>
    </w:p>
    <w:p w14:paraId="61CAECCD">
      <w:pPr>
        <w:pStyle w:val="20"/>
        <w:rPr>
          <w:rFonts w:hint="eastAsia"/>
          <w:color w:val="auto"/>
          <w:highlight w:val="none"/>
        </w:rPr>
      </w:pPr>
      <w:r>
        <w:rPr>
          <w:rFonts w:hint="eastAsia" w:cs="Courier New"/>
          <w:color w:val="auto"/>
          <w:szCs w:val="24"/>
          <w:highlight w:val="none"/>
        </w:rPr>
        <w:t>投标人认为需提供的其它相关资格证明材料</w:t>
      </w:r>
    </w:p>
    <w:p w14:paraId="2FD3E8FD">
      <w:pPr>
        <w:pStyle w:val="20"/>
        <w:rPr>
          <w:rFonts w:hint="eastAsia"/>
          <w:color w:val="auto"/>
          <w:highlight w:val="none"/>
        </w:rPr>
      </w:pPr>
    </w:p>
    <w:p w14:paraId="21A7D76A">
      <w:pPr>
        <w:pStyle w:val="20"/>
        <w:rPr>
          <w:rFonts w:hint="eastAsia"/>
          <w:color w:val="auto"/>
          <w:highlight w:val="none"/>
        </w:rPr>
      </w:pPr>
    </w:p>
    <w:p w14:paraId="495EB3FF">
      <w:pPr>
        <w:pStyle w:val="20"/>
        <w:rPr>
          <w:rFonts w:hint="eastAsia"/>
          <w:color w:val="auto"/>
          <w:highlight w:val="none"/>
        </w:rPr>
      </w:pPr>
    </w:p>
    <w:p w14:paraId="4F49BDD9">
      <w:pPr>
        <w:pStyle w:val="20"/>
        <w:rPr>
          <w:rFonts w:hint="eastAsia"/>
          <w:color w:val="auto"/>
          <w:highlight w:val="none"/>
        </w:rPr>
      </w:pPr>
    </w:p>
    <w:p w14:paraId="0F5BBC8C">
      <w:pPr>
        <w:pStyle w:val="20"/>
        <w:rPr>
          <w:rFonts w:hint="eastAsia"/>
          <w:color w:val="auto"/>
          <w:highlight w:val="none"/>
        </w:rPr>
      </w:pPr>
    </w:p>
    <w:p w14:paraId="7D65D2EB">
      <w:pPr>
        <w:pStyle w:val="20"/>
        <w:rPr>
          <w:rFonts w:hint="eastAsia"/>
          <w:color w:val="auto"/>
          <w:highlight w:val="none"/>
        </w:rPr>
      </w:pPr>
    </w:p>
    <w:p w14:paraId="2C9906D3">
      <w:pPr>
        <w:pStyle w:val="20"/>
        <w:rPr>
          <w:rFonts w:hint="eastAsia"/>
          <w:color w:val="auto"/>
          <w:highlight w:val="none"/>
        </w:rPr>
      </w:pPr>
    </w:p>
    <w:p w14:paraId="2BFC41E2">
      <w:pPr>
        <w:pStyle w:val="20"/>
        <w:rPr>
          <w:rFonts w:hint="eastAsia"/>
          <w:color w:val="auto"/>
          <w:highlight w:val="none"/>
        </w:rPr>
      </w:pPr>
    </w:p>
    <w:p w14:paraId="1745E29D">
      <w:pPr>
        <w:pStyle w:val="20"/>
        <w:rPr>
          <w:rFonts w:hint="eastAsia"/>
          <w:color w:val="auto"/>
          <w:highlight w:val="none"/>
        </w:rPr>
      </w:pPr>
    </w:p>
    <w:p w14:paraId="698B7459">
      <w:pPr>
        <w:pStyle w:val="20"/>
        <w:rPr>
          <w:rFonts w:hint="eastAsia"/>
          <w:color w:val="auto"/>
          <w:highlight w:val="none"/>
        </w:rPr>
      </w:pPr>
    </w:p>
    <w:p w14:paraId="417C5197">
      <w:pPr>
        <w:pStyle w:val="20"/>
        <w:rPr>
          <w:rFonts w:hint="eastAsia"/>
          <w:color w:val="auto"/>
          <w:highlight w:val="none"/>
        </w:rPr>
      </w:pPr>
    </w:p>
    <w:p w14:paraId="47E4CBEC">
      <w:pPr>
        <w:pStyle w:val="20"/>
        <w:rPr>
          <w:rFonts w:hint="eastAsia"/>
          <w:color w:val="auto"/>
          <w:highlight w:val="none"/>
        </w:rPr>
      </w:pPr>
    </w:p>
    <w:p w14:paraId="0CD3AAD5">
      <w:pPr>
        <w:pStyle w:val="20"/>
        <w:rPr>
          <w:rFonts w:hint="eastAsia"/>
          <w:color w:val="auto"/>
          <w:highlight w:val="none"/>
        </w:rPr>
      </w:pPr>
    </w:p>
    <w:p w14:paraId="7C77903B">
      <w:pPr>
        <w:pStyle w:val="20"/>
        <w:rPr>
          <w:rFonts w:hint="eastAsia"/>
          <w:color w:val="auto"/>
          <w:highlight w:val="none"/>
        </w:rPr>
      </w:pPr>
    </w:p>
    <w:p w14:paraId="2DD807B4">
      <w:pPr>
        <w:pStyle w:val="20"/>
        <w:rPr>
          <w:rFonts w:hint="eastAsia"/>
          <w:color w:val="auto"/>
          <w:highlight w:val="none"/>
        </w:rPr>
      </w:pPr>
    </w:p>
    <w:p w14:paraId="4DBB13D4">
      <w:pPr>
        <w:pStyle w:val="20"/>
        <w:rPr>
          <w:rFonts w:hint="eastAsia"/>
          <w:color w:val="auto"/>
          <w:highlight w:val="none"/>
        </w:rPr>
      </w:pPr>
    </w:p>
    <w:p w14:paraId="406BD468">
      <w:pPr>
        <w:pStyle w:val="20"/>
        <w:rPr>
          <w:rFonts w:hint="eastAsia"/>
          <w:color w:val="auto"/>
          <w:highlight w:val="none"/>
        </w:rPr>
      </w:pPr>
    </w:p>
    <w:p w14:paraId="7D1FEC0A">
      <w:pPr>
        <w:pStyle w:val="20"/>
        <w:rPr>
          <w:rFonts w:hint="eastAsia"/>
          <w:color w:val="auto"/>
          <w:highlight w:val="none"/>
        </w:rPr>
      </w:pPr>
    </w:p>
    <w:p w14:paraId="03485EFA">
      <w:pPr>
        <w:pStyle w:val="20"/>
        <w:rPr>
          <w:rFonts w:hint="eastAsia"/>
          <w:color w:val="auto"/>
          <w:highlight w:val="none"/>
        </w:rPr>
      </w:pPr>
    </w:p>
    <w:p w14:paraId="4F3C5C32">
      <w:pPr>
        <w:pStyle w:val="20"/>
        <w:rPr>
          <w:rFonts w:hint="eastAsia"/>
          <w:color w:val="auto"/>
          <w:highlight w:val="none"/>
        </w:rPr>
      </w:pPr>
    </w:p>
    <w:p w14:paraId="5A8A9A0F">
      <w:pPr>
        <w:pStyle w:val="20"/>
        <w:rPr>
          <w:rFonts w:hint="eastAsia"/>
          <w:color w:val="auto"/>
          <w:highlight w:val="none"/>
        </w:rPr>
      </w:pPr>
    </w:p>
    <w:p w14:paraId="04C5E65E">
      <w:pPr>
        <w:pStyle w:val="20"/>
        <w:rPr>
          <w:rFonts w:hint="eastAsia"/>
          <w:color w:val="auto"/>
          <w:highlight w:val="none"/>
        </w:rPr>
      </w:pPr>
    </w:p>
    <w:p w14:paraId="6AF7DE0B">
      <w:pPr>
        <w:pStyle w:val="20"/>
        <w:rPr>
          <w:rFonts w:hint="eastAsia"/>
          <w:color w:val="auto"/>
          <w:highlight w:val="none"/>
        </w:rPr>
      </w:pPr>
    </w:p>
    <w:p w14:paraId="6348F485">
      <w:pPr>
        <w:pStyle w:val="20"/>
        <w:rPr>
          <w:rFonts w:hint="eastAsia"/>
          <w:color w:val="auto"/>
          <w:highlight w:val="none"/>
        </w:rPr>
      </w:pPr>
    </w:p>
    <w:p w14:paraId="3323852A">
      <w:pPr>
        <w:pStyle w:val="20"/>
        <w:rPr>
          <w:rFonts w:hint="eastAsia"/>
          <w:color w:val="auto"/>
          <w:highlight w:val="none"/>
        </w:rPr>
      </w:pPr>
    </w:p>
    <w:p w14:paraId="2D993293">
      <w:pPr>
        <w:autoSpaceDE w:val="0"/>
        <w:autoSpaceDN w:val="0"/>
        <w:adjustRightInd w:val="0"/>
        <w:rPr>
          <w:rFonts w:hint="eastAsia"/>
          <w:color w:val="auto"/>
          <w:sz w:val="21"/>
          <w:szCs w:val="24"/>
          <w:highlight w:val="none"/>
        </w:rPr>
      </w:pPr>
    </w:p>
    <w:p w14:paraId="31A5D8D2">
      <w:pPr>
        <w:autoSpaceDE w:val="0"/>
        <w:autoSpaceDN w:val="0"/>
        <w:adjustRightInd w:val="0"/>
        <w:rPr>
          <w:rFonts w:hint="eastAsia"/>
          <w:color w:val="auto"/>
          <w:sz w:val="21"/>
          <w:szCs w:val="24"/>
          <w:highlight w:val="none"/>
        </w:rPr>
      </w:pPr>
    </w:p>
    <w:p w14:paraId="02198EB7">
      <w:pPr>
        <w:pStyle w:val="5"/>
        <w:spacing w:before="100" w:after="100" w:line="360" w:lineRule="auto"/>
        <w:ind w:left="420" w:hanging="420"/>
        <w:jc w:val="center"/>
        <w:rPr>
          <w:color w:val="auto"/>
          <w:highlight w:val="none"/>
        </w:rPr>
      </w:pPr>
      <w:bookmarkStart w:id="349" w:name="_Toc10253"/>
      <w:r>
        <w:rPr>
          <w:rFonts w:hint="eastAsia"/>
          <w:color w:val="auto"/>
          <w:highlight w:val="none"/>
        </w:rPr>
        <w:t>七、开标一览表</w:t>
      </w:r>
      <w:bookmarkEnd w:id="349"/>
    </w:p>
    <w:p w14:paraId="394EAC3F">
      <w:pPr>
        <w:spacing w:line="300" w:lineRule="auto"/>
        <w:rPr>
          <w:rFonts w:hint="eastAsia" w:cs="仿宋_GB2312"/>
          <w:color w:val="auto"/>
          <w:szCs w:val="24"/>
          <w:highlight w:val="none"/>
        </w:rPr>
      </w:pPr>
    </w:p>
    <w:p w14:paraId="5DF4EC04">
      <w:pPr>
        <w:rPr>
          <w:rFonts w:hint="eastAsia"/>
          <w:bCs/>
          <w:color w:val="auto"/>
          <w:szCs w:val="21"/>
          <w:highlight w:val="none"/>
          <w:lang w:val="zh-CN"/>
        </w:rPr>
      </w:pPr>
      <w:r>
        <w:rPr>
          <w:rFonts w:hint="eastAsia"/>
          <w:bCs/>
          <w:color w:val="auto"/>
          <w:szCs w:val="21"/>
          <w:highlight w:val="none"/>
          <w:lang w:val="zh-CN"/>
        </w:rPr>
        <w:t>项目名称：</w:t>
      </w:r>
      <w:r>
        <w:rPr>
          <w:rFonts w:hint="eastAsia"/>
          <w:bCs/>
          <w:color w:val="auto"/>
          <w:szCs w:val="21"/>
          <w:highlight w:val="none"/>
          <w:u w:val="single"/>
          <w:lang w:val="zh-CN"/>
        </w:rPr>
        <w:t xml:space="preserve">                     </w:t>
      </w:r>
    </w:p>
    <w:p w14:paraId="64931126">
      <w:pPr>
        <w:rPr>
          <w:rFonts w:hint="eastAsia"/>
          <w:bCs/>
          <w:color w:val="auto"/>
          <w:szCs w:val="21"/>
          <w:highlight w:val="none"/>
          <w:u w:val="single"/>
          <w:lang w:val="zh-CN"/>
        </w:rPr>
      </w:pPr>
      <w:r>
        <w:rPr>
          <w:rFonts w:hint="eastAsia"/>
          <w:bCs/>
          <w:color w:val="auto"/>
          <w:szCs w:val="21"/>
          <w:highlight w:val="none"/>
          <w:lang w:val="zh-CN"/>
        </w:rPr>
        <w:t>项目编号</w:t>
      </w:r>
      <w:r>
        <w:rPr>
          <w:rFonts w:hint="eastAsia"/>
          <w:bCs/>
          <w:color w:val="auto"/>
          <w:szCs w:val="21"/>
          <w:highlight w:val="none"/>
        </w:rPr>
        <w:t>/</w:t>
      </w:r>
      <w:r>
        <w:rPr>
          <w:rFonts w:hint="eastAsia"/>
          <w:bCs/>
          <w:color w:val="auto"/>
          <w:szCs w:val="21"/>
          <w:highlight w:val="none"/>
          <w:lang w:val="zh-CN"/>
        </w:rPr>
        <w:t>包号：</w:t>
      </w:r>
      <w:r>
        <w:rPr>
          <w:rFonts w:hint="eastAsia"/>
          <w:bCs/>
          <w:color w:val="auto"/>
          <w:szCs w:val="21"/>
          <w:highlight w:val="none"/>
          <w:u w:val="single"/>
          <w:lang w:val="zh-CN"/>
        </w:rPr>
        <w:t xml:space="preserve">                </w:t>
      </w:r>
    </w:p>
    <w:tbl>
      <w:tblPr>
        <w:tblStyle w:val="1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352"/>
        <w:gridCol w:w="2161"/>
        <w:gridCol w:w="2611"/>
      </w:tblGrid>
      <w:tr w14:paraId="2F820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403" w:type="dxa"/>
            <w:vAlign w:val="center"/>
          </w:tcPr>
          <w:p w14:paraId="0EA8C5A0">
            <w:pPr>
              <w:widowControl/>
              <w:autoSpaceDE w:val="0"/>
              <w:autoSpaceDN w:val="0"/>
              <w:spacing w:line="240" w:lineRule="auto"/>
              <w:jc w:val="center"/>
              <w:textAlignment w:val="bottom"/>
              <w:rPr>
                <w:rFonts w:hint="eastAsia"/>
                <w:color w:val="auto"/>
                <w:szCs w:val="24"/>
                <w:highlight w:val="none"/>
              </w:rPr>
            </w:pPr>
            <w:r>
              <w:rPr>
                <w:rFonts w:hint="eastAsia"/>
                <w:color w:val="auto"/>
                <w:szCs w:val="24"/>
                <w:highlight w:val="none"/>
              </w:rPr>
              <w:t>序号</w:t>
            </w:r>
          </w:p>
        </w:tc>
        <w:tc>
          <w:tcPr>
            <w:tcW w:w="2352" w:type="dxa"/>
            <w:vAlign w:val="center"/>
          </w:tcPr>
          <w:p w14:paraId="100222A9">
            <w:pPr>
              <w:widowControl/>
              <w:autoSpaceDE w:val="0"/>
              <w:autoSpaceDN w:val="0"/>
              <w:spacing w:line="240" w:lineRule="auto"/>
              <w:ind w:left="851" w:hanging="851"/>
              <w:jc w:val="center"/>
              <w:textAlignment w:val="bottom"/>
              <w:rPr>
                <w:rFonts w:hint="eastAsia"/>
                <w:color w:val="auto"/>
                <w:szCs w:val="24"/>
                <w:highlight w:val="none"/>
              </w:rPr>
            </w:pPr>
            <w:r>
              <w:rPr>
                <w:rFonts w:hint="eastAsia"/>
                <w:color w:val="auto"/>
                <w:szCs w:val="24"/>
                <w:highlight w:val="none"/>
              </w:rPr>
              <w:t>投标报价</w:t>
            </w:r>
          </w:p>
        </w:tc>
        <w:tc>
          <w:tcPr>
            <w:tcW w:w="2161" w:type="dxa"/>
            <w:vAlign w:val="center"/>
          </w:tcPr>
          <w:p w14:paraId="2368571D">
            <w:pPr>
              <w:widowControl/>
              <w:autoSpaceDE/>
              <w:autoSpaceDN/>
              <w:spacing w:line="240" w:lineRule="auto"/>
              <w:ind w:left="0" w:firstLine="0"/>
              <w:jc w:val="center"/>
              <w:textAlignment w:val="bottom"/>
              <w:rPr>
                <w:rFonts w:hint="eastAsia" w:eastAsia="宋体"/>
                <w:color w:val="auto"/>
                <w:szCs w:val="24"/>
                <w:highlight w:val="none"/>
                <w:lang w:eastAsia="zh-CN"/>
              </w:rPr>
            </w:pPr>
            <w:r>
              <w:rPr>
                <w:rFonts w:hint="eastAsia"/>
                <w:color w:val="auto"/>
                <w:szCs w:val="24"/>
                <w:highlight w:val="none"/>
                <w:lang w:eastAsia="zh-CN"/>
              </w:rPr>
              <w:t>合同履行期限</w:t>
            </w:r>
            <w:r>
              <w:rPr>
                <w:rFonts w:hint="eastAsia"/>
                <w:color w:val="auto"/>
                <w:szCs w:val="24"/>
                <w:highlight w:val="none"/>
                <w:lang w:val="en-US" w:eastAsia="zh-CN"/>
              </w:rPr>
              <w:t xml:space="preserve">  </w:t>
            </w:r>
            <w:r>
              <w:rPr>
                <w:rFonts w:hint="eastAsia"/>
                <w:color w:val="auto"/>
                <w:szCs w:val="24"/>
                <w:highlight w:val="none"/>
                <w:lang w:eastAsia="zh-CN"/>
              </w:rPr>
              <w:t>（供货期）</w:t>
            </w:r>
          </w:p>
        </w:tc>
        <w:tc>
          <w:tcPr>
            <w:tcW w:w="2611" w:type="dxa"/>
            <w:vAlign w:val="center"/>
          </w:tcPr>
          <w:p w14:paraId="5B56280C">
            <w:pPr>
              <w:widowControl/>
              <w:autoSpaceDE w:val="0"/>
              <w:autoSpaceDN w:val="0"/>
              <w:spacing w:line="240" w:lineRule="auto"/>
              <w:jc w:val="center"/>
              <w:textAlignment w:val="bottom"/>
              <w:rPr>
                <w:rFonts w:hint="eastAsia"/>
                <w:color w:val="auto"/>
                <w:szCs w:val="24"/>
                <w:highlight w:val="none"/>
              </w:rPr>
            </w:pPr>
            <w:r>
              <w:rPr>
                <w:rFonts w:hint="eastAsia"/>
                <w:color w:val="auto"/>
                <w:szCs w:val="24"/>
                <w:highlight w:val="none"/>
              </w:rPr>
              <w:t>备注（如有）</w:t>
            </w:r>
          </w:p>
        </w:tc>
      </w:tr>
      <w:tr w14:paraId="04FB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403" w:type="dxa"/>
            <w:vAlign w:val="center"/>
          </w:tcPr>
          <w:p w14:paraId="7E62DAF9">
            <w:pPr>
              <w:widowControl/>
              <w:autoSpaceDE w:val="0"/>
              <w:autoSpaceDN w:val="0"/>
              <w:spacing w:line="240" w:lineRule="auto"/>
              <w:ind w:left="851" w:hanging="851"/>
              <w:jc w:val="center"/>
              <w:textAlignment w:val="bottom"/>
              <w:rPr>
                <w:rFonts w:hint="eastAsia"/>
                <w:color w:val="auto"/>
                <w:szCs w:val="24"/>
                <w:highlight w:val="none"/>
              </w:rPr>
            </w:pPr>
          </w:p>
        </w:tc>
        <w:tc>
          <w:tcPr>
            <w:tcW w:w="2352" w:type="dxa"/>
            <w:vAlign w:val="center"/>
          </w:tcPr>
          <w:p w14:paraId="2F5DA8C8">
            <w:pPr>
              <w:widowControl/>
              <w:autoSpaceDE w:val="0"/>
              <w:autoSpaceDN w:val="0"/>
              <w:spacing w:line="240" w:lineRule="auto"/>
              <w:ind w:left="851" w:hanging="851"/>
              <w:jc w:val="both"/>
              <w:textAlignment w:val="bottom"/>
              <w:rPr>
                <w:rFonts w:hint="eastAsia"/>
                <w:color w:val="auto"/>
                <w:szCs w:val="24"/>
                <w:highlight w:val="none"/>
              </w:rPr>
            </w:pPr>
            <w:r>
              <w:rPr>
                <w:rFonts w:hint="eastAsia"/>
                <w:color w:val="auto"/>
                <w:szCs w:val="24"/>
                <w:highlight w:val="none"/>
              </w:rPr>
              <w:t>小写：</w:t>
            </w:r>
          </w:p>
          <w:p w14:paraId="2E80F869">
            <w:pPr>
              <w:widowControl/>
              <w:autoSpaceDE w:val="0"/>
              <w:autoSpaceDN w:val="0"/>
              <w:spacing w:line="240" w:lineRule="auto"/>
              <w:ind w:left="851" w:hanging="851"/>
              <w:jc w:val="both"/>
              <w:textAlignment w:val="bottom"/>
              <w:rPr>
                <w:rFonts w:hint="eastAsia"/>
                <w:color w:val="auto"/>
                <w:szCs w:val="24"/>
                <w:highlight w:val="none"/>
              </w:rPr>
            </w:pPr>
            <w:r>
              <w:rPr>
                <w:rFonts w:hint="eastAsia"/>
                <w:color w:val="auto"/>
                <w:szCs w:val="24"/>
                <w:highlight w:val="none"/>
              </w:rPr>
              <w:t>大写：</w:t>
            </w:r>
          </w:p>
        </w:tc>
        <w:tc>
          <w:tcPr>
            <w:tcW w:w="2161" w:type="dxa"/>
            <w:vAlign w:val="center"/>
          </w:tcPr>
          <w:p w14:paraId="7C291F5B">
            <w:pPr>
              <w:widowControl/>
              <w:autoSpaceDE w:val="0"/>
              <w:autoSpaceDN w:val="0"/>
              <w:spacing w:line="240" w:lineRule="auto"/>
              <w:ind w:left="851" w:hanging="851"/>
              <w:jc w:val="center"/>
              <w:textAlignment w:val="bottom"/>
              <w:rPr>
                <w:rFonts w:hint="eastAsia"/>
                <w:color w:val="auto"/>
                <w:szCs w:val="24"/>
                <w:highlight w:val="none"/>
              </w:rPr>
            </w:pPr>
          </w:p>
        </w:tc>
        <w:tc>
          <w:tcPr>
            <w:tcW w:w="2611" w:type="dxa"/>
            <w:vAlign w:val="center"/>
          </w:tcPr>
          <w:p w14:paraId="031413B0">
            <w:pPr>
              <w:widowControl/>
              <w:autoSpaceDE w:val="0"/>
              <w:autoSpaceDN w:val="0"/>
              <w:spacing w:line="240" w:lineRule="auto"/>
              <w:ind w:left="851" w:hanging="851"/>
              <w:jc w:val="center"/>
              <w:textAlignment w:val="bottom"/>
              <w:rPr>
                <w:rFonts w:hint="eastAsia"/>
                <w:color w:val="auto"/>
                <w:szCs w:val="24"/>
                <w:highlight w:val="none"/>
              </w:rPr>
            </w:pPr>
          </w:p>
        </w:tc>
      </w:tr>
    </w:tbl>
    <w:p w14:paraId="7ECFBFE2">
      <w:pPr>
        <w:spacing w:line="300" w:lineRule="auto"/>
        <w:rPr>
          <w:rFonts w:ascii="Arial" w:hAnsi="Arial" w:cs="Arial"/>
          <w:color w:val="auto"/>
          <w:szCs w:val="21"/>
          <w:highlight w:val="none"/>
          <w:u w:val="single"/>
        </w:rPr>
      </w:pPr>
    </w:p>
    <w:p w14:paraId="65C2F8D4">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ascii="Arial" w:hAnsi="Arial" w:cs="Arial"/>
          <w:color w:val="auto"/>
          <w:szCs w:val="21"/>
          <w:highlight w:val="none"/>
        </w:rPr>
        <w:t>：</w:t>
      </w:r>
    </w:p>
    <w:p w14:paraId="3E29EAA8">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22652B4E">
      <w:pPr>
        <w:rPr>
          <w:rFonts w:hint="eastAsia" w:cs="Arial"/>
          <w:color w:val="auto"/>
          <w:szCs w:val="24"/>
          <w:highlight w:val="none"/>
        </w:rPr>
      </w:pPr>
    </w:p>
    <w:p w14:paraId="12849CD8">
      <w:pPr>
        <w:pStyle w:val="10"/>
        <w:rPr>
          <w:rFonts w:hint="eastAsia" w:cs="Arial"/>
          <w:color w:val="auto"/>
          <w:highlight w:val="none"/>
        </w:rPr>
      </w:pPr>
    </w:p>
    <w:p w14:paraId="45CB8870">
      <w:pPr>
        <w:pStyle w:val="10"/>
        <w:rPr>
          <w:rFonts w:hint="eastAsia" w:cs="Arial"/>
          <w:color w:val="auto"/>
          <w:highlight w:val="none"/>
        </w:rPr>
      </w:pPr>
    </w:p>
    <w:p w14:paraId="152BCB45">
      <w:pPr>
        <w:pStyle w:val="10"/>
        <w:rPr>
          <w:rFonts w:hint="eastAsia" w:cs="Arial"/>
          <w:color w:val="auto"/>
          <w:highlight w:val="none"/>
        </w:rPr>
      </w:pPr>
    </w:p>
    <w:p w14:paraId="03E05C9A">
      <w:pPr>
        <w:pStyle w:val="10"/>
        <w:rPr>
          <w:rFonts w:hint="eastAsia" w:cs="Arial"/>
          <w:color w:val="auto"/>
          <w:highlight w:val="none"/>
        </w:rPr>
      </w:pPr>
    </w:p>
    <w:p w14:paraId="096589B9">
      <w:pPr>
        <w:rPr>
          <w:rFonts w:hint="eastAsia" w:cs="宋体"/>
          <w:b/>
          <w:color w:val="auto"/>
          <w:sz w:val="21"/>
          <w:szCs w:val="21"/>
          <w:highlight w:val="none"/>
        </w:rPr>
      </w:pPr>
      <w:r>
        <w:rPr>
          <w:rFonts w:hint="eastAsia" w:cs="宋体"/>
          <w:b/>
          <w:color w:val="auto"/>
          <w:sz w:val="21"/>
          <w:szCs w:val="21"/>
          <w:highlight w:val="none"/>
        </w:rPr>
        <w:t>注：</w:t>
      </w:r>
    </w:p>
    <w:p w14:paraId="12187723">
      <w:pPr>
        <w:ind w:firstLine="435"/>
        <w:rPr>
          <w:rFonts w:hint="eastAsia" w:cs="宋体"/>
          <w:color w:val="auto"/>
          <w:sz w:val="21"/>
          <w:szCs w:val="21"/>
          <w:highlight w:val="none"/>
        </w:rPr>
      </w:pPr>
      <w:r>
        <w:rPr>
          <w:rFonts w:hint="eastAsia" w:cs="宋体"/>
          <w:color w:val="auto"/>
          <w:sz w:val="21"/>
          <w:szCs w:val="21"/>
          <w:highlight w:val="none"/>
        </w:rPr>
        <w:t>1.此表用于开标唱标之用。</w:t>
      </w:r>
    </w:p>
    <w:p w14:paraId="1E269AD5">
      <w:pPr>
        <w:ind w:firstLine="435"/>
        <w:rPr>
          <w:rFonts w:hint="eastAsia" w:cs="宋体"/>
          <w:color w:val="auto"/>
          <w:sz w:val="21"/>
          <w:szCs w:val="21"/>
          <w:highlight w:val="none"/>
        </w:rPr>
      </w:pPr>
      <w:r>
        <w:rPr>
          <w:rFonts w:hint="eastAsia" w:cs="宋体"/>
          <w:color w:val="auto"/>
          <w:sz w:val="21"/>
          <w:szCs w:val="21"/>
          <w:highlight w:val="none"/>
        </w:rPr>
        <w:t>2.表中投标报价即为优惠后报价，并作为评审及定标依据。任何有选择或有条件的投标报价，或者表中某一包填写多个报价，均为无效报价。</w:t>
      </w:r>
    </w:p>
    <w:p w14:paraId="28CCE40F">
      <w:pPr>
        <w:pStyle w:val="10"/>
        <w:ind w:firstLine="420" w:firstLineChars="200"/>
        <w:rPr>
          <w:rFonts w:hint="eastAsia" w:eastAsia="宋体" w:cs="宋体"/>
          <w:color w:val="auto"/>
          <w:szCs w:val="21"/>
          <w:highlight w:val="none"/>
        </w:rPr>
      </w:pPr>
      <w:r>
        <w:rPr>
          <w:rFonts w:hint="eastAsia" w:eastAsia="宋体" w:cs="宋体"/>
          <w:color w:val="auto"/>
          <w:szCs w:val="21"/>
          <w:highlight w:val="none"/>
        </w:rPr>
        <w:t>3.表中大写与小写不一致的，以大写为准。</w:t>
      </w:r>
    </w:p>
    <w:p w14:paraId="11EE417B">
      <w:pPr>
        <w:pStyle w:val="10"/>
        <w:ind w:firstLine="480" w:firstLineChars="200"/>
        <w:rPr>
          <w:rFonts w:hint="eastAsia" w:eastAsia="宋体" w:cs="宋体"/>
          <w:color w:val="auto"/>
          <w:sz w:val="24"/>
          <w:highlight w:val="none"/>
        </w:rPr>
      </w:pPr>
    </w:p>
    <w:p w14:paraId="52BCF29B">
      <w:pPr>
        <w:pStyle w:val="10"/>
        <w:ind w:firstLine="480" w:firstLineChars="200"/>
        <w:rPr>
          <w:rFonts w:hint="eastAsia" w:eastAsia="宋体" w:cs="宋体"/>
          <w:color w:val="auto"/>
          <w:sz w:val="24"/>
          <w:highlight w:val="none"/>
        </w:rPr>
      </w:pPr>
    </w:p>
    <w:p w14:paraId="236AD554">
      <w:pPr>
        <w:pStyle w:val="10"/>
        <w:ind w:firstLine="480" w:firstLineChars="200"/>
        <w:rPr>
          <w:rFonts w:hint="eastAsia" w:eastAsia="宋体" w:cs="宋体"/>
          <w:color w:val="auto"/>
          <w:sz w:val="24"/>
          <w:highlight w:val="none"/>
        </w:rPr>
      </w:pPr>
    </w:p>
    <w:p w14:paraId="4ABDD544">
      <w:pPr>
        <w:pStyle w:val="5"/>
        <w:spacing w:before="100" w:after="100" w:line="360" w:lineRule="auto"/>
        <w:ind w:left="420" w:hanging="420"/>
        <w:jc w:val="center"/>
        <w:rPr>
          <w:color w:val="auto"/>
          <w:highlight w:val="none"/>
        </w:rPr>
        <w:sectPr>
          <w:pgSz w:w="11906" w:h="16838"/>
          <w:pgMar w:top="1440" w:right="1800" w:bottom="1440" w:left="1800" w:header="851" w:footer="992" w:gutter="0"/>
          <w:pgNumType w:fmt="decimal"/>
          <w:cols w:space="425" w:num="1"/>
          <w:docGrid w:type="lines" w:linePitch="312" w:charSpace="0"/>
        </w:sectPr>
      </w:pPr>
    </w:p>
    <w:p w14:paraId="1D88C737">
      <w:pPr>
        <w:pStyle w:val="5"/>
        <w:numPr>
          <w:ilvl w:val="0"/>
          <w:numId w:val="11"/>
        </w:numPr>
        <w:spacing w:before="100" w:after="100" w:line="360" w:lineRule="auto"/>
        <w:ind w:left="420" w:hanging="420"/>
        <w:jc w:val="center"/>
        <w:rPr>
          <w:color w:val="auto"/>
          <w:highlight w:val="none"/>
        </w:rPr>
      </w:pPr>
      <w:bookmarkStart w:id="350" w:name="_Toc26733"/>
      <w:bookmarkStart w:id="351" w:name="_Toc109899489"/>
      <w:bookmarkStart w:id="352" w:name="_Toc109900327"/>
      <w:bookmarkStart w:id="353" w:name="_Toc155185921"/>
      <w:bookmarkStart w:id="354" w:name="_Toc163492915"/>
      <w:bookmarkStart w:id="355" w:name="_Toc24394"/>
      <w:bookmarkStart w:id="356" w:name="_Toc3577"/>
      <w:bookmarkStart w:id="357" w:name="_Toc109899908"/>
      <w:bookmarkStart w:id="358" w:name="_Toc25402"/>
      <w:bookmarkStart w:id="359" w:name="_Toc140132831"/>
      <w:r>
        <w:rPr>
          <w:rFonts w:hint="eastAsia"/>
          <w:color w:val="auto"/>
          <w:highlight w:val="none"/>
        </w:rPr>
        <w:t>分项报价表</w:t>
      </w:r>
      <w:bookmarkEnd w:id="350"/>
    </w:p>
    <w:p w14:paraId="234F380A">
      <w:pPr>
        <w:rPr>
          <w:bCs/>
          <w:color w:val="auto"/>
          <w:szCs w:val="21"/>
          <w:highlight w:val="none"/>
          <w:lang w:val="zh-CN"/>
        </w:rPr>
      </w:pPr>
      <w:r>
        <w:rPr>
          <w:rFonts w:hint="eastAsia"/>
          <w:bCs/>
          <w:color w:val="auto"/>
          <w:szCs w:val="21"/>
          <w:highlight w:val="none"/>
          <w:lang w:val="zh-CN"/>
        </w:rPr>
        <w:t>项目名称：</w:t>
      </w:r>
      <w:r>
        <w:rPr>
          <w:rFonts w:hint="eastAsia"/>
          <w:bCs/>
          <w:color w:val="auto"/>
          <w:szCs w:val="21"/>
          <w:highlight w:val="none"/>
          <w:u w:val="single"/>
          <w:lang w:val="zh-CN"/>
        </w:rPr>
        <w:t xml:space="preserve">                  </w:t>
      </w:r>
      <w:r>
        <w:rPr>
          <w:rFonts w:hint="eastAsia"/>
          <w:bCs/>
          <w:color w:val="auto"/>
          <w:szCs w:val="21"/>
          <w:highlight w:val="none"/>
          <w:u w:val="single"/>
        </w:rPr>
        <w:t xml:space="preserve">     </w:t>
      </w:r>
      <w:r>
        <w:rPr>
          <w:rFonts w:hint="eastAsia"/>
          <w:bCs/>
          <w:color w:val="auto"/>
          <w:szCs w:val="21"/>
          <w:highlight w:val="none"/>
          <w:u w:val="single"/>
          <w:lang w:val="zh-CN"/>
        </w:rPr>
        <w:t xml:space="preserve">   </w:t>
      </w:r>
    </w:p>
    <w:p w14:paraId="31258DCF">
      <w:pPr>
        <w:rPr>
          <w:bCs/>
          <w:color w:val="auto"/>
          <w:szCs w:val="21"/>
          <w:highlight w:val="none"/>
          <w:u w:val="single"/>
          <w:lang w:val="zh-CN"/>
        </w:rPr>
      </w:pPr>
      <w:r>
        <w:rPr>
          <w:rFonts w:hint="eastAsia"/>
          <w:bCs/>
          <w:color w:val="auto"/>
          <w:szCs w:val="21"/>
          <w:highlight w:val="none"/>
          <w:lang w:val="zh-CN"/>
        </w:rPr>
        <w:t>项目编号</w:t>
      </w:r>
      <w:r>
        <w:rPr>
          <w:rFonts w:hint="eastAsia"/>
          <w:bCs/>
          <w:color w:val="auto"/>
          <w:szCs w:val="21"/>
          <w:highlight w:val="none"/>
        </w:rPr>
        <w:t>/</w:t>
      </w:r>
      <w:r>
        <w:rPr>
          <w:rFonts w:hint="eastAsia"/>
          <w:bCs/>
          <w:color w:val="auto"/>
          <w:szCs w:val="21"/>
          <w:highlight w:val="none"/>
          <w:lang w:val="zh-CN"/>
        </w:rPr>
        <w:t>包号：</w:t>
      </w:r>
      <w:r>
        <w:rPr>
          <w:rFonts w:hint="eastAsia"/>
          <w:bCs/>
          <w:color w:val="auto"/>
          <w:szCs w:val="21"/>
          <w:highlight w:val="none"/>
          <w:u w:val="single"/>
          <w:lang w:val="zh-CN"/>
        </w:rPr>
        <w:t xml:space="preserve">                     </w:t>
      </w:r>
      <w:r>
        <w:rPr>
          <w:rFonts w:hint="eastAsia"/>
          <w:bCs/>
          <w:color w:val="auto"/>
          <w:szCs w:val="21"/>
          <w:highlight w:val="none"/>
          <w:lang w:val="zh-CN"/>
        </w:rPr>
        <w:t xml:space="preserve">      </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713"/>
        <w:gridCol w:w="714"/>
        <w:gridCol w:w="703"/>
        <w:gridCol w:w="842"/>
        <w:gridCol w:w="690"/>
        <w:gridCol w:w="631"/>
        <w:gridCol w:w="957"/>
        <w:gridCol w:w="974"/>
        <w:gridCol w:w="655"/>
        <w:gridCol w:w="1000"/>
      </w:tblGrid>
      <w:tr w14:paraId="42016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643" w:type="dxa"/>
            <w:vAlign w:val="center"/>
          </w:tcPr>
          <w:p w14:paraId="08BDFE31">
            <w:pPr>
              <w:spacing w:line="240" w:lineRule="auto"/>
              <w:jc w:val="center"/>
              <w:rPr>
                <w:rFonts w:cs="宋体"/>
                <w:bCs/>
                <w:color w:val="auto"/>
                <w:sz w:val="21"/>
                <w:szCs w:val="21"/>
                <w:highlight w:val="none"/>
                <w:lang w:val="zh-CN"/>
              </w:rPr>
            </w:pPr>
            <w:r>
              <w:rPr>
                <w:rFonts w:hint="eastAsia" w:cs="宋体"/>
                <w:bCs/>
                <w:color w:val="auto"/>
                <w:sz w:val="21"/>
                <w:szCs w:val="21"/>
                <w:highlight w:val="none"/>
              </w:rPr>
              <w:t>序号</w:t>
            </w:r>
          </w:p>
        </w:tc>
        <w:tc>
          <w:tcPr>
            <w:tcW w:w="713" w:type="dxa"/>
            <w:vAlign w:val="center"/>
          </w:tcPr>
          <w:p w14:paraId="7BCD55EB">
            <w:pPr>
              <w:spacing w:line="240" w:lineRule="auto"/>
              <w:jc w:val="center"/>
              <w:rPr>
                <w:rFonts w:cs="宋体"/>
                <w:bCs/>
                <w:color w:val="auto"/>
                <w:sz w:val="21"/>
                <w:szCs w:val="21"/>
                <w:highlight w:val="none"/>
                <w:lang w:val="zh-CN"/>
              </w:rPr>
            </w:pPr>
            <w:r>
              <w:rPr>
                <w:rFonts w:hint="eastAsia" w:cs="宋体"/>
                <w:bCs/>
                <w:color w:val="auto"/>
                <w:sz w:val="21"/>
                <w:szCs w:val="21"/>
                <w:highlight w:val="none"/>
              </w:rPr>
              <w:t>分项名称</w:t>
            </w:r>
          </w:p>
        </w:tc>
        <w:tc>
          <w:tcPr>
            <w:tcW w:w="714" w:type="dxa"/>
            <w:vAlign w:val="center"/>
          </w:tcPr>
          <w:p w14:paraId="0F661A73">
            <w:pPr>
              <w:spacing w:line="240" w:lineRule="auto"/>
              <w:jc w:val="center"/>
              <w:rPr>
                <w:rFonts w:cs="宋体"/>
                <w:bCs/>
                <w:color w:val="auto"/>
                <w:sz w:val="21"/>
                <w:szCs w:val="21"/>
                <w:highlight w:val="none"/>
                <w:lang w:val="zh-CN"/>
              </w:rPr>
            </w:pPr>
            <w:r>
              <w:rPr>
                <w:rFonts w:hint="eastAsia" w:cs="宋体"/>
                <w:bCs/>
                <w:color w:val="auto"/>
                <w:sz w:val="21"/>
                <w:szCs w:val="21"/>
                <w:highlight w:val="none"/>
              </w:rPr>
              <w:t>制造商</w:t>
            </w:r>
          </w:p>
        </w:tc>
        <w:tc>
          <w:tcPr>
            <w:tcW w:w="703" w:type="dxa"/>
            <w:vAlign w:val="center"/>
          </w:tcPr>
          <w:p w14:paraId="5B116DD7">
            <w:pPr>
              <w:spacing w:line="240" w:lineRule="auto"/>
              <w:jc w:val="center"/>
              <w:rPr>
                <w:rFonts w:cs="宋体"/>
                <w:bCs/>
                <w:color w:val="auto"/>
                <w:sz w:val="21"/>
                <w:szCs w:val="21"/>
                <w:highlight w:val="none"/>
                <w:lang w:val="zh-CN"/>
              </w:rPr>
            </w:pPr>
            <w:r>
              <w:rPr>
                <w:rFonts w:hint="eastAsia" w:cs="宋体"/>
                <w:bCs/>
                <w:color w:val="auto"/>
                <w:sz w:val="21"/>
                <w:szCs w:val="21"/>
                <w:highlight w:val="none"/>
              </w:rPr>
              <w:t>产地/国别</w:t>
            </w:r>
          </w:p>
        </w:tc>
        <w:tc>
          <w:tcPr>
            <w:tcW w:w="842" w:type="dxa"/>
            <w:vAlign w:val="center"/>
          </w:tcPr>
          <w:p w14:paraId="46AFB68F">
            <w:pPr>
              <w:spacing w:line="240" w:lineRule="auto"/>
              <w:jc w:val="center"/>
              <w:rPr>
                <w:rFonts w:cs="宋体"/>
                <w:bCs/>
                <w:color w:val="auto"/>
                <w:sz w:val="21"/>
                <w:szCs w:val="21"/>
                <w:highlight w:val="none"/>
              </w:rPr>
            </w:pPr>
            <w:r>
              <w:rPr>
                <w:rFonts w:hint="eastAsia" w:cs="宋体"/>
                <w:bCs/>
                <w:color w:val="auto"/>
                <w:sz w:val="21"/>
                <w:szCs w:val="21"/>
                <w:highlight w:val="none"/>
              </w:rPr>
              <w:t>制造商</w:t>
            </w:r>
          </w:p>
          <w:p w14:paraId="5DFB638A">
            <w:pPr>
              <w:spacing w:line="240" w:lineRule="auto"/>
              <w:jc w:val="center"/>
              <w:rPr>
                <w:rFonts w:cs="宋体"/>
                <w:bCs/>
                <w:color w:val="auto"/>
                <w:sz w:val="21"/>
                <w:szCs w:val="21"/>
                <w:highlight w:val="none"/>
                <w:lang w:val="zh-CN"/>
              </w:rPr>
            </w:pPr>
            <w:r>
              <w:rPr>
                <w:rFonts w:hint="eastAsia" w:cs="宋体"/>
                <w:bCs/>
                <w:color w:val="auto"/>
                <w:sz w:val="21"/>
                <w:szCs w:val="21"/>
                <w:highlight w:val="none"/>
              </w:rPr>
              <w:t>统一社会信用代码</w:t>
            </w:r>
          </w:p>
        </w:tc>
        <w:tc>
          <w:tcPr>
            <w:tcW w:w="690" w:type="dxa"/>
            <w:vAlign w:val="center"/>
          </w:tcPr>
          <w:p w14:paraId="10268BF0">
            <w:pPr>
              <w:spacing w:line="240" w:lineRule="auto"/>
              <w:jc w:val="center"/>
              <w:rPr>
                <w:rFonts w:cs="宋体"/>
                <w:bCs/>
                <w:color w:val="auto"/>
                <w:sz w:val="21"/>
                <w:szCs w:val="21"/>
                <w:highlight w:val="none"/>
                <w:lang w:val="zh-CN"/>
              </w:rPr>
            </w:pPr>
            <w:r>
              <w:rPr>
                <w:rFonts w:hint="eastAsia" w:cs="宋体"/>
                <w:bCs/>
                <w:color w:val="auto"/>
                <w:sz w:val="21"/>
                <w:szCs w:val="21"/>
                <w:highlight w:val="none"/>
              </w:rPr>
              <w:t>制造商规模</w:t>
            </w:r>
          </w:p>
        </w:tc>
        <w:tc>
          <w:tcPr>
            <w:tcW w:w="631" w:type="dxa"/>
            <w:vAlign w:val="center"/>
          </w:tcPr>
          <w:p w14:paraId="31D331C2">
            <w:pPr>
              <w:spacing w:line="240" w:lineRule="auto"/>
              <w:jc w:val="center"/>
              <w:rPr>
                <w:rFonts w:cs="宋体"/>
                <w:bCs/>
                <w:color w:val="auto"/>
                <w:sz w:val="21"/>
                <w:szCs w:val="21"/>
                <w:highlight w:val="none"/>
                <w:lang w:val="zh-CN"/>
              </w:rPr>
            </w:pPr>
            <w:r>
              <w:rPr>
                <w:rFonts w:hint="eastAsia" w:cs="宋体"/>
                <w:bCs/>
                <w:color w:val="auto"/>
                <w:sz w:val="21"/>
                <w:szCs w:val="21"/>
                <w:highlight w:val="none"/>
              </w:rPr>
              <w:t>品牌</w:t>
            </w:r>
          </w:p>
        </w:tc>
        <w:tc>
          <w:tcPr>
            <w:tcW w:w="957" w:type="dxa"/>
            <w:vAlign w:val="center"/>
          </w:tcPr>
          <w:p w14:paraId="0E28A277">
            <w:pPr>
              <w:spacing w:line="240" w:lineRule="auto"/>
              <w:jc w:val="center"/>
              <w:rPr>
                <w:rFonts w:cs="宋体"/>
                <w:bCs/>
                <w:color w:val="auto"/>
                <w:sz w:val="21"/>
                <w:szCs w:val="21"/>
                <w:highlight w:val="none"/>
                <w:lang w:val="zh-CN"/>
              </w:rPr>
            </w:pPr>
            <w:r>
              <w:rPr>
                <w:rFonts w:hint="eastAsia" w:cs="宋体"/>
                <w:bCs/>
                <w:color w:val="auto"/>
                <w:sz w:val="21"/>
                <w:szCs w:val="21"/>
                <w:highlight w:val="none"/>
              </w:rPr>
              <w:t>规格、型号</w:t>
            </w:r>
          </w:p>
        </w:tc>
        <w:tc>
          <w:tcPr>
            <w:tcW w:w="974" w:type="dxa"/>
            <w:vAlign w:val="center"/>
          </w:tcPr>
          <w:p w14:paraId="47ED718B">
            <w:pPr>
              <w:spacing w:line="240" w:lineRule="auto"/>
              <w:jc w:val="center"/>
              <w:rPr>
                <w:rFonts w:cs="宋体"/>
                <w:bCs/>
                <w:color w:val="auto"/>
                <w:sz w:val="21"/>
                <w:szCs w:val="21"/>
                <w:highlight w:val="none"/>
              </w:rPr>
            </w:pPr>
            <w:r>
              <w:rPr>
                <w:rFonts w:hint="eastAsia" w:cs="宋体"/>
                <w:bCs/>
                <w:color w:val="auto"/>
                <w:sz w:val="21"/>
                <w:szCs w:val="21"/>
                <w:highlight w:val="none"/>
              </w:rPr>
              <w:t>单价</w:t>
            </w:r>
          </w:p>
          <w:p w14:paraId="7B29B1D1">
            <w:pPr>
              <w:spacing w:line="240" w:lineRule="auto"/>
              <w:jc w:val="center"/>
              <w:rPr>
                <w:rFonts w:cs="宋体"/>
                <w:bCs/>
                <w:color w:val="auto"/>
                <w:sz w:val="21"/>
                <w:szCs w:val="21"/>
                <w:highlight w:val="none"/>
                <w:lang w:val="zh-CN"/>
              </w:rPr>
            </w:pPr>
            <w:r>
              <w:rPr>
                <w:rFonts w:hint="eastAsia" w:cs="宋体"/>
                <w:bCs/>
                <w:color w:val="auto"/>
                <w:sz w:val="21"/>
                <w:szCs w:val="21"/>
                <w:highlight w:val="none"/>
              </w:rPr>
              <w:t>（元）</w:t>
            </w:r>
          </w:p>
        </w:tc>
        <w:tc>
          <w:tcPr>
            <w:tcW w:w="655" w:type="dxa"/>
            <w:vAlign w:val="center"/>
          </w:tcPr>
          <w:p w14:paraId="09979458">
            <w:pPr>
              <w:spacing w:line="240" w:lineRule="auto"/>
              <w:jc w:val="center"/>
              <w:rPr>
                <w:rFonts w:cs="宋体"/>
                <w:bCs/>
                <w:color w:val="auto"/>
                <w:sz w:val="21"/>
                <w:szCs w:val="21"/>
                <w:highlight w:val="none"/>
                <w:lang w:val="zh-CN"/>
              </w:rPr>
            </w:pPr>
            <w:r>
              <w:rPr>
                <w:rFonts w:hint="eastAsia" w:cs="宋体"/>
                <w:bCs/>
                <w:color w:val="auto"/>
                <w:sz w:val="21"/>
                <w:szCs w:val="21"/>
                <w:highlight w:val="none"/>
              </w:rPr>
              <w:t>数量</w:t>
            </w:r>
          </w:p>
        </w:tc>
        <w:tc>
          <w:tcPr>
            <w:tcW w:w="1000" w:type="dxa"/>
            <w:vAlign w:val="center"/>
          </w:tcPr>
          <w:p w14:paraId="1722995C">
            <w:pPr>
              <w:spacing w:line="240" w:lineRule="auto"/>
              <w:jc w:val="center"/>
              <w:rPr>
                <w:rFonts w:cs="宋体"/>
                <w:bCs/>
                <w:color w:val="auto"/>
                <w:sz w:val="21"/>
                <w:szCs w:val="21"/>
                <w:highlight w:val="none"/>
              </w:rPr>
            </w:pPr>
            <w:r>
              <w:rPr>
                <w:rFonts w:hint="eastAsia" w:cs="宋体"/>
                <w:bCs/>
                <w:color w:val="auto"/>
                <w:sz w:val="21"/>
                <w:szCs w:val="21"/>
                <w:highlight w:val="none"/>
              </w:rPr>
              <w:t>合价</w:t>
            </w:r>
          </w:p>
          <w:p w14:paraId="25622A67">
            <w:pPr>
              <w:spacing w:line="240" w:lineRule="auto"/>
              <w:jc w:val="center"/>
              <w:rPr>
                <w:rFonts w:cs="宋体"/>
                <w:bCs/>
                <w:color w:val="auto"/>
                <w:sz w:val="21"/>
                <w:szCs w:val="21"/>
                <w:highlight w:val="none"/>
                <w:lang w:val="zh-CN"/>
              </w:rPr>
            </w:pPr>
            <w:r>
              <w:rPr>
                <w:rFonts w:hint="eastAsia" w:cs="宋体"/>
                <w:bCs/>
                <w:color w:val="auto"/>
                <w:sz w:val="21"/>
                <w:szCs w:val="21"/>
                <w:highlight w:val="none"/>
              </w:rPr>
              <w:t>（元）</w:t>
            </w:r>
          </w:p>
        </w:tc>
      </w:tr>
      <w:tr w14:paraId="1DBD0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43" w:type="dxa"/>
            <w:vAlign w:val="center"/>
          </w:tcPr>
          <w:p w14:paraId="4B96AAB5">
            <w:pPr>
              <w:jc w:val="center"/>
              <w:rPr>
                <w:rFonts w:cs="宋体"/>
                <w:bCs/>
                <w:color w:val="auto"/>
                <w:sz w:val="21"/>
                <w:szCs w:val="21"/>
                <w:highlight w:val="none"/>
              </w:rPr>
            </w:pPr>
            <w:r>
              <w:rPr>
                <w:rFonts w:hint="eastAsia" w:cs="宋体"/>
                <w:bCs/>
                <w:color w:val="auto"/>
                <w:sz w:val="21"/>
                <w:szCs w:val="21"/>
                <w:highlight w:val="none"/>
              </w:rPr>
              <w:t>1</w:t>
            </w:r>
          </w:p>
        </w:tc>
        <w:tc>
          <w:tcPr>
            <w:tcW w:w="713" w:type="dxa"/>
            <w:vAlign w:val="center"/>
          </w:tcPr>
          <w:p w14:paraId="6E1FB765">
            <w:pPr>
              <w:jc w:val="center"/>
              <w:rPr>
                <w:rFonts w:cs="宋体"/>
                <w:bCs/>
                <w:color w:val="auto"/>
                <w:sz w:val="21"/>
                <w:szCs w:val="21"/>
                <w:highlight w:val="none"/>
                <w:lang w:val="zh-CN"/>
              </w:rPr>
            </w:pPr>
          </w:p>
        </w:tc>
        <w:tc>
          <w:tcPr>
            <w:tcW w:w="714" w:type="dxa"/>
            <w:vAlign w:val="center"/>
          </w:tcPr>
          <w:p w14:paraId="51CB8F22">
            <w:pPr>
              <w:jc w:val="center"/>
              <w:rPr>
                <w:rFonts w:cs="宋体"/>
                <w:bCs/>
                <w:color w:val="auto"/>
                <w:sz w:val="21"/>
                <w:szCs w:val="21"/>
                <w:highlight w:val="none"/>
                <w:lang w:val="zh-CN"/>
              </w:rPr>
            </w:pPr>
          </w:p>
        </w:tc>
        <w:tc>
          <w:tcPr>
            <w:tcW w:w="703" w:type="dxa"/>
            <w:vAlign w:val="center"/>
          </w:tcPr>
          <w:p w14:paraId="093EE558">
            <w:pPr>
              <w:jc w:val="center"/>
              <w:rPr>
                <w:rFonts w:cs="宋体"/>
                <w:bCs/>
                <w:color w:val="auto"/>
                <w:sz w:val="21"/>
                <w:szCs w:val="21"/>
                <w:highlight w:val="none"/>
                <w:lang w:val="zh-CN"/>
              </w:rPr>
            </w:pPr>
          </w:p>
        </w:tc>
        <w:tc>
          <w:tcPr>
            <w:tcW w:w="842" w:type="dxa"/>
            <w:vAlign w:val="center"/>
          </w:tcPr>
          <w:p w14:paraId="4CF11A37">
            <w:pPr>
              <w:jc w:val="center"/>
              <w:rPr>
                <w:rFonts w:cs="宋体"/>
                <w:bCs/>
                <w:color w:val="auto"/>
                <w:sz w:val="21"/>
                <w:szCs w:val="21"/>
                <w:highlight w:val="none"/>
                <w:lang w:val="zh-CN"/>
              </w:rPr>
            </w:pPr>
          </w:p>
        </w:tc>
        <w:tc>
          <w:tcPr>
            <w:tcW w:w="690" w:type="dxa"/>
            <w:vAlign w:val="center"/>
          </w:tcPr>
          <w:p w14:paraId="58878120">
            <w:pPr>
              <w:jc w:val="center"/>
              <w:rPr>
                <w:rFonts w:cs="宋体"/>
                <w:bCs/>
                <w:color w:val="auto"/>
                <w:sz w:val="21"/>
                <w:szCs w:val="21"/>
                <w:highlight w:val="none"/>
                <w:lang w:val="zh-CN"/>
              </w:rPr>
            </w:pPr>
          </w:p>
        </w:tc>
        <w:tc>
          <w:tcPr>
            <w:tcW w:w="631" w:type="dxa"/>
            <w:vAlign w:val="center"/>
          </w:tcPr>
          <w:p w14:paraId="61719DF6">
            <w:pPr>
              <w:jc w:val="center"/>
              <w:rPr>
                <w:rFonts w:cs="宋体"/>
                <w:bCs/>
                <w:color w:val="auto"/>
                <w:sz w:val="21"/>
                <w:szCs w:val="21"/>
                <w:highlight w:val="none"/>
                <w:lang w:val="zh-CN"/>
              </w:rPr>
            </w:pPr>
          </w:p>
        </w:tc>
        <w:tc>
          <w:tcPr>
            <w:tcW w:w="957" w:type="dxa"/>
            <w:vAlign w:val="center"/>
          </w:tcPr>
          <w:p w14:paraId="5EC5D170">
            <w:pPr>
              <w:jc w:val="center"/>
              <w:rPr>
                <w:rFonts w:cs="宋体"/>
                <w:bCs/>
                <w:color w:val="auto"/>
                <w:sz w:val="21"/>
                <w:szCs w:val="21"/>
                <w:highlight w:val="none"/>
                <w:lang w:val="zh-CN"/>
              </w:rPr>
            </w:pPr>
          </w:p>
        </w:tc>
        <w:tc>
          <w:tcPr>
            <w:tcW w:w="974" w:type="dxa"/>
            <w:vAlign w:val="center"/>
          </w:tcPr>
          <w:p w14:paraId="6600A52E">
            <w:pPr>
              <w:jc w:val="center"/>
              <w:rPr>
                <w:rFonts w:cs="宋体"/>
                <w:bCs/>
                <w:color w:val="auto"/>
                <w:sz w:val="21"/>
                <w:szCs w:val="21"/>
                <w:highlight w:val="none"/>
                <w:lang w:val="zh-CN"/>
              </w:rPr>
            </w:pPr>
          </w:p>
        </w:tc>
        <w:tc>
          <w:tcPr>
            <w:tcW w:w="655" w:type="dxa"/>
            <w:vAlign w:val="center"/>
          </w:tcPr>
          <w:p w14:paraId="41CDBA57">
            <w:pPr>
              <w:jc w:val="center"/>
              <w:rPr>
                <w:rFonts w:cs="宋体"/>
                <w:bCs/>
                <w:color w:val="auto"/>
                <w:sz w:val="21"/>
                <w:szCs w:val="21"/>
                <w:highlight w:val="none"/>
                <w:lang w:val="zh-CN"/>
              </w:rPr>
            </w:pPr>
          </w:p>
        </w:tc>
        <w:tc>
          <w:tcPr>
            <w:tcW w:w="1000" w:type="dxa"/>
            <w:vAlign w:val="center"/>
          </w:tcPr>
          <w:p w14:paraId="0C727346">
            <w:pPr>
              <w:jc w:val="center"/>
              <w:rPr>
                <w:rFonts w:cs="宋体"/>
                <w:bCs/>
                <w:color w:val="auto"/>
                <w:sz w:val="21"/>
                <w:szCs w:val="21"/>
                <w:highlight w:val="none"/>
                <w:lang w:val="zh-CN"/>
              </w:rPr>
            </w:pPr>
          </w:p>
        </w:tc>
      </w:tr>
      <w:tr w14:paraId="22BEC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43" w:type="dxa"/>
            <w:vAlign w:val="center"/>
          </w:tcPr>
          <w:p w14:paraId="787BEE8D">
            <w:pPr>
              <w:jc w:val="center"/>
              <w:rPr>
                <w:rFonts w:cs="宋体"/>
                <w:bCs/>
                <w:color w:val="auto"/>
                <w:sz w:val="21"/>
                <w:szCs w:val="21"/>
                <w:highlight w:val="none"/>
              </w:rPr>
            </w:pPr>
            <w:r>
              <w:rPr>
                <w:rFonts w:hint="eastAsia" w:cs="宋体"/>
                <w:bCs/>
                <w:color w:val="auto"/>
                <w:sz w:val="21"/>
                <w:szCs w:val="21"/>
                <w:highlight w:val="none"/>
              </w:rPr>
              <w:t>2</w:t>
            </w:r>
          </w:p>
        </w:tc>
        <w:tc>
          <w:tcPr>
            <w:tcW w:w="713" w:type="dxa"/>
            <w:vAlign w:val="center"/>
          </w:tcPr>
          <w:p w14:paraId="457B80F2">
            <w:pPr>
              <w:jc w:val="center"/>
              <w:rPr>
                <w:rFonts w:cs="宋体"/>
                <w:bCs/>
                <w:color w:val="auto"/>
                <w:sz w:val="21"/>
                <w:szCs w:val="21"/>
                <w:highlight w:val="none"/>
                <w:lang w:val="zh-CN"/>
              </w:rPr>
            </w:pPr>
          </w:p>
        </w:tc>
        <w:tc>
          <w:tcPr>
            <w:tcW w:w="714" w:type="dxa"/>
            <w:vAlign w:val="center"/>
          </w:tcPr>
          <w:p w14:paraId="2E0EA925">
            <w:pPr>
              <w:jc w:val="center"/>
              <w:rPr>
                <w:rFonts w:cs="宋体"/>
                <w:bCs/>
                <w:color w:val="auto"/>
                <w:sz w:val="21"/>
                <w:szCs w:val="21"/>
                <w:highlight w:val="none"/>
                <w:lang w:val="zh-CN"/>
              </w:rPr>
            </w:pPr>
          </w:p>
        </w:tc>
        <w:tc>
          <w:tcPr>
            <w:tcW w:w="703" w:type="dxa"/>
            <w:vAlign w:val="center"/>
          </w:tcPr>
          <w:p w14:paraId="037BB322">
            <w:pPr>
              <w:jc w:val="center"/>
              <w:rPr>
                <w:rFonts w:cs="宋体"/>
                <w:bCs/>
                <w:color w:val="auto"/>
                <w:sz w:val="21"/>
                <w:szCs w:val="21"/>
                <w:highlight w:val="none"/>
                <w:lang w:val="zh-CN"/>
              </w:rPr>
            </w:pPr>
          </w:p>
        </w:tc>
        <w:tc>
          <w:tcPr>
            <w:tcW w:w="842" w:type="dxa"/>
            <w:vAlign w:val="center"/>
          </w:tcPr>
          <w:p w14:paraId="3B93C5CA">
            <w:pPr>
              <w:jc w:val="center"/>
              <w:rPr>
                <w:rFonts w:cs="宋体"/>
                <w:bCs/>
                <w:color w:val="auto"/>
                <w:sz w:val="21"/>
                <w:szCs w:val="21"/>
                <w:highlight w:val="none"/>
                <w:lang w:val="zh-CN"/>
              </w:rPr>
            </w:pPr>
          </w:p>
        </w:tc>
        <w:tc>
          <w:tcPr>
            <w:tcW w:w="690" w:type="dxa"/>
            <w:vAlign w:val="center"/>
          </w:tcPr>
          <w:p w14:paraId="2F17B731">
            <w:pPr>
              <w:jc w:val="center"/>
              <w:rPr>
                <w:rFonts w:cs="宋体"/>
                <w:bCs/>
                <w:color w:val="auto"/>
                <w:sz w:val="21"/>
                <w:szCs w:val="21"/>
                <w:highlight w:val="none"/>
                <w:lang w:val="zh-CN"/>
              </w:rPr>
            </w:pPr>
          </w:p>
        </w:tc>
        <w:tc>
          <w:tcPr>
            <w:tcW w:w="631" w:type="dxa"/>
            <w:vAlign w:val="center"/>
          </w:tcPr>
          <w:p w14:paraId="3BDBA05A">
            <w:pPr>
              <w:jc w:val="center"/>
              <w:rPr>
                <w:rFonts w:cs="宋体"/>
                <w:bCs/>
                <w:color w:val="auto"/>
                <w:sz w:val="21"/>
                <w:szCs w:val="21"/>
                <w:highlight w:val="none"/>
                <w:lang w:val="zh-CN"/>
              </w:rPr>
            </w:pPr>
          </w:p>
        </w:tc>
        <w:tc>
          <w:tcPr>
            <w:tcW w:w="957" w:type="dxa"/>
            <w:vAlign w:val="center"/>
          </w:tcPr>
          <w:p w14:paraId="73A37675">
            <w:pPr>
              <w:jc w:val="center"/>
              <w:rPr>
                <w:rFonts w:cs="宋体"/>
                <w:bCs/>
                <w:color w:val="auto"/>
                <w:sz w:val="21"/>
                <w:szCs w:val="21"/>
                <w:highlight w:val="none"/>
                <w:lang w:val="zh-CN"/>
              </w:rPr>
            </w:pPr>
          </w:p>
        </w:tc>
        <w:tc>
          <w:tcPr>
            <w:tcW w:w="974" w:type="dxa"/>
            <w:vAlign w:val="center"/>
          </w:tcPr>
          <w:p w14:paraId="61045792">
            <w:pPr>
              <w:jc w:val="center"/>
              <w:rPr>
                <w:rFonts w:cs="宋体"/>
                <w:bCs/>
                <w:color w:val="auto"/>
                <w:sz w:val="21"/>
                <w:szCs w:val="21"/>
                <w:highlight w:val="none"/>
                <w:lang w:val="zh-CN"/>
              </w:rPr>
            </w:pPr>
          </w:p>
        </w:tc>
        <w:tc>
          <w:tcPr>
            <w:tcW w:w="655" w:type="dxa"/>
            <w:vAlign w:val="center"/>
          </w:tcPr>
          <w:p w14:paraId="7EA0599F">
            <w:pPr>
              <w:jc w:val="center"/>
              <w:rPr>
                <w:rFonts w:cs="宋体"/>
                <w:bCs/>
                <w:color w:val="auto"/>
                <w:sz w:val="21"/>
                <w:szCs w:val="21"/>
                <w:highlight w:val="none"/>
                <w:lang w:val="zh-CN"/>
              </w:rPr>
            </w:pPr>
          </w:p>
        </w:tc>
        <w:tc>
          <w:tcPr>
            <w:tcW w:w="1000" w:type="dxa"/>
            <w:vAlign w:val="center"/>
          </w:tcPr>
          <w:p w14:paraId="689B23F1">
            <w:pPr>
              <w:jc w:val="center"/>
              <w:rPr>
                <w:rFonts w:cs="宋体"/>
                <w:bCs/>
                <w:color w:val="auto"/>
                <w:sz w:val="21"/>
                <w:szCs w:val="21"/>
                <w:highlight w:val="none"/>
                <w:lang w:val="zh-CN"/>
              </w:rPr>
            </w:pPr>
          </w:p>
        </w:tc>
      </w:tr>
      <w:tr w14:paraId="28BF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43" w:type="dxa"/>
            <w:vAlign w:val="center"/>
          </w:tcPr>
          <w:p w14:paraId="0BC15B23">
            <w:pPr>
              <w:jc w:val="center"/>
              <w:rPr>
                <w:rFonts w:cs="宋体"/>
                <w:bCs/>
                <w:color w:val="auto"/>
                <w:sz w:val="21"/>
                <w:szCs w:val="21"/>
                <w:highlight w:val="none"/>
              </w:rPr>
            </w:pPr>
            <w:r>
              <w:rPr>
                <w:rFonts w:hint="eastAsia" w:cs="宋体"/>
                <w:bCs/>
                <w:color w:val="auto"/>
                <w:sz w:val="21"/>
                <w:szCs w:val="21"/>
                <w:highlight w:val="none"/>
              </w:rPr>
              <w:t>3</w:t>
            </w:r>
          </w:p>
        </w:tc>
        <w:tc>
          <w:tcPr>
            <w:tcW w:w="713" w:type="dxa"/>
            <w:vAlign w:val="center"/>
          </w:tcPr>
          <w:p w14:paraId="13D202D8">
            <w:pPr>
              <w:jc w:val="center"/>
              <w:rPr>
                <w:rFonts w:cs="宋体"/>
                <w:bCs/>
                <w:color w:val="auto"/>
                <w:sz w:val="21"/>
                <w:szCs w:val="21"/>
                <w:highlight w:val="none"/>
                <w:lang w:val="zh-CN"/>
              </w:rPr>
            </w:pPr>
          </w:p>
        </w:tc>
        <w:tc>
          <w:tcPr>
            <w:tcW w:w="714" w:type="dxa"/>
            <w:vAlign w:val="center"/>
          </w:tcPr>
          <w:p w14:paraId="7AC3C3A0">
            <w:pPr>
              <w:jc w:val="center"/>
              <w:rPr>
                <w:rFonts w:cs="宋体"/>
                <w:bCs/>
                <w:color w:val="auto"/>
                <w:sz w:val="21"/>
                <w:szCs w:val="21"/>
                <w:highlight w:val="none"/>
                <w:lang w:val="zh-CN"/>
              </w:rPr>
            </w:pPr>
          </w:p>
        </w:tc>
        <w:tc>
          <w:tcPr>
            <w:tcW w:w="703" w:type="dxa"/>
            <w:vAlign w:val="center"/>
          </w:tcPr>
          <w:p w14:paraId="4334C2F1">
            <w:pPr>
              <w:jc w:val="center"/>
              <w:rPr>
                <w:rFonts w:cs="宋体"/>
                <w:bCs/>
                <w:color w:val="auto"/>
                <w:sz w:val="21"/>
                <w:szCs w:val="21"/>
                <w:highlight w:val="none"/>
                <w:lang w:val="zh-CN"/>
              </w:rPr>
            </w:pPr>
          </w:p>
        </w:tc>
        <w:tc>
          <w:tcPr>
            <w:tcW w:w="842" w:type="dxa"/>
            <w:vAlign w:val="center"/>
          </w:tcPr>
          <w:p w14:paraId="5A276E17">
            <w:pPr>
              <w:jc w:val="center"/>
              <w:rPr>
                <w:rFonts w:cs="宋体"/>
                <w:bCs/>
                <w:color w:val="auto"/>
                <w:sz w:val="21"/>
                <w:szCs w:val="21"/>
                <w:highlight w:val="none"/>
                <w:lang w:val="zh-CN"/>
              </w:rPr>
            </w:pPr>
          </w:p>
        </w:tc>
        <w:tc>
          <w:tcPr>
            <w:tcW w:w="690" w:type="dxa"/>
            <w:vAlign w:val="center"/>
          </w:tcPr>
          <w:p w14:paraId="35B760B1">
            <w:pPr>
              <w:jc w:val="center"/>
              <w:rPr>
                <w:rFonts w:cs="宋体"/>
                <w:bCs/>
                <w:color w:val="auto"/>
                <w:sz w:val="21"/>
                <w:szCs w:val="21"/>
                <w:highlight w:val="none"/>
                <w:lang w:val="zh-CN"/>
              </w:rPr>
            </w:pPr>
          </w:p>
        </w:tc>
        <w:tc>
          <w:tcPr>
            <w:tcW w:w="631" w:type="dxa"/>
            <w:vAlign w:val="center"/>
          </w:tcPr>
          <w:p w14:paraId="57053533">
            <w:pPr>
              <w:jc w:val="center"/>
              <w:rPr>
                <w:rFonts w:cs="宋体"/>
                <w:bCs/>
                <w:color w:val="auto"/>
                <w:sz w:val="21"/>
                <w:szCs w:val="21"/>
                <w:highlight w:val="none"/>
                <w:lang w:val="zh-CN"/>
              </w:rPr>
            </w:pPr>
          </w:p>
        </w:tc>
        <w:tc>
          <w:tcPr>
            <w:tcW w:w="957" w:type="dxa"/>
            <w:vAlign w:val="center"/>
          </w:tcPr>
          <w:p w14:paraId="7DD6C9A1">
            <w:pPr>
              <w:jc w:val="center"/>
              <w:rPr>
                <w:rFonts w:cs="宋体"/>
                <w:bCs/>
                <w:color w:val="auto"/>
                <w:sz w:val="21"/>
                <w:szCs w:val="21"/>
                <w:highlight w:val="none"/>
                <w:lang w:val="zh-CN"/>
              </w:rPr>
            </w:pPr>
          </w:p>
        </w:tc>
        <w:tc>
          <w:tcPr>
            <w:tcW w:w="974" w:type="dxa"/>
            <w:vAlign w:val="center"/>
          </w:tcPr>
          <w:p w14:paraId="3402191B">
            <w:pPr>
              <w:jc w:val="center"/>
              <w:rPr>
                <w:rFonts w:cs="宋体"/>
                <w:bCs/>
                <w:color w:val="auto"/>
                <w:sz w:val="21"/>
                <w:szCs w:val="21"/>
                <w:highlight w:val="none"/>
                <w:lang w:val="zh-CN"/>
              </w:rPr>
            </w:pPr>
          </w:p>
        </w:tc>
        <w:tc>
          <w:tcPr>
            <w:tcW w:w="655" w:type="dxa"/>
            <w:vAlign w:val="center"/>
          </w:tcPr>
          <w:p w14:paraId="4F89DEC6">
            <w:pPr>
              <w:jc w:val="center"/>
              <w:rPr>
                <w:rFonts w:cs="宋体"/>
                <w:bCs/>
                <w:color w:val="auto"/>
                <w:sz w:val="21"/>
                <w:szCs w:val="21"/>
                <w:highlight w:val="none"/>
                <w:lang w:val="zh-CN"/>
              </w:rPr>
            </w:pPr>
          </w:p>
        </w:tc>
        <w:tc>
          <w:tcPr>
            <w:tcW w:w="1000" w:type="dxa"/>
            <w:vAlign w:val="center"/>
          </w:tcPr>
          <w:p w14:paraId="77343415">
            <w:pPr>
              <w:jc w:val="center"/>
              <w:rPr>
                <w:rFonts w:cs="宋体"/>
                <w:bCs/>
                <w:color w:val="auto"/>
                <w:sz w:val="21"/>
                <w:szCs w:val="21"/>
                <w:highlight w:val="none"/>
                <w:lang w:val="zh-CN"/>
              </w:rPr>
            </w:pPr>
          </w:p>
        </w:tc>
      </w:tr>
      <w:tr w14:paraId="0DC3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43" w:type="dxa"/>
            <w:vAlign w:val="center"/>
          </w:tcPr>
          <w:p w14:paraId="439E457D">
            <w:pPr>
              <w:jc w:val="center"/>
              <w:rPr>
                <w:rFonts w:cs="宋体"/>
                <w:bCs/>
                <w:color w:val="auto"/>
                <w:sz w:val="21"/>
                <w:szCs w:val="21"/>
                <w:highlight w:val="none"/>
              </w:rPr>
            </w:pPr>
            <w:r>
              <w:rPr>
                <w:rFonts w:hint="eastAsia" w:cs="宋体"/>
                <w:bCs/>
                <w:color w:val="auto"/>
                <w:sz w:val="21"/>
                <w:szCs w:val="21"/>
                <w:highlight w:val="none"/>
              </w:rPr>
              <w:t>4</w:t>
            </w:r>
          </w:p>
        </w:tc>
        <w:tc>
          <w:tcPr>
            <w:tcW w:w="713" w:type="dxa"/>
            <w:vAlign w:val="center"/>
          </w:tcPr>
          <w:p w14:paraId="29DCA4D4">
            <w:pPr>
              <w:jc w:val="center"/>
              <w:rPr>
                <w:rFonts w:cs="宋体"/>
                <w:bCs/>
                <w:color w:val="auto"/>
                <w:sz w:val="21"/>
                <w:szCs w:val="21"/>
                <w:highlight w:val="none"/>
                <w:lang w:val="zh-CN"/>
              </w:rPr>
            </w:pPr>
          </w:p>
        </w:tc>
        <w:tc>
          <w:tcPr>
            <w:tcW w:w="714" w:type="dxa"/>
            <w:vAlign w:val="center"/>
          </w:tcPr>
          <w:p w14:paraId="10AC1962">
            <w:pPr>
              <w:jc w:val="center"/>
              <w:rPr>
                <w:rFonts w:cs="宋体"/>
                <w:bCs/>
                <w:color w:val="auto"/>
                <w:sz w:val="21"/>
                <w:szCs w:val="21"/>
                <w:highlight w:val="none"/>
                <w:lang w:val="zh-CN"/>
              </w:rPr>
            </w:pPr>
          </w:p>
        </w:tc>
        <w:tc>
          <w:tcPr>
            <w:tcW w:w="703" w:type="dxa"/>
            <w:vAlign w:val="center"/>
          </w:tcPr>
          <w:p w14:paraId="35567934">
            <w:pPr>
              <w:jc w:val="center"/>
              <w:rPr>
                <w:rFonts w:cs="宋体"/>
                <w:bCs/>
                <w:color w:val="auto"/>
                <w:sz w:val="21"/>
                <w:szCs w:val="21"/>
                <w:highlight w:val="none"/>
                <w:lang w:val="zh-CN"/>
              </w:rPr>
            </w:pPr>
          </w:p>
        </w:tc>
        <w:tc>
          <w:tcPr>
            <w:tcW w:w="842" w:type="dxa"/>
            <w:vAlign w:val="center"/>
          </w:tcPr>
          <w:p w14:paraId="517486FF">
            <w:pPr>
              <w:jc w:val="center"/>
              <w:rPr>
                <w:rFonts w:cs="宋体"/>
                <w:bCs/>
                <w:color w:val="auto"/>
                <w:sz w:val="21"/>
                <w:szCs w:val="21"/>
                <w:highlight w:val="none"/>
                <w:lang w:val="zh-CN"/>
              </w:rPr>
            </w:pPr>
          </w:p>
        </w:tc>
        <w:tc>
          <w:tcPr>
            <w:tcW w:w="690" w:type="dxa"/>
            <w:vAlign w:val="center"/>
          </w:tcPr>
          <w:p w14:paraId="7E6BCCEF">
            <w:pPr>
              <w:jc w:val="center"/>
              <w:rPr>
                <w:rFonts w:cs="宋体"/>
                <w:bCs/>
                <w:color w:val="auto"/>
                <w:sz w:val="21"/>
                <w:szCs w:val="21"/>
                <w:highlight w:val="none"/>
                <w:lang w:val="zh-CN"/>
              </w:rPr>
            </w:pPr>
          </w:p>
        </w:tc>
        <w:tc>
          <w:tcPr>
            <w:tcW w:w="631" w:type="dxa"/>
            <w:vAlign w:val="center"/>
          </w:tcPr>
          <w:p w14:paraId="08A1E709">
            <w:pPr>
              <w:jc w:val="center"/>
              <w:rPr>
                <w:rFonts w:cs="宋体"/>
                <w:bCs/>
                <w:color w:val="auto"/>
                <w:sz w:val="21"/>
                <w:szCs w:val="21"/>
                <w:highlight w:val="none"/>
                <w:lang w:val="zh-CN"/>
              </w:rPr>
            </w:pPr>
          </w:p>
        </w:tc>
        <w:tc>
          <w:tcPr>
            <w:tcW w:w="957" w:type="dxa"/>
            <w:vAlign w:val="center"/>
          </w:tcPr>
          <w:p w14:paraId="462901A3">
            <w:pPr>
              <w:jc w:val="center"/>
              <w:rPr>
                <w:rFonts w:cs="宋体"/>
                <w:bCs/>
                <w:color w:val="auto"/>
                <w:sz w:val="21"/>
                <w:szCs w:val="21"/>
                <w:highlight w:val="none"/>
                <w:lang w:val="zh-CN"/>
              </w:rPr>
            </w:pPr>
          </w:p>
        </w:tc>
        <w:tc>
          <w:tcPr>
            <w:tcW w:w="974" w:type="dxa"/>
            <w:vAlign w:val="center"/>
          </w:tcPr>
          <w:p w14:paraId="2E309AFD">
            <w:pPr>
              <w:jc w:val="center"/>
              <w:rPr>
                <w:rFonts w:cs="宋体"/>
                <w:bCs/>
                <w:color w:val="auto"/>
                <w:sz w:val="21"/>
                <w:szCs w:val="21"/>
                <w:highlight w:val="none"/>
                <w:lang w:val="zh-CN"/>
              </w:rPr>
            </w:pPr>
          </w:p>
        </w:tc>
        <w:tc>
          <w:tcPr>
            <w:tcW w:w="655" w:type="dxa"/>
            <w:vAlign w:val="center"/>
          </w:tcPr>
          <w:p w14:paraId="19B6AE69">
            <w:pPr>
              <w:jc w:val="center"/>
              <w:rPr>
                <w:rFonts w:cs="宋体"/>
                <w:bCs/>
                <w:color w:val="auto"/>
                <w:sz w:val="21"/>
                <w:szCs w:val="21"/>
                <w:highlight w:val="none"/>
                <w:lang w:val="zh-CN"/>
              </w:rPr>
            </w:pPr>
          </w:p>
        </w:tc>
        <w:tc>
          <w:tcPr>
            <w:tcW w:w="1000" w:type="dxa"/>
            <w:vAlign w:val="center"/>
          </w:tcPr>
          <w:p w14:paraId="104DA519">
            <w:pPr>
              <w:jc w:val="center"/>
              <w:rPr>
                <w:rFonts w:cs="宋体"/>
                <w:bCs/>
                <w:color w:val="auto"/>
                <w:sz w:val="21"/>
                <w:szCs w:val="21"/>
                <w:highlight w:val="none"/>
                <w:lang w:val="zh-CN"/>
              </w:rPr>
            </w:pPr>
          </w:p>
        </w:tc>
      </w:tr>
      <w:tr w14:paraId="1CA0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43" w:type="dxa"/>
            <w:vAlign w:val="center"/>
          </w:tcPr>
          <w:p w14:paraId="1EC6147B">
            <w:pPr>
              <w:jc w:val="center"/>
              <w:rPr>
                <w:rFonts w:cs="宋体"/>
                <w:bCs/>
                <w:color w:val="auto"/>
                <w:sz w:val="21"/>
                <w:szCs w:val="21"/>
                <w:highlight w:val="none"/>
              </w:rPr>
            </w:pPr>
            <w:r>
              <w:rPr>
                <w:rFonts w:hint="eastAsia" w:cs="宋体"/>
                <w:bCs/>
                <w:color w:val="auto"/>
                <w:sz w:val="21"/>
                <w:szCs w:val="21"/>
                <w:highlight w:val="none"/>
              </w:rPr>
              <w:t>5</w:t>
            </w:r>
          </w:p>
        </w:tc>
        <w:tc>
          <w:tcPr>
            <w:tcW w:w="713" w:type="dxa"/>
            <w:vAlign w:val="center"/>
          </w:tcPr>
          <w:p w14:paraId="300C7E4A">
            <w:pPr>
              <w:jc w:val="center"/>
              <w:rPr>
                <w:rFonts w:cs="宋体"/>
                <w:bCs/>
                <w:color w:val="auto"/>
                <w:sz w:val="21"/>
                <w:szCs w:val="21"/>
                <w:highlight w:val="none"/>
                <w:lang w:val="zh-CN"/>
              </w:rPr>
            </w:pPr>
          </w:p>
        </w:tc>
        <w:tc>
          <w:tcPr>
            <w:tcW w:w="714" w:type="dxa"/>
            <w:vAlign w:val="center"/>
          </w:tcPr>
          <w:p w14:paraId="6A559AEC">
            <w:pPr>
              <w:jc w:val="center"/>
              <w:rPr>
                <w:rFonts w:cs="宋体"/>
                <w:bCs/>
                <w:color w:val="auto"/>
                <w:sz w:val="21"/>
                <w:szCs w:val="21"/>
                <w:highlight w:val="none"/>
                <w:lang w:val="zh-CN"/>
              </w:rPr>
            </w:pPr>
          </w:p>
        </w:tc>
        <w:tc>
          <w:tcPr>
            <w:tcW w:w="703" w:type="dxa"/>
            <w:vAlign w:val="center"/>
          </w:tcPr>
          <w:p w14:paraId="712538DB">
            <w:pPr>
              <w:jc w:val="center"/>
              <w:rPr>
                <w:rFonts w:cs="宋体"/>
                <w:bCs/>
                <w:color w:val="auto"/>
                <w:sz w:val="21"/>
                <w:szCs w:val="21"/>
                <w:highlight w:val="none"/>
                <w:lang w:val="zh-CN"/>
              </w:rPr>
            </w:pPr>
          </w:p>
        </w:tc>
        <w:tc>
          <w:tcPr>
            <w:tcW w:w="842" w:type="dxa"/>
            <w:vAlign w:val="center"/>
          </w:tcPr>
          <w:p w14:paraId="3C0323B1">
            <w:pPr>
              <w:jc w:val="center"/>
              <w:rPr>
                <w:rFonts w:cs="宋体"/>
                <w:bCs/>
                <w:color w:val="auto"/>
                <w:sz w:val="21"/>
                <w:szCs w:val="21"/>
                <w:highlight w:val="none"/>
                <w:lang w:val="zh-CN"/>
              </w:rPr>
            </w:pPr>
          </w:p>
        </w:tc>
        <w:tc>
          <w:tcPr>
            <w:tcW w:w="690" w:type="dxa"/>
            <w:vAlign w:val="center"/>
          </w:tcPr>
          <w:p w14:paraId="5F7D19FC">
            <w:pPr>
              <w:jc w:val="center"/>
              <w:rPr>
                <w:rFonts w:cs="宋体"/>
                <w:bCs/>
                <w:color w:val="auto"/>
                <w:sz w:val="21"/>
                <w:szCs w:val="21"/>
                <w:highlight w:val="none"/>
                <w:lang w:val="zh-CN"/>
              </w:rPr>
            </w:pPr>
          </w:p>
        </w:tc>
        <w:tc>
          <w:tcPr>
            <w:tcW w:w="631" w:type="dxa"/>
            <w:vAlign w:val="center"/>
          </w:tcPr>
          <w:p w14:paraId="5D5ACCD6">
            <w:pPr>
              <w:jc w:val="center"/>
              <w:rPr>
                <w:rFonts w:cs="宋体"/>
                <w:bCs/>
                <w:color w:val="auto"/>
                <w:sz w:val="21"/>
                <w:szCs w:val="21"/>
                <w:highlight w:val="none"/>
                <w:lang w:val="zh-CN"/>
              </w:rPr>
            </w:pPr>
          </w:p>
        </w:tc>
        <w:tc>
          <w:tcPr>
            <w:tcW w:w="957" w:type="dxa"/>
            <w:vAlign w:val="center"/>
          </w:tcPr>
          <w:p w14:paraId="7F7103FB">
            <w:pPr>
              <w:jc w:val="center"/>
              <w:rPr>
                <w:rFonts w:cs="宋体"/>
                <w:bCs/>
                <w:color w:val="auto"/>
                <w:sz w:val="21"/>
                <w:szCs w:val="21"/>
                <w:highlight w:val="none"/>
                <w:lang w:val="zh-CN"/>
              </w:rPr>
            </w:pPr>
          </w:p>
        </w:tc>
        <w:tc>
          <w:tcPr>
            <w:tcW w:w="974" w:type="dxa"/>
            <w:vAlign w:val="center"/>
          </w:tcPr>
          <w:p w14:paraId="2DB2B703">
            <w:pPr>
              <w:jc w:val="center"/>
              <w:rPr>
                <w:rFonts w:cs="宋体"/>
                <w:bCs/>
                <w:color w:val="auto"/>
                <w:sz w:val="21"/>
                <w:szCs w:val="21"/>
                <w:highlight w:val="none"/>
                <w:lang w:val="zh-CN"/>
              </w:rPr>
            </w:pPr>
          </w:p>
        </w:tc>
        <w:tc>
          <w:tcPr>
            <w:tcW w:w="655" w:type="dxa"/>
            <w:vAlign w:val="center"/>
          </w:tcPr>
          <w:p w14:paraId="3C23A71C">
            <w:pPr>
              <w:jc w:val="center"/>
              <w:rPr>
                <w:rFonts w:cs="宋体"/>
                <w:bCs/>
                <w:color w:val="auto"/>
                <w:sz w:val="21"/>
                <w:szCs w:val="21"/>
                <w:highlight w:val="none"/>
                <w:lang w:val="zh-CN"/>
              </w:rPr>
            </w:pPr>
          </w:p>
        </w:tc>
        <w:tc>
          <w:tcPr>
            <w:tcW w:w="1000" w:type="dxa"/>
            <w:vAlign w:val="center"/>
          </w:tcPr>
          <w:p w14:paraId="3ECEBFC7">
            <w:pPr>
              <w:jc w:val="center"/>
              <w:rPr>
                <w:rFonts w:cs="宋体"/>
                <w:bCs/>
                <w:color w:val="auto"/>
                <w:sz w:val="21"/>
                <w:szCs w:val="21"/>
                <w:highlight w:val="none"/>
                <w:lang w:val="zh-CN"/>
              </w:rPr>
            </w:pPr>
          </w:p>
        </w:tc>
      </w:tr>
      <w:tr w14:paraId="346C5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43" w:type="dxa"/>
            <w:vAlign w:val="center"/>
          </w:tcPr>
          <w:p w14:paraId="43AADA70">
            <w:pPr>
              <w:jc w:val="center"/>
              <w:rPr>
                <w:rFonts w:cs="宋体"/>
                <w:bCs/>
                <w:color w:val="auto"/>
                <w:sz w:val="21"/>
                <w:szCs w:val="21"/>
                <w:highlight w:val="none"/>
              </w:rPr>
            </w:pPr>
            <w:r>
              <w:rPr>
                <w:rFonts w:hint="eastAsia" w:cs="宋体"/>
                <w:bCs/>
                <w:color w:val="auto"/>
                <w:sz w:val="21"/>
                <w:szCs w:val="21"/>
                <w:highlight w:val="none"/>
              </w:rPr>
              <w:t>6</w:t>
            </w:r>
          </w:p>
        </w:tc>
        <w:tc>
          <w:tcPr>
            <w:tcW w:w="713" w:type="dxa"/>
            <w:vAlign w:val="center"/>
          </w:tcPr>
          <w:p w14:paraId="0C8ACE63">
            <w:pPr>
              <w:jc w:val="center"/>
              <w:rPr>
                <w:rFonts w:cs="宋体"/>
                <w:bCs/>
                <w:color w:val="auto"/>
                <w:sz w:val="21"/>
                <w:szCs w:val="21"/>
                <w:highlight w:val="none"/>
                <w:lang w:val="zh-CN"/>
              </w:rPr>
            </w:pPr>
          </w:p>
        </w:tc>
        <w:tc>
          <w:tcPr>
            <w:tcW w:w="714" w:type="dxa"/>
            <w:vAlign w:val="center"/>
          </w:tcPr>
          <w:p w14:paraId="441C5B52">
            <w:pPr>
              <w:jc w:val="center"/>
              <w:rPr>
                <w:rFonts w:cs="宋体"/>
                <w:bCs/>
                <w:color w:val="auto"/>
                <w:sz w:val="21"/>
                <w:szCs w:val="21"/>
                <w:highlight w:val="none"/>
                <w:lang w:val="zh-CN"/>
              </w:rPr>
            </w:pPr>
          </w:p>
        </w:tc>
        <w:tc>
          <w:tcPr>
            <w:tcW w:w="703" w:type="dxa"/>
            <w:vAlign w:val="center"/>
          </w:tcPr>
          <w:p w14:paraId="0EE82AD7">
            <w:pPr>
              <w:jc w:val="center"/>
              <w:rPr>
                <w:rFonts w:cs="宋体"/>
                <w:bCs/>
                <w:color w:val="auto"/>
                <w:sz w:val="21"/>
                <w:szCs w:val="21"/>
                <w:highlight w:val="none"/>
                <w:lang w:val="zh-CN"/>
              </w:rPr>
            </w:pPr>
          </w:p>
        </w:tc>
        <w:tc>
          <w:tcPr>
            <w:tcW w:w="842" w:type="dxa"/>
            <w:vAlign w:val="center"/>
          </w:tcPr>
          <w:p w14:paraId="7BC0299B">
            <w:pPr>
              <w:jc w:val="center"/>
              <w:rPr>
                <w:rFonts w:cs="宋体"/>
                <w:bCs/>
                <w:color w:val="auto"/>
                <w:sz w:val="21"/>
                <w:szCs w:val="21"/>
                <w:highlight w:val="none"/>
                <w:lang w:val="zh-CN"/>
              </w:rPr>
            </w:pPr>
          </w:p>
        </w:tc>
        <w:tc>
          <w:tcPr>
            <w:tcW w:w="690" w:type="dxa"/>
            <w:vAlign w:val="center"/>
          </w:tcPr>
          <w:p w14:paraId="160925A8">
            <w:pPr>
              <w:jc w:val="center"/>
              <w:rPr>
                <w:rFonts w:cs="宋体"/>
                <w:bCs/>
                <w:color w:val="auto"/>
                <w:sz w:val="21"/>
                <w:szCs w:val="21"/>
                <w:highlight w:val="none"/>
                <w:lang w:val="zh-CN"/>
              </w:rPr>
            </w:pPr>
          </w:p>
        </w:tc>
        <w:tc>
          <w:tcPr>
            <w:tcW w:w="631" w:type="dxa"/>
            <w:vAlign w:val="center"/>
          </w:tcPr>
          <w:p w14:paraId="77F66BBB">
            <w:pPr>
              <w:jc w:val="center"/>
              <w:rPr>
                <w:rFonts w:cs="宋体"/>
                <w:bCs/>
                <w:color w:val="auto"/>
                <w:sz w:val="21"/>
                <w:szCs w:val="21"/>
                <w:highlight w:val="none"/>
                <w:lang w:val="zh-CN"/>
              </w:rPr>
            </w:pPr>
          </w:p>
        </w:tc>
        <w:tc>
          <w:tcPr>
            <w:tcW w:w="957" w:type="dxa"/>
            <w:vAlign w:val="center"/>
          </w:tcPr>
          <w:p w14:paraId="438FCCA2">
            <w:pPr>
              <w:jc w:val="center"/>
              <w:rPr>
                <w:rFonts w:cs="宋体"/>
                <w:bCs/>
                <w:color w:val="auto"/>
                <w:sz w:val="21"/>
                <w:szCs w:val="21"/>
                <w:highlight w:val="none"/>
                <w:lang w:val="zh-CN"/>
              </w:rPr>
            </w:pPr>
          </w:p>
        </w:tc>
        <w:tc>
          <w:tcPr>
            <w:tcW w:w="974" w:type="dxa"/>
            <w:vAlign w:val="center"/>
          </w:tcPr>
          <w:p w14:paraId="7EAA4BAC">
            <w:pPr>
              <w:jc w:val="center"/>
              <w:rPr>
                <w:rFonts w:cs="宋体"/>
                <w:bCs/>
                <w:color w:val="auto"/>
                <w:sz w:val="21"/>
                <w:szCs w:val="21"/>
                <w:highlight w:val="none"/>
                <w:lang w:val="zh-CN"/>
              </w:rPr>
            </w:pPr>
          </w:p>
        </w:tc>
        <w:tc>
          <w:tcPr>
            <w:tcW w:w="655" w:type="dxa"/>
            <w:vAlign w:val="center"/>
          </w:tcPr>
          <w:p w14:paraId="66260A1B">
            <w:pPr>
              <w:jc w:val="center"/>
              <w:rPr>
                <w:rFonts w:cs="宋体"/>
                <w:bCs/>
                <w:color w:val="auto"/>
                <w:sz w:val="21"/>
                <w:szCs w:val="21"/>
                <w:highlight w:val="none"/>
                <w:lang w:val="zh-CN"/>
              </w:rPr>
            </w:pPr>
          </w:p>
        </w:tc>
        <w:tc>
          <w:tcPr>
            <w:tcW w:w="1000" w:type="dxa"/>
            <w:vAlign w:val="center"/>
          </w:tcPr>
          <w:p w14:paraId="5C5E9AFA">
            <w:pPr>
              <w:jc w:val="center"/>
              <w:rPr>
                <w:rFonts w:cs="宋体"/>
                <w:bCs/>
                <w:color w:val="auto"/>
                <w:sz w:val="21"/>
                <w:szCs w:val="21"/>
                <w:highlight w:val="none"/>
                <w:lang w:val="zh-CN"/>
              </w:rPr>
            </w:pPr>
          </w:p>
        </w:tc>
      </w:tr>
      <w:tr w14:paraId="4E127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43" w:type="dxa"/>
            <w:vAlign w:val="center"/>
          </w:tcPr>
          <w:p w14:paraId="3C035400">
            <w:pPr>
              <w:jc w:val="center"/>
              <w:rPr>
                <w:rFonts w:cs="宋体"/>
                <w:bCs/>
                <w:color w:val="auto"/>
                <w:sz w:val="21"/>
                <w:szCs w:val="21"/>
                <w:highlight w:val="none"/>
                <w:lang w:val="zh-CN"/>
              </w:rPr>
            </w:pPr>
            <w:r>
              <w:rPr>
                <w:rFonts w:hint="eastAsia" w:cs="宋体"/>
                <w:bCs/>
                <w:color w:val="auto"/>
                <w:sz w:val="21"/>
                <w:szCs w:val="21"/>
                <w:highlight w:val="none"/>
                <w:lang w:val="zh-CN"/>
              </w:rPr>
              <w:t>…</w:t>
            </w:r>
          </w:p>
        </w:tc>
        <w:tc>
          <w:tcPr>
            <w:tcW w:w="713" w:type="dxa"/>
            <w:vAlign w:val="center"/>
          </w:tcPr>
          <w:p w14:paraId="66BA6627">
            <w:pPr>
              <w:jc w:val="center"/>
              <w:rPr>
                <w:rFonts w:cs="宋体"/>
                <w:bCs/>
                <w:color w:val="auto"/>
                <w:sz w:val="21"/>
                <w:szCs w:val="21"/>
                <w:highlight w:val="none"/>
                <w:lang w:val="zh-CN"/>
              </w:rPr>
            </w:pPr>
          </w:p>
        </w:tc>
        <w:tc>
          <w:tcPr>
            <w:tcW w:w="714" w:type="dxa"/>
            <w:vAlign w:val="center"/>
          </w:tcPr>
          <w:p w14:paraId="17EDE46D">
            <w:pPr>
              <w:jc w:val="center"/>
              <w:rPr>
                <w:rFonts w:cs="宋体"/>
                <w:bCs/>
                <w:color w:val="auto"/>
                <w:sz w:val="21"/>
                <w:szCs w:val="21"/>
                <w:highlight w:val="none"/>
                <w:lang w:val="zh-CN"/>
              </w:rPr>
            </w:pPr>
          </w:p>
        </w:tc>
        <w:tc>
          <w:tcPr>
            <w:tcW w:w="703" w:type="dxa"/>
            <w:vAlign w:val="center"/>
          </w:tcPr>
          <w:p w14:paraId="1C60DF8C">
            <w:pPr>
              <w:jc w:val="center"/>
              <w:rPr>
                <w:rFonts w:cs="宋体"/>
                <w:bCs/>
                <w:color w:val="auto"/>
                <w:sz w:val="21"/>
                <w:szCs w:val="21"/>
                <w:highlight w:val="none"/>
                <w:lang w:val="zh-CN"/>
              </w:rPr>
            </w:pPr>
          </w:p>
        </w:tc>
        <w:tc>
          <w:tcPr>
            <w:tcW w:w="842" w:type="dxa"/>
            <w:vAlign w:val="center"/>
          </w:tcPr>
          <w:p w14:paraId="4B6CCF4E">
            <w:pPr>
              <w:jc w:val="center"/>
              <w:rPr>
                <w:rFonts w:cs="宋体"/>
                <w:bCs/>
                <w:color w:val="auto"/>
                <w:sz w:val="21"/>
                <w:szCs w:val="21"/>
                <w:highlight w:val="none"/>
                <w:lang w:val="zh-CN"/>
              </w:rPr>
            </w:pPr>
          </w:p>
        </w:tc>
        <w:tc>
          <w:tcPr>
            <w:tcW w:w="690" w:type="dxa"/>
            <w:vAlign w:val="center"/>
          </w:tcPr>
          <w:p w14:paraId="2859CE2F">
            <w:pPr>
              <w:jc w:val="center"/>
              <w:rPr>
                <w:rFonts w:cs="宋体"/>
                <w:bCs/>
                <w:color w:val="auto"/>
                <w:sz w:val="21"/>
                <w:szCs w:val="21"/>
                <w:highlight w:val="none"/>
                <w:lang w:val="zh-CN"/>
              </w:rPr>
            </w:pPr>
          </w:p>
        </w:tc>
        <w:tc>
          <w:tcPr>
            <w:tcW w:w="631" w:type="dxa"/>
            <w:vAlign w:val="center"/>
          </w:tcPr>
          <w:p w14:paraId="1847BBAA">
            <w:pPr>
              <w:jc w:val="center"/>
              <w:rPr>
                <w:rFonts w:cs="宋体"/>
                <w:bCs/>
                <w:color w:val="auto"/>
                <w:sz w:val="21"/>
                <w:szCs w:val="21"/>
                <w:highlight w:val="none"/>
                <w:lang w:val="zh-CN"/>
              </w:rPr>
            </w:pPr>
          </w:p>
        </w:tc>
        <w:tc>
          <w:tcPr>
            <w:tcW w:w="957" w:type="dxa"/>
            <w:vAlign w:val="center"/>
          </w:tcPr>
          <w:p w14:paraId="12F73364">
            <w:pPr>
              <w:jc w:val="center"/>
              <w:rPr>
                <w:rFonts w:cs="宋体"/>
                <w:bCs/>
                <w:color w:val="auto"/>
                <w:sz w:val="21"/>
                <w:szCs w:val="21"/>
                <w:highlight w:val="none"/>
                <w:lang w:val="zh-CN"/>
              </w:rPr>
            </w:pPr>
          </w:p>
        </w:tc>
        <w:tc>
          <w:tcPr>
            <w:tcW w:w="974" w:type="dxa"/>
            <w:vAlign w:val="center"/>
          </w:tcPr>
          <w:p w14:paraId="307B3382">
            <w:pPr>
              <w:jc w:val="center"/>
              <w:rPr>
                <w:rFonts w:cs="宋体"/>
                <w:bCs/>
                <w:color w:val="auto"/>
                <w:sz w:val="21"/>
                <w:szCs w:val="21"/>
                <w:highlight w:val="none"/>
                <w:lang w:val="zh-CN"/>
              </w:rPr>
            </w:pPr>
          </w:p>
        </w:tc>
        <w:tc>
          <w:tcPr>
            <w:tcW w:w="655" w:type="dxa"/>
            <w:vAlign w:val="center"/>
          </w:tcPr>
          <w:p w14:paraId="0173D434">
            <w:pPr>
              <w:jc w:val="center"/>
              <w:rPr>
                <w:rFonts w:cs="宋体"/>
                <w:bCs/>
                <w:color w:val="auto"/>
                <w:sz w:val="21"/>
                <w:szCs w:val="21"/>
                <w:highlight w:val="none"/>
                <w:lang w:val="zh-CN"/>
              </w:rPr>
            </w:pPr>
          </w:p>
        </w:tc>
        <w:tc>
          <w:tcPr>
            <w:tcW w:w="1000" w:type="dxa"/>
            <w:vAlign w:val="center"/>
          </w:tcPr>
          <w:p w14:paraId="53A0776D">
            <w:pPr>
              <w:jc w:val="center"/>
              <w:rPr>
                <w:rFonts w:cs="宋体"/>
                <w:bCs/>
                <w:color w:val="auto"/>
                <w:sz w:val="21"/>
                <w:szCs w:val="21"/>
                <w:highlight w:val="none"/>
                <w:lang w:val="zh-CN"/>
              </w:rPr>
            </w:pPr>
          </w:p>
        </w:tc>
      </w:tr>
      <w:tr w14:paraId="59D5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8522" w:type="dxa"/>
            <w:gridSpan w:val="11"/>
            <w:vAlign w:val="center"/>
          </w:tcPr>
          <w:p w14:paraId="3513F61B">
            <w:pPr>
              <w:jc w:val="center"/>
              <w:rPr>
                <w:rFonts w:cs="宋体"/>
                <w:bCs/>
                <w:color w:val="auto"/>
                <w:sz w:val="21"/>
                <w:szCs w:val="21"/>
                <w:highlight w:val="none"/>
                <w:lang w:val="zh-CN"/>
              </w:rPr>
            </w:pPr>
            <w:r>
              <w:rPr>
                <w:rFonts w:hint="eastAsia" w:cs="宋体"/>
                <w:bCs/>
                <w:color w:val="auto"/>
                <w:sz w:val="21"/>
                <w:szCs w:val="21"/>
                <w:highlight w:val="none"/>
                <w:lang w:val="zh-CN"/>
              </w:rPr>
              <w:t>总价（元）：</w:t>
            </w:r>
          </w:p>
        </w:tc>
      </w:tr>
    </w:tbl>
    <w:p w14:paraId="65ED04D6">
      <w:pPr>
        <w:spacing w:line="300" w:lineRule="auto"/>
        <w:rPr>
          <w:rFonts w:ascii="Arial" w:hAnsi="Arial" w:cs="Arial"/>
          <w:color w:val="auto"/>
          <w:szCs w:val="21"/>
          <w:highlight w:val="none"/>
        </w:rPr>
      </w:pPr>
    </w:p>
    <w:p w14:paraId="50DF74B6">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ascii="Arial" w:hAnsi="Arial" w:cs="Arial"/>
          <w:color w:val="auto"/>
          <w:szCs w:val="21"/>
          <w:highlight w:val="none"/>
        </w:rPr>
        <w:t>：</w:t>
      </w:r>
    </w:p>
    <w:p w14:paraId="278D4455">
      <w:pPr>
        <w:spacing w:line="300" w:lineRule="auto"/>
        <w:rPr>
          <w:rFonts w:ascii="Arial" w:hAnsi="Arial" w:cs="Arial"/>
          <w:color w:val="auto"/>
          <w:szCs w:val="21"/>
          <w:highlight w:val="none"/>
        </w:rPr>
      </w:pPr>
      <w:r>
        <w:rPr>
          <w:rFonts w:ascii="Arial" w:hAnsi="Arial" w:cs="Arial"/>
          <w:color w:val="auto"/>
          <w:szCs w:val="21"/>
          <w:highlight w:val="none"/>
        </w:rPr>
        <w:t>日期</w:t>
      </w:r>
      <w:r>
        <w:rPr>
          <w:rFonts w:hint="eastAsia" w:ascii="Arial" w:hAnsi="Arial" w:cs="Arial"/>
          <w:color w:val="auto"/>
          <w:szCs w:val="21"/>
          <w:highlight w:val="none"/>
        </w:rPr>
        <w:t>：</w:t>
      </w:r>
    </w:p>
    <w:p w14:paraId="71833F07">
      <w:pPr>
        <w:spacing w:line="300" w:lineRule="auto"/>
        <w:rPr>
          <w:rFonts w:cs="宋体"/>
          <w:color w:val="auto"/>
          <w:szCs w:val="24"/>
          <w:highlight w:val="none"/>
        </w:rPr>
      </w:pPr>
    </w:p>
    <w:p w14:paraId="5315DAB1">
      <w:pPr>
        <w:rPr>
          <w:rFonts w:cs="宋体"/>
          <w:color w:val="auto"/>
          <w:sz w:val="21"/>
          <w:szCs w:val="21"/>
          <w:highlight w:val="none"/>
        </w:rPr>
      </w:pPr>
      <w:r>
        <w:rPr>
          <w:rFonts w:hint="eastAsia" w:cs="宋体"/>
          <w:b/>
          <w:color w:val="auto"/>
          <w:sz w:val="21"/>
          <w:szCs w:val="21"/>
          <w:highlight w:val="none"/>
        </w:rPr>
        <w:t>注：</w:t>
      </w:r>
      <w:r>
        <w:rPr>
          <w:rFonts w:hint="eastAsia" w:cs="宋体"/>
          <w:color w:val="auto"/>
          <w:sz w:val="21"/>
          <w:szCs w:val="21"/>
          <w:highlight w:val="none"/>
        </w:rPr>
        <w:t>1.</w:t>
      </w:r>
      <w:r>
        <w:rPr>
          <w:rFonts w:cs="宋体"/>
          <w:color w:val="auto"/>
          <w:sz w:val="21"/>
          <w:szCs w:val="21"/>
          <w:highlight w:val="none"/>
        </w:rPr>
        <w:t>按照本表填写的</w:t>
      </w:r>
      <w:r>
        <w:rPr>
          <w:rFonts w:hint="eastAsia" w:cs="宋体"/>
          <w:color w:val="auto"/>
          <w:sz w:val="21"/>
          <w:szCs w:val="21"/>
          <w:highlight w:val="none"/>
        </w:rPr>
        <w:t>总</w:t>
      </w:r>
      <w:r>
        <w:rPr>
          <w:rFonts w:cs="宋体"/>
          <w:color w:val="auto"/>
          <w:sz w:val="21"/>
          <w:szCs w:val="21"/>
          <w:highlight w:val="none"/>
        </w:rPr>
        <w:t>价填写到</w:t>
      </w:r>
      <w:r>
        <w:rPr>
          <w:rFonts w:hint="eastAsia" w:cs="宋体"/>
          <w:color w:val="auto"/>
          <w:sz w:val="21"/>
          <w:szCs w:val="21"/>
          <w:highlight w:val="none"/>
        </w:rPr>
        <w:t>“开标一览表”</w:t>
      </w:r>
      <w:r>
        <w:rPr>
          <w:rFonts w:cs="宋体"/>
          <w:color w:val="auto"/>
          <w:sz w:val="21"/>
          <w:szCs w:val="21"/>
          <w:highlight w:val="none"/>
        </w:rPr>
        <w:t>中对应的</w:t>
      </w:r>
      <w:r>
        <w:rPr>
          <w:rFonts w:hint="eastAsia" w:cs="宋体"/>
          <w:color w:val="auto"/>
          <w:sz w:val="21"/>
          <w:szCs w:val="21"/>
          <w:highlight w:val="none"/>
        </w:rPr>
        <w:t>“投标报价”</w:t>
      </w:r>
      <w:r>
        <w:rPr>
          <w:rFonts w:cs="宋体"/>
          <w:color w:val="auto"/>
          <w:sz w:val="21"/>
          <w:szCs w:val="21"/>
          <w:highlight w:val="none"/>
        </w:rPr>
        <w:t>栏中。</w:t>
      </w:r>
    </w:p>
    <w:p w14:paraId="08738867">
      <w:pPr>
        <w:ind w:firstLine="420" w:firstLineChars="200"/>
        <w:rPr>
          <w:rFonts w:cs="宋体"/>
          <w:color w:val="auto"/>
          <w:sz w:val="21"/>
          <w:szCs w:val="21"/>
          <w:highlight w:val="none"/>
        </w:rPr>
      </w:pPr>
      <w:r>
        <w:rPr>
          <w:rFonts w:hint="eastAsia" w:cs="宋体"/>
          <w:color w:val="auto"/>
          <w:sz w:val="21"/>
          <w:szCs w:val="21"/>
          <w:highlight w:val="none"/>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53449190">
      <w:pPr>
        <w:ind w:firstLine="420" w:firstLineChars="200"/>
        <w:jc w:val="both"/>
        <w:rPr>
          <w:rFonts w:cs="宋体"/>
          <w:color w:val="auto"/>
          <w:sz w:val="21"/>
          <w:szCs w:val="21"/>
          <w:highlight w:val="none"/>
        </w:rPr>
      </w:pPr>
      <w:r>
        <w:rPr>
          <w:rFonts w:hint="eastAsia" w:cs="宋体"/>
          <w:color w:val="auto"/>
          <w:sz w:val="21"/>
          <w:szCs w:val="21"/>
          <w:highlight w:val="none"/>
        </w:rPr>
        <w:t>3.表中须明确列出所投产品的分项名称、制造商、</w:t>
      </w:r>
      <w:r>
        <w:rPr>
          <w:rFonts w:hint="eastAsia" w:cs="宋体"/>
          <w:bCs/>
          <w:color w:val="auto"/>
          <w:sz w:val="21"/>
          <w:szCs w:val="21"/>
          <w:highlight w:val="none"/>
        </w:rPr>
        <w:t>产地/国别、制造商统一社会信用代码、制造商规模、</w:t>
      </w:r>
      <w:r>
        <w:rPr>
          <w:rFonts w:hint="eastAsia" w:cs="宋体"/>
          <w:color w:val="auto"/>
          <w:sz w:val="21"/>
          <w:szCs w:val="21"/>
          <w:highlight w:val="none"/>
        </w:rPr>
        <w:t>品牌、规格、型号、单价、数量、合价等，否则可能导致</w:t>
      </w:r>
      <w:r>
        <w:rPr>
          <w:rFonts w:hint="eastAsia" w:cs="宋体"/>
          <w:b/>
          <w:bCs/>
          <w:color w:val="auto"/>
          <w:sz w:val="21"/>
          <w:szCs w:val="21"/>
          <w:highlight w:val="none"/>
        </w:rPr>
        <w:t>响应无效</w:t>
      </w:r>
      <w:r>
        <w:rPr>
          <w:rFonts w:hint="eastAsia" w:cs="宋体"/>
          <w:color w:val="auto"/>
          <w:sz w:val="21"/>
          <w:szCs w:val="21"/>
          <w:highlight w:val="none"/>
        </w:rPr>
        <w:t>。</w:t>
      </w:r>
    </w:p>
    <w:p w14:paraId="0891195B">
      <w:pPr>
        <w:widowControl/>
        <w:rPr>
          <w:rFonts w:cs="宋体"/>
          <w:b/>
          <w:bCs/>
          <w:color w:val="auto"/>
          <w:kern w:val="0"/>
          <w:sz w:val="21"/>
          <w:szCs w:val="21"/>
          <w:highlight w:val="none"/>
          <w:lang w:bidi="ar"/>
        </w:rPr>
      </w:pPr>
    </w:p>
    <w:p w14:paraId="41867BF2">
      <w:pPr>
        <w:widowControl/>
        <w:rPr>
          <w:rFonts w:cs="宋体"/>
          <w:color w:val="auto"/>
          <w:kern w:val="0"/>
          <w:sz w:val="21"/>
          <w:szCs w:val="21"/>
          <w:highlight w:val="none"/>
          <w:lang w:bidi="ar"/>
        </w:rPr>
      </w:pPr>
      <w:r>
        <w:rPr>
          <w:rFonts w:hint="eastAsia" w:cs="宋体"/>
          <w:b/>
          <w:bCs/>
          <w:color w:val="auto"/>
          <w:kern w:val="0"/>
          <w:sz w:val="21"/>
          <w:szCs w:val="21"/>
          <w:highlight w:val="none"/>
          <w:lang w:bidi="ar"/>
        </w:rPr>
        <w:t>填写说明：</w:t>
      </w:r>
      <w:r>
        <w:rPr>
          <w:rFonts w:hint="eastAsia" w:cs="宋体"/>
          <w:color w:val="auto"/>
          <w:kern w:val="0"/>
          <w:sz w:val="21"/>
          <w:szCs w:val="21"/>
          <w:highlight w:val="none"/>
          <w:lang w:bidi="ar"/>
        </w:rPr>
        <w:t>1、“制造商规模”请填写“大型”、“中型”、“小型”、“微型”或“其他”，且不应与《中小企业声明函》或《拟分包情况说明》中内容矛盾。</w:t>
      </w:r>
    </w:p>
    <w:p w14:paraId="58C756F1">
      <w:pPr>
        <w:pStyle w:val="5"/>
        <w:spacing w:before="100" w:after="100" w:line="360" w:lineRule="auto"/>
        <w:ind w:left="420" w:hanging="420"/>
        <w:jc w:val="center"/>
        <w:rPr>
          <w:color w:val="auto"/>
          <w:highlight w:val="none"/>
        </w:rPr>
      </w:pPr>
      <w:r>
        <w:rPr>
          <w:rFonts w:hint="eastAsia"/>
          <w:color w:val="auto"/>
          <w:highlight w:val="none"/>
        </w:rPr>
        <w:t>九、投标函</w:t>
      </w:r>
      <w:bookmarkEnd w:id="351"/>
      <w:bookmarkEnd w:id="352"/>
      <w:bookmarkEnd w:id="353"/>
      <w:bookmarkEnd w:id="354"/>
      <w:bookmarkEnd w:id="355"/>
      <w:bookmarkEnd w:id="356"/>
      <w:bookmarkEnd w:id="357"/>
      <w:bookmarkEnd w:id="358"/>
      <w:bookmarkEnd w:id="359"/>
    </w:p>
    <w:p w14:paraId="317AB8C7">
      <w:pPr>
        <w:rPr>
          <w:rFonts w:hint="eastAsia"/>
          <w:color w:val="auto"/>
          <w:highlight w:val="none"/>
        </w:rPr>
      </w:pPr>
      <w:r>
        <w:rPr>
          <w:rFonts w:hint="eastAsia"/>
          <w:color w:val="auto"/>
          <w:highlight w:val="none"/>
        </w:rPr>
        <w:t>致：（采购人）</w:t>
      </w:r>
    </w:p>
    <w:p w14:paraId="2AB976CA">
      <w:pPr>
        <w:ind w:firstLine="480" w:firstLineChars="200"/>
        <w:rPr>
          <w:rFonts w:hint="eastAsia"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（项目名称）（项目编号/包号）</w:t>
      </w:r>
      <w:r>
        <w:rPr>
          <w:rFonts w:hint="eastAsia" w:cs="仿宋_GB2312"/>
          <w:color w:val="auto"/>
          <w:szCs w:val="24"/>
          <w:highlight w:val="none"/>
        </w:rPr>
        <w:t>项目的招标公告，签字代表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1302E00C">
      <w:pPr>
        <w:spacing w:line="324" w:lineRule="auto"/>
        <w:ind w:firstLine="480" w:firstLineChars="200"/>
        <w:jc w:val="both"/>
        <w:rPr>
          <w:rFonts w:hint="eastAsia" w:cs="Arial"/>
          <w:color w:val="auto"/>
          <w:szCs w:val="24"/>
          <w:highlight w:val="none"/>
        </w:rPr>
      </w:pPr>
      <w:r>
        <w:rPr>
          <w:rFonts w:hint="eastAsia" w:cs="Arial"/>
          <w:color w:val="auto"/>
          <w:szCs w:val="24"/>
          <w:highlight w:val="none"/>
        </w:rPr>
        <w:t>1.资格证明文件</w:t>
      </w:r>
      <w:r>
        <w:rPr>
          <w:rFonts w:cs="Arial"/>
          <w:color w:val="auto"/>
          <w:szCs w:val="24"/>
          <w:highlight w:val="none"/>
        </w:rPr>
        <w:t>；</w:t>
      </w:r>
    </w:p>
    <w:p w14:paraId="1BBE8E39">
      <w:pPr>
        <w:spacing w:line="324" w:lineRule="auto"/>
        <w:ind w:firstLine="480" w:firstLineChars="200"/>
        <w:jc w:val="both"/>
        <w:rPr>
          <w:rFonts w:hint="eastAsia" w:cs="Arial"/>
          <w:color w:val="auto"/>
          <w:szCs w:val="24"/>
          <w:highlight w:val="none"/>
        </w:rPr>
      </w:pPr>
      <w:r>
        <w:rPr>
          <w:rFonts w:hint="eastAsia" w:cs="Arial"/>
          <w:color w:val="auto"/>
          <w:szCs w:val="24"/>
          <w:highlight w:val="none"/>
        </w:rPr>
        <w:t>2.投标报价</w:t>
      </w:r>
      <w:r>
        <w:rPr>
          <w:rFonts w:cs="Arial"/>
          <w:color w:val="auto"/>
          <w:szCs w:val="24"/>
          <w:highlight w:val="none"/>
        </w:rPr>
        <w:t>文件</w:t>
      </w:r>
      <w:r>
        <w:rPr>
          <w:rFonts w:hint="eastAsia" w:cs="Arial"/>
          <w:color w:val="auto"/>
          <w:szCs w:val="24"/>
          <w:highlight w:val="none"/>
        </w:rPr>
        <w:t>；</w:t>
      </w:r>
    </w:p>
    <w:p w14:paraId="2EFA69D0">
      <w:pPr>
        <w:spacing w:line="324" w:lineRule="auto"/>
        <w:ind w:firstLine="480" w:firstLineChars="200"/>
        <w:jc w:val="both"/>
        <w:rPr>
          <w:rFonts w:hint="eastAsia" w:cs="Arial"/>
          <w:color w:val="auto"/>
          <w:szCs w:val="24"/>
          <w:highlight w:val="none"/>
        </w:rPr>
      </w:pPr>
      <w:r>
        <w:rPr>
          <w:rFonts w:hint="eastAsia" w:cs="Arial"/>
          <w:color w:val="auto"/>
          <w:szCs w:val="24"/>
          <w:highlight w:val="none"/>
        </w:rPr>
        <w:t>3.商务技术文件</w:t>
      </w:r>
      <w:r>
        <w:rPr>
          <w:rFonts w:cs="Arial"/>
          <w:color w:val="auto"/>
          <w:szCs w:val="24"/>
          <w:highlight w:val="none"/>
        </w:rPr>
        <w:t>。</w:t>
      </w:r>
    </w:p>
    <w:p w14:paraId="179B9110">
      <w:pPr>
        <w:spacing w:line="324" w:lineRule="auto"/>
        <w:ind w:firstLine="480" w:firstLineChars="200"/>
        <w:rPr>
          <w:rFonts w:hint="eastAsia" w:cs="Arial"/>
          <w:color w:val="auto"/>
          <w:szCs w:val="24"/>
          <w:highlight w:val="none"/>
        </w:rPr>
      </w:pPr>
      <w:r>
        <w:rPr>
          <w:rFonts w:cs="Arial"/>
          <w:color w:val="auto"/>
          <w:szCs w:val="24"/>
          <w:highlight w:val="none"/>
        </w:rPr>
        <w:t>根据此函，签字代表宣布同意如下：</w:t>
      </w:r>
    </w:p>
    <w:p w14:paraId="4689D275">
      <w:pPr>
        <w:spacing w:line="324" w:lineRule="auto"/>
        <w:ind w:firstLine="480" w:firstLineChars="200"/>
        <w:jc w:val="both"/>
        <w:rPr>
          <w:rFonts w:hint="eastAsia" w:cs="Arial"/>
          <w:color w:val="auto"/>
          <w:szCs w:val="24"/>
          <w:highlight w:val="none"/>
        </w:rPr>
      </w:pPr>
      <w:r>
        <w:rPr>
          <w:rFonts w:hint="eastAsia" w:cs="Arial"/>
          <w:color w:val="auto"/>
          <w:szCs w:val="24"/>
          <w:highlight w:val="none"/>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p>
    <w:p w14:paraId="346756EE">
      <w:pPr>
        <w:spacing w:line="324" w:lineRule="auto"/>
        <w:ind w:firstLine="480" w:firstLineChars="200"/>
        <w:jc w:val="both"/>
        <w:rPr>
          <w:rFonts w:hint="eastAsia" w:cs="Arial"/>
          <w:color w:val="auto"/>
          <w:szCs w:val="24"/>
          <w:highlight w:val="none"/>
        </w:rPr>
      </w:pPr>
      <w:r>
        <w:rPr>
          <w:rFonts w:hint="eastAsia" w:cs="Arial"/>
          <w:color w:val="auto"/>
          <w:szCs w:val="24"/>
          <w:highlight w:val="none"/>
        </w:rPr>
        <w:t>2.我方</w:t>
      </w:r>
      <w:r>
        <w:rPr>
          <w:rFonts w:cs="Arial"/>
          <w:color w:val="auto"/>
          <w:szCs w:val="24"/>
          <w:highlight w:val="none"/>
        </w:rPr>
        <w:t>将按招标文件的规定履行合同责任和义务。</w:t>
      </w:r>
    </w:p>
    <w:p w14:paraId="517004D4">
      <w:pPr>
        <w:spacing w:line="324" w:lineRule="auto"/>
        <w:ind w:firstLine="480" w:firstLineChars="200"/>
        <w:jc w:val="both"/>
        <w:rPr>
          <w:rFonts w:hint="eastAsia" w:cs="Arial"/>
          <w:color w:val="auto"/>
          <w:szCs w:val="24"/>
          <w:highlight w:val="none"/>
        </w:rPr>
      </w:pPr>
      <w:r>
        <w:rPr>
          <w:rFonts w:hint="eastAsia" w:cs="Arial"/>
          <w:color w:val="auto"/>
          <w:szCs w:val="24"/>
          <w:highlight w:val="none"/>
        </w:rPr>
        <w:t>3.我方</w:t>
      </w:r>
      <w:r>
        <w:rPr>
          <w:rFonts w:cs="Arial"/>
          <w:color w:val="auto"/>
          <w:szCs w:val="24"/>
          <w:highlight w:val="none"/>
        </w:rPr>
        <w:t>已详细审查全部招标文件，包括第</w:t>
      </w:r>
      <w:r>
        <w:rPr>
          <w:rFonts w:hint="eastAsia" w:cs="Arial"/>
          <w:iCs/>
          <w:color w:val="auto"/>
          <w:szCs w:val="24"/>
          <w:highlight w:val="none"/>
          <w:u w:val="single"/>
        </w:rPr>
        <w:t>（</w:t>
      </w:r>
      <w:r>
        <w:rPr>
          <w:rFonts w:cs="Arial"/>
          <w:iCs/>
          <w:color w:val="auto"/>
          <w:szCs w:val="24"/>
          <w:highlight w:val="none"/>
          <w:u w:val="single"/>
        </w:rPr>
        <w:t>编号、补遗书）</w:t>
      </w:r>
      <w:r>
        <w:rPr>
          <w:rFonts w:hint="eastAsia" w:cs="Arial"/>
          <w:iCs/>
          <w:color w:val="auto"/>
          <w:szCs w:val="24"/>
          <w:highlight w:val="none"/>
          <w:u w:val="single"/>
        </w:rPr>
        <w:t>（</w:t>
      </w:r>
      <w:r>
        <w:rPr>
          <w:rFonts w:cs="Arial"/>
          <w:iCs/>
          <w:color w:val="auto"/>
          <w:szCs w:val="24"/>
          <w:highlight w:val="none"/>
          <w:u w:val="single"/>
        </w:rPr>
        <w:t>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5C3324E7">
      <w:pPr>
        <w:spacing w:line="324" w:lineRule="auto"/>
        <w:ind w:firstLine="480" w:firstLineChars="200"/>
        <w:jc w:val="both"/>
        <w:rPr>
          <w:rFonts w:hint="eastAsia" w:cs="Arial"/>
          <w:color w:val="auto"/>
          <w:szCs w:val="24"/>
          <w:highlight w:val="none"/>
        </w:rPr>
      </w:pPr>
      <w:r>
        <w:rPr>
          <w:rFonts w:hint="eastAsia" w:cs="Arial"/>
          <w:color w:val="auto"/>
          <w:szCs w:val="24"/>
          <w:highlight w:val="none"/>
        </w:rPr>
        <w:t>4.投标有效期为自提交投标文件的截止之日起</w:t>
      </w:r>
      <w:r>
        <w:rPr>
          <w:rFonts w:hint="eastAsia" w:cs="Arial"/>
          <w:i/>
          <w:color w:val="auto"/>
          <w:szCs w:val="24"/>
          <w:highlight w:val="none"/>
          <w:u w:val="single"/>
        </w:rPr>
        <w:t xml:space="preserve"> </w:t>
      </w:r>
      <w:r>
        <w:rPr>
          <w:rFonts w:hint="eastAsia" w:cs="Arial"/>
          <w:iCs/>
          <w:color w:val="auto"/>
          <w:szCs w:val="24"/>
          <w:highlight w:val="none"/>
          <w:u w:val="single"/>
        </w:rPr>
        <w:t>（由投标人填写）</w:t>
      </w:r>
      <w:r>
        <w:rPr>
          <w:rFonts w:cs="Arial"/>
          <w:color w:val="auto"/>
          <w:szCs w:val="24"/>
          <w:highlight w:val="none"/>
        </w:rPr>
        <w:t>个日历天。</w:t>
      </w:r>
    </w:p>
    <w:p w14:paraId="00BAF025">
      <w:pPr>
        <w:spacing w:line="324" w:lineRule="auto"/>
        <w:ind w:firstLine="480" w:firstLineChars="200"/>
        <w:jc w:val="both"/>
        <w:rPr>
          <w:rFonts w:hint="eastAsia" w:cs="Arial"/>
          <w:color w:val="auto"/>
          <w:szCs w:val="24"/>
          <w:highlight w:val="none"/>
        </w:rPr>
      </w:pPr>
      <w:r>
        <w:rPr>
          <w:rFonts w:hint="eastAsia" w:cs="Arial"/>
          <w:color w:val="auto"/>
          <w:szCs w:val="24"/>
          <w:highlight w:val="none"/>
        </w:rPr>
        <w:t>5.我方</w:t>
      </w:r>
      <w:r>
        <w:rPr>
          <w:rFonts w:cs="Arial"/>
          <w:color w:val="auto"/>
          <w:szCs w:val="24"/>
          <w:highlight w:val="none"/>
        </w:rPr>
        <w:t>同意提供按照贵方</w:t>
      </w:r>
      <w:r>
        <w:rPr>
          <w:rFonts w:hint="eastAsia" w:cs="Arial"/>
          <w:color w:val="auto"/>
          <w:szCs w:val="24"/>
          <w:highlight w:val="none"/>
        </w:rPr>
        <w:t>招标文件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7AC88924">
      <w:pPr>
        <w:spacing w:line="324" w:lineRule="auto"/>
        <w:ind w:firstLine="480" w:firstLineChars="200"/>
        <w:jc w:val="both"/>
        <w:rPr>
          <w:rFonts w:hint="eastAsia" w:cs="Arial"/>
          <w:color w:val="auto"/>
          <w:szCs w:val="24"/>
          <w:highlight w:val="none"/>
        </w:rPr>
      </w:pPr>
      <w:r>
        <w:rPr>
          <w:rFonts w:hint="eastAsia" w:cs="Arial"/>
          <w:color w:val="auto"/>
          <w:szCs w:val="24"/>
          <w:highlight w:val="none"/>
        </w:rPr>
        <w:t>6.本项目如由中标人支付采购代理服务费，我方同意按投标人须知前附表中规定向采购代理机构支付采购代理服务费。</w:t>
      </w:r>
    </w:p>
    <w:p w14:paraId="3BBDFBEE">
      <w:pPr>
        <w:snapToGrid w:val="0"/>
        <w:spacing w:line="324" w:lineRule="auto"/>
        <w:ind w:firstLine="480" w:firstLineChars="200"/>
        <w:jc w:val="both"/>
        <w:rPr>
          <w:rFonts w:hint="eastAsia" w:cs="Arial"/>
          <w:color w:val="auto"/>
          <w:szCs w:val="24"/>
          <w:highlight w:val="none"/>
        </w:rPr>
      </w:pPr>
      <w:r>
        <w:rPr>
          <w:rFonts w:hint="eastAsia" w:cs="Arial"/>
          <w:color w:val="auto"/>
          <w:szCs w:val="24"/>
          <w:highlight w:val="none"/>
        </w:rPr>
        <w:t>7.重要声明：</w:t>
      </w:r>
    </w:p>
    <w:p w14:paraId="203EFC4D">
      <w:pPr>
        <w:snapToGrid w:val="0"/>
        <w:spacing w:line="324" w:lineRule="auto"/>
        <w:ind w:firstLine="480" w:firstLineChars="200"/>
        <w:rPr>
          <w:rFonts w:hint="eastAsia"/>
          <w:color w:val="auto"/>
          <w:szCs w:val="24"/>
          <w:highlight w:val="none"/>
        </w:rPr>
      </w:pPr>
      <w:r>
        <w:rPr>
          <w:rFonts w:hint="eastAsia"/>
          <w:color w:val="auto"/>
          <w:szCs w:val="24"/>
          <w:highlight w:val="none"/>
        </w:rPr>
        <w:t>1）与我方单位负责人为同一人的其他单位名称：</w:t>
      </w:r>
    </w:p>
    <w:p w14:paraId="5DC07476">
      <w:pPr>
        <w:snapToGrid w:val="0"/>
        <w:spacing w:line="324" w:lineRule="auto"/>
        <w:ind w:left="456" w:leftChars="190" w:firstLine="355" w:firstLineChars="148"/>
        <w:rPr>
          <w:rFonts w:hint="eastAsia"/>
          <w:iCs/>
          <w:color w:val="auto"/>
          <w:szCs w:val="24"/>
          <w:highlight w:val="none"/>
        </w:rPr>
      </w:pPr>
      <w:r>
        <w:rPr>
          <w:rFonts w:hint="eastAsia"/>
          <w:color w:val="auto"/>
          <w:szCs w:val="24"/>
          <w:highlight w:val="none"/>
        </w:rPr>
        <w:t>□无；□有，具体单位名称为：</w:t>
      </w:r>
      <w:r>
        <w:rPr>
          <w:rFonts w:hint="eastAsia" w:cs="Arial"/>
          <w:iCs/>
          <w:color w:val="auto"/>
          <w:szCs w:val="24"/>
          <w:highlight w:val="none"/>
          <w:u w:val="single"/>
        </w:rPr>
        <w:t>（由投标人如实填写）</w:t>
      </w:r>
      <w:r>
        <w:rPr>
          <w:rFonts w:hint="eastAsia"/>
          <w:iCs/>
          <w:color w:val="auto"/>
          <w:szCs w:val="24"/>
          <w:highlight w:val="none"/>
        </w:rPr>
        <w:t>。</w:t>
      </w:r>
    </w:p>
    <w:p w14:paraId="597D7EE9">
      <w:pPr>
        <w:snapToGrid w:val="0"/>
        <w:spacing w:line="324" w:lineRule="auto"/>
        <w:ind w:firstLine="480" w:firstLineChars="200"/>
        <w:rPr>
          <w:rFonts w:hint="eastAsia"/>
          <w:iCs/>
          <w:color w:val="auto"/>
          <w:szCs w:val="24"/>
          <w:highlight w:val="none"/>
        </w:rPr>
      </w:pPr>
      <w:r>
        <w:rPr>
          <w:rFonts w:hint="eastAsia"/>
          <w:iCs/>
          <w:color w:val="auto"/>
          <w:szCs w:val="24"/>
          <w:highlight w:val="none"/>
        </w:rPr>
        <w:t>2）与我方存在控股、管理关系的其他单位的名称：</w:t>
      </w:r>
    </w:p>
    <w:p w14:paraId="746EB54A">
      <w:pPr>
        <w:snapToGrid w:val="0"/>
        <w:spacing w:line="324" w:lineRule="auto"/>
        <w:ind w:left="456" w:leftChars="190" w:firstLine="355" w:firstLineChars="148"/>
        <w:rPr>
          <w:rFonts w:hint="eastAsia"/>
          <w:color w:val="auto"/>
          <w:szCs w:val="24"/>
          <w:highlight w:val="none"/>
        </w:rPr>
      </w:pPr>
      <w:r>
        <w:rPr>
          <w:rFonts w:hint="eastAsia"/>
          <w:iCs/>
          <w:color w:val="auto"/>
          <w:szCs w:val="24"/>
          <w:highlight w:val="none"/>
        </w:rPr>
        <w:t xml:space="preserve">□无；□有，具体单位名称为： </w:t>
      </w:r>
      <w:r>
        <w:rPr>
          <w:rFonts w:hint="eastAsia" w:cs="Arial"/>
          <w:iCs/>
          <w:color w:val="auto"/>
          <w:szCs w:val="24"/>
          <w:highlight w:val="none"/>
          <w:u w:val="single"/>
        </w:rPr>
        <w:t>（由投标人如实填写）</w:t>
      </w:r>
      <w:r>
        <w:rPr>
          <w:rFonts w:hint="eastAsia"/>
          <w:color w:val="auto"/>
          <w:szCs w:val="24"/>
          <w:highlight w:val="none"/>
        </w:rPr>
        <w:t>。</w:t>
      </w:r>
    </w:p>
    <w:p w14:paraId="1173B89D">
      <w:pPr>
        <w:snapToGrid w:val="0"/>
        <w:spacing w:line="324" w:lineRule="auto"/>
        <w:ind w:firstLine="480" w:firstLineChars="200"/>
        <w:rPr>
          <w:rFonts w:hint="eastAsia"/>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301A4A1F">
      <w:pPr>
        <w:snapToGrid w:val="0"/>
        <w:spacing w:line="324" w:lineRule="auto"/>
        <w:ind w:left="456" w:leftChars="190" w:firstLine="355" w:firstLineChars="148"/>
        <w:rPr>
          <w:rFonts w:hint="eastAsia"/>
          <w:color w:val="auto"/>
          <w:szCs w:val="24"/>
          <w:highlight w:val="none"/>
        </w:rPr>
      </w:pPr>
      <w:r>
        <w:rPr>
          <w:rFonts w:hint="eastAsia"/>
          <w:color w:val="auto"/>
          <w:szCs w:val="24"/>
          <w:highlight w:val="none"/>
        </w:rPr>
        <w:t xml:space="preserve">□无；□有，已提供的具体服务内容为： </w:t>
      </w:r>
      <w:r>
        <w:rPr>
          <w:rFonts w:hint="eastAsia" w:cs="Arial"/>
          <w:color w:val="auto"/>
          <w:szCs w:val="24"/>
          <w:highlight w:val="none"/>
          <w:u w:val="single"/>
        </w:rPr>
        <w:t>（由投标人如实填写）</w:t>
      </w:r>
      <w:r>
        <w:rPr>
          <w:rFonts w:hint="eastAsia"/>
          <w:color w:val="auto"/>
          <w:szCs w:val="24"/>
          <w:highlight w:val="none"/>
        </w:rPr>
        <w:t>。</w:t>
      </w:r>
    </w:p>
    <w:p w14:paraId="0B0D8F59">
      <w:pPr>
        <w:spacing w:line="324" w:lineRule="auto"/>
        <w:ind w:firstLine="480" w:firstLineChars="200"/>
        <w:rPr>
          <w:rFonts w:hint="eastAsia"/>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46F5058D">
      <w:pPr>
        <w:snapToGrid w:val="0"/>
        <w:spacing w:line="324" w:lineRule="auto"/>
        <w:ind w:firstLine="480" w:firstLineChars="200"/>
        <w:rPr>
          <w:rFonts w:hint="eastAsia"/>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3C3FC74B">
      <w:pPr>
        <w:snapToGrid w:val="0"/>
        <w:spacing w:line="324" w:lineRule="auto"/>
        <w:ind w:firstLine="480" w:firstLineChars="200"/>
        <w:rPr>
          <w:rFonts w:hint="eastAsia"/>
          <w:color w:val="auto"/>
          <w:szCs w:val="24"/>
          <w:highlight w:val="none"/>
        </w:rPr>
      </w:pPr>
      <w:r>
        <w:rPr>
          <w:rFonts w:hint="eastAsia"/>
          <w:color w:val="auto"/>
          <w:szCs w:val="24"/>
          <w:highlight w:val="none"/>
        </w:rPr>
        <w:t>5）</w:t>
      </w:r>
      <w:bookmarkStart w:id="360" w:name="_Hlk161604053"/>
      <w:r>
        <w:rPr>
          <w:rFonts w:hint="eastAsia"/>
          <w:color w:val="auto"/>
          <w:szCs w:val="24"/>
          <w:highlight w:val="none"/>
        </w:rPr>
        <w:t>我方承诺本《投标函》的签章对本投标文件全部内容具有约束力并承担法律责任。</w:t>
      </w:r>
      <w:bookmarkEnd w:id="360"/>
    </w:p>
    <w:p w14:paraId="18986423">
      <w:pPr>
        <w:spacing w:line="300" w:lineRule="auto"/>
        <w:rPr>
          <w:rFonts w:hint="eastAsia" w:cs="Arial"/>
          <w:color w:val="auto"/>
          <w:szCs w:val="24"/>
          <w:highlight w:val="none"/>
        </w:rPr>
      </w:pPr>
    </w:p>
    <w:p w14:paraId="6A65E707">
      <w:pPr>
        <w:spacing w:line="300" w:lineRule="auto"/>
        <w:rPr>
          <w:rFonts w:hint="eastAsia" w:cs="Arial"/>
          <w:color w:val="auto"/>
          <w:szCs w:val="24"/>
          <w:highlight w:val="none"/>
        </w:rPr>
      </w:pPr>
    </w:p>
    <w:p w14:paraId="568801A9">
      <w:pPr>
        <w:spacing w:line="300" w:lineRule="auto"/>
        <w:rPr>
          <w:rFonts w:hint="eastAsia" w:cs="Arial"/>
          <w:color w:val="auto"/>
          <w:szCs w:val="24"/>
          <w:highlight w:val="none"/>
        </w:rPr>
      </w:pPr>
    </w:p>
    <w:p w14:paraId="0D364317">
      <w:pPr>
        <w:autoSpaceDE w:val="0"/>
        <w:autoSpaceDN w:val="0"/>
        <w:adjustRightInd w:val="0"/>
        <w:snapToGrid w:val="0"/>
        <w:ind w:firstLine="480" w:firstLineChars="200"/>
        <w:rPr>
          <w:rFonts w:hint="eastAsia" w:cs="宋体"/>
          <w:color w:val="auto"/>
          <w:kern w:val="0"/>
          <w:highlight w:val="none"/>
          <w:lang w:val="zh-CN"/>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7CE217C1">
      <w:pPr>
        <w:autoSpaceDE w:val="0"/>
        <w:autoSpaceDN w:val="0"/>
        <w:adjustRightInd w:val="0"/>
        <w:snapToGrid w:val="0"/>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法定代表人或授权代表（签字或印章）：</w:t>
      </w:r>
    </w:p>
    <w:p w14:paraId="4D0926AF">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通  讯  地  址：</w:t>
      </w:r>
    </w:p>
    <w:p w14:paraId="0A6103B3">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5FAA76A3">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电          话：</w:t>
      </w:r>
    </w:p>
    <w:p w14:paraId="3D027798">
      <w:pPr>
        <w:ind w:firstLine="480" w:firstLineChars="200"/>
        <w:rPr>
          <w:rFonts w:hint="eastAsia"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2A3A9BA1">
      <w:pPr>
        <w:rPr>
          <w:rFonts w:hint="eastAsia" w:cs="Arial"/>
          <w:color w:val="auto"/>
          <w:szCs w:val="24"/>
          <w:highlight w:val="none"/>
          <w:u w:val="single"/>
        </w:rPr>
      </w:pPr>
    </w:p>
    <w:p w14:paraId="25A6C168">
      <w:pPr>
        <w:rPr>
          <w:rFonts w:hint="eastAsia" w:cs="Arial"/>
          <w:color w:val="auto"/>
          <w:szCs w:val="24"/>
          <w:highlight w:val="none"/>
          <w:u w:val="single"/>
        </w:rPr>
      </w:pPr>
      <w:r>
        <w:rPr>
          <w:rFonts w:cs="Arial"/>
          <w:color w:val="auto"/>
          <w:szCs w:val="24"/>
          <w:highlight w:val="none"/>
          <w:u w:val="single"/>
        </w:rPr>
        <w:br w:type="page"/>
      </w:r>
    </w:p>
    <w:p w14:paraId="489838CA">
      <w:pPr>
        <w:pStyle w:val="5"/>
        <w:spacing w:before="100" w:after="100" w:line="360" w:lineRule="auto"/>
        <w:ind w:left="420" w:hanging="420"/>
        <w:jc w:val="center"/>
        <w:rPr>
          <w:color w:val="auto"/>
          <w:highlight w:val="none"/>
        </w:rPr>
      </w:pPr>
      <w:bookmarkStart w:id="361" w:name="_Toc163492918"/>
      <w:bookmarkStart w:id="362" w:name="_Toc20456"/>
      <w:bookmarkStart w:id="363" w:name="_Toc155185924"/>
      <w:r>
        <w:rPr>
          <w:rFonts w:hint="eastAsia"/>
          <w:color w:val="auto"/>
          <w:highlight w:val="none"/>
        </w:rPr>
        <w:t>十、法定代表人（单位负责人）身份证明</w:t>
      </w:r>
      <w:bookmarkEnd w:id="361"/>
      <w:bookmarkEnd w:id="362"/>
      <w:bookmarkEnd w:id="363"/>
    </w:p>
    <w:p w14:paraId="40EF69E5">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致：（采购人或采购代理机构） </w:t>
      </w:r>
    </w:p>
    <w:p w14:paraId="426569F1">
      <w:pPr>
        <w:spacing w:line="480" w:lineRule="auto"/>
        <w:ind w:firstLine="960" w:firstLineChars="400"/>
        <w:rPr>
          <w:rFonts w:hint="eastAsia" w:cs="仿宋_GB2312"/>
          <w:color w:val="auto"/>
          <w:szCs w:val="24"/>
          <w:highlight w:val="none"/>
        </w:rPr>
      </w:pPr>
      <w:r>
        <w:rPr>
          <w:rFonts w:hint="eastAsia" w:cs="仿宋_GB2312"/>
          <w:color w:val="auto"/>
          <w:szCs w:val="24"/>
          <w:highlight w:val="none"/>
        </w:rPr>
        <w:t xml:space="preserve">兹证明， </w:t>
      </w:r>
    </w:p>
    <w:p w14:paraId="4D5D11A7">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姓名：____性别：____年龄：____职务：____ </w:t>
      </w:r>
    </w:p>
    <w:p w14:paraId="43E46C72">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系 </w:t>
      </w:r>
      <w:r>
        <w:rPr>
          <w:rFonts w:hint="eastAsia" w:cs="仿宋_GB2312"/>
          <w:color w:val="auto"/>
          <w:szCs w:val="24"/>
          <w:highlight w:val="none"/>
          <w:u w:val="single"/>
        </w:rPr>
        <w:t xml:space="preserve">            </w:t>
      </w:r>
      <w:r>
        <w:rPr>
          <w:rFonts w:hint="eastAsia" w:cs="仿宋_GB2312"/>
          <w:color w:val="auto"/>
          <w:szCs w:val="24"/>
          <w:highlight w:val="none"/>
        </w:rPr>
        <w:t xml:space="preserve">（投标人名称）的法定代表人（单位负责人）。 </w:t>
      </w:r>
    </w:p>
    <w:p w14:paraId="7BA19A93">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附：法定代表人（单位负责人）身份证、护照等身份证明文件电子件： </w:t>
      </w:r>
    </w:p>
    <w:p w14:paraId="366C218E">
      <w:pPr>
        <w:spacing w:line="480" w:lineRule="auto"/>
        <w:ind w:firstLine="480" w:firstLineChars="200"/>
        <w:rPr>
          <w:rFonts w:hint="eastAsia" w:cs="仿宋_GB2312"/>
          <w:color w:val="auto"/>
          <w:szCs w:val="24"/>
          <w:highlight w:val="none"/>
        </w:rPr>
      </w:pPr>
    </w:p>
    <w:p w14:paraId="42DA27F4">
      <w:pPr>
        <w:rPr>
          <w:rFonts w:hint="eastAsia" w:cs="Arial"/>
          <w:color w:val="auto"/>
          <w:sz w:val="21"/>
          <w:szCs w:val="21"/>
          <w:highlight w:val="none"/>
        </w:rPr>
      </w:pPr>
    </w:p>
    <w:tbl>
      <w:tblPr>
        <w:tblStyle w:val="1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7275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0D44E2D3">
            <w:pPr>
              <w:rPr>
                <w:rFonts w:hint="eastAsia" w:cs="Arial"/>
                <w:color w:val="auto"/>
                <w:highlight w:val="none"/>
              </w:rPr>
            </w:pPr>
          </w:p>
        </w:tc>
      </w:tr>
    </w:tbl>
    <w:p w14:paraId="08A66F27">
      <w:pPr>
        <w:ind w:firstLine="840" w:firstLineChars="350"/>
        <w:jc w:val="center"/>
        <w:rPr>
          <w:rFonts w:hint="eastAsia" w:cs="Arial"/>
          <w:color w:val="auto"/>
          <w:highlight w:val="none"/>
        </w:rPr>
      </w:pPr>
    </w:p>
    <w:p w14:paraId="2D060727">
      <w:pPr>
        <w:widowControl/>
        <w:rPr>
          <w:rFonts w:hint="eastAsia"/>
          <w:color w:val="auto"/>
          <w:highlight w:val="none"/>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4F399195">
      <w:pPr>
        <w:widowControl/>
        <w:rPr>
          <w:rFonts w:hint="eastAsia"/>
          <w:color w:val="auto"/>
          <w:highlight w:val="none"/>
        </w:rPr>
      </w:pPr>
      <w:r>
        <w:rPr>
          <w:rFonts w:hint="eastAsia" w:cs="宋体"/>
          <w:color w:val="auto"/>
          <w:kern w:val="0"/>
          <w:szCs w:val="24"/>
          <w:highlight w:val="none"/>
          <w:lang w:bidi="ar"/>
        </w:rPr>
        <w:t>法定代表人（单位负责人）（签字或</w:t>
      </w:r>
      <w:r>
        <w:rPr>
          <w:rFonts w:hint="eastAsia" w:cs="宋体"/>
          <w:color w:val="auto"/>
          <w:kern w:val="0"/>
          <w:szCs w:val="24"/>
          <w:highlight w:val="none"/>
        </w:rPr>
        <w:t>盖章</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 </w:t>
      </w:r>
    </w:p>
    <w:p w14:paraId="396F813E">
      <w:pPr>
        <w:widowControl/>
        <w:rPr>
          <w:rFonts w:hint="eastAsia" w:cs="宋体"/>
          <w:color w:val="auto"/>
          <w:kern w:val="0"/>
          <w:szCs w:val="24"/>
          <w:highlight w:val="none"/>
          <w:lang w:bidi="ar"/>
        </w:rPr>
      </w:pPr>
    </w:p>
    <w:p w14:paraId="5F282CD4">
      <w:pPr>
        <w:widowControl/>
        <w:rPr>
          <w:rFonts w:hint="eastAsia"/>
          <w:color w:val="auto"/>
          <w:highlight w:val="none"/>
        </w:rPr>
      </w:pPr>
      <w:r>
        <w:rPr>
          <w:rFonts w:hint="eastAsia" w:cs="宋体"/>
          <w:color w:val="auto"/>
          <w:kern w:val="0"/>
          <w:szCs w:val="24"/>
          <w:highlight w:val="none"/>
          <w:lang w:bidi="ar"/>
        </w:rPr>
        <w:t>日期：</w:t>
      </w:r>
      <w:r>
        <w:rPr>
          <w:rFonts w:ascii="DejaVuSans" w:hAnsi="DejaVuSans" w:eastAsia="DejaVuSans" w:cs="DejaVuSans"/>
          <w:color w:val="auto"/>
          <w:kern w:val="0"/>
          <w:szCs w:val="24"/>
          <w:highlight w:val="none"/>
          <w:lang w:bidi="ar"/>
        </w:rPr>
        <w:t>_____</w:t>
      </w:r>
      <w:r>
        <w:rPr>
          <w:rFonts w:hint="eastAsia" w:cs="宋体"/>
          <w:color w:val="auto"/>
          <w:kern w:val="0"/>
          <w:szCs w:val="24"/>
          <w:highlight w:val="none"/>
          <w:lang w:bidi="ar"/>
        </w:rPr>
        <w:t>年</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月</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日</w:t>
      </w:r>
    </w:p>
    <w:p w14:paraId="0424C611">
      <w:pPr>
        <w:rPr>
          <w:rFonts w:hint="eastAsia"/>
          <w:b/>
          <w:color w:val="auto"/>
          <w:sz w:val="28"/>
          <w:szCs w:val="28"/>
          <w:highlight w:val="none"/>
        </w:rPr>
      </w:pPr>
    </w:p>
    <w:p w14:paraId="630EDEC6">
      <w:pPr>
        <w:rPr>
          <w:rFonts w:hint="eastAsia"/>
          <w:b/>
          <w:color w:val="auto"/>
          <w:sz w:val="28"/>
          <w:szCs w:val="28"/>
          <w:highlight w:val="none"/>
        </w:rPr>
      </w:pPr>
      <w:r>
        <w:rPr>
          <w:b/>
          <w:color w:val="auto"/>
          <w:sz w:val="28"/>
          <w:szCs w:val="28"/>
          <w:highlight w:val="none"/>
        </w:rPr>
        <w:br w:type="page"/>
      </w:r>
    </w:p>
    <w:p w14:paraId="6CD81DDB">
      <w:pPr>
        <w:pStyle w:val="5"/>
        <w:spacing w:before="100" w:after="100" w:line="360" w:lineRule="auto"/>
        <w:ind w:left="420" w:hanging="420"/>
        <w:jc w:val="center"/>
        <w:rPr>
          <w:color w:val="auto"/>
          <w:highlight w:val="none"/>
        </w:rPr>
      </w:pPr>
      <w:bookmarkStart w:id="364" w:name="_Toc18136"/>
      <w:bookmarkStart w:id="365" w:name="_Toc163492919"/>
      <w:bookmarkStart w:id="366" w:name="_Toc155185925"/>
      <w:r>
        <w:rPr>
          <w:rFonts w:hint="eastAsia"/>
          <w:color w:val="auto"/>
          <w:highlight w:val="none"/>
        </w:rPr>
        <w:t>十一、授权委托书</w:t>
      </w:r>
      <w:bookmarkEnd w:id="364"/>
      <w:bookmarkEnd w:id="365"/>
      <w:bookmarkEnd w:id="366"/>
    </w:p>
    <w:p w14:paraId="2964D4D9">
      <w:pPr>
        <w:ind w:firstLine="480" w:firstLineChars="200"/>
        <w:rPr>
          <w:rFonts w:hint="eastAsia"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rPr>
        <w:t>（姓名）系</w:t>
      </w:r>
      <w:r>
        <w:rPr>
          <w:rFonts w:hint="eastAsia" w:cs="仿宋_GB2312"/>
          <w:color w:val="auto"/>
          <w:szCs w:val="24"/>
          <w:highlight w:val="none"/>
          <w:u w:val="single"/>
        </w:rPr>
        <w:t xml:space="preserve">          </w:t>
      </w:r>
      <w:r>
        <w:rPr>
          <w:rFonts w:hint="eastAsia" w:cs="仿宋_GB2312"/>
          <w:color w:val="auto"/>
          <w:szCs w:val="24"/>
          <w:highlight w:val="none"/>
        </w:rPr>
        <w:t>（投标人名称）的法定代表人</w:t>
      </w:r>
      <w:r>
        <w:rPr>
          <w:rFonts w:hint="eastAsia"/>
          <w:color w:val="auto"/>
          <w:highlight w:val="none"/>
        </w:rPr>
        <w:t>（单位负责人）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（姓名）为我方代理人。代理人根据授权，以我方名义签署、澄清确认、说明、补正、递交、撤回、修改</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7F9CD815">
      <w:pPr>
        <w:ind w:firstLine="480" w:firstLineChars="200"/>
        <w:rPr>
          <w:rFonts w:hint="eastAsia" w:cs="仿宋_GB2312"/>
          <w:color w:val="auto"/>
          <w:szCs w:val="24"/>
          <w:highlight w:val="none"/>
        </w:rPr>
      </w:pPr>
      <w:r>
        <w:rPr>
          <w:rFonts w:hint="eastAsia" w:cs="仿宋_GB2312"/>
          <w:color w:val="auto"/>
          <w:szCs w:val="24"/>
          <w:highlight w:val="none"/>
        </w:rPr>
        <w:t>委托期限：自本授权委托书签署之日起至投标有效期届满之日止。</w:t>
      </w:r>
    </w:p>
    <w:p w14:paraId="1BA0F2A6">
      <w:pPr>
        <w:ind w:firstLine="480" w:firstLineChars="200"/>
        <w:rPr>
          <w:rFonts w:hint="eastAsia" w:cs="仿宋_GB2312"/>
          <w:color w:val="auto"/>
          <w:szCs w:val="24"/>
          <w:highlight w:val="none"/>
        </w:rPr>
      </w:pPr>
      <w:r>
        <w:rPr>
          <w:rFonts w:hint="eastAsia" w:cs="仿宋_GB2312"/>
          <w:color w:val="auto"/>
          <w:szCs w:val="24"/>
          <w:highlight w:val="none"/>
        </w:rPr>
        <w:t>代理人无转委托权。</w:t>
      </w:r>
    </w:p>
    <w:p w14:paraId="63B51368">
      <w:pPr>
        <w:spacing w:line="240" w:lineRule="exact"/>
        <w:ind w:firstLine="480" w:firstLineChars="200"/>
        <w:rPr>
          <w:rFonts w:hint="eastAsia" w:cs="仿宋_GB2312"/>
          <w:color w:val="auto"/>
          <w:szCs w:val="24"/>
          <w:highlight w:val="none"/>
        </w:rPr>
      </w:pPr>
    </w:p>
    <w:p w14:paraId="1074D3D0">
      <w:pPr>
        <w:widowControl/>
        <w:rPr>
          <w:rFonts w:hint="eastAsia"/>
          <w:color w:val="auto"/>
          <w:highlight w:val="none"/>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4C8D60EA">
      <w:pPr>
        <w:widowControl/>
        <w:rPr>
          <w:rFonts w:hint="eastAsia"/>
          <w:color w:val="auto"/>
          <w:highlight w:val="none"/>
        </w:rPr>
      </w:pPr>
      <w:r>
        <w:rPr>
          <w:rFonts w:hint="eastAsia" w:cs="宋体"/>
          <w:color w:val="auto"/>
          <w:kern w:val="0"/>
          <w:szCs w:val="24"/>
          <w:highlight w:val="none"/>
          <w:lang w:bidi="ar"/>
        </w:rPr>
        <w:t>法定代表人（单位负责人）（签字或</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36C3FD24">
      <w:pPr>
        <w:widowControl/>
        <w:rPr>
          <w:rFonts w:hint="eastAsia"/>
          <w:color w:val="auto"/>
          <w:highlight w:val="none"/>
        </w:rPr>
      </w:pPr>
      <w:r>
        <w:rPr>
          <w:rFonts w:hint="eastAsia" w:cs="宋体"/>
          <w:color w:val="auto"/>
          <w:kern w:val="0"/>
          <w:szCs w:val="24"/>
          <w:highlight w:val="none"/>
          <w:lang w:bidi="ar"/>
        </w:rPr>
        <w:t>委托代理人（签字或</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r>
        <w:rPr>
          <w:rFonts w:hint="eastAsia" w:ascii="DejaVuSans" w:hAnsi="DejaVuSans" w:eastAsia="DejaVuSans" w:cs="DejaVuSans"/>
          <w:color w:val="auto"/>
          <w:kern w:val="0"/>
          <w:szCs w:val="24"/>
          <w:highlight w:val="none"/>
          <w:lang w:bidi="ar"/>
        </w:rPr>
        <w:t xml:space="preserve">   联系电话：</w:t>
      </w:r>
      <w:r>
        <w:rPr>
          <w:rFonts w:ascii="DejaVuSans" w:hAnsi="DejaVuSans" w:eastAsia="DejaVuSans" w:cs="DejaVuSans"/>
          <w:color w:val="auto"/>
          <w:kern w:val="0"/>
          <w:szCs w:val="24"/>
          <w:highlight w:val="none"/>
          <w:lang w:bidi="ar"/>
        </w:rPr>
        <w:t>________</w:t>
      </w:r>
    </w:p>
    <w:p w14:paraId="1E1F5FE5">
      <w:pPr>
        <w:widowControl/>
        <w:rPr>
          <w:rFonts w:hint="eastAsia"/>
          <w:color w:val="auto"/>
          <w:highlight w:val="none"/>
        </w:rPr>
      </w:pPr>
      <w:r>
        <w:rPr>
          <w:rFonts w:hint="eastAsia" w:cs="宋体"/>
          <w:color w:val="auto"/>
          <w:kern w:val="0"/>
          <w:szCs w:val="24"/>
          <w:highlight w:val="none"/>
          <w:lang w:bidi="ar"/>
        </w:rPr>
        <w:t>日期：</w:t>
      </w:r>
      <w:r>
        <w:rPr>
          <w:rFonts w:ascii="DejaVuSans" w:hAnsi="DejaVuSans" w:eastAsia="DejaVuSans" w:cs="DejaVuSans"/>
          <w:color w:val="auto"/>
          <w:kern w:val="0"/>
          <w:szCs w:val="24"/>
          <w:highlight w:val="none"/>
          <w:lang w:bidi="ar"/>
        </w:rPr>
        <w:t>_____</w:t>
      </w:r>
      <w:r>
        <w:rPr>
          <w:rFonts w:hint="eastAsia" w:cs="宋体"/>
          <w:color w:val="auto"/>
          <w:kern w:val="0"/>
          <w:szCs w:val="24"/>
          <w:highlight w:val="none"/>
          <w:lang w:bidi="ar"/>
        </w:rPr>
        <w:t>年</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月</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 xml:space="preserve">日 </w:t>
      </w:r>
    </w:p>
    <w:p w14:paraId="6F6137B4">
      <w:pPr>
        <w:spacing w:line="240" w:lineRule="exact"/>
        <w:ind w:firstLine="480" w:firstLineChars="200"/>
        <w:rPr>
          <w:rFonts w:hint="eastAsia" w:cs="仿宋_GB2312"/>
          <w:color w:val="auto"/>
          <w:szCs w:val="24"/>
          <w:highlight w:val="none"/>
        </w:rPr>
      </w:pPr>
    </w:p>
    <w:p w14:paraId="26E6DBB7">
      <w:pPr>
        <w:widowControl/>
        <w:rPr>
          <w:rFonts w:hint="eastAsia"/>
          <w:color w:val="auto"/>
          <w:highlight w:val="none"/>
        </w:rPr>
      </w:pPr>
      <w:r>
        <w:rPr>
          <w:rFonts w:hint="eastAsia" w:cs="宋体"/>
          <w:color w:val="auto"/>
          <w:kern w:val="0"/>
          <w:szCs w:val="24"/>
          <w:highlight w:val="none"/>
          <w:lang w:bidi="ar"/>
        </w:rPr>
        <w:t xml:space="preserve">附：法定代表人及委托代理人身份证明文件电子件： </w:t>
      </w:r>
    </w:p>
    <w:tbl>
      <w:tblPr>
        <w:tblStyle w:val="1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6F7A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36137E2B">
            <w:pPr>
              <w:rPr>
                <w:rFonts w:hint="eastAsia" w:cs="Arial"/>
                <w:color w:val="auto"/>
                <w:highlight w:val="none"/>
              </w:rPr>
            </w:pPr>
          </w:p>
        </w:tc>
      </w:tr>
    </w:tbl>
    <w:p w14:paraId="653E9D60">
      <w:pPr>
        <w:ind w:firstLine="480" w:firstLineChars="200"/>
        <w:rPr>
          <w:rFonts w:hint="eastAsia" w:cs="仿宋_GB2312"/>
          <w:color w:val="auto"/>
          <w:szCs w:val="24"/>
          <w:highlight w:val="none"/>
        </w:rPr>
      </w:pPr>
      <w:r>
        <w:rPr>
          <w:rFonts w:hint="eastAsia" w:cs="仿宋_GB2312"/>
          <w:color w:val="auto"/>
          <w:szCs w:val="24"/>
          <w:highlight w:val="none"/>
        </w:rPr>
        <w:t xml:space="preserve">说明： </w:t>
      </w:r>
    </w:p>
    <w:p w14:paraId="05A38C26">
      <w:pPr>
        <w:ind w:firstLine="480" w:firstLineChars="200"/>
        <w:rPr>
          <w:rFonts w:hint="eastAsia" w:cs="仿宋_GB2312"/>
          <w:color w:val="auto"/>
          <w:szCs w:val="24"/>
          <w:highlight w:val="none"/>
        </w:rPr>
      </w:pPr>
      <w:r>
        <w:rPr>
          <w:rFonts w:hint="eastAsia" w:cs="仿宋_GB2312"/>
          <w:color w:val="auto"/>
          <w:szCs w:val="24"/>
          <w:highlight w:val="none"/>
        </w:rPr>
        <w:t xml:space="preserve">1.若投标人为事业单位或其他组织或分支机构，则法定代表人（单位负责人）处的签署人可为单位负责人。 </w:t>
      </w:r>
    </w:p>
    <w:p w14:paraId="7BCD2712">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 xml:space="preserve">若投标文件中签字之处均为法定代表人（单位负责人）本人签署，则可不提供本《授权委托书》，但须提供《法定代表人（单位负责人）身份证明》。 </w:t>
      </w:r>
    </w:p>
    <w:p w14:paraId="72734A9A">
      <w:pPr>
        <w:ind w:firstLine="480" w:firstLineChars="200"/>
        <w:rPr>
          <w:rFonts w:hint="eastAsia" w:cs="仿宋_GB2312"/>
          <w:color w:val="auto"/>
          <w:szCs w:val="24"/>
          <w:highlight w:val="none"/>
        </w:rPr>
      </w:pPr>
      <w:r>
        <w:rPr>
          <w:rFonts w:cs="仿宋_GB2312"/>
          <w:color w:val="auto"/>
          <w:szCs w:val="24"/>
          <w:highlight w:val="none"/>
        </w:rPr>
        <w:t>3.</w:t>
      </w:r>
      <w:r>
        <w:rPr>
          <w:rFonts w:hint="eastAsia" w:cs="仿宋_GB2312"/>
          <w:color w:val="auto"/>
          <w:szCs w:val="24"/>
          <w:highlight w:val="none"/>
        </w:rPr>
        <w:t xml:space="preserve">投标人为自然人的情形，可不提供本《授权委托书》。 </w:t>
      </w:r>
    </w:p>
    <w:p w14:paraId="476D13AF">
      <w:pPr>
        <w:ind w:firstLine="480" w:firstLineChars="200"/>
        <w:rPr>
          <w:rFonts w:hint="eastAsia" w:cs="仿宋_GB2312"/>
          <w:color w:val="auto"/>
          <w:szCs w:val="24"/>
          <w:highlight w:val="none"/>
        </w:rPr>
      </w:pPr>
      <w:r>
        <w:rPr>
          <w:rFonts w:cs="仿宋_GB2312"/>
          <w:color w:val="auto"/>
          <w:szCs w:val="24"/>
          <w:highlight w:val="none"/>
        </w:rPr>
        <w:t>4.</w:t>
      </w:r>
      <w:r>
        <w:rPr>
          <w:rFonts w:hint="eastAsia" w:cs="仿宋_GB2312"/>
          <w:color w:val="auto"/>
          <w:szCs w:val="24"/>
          <w:highlight w:val="none"/>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rPr>
        <w:t>双面</w:t>
      </w:r>
      <w:r>
        <w:rPr>
          <w:rFonts w:hint="eastAsia" w:cs="仿宋_GB2312"/>
          <w:color w:val="auto"/>
          <w:szCs w:val="24"/>
          <w:highlight w:val="none"/>
        </w:rPr>
        <w:t>电子件。</w:t>
      </w:r>
    </w:p>
    <w:p w14:paraId="070C29B9">
      <w:pPr>
        <w:pStyle w:val="5"/>
        <w:spacing w:before="100" w:after="100" w:line="360" w:lineRule="auto"/>
        <w:ind w:left="420" w:hanging="420"/>
        <w:jc w:val="center"/>
        <w:rPr>
          <w:color w:val="auto"/>
          <w:highlight w:val="none"/>
        </w:rPr>
      </w:pPr>
      <w:bookmarkStart w:id="367" w:name="_Toc155185934"/>
      <w:bookmarkStart w:id="368" w:name="_Toc163492928"/>
      <w:bookmarkStart w:id="369" w:name="_Toc28250"/>
      <w:r>
        <w:rPr>
          <w:rFonts w:hint="eastAsia"/>
          <w:color w:val="auto"/>
          <w:highlight w:val="none"/>
        </w:rPr>
        <w:t>十二、</w:t>
      </w:r>
      <w:bookmarkEnd w:id="367"/>
      <w:bookmarkEnd w:id="368"/>
      <w:bookmarkStart w:id="370" w:name="_Toc163492929"/>
      <w:r>
        <w:rPr>
          <w:rFonts w:hint="eastAsia"/>
          <w:color w:val="auto"/>
          <w:highlight w:val="none"/>
          <w:lang w:val="zh-CN"/>
        </w:rPr>
        <w:t>政府采购</w:t>
      </w:r>
      <w:r>
        <w:rPr>
          <w:rFonts w:hint="eastAsia"/>
          <w:color w:val="auto"/>
          <w:highlight w:val="none"/>
        </w:rPr>
        <w:t>投标人</w:t>
      </w:r>
      <w:r>
        <w:rPr>
          <w:rFonts w:hint="eastAsia"/>
          <w:color w:val="auto"/>
          <w:highlight w:val="none"/>
          <w:lang w:val="zh-CN"/>
        </w:rPr>
        <w:t>廉洁自律承诺书</w:t>
      </w:r>
      <w:bookmarkEnd w:id="369"/>
    </w:p>
    <w:p w14:paraId="464F03BF">
      <w:pPr>
        <w:pStyle w:val="10"/>
        <w:rPr>
          <w:rFonts w:hint="eastAsia"/>
          <w:color w:val="auto"/>
          <w:highlight w:val="none"/>
        </w:rPr>
      </w:pPr>
    </w:p>
    <w:p w14:paraId="75C61FA7">
      <w:pPr>
        <w:snapToGrid w:val="0"/>
        <w:rPr>
          <w:rFonts w:hint="eastAsia" w:cs="宋体"/>
          <w:color w:val="auto"/>
          <w:kern w:val="0"/>
          <w:szCs w:val="24"/>
          <w:highlight w:val="none"/>
        </w:rPr>
      </w:pPr>
      <w:r>
        <w:rPr>
          <w:rFonts w:hint="eastAsia" w:cs="宋体"/>
          <w:color w:val="auto"/>
          <w:szCs w:val="24"/>
          <w:highlight w:val="none"/>
        </w:rPr>
        <w:t>（采购人）、（采购代理机构）</w:t>
      </w:r>
      <w:r>
        <w:rPr>
          <w:rFonts w:hint="eastAsia" w:cs="宋体"/>
          <w:color w:val="auto"/>
          <w:kern w:val="0"/>
          <w:szCs w:val="24"/>
          <w:highlight w:val="none"/>
          <w:lang w:val="zh-CN"/>
        </w:rPr>
        <w:t>：</w:t>
      </w:r>
    </w:p>
    <w:p w14:paraId="19A8A552">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我单位响应你</w:t>
      </w:r>
      <w:r>
        <w:rPr>
          <w:rFonts w:hint="eastAsia" w:cs="宋体"/>
          <w:color w:val="auto"/>
          <w:szCs w:val="24"/>
          <w:highlight w:val="none"/>
        </w:rPr>
        <w:t>单位</w:t>
      </w:r>
      <w:r>
        <w:rPr>
          <w:rFonts w:hint="eastAsia" w:cs="宋体"/>
          <w:color w:val="auto"/>
          <w:kern w:val="0"/>
          <w:szCs w:val="24"/>
          <w:highlight w:val="none"/>
          <w:lang w:val="zh-CN"/>
        </w:rPr>
        <w:t>项目招标</w:t>
      </w:r>
      <w:r>
        <w:rPr>
          <w:rFonts w:hint="eastAsia" w:cs="宋体"/>
          <w:color w:val="auto"/>
          <w:kern w:val="0"/>
          <w:szCs w:val="24"/>
          <w:highlight w:val="none"/>
        </w:rPr>
        <w:t>文件</w:t>
      </w:r>
      <w:r>
        <w:rPr>
          <w:rFonts w:hint="eastAsia" w:cs="宋体"/>
          <w:color w:val="auto"/>
          <w:kern w:val="0"/>
          <w:szCs w:val="24"/>
          <w:highlight w:val="none"/>
          <w:lang w:val="zh-CN"/>
        </w:rPr>
        <w:t>要求参加投标。在这次投标过程中和中标后，我们将严格遵守国家法律法规要求，并郑重承诺：</w:t>
      </w:r>
    </w:p>
    <w:p w14:paraId="28C858C6">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 xml:space="preserve">一、不向项目有关人员及部门赠送礼金礼物、有价证券、回扣以及中介费、介绍费、咨询费等好处费； </w:t>
      </w:r>
    </w:p>
    <w:p w14:paraId="54F7D661">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 xml:space="preserve">二、不为项目有关人员及部门报销应由你方单位或个人支付的费用； </w:t>
      </w:r>
    </w:p>
    <w:p w14:paraId="34F271C6">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三、不向项目有关人员及部门提供有可能影响公正的宴请和健身娱乐等活动；</w:t>
      </w:r>
    </w:p>
    <w:p w14:paraId="0DFB7D08">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四、不为项目有关人员及部门出国（境）、旅游等提供方便；</w:t>
      </w:r>
    </w:p>
    <w:p w14:paraId="1445BBE2">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五、不为项目有关人员个人装修住房、婚丧嫁娶、配偶子女工作安排等提供好处；</w:t>
      </w:r>
    </w:p>
    <w:p w14:paraId="7835C052">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六、严格遵守《中华人民共和国政府采购法》《中华人民共和国政府采购法</w:t>
      </w:r>
      <w:r>
        <w:rPr>
          <w:rFonts w:hint="eastAsia" w:cs="宋体"/>
          <w:color w:val="auto"/>
          <w:kern w:val="0"/>
          <w:szCs w:val="24"/>
          <w:highlight w:val="none"/>
        </w:rPr>
        <w:t>实施条例</w:t>
      </w:r>
      <w:r>
        <w:rPr>
          <w:rFonts w:hint="eastAsia" w:cs="宋体"/>
          <w:color w:val="auto"/>
          <w:kern w:val="0"/>
          <w:szCs w:val="24"/>
          <w:highlight w:val="none"/>
          <w:lang w:val="zh-CN"/>
        </w:rPr>
        <w:t xml:space="preserve">》《中华人民共和国民法典》等法律法规，诚实守信，合法经营，坚决抵制各种违法违纪行为。 </w:t>
      </w:r>
    </w:p>
    <w:p w14:paraId="2D87134B">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如违反上述承诺，你单位有权立即取消我单位投标、中标或在建项目的建设资格，有权拒绝我单位在一定时期内进入你单位进行项目建设或其他经营活动，并通报财政局。由此引起的相应损失均由我单位承担。</w:t>
      </w:r>
    </w:p>
    <w:p w14:paraId="7973077D">
      <w:pPr>
        <w:autoSpaceDE w:val="0"/>
        <w:autoSpaceDN w:val="0"/>
        <w:ind w:left="2"/>
        <w:rPr>
          <w:rFonts w:hint="eastAsia" w:cs="宋体"/>
          <w:color w:val="auto"/>
          <w:kern w:val="0"/>
          <w:szCs w:val="24"/>
          <w:highlight w:val="none"/>
          <w:lang w:val="zh-CN"/>
        </w:rPr>
      </w:pPr>
    </w:p>
    <w:p w14:paraId="652DE053">
      <w:pPr>
        <w:autoSpaceDE w:val="0"/>
        <w:autoSpaceDN w:val="0"/>
        <w:ind w:left="2"/>
        <w:rPr>
          <w:rFonts w:hint="eastAsia" w:cs="宋体"/>
          <w:color w:val="auto"/>
          <w:kern w:val="0"/>
          <w:szCs w:val="24"/>
          <w:highlight w:val="none"/>
          <w:lang w:val="zh-CN"/>
        </w:rPr>
      </w:pPr>
    </w:p>
    <w:p w14:paraId="7D9A9085">
      <w:pPr>
        <w:autoSpaceDE w:val="0"/>
        <w:autoSpaceDN w:val="0"/>
        <w:ind w:left="2"/>
        <w:rPr>
          <w:rFonts w:hint="eastAsia" w:cs="宋体"/>
          <w:color w:val="auto"/>
          <w:kern w:val="0"/>
          <w:szCs w:val="24"/>
          <w:highlight w:val="none"/>
          <w:lang w:val="zh-CN"/>
        </w:rPr>
      </w:pPr>
    </w:p>
    <w:p w14:paraId="57CC6B89">
      <w:pPr>
        <w:autoSpaceDE w:val="0"/>
        <w:autoSpaceDN w:val="0"/>
        <w:ind w:left="2" w:leftChars="1" w:right="1120" w:firstLine="4560" w:firstLineChars="1900"/>
        <w:rPr>
          <w:rFonts w:hint="eastAsia" w:cs="宋体"/>
          <w:color w:val="auto"/>
          <w:kern w:val="0"/>
          <w:szCs w:val="24"/>
          <w:highlight w:val="none"/>
          <w:lang w:val="zh-CN"/>
        </w:rPr>
      </w:pPr>
      <w:r>
        <w:rPr>
          <w:rFonts w:hint="eastAsia" w:cs="宋体"/>
          <w:color w:val="auto"/>
          <w:kern w:val="0"/>
          <w:szCs w:val="24"/>
          <w:highlight w:val="none"/>
          <w:lang w:val="zh-CN"/>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val="zh-CN"/>
        </w:rPr>
        <w:t xml:space="preserve">：                                                                                                                                                                                                               </w:t>
      </w:r>
    </w:p>
    <w:p w14:paraId="4E3F15AB">
      <w:pPr>
        <w:ind w:firstLine="4560" w:firstLineChars="1900"/>
        <w:rPr>
          <w:rFonts w:asciiTheme="majorHAnsi" w:hAnsiTheme="majorHAnsi" w:cstheme="majorBidi"/>
          <w:b/>
          <w:bCs/>
          <w:color w:val="auto"/>
          <w:szCs w:val="24"/>
          <w:highlight w:val="none"/>
        </w:rPr>
      </w:pPr>
      <w:r>
        <w:rPr>
          <w:rFonts w:hint="eastAsia" w:cs="宋体"/>
          <w:color w:val="auto"/>
          <w:kern w:val="0"/>
          <w:szCs w:val="24"/>
          <w:highlight w:val="none"/>
          <w:lang w:val="zh-CN"/>
        </w:rPr>
        <w:t>日期</w:t>
      </w:r>
      <w:r>
        <w:rPr>
          <w:rFonts w:hint="eastAsia" w:cs="宋体"/>
          <w:color w:val="auto"/>
          <w:kern w:val="0"/>
          <w:szCs w:val="24"/>
          <w:highlight w:val="none"/>
        </w:rPr>
        <w:t>：</w:t>
      </w:r>
      <w:r>
        <w:rPr>
          <w:rFonts w:hint="eastAsia" w:cs="宋体"/>
          <w:color w:val="auto"/>
          <w:kern w:val="0"/>
          <w:szCs w:val="24"/>
          <w:highlight w:val="none"/>
          <w:lang w:val="zh-CN"/>
        </w:rPr>
        <w:t xml:space="preserve">   年   月   日</w:t>
      </w:r>
    </w:p>
    <w:p w14:paraId="4BCCA061">
      <w:pPr>
        <w:rPr>
          <w:rFonts w:asciiTheme="majorHAnsi" w:hAnsiTheme="majorHAnsi" w:cstheme="majorBidi"/>
          <w:b/>
          <w:bCs/>
          <w:color w:val="auto"/>
          <w:szCs w:val="24"/>
          <w:highlight w:val="none"/>
        </w:rPr>
      </w:pPr>
    </w:p>
    <w:p w14:paraId="3BFAE5F9">
      <w:pPr>
        <w:pStyle w:val="10"/>
        <w:rPr>
          <w:rFonts w:eastAsia="宋体" w:asciiTheme="majorHAnsi" w:hAnsiTheme="majorHAnsi" w:cstheme="majorBidi"/>
          <w:b/>
          <w:bCs/>
          <w:color w:val="auto"/>
          <w:sz w:val="24"/>
          <w:highlight w:val="none"/>
        </w:rPr>
      </w:pPr>
    </w:p>
    <w:p w14:paraId="061DD4D6">
      <w:pPr>
        <w:pStyle w:val="10"/>
        <w:rPr>
          <w:rFonts w:eastAsia="宋体" w:asciiTheme="majorHAnsi" w:hAnsiTheme="majorHAnsi" w:cstheme="majorBidi"/>
          <w:b/>
          <w:bCs/>
          <w:color w:val="auto"/>
          <w:sz w:val="24"/>
          <w:highlight w:val="none"/>
        </w:rPr>
      </w:pPr>
    </w:p>
    <w:p w14:paraId="6625C488">
      <w:pPr>
        <w:pStyle w:val="10"/>
        <w:rPr>
          <w:rFonts w:eastAsia="宋体" w:asciiTheme="majorHAnsi" w:hAnsiTheme="majorHAnsi" w:cstheme="majorBidi"/>
          <w:b/>
          <w:bCs/>
          <w:color w:val="auto"/>
          <w:sz w:val="24"/>
          <w:highlight w:val="none"/>
        </w:rPr>
      </w:pPr>
    </w:p>
    <w:p w14:paraId="00C86717">
      <w:pPr>
        <w:pStyle w:val="10"/>
        <w:rPr>
          <w:rFonts w:eastAsia="宋体" w:asciiTheme="majorHAnsi" w:hAnsiTheme="majorHAnsi" w:cstheme="majorBidi"/>
          <w:b/>
          <w:bCs/>
          <w:color w:val="auto"/>
          <w:sz w:val="24"/>
          <w:highlight w:val="none"/>
        </w:rPr>
      </w:pPr>
    </w:p>
    <w:bookmarkEnd w:id="370"/>
    <w:p w14:paraId="626EF50E">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r>
        <w:rPr>
          <w:rFonts w:hint="eastAsia" w:cstheme="majorBidi"/>
          <w:b/>
          <w:bCs/>
          <w:color w:val="auto"/>
          <w:kern w:val="2"/>
          <w:sz w:val="32"/>
          <w:szCs w:val="32"/>
          <w:highlight w:val="none"/>
          <w:lang w:val="en-US" w:eastAsia="zh-CN" w:bidi="ar-SA"/>
        </w:rPr>
        <w:t>十三</w:t>
      </w:r>
      <w:r>
        <w:rPr>
          <w:rFonts w:hint="eastAsia" w:eastAsia="宋体" w:asciiTheme="majorHAnsi" w:hAnsiTheme="majorHAnsi" w:cstheme="majorBidi"/>
          <w:b/>
          <w:bCs/>
          <w:color w:val="auto"/>
          <w:kern w:val="2"/>
          <w:sz w:val="32"/>
          <w:szCs w:val="32"/>
          <w:highlight w:val="none"/>
          <w:lang w:val="en-US" w:eastAsia="zh-CN" w:bidi="ar-SA"/>
        </w:rPr>
        <w:t>、商务响应偏离表</w:t>
      </w:r>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15"/>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21"/>
              <w:jc w:val="center"/>
              <w:rPr>
                <w:rFonts w:hint="eastAsia" w:ascii="宋体" w:hAnsi="宋体" w:eastAsia="宋体" w:cs="宋体"/>
                <w:color w:val="auto"/>
                <w:sz w:val="21"/>
                <w:szCs w:val="21"/>
                <w:highlight w:val="none"/>
              </w:rPr>
            </w:pPr>
          </w:p>
        </w:tc>
        <w:tc>
          <w:tcPr>
            <w:tcW w:w="1002" w:type="pct"/>
            <w:vAlign w:val="center"/>
          </w:tcPr>
          <w:p w14:paraId="1C6482B4">
            <w:pPr>
              <w:pStyle w:val="21"/>
              <w:jc w:val="center"/>
              <w:rPr>
                <w:rFonts w:hint="eastAsia" w:ascii="宋体" w:hAnsi="宋体" w:eastAsia="宋体" w:cs="宋体"/>
                <w:color w:val="auto"/>
                <w:sz w:val="21"/>
                <w:szCs w:val="21"/>
                <w:highlight w:val="none"/>
              </w:rPr>
            </w:pPr>
          </w:p>
        </w:tc>
        <w:tc>
          <w:tcPr>
            <w:tcW w:w="1871" w:type="dxa"/>
            <w:vAlign w:val="center"/>
          </w:tcPr>
          <w:p w14:paraId="1BBD0417">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1A90E39C">
            <w:pPr>
              <w:pStyle w:val="21"/>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21"/>
              <w:jc w:val="center"/>
              <w:rPr>
                <w:rFonts w:hint="eastAsia" w:ascii="宋体" w:hAnsi="宋体" w:eastAsia="宋体" w:cs="宋体"/>
                <w:color w:val="auto"/>
                <w:sz w:val="21"/>
                <w:szCs w:val="21"/>
                <w:highlight w:val="none"/>
              </w:rPr>
            </w:pPr>
          </w:p>
        </w:tc>
        <w:tc>
          <w:tcPr>
            <w:tcW w:w="1002" w:type="pct"/>
            <w:vAlign w:val="center"/>
          </w:tcPr>
          <w:p w14:paraId="20EC7575">
            <w:pPr>
              <w:pStyle w:val="21"/>
              <w:jc w:val="center"/>
              <w:rPr>
                <w:rFonts w:hint="eastAsia" w:ascii="宋体" w:hAnsi="宋体" w:eastAsia="宋体" w:cs="宋体"/>
                <w:color w:val="auto"/>
                <w:sz w:val="21"/>
                <w:szCs w:val="21"/>
                <w:highlight w:val="none"/>
              </w:rPr>
            </w:pPr>
          </w:p>
        </w:tc>
        <w:tc>
          <w:tcPr>
            <w:tcW w:w="1871" w:type="dxa"/>
            <w:vAlign w:val="center"/>
          </w:tcPr>
          <w:p w14:paraId="5923E58D">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59C2C317">
            <w:pPr>
              <w:pStyle w:val="21"/>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21"/>
              <w:jc w:val="center"/>
              <w:rPr>
                <w:rFonts w:hint="eastAsia" w:ascii="宋体" w:hAnsi="宋体" w:eastAsia="宋体" w:cs="宋体"/>
                <w:color w:val="auto"/>
                <w:sz w:val="21"/>
                <w:szCs w:val="21"/>
                <w:highlight w:val="none"/>
              </w:rPr>
            </w:pPr>
          </w:p>
        </w:tc>
        <w:tc>
          <w:tcPr>
            <w:tcW w:w="1002" w:type="pct"/>
            <w:vAlign w:val="center"/>
          </w:tcPr>
          <w:p w14:paraId="0A16B4B6">
            <w:pPr>
              <w:pStyle w:val="21"/>
              <w:jc w:val="center"/>
              <w:rPr>
                <w:rFonts w:hint="eastAsia" w:ascii="宋体" w:hAnsi="宋体" w:eastAsia="宋体" w:cs="宋体"/>
                <w:color w:val="auto"/>
                <w:sz w:val="21"/>
                <w:szCs w:val="21"/>
                <w:highlight w:val="none"/>
              </w:rPr>
            </w:pPr>
          </w:p>
        </w:tc>
        <w:tc>
          <w:tcPr>
            <w:tcW w:w="1871" w:type="dxa"/>
            <w:vAlign w:val="center"/>
          </w:tcPr>
          <w:p w14:paraId="58535F72">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090" w:type="pct"/>
            <w:vAlign w:val="center"/>
          </w:tcPr>
          <w:p w14:paraId="50AB520B">
            <w:pPr>
              <w:pStyle w:val="21"/>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21"/>
              <w:jc w:val="center"/>
              <w:rPr>
                <w:rFonts w:hint="eastAsia" w:ascii="宋体" w:hAnsi="宋体" w:eastAsia="宋体" w:cs="宋体"/>
                <w:color w:val="auto"/>
                <w:sz w:val="21"/>
                <w:szCs w:val="21"/>
                <w:highlight w:val="none"/>
              </w:rPr>
            </w:pPr>
          </w:p>
        </w:tc>
        <w:tc>
          <w:tcPr>
            <w:tcW w:w="1395" w:type="pct"/>
            <w:vAlign w:val="center"/>
          </w:tcPr>
          <w:p w14:paraId="14968038">
            <w:pPr>
              <w:pStyle w:val="21"/>
              <w:jc w:val="center"/>
              <w:rPr>
                <w:rFonts w:hint="eastAsia" w:ascii="宋体" w:hAnsi="宋体" w:eastAsia="宋体" w:cs="宋体"/>
                <w:color w:val="auto"/>
                <w:sz w:val="21"/>
                <w:szCs w:val="21"/>
                <w:highlight w:val="none"/>
              </w:rPr>
            </w:pPr>
          </w:p>
        </w:tc>
        <w:tc>
          <w:tcPr>
            <w:tcW w:w="1002" w:type="pct"/>
            <w:vAlign w:val="center"/>
          </w:tcPr>
          <w:p w14:paraId="10A6B59E">
            <w:pPr>
              <w:pStyle w:val="21"/>
              <w:jc w:val="center"/>
              <w:rPr>
                <w:rFonts w:hint="eastAsia" w:ascii="宋体" w:hAnsi="宋体" w:eastAsia="宋体" w:cs="宋体"/>
                <w:color w:val="auto"/>
                <w:sz w:val="21"/>
                <w:szCs w:val="21"/>
                <w:highlight w:val="none"/>
              </w:rPr>
            </w:pPr>
          </w:p>
        </w:tc>
        <w:tc>
          <w:tcPr>
            <w:tcW w:w="1090" w:type="pct"/>
            <w:vAlign w:val="center"/>
          </w:tcPr>
          <w:p w14:paraId="61702DF6">
            <w:pPr>
              <w:pStyle w:val="21"/>
              <w:jc w:val="center"/>
              <w:rPr>
                <w:rFonts w:hint="eastAsia" w:ascii="宋体" w:hAnsi="宋体" w:eastAsia="宋体" w:cs="宋体"/>
                <w:color w:val="auto"/>
                <w:sz w:val="21"/>
                <w:szCs w:val="21"/>
                <w:highlight w:val="none"/>
              </w:rPr>
            </w:pPr>
          </w:p>
        </w:tc>
        <w:tc>
          <w:tcPr>
            <w:tcW w:w="1090" w:type="pct"/>
            <w:vAlign w:val="center"/>
          </w:tcPr>
          <w:p w14:paraId="0CC18FC2">
            <w:pPr>
              <w:pStyle w:val="21"/>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21"/>
              <w:jc w:val="center"/>
              <w:rPr>
                <w:rFonts w:hint="eastAsia" w:ascii="宋体" w:hAnsi="宋体" w:eastAsia="宋体" w:cs="宋体"/>
                <w:color w:val="auto"/>
                <w:sz w:val="21"/>
                <w:szCs w:val="21"/>
                <w:highlight w:val="none"/>
              </w:rPr>
            </w:pPr>
          </w:p>
        </w:tc>
        <w:tc>
          <w:tcPr>
            <w:tcW w:w="1395" w:type="pct"/>
            <w:vAlign w:val="center"/>
          </w:tcPr>
          <w:p w14:paraId="5DDD9937">
            <w:pPr>
              <w:pStyle w:val="21"/>
              <w:jc w:val="center"/>
              <w:rPr>
                <w:rFonts w:hint="eastAsia" w:ascii="宋体" w:hAnsi="宋体" w:eastAsia="宋体" w:cs="宋体"/>
                <w:color w:val="auto"/>
                <w:sz w:val="21"/>
                <w:szCs w:val="21"/>
                <w:highlight w:val="none"/>
              </w:rPr>
            </w:pPr>
          </w:p>
        </w:tc>
        <w:tc>
          <w:tcPr>
            <w:tcW w:w="1002" w:type="pct"/>
            <w:vAlign w:val="center"/>
          </w:tcPr>
          <w:p w14:paraId="0B29A018">
            <w:pPr>
              <w:pStyle w:val="21"/>
              <w:jc w:val="center"/>
              <w:rPr>
                <w:rFonts w:hint="eastAsia" w:ascii="宋体" w:hAnsi="宋体" w:eastAsia="宋体" w:cs="宋体"/>
                <w:color w:val="auto"/>
                <w:sz w:val="21"/>
                <w:szCs w:val="21"/>
                <w:highlight w:val="none"/>
              </w:rPr>
            </w:pPr>
          </w:p>
        </w:tc>
        <w:tc>
          <w:tcPr>
            <w:tcW w:w="1090" w:type="pct"/>
            <w:vAlign w:val="center"/>
          </w:tcPr>
          <w:p w14:paraId="1FA693DE">
            <w:pPr>
              <w:pStyle w:val="21"/>
              <w:jc w:val="center"/>
              <w:rPr>
                <w:rFonts w:hint="eastAsia" w:ascii="宋体" w:hAnsi="宋体" w:eastAsia="宋体" w:cs="宋体"/>
                <w:color w:val="auto"/>
                <w:sz w:val="21"/>
                <w:szCs w:val="21"/>
                <w:highlight w:val="none"/>
              </w:rPr>
            </w:pPr>
          </w:p>
        </w:tc>
        <w:tc>
          <w:tcPr>
            <w:tcW w:w="1090" w:type="pct"/>
            <w:vAlign w:val="center"/>
          </w:tcPr>
          <w:p w14:paraId="3D633AB6">
            <w:pPr>
              <w:pStyle w:val="21"/>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21"/>
              <w:jc w:val="center"/>
              <w:rPr>
                <w:rFonts w:hint="eastAsia" w:ascii="宋体" w:hAnsi="宋体" w:eastAsia="宋体" w:cs="宋体"/>
                <w:color w:val="auto"/>
                <w:sz w:val="21"/>
                <w:szCs w:val="21"/>
                <w:highlight w:val="none"/>
              </w:rPr>
            </w:pPr>
          </w:p>
        </w:tc>
        <w:tc>
          <w:tcPr>
            <w:tcW w:w="1395" w:type="pct"/>
            <w:vAlign w:val="center"/>
          </w:tcPr>
          <w:p w14:paraId="014A297F">
            <w:pPr>
              <w:pStyle w:val="21"/>
              <w:jc w:val="center"/>
              <w:rPr>
                <w:rFonts w:hint="eastAsia" w:ascii="宋体" w:hAnsi="宋体" w:eastAsia="宋体" w:cs="宋体"/>
                <w:color w:val="auto"/>
                <w:sz w:val="21"/>
                <w:szCs w:val="21"/>
                <w:highlight w:val="none"/>
              </w:rPr>
            </w:pPr>
          </w:p>
        </w:tc>
        <w:tc>
          <w:tcPr>
            <w:tcW w:w="1002" w:type="pct"/>
            <w:vAlign w:val="center"/>
          </w:tcPr>
          <w:p w14:paraId="51467013">
            <w:pPr>
              <w:pStyle w:val="21"/>
              <w:jc w:val="center"/>
              <w:rPr>
                <w:rFonts w:hint="eastAsia" w:ascii="宋体" w:hAnsi="宋体" w:eastAsia="宋体" w:cs="宋体"/>
                <w:color w:val="auto"/>
                <w:sz w:val="21"/>
                <w:szCs w:val="21"/>
                <w:highlight w:val="none"/>
              </w:rPr>
            </w:pPr>
          </w:p>
        </w:tc>
        <w:tc>
          <w:tcPr>
            <w:tcW w:w="1090" w:type="pct"/>
            <w:vAlign w:val="center"/>
          </w:tcPr>
          <w:p w14:paraId="011E40CA">
            <w:pPr>
              <w:pStyle w:val="21"/>
              <w:jc w:val="center"/>
              <w:rPr>
                <w:rFonts w:hint="eastAsia" w:ascii="宋体" w:hAnsi="宋体" w:eastAsia="宋体" w:cs="宋体"/>
                <w:color w:val="auto"/>
                <w:sz w:val="21"/>
                <w:szCs w:val="21"/>
                <w:highlight w:val="none"/>
              </w:rPr>
            </w:pPr>
          </w:p>
        </w:tc>
        <w:tc>
          <w:tcPr>
            <w:tcW w:w="1090" w:type="pct"/>
            <w:vAlign w:val="center"/>
          </w:tcPr>
          <w:p w14:paraId="7062C313">
            <w:pPr>
              <w:pStyle w:val="21"/>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21"/>
              <w:jc w:val="center"/>
              <w:rPr>
                <w:rFonts w:hint="eastAsia" w:ascii="宋体" w:hAnsi="宋体" w:eastAsia="宋体" w:cs="宋体"/>
                <w:color w:val="auto"/>
                <w:sz w:val="21"/>
                <w:szCs w:val="21"/>
                <w:highlight w:val="none"/>
              </w:rPr>
            </w:pPr>
          </w:p>
        </w:tc>
        <w:tc>
          <w:tcPr>
            <w:tcW w:w="1395" w:type="pct"/>
            <w:vAlign w:val="center"/>
          </w:tcPr>
          <w:p w14:paraId="010A1BB0">
            <w:pPr>
              <w:pStyle w:val="21"/>
              <w:jc w:val="center"/>
              <w:rPr>
                <w:rFonts w:hint="eastAsia" w:ascii="宋体" w:hAnsi="宋体" w:eastAsia="宋体" w:cs="宋体"/>
                <w:color w:val="auto"/>
                <w:sz w:val="21"/>
                <w:szCs w:val="21"/>
                <w:highlight w:val="none"/>
              </w:rPr>
            </w:pPr>
          </w:p>
        </w:tc>
        <w:tc>
          <w:tcPr>
            <w:tcW w:w="1002" w:type="pct"/>
            <w:vAlign w:val="center"/>
          </w:tcPr>
          <w:p w14:paraId="1EE22C75">
            <w:pPr>
              <w:pStyle w:val="21"/>
              <w:jc w:val="center"/>
              <w:rPr>
                <w:rFonts w:hint="eastAsia" w:ascii="宋体" w:hAnsi="宋体" w:eastAsia="宋体" w:cs="宋体"/>
                <w:color w:val="auto"/>
                <w:sz w:val="21"/>
                <w:szCs w:val="21"/>
                <w:highlight w:val="none"/>
              </w:rPr>
            </w:pPr>
          </w:p>
        </w:tc>
        <w:tc>
          <w:tcPr>
            <w:tcW w:w="1090" w:type="pct"/>
            <w:vAlign w:val="center"/>
          </w:tcPr>
          <w:p w14:paraId="3C86F2CC">
            <w:pPr>
              <w:pStyle w:val="21"/>
              <w:jc w:val="center"/>
              <w:rPr>
                <w:rFonts w:hint="eastAsia" w:ascii="宋体" w:hAnsi="宋体" w:eastAsia="宋体" w:cs="宋体"/>
                <w:color w:val="auto"/>
                <w:sz w:val="21"/>
                <w:szCs w:val="21"/>
                <w:highlight w:val="none"/>
              </w:rPr>
            </w:pPr>
          </w:p>
        </w:tc>
        <w:tc>
          <w:tcPr>
            <w:tcW w:w="1090" w:type="pct"/>
            <w:vAlign w:val="center"/>
          </w:tcPr>
          <w:p w14:paraId="515EA04E">
            <w:pPr>
              <w:pStyle w:val="21"/>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21"/>
              <w:jc w:val="center"/>
              <w:rPr>
                <w:rFonts w:hint="eastAsia" w:ascii="宋体" w:hAnsi="宋体" w:eastAsia="宋体" w:cs="宋体"/>
                <w:color w:val="auto"/>
                <w:sz w:val="21"/>
                <w:szCs w:val="21"/>
                <w:highlight w:val="none"/>
              </w:rPr>
            </w:pPr>
          </w:p>
        </w:tc>
        <w:tc>
          <w:tcPr>
            <w:tcW w:w="1395" w:type="pct"/>
            <w:vAlign w:val="center"/>
          </w:tcPr>
          <w:p w14:paraId="1C7A6406">
            <w:pPr>
              <w:pStyle w:val="21"/>
              <w:jc w:val="center"/>
              <w:rPr>
                <w:rFonts w:hint="eastAsia" w:ascii="宋体" w:hAnsi="宋体" w:eastAsia="宋体" w:cs="宋体"/>
                <w:color w:val="auto"/>
                <w:sz w:val="21"/>
                <w:szCs w:val="21"/>
                <w:highlight w:val="none"/>
              </w:rPr>
            </w:pPr>
          </w:p>
        </w:tc>
        <w:tc>
          <w:tcPr>
            <w:tcW w:w="1002" w:type="pct"/>
            <w:vAlign w:val="center"/>
          </w:tcPr>
          <w:p w14:paraId="7F774DAF">
            <w:pPr>
              <w:pStyle w:val="21"/>
              <w:jc w:val="center"/>
              <w:rPr>
                <w:rFonts w:hint="eastAsia" w:ascii="宋体" w:hAnsi="宋体" w:eastAsia="宋体" w:cs="宋体"/>
                <w:color w:val="auto"/>
                <w:sz w:val="21"/>
                <w:szCs w:val="21"/>
                <w:highlight w:val="none"/>
              </w:rPr>
            </w:pPr>
          </w:p>
        </w:tc>
        <w:tc>
          <w:tcPr>
            <w:tcW w:w="1090" w:type="pct"/>
            <w:vAlign w:val="center"/>
          </w:tcPr>
          <w:p w14:paraId="66A55C54">
            <w:pPr>
              <w:pStyle w:val="21"/>
              <w:jc w:val="center"/>
              <w:rPr>
                <w:rFonts w:hint="eastAsia" w:ascii="宋体" w:hAnsi="宋体" w:eastAsia="宋体" w:cs="宋体"/>
                <w:color w:val="auto"/>
                <w:sz w:val="21"/>
                <w:szCs w:val="21"/>
                <w:highlight w:val="none"/>
              </w:rPr>
            </w:pPr>
          </w:p>
        </w:tc>
        <w:tc>
          <w:tcPr>
            <w:tcW w:w="1090" w:type="pct"/>
            <w:vAlign w:val="center"/>
          </w:tcPr>
          <w:p w14:paraId="6FC3A7DB">
            <w:pPr>
              <w:pStyle w:val="21"/>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21"/>
              <w:jc w:val="center"/>
              <w:rPr>
                <w:rFonts w:hint="eastAsia" w:ascii="宋体" w:hAnsi="宋体" w:eastAsia="宋体" w:cs="宋体"/>
                <w:color w:val="auto"/>
                <w:sz w:val="21"/>
                <w:szCs w:val="21"/>
                <w:highlight w:val="none"/>
              </w:rPr>
            </w:pPr>
          </w:p>
        </w:tc>
        <w:tc>
          <w:tcPr>
            <w:tcW w:w="1395" w:type="pct"/>
            <w:vAlign w:val="center"/>
          </w:tcPr>
          <w:p w14:paraId="199507E1">
            <w:pPr>
              <w:pStyle w:val="21"/>
              <w:jc w:val="center"/>
              <w:rPr>
                <w:rFonts w:hint="eastAsia" w:ascii="宋体" w:hAnsi="宋体" w:eastAsia="宋体" w:cs="宋体"/>
                <w:color w:val="auto"/>
                <w:sz w:val="21"/>
                <w:szCs w:val="21"/>
                <w:highlight w:val="none"/>
              </w:rPr>
            </w:pPr>
          </w:p>
        </w:tc>
        <w:tc>
          <w:tcPr>
            <w:tcW w:w="1002" w:type="pct"/>
            <w:vAlign w:val="center"/>
          </w:tcPr>
          <w:p w14:paraId="6691FD82">
            <w:pPr>
              <w:pStyle w:val="21"/>
              <w:jc w:val="center"/>
              <w:rPr>
                <w:rFonts w:hint="eastAsia" w:ascii="宋体" w:hAnsi="宋体" w:eastAsia="宋体" w:cs="宋体"/>
                <w:color w:val="auto"/>
                <w:sz w:val="21"/>
                <w:szCs w:val="21"/>
                <w:highlight w:val="none"/>
              </w:rPr>
            </w:pPr>
          </w:p>
        </w:tc>
        <w:tc>
          <w:tcPr>
            <w:tcW w:w="1090" w:type="pct"/>
            <w:vAlign w:val="center"/>
          </w:tcPr>
          <w:p w14:paraId="6E35002B">
            <w:pPr>
              <w:pStyle w:val="21"/>
              <w:jc w:val="center"/>
              <w:rPr>
                <w:rFonts w:hint="eastAsia" w:ascii="宋体" w:hAnsi="宋体" w:eastAsia="宋体" w:cs="宋体"/>
                <w:color w:val="auto"/>
                <w:sz w:val="21"/>
                <w:szCs w:val="21"/>
                <w:highlight w:val="none"/>
              </w:rPr>
            </w:pPr>
          </w:p>
        </w:tc>
        <w:tc>
          <w:tcPr>
            <w:tcW w:w="1090" w:type="pct"/>
            <w:vAlign w:val="center"/>
          </w:tcPr>
          <w:p w14:paraId="69818ED1">
            <w:pPr>
              <w:pStyle w:val="21"/>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21"/>
              <w:jc w:val="center"/>
              <w:rPr>
                <w:rFonts w:hint="eastAsia" w:ascii="宋体" w:hAnsi="宋体" w:eastAsia="宋体" w:cs="宋体"/>
                <w:color w:val="auto"/>
                <w:sz w:val="21"/>
                <w:szCs w:val="21"/>
                <w:highlight w:val="none"/>
              </w:rPr>
            </w:pPr>
          </w:p>
        </w:tc>
      </w:tr>
    </w:tbl>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62D3AA4F">
      <w:pPr>
        <w:ind w:firstLine="420" w:firstLineChars="200"/>
        <w:rPr>
          <w:rFonts w:hint="eastAsia" w:cs="仿宋_GB2312"/>
          <w:color w:val="auto"/>
          <w:sz w:val="21"/>
          <w:szCs w:val="21"/>
          <w:highlight w:val="none"/>
        </w:rPr>
      </w:pPr>
    </w:p>
    <w:p w14:paraId="3F428C5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16749689">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1.“招标文件的商务条款”栏应详细列明招标文件中的商务要求。 </w:t>
      </w:r>
    </w:p>
    <w:p w14:paraId="5CB91061">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2.“投标文件的响应内容”栏填写投标人对招标文件提出的商务条款作出的明确响应，并列明具体响应数值或内容，只注明符合、满足等无具体内容表述的，将视为未实质性满足招标文件要求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0F3502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B002B53">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4.“说明及索引”栏可填写偏离情况的具体说明及索引。</w:t>
      </w:r>
    </w:p>
    <w:p w14:paraId="59273B30">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5.对招标文件中的所有商务要求，除本表所列明的所有偏离外，均视作供应商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6FB9A340">
      <w:pPr>
        <w:pStyle w:val="5"/>
        <w:spacing w:before="100" w:after="100" w:line="360" w:lineRule="auto"/>
        <w:ind w:left="420" w:hanging="420"/>
        <w:jc w:val="center"/>
        <w:rPr>
          <w:rFonts w:hint="eastAsia"/>
          <w:color w:val="auto"/>
          <w:highlight w:val="none"/>
        </w:rPr>
        <w:sectPr>
          <w:pgSz w:w="11906" w:h="16838"/>
          <w:pgMar w:top="1440" w:right="1800" w:bottom="1440" w:left="1800" w:header="851" w:footer="992" w:gutter="0"/>
          <w:cols w:space="425" w:num="1"/>
          <w:docGrid w:type="lines" w:linePitch="312" w:charSpace="0"/>
        </w:sectPr>
      </w:pPr>
    </w:p>
    <w:p w14:paraId="1358285E">
      <w:pPr>
        <w:pStyle w:val="5"/>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eastAsia="宋体" w:asciiTheme="majorHAnsi" w:hAnsiTheme="majorHAnsi" w:cstheme="majorBidi"/>
          <w:b/>
          <w:bCs/>
          <w:color w:val="auto"/>
          <w:kern w:val="2"/>
          <w:sz w:val="32"/>
          <w:szCs w:val="32"/>
          <w:highlight w:val="none"/>
          <w:lang w:val="en-US" w:eastAsia="zh-CN" w:bidi="ar-SA"/>
        </w:rPr>
      </w:pPr>
      <w:bookmarkStart w:id="371" w:name="_Toc163492934"/>
      <w:bookmarkStart w:id="372" w:name="_Toc27056"/>
      <w:r>
        <w:rPr>
          <w:rFonts w:hint="eastAsia" w:cstheme="majorBidi"/>
          <w:b/>
          <w:bCs/>
          <w:color w:val="auto"/>
          <w:kern w:val="2"/>
          <w:sz w:val="32"/>
          <w:szCs w:val="32"/>
          <w:highlight w:val="none"/>
          <w:lang w:val="en-US" w:eastAsia="zh-CN" w:bidi="ar-SA"/>
        </w:rPr>
        <w:t>十四</w:t>
      </w:r>
      <w:r>
        <w:rPr>
          <w:rFonts w:hint="eastAsia" w:eastAsia="宋体" w:asciiTheme="majorHAnsi" w:hAnsiTheme="majorHAnsi" w:cstheme="majorBidi"/>
          <w:b/>
          <w:bCs/>
          <w:color w:val="auto"/>
          <w:kern w:val="2"/>
          <w:sz w:val="32"/>
          <w:szCs w:val="32"/>
          <w:highlight w:val="none"/>
          <w:lang w:val="en-US" w:eastAsia="zh-CN" w:bidi="ar-SA"/>
        </w:rPr>
        <w:t>、技术响应偏离表</w:t>
      </w:r>
      <w:bookmarkEnd w:id="371"/>
      <w:bookmarkEnd w:id="372"/>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976"/>
        <w:gridCol w:w="1758"/>
        <w:gridCol w:w="2157"/>
        <w:gridCol w:w="1937"/>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405" w:type="pct"/>
            <w:vAlign w:val="center"/>
          </w:tcPr>
          <w:p w14:paraId="5F892E53">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6" w:type="pct"/>
            <w:vAlign w:val="center"/>
          </w:tcPr>
          <w:p w14:paraId="09D725B9">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29950C57">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21"/>
              <w:jc w:val="center"/>
              <w:rPr>
                <w:rFonts w:hint="eastAsia" w:ascii="宋体" w:hAnsi="宋体" w:eastAsia="宋体" w:cs="宋体"/>
                <w:color w:val="auto"/>
                <w:sz w:val="21"/>
                <w:szCs w:val="21"/>
                <w:highlight w:val="none"/>
              </w:rPr>
            </w:pPr>
          </w:p>
        </w:tc>
        <w:tc>
          <w:tcPr>
            <w:tcW w:w="1031" w:type="pct"/>
            <w:vAlign w:val="center"/>
          </w:tcPr>
          <w:p w14:paraId="0E04AD72">
            <w:pPr>
              <w:pStyle w:val="21"/>
              <w:jc w:val="center"/>
              <w:rPr>
                <w:rFonts w:hint="eastAsia" w:ascii="宋体" w:hAnsi="宋体" w:eastAsia="宋体" w:cs="宋体"/>
                <w:color w:val="auto"/>
                <w:sz w:val="21"/>
                <w:szCs w:val="21"/>
                <w:highlight w:val="none"/>
              </w:rPr>
            </w:pPr>
          </w:p>
        </w:tc>
        <w:tc>
          <w:tcPr>
            <w:tcW w:w="1265" w:type="pct"/>
            <w:vAlign w:val="center"/>
          </w:tcPr>
          <w:p w14:paraId="585AEA1C">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02D97874">
            <w:pPr>
              <w:pStyle w:val="21"/>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5" w:type="pct"/>
            <w:vAlign w:val="center"/>
          </w:tcPr>
          <w:p w14:paraId="195B6778">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21"/>
              <w:jc w:val="center"/>
              <w:rPr>
                <w:rFonts w:hint="eastAsia" w:ascii="宋体" w:hAnsi="宋体" w:eastAsia="宋体" w:cs="宋体"/>
                <w:color w:val="auto"/>
                <w:sz w:val="21"/>
                <w:szCs w:val="21"/>
                <w:highlight w:val="none"/>
              </w:rPr>
            </w:pPr>
          </w:p>
        </w:tc>
        <w:tc>
          <w:tcPr>
            <w:tcW w:w="1031" w:type="pct"/>
            <w:vAlign w:val="center"/>
          </w:tcPr>
          <w:p w14:paraId="29A6C1E1">
            <w:pPr>
              <w:pStyle w:val="21"/>
              <w:jc w:val="center"/>
              <w:rPr>
                <w:rFonts w:hint="eastAsia" w:ascii="宋体" w:hAnsi="宋体" w:eastAsia="宋体" w:cs="宋体"/>
                <w:color w:val="auto"/>
                <w:sz w:val="21"/>
                <w:szCs w:val="21"/>
                <w:highlight w:val="none"/>
              </w:rPr>
            </w:pPr>
          </w:p>
        </w:tc>
        <w:tc>
          <w:tcPr>
            <w:tcW w:w="1265" w:type="pct"/>
            <w:vAlign w:val="center"/>
          </w:tcPr>
          <w:p w14:paraId="5D92E460">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6" w:type="pct"/>
            <w:vAlign w:val="center"/>
          </w:tcPr>
          <w:p w14:paraId="63E16449">
            <w:pPr>
              <w:pStyle w:val="21"/>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shd w:val="clear" w:color="auto" w:fill="auto"/>
            <w:vAlign w:val="center"/>
          </w:tcPr>
          <w:p w14:paraId="4C45FE18">
            <w:pPr>
              <w:pStyle w:val="2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159" w:type="pct"/>
            <w:shd w:val="clear" w:color="auto" w:fill="auto"/>
            <w:vAlign w:val="center"/>
          </w:tcPr>
          <w:p w14:paraId="6D1DD644">
            <w:pPr>
              <w:pStyle w:val="21"/>
              <w:jc w:val="center"/>
              <w:rPr>
                <w:rFonts w:hint="eastAsia" w:ascii="宋体" w:hAnsi="宋体" w:eastAsia="宋体" w:cs="宋体"/>
                <w:color w:val="auto"/>
                <w:sz w:val="21"/>
                <w:szCs w:val="21"/>
                <w:highlight w:val="none"/>
                <w:lang w:val="en-US" w:eastAsia="zh-CN"/>
              </w:rPr>
            </w:pPr>
          </w:p>
        </w:tc>
        <w:tc>
          <w:tcPr>
            <w:tcW w:w="1031" w:type="pct"/>
            <w:shd w:val="clear" w:color="auto" w:fill="auto"/>
            <w:vAlign w:val="center"/>
          </w:tcPr>
          <w:p w14:paraId="2982168B">
            <w:pPr>
              <w:pStyle w:val="21"/>
              <w:jc w:val="center"/>
              <w:rPr>
                <w:rFonts w:hint="eastAsia" w:ascii="宋体" w:hAnsi="宋体" w:eastAsia="宋体" w:cs="宋体"/>
                <w:color w:val="auto"/>
                <w:sz w:val="21"/>
                <w:szCs w:val="21"/>
                <w:highlight w:val="none"/>
                <w:lang w:val="en-US" w:eastAsia="zh-CN"/>
              </w:rPr>
            </w:pPr>
          </w:p>
        </w:tc>
        <w:tc>
          <w:tcPr>
            <w:tcW w:w="1265" w:type="pct"/>
            <w:shd w:val="clear" w:color="auto" w:fill="auto"/>
            <w:vAlign w:val="center"/>
          </w:tcPr>
          <w:p w14:paraId="78EC7D09">
            <w:pPr>
              <w:pStyle w:val="21"/>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响应/正偏离/负偏离</w:t>
            </w:r>
          </w:p>
        </w:tc>
        <w:tc>
          <w:tcPr>
            <w:tcW w:w="1136" w:type="pct"/>
            <w:vAlign w:val="center"/>
          </w:tcPr>
          <w:p w14:paraId="46369488">
            <w:pPr>
              <w:pStyle w:val="21"/>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3874C19">
            <w:pPr>
              <w:pStyle w:val="21"/>
              <w:jc w:val="center"/>
              <w:rPr>
                <w:rFonts w:hint="eastAsia" w:ascii="宋体" w:hAnsi="宋体" w:eastAsia="宋体" w:cs="宋体"/>
                <w:color w:val="auto"/>
                <w:sz w:val="21"/>
                <w:szCs w:val="21"/>
                <w:highlight w:val="none"/>
              </w:rPr>
            </w:pPr>
          </w:p>
        </w:tc>
        <w:tc>
          <w:tcPr>
            <w:tcW w:w="1159" w:type="pct"/>
            <w:vAlign w:val="center"/>
          </w:tcPr>
          <w:p w14:paraId="529041E2">
            <w:pPr>
              <w:pStyle w:val="21"/>
              <w:jc w:val="center"/>
              <w:rPr>
                <w:rFonts w:hint="eastAsia" w:ascii="宋体" w:hAnsi="宋体" w:eastAsia="宋体" w:cs="宋体"/>
                <w:color w:val="auto"/>
                <w:sz w:val="21"/>
                <w:szCs w:val="21"/>
                <w:highlight w:val="none"/>
              </w:rPr>
            </w:pPr>
          </w:p>
        </w:tc>
        <w:tc>
          <w:tcPr>
            <w:tcW w:w="1031" w:type="pct"/>
            <w:vAlign w:val="center"/>
          </w:tcPr>
          <w:p w14:paraId="301E476D">
            <w:pPr>
              <w:pStyle w:val="21"/>
              <w:jc w:val="center"/>
              <w:rPr>
                <w:rFonts w:hint="eastAsia" w:ascii="宋体" w:hAnsi="宋体" w:eastAsia="宋体" w:cs="宋体"/>
                <w:color w:val="auto"/>
                <w:sz w:val="21"/>
                <w:szCs w:val="21"/>
                <w:highlight w:val="none"/>
              </w:rPr>
            </w:pPr>
          </w:p>
        </w:tc>
        <w:tc>
          <w:tcPr>
            <w:tcW w:w="1265" w:type="pct"/>
            <w:vAlign w:val="center"/>
          </w:tcPr>
          <w:p w14:paraId="06F8AED7">
            <w:pPr>
              <w:pStyle w:val="21"/>
              <w:jc w:val="center"/>
              <w:rPr>
                <w:rFonts w:hint="eastAsia" w:ascii="宋体" w:hAnsi="宋体" w:eastAsia="宋体" w:cs="宋体"/>
                <w:color w:val="auto"/>
                <w:sz w:val="21"/>
                <w:szCs w:val="21"/>
                <w:highlight w:val="none"/>
              </w:rPr>
            </w:pPr>
          </w:p>
        </w:tc>
        <w:tc>
          <w:tcPr>
            <w:tcW w:w="1136" w:type="pct"/>
            <w:vAlign w:val="center"/>
          </w:tcPr>
          <w:p w14:paraId="0CE9DF45">
            <w:pPr>
              <w:pStyle w:val="21"/>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41433E5C">
            <w:pPr>
              <w:pStyle w:val="21"/>
              <w:jc w:val="center"/>
              <w:rPr>
                <w:rFonts w:hint="eastAsia" w:ascii="宋体" w:hAnsi="宋体" w:eastAsia="宋体" w:cs="宋体"/>
                <w:color w:val="auto"/>
                <w:sz w:val="21"/>
                <w:szCs w:val="21"/>
                <w:highlight w:val="none"/>
              </w:rPr>
            </w:pPr>
          </w:p>
        </w:tc>
        <w:tc>
          <w:tcPr>
            <w:tcW w:w="1159" w:type="pct"/>
            <w:vAlign w:val="center"/>
          </w:tcPr>
          <w:p w14:paraId="77107295">
            <w:pPr>
              <w:pStyle w:val="21"/>
              <w:jc w:val="center"/>
              <w:rPr>
                <w:rFonts w:hint="eastAsia" w:ascii="宋体" w:hAnsi="宋体" w:eastAsia="宋体" w:cs="宋体"/>
                <w:color w:val="auto"/>
                <w:sz w:val="21"/>
                <w:szCs w:val="21"/>
                <w:highlight w:val="none"/>
              </w:rPr>
            </w:pPr>
          </w:p>
        </w:tc>
        <w:tc>
          <w:tcPr>
            <w:tcW w:w="1031" w:type="pct"/>
            <w:vAlign w:val="center"/>
          </w:tcPr>
          <w:p w14:paraId="4D01D78E">
            <w:pPr>
              <w:pStyle w:val="21"/>
              <w:jc w:val="center"/>
              <w:rPr>
                <w:rFonts w:hint="eastAsia" w:ascii="宋体" w:hAnsi="宋体" w:eastAsia="宋体" w:cs="宋体"/>
                <w:color w:val="auto"/>
                <w:sz w:val="21"/>
                <w:szCs w:val="21"/>
                <w:highlight w:val="none"/>
              </w:rPr>
            </w:pPr>
          </w:p>
        </w:tc>
        <w:tc>
          <w:tcPr>
            <w:tcW w:w="1265" w:type="pct"/>
            <w:vAlign w:val="center"/>
          </w:tcPr>
          <w:p w14:paraId="6D546857">
            <w:pPr>
              <w:pStyle w:val="21"/>
              <w:jc w:val="center"/>
              <w:rPr>
                <w:rFonts w:hint="eastAsia" w:ascii="宋体" w:hAnsi="宋体" w:eastAsia="宋体" w:cs="宋体"/>
                <w:color w:val="auto"/>
                <w:sz w:val="21"/>
                <w:szCs w:val="21"/>
                <w:highlight w:val="none"/>
              </w:rPr>
            </w:pPr>
          </w:p>
        </w:tc>
        <w:tc>
          <w:tcPr>
            <w:tcW w:w="1136" w:type="pct"/>
            <w:vAlign w:val="center"/>
          </w:tcPr>
          <w:p w14:paraId="2E1B7D0B">
            <w:pPr>
              <w:pStyle w:val="21"/>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6AF16AFE">
            <w:pPr>
              <w:pStyle w:val="21"/>
              <w:jc w:val="center"/>
              <w:rPr>
                <w:rFonts w:hint="eastAsia" w:ascii="宋体" w:hAnsi="宋体" w:eastAsia="宋体" w:cs="宋体"/>
                <w:color w:val="auto"/>
                <w:sz w:val="21"/>
                <w:szCs w:val="21"/>
                <w:highlight w:val="none"/>
              </w:rPr>
            </w:pPr>
          </w:p>
        </w:tc>
        <w:tc>
          <w:tcPr>
            <w:tcW w:w="1159" w:type="pct"/>
            <w:vAlign w:val="center"/>
          </w:tcPr>
          <w:p w14:paraId="5C7E043B">
            <w:pPr>
              <w:pStyle w:val="21"/>
              <w:jc w:val="center"/>
              <w:rPr>
                <w:rFonts w:hint="eastAsia" w:ascii="宋体" w:hAnsi="宋体" w:eastAsia="宋体" w:cs="宋体"/>
                <w:color w:val="auto"/>
                <w:sz w:val="21"/>
                <w:szCs w:val="21"/>
                <w:highlight w:val="none"/>
              </w:rPr>
            </w:pPr>
          </w:p>
        </w:tc>
        <w:tc>
          <w:tcPr>
            <w:tcW w:w="1031" w:type="pct"/>
            <w:vAlign w:val="center"/>
          </w:tcPr>
          <w:p w14:paraId="64166C7A">
            <w:pPr>
              <w:pStyle w:val="21"/>
              <w:jc w:val="center"/>
              <w:rPr>
                <w:rFonts w:hint="eastAsia" w:ascii="宋体" w:hAnsi="宋体" w:eastAsia="宋体" w:cs="宋体"/>
                <w:color w:val="auto"/>
                <w:sz w:val="21"/>
                <w:szCs w:val="21"/>
                <w:highlight w:val="none"/>
              </w:rPr>
            </w:pPr>
          </w:p>
        </w:tc>
        <w:tc>
          <w:tcPr>
            <w:tcW w:w="1265" w:type="pct"/>
            <w:vAlign w:val="center"/>
          </w:tcPr>
          <w:p w14:paraId="2817CCE5">
            <w:pPr>
              <w:pStyle w:val="21"/>
              <w:jc w:val="center"/>
              <w:rPr>
                <w:rFonts w:hint="eastAsia" w:ascii="宋体" w:hAnsi="宋体" w:eastAsia="宋体" w:cs="宋体"/>
                <w:color w:val="auto"/>
                <w:sz w:val="21"/>
                <w:szCs w:val="21"/>
                <w:highlight w:val="none"/>
              </w:rPr>
            </w:pPr>
          </w:p>
        </w:tc>
        <w:tc>
          <w:tcPr>
            <w:tcW w:w="1136" w:type="pct"/>
            <w:vAlign w:val="center"/>
          </w:tcPr>
          <w:p w14:paraId="184E3F96">
            <w:pPr>
              <w:pStyle w:val="21"/>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5" w:type="pct"/>
            <w:vAlign w:val="center"/>
          </w:tcPr>
          <w:p w14:paraId="5DBDBE11">
            <w:pPr>
              <w:pStyle w:val="21"/>
              <w:jc w:val="center"/>
              <w:rPr>
                <w:rFonts w:hint="eastAsia" w:ascii="宋体" w:hAnsi="宋体" w:eastAsia="宋体" w:cs="宋体"/>
                <w:color w:val="auto"/>
                <w:sz w:val="21"/>
                <w:szCs w:val="21"/>
                <w:highlight w:val="none"/>
              </w:rPr>
            </w:pPr>
          </w:p>
        </w:tc>
        <w:tc>
          <w:tcPr>
            <w:tcW w:w="1159" w:type="pct"/>
            <w:vAlign w:val="center"/>
          </w:tcPr>
          <w:p w14:paraId="1F11A7BE">
            <w:pPr>
              <w:pStyle w:val="21"/>
              <w:jc w:val="center"/>
              <w:rPr>
                <w:rFonts w:hint="eastAsia" w:ascii="宋体" w:hAnsi="宋体" w:eastAsia="宋体" w:cs="宋体"/>
                <w:color w:val="auto"/>
                <w:sz w:val="21"/>
                <w:szCs w:val="21"/>
                <w:highlight w:val="none"/>
              </w:rPr>
            </w:pPr>
          </w:p>
        </w:tc>
        <w:tc>
          <w:tcPr>
            <w:tcW w:w="1031" w:type="pct"/>
            <w:vAlign w:val="center"/>
          </w:tcPr>
          <w:p w14:paraId="09342B6E">
            <w:pPr>
              <w:pStyle w:val="21"/>
              <w:jc w:val="center"/>
              <w:rPr>
                <w:rFonts w:hint="eastAsia" w:ascii="宋体" w:hAnsi="宋体" w:eastAsia="宋体" w:cs="宋体"/>
                <w:color w:val="auto"/>
                <w:sz w:val="21"/>
                <w:szCs w:val="21"/>
                <w:highlight w:val="none"/>
              </w:rPr>
            </w:pPr>
          </w:p>
        </w:tc>
        <w:tc>
          <w:tcPr>
            <w:tcW w:w="1265" w:type="pct"/>
            <w:vAlign w:val="center"/>
          </w:tcPr>
          <w:p w14:paraId="6742B646">
            <w:pPr>
              <w:pStyle w:val="21"/>
              <w:jc w:val="center"/>
              <w:rPr>
                <w:rFonts w:hint="eastAsia" w:ascii="宋体" w:hAnsi="宋体" w:eastAsia="宋体" w:cs="宋体"/>
                <w:color w:val="auto"/>
                <w:sz w:val="21"/>
                <w:szCs w:val="21"/>
                <w:highlight w:val="none"/>
              </w:rPr>
            </w:pPr>
          </w:p>
        </w:tc>
        <w:tc>
          <w:tcPr>
            <w:tcW w:w="1136" w:type="pct"/>
            <w:vAlign w:val="center"/>
          </w:tcPr>
          <w:p w14:paraId="4C72FCC2">
            <w:pPr>
              <w:pStyle w:val="21"/>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5" w:type="pct"/>
            <w:vAlign w:val="center"/>
          </w:tcPr>
          <w:p w14:paraId="0D811F11">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21"/>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6" w:type="pct"/>
            <w:vAlign w:val="center"/>
          </w:tcPr>
          <w:p w14:paraId="1BF96619">
            <w:pPr>
              <w:pStyle w:val="21"/>
              <w:jc w:val="center"/>
              <w:rPr>
                <w:rFonts w:hint="eastAsia" w:ascii="宋体" w:hAnsi="宋体" w:eastAsia="宋体" w:cs="宋体"/>
                <w:color w:val="auto"/>
                <w:sz w:val="21"/>
                <w:szCs w:val="21"/>
                <w:highlight w:val="none"/>
              </w:rPr>
            </w:pPr>
          </w:p>
        </w:tc>
      </w:tr>
    </w:tbl>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4FA0C9E">
      <w:pPr>
        <w:ind w:firstLine="420"/>
        <w:rPr>
          <w:rFonts w:hint="eastAsia" w:cs="仿宋_GB2312"/>
          <w:color w:val="auto"/>
          <w:sz w:val="21"/>
          <w:szCs w:val="21"/>
          <w:highlight w:val="none"/>
          <w:lang w:val="en-US" w:eastAsia="zh-CN"/>
        </w:rPr>
      </w:pPr>
    </w:p>
    <w:p w14:paraId="695CF979">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填写</w:t>
      </w:r>
      <w:r>
        <w:rPr>
          <w:rFonts w:hint="eastAsia" w:cs="仿宋_GB2312"/>
          <w:color w:val="auto"/>
          <w:sz w:val="21"/>
          <w:szCs w:val="21"/>
          <w:highlight w:val="none"/>
          <w:lang w:eastAsia="zh-CN"/>
        </w:rPr>
        <w:t>：</w:t>
      </w:r>
    </w:p>
    <w:p w14:paraId="2C3D9747">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1.“招标文件技术要求条款”栏应详细列明招标文件中的要求。 </w:t>
      </w:r>
    </w:p>
    <w:p w14:paraId="67B3A4D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2.“投标文件内容对应简述”栏填写投标人对招标文件提出的技术要求作出的明确响应，并列明具体响应数值或内容，只注明符合、满足等无具体内容表述的，将视为未实质性满足招标文件要求</w:t>
      </w:r>
      <w:r>
        <w:rPr>
          <w:rFonts w:hint="default" w:cs="仿宋_GB2312"/>
          <w:color w:val="auto"/>
          <w:sz w:val="21"/>
          <w:szCs w:val="21"/>
          <w:highlight w:val="none"/>
          <w:lang w:val="en-US" w:eastAsia="zh-CN"/>
        </w:rPr>
        <w:t>，</w:t>
      </w:r>
      <w:r>
        <w:rPr>
          <w:rFonts w:hint="eastAsia" w:cs="仿宋_GB2312"/>
          <w:b/>
          <w:bCs/>
          <w:color w:val="auto"/>
          <w:sz w:val="21"/>
          <w:szCs w:val="21"/>
          <w:highlight w:val="none"/>
          <w:lang w:val="en-US" w:eastAsia="zh-CN"/>
        </w:rPr>
        <w:t>投标</w:t>
      </w:r>
      <w:r>
        <w:rPr>
          <w:rFonts w:hint="default" w:cs="仿宋_GB2312"/>
          <w:b/>
          <w:bCs/>
          <w:color w:val="auto"/>
          <w:sz w:val="21"/>
          <w:szCs w:val="21"/>
          <w:highlight w:val="none"/>
          <w:lang w:val="en-US" w:eastAsia="zh-CN"/>
        </w:rPr>
        <w:t>无效</w:t>
      </w:r>
      <w:r>
        <w:rPr>
          <w:rFonts w:hint="eastAsia" w:cs="仿宋_GB2312"/>
          <w:color w:val="auto"/>
          <w:sz w:val="21"/>
          <w:szCs w:val="21"/>
          <w:highlight w:val="none"/>
          <w:lang w:val="en-US" w:eastAsia="zh-CN"/>
        </w:rPr>
        <w:t xml:space="preserve">。 </w:t>
      </w:r>
    </w:p>
    <w:p w14:paraId="1ADFBBD2">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 xml:space="preserve">3.“响应情况”栏应据实填写“响应”、“正偏离”或“负偏离”。 </w:t>
      </w:r>
    </w:p>
    <w:p w14:paraId="5D0BE6F5">
      <w:pPr>
        <w:ind w:firstLine="420" w:firstLineChars="200"/>
        <w:rPr>
          <w:rFonts w:hint="eastAsia" w:cs="仿宋_GB2312"/>
          <w:color w:val="auto"/>
          <w:sz w:val="21"/>
          <w:szCs w:val="21"/>
          <w:highlight w:val="none"/>
        </w:rPr>
      </w:pPr>
      <w:r>
        <w:rPr>
          <w:rFonts w:hint="eastAsia" w:cs="仿宋_GB2312"/>
          <w:color w:val="auto"/>
          <w:sz w:val="21"/>
          <w:szCs w:val="21"/>
          <w:highlight w:val="none"/>
          <w:lang w:val="en-US" w:eastAsia="zh-CN"/>
        </w:rPr>
        <w:t>4.“证明资料及索引”栏可填写证明资料的具体内容及索引。</w:t>
      </w:r>
    </w:p>
    <w:p w14:paraId="2738FDA8">
      <w:pPr>
        <w:ind w:firstLine="420" w:firstLineChars="20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5.对招标文件中的所有技术要求，除本表所列明的所有偏离外，均视作供应商</w:t>
      </w:r>
      <w:r>
        <w:rPr>
          <w:rFonts w:hint="default" w:cs="仿宋_GB2312"/>
          <w:color w:val="auto"/>
          <w:sz w:val="21"/>
          <w:szCs w:val="21"/>
          <w:highlight w:val="none"/>
          <w:lang w:val="en-US" w:eastAsia="zh-CN"/>
        </w:rPr>
        <w:t>已对之理解和响应。此表中若无任何文字说明，内容为空白的，</w:t>
      </w:r>
      <w:r>
        <w:rPr>
          <w:rFonts w:hint="default" w:cs="仿宋_GB2312"/>
          <w:b/>
          <w:bCs/>
          <w:color w:val="auto"/>
          <w:sz w:val="21"/>
          <w:szCs w:val="21"/>
          <w:highlight w:val="none"/>
          <w:lang w:val="en-US" w:eastAsia="zh-CN"/>
        </w:rPr>
        <w:t>投标无效</w:t>
      </w:r>
      <w:r>
        <w:rPr>
          <w:rFonts w:hint="default" w:cs="仿宋_GB2312"/>
          <w:color w:val="auto"/>
          <w:sz w:val="21"/>
          <w:szCs w:val="21"/>
          <w:highlight w:val="none"/>
          <w:lang w:val="en-US" w:eastAsia="zh-CN"/>
        </w:rPr>
        <w:t>。</w:t>
      </w:r>
    </w:p>
    <w:p w14:paraId="10B7AC2B">
      <w:pPr>
        <w:ind w:firstLine="420"/>
        <w:rPr>
          <w:rFonts w:cs="仿宋_GB2312"/>
          <w:color w:val="auto"/>
          <w:szCs w:val="24"/>
          <w:highlight w:val="none"/>
        </w:rPr>
      </w:pPr>
      <w:r>
        <w:rPr>
          <w:rFonts w:cs="仿宋_GB2312"/>
          <w:color w:val="auto"/>
          <w:szCs w:val="24"/>
          <w:highlight w:val="none"/>
        </w:rPr>
        <w:br w:type="page"/>
      </w:r>
    </w:p>
    <w:p w14:paraId="71549CF9">
      <w:pPr>
        <w:pStyle w:val="5"/>
        <w:spacing w:before="100" w:after="100" w:line="360" w:lineRule="auto"/>
        <w:ind w:left="420" w:hanging="420"/>
        <w:jc w:val="center"/>
        <w:rPr>
          <w:color w:val="auto"/>
          <w:highlight w:val="none"/>
        </w:rPr>
      </w:pPr>
      <w:bookmarkStart w:id="373" w:name="_Toc163492930"/>
      <w:bookmarkStart w:id="374" w:name="_Toc29880"/>
      <w:r>
        <w:rPr>
          <w:rFonts w:hint="eastAsia"/>
          <w:color w:val="auto"/>
          <w:highlight w:val="none"/>
        </w:rPr>
        <w:t>十</w:t>
      </w:r>
      <w:r>
        <w:rPr>
          <w:rFonts w:hint="eastAsia"/>
          <w:color w:val="auto"/>
          <w:highlight w:val="none"/>
          <w:lang w:val="en-US" w:eastAsia="zh-CN"/>
        </w:rPr>
        <w:t>五</w:t>
      </w:r>
      <w:r>
        <w:rPr>
          <w:rFonts w:hint="eastAsia"/>
          <w:color w:val="auto"/>
          <w:highlight w:val="none"/>
        </w:rPr>
        <w:t>、业绩证明文件</w:t>
      </w:r>
      <w:bookmarkEnd w:id="373"/>
      <w:bookmarkEnd w:id="374"/>
    </w:p>
    <w:p w14:paraId="5616F4DE">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49BCBE97">
      <w:pPr>
        <w:rPr>
          <w:rFonts w:cs="Arial"/>
          <w:bCs/>
          <w:color w:val="auto"/>
          <w:szCs w:val="21"/>
          <w:highlight w:val="none"/>
        </w:rPr>
      </w:pPr>
      <w:r>
        <w:rPr>
          <w:rFonts w:hint="eastAsia" w:cs="仿宋_GB2312"/>
          <w:color w:val="auto"/>
          <w:szCs w:val="24"/>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15"/>
        <w:tblW w:w="9072"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560"/>
        <w:gridCol w:w="1248"/>
        <w:gridCol w:w="1560"/>
        <w:gridCol w:w="1344"/>
        <w:gridCol w:w="1525"/>
        <w:gridCol w:w="1091"/>
      </w:tblGrid>
      <w:tr w14:paraId="5F73B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8E88DCE">
            <w:pPr>
              <w:jc w:val="center"/>
              <w:rPr>
                <w:rFonts w:cs="宋体"/>
                <w:color w:val="auto"/>
                <w:sz w:val="21"/>
                <w:szCs w:val="21"/>
                <w:highlight w:val="none"/>
              </w:rPr>
            </w:pPr>
            <w:bookmarkStart w:id="375" w:name="_Hlk46779239"/>
            <w:r>
              <w:rPr>
                <w:rFonts w:hint="eastAsia" w:cs="宋体"/>
                <w:color w:val="auto"/>
                <w:sz w:val="21"/>
                <w:szCs w:val="21"/>
                <w:highlight w:val="none"/>
              </w:rPr>
              <w:t>序号</w:t>
            </w:r>
          </w:p>
        </w:tc>
        <w:tc>
          <w:tcPr>
            <w:tcW w:w="1560" w:type="dxa"/>
            <w:vAlign w:val="center"/>
          </w:tcPr>
          <w:p w14:paraId="3C9507B4">
            <w:pPr>
              <w:jc w:val="center"/>
              <w:rPr>
                <w:rFonts w:cs="宋体"/>
                <w:color w:val="auto"/>
                <w:sz w:val="21"/>
                <w:szCs w:val="21"/>
                <w:highlight w:val="none"/>
              </w:rPr>
            </w:pPr>
            <w:r>
              <w:rPr>
                <w:rFonts w:hint="eastAsia" w:cs="宋体"/>
                <w:color w:val="auto"/>
                <w:sz w:val="21"/>
                <w:szCs w:val="21"/>
                <w:highlight w:val="none"/>
              </w:rPr>
              <w:t>项目名称</w:t>
            </w:r>
          </w:p>
        </w:tc>
        <w:tc>
          <w:tcPr>
            <w:tcW w:w="1248" w:type="dxa"/>
            <w:vAlign w:val="center"/>
          </w:tcPr>
          <w:p w14:paraId="3C556580">
            <w:pPr>
              <w:jc w:val="center"/>
              <w:rPr>
                <w:rFonts w:cs="宋体"/>
                <w:color w:val="auto"/>
                <w:sz w:val="21"/>
                <w:szCs w:val="21"/>
                <w:highlight w:val="none"/>
              </w:rPr>
            </w:pPr>
            <w:r>
              <w:rPr>
                <w:rFonts w:hint="eastAsia" w:cs="宋体"/>
                <w:color w:val="auto"/>
                <w:sz w:val="21"/>
                <w:szCs w:val="21"/>
                <w:highlight w:val="none"/>
              </w:rPr>
              <w:t>标的内容</w:t>
            </w:r>
          </w:p>
        </w:tc>
        <w:tc>
          <w:tcPr>
            <w:tcW w:w="1560" w:type="dxa"/>
            <w:vAlign w:val="center"/>
          </w:tcPr>
          <w:p w14:paraId="3323A290">
            <w:pPr>
              <w:jc w:val="center"/>
              <w:rPr>
                <w:rFonts w:cs="宋体"/>
                <w:color w:val="auto"/>
                <w:sz w:val="21"/>
                <w:szCs w:val="21"/>
                <w:highlight w:val="none"/>
              </w:rPr>
            </w:pPr>
            <w:r>
              <w:rPr>
                <w:rFonts w:hint="eastAsia" w:cs="宋体"/>
                <w:color w:val="auto"/>
                <w:sz w:val="21"/>
                <w:szCs w:val="21"/>
                <w:highlight w:val="none"/>
              </w:rPr>
              <w:t>采购人名称</w:t>
            </w:r>
          </w:p>
        </w:tc>
        <w:tc>
          <w:tcPr>
            <w:tcW w:w="1344" w:type="dxa"/>
            <w:vAlign w:val="center"/>
          </w:tcPr>
          <w:p w14:paraId="79203797">
            <w:pPr>
              <w:spacing w:line="240" w:lineRule="auto"/>
              <w:jc w:val="center"/>
              <w:rPr>
                <w:rFonts w:cs="宋体"/>
                <w:color w:val="auto"/>
                <w:sz w:val="21"/>
                <w:szCs w:val="21"/>
                <w:highlight w:val="none"/>
              </w:rPr>
            </w:pPr>
            <w:r>
              <w:rPr>
                <w:rFonts w:hint="eastAsia" w:cs="宋体"/>
                <w:color w:val="auto"/>
                <w:sz w:val="21"/>
                <w:szCs w:val="21"/>
                <w:highlight w:val="none"/>
              </w:rPr>
              <w:t>中标（成交）金额</w:t>
            </w:r>
          </w:p>
        </w:tc>
        <w:tc>
          <w:tcPr>
            <w:tcW w:w="1525" w:type="dxa"/>
            <w:vAlign w:val="center"/>
          </w:tcPr>
          <w:p w14:paraId="64018E6B">
            <w:pPr>
              <w:spacing w:line="240" w:lineRule="auto"/>
              <w:jc w:val="center"/>
              <w:rPr>
                <w:rFonts w:cs="宋体"/>
                <w:color w:val="auto"/>
                <w:sz w:val="21"/>
                <w:szCs w:val="21"/>
                <w:highlight w:val="none"/>
              </w:rPr>
            </w:pPr>
            <w:r>
              <w:rPr>
                <w:rFonts w:hint="eastAsia" w:cs="宋体"/>
                <w:color w:val="auto"/>
                <w:sz w:val="21"/>
                <w:szCs w:val="21"/>
                <w:highlight w:val="none"/>
              </w:rPr>
              <w:t>采购合同签订时间</w:t>
            </w:r>
          </w:p>
        </w:tc>
        <w:tc>
          <w:tcPr>
            <w:tcW w:w="1091" w:type="dxa"/>
            <w:vAlign w:val="center"/>
          </w:tcPr>
          <w:p w14:paraId="2AC194BC">
            <w:pPr>
              <w:jc w:val="center"/>
              <w:rPr>
                <w:rFonts w:cs="宋体"/>
                <w:color w:val="auto"/>
                <w:sz w:val="21"/>
                <w:szCs w:val="21"/>
                <w:highlight w:val="none"/>
              </w:rPr>
            </w:pPr>
            <w:r>
              <w:rPr>
                <w:rFonts w:hint="eastAsia" w:cs="宋体"/>
                <w:color w:val="auto"/>
                <w:sz w:val="21"/>
                <w:szCs w:val="21"/>
                <w:highlight w:val="none"/>
              </w:rPr>
              <w:t>备注</w:t>
            </w:r>
          </w:p>
        </w:tc>
      </w:tr>
      <w:tr w14:paraId="0FB1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68364E1">
            <w:pPr>
              <w:jc w:val="center"/>
              <w:rPr>
                <w:rFonts w:cs="宋体"/>
                <w:color w:val="auto"/>
                <w:sz w:val="21"/>
                <w:szCs w:val="21"/>
                <w:highlight w:val="none"/>
              </w:rPr>
            </w:pPr>
            <w:r>
              <w:rPr>
                <w:rFonts w:hint="eastAsia" w:cs="宋体"/>
                <w:color w:val="auto"/>
                <w:sz w:val="21"/>
                <w:szCs w:val="21"/>
                <w:highlight w:val="none"/>
              </w:rPr>
              <w:t>1</w:t>
            </w:r>
          </w:p>
        </w:tc>
        <w:tc>
          <w:tcPr>
            <w:tcW w:w="1560" w:type="dxa"/>
            <w:vAlign w:val="center"/>
          </w:tcPr>
          <w:p w14:paraId="29C1F2FE">
            <w:pPr>
              <w:rPr>
                <w:rFonts w:cs="宋体"/>
                <w:color w:val="auto"/>
                <w:sz w:val="21"/>
                <w:szCs w:val="21"/>
                <w:highlight w:val="none"/>
              </w:rPr>
            </w:pPr>
          </w:p>
        </w:tc>
        <w:tc>
          <w:tcPr>
            <w:tcW w:w="1248" w:type="dxa"/>
            <w:vAlign w:val="center"/>
          </w:tcPr>
          <w:p w14:paraId="1093B94B">
            <w:pPr>
              <w:rPr>
                <w:rFonts w:cs="宋体"/>
                <w:color w:val="auto"/>
                <w:sz w:val="21"/>
                <w:szCs w:val="21"/>
                <w:highlight w:val="none"/>
              </w:rPr>
            </w:pPr>
          </w:p>
        </w:tc>
        <w:tc>
          <w:tcPr>
            <w:tcW w:w="1560" w:type="dxa"/>
            <w:vAlign w:val="center"/>
          </w:tcPr>
          <w:p w14:paraId="0E381C82">
            <w:pPr>
              <w:rPr>
                <w:rFonts w:cs="宋体"/>
                <w:color w:val="auto"/>
                <w:sz w:val="21"/>
                <w:szCs w:val="21"/>
                <w:highlight w:val="none"/>
              </w:rPr>
            </w:pPr>
          </w:p>
        </w:tc>
        <w:tc>
          <w:tcPr>
            <w:tcW w:w="1344" w:type="dxa"/>
            <w:vAlign w:val="center"/>
          </w:tcPr>
          <w:p w14:paraId="19AA6BCA">
            <w:pPr>
              <w:rPr>
                <w:rFonts w:cs="宋体"/>
                <w:color w:val="auto"/>
                <w:sz w:val="21"/>
                <w:szCs w:val="21"/>
                <w:highlight w:val="none"/>
              </w:rPr>
            </w:pPr>
          </w:p>
        </w:tc>
        <w:tc>
          <w:tcPr>
            <w:tcW w:w="1525" w:type="dxa"/>
            <w:vAlign w:val="center"/>
          </w:tcPr>
          <w:p w14:paraId="39F5DF94">
            <w:pPr>
              <w:rPr>
                <w:rFonts w:cs="宋体"/>
                <w:color w:val="auto"/>
                <w:sz w:val="21"/>
                <w:szCs w:val="21"/>
                <w:highlight w:val="none"/>
              </w:rPr>
            </w:pPr>
          </w:p>
        </w:tc>
        <w:tc>
          <w:tcPr>
            <w:tcW w:w="1091" w:type="dxa"/>
            <w:vAlign w:val="center"/>
          </w:tcPr>
          <w:p w14:paraId="288EF746">
            <w:pPr>
              <w:rPr>
                <w:rFonts w:cs="宋体"/>
                <w:color w:val="auto"/>
                <w:sz w:val="21"/>
                <w:szCs w:val="21"/>
                <w:highlight w:val="none"/>
              </w:rPr>
            </w:pPr>
          </w:p>
        </w:tc>
      </w:tr>
      <w:tr w14:paraId="32A7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6A697C9">
            <w:pPr>
              <w:jc w:val="center"/>
              <w:rPr>
                <w:rFonts w:cs="宋体"/>
                <w:color w:val="auto"/>
                <w:sz w:val="21"/>
                <w:szCs w:val="21"/>
                <w:highlight w:val="none"/>
              </w:rPr>
            </w:pPr>
            <w:r>
              <w:rPr>
                <w:rFonts w:hint="eastAsia" w:cs="宋体"/>
                <w:color w:val="auto"/>
                <w:sz w:val="21"/>
                <w:szCs w:val="21"/>
                <w:highlight w:val="none"/>
              </w:rPr>
              <w:t>2</w:t>
            </w:r>
          </w:p>
        </w:tc>
        <w:tc>
          <w:tcPr>
            <w:tcW w:w="1560" w:type="dxa"/>
            <w:vAlign w:val="center"/>
          </w:tcPr>
          <w:p w14:paraId="1019B451">
            <w:pPr>
              <w:rPr>
                <w:rFonts w:cs="宋体"/>
                <w:color w:val="auto"/>
                <w:sz w:val="21"/>
                <w:szCs w:val="21"/>
                <w:highlight w:val="none"/>
              </w:rPr>
            </w:pPr>
          </w:p>
        </w:tc>
        <w:tc>
          <w:tcPr>
            <w:tcW w:w="1248" w:type="dxa"/>
            <w:vAlign w:val="center"/>
          </w:tcPr>
          <w:p w14:paraId="4527470A">
            <w:pPr>
              <w:rPr>
                <w:rFonts w:cs="宋体"/>
                <w:color w:val="auto"/>
                <w:sz w:val="21"/>
                <w:szCs w:val="21"/>
                <w:highlight w:val="none"/>
              </w:rPr>
            </w:pPr>
          </w:p>
        </w:tc>
        <w:tc>
          <w:tcPr>
            <w:tcW w:w="1560" w:type="dxa"/>
            <w:vAlign w:val="center"/>
          </w:tcPr>
          <w:p w14:paraId="0EDD2CA4">
            <w:pPr>
              <w:rPr>
                <w:rFonts w:cs="宋体"/>
                <w:color w:val="auto"/>
                <w:sz w:val="21"/>
                <w:szCs w:val="21"/>
                <w:highlight w:val="none"/>
              </w:rPr>
            </w:pPr>
          </w:p>
        </w:tc>
        <w:tc>
          <w:tcPr>
            <w:tcW w:w="1344" w:type="dxa"/>
            <w:vAlign w:val="center"/>
          </w:tcPr>
          <w:p w14:paraId="56065988">
            <w:pPr>
              <w:rPr>
                <w:rFonts w:cs="宋体"/>
                <w:color w:val="auto"/>
                <w:sz w:val="21"/>
                <w:szCs w:val="21"/>
                <w:highlight w:val="none"/>
              </w:rPr>
            </w:pPr>
          </w:p>
        </w:tc>
        <w:tc>
          <w:tcPr>
            <w:tcW w:w="1525" w:type="dxa"/>
            <w:vAlign w:val="center"/>
          </w:tcPr>
          <w:p w14:paraId="4CA59AF6">
            <w:pPr>
              <w:rPr>
                <w:rFonts w:cs="宋体"/>
                <w:color w:val="auto"/>
                <w:sz w:val="21"/>
                <w:szCs w:val="21"/>
                <w:highlight w:val="none"/>
              </w:rPr>
            </w:pPr>
          </w:p>
        </w:tc>
        <w:tc>
          <w:tcPr>
            <w:tcW w:w="1091" w:type="dxa"/>
            <w:vAlign w:val="center"/>
          </w:tcPr>
          <w:p w14:paraId="0836A012">
            <w:pPr>
              <w:rPr>
                <w:rFonts w:cs="宋体"/>
                <w:color w:val="auto"/>
                <w:sz w:val="21"/>
                <w:szCs w:val="21"/>
                <w:highlight w:val="none"/>
              </w:rPr>
            </w:pPr>
          </w:p>
        </w:tc>
      </w:tr>
      <w:tr w14:paraId="088DF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DA811D3">
            <w:pPr>
              <w:jc w:val="center"/>
              <w:rPr>
                <w:rFonts w:cs="宋体"/>
                <w:color w:val="auto"/>
                <w:sz w:val="21"/>
                <w:szCs w:val="21"/>
                <w:highlight w:val="none"/>
              </w:rPr>
            </w:pPr>
            <w:r>
              <w:rPr>
                <w:rFonts w:hint="eastAsia" w:cs="宋体"/>
                <w:color w:val="auto"/>
                <w:sz w:val="21"/>
                <w:szCs w:val="21"/>
                <w:highlight w:val="none"/>
              </w:rPr>
              <w:t>3</w:t>
            </w:r>
          </w:p>
        </w:tc>
        <w:tc>
          <w:tcPr>
            <w:tcW w:w="1560" w:type="dxa"/>
            <w:vAlign w:val="center"/>
          </w:tcPr>
          <w:p w14:paraId="13C0B8E7">
            <w:pPr>
              <w:rPr>
                <w:rFonts w:cs="宋体"/>
                <w:color w:val="auto"/>
                <w:sz w:val="21"/>
                <w:szCs w:val="21"/>
                <w:highlight w:val="none"/>
              </w:rPr>
            </w:pPr>
          </w:p>
        </w:tc>
        <w:tc>
          <w:tcPr>
            <w:tcW w:w="1248" w:type="dxa"/>
            <w:vAlign w:val="center"/>
          </w:tcPr>
          <w:p w14:paraId="638222F3">
            <w:pPr>
              <w:rPr>
                <w:rFonts w:cs="宋体"/>
                <w:color w:val="auto"/>
                <w:sz w:val="21"/>
                <w:szCs w:val="21"/>
                <w:highlight w:val="none"/>
              </w:rPr>
            </w:pPr>
          </w:p>
        </w:tc>
        <w:tc>
          <w:tcPr>
            <w:tcW w:w="1560" w:type="dxa"/>
            <w:vAlign w:val="center"/>
          </w:tcPr>
          <w:p w14:paraId="1283A47D">
            <w:pPr>
              <w:rPr>
                <w:rFonts w:cs="宋体"/>
                <w:color w:val="auto"/>
                <w:sz w:val="21"/>
                <w:szCs w:val="21"/>
                <w:highlight w:val="none"/>
              </w:rPr>
            </w:pPr>
          </w:p>
        </w:tc>
        <w:tc>
          <w:tcPr>
            <w:tcW w:w="1344" w:type="dxa"/>
            <w:vAlign w:val="center"/>
          </w:tcPr>
          <w:p w14:paraId="5F4A0B93">
            <w:pPr>
              <w:rPr>
                <w:rFonts w:cs="宋体"/>
                <w:color w:val="auto"/>
                <w:sz w:val="21"/>
                <w:szCs w:val="21"/>
                <w:highlight w:val="none"/>
              </w:rPr>
            </w:pPr>
          </w:p>
        </w:tc>
        <w:tc>
          <w:tcPr>
            <w:tcW w:w="1525" w:type="dxa"/>
            <w:vAlign w:val="center"/>
          </w:tcPr>
          <w:p w14:paraId="36AB0123">
            <w:pPr>
              <w:rPr>
                <w:rFonts w:cs="宋体"/>
                <w:color w:val="auto"/>
                <w:sz w:val="21"/>
                <w:szCs w:val="21"/>
                <w:highlight w:val="none"/>
              </w:rPr>
            </w:pPr>
          </w:p>
        </w:tc>
        <w:tc>
          <w:tcPr>
            <w:tcW w:w="1091" w:type="dxa"/>
            <w:vAlign w:val="center"/>
          </w:tcPr>
          <w:p w14:paraId="5957636C">
            <w:pPr>
              <w:rPr>
                <w:rFonts w:cs="宋体"/>
                <w:color w:val="auto"/>
                <w:sz w:val="21"/>
                <w:szCs w:val="21"/>
                <w:highlight w:val="none"/>
              </w:rPr>
            </w:pPr>
          </w:p>
        </w:tc>
      </w:tr>
      <w:tr w14:paraId="2B71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9AB95D3">
            <w:pPr>
              <w:jc w:val="center"/>
              <w:rPr>
                <w:rFonts w:cs="宋体"/>
                <w:color w:val="auto"/>
                <w:sz w:val="21"/>
                <w:szCs w:val="21"/>
                <w:highlight w:val="none"/>
              </w:rPr>
            </w:pPr>
            <w:r>
              <w:rPr>
                <w:rFonts w:hint="eastAsia" w:cs="宋体"/>
                <w:color w:val="auto"/>
                <w:sz w:val="21"/>
                <w:szCs w:val="21"/>
                <w:highlight w:val="none"/>
              </w:rPr>
              <w:t>4</w:t>
            </w:r>
          </w:p>
        </w:tc>
        <w:tc>
          <w:tcPr>
            <w:tcW w:w="1560" w:type="dxa"/>
            <w:vAlign w:val="center"/>
          </w:tcPr>
          <w:p w14:paraId="569FA64E">
            <w:pPr>
              <w:rPr>
                <w:rFonts w:cs="宋体"/>
                <w:color w:val="auto"/>
                <w:sz w:val="21"/>
                <w:szCs w:val="21"/>
                <w:highlight w:val="none"/>
              </w:rPr>
            </w:pPr>
          </w:p>
        </w:tc>
        <w:tc>
          <w:tcPr>
            <w:tcW w:w="1248" w:type="dxa"/>
            <w:vAlign w:val="center"/>
          </w:tcPr>
          <w:p w14:paraId="45BBD255">
            <w:pPr>
              <w:rPr>
                <w:rFonts w:cs="宋体"/>
                <w:color w:val="auto"/>
                <w:sz w:val="21"/>
                <w:szCs w:val="21"/>
                <w:highlight w:val="none"/>
              </w:rPr>
            </w:pPr>
          </w:p>
        </w:tc>
        <w:tc>
          <w:tcPr>
            <w:tcW w:w="1560" w:type="dxa"/>
            <w:vAlign w:val="center"/>
          </w:tcPr>
          <w:p w14:paraId="5180D21B">
            <w:pPr>
              <w:rPr>
                <w:rFonts w:cs="宋体"/>
                <w:color w:val="auto"/>
                <w:sz w:val="21"/>
                <w:szCs w:val="21"/>
                <w:highlight w:val="none"/>
              </w:rPr>
            </w:pPr>
          </w:p>
        </w:tc>
        <w:tc>
          <w:tcPr>
            <w:tcW w:w="1344" w:type="dxa"/>
            <w:vAlign w:val="center"/>
          </w:tcPr>
          <w:p w14:paraId="56093DBC">
            <w:pPr>
              <w:rPr>
                <w:rFonts w:cs="宋体"/>
                <w:color w:val="auto"/>
                <w:sz w:val="21"/>
                <w:szCs w:val="21"/>
                <w:highlight w:val="none"/>
              </w:rPr>
            </w:pPr>
          </w:p>
        </w:tc>
        <w:tc>
          <w:tcPr>
            <w:tcW w:w="1525" w:type="dxa"/>
            <w:vAlign w:val="center"/>
          </w:tcPr>
          <w:p w14:paraId="3B922CAA">
            <w:pPr>
              <w:rPr>
                <w:rFonts w:cs="宋体"/>
                <w:color w:val="auto"/>
                <w:sz w:val="21"/>
                <w:szCs w:val="21"/>
                <w:highlight w:val="none"/>
              </w:rPr>
            </w:pPr>
          </w:p>
        </w:tc>
        <w:tc>
          <w:tcPr>
            <w:tcW w:w="1091" w:type="dxa"/>
            <w:vAlign w:val="center"/>
          </w:tcPr>
          <w:p w14:paraId="71C847A7">
            <w:pPr>
              <w:rPr>
                <w:rFonts w:cs="宋体"/>
                <w:color w:val="auto"/>
                <w:sz w:val="21"/>
                <w:szCs w:val="21"/>
                <w:highlight w:val="none"/>
              </w:rPr>
            </w:pPr>
          </w:p>
        </w:tc>
      </w:tr>
      <w:tr w14:paraId="0C6D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5DE2898">
            <w:pPr>
              <w:jc w:val="center"/>
              <w:rPr>
                <w:rFonts w:cs="宋体"/>
                <w:color w:val="auto"/>
                <w:sz w:val="21"/>
                <w:szCs w:val="21"/>
                <w:highlight w:val="none"/>
              </w:rPr>
            </w:pPr>
            <w:r>
              <w:rPr>
                <w:rFonts w:hint="eastAsia" w:cs="宋体"/>
                <w:color w:val="auto"/>
                <w:sz w:val="21"/>
                <w:szCs w:val="21"/>
                <w:highlight w:val="none"/>
              </w:rPr>
              <w:t>5</w:t>
            </w:r>
          </w:p>
        </w:tc>
        <w:tc>
          <w:tcPr>
            <w:tcW w:w="1560" w:type="dxa"/>
            <w:vAlign w:val="center"/>
          </w:tcPr>
          <w:p w14:paraId="76C81C18">
            <w:pPr>
              <w:rPr>
                <w:rFonts w:cs="宋体"/>
                <w:color w:val="auto"/>
                <w:sz w:val="21"/>
                <w:szCs w:val="21"/>
                <w:highlight w:val="none"/>
              </w:rPr>
            </w:pPr>
          </w:p>
        </w:tc>
        <w:tc>
          <w:tcPr>
            <w:tcW w:w="1248" w:type="dxa"/>
            <w:vAlign w:val="center"/>
          </w:tcPr>
          <w:p w14:paraId="75EAAC7E">
            <w:pPr>
              <w:rPr>
                <w:rFonts w:cs="宋体"/>
                <w:color w:val="auto"/>
                <w:sz w:val="21"/>
                <w:szCs w:val="21"/>
                <w:highlight w:val="none"/>
              </w:rPr>
            </w:pPr>
          </w:p>
        </w:tc>
        <w:tc>
          <w:tcPr>
            <w:tcW w:w="1560" w:type="dxa"/>
            <w:vAlign w:val="center"/>
          </w:tcPr>
          <w:p w14:paraId="46E84DA4">
            <w:pPr>
              <w:rPr>
                <w:rFonts w:cs="宋体"/>
                <w:color w:val="auto"/>
                <w:sz w:val="21"/>
                <w:szCs w:val="21"/>
                <w:highlight w:val="none"/>
              </w:rPr>
            </w:pPr>
          </w:p>
        </w:tc>
        <w:tc>
          <w:tcPr>
            <w:tcW w:w="1344" w:type="dxa"/>
            <w:vAlign w:val="center"/>
          </w:tcPr>
          <w:p w14:paraId="58F76DC2">
            <w:pPr>
              <w:rPr>
                <w:rFonts w:cs="宋体"/>
                <w:color w:val="auto"/>
                <w:sz w:val="21"/>
                <w:szCs w:val="21"/>
                <w:highlight w:val="none"/>
              </w:rPr>
            </w:pPr>
          </w:p>
        </w:tc>
        <w:tc>
          <w:tcPr>
            <w:tcW w:w="1525" w:type="dxa"/>
            <w:vAlign w:val="center"/>
          </w:tcPr>
          <w:p w14:paraId="273A9BDF">
            <w:pPr>
              <w:rPr>
                <w:rFonts w:cs="宋体"/>
                <w:color w:val="auto"/>
                <w:sz w:val="21"/>
                <w:szCs w:val="21"/>
                <w:highlight w:val="none"/>
              </w:rPr>
            </w:pPr>
          </w:p>
        </w:tc>
        <w:tc>
          <w:tcPr>
            <w:tcW w:w="1091" w:type="dxa"/>
            <w:vAlign w:val="center"/>
          </w:tcPr>
          <w:p w14:paraId="0E7A7F2D">
            <w:pPr>
              <w:rPr>
                <w:rFonts w:cs="宋体"/>
                <w:color w:val="auto"/>
                <w:sz w:val="21"/>
                <w:szCs w:val="21"/>
                <w:highlight w:val="none"/>
              </w:rPr>
            </w:pPr>
          </w:p>
        </w:tc>
      </w:tr>
      <w:tr w14:paraId="26A7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60F66B37">
            <w:pPr>
              <w:jc w:val="center"/>
              <w:rPr>
                <w:rFonts w:cs="宋体"/>
                <w:color w:val="auto"/>
                <w:sz w:val="21"/>
                <w:szCs w:val="21"/>
                <w:highlight w:val="none"/>
              </w:rPr>
            </w:pPr>
            <w:r>
              <w:rPr>
                <w:rFonts w:hint="eastAsia" w:cs="宋体"/>
                <w:color w:val="auto"/>
                <w:sz w:val="21"/>
                <w:szCs w:val="21"/>
                <w:highlight w:val="none"/>
              </w:rPr>
              <w:t>…</w:t>
            </w:r>
          </w:p>
        </w:tc>
        <w:tc>
          <w:tcPr>
            <w:tcW w:w="1560" w:type="dxa"/>
            <w:vAlign w:val="center"/>
          </w:tcPr>
          <w:p w14:paraId="687BF6E4">
            <w:pPr>
              <w:rPr>
                <w:rFonts w:cs="宋体"/>
                <w:color w:val="auto"/>
                <w:sz w:val="21"/>
                <w:szCs w:val="21"/>
                <w:highlight w:val="none"/>
              </w:rPr>
            </w:pPr>
          </w:p>
        </w:tc>
        <w:tc>
          <w:tcPr>
            <w:tcW w:w="1248" w:type="dxa"/>
            <w:vAlign w:val="center"/>
          </w:tcPr>
          <w:p w14:paraId="76BB87D4">
            <w:pPr>
              <w:rPr>
                <w:rFonts w:cs="宋体"/>
                <w:color w:val="auto"/>
                <w:sz w:val="21"/>
                <w:szCs w:val="21"/>
                <w:highlight w:val="none"/>
              </w:rPr>
            </w:pPr>
          </w:p>
        </w:tc>
        <w:tc>
          <w:tcPr>
            <w:tcW w:w="1560" w:type="dxa"/>
            <w:vAlign w:val="center"/>
          </w:tcPr>
          <w:p w14:paraId="1356CBA6">
            <w:pPr>
              <w:rPr>
                <w:rFonts w:cs="宋体"/>
                <w:color w:val="auto"/>
                <w:sz w:val="21"/>
                <w:szCs w:val="21"/>
                <w:highlight w:val="none"/>
              </w:rPr>
            </w:pPr>
          </w:p>
        </w:tc>
        <w:tc>
          <w:tcPr>
            <w:tcW w:w="1344" w:type="dxa"/>
            <w:vAlign w:val="center"/>
          </w:tcPr>
          <w:p w14:paraId="03CF6DE9">
            <w:pPr>
              <w:rPr>
                <w:rFonts w:cs="宋体"/>
                <w:color w:val="auto"/>
                <w:sz w:val="21"/>
                <w:szCs w:val="21"/>
                <w:highlight w:val="none"/>
              </w:rPr>
            </w:pPr>
          </w:p>
        </w:tc>
        <w:tc>
          <w:tcPr>
            <w:tcW w:w="1525" w:type="dxa"/>
            <w:vAlign w:val="center"/>
          </w:tcPr>
          <w:p w14:paraId="47B82583">
            <w:pPr>
              <w:rPr>
                <w:rFonts w:cs="宋体"/>
                <w:color w:val="auto"/>
                <w:sz w:val="21"/>
                <w:szCs w:val="21"/>
                <w:highlight w:val="none"/>
              </w:rPr>
            </w:pPr>
          </w:p>
        </w:tc>
        <w:tc>
          <w:tcPr>
            <w:tcW w:w="1091" w:type="dxa"/>
            <w:vAlign w:val="center"/>
          </w:tcPr>
          <w:p w14:paraId="7E83F052">
            <w:pPr>
              <w:rPr>
                <w:rFonts w:cs="宋体"/>
                <w:color w:val="auto"/>
                <w:sz w:val="21"/>
                <w:szCs w:val="21"/>
                <w:highlight w:val="none"/>
              </w:rPr>
            </w:pPr>
          </w:p>
        </w:tc>
      </w:tr>
      <w:bookmarkEnd w:id="375"/>
    </w:tbl>
    <w:p w14:paraId="0355E78F">
      <w:pPr>
        <w:rPr>
          <w:rFonts w:cs="仿宋_GB2312"/>
          <w:color w:val="auto"/>
          <w:szCs w:val="24"/>
          <w:highlight w:val="none"/>
        </w:rPr>
      </w:pPr>
    </w:p>
    <w:p w14:paraId="11A1144C">
      <w:pPr>
        <w:rPr>
          <w:rFonts w:cs="仿宋_GB2312"/>
          <w:color w:val="auto"/>
          <w:sz w:val="21"/>
          <w:szCs w:val="21"/>
          <w:highlight w:val="none"/>
        </w:rPr>
      </w:pPr>
      <w:r>
        <w:rPr>
          <w:rFonts w:hint="eastAsia" w:cs="仿宋_GB2312"/>
          <w:color w:val="auto"/>
          <w:sz w:val="21"/>
          <w:szCs w:val="21"/>
          <w:highlight w:val="none"/>
        </w:rPr>
        <w:t>注：投标人须按相关要求提供相应的中标（成交）通知书、采购合同等业绩证明资料。</w:t>
      </w:r>
    </w:p>
    <w:p w14:paraId="6B9455B0">
      <w:pPr>
        <w:rPr>
          <w:rFonts w:cs="仿宋_GB2312"/>
          <w:b/>
          <w:bCs/>
          <w:color w:val="auto"/>
          <w:sz w:val="21"/>
          <w:szCs w:val="21"/>
          <w:highlight w:val="none"/>
        </w:rPr>
      </w:pPr>
      <w:r>
        <w:rPr>
          <w:rFonts w:hint="eastAsia" w:cs="仿宋_GB2312"/>
          <w:b/>
          <w:bCs/>
          <w:color w:val="auto"/>
          <w:sz w:val="21"/>
          <w:szCs w:val="21"/>
          <w:highlight w:val="none"/>
        </w:rPr>
        <w:t>（具体以评分标准要求为准。）</w:t>
      </w:r>
    </w:p>
    <w:p w14:paraId="34A835FA">
      <w:pPr>
        <w:widowControl/>
        <w:spacing w:before="100" w:beforeAutospacing="1" w:after="100" w:afterAutospacing="1"/>
        <w:rPr>
          <w:rFonts w:cs="Arial"/>
          <w:color w:val="auto"/>
          <w:szCs w:val="21"/>
          <w:highlight w:val="none"/>
        </w:rPr>
      </w:pPr>
    </w:p>
    <w:p w14:paraId="342B8705">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宋体"/>
          <w:color w:val="auto"/>
          <w:kern w:val="0"/>
          <w:szCs w:val="24"/>
          <w:highlight w:val="none"/>
        </w:rPr>
        <w:t>公章</w:t>
      </w:r>
      <w:r>
        <w:rPr>
          <w:rFonts w:hint="eastAsia" w:cs="宋体"/>
          <w:color w:val="auto"/>
          <w:kern w:val="0"/>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04E7A46F">
      <w:pPr>
        <w:ind w:firstLine="420"/>
        <w:rPr>
          <w:rFonts w:cs="仿宋_GB2312"/>
          <w:color w:val="auto"/>
          <w:szCs w:val="24"/>
          <w:highlight w:val="none"/>
        </w:rPr>
      </w:pPr>
      <w:r>
        <w:rPr>
          <w:rFonts w:hint="eastAsia" w:cs="仿宋_GB2312"/>
          <w:color w:val="auto"/>
          <w:szCs w:val="24"/>
          <w:highlight w:val="none"/>
        </w:rPr>
        <w:t>日      期：</w:t>
      </w:r>
    </w:p>
    <w:p w14:paraId="459BF317">
      <w:pPr>
        <w:ind w:firstLine="420"/>
        <w:rPr>
          <w:rFonts w:cs="仿宋_GB2312"/>
          <w:color w:val="auto"/>
          <w:szCs w:val="24"/>
          <w:highlight w:val="none"/>
        </w:rPr>
      </w:pPr>
      <w:r>
        <w:rPr>
          <w:rFonts w:cs="仿宋_GB2312"/>
          <w:color w:val="auto"/>
          <w:szCs w:val="24"/>
          <w:highlight w:val="none"/>
        </w:rPr>
        <w:br w:type="page"/>
      </w:r>
    </w:p>
    <w:p w14:paraId="0AC99F1D">
      <w:pPr>
        <w:pStyle w:val="5"/>
        <w:spacing w:before="100" w:after="100" w:line="360" w:lineRule="auto"/>
        <w:ind w:left="420" w:hanging="420"/>
        <w:jc w:val="center"/>
        <w:rPr>
          <w:color w:val="auto"/>
          <w:highlight w:val="none"/>
        </w:rPr>
      </w:pPr>
      <w:bookmarkStart w:id="376" w:name="_Toc26782"/>
      <w:bookmarkStart w:id="377" w:name="_Toc163492931"/>
      <w:r>
        <w:rPr>
          <w:rFonts w:hint="eastAsia"/>
          <w:color w:val="auto"/>
          <w:highlight w:val="none"/>
        </w:rPr>
        <w:t>十</w:t>
      </w:r>
      <w:r>
        <w:rPr>
          <w:rFonts w:hint="eastAsia"/>
          <w:color w:val="auto"/>
          <w:highlight w:val="none"/>
          <w:lang w:val="en-US" w:eastAsia="zh-CN"/>
        </w:rPr>
        <w:t>六</w:t>
      </w:r>
      <w:r>
        <w:rPr>
          <w:rFonts w:hint="eastAsia"/>
          <w:color w:val="auto"/>
          <w:highlight w:val="none"/>
        </w:rPr>
        <w:t>、拟派项目团队</w:t>
      </w:r>
      <w:bookmarkEnd w:id="376"/>
      <w:bookmarkEnd w:id="377"/>
    </w:p>
    <w:tbl>
      <w:tblPr>
        <w:tblStyle w:val="1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1C9D68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73E9C245">
            <w:pPr>
              <w:pStyle w:val="21"/>
              <w:jc w:val="center"/>
              <w:rPr>
                <w:rFonts w:cs="宋体"/>
                <w:color w:val="auto"/>
                <w:sz w:val="21"/>
                <w:szCs w:val="21"/>
                <w:highlight w:val="none"/>
              </w:rPr>
            </w:pPr>
            <w:r>
              <w:rPr>
                <w:rFonts w:hint="eastAsia" w:cs="宋体"/>
                <w:color w:val="auto"/>
                <w:sz w:val="21"/>
                <w:szCs w:val="21"/>
                <w:highlight w:val="none"/>
              </w:rPr>
              <w:t>序号</w:t>
            </w:r>
          </w:p>
        </w:tc>
        <w:tc>
          <w:tcPr>
            <w:tcW w:w="1267" w:type="dxa"/>
            <w:vAlign w:val="center"/>
          </w:tcPr>
          <w:p w14:paraId="69CECDBF">
            <w:pPr>
              <w:pStyle w:val="21"/>
              <w:jc w:val="center"/>
              <w:rPr>
                <w:rFonts w:cs="宋体"/>
                <w:color w:val="auto"/>
                <w:sz w:val="21"/>
                <w:szCs w:val="21"/>
                <w:highlight w:val="none"/>
              </w:rPr>
            </w:pPr>
            <w:r>
              <w:rPr>
                <w:rFonts w:hint="eastAsia" w:cs="宋体"/>
                <w:color w:val="auto"/>
                <w:sz w:val="21"/>
                <w:szCs w:val="21"/>
                <w:highlight w:val="none"/>
              </w:rPr>
              <w:t>团队成员</w:t>
            </w:r>
          </w:p>
          <w:p w14:paraId="3DB7FBD1">
            <w:pPr>
              <w:pStyle w:val="21"/>
              <w:jc w:val="center"/>
              <w:rPr>
                <w:rFonts w:cs="宋体"/>
                <w:color w:val="auto"/>
                <w:sz w:val="21"/>
                <w:szCs w:val="21"/>
                <w:highlight w:val="none"/>
              </w:rPr>
            </w:pPr>
            <w:r>
              <w:rPr>
                <w:rFonts w:hint="eastAsia" w:cs="宋体"/>
                <w:color w:val="auto"/>
                <w:sz w:val="21"/>
                <w:szCs w:val="21"/>
                <w:highlight w:val="none"/>
              </w:rPr>
              <w:t>姓名</w:t>
            </w:r>
          </w:p>
        </w:tc>
        <w:tc>
          <w:tcPr>
            <w:tcW w:w="1296" w:type="dxa"/>
            <w:tcBorders>
              <w:right w:val="single" w:color="auto" w:sz="4" w:space="0"/>
            </w:tcBorders>
            <w:vAlign w:val="center"/>
          </w:tcPr>
          <w:p w14:paraId="56445C30">
            <w:pPr>
              <w:pStyle w:val="21"/>
              <w:jc w:val="center"/>
              <w:rPr>
                <w:rFonts w:cs="宋体"/>
                <w:color w:val="auto"/>
                <w:sz w:val="21"/>
                <w:szCs w:val="21"/>
                <w:highlight w:val="none"/>
              </w:rPr>
            </w:pPr>
            <w:r>
              <w:rPr>
                <w:rFonts w:hint="eastAsia" w:cs="宋体"/>
                <w:color w:val="auto"/>
                <w:sz w:val="21"/>
                <w:szCs w:val="21"/>
                <w:highlight w:val="none"/>
              </w:rPr>
              <w:t>工作单位</w:t>
            </w:r>
          </w:p>
        </w:tc>
        <w:tc>
          <w:tcPr>
            <w:tcW w:w="1080" w:type="dxa"/>
            <w:tcBorders>
              <w:left w:val="single" w:color="auto" w:sz="4" w:space="0"/>
            </w:tcBorders>
            <w:vAlign w:val="center"/>
          </w:tcPr>
          <w:p w14:paraId="1791806C">
            <w:pPr>
              <w:pStyle w:val="21"/>
              <w:jc w:val="center"/>
              <w:rPr>
                <w:rFonts w:cs="宋体"/>
                <w:color w:val="auto"/>
                <w:sz w:val="21"/>
                <w:szCs w:val="21"/>
                <w:highlight w:val="none"/>
              </w:rPr>
            </w:pPr>
            <w:r>
              <w:rPr>
                <w:rFonts w:hint="eastAsia" w:cs="宋体"/>
                <w:color w:val="auto"/>
                <w:sz w:val="21"/>
                <w:szCs w:val="21"/>
                <w:highlight w:val="none"/>
              </w:rPr>
              <w:t>身份证号</w:t>
            </w:r>
          </w:p>
        </w:tc>
        <w:tc>
          <w:tcPr>
            <w:tcW w:w="804" w:type="dxa"/>
            <w:tcBorders>
              <w:left w:val="single" w:color="auto" w:sz="4" w:space="0"/>
            </w:tcBorders>
            <w:vAlign w:val="center"/>
          </w:tcPr>
          <w:p w14:paraId="43F860B0">
            <w:pPr>
              <w:pStyle w:val="21"/>
              <w:jc w:val="center"/>
              <w:rPr>
                <w:rFonts w:cs="宋体"/>
                <w:color w:val="auto"/>
                <w:sz w:val="21"/>
                <w:szCs w:val="21"/>
                <w:highlight w:val="none"/>
              </w:rPr>
            </w:pPr>
            <w:r>
              <w:rPr>
                <w:rFonts w:hint="eastAsia" w:cs="宋体"/>
                <w:color w:val="auto"/>
                <w:sz w:val="21"/>
                <w:szCs w:val="21"/>
                <w:highlight w:val="none"/>
              </w:rPr>
              <w:t>职称</w:t>
            </w:r>
          </w:p>
        </w:tc>
        <w:tc>
          <w:tcPr>
            <w:tcW w:w="1860" w:type="dxa"/>
            <w:vAlign w:val="center"/>
          </w:tcPr>
          <w:p w14:paraId="2AA21548">
            <w:pPr>
              <w:pStyle w:val="21"/>
              <w:jc w:val="center"/>
              <w:rPr>
                <w:rFonts w:cs="宋体"/>
                <w:color w:val="auto"/>
                <w:sz w:val="21"/>
                <w:szCs w:val="21"/>
                <w:highlight w:val="none"/>
              </w:rPr>
            </w:pPr>
            <w:r>
              <w:rPr>
                <w:rFonts w:hint="eastAsia" w:cs="宋体"/>
                <w:color w:val="auto"/>
                <w:sz w:val="21"/>
                <w:szCs w:val="21"/>
                <w:highlight w:val="none"/>
              </w:rPr>
              <w:t>注册证书（岗位证书）名称及编号</w:t>
            </w:r>
          </w:p>
        </w:tc>
        <w:tc>
          <w:tcPr>
            <w:tcW w:w="1356" w:type="dxa"/>
            <w:vAlign w:val="center"/>
          </w:tcPr>
          <w:p w14:paraId="271740BA">
            <w:pPr>
              <w:pStyle w:val="21"/>
              <w:jc w:val="center"/>
              <w:rPr>
                <w:rFonts w:cs="宋体"/>
                <w:color w:val="auto"/>
                <w:sz w:val="21"/>
                <w:szCs w:val="21"/>
                <w:highlight w:val="none"/>
              </w:rPr>
            </w:pPr>
            <w:r>
              <w:rPr>
                <w:rFonts w:hint="eastAsia" w:cs="宋体"/>
                <w:color w:val="auto"/>
                <w:sz w:val="21"/>
                <w:szCs w:val="21"/>
                <w:highlight w:val="none"/>
              </w:rPr>
              <w:t>在团队中职务（岗位）</w:t>
            </w:r>
          </w:p>
        </w:tc>
        <w:tc>
          <w:tcPr>
            <w:tcW w:w="816" w:type="dxa"/>
            <w:vAlign w:val="center"/>
          </w:tcPr>
          <w:p w14:paraId="421AE3AE">
            <w:pPr>
              <w:pStyle w:val="21"/>
              <w:jc w:val="center"/>
              <w:rPr>
                <w:rFonts w:cs="宋体"/>
                <w:color w:val="auto"/>
                <w:sz w:val="21"/>
                <w:szCs w:val="21"/>
                <w:highlight w:val="none"/>
              </w:rPr>
            </w:pPr>
            <w:r>
              <w:rPr>
                <w:rFonts w:hint="eastAsia" w:cs="宋体"/>
                <w:color w:val="auto"/>
                <w:sz w:val="21"/>
                <w:szCs w:val="21"/>
                <w:highlight w:val="none"/>
              </w:rPr>
              <w:t>自有/外聘</w:t>
            </w:r>
          </w:p>
        </w:tc>
      </w:tr>
      <w:tr w14:paraId="1A05B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DB7F105">
            <w:pPr>
              <w:pStyle w:val="21"/>
              <w:jc w:val="center"/>
              <w:rPr>
                <w:rFonts w:cs="宋体"/>
                <w:color w:val="auto"/>
                <w:sz w:val="21"/>
                <w:szCs w:val="21"/>
                <w:highlight w:val="none"/>
              </w:rPr>
            </w:pPr>
            <w:bookmarkStart w:id="378" w:name="_Toc99533292"/>
            <w:bookmarkStart w:id="379" w:name="_Toc100090784"/>
            <w:r>
              <w:rPr>
                <w:rFonts w:hint="eastAsia" w:cs="宋体"/>
                <w:color w:val="auto"/>
                <w:sz w:val="21"/>
                <w:szCs w:val="21"/>
                <w:highlight w:val="none"/>
              </w:rPr>
              <w:t>1</w:t>
            </w:r>
            <w:bookmarkEnd w:id="378"/>
            <w:bookmarkEnd w:id="379"/>
          </w:p>
        </w:tc>
        <w:tc>
          <w:tcPr>
            <w:tcW w:w="1267" w:type="dxa"/>
            <w:vAlign w:val="center"/>
          </w:tcPr>
          <w:p w14:paraId="74A647D9">
            <w:pPr>
              <w:pStyle w:val="21"/>
              <w:jc w:val="center"/>
              <w:rPr>
                <w:rFonts w:cs="宋体"/>
                <w:color w:val="auto"/>
                <w:sz w:val="21"/>
                <w:szCs w:val="21"/>
                <w:highlight w:val="none"/>
              </w:rPr>
            </w:pPr>
          </w:p>
        </w:tc>
        <w:tc>
          <w:tcPr>
            <w:tcW w:w="1296" w:type="dxa"/>
            <w:tcBorders>
              <w:right w:val="single" w:color="auto" w:sz="4" w:space="0"/>
            </w:tcBorders>
            <w:vAlign w:val="center"/>
          </w:tcPr>
          <w:p w14:paraId="2A1F336A">
            <w:pPr>
              <w:pStyle w:val="21"/>
              <w:jc w:val="center"/>
              <w:rPr>
                <w:rFonts w:cs="宋体"/>
                <w:color w:val="auto"/>
                <w:sz w:val="21"/>
                <w:szCs w:val="21"/>
                <w:highlight w:val="none"/>
              </w:rPr>
            </w:pPr>
          </w:p>
        </w:tc>
        <w:tc>
          <w:tcPr>
            <w:tcW w:w="1080" w:type="dxa"/>
            <w:tcBorders>
              <w:left w:val="single" w:color="auto" w:sz="4" w:space="0"/>
            </w:tcBorders>
            <w:vAlign w:val="center"/>
          </w:tcPr>
          <w:p w14:paraId="0A042C6C">
            <w:pPr>
              <w:pStyle w:val="21"/>
              <w:jc w:val="center"/>
              <w:rPr>
                <w:rFonts w:cs="宋体"/>
                <w:color w:val="auto"/>
                <w:sz w:val="21"/>
                <w:szCs w:val="21"/>
                <w:highlight w:val="none"/>
              </w:rPr>
            </w:pPr>
          </w:p>
        </w:tc>
        <w:tc>
          <w:tcPr>
            <w:tcW w:w="804" w:type="dxa"/>
            <w:tcBorders>
              <w:left w:val="single" w:color="auto" w:sz="4" w:space="0"/>
            </w:tcBorders>
            <w:vAlign w:val="center"/>
          </w:tcPr>
          <w:p w14:paraId="5D28E693">
            <w:pPr>
              <w:pStyle w:val="21"/>
              <w:jc w:val="center"/>
              <w:rPr>
                <w:rFonts w:cs="宋体"/>
                <w:color w:val="auto"/>
                <w:sz w:val="21"/>
                <w:szCs w:val="21"/>
                <w:highlight w:val="none"/>
              </w:rPr>
            </w:pPr>
          </w:p>
        </w:tc>
        <w:tc>
          <w:tcPr>
            <w:tcW w:w="1860" w:type="dxa"/>
            <w:vAlign w:val="center"/>
          </w:tcPr>
          <w:p w14:paraId="05229037">
            <w:pPr>
              <w:pStyle w:val="21"/>
              <w:jc w:val="center"/>
              <w:rPr>
                <w:rFonts w:cs="宋体"/>
                <w:color w:val="auto"/>
                <w:sz w:val="21"/>
                <w:szCs w:val="21"/>
                <w:highlight w:val="none"/>
              </w:rPr>
            </w:pPr>
          </w:p>
        </w:tc>
        <w:tc>
          <w:tcPr>
            <w:tcW w:w="1356" w:type="dxa"/>
            <w:vAlign w:val="center"/>
          </w:tcPr>
          <w:p w14:paraId="1A03364B">
            <w:pPr>
              <w:pStyle w:val="21"/>
              <w:jc w:val="center"/>
              <w:rPr>
                <w:rFonts w:cs="宋体"/>
                <w:color w:val="auto"/>
                <w:sz w:val="21"/>
                <w:szCs w:val="21"/>
                <w:highlight w:val="none"/>
              </w:rPr>
            </w:pPr>
          </w:p>
        </w:tc>
        <w:tc>
          <w:tcPr>
            <w:tcW w:w="816" w:type="dxa"/>
            <w:vAlign w:val="center"/>
          </w:tcPr>
          <w:p w14:paraId="0846AA73">
            <w:pPr>
              <w:pStyle w:val="21"/>
              <w:jc w:val="center"/>
              <w:rPr>
                <w:rFonts w:cs="宋体"/>
                <w:color w:val="auto"/>
                <w:sz w:val="21"/>
                <w:szCs w:val="21"/>
                <w:highlight w:val="none"/>
              </w:rPr>
            </w:pPr>
          </w:p>
        </w:tc>
      </w:tr>
      <w:tr w14:paraId="63686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7653CAC">
            <w:pPr>
              <w:pStyle w:val="21"/>
              <w:jc w:val="center"/>
              <w:rPr>
                <w:rFonts w:cs="宋体"/>
                <w:color w:val="auto"/>
                <w:sz w:val="21"/>
                <w:szCs w:val="21"/>
                <w:highlight w:val="none"/>
              </w:rPr>
            </w:pPr>
            <w:bookmarkStart w:id="380" w:name="_Toc100090785"/>
            <w:bookmarkStart w:id="381" w:name="_Toc99533293"/>
            <w:r>
              <w:rPr>
                <w:rFonts w:hint="eastAsia" w:cs="宋体"/>
                <w:color w:val="auto"/>
                <w:sz w:val="21"/>
                <w:szCs w:val="21"/>
                <w:highlight w:val="none"/>
              </w:rPr>
              <w:t>2</w:t>
            </w:r>
            <w:bookmarkEnd w:id="380"/>
            <w:bookmarkEnd w:id="381"/>
          </w:p>
        </w:tc>
        <w:tc>
          <w:tcPr>
            <w:tcW w:w="1267" w:type="dxa"/>
            <w:vAlign w:val="center"/>
          </w:tcPr>
          <w:p w14:paraId="31D5783D">
            <w:pPr>
              <w:pStyle w:val="21"/>
              <w:jc w:val="center"/>
              <w:rPr>
                <w:rFonts w:cs="宋体"/>
                <w:color w:val="auto"/>
                <w:sz w:val="21"/>
                <w:szCs w:val="21"/>
                <w:highlight w:val="none"/>
              </w:rPr>
            </w:pPr>
          </w:p>
        </w:tc>
        <w:tc>
          <w:tcPr>
            <w:tcW w:w="1296" w:type="dxa"/>
            <w:tcBorders>
              <w:right w:val="single" w:color="auto" w:sz="4" w:space="0"/>
            </w:tcBorders>
            <w:vAlign w:val="center"/>
          </w:tcPr>
          <w:p w14:paraId="65728942">
            <w:pPr>
              <w:pStyle w:val="21"/>
              <w:jc w:val="center"/>
              <w:rPr>
                <w:rFonts w:cs="宋体"/>
                <w:color w:val="auto"/>
                <w:sz w:val="21"/>
                <w:szCs w:val="21"/>
                <w:highlight w:val="none"/>
              </w:rPr>
            </w:pPr>
          </w:p>
        </w:tc>
        <w:tc>
          <w:tcPr>
            <w:tcW w:w="1080" w:type="dxa"/>
            <w:tcBorders>
              <w:left w:val="single" w:color="auto" w:sz="4" w:space="0"/>
            </w:tcBorders>
            <w:vAlign w:val="center"/>
          </w:tcPr>
          <w:p w14:paraId="7608A5A7">
            <w:pPr>
              <w:pStyle w:val="21"/>
              <w:jc w:val="center"/>
              <w:rPr>
                <w:rFonts w:cs="宋体"/>
                <w:color w:val="auto"/>
                <w:sz w:val="21"/>
                <w:szCs w:val="21"/>
                <w:highlight w:val="none"/>
              </w:rPr>
            </w:pPr>
          </w:p>
        </w:tc>
        <w:tc>
          <w:tcPr>
            <w:tcW w:w="804" w:type="dxa"/>
            <w:tcBorders>
              <w:left w:val="single" w:color="auto" w:sz="4" w:space="0"/>
            </w:tcBorders>
            <w:vAlign w:val="center"/>
          </w:tcPr>
          <w:p w14:paraId="44C80176">
            <w:pPr>
              <w:pStyle w:val="21"/>
              <w:jc w:val="center"/>
              <w:rPr>
                <w:rFonts w:cs="宋体"/>
                <w:color w:val="auto"/>
                <w:sz w:val="21"/>
                <w:szCs w:val="21"/>
                <w:highlight w:val="none"/>
              </w:rPr>
            </w:pPr>
          </w:p>
        </w:tc>
        <w:tc>
          <w:tcPr>
            <w:tcW w:w="1860" w:type="dxa"/>
            <w:vAlign w:val="center"/>
          </w:tcPr>
          <w:p w14:paraId="47ECE734">
            <w:pPr>
              <w:pStyle w:val="21"/>
              <w:jc w:val="center"/>
              <w:rPr>
                <w:rFonts w:cs="宋体"/>
                <w:color w:val="auto"/>
                <w:sz w:val="21"/>
                <w:szCs w:val="21"/>
                <w:highlight w:val="none"/>
              </w:rPr>
            </w:pPr>
          </w:p>
        </w:tc>
        <w:tc>
          <w:tcPr>
            <w:tcW w:w="1356" w:type="dxa"/>
            <w:vAlign w:val="center"/>
          </w:tcPr>
          <w:p w14:paraId="666E9FD6">
            <w:pPr>
              <w:pStyle w:val="21"/>
              <w:jc w:val="center"/>
              <w:rPr>
                <w:rFonts w:cs="宋体"/>
                <w:color w:val="auto"/>
                <w:sz w:val="21"/>
                <w:szCs w:val="21"/>
                <w:highlight w:val="none"/>
              </w:rPr>
            </w:pPr>
          </w:p>
        </w:tc>
        <w:tc>
          <w:tcPr>
            <w:tcW w:w="816" w:type="dxa"/>
            <w:vAlign w:val="center"/>
          </w:tcPr>
          <w:p w14:paraId="3CF6CECD">
            <w:pPr>
              <w:pStyle w:val="21"/>
              <w:jc w:val="center"/>
              <w:rPr>
                <w:rFonts w:cs="宋体"/>
                <w:color w:val="auto"/>
                <w:sz w:val="21"/>
                <w:szCs w:val="21"/>
                <w:highlight w:val="none"/>
              </w:rPr>
            </w:pPr>
          </w:p>
        </w:tc>
      </w:tr>
      <w:tr w14:paraId="093FD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6D87DD9">
            <w:pPr>
              <w:pStyle w:val="21"/>
              <w:jc w:val="center"/>
              <w:rPr>
                <w:rFonts w:cs="宋体"/>
                <w:color w:val="auto"/>
                <w:sz w:val="21"/>
                <w:szCs w:val="21"/>
                <w:highlight w:val="none"/>
              </w:rPr>
            </w:pPr>
            <w:bookmarkStart w:id="382" w:name="_Toc100090786"/>
            <w:bookmarkStart w:id="383" w:name="_Toc99533294"/>
            <w:r>
              <w:rPr>
                <w:rFonts w:hint="eastAsia" w:cs="宋体"/>
                <w:color w:val="auto"/>
                <w:sz w:val="21"/>
                <w:szCs w:val="21"/>
                <w:highlight w:val="none"/>
              </w:rPr>
              <w:t>3</w:t>
            </w:r>
            <w:bookmarkEnd w:id="382"/>
            <w:bookmarkEnd w:id="383"/>
          </w:p>
        </w:tc>
        <w:tc>
          <w:tcPr>
            <w:tcW w:w="1267" w:type="dxa"/>
            <w:vAlign w:val="center"/>
          </w:tcPr>
          <w:p w14:paraId="2A60C3B4">
            <w:pPr>
              <w:pStyle w:val="21"/>
              <w:jc w:val="center"/>
              <w:rPr>
                <w:rFonts w:cs="宋体"/>
                <w:color w:val="auto"/>
                <w:sz w:val="21"/>
                <w:szCs w:val="21"/>
                <w:highlight w:val="none"/>
              </w:rPr>
            </w:pPr>
          </w:p>
        </w:tc>
        <w:tc>
          <w:tcPr>
            <w:tcW w:w="1296" w:type="dxa"/>
            <w:tcBorders>
              <w:right w:val="single" w:color="auto" w:sz="4" w:space="0"/>
            </w:tcBorders>
            <w:vAlign w:val="center"/>
          </w:tcPr>
          <w:p w14:paraId="5D408A02">
            <w:pPr>
              <w:pStyle w:val="21"/>
              <w:jc w:val="center"/>
              <w:rPr>
                <w:rFonts w:cs="宋体"/>
                <w:color w:val="auto"/>
                <w:sz w:val="21"/>
                <w:szCs w:val="21"/>
                <w:highlight w:val="none"/>
              </w:rPr>
            </w:pPr>
          </w:p>
        </w:tc>
        <w:tc>
          <w:tcPr>
            <w:tcW w:w="1080" w:type="dxa"/>
            <w:tcBorders>
              <w:left w:val="single" w:color="auto" w:sz="4" w:space="0"/>
            </w:tcBorders>
            <w:vAlign w:val="center"/>
          </w:tcPr>
          <w:p w14:paraId="0FFB62B8">
            <w:pPr>
              <w:pStyle w:val="21"/>
              <w:jc w:val="center"/>
              <w:rPr>
                <w:rFonts w:cs="宋体"/>
                <w:color w:val="auto"/>
                <w:sz w:val="21"/>
                <w:szCs w:val="21"/>
                <w:highlight w:val="none"/>
              </w:rPr>
            </w:pPr>
          </w:p>
        </w:tc>
        <w:tc>
          <w:tcPr>
            <w:tcW w:w="804" w:type="dxa"/>
            <w:tcBorders>
              <w:left w:val="single" w:color="auto" w:sz="4" w:space="0"/>
            </w:tcBorders>
            <w:vAlign w:val="center"/>
          </w:tcPr>
          <w:p w14:paraId="3A06E737">
            <w:pPr>
              <w:pStyle w:val="21"/>
              <w:jc w:val="center"/>
              <w:rPr>
                <w:rFonts w:cs="宋体"/>
                <w:color w:val="auto"/>
                <w:sz w:val="21"/>
                <w:szCs w:val="21"/>
                <w:highlight w:val="none"/>
              </w:rPr>
            </w:pPr>
          </w:p>
        </w:tc>
        <w:tc>
          <w:tcPr>
            <w:tcW w:w="1860" w:type="dxa"/>
            <w:vAlign w:val="center"/>
          </w:tcPr>
          <w:p w14:paraId="35E0EF90">
            <w:pPr>
              <w:pStyle w:val="21"/>
              <w:jc w:val="center"/>
              <w:rPr>
                <w:rFonts w:cs="宋体"/>
                <w:color w:val="auto"/>
                <w:sz w:val="21"/>
                <w:szCs w:val="21"/>
                <w:highlight w:val="none"/>
              </w:rPr>
            </w:pPr>
          </w:p>
        </w:tc>
        <w:tc>
          <w:tcPr>
            <w:tcW w:w="1356" w:type="dxa"/>
            <w:vAlign w:val="center"/>
          </w:tcPr>
          <w:p w14:paraId="11534533">
            <w:pPr>
              <w:pStyle w:val="21"/>
              <w:jc w:val="center"/>
              <w:rPr>
                <w:rFonts w:cs="宋体"/>
                <w:color w:val="auto"/>
                <w:sz w:val="21"/>
                <w:szCs w:val="21"/>
                <w:highlight w:val="none"/>
              </w:rPr>
            </w:pPr>
          </w:p>
        </w:tc>
        <w:tc>
          <w:tcPr>
            <w:tcW w:w="816" w:type="dxa"/>
            <w:vAlign w:val="center"/>
          </w:tcPr>
          <w:p w14:paraId="42927FDB">
            <w:pPr>
              <w:pStyle w:val="21"/>
              <w:jc w:val="center"/>
              <w:rPr>
                <w:rFonts w:cs="宋体"/>
                <w:color w:val="auto"/>
                <w:sz w:val="21"/>
                <w:szCs w:val="21"/>
                <w:highlight w:val="none"/>
              </w:rPr>
            </w:pPr>
          </w:p>
        </w:tc>
      </w:tr>
      <w:tr w14:paraId="5C72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0F1E44F">
            <w:pPr>
              <w:pStyle w:val="21"/>
              <w:jc w:val="center"/>
              <w:rPr>
                <w:rFonts w:cs="宋体"/>
                <w:color w:val="auto"/>
                <w:sz w:val="21"/>
                <w:szCs w:val="21"/>
                <w:highlight w:val="none"/>
              </w:rPr>
            </w:pPr>
            <w:bookmarkStart w:id="384" w:name="_Toc100090787"/>
            <w:bookmarkStart w:id="385" w:name="_Toc99533295"/>
            <w:r>
              <w:rPr>
                <w:rFonts w:hint="eastAsia" w:cs="宋体"/>
                <w:color w:val="auto"/>
                <w:sz w:val="21"/>
                <w:szCs w:val="21"/>
                <w:highlight w:val="none"/>
              </w:rPr>
              <w:t>4</w:t>
            </w:r>
            <w:bookmarkEnd w:id="384"/>
            <w:bookmarkEnd w:id="385"/>
          </w:p>
        </w:tc>
        <w:tc>
          <w:tcPr>
            <w:tcW w:w="1267" w:type="dxa"/>
            <w:vAlign w:val="center"/>
          </w:tcPr>
          <w:p w14:paraId="0AD09E78">
            <w:pPr>
              <w:pStyle w:val="21"/>
              <w:jc w:val="center"/>
              <w:rPr>
                <w:rFonts w:cs="宋体"/>
                <w:color w:val="auto"/>
                <w:sz w:val="21"/>
                <w:szCs w:val="21"/>
                <w:highlight w:val="none"/>
              </w:rPr>
            </w:pPr>
          </w:p>
        </w:tc>
        <w:tc>
          <w:tcPr>
            <w:tcW w:w="1296" w:type="dxa"/>
            <w:tcBorders>
              <w:right w:val="single" w:color="auto" w:sz="4" w:space="0"/>
            </w:tcBorders>
            <w:vAlign w:val="center"/>
          </w:tcPr>
          <w:p w14:paraId="005C0723">
            <w:pPr>
              <w:pStyle w:val="21"/>
              <w:jc w:val="center"/>
              <w:rPr>
                <w:rFonts w:cs="宋体"/>
                <w:color w:val="auto"/>
                <w:sz w:val="21"/>
                <w:szCs w:val="21"/>
                <w:highlight w:val="none"/>
              </w:rPr>
            </w:pPr>
          </w:p>
        </w:tc>
        <w:tc>
          <w:tcPr>
            <w:tcW w:w="1080" w:type="dxa"/>
            <w:tcBorders>
              <w:left w:val="single" w:color="auto" w:sz="4" w:space="0"/>
            </w:tcBorders>
            <w:vAlign w:val="center"/>
          </w:tcPr>
          <w:p w14:paraId="658A7D43">
            <w:pPr>
              <w:pStyle w:val="21"/>
              <w:jc w:val="center"/>
              <w:rPr>
                <w:rFonts w:cs="宋体"/>
                <w:color w:val="auto"/>
                <w:sz w:val="21"/>
                <w:szCs w:val="21"/>
                <w:highlight w:val="none"/>
              </w:rPr>
            </w:pPr>
          </w:p>
        </w:tc>
        <w:tc>
          <w:tcPr>
            <w:tcW w:w="804" w:type="dxa"/>
            <w:tcBorders>
              <w:left w:val="single" w:color="auto" w:sz="4" w:space="0"/>
            </w:tcBorders>
            <w:vAlign w:val="center"/>
          </w:tcPr>
          <w:p w14:paraId="0CF47259">
            <w:pPr>
              <w:pStyle w:val="21"/>
              <w:jc w:val="center"/>
              <w:rPr>
                <w:rFonts w:cs="宋体"/>
                <w:color w:val="auto"/>
                <w:sz w:val="21"/>
                <w:szCs w:val="21"/>
                <w:highlight w:val="none"/>
              </w:rPr>
            </w:pPr>
          </w:p>
        </w:tc>
        <w:tc>
          <w:tcPr>
            <w:tcW w:w="1860" w:type="dxa"/>
            <w:vAlign w:val="center"/>
          </w:tcPr>
          <w:p w14:paraId="18D37DA0">
            <w:pPr>
              <w:pStyle w:val="21"/>
              <w:jc w:val="center"/>
              <w:rPr>
                <w:rFonts w:cs="宋体"/>
                <w:color w:val="auto"/>
                <w:sz w:val="21"/>
                <w:szCs w:val="21"/>
                <w:highlight w:val="none"/>
              </w:rPr>
            </w:pPr>
          </w:p>
        </w:tc>
        <w:tc>
          <w:tcPr>
            <w:tcW w:w="1356" w:type="dxa"/>
            <w:vAlign w:val="center"/>
          </w:tcPr>
          <w:p w14:paraId="04872CEF">
            <w:pPr>
              <w:pStyle w:val="21"/>
              <w:jc w:val="center"/>
              <w:rPr>
                <w:rFonts w:cs="宋体"/>
                <w:color w:val="auto"/>
                <w:sz w:val="21"/>
                <w:szCs w:val="21"/>
                <w:highlight w:val="none"/>
              </w:rPr>
            </w:pPr>
          </w:p>
        </w:tc>
        <w:tc>
          <w:tcPr>
            <w:tcW w:w="816" w:type="dxa"/>
            <w:vAlign w:val="center"/>
          </w:tcPr>
          <w:p w14:paraId="50D37D14">
            <w:pPr>
              <w:pStyle w:val="21"/>
              <w:jc w:val="center"/>
              <w:rPr>
                <w:rFonts w:cs="宋体"/>
                <w:color w:val="auto"/>
                <w:sz w:val="21"/>
                <w:szCs w:val="21"/>
                <w:highlight w:val="none"/>
              </w:rPr>
            </w:pPr>
          </w:p>
        </w:tc>
      </w:tr>
      <w:tr w14:paraId="5AA9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63C5909">
            <w:pPr>
              <w:pStyle w:val="21"/>
              <w:jc w:val="center"/>
              <w:rPr>
                <w:rFonts w:cs="宋体"/>
                <w:color w:val="auto"/>
                <w:sz w:val="21"/>
                <w:szCs w:val="21"/>
                <w:highlight w:val="none"/>
              </w:rPr>
            </w:pPr>
            <w:bookmarkStart w:id="386" w:name="_Toc99533296"/>
            <w:bookmarkStart w:id="387" w:name="_Toc100090788"/>
            <w:r>
              <w:rPr>
                <w:rFonts w:hint="eastAsia" w:cs="宋体"/>
                <w:color w:val="auto"/>
                <w:sz w:val="21"/>
                <w:szCs w:val="21"/>
                <w:highlight w:val="none"/>
              </w:rPr>
              <w:t>5</w:t>
            </w:r>
            <w:bookmarkEnd w:id="386"/>
            <w:bookmarkEnd w:id="387"/>
          </w:p>
        </w:tc>
        <w:tc>
          <w:tcPr>
            <w:tcW w:w="1267" w:type="dxa"/>
            <w:vAlign w:val="center"/>
          </w:tcPr>
          <w:p w14:paraId="74306C62">
            <w:pPr>
              <w:pStyle w:val="21"/>
              <w:jc w:val="center"/>
              <w:rPr>
                <w:rFonts w:cs="宋体"/>
                <w:color w:val="auto"/>
                <w:sz w:val="21"/>
                <w:szCs w:val="21"/>
                <w:highlight w:val="none"/>
              </w:rPr>
            </w:pPr>
          </w:p>
        </w:tc>
        <w:tc>
          <w:tcPr>
            <w:tcW w:w="1296" w:type="dxa"/>
            <w:tcBorders>
              <w:right w:val="single" w:color="auto" w:sz="4" w:space="0"/>
            </w:tcBorders>
            <w:vAlign w:val="center"/>
          </w:tcPr>
          <w:p w14:paraId="00BADBB3">
            <w:pPr>
              <w:pStyle w:val="21"/>
              <w:jc w:val="center"/>
              <w:rPr>
                <w:rFonts w:cs="宋体"/>
                <w:color w:val="auto"/>
                <w:sz w:val="21"/>
                <w:szCs w:val="21"/>
                <w:highlight w:val="none"/>
              </w:rPr>
            </w:pPr>
          </w:p>
        </w:tc>
        <w:tc>
          <w:tcPr>
            <w:tcW w:w="1080" w:type="dxa"/>
            <w:tcBorders>
              <w:left w:val="single" w:color="auto" w:sz="4" w:space="0"/>
            </w:tcBorders>
            <w:vAlign w:val="center"/>
          </w:tcPr>
          <w:p w14:paraId="1B8B0B51">
            <w:pPr>
              <w:pStyle w:val="21"/>
              <w:jc w:val="center"/>
              <w:rPr>
                <w:rFonts w:cs="宋体"/>
                <w:color w:val="auto"/>
                <w:sz w:val="21"/>
                <w:szCs w:val="21"/>
                <w:highlight w:val="none"/>
              </w:rPr>
            </w:pPr>
          </w:p>
        </w:tc>
        <w:tc>
          <w:tcPr>
            <w:tcW w:w="804" w:type="dxa"/>
            <w:tcBorders>
              <w:left w:val="single" w:color="auto" w:sz="4" w:space="0"/>
            </w:tcBorders>
            <w:vAlign w:val="center"/>
          </w:tcPr>
          <w:p w14:paraId="403DD920">
            <w:pPr>
              <w:pStyle w:val="21"/>
              <w:jc w:val="center"/>
              <w:rPr>
                <w:rFonts w:cs="宋体"/>
                <w:color w:val="auto"/>
                <w:sz w:val="21"/>
                <w:szCs w:val="21"/>
                <w:highlight w:val="none"/>
              </w:rPr>
            </w:pPr>
          </w:p>
        </w:tc>
        <w:tc>
          <w:tcPr>
            <w:tcW w:w="1860" w:type="dxa"/>
            <w:vAlign w:val="center"/>
          </w:tcPr>
          <w:p w14:paraId="1FBF7688">
            <w:pPr>
              <w:pStyle w:val="21"/>
              <w:jc w:val="center"/>
              <w:rPr>
                <w:rFonts w:cs="宋体"/>
                <w:color w:val="auto"/>
                <w:sz w:val="21"/>
                <w:szCs w:val="21"/>
                <w:highlight w:val="none"/>
              </w:rPr>
            </w:pPr>
          </w:p>
        </w:tc>
        <w:tc>
          <w:tcPr>
            <w:tcW w:w="1356" w:type="dxa"/>
            <w:vAlign w:val="center"/>
          </w:tcPr>
          <w:p w14:paraId="0F330FBC">
            <w:pPr>
              <w:pStyle w:val="21"/>
              <w:jc w:val="center"/>
              <w:rPr>
                <w:rFonts w:cs="宋体"/>
                <w:color w:val="auto"/>
                <w:sz w:val="21"/>
                <w:szCs w:val="21"/>
                <w:highlight w:val="none"/>
              </w:rPr>
            </w:pPr>
          </w:p>
        </w:tc>
        <w:tc>
          <w:tcPr>
            <w:tcW w:w="816" w:type="dxa"/>
            <w:vAlign w:val="center"/>
          </w:tcPr>
          <w:p w14:paraId="34EF47FC">
            <w:pPr>
              <w:pStyle w:val="21"/>
              <w:jc w:val="center"/>
              <w:rPr>
                <w:rFonts w:cs="宋体"/>
                <w:color w:val="auto"/>
                <w:sz w:val="21"/>
                <w:szCs w:val="21"/>
                <w:highlight w:val="none"/>
              </w:rPr>
            </w:pPr>
          </w:p>
        </w:tc>
      </w:tr>
      <w:tr w14:paraId="29726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DF72815">
            <w:pPr>
              <w:pStyle w:val="21"/>
              <w:jc w:val="center"/>
              <w:rPr>
                <w:rFonts w:cs="宋体"/>
                <w:color w:val="auto"/>
                <w:sz w:val="21"/>
                <w:szCs w:val="21"/>
                <w:highlight w:val="none"/>
              </w:rPr>
            </w:pPr>
            <w:bookmarkStart w:id="388" w:name="_Toc100090789"/>
            <w:bookmarkStart w:id="389" w:name="_Toc99533297"/>
            <w:r>
              <w:rPr>
                <w:rFonts w:hint="eastAsia" w:cs="宋体"/>
                <w:color w:val="auto"/>
                <w:sz w:val="21"/>
                <w:szCs w:val="21"/>
                <w:highlight w:val="none"/>
              </w:rPr>
              <w:t>6</w:t>
            </w:r>
            <w:bookmarkEnd w:id="388"/>
            <w:bookmarkEnd w:id="389"/>
          </w:p>
        </w:tc>
        <w:tc>
          <w:tcPr>
            <w:tcW w:w="1267" w:type="dxa"/>
            <w:vAlign w:val="center"/>
          </w:tcPr>
          <w:p w14:paraId="7DC96C44">
            <w:pPr>
              <w:pStyle w:val="21"/>
              <w:jc w:val="center"/>
              <w:rPr>
                <w:rFonts w:cs="宋体"/>
                <w:color w:val="auto"/>
                <w:sz w:val="21"/>
                <w:szCs w:val="21"/>
                <w:highlight w:val="none"/>
              </w:rPr>
            </w:pPr>
          </w:p>
        </w:tc>
        <w:tc>
          <w:tcPr>
            <w:tcW w:w="1296" w:type="dxa"/>
            <w:tcBorders>
              <w:right w:val="single" w:color="auto" w:sz="4" w:space="0"/>
            </w:tcBorders>
            <w:vAlign w:val="center"/>
          </w:tcPr>
          <w:p w14:paraId="334B6736">
            <w:pPr>
              <w:pStyle w:val="21"/>
              <w:jc w:val="center"/>
              <w:rPr>
                <w:rFonts w:cs="宋体"/>
                <w:color w:val="auto"/>
                <w:sz w:val="21"/>
                <w:szCs w:val="21"/>
                <w:highlight w:val="none"/>
              </w:rPr>
            </w:pPr>
          </w:p>
        </w:tc>
        <w:tc>
          <w:tcPr>
            <w:tcW w:w="1080" w:type="dxa"/>
            <w:tcBorders>
              <w:left w:val="single" w:color="auto" w:sz="4" w:space="0"/>
            </w:tcBorders>
            <w:vAlign w:val="center"/>
          </w:tcPr>
          <w:p w14:paraId="6EC35BDB">
            <w:pPr>
              <w:pStyle w:val="21"/>
              <w:jc w:val="center"/>
              <w:rPr>
                <w:rFonts w:cs="宋体"/>
                <w:color w:val="auto"/>
                <w:sz w:val="21"/>
                <w:szCs w:val="21"/>
                <w:highlight w:val="none"/>
              </w:rPr>
            </w:pPr>
          </w:p>
        </w:tc>
        <w:tc>
          <w:tcPr>
            <w:tcW w:w="804" w:type="dxa"/>
            <w:tcBorders>
              <w:left w:val="single" w:color="auto" w:sz="4" w:space="0"/>
            </w:tcBorders>
            <w:vAlign w:val="center"/>
          </w:tcPr>
          <w:p w14:paraId="57A7C736">
            <w:pPr>
              <w:pStyle w:val="21"/>
              <w:jc w:val="center"/>
              <w:rPr>
                <w:rFonts w:cs="宋体"/>
                <w:color w:val="auto"/>
                <w:sz w:val="21"/>
                <w:szCs w:val="21"/>
                <w:highlight w:val="none"/>
              </w:rPr>
            </w:pPr>
          </w:p>
        </w:tc>
        <w:tc>
          <w:tcPr>
            <w:tcW w:w="1860" w:type="dxa"/>
            <w:vAlign w:val="center"/>
          </w:tcPr>
          <w:p w14:paraId="5A92369C">
            <w:pPr>
              <w:pStyle w:val="21"/>
              <w:jc w:val="center"/>
              <w:rPr>
                <w:rFonts w:cs="宋体"/>
                <w:color w:val="auto"/>
                <w:sz w:val="21"/>
                <w:szCs w:val="21"/>
                <w:highlight w:val="none"/>
              </w:rPr>
            </w:pPr>
          </w:p>
        </w:tc>
        <w:tc>
          <w:tcPr>
            <w:tcW w:w="1356" w:type="dxa"/>
            <w:vAlign w:val="center"/>
          </w:tcPr>
          <w:p w14:paraId="3645F044">
            <w:pPr>
              <w:pStyle w:val="21"/>
              <w:jc w:val="center"/>
              <w:rPr>
                <w:rFonts w:cs="宋体"/>
                <w:color w:val="auto"/>
                <w:sz w:val="21"/>
                <w:szCs w:val="21"/>
                <w:highlight w:val="none"/>
              </w:rPr>
            </w:pPr>
          </w:p>
        </w:tc>
        <w:tc>
          <w:tcPr>
            <w:tcW w:w="816" w:type="dxa"/>
            <w:vAlign w:val="center"/>
          </w:tcPr>
          <w:p w14:paraId="341F2244">
            <w:pPr>
              <w:pStyle w:val="21"/>
              <w:jc w:val="center"/>
              <w:rPr>
                <w:rFonts w:cs="宋体"/>
                <w:color w:val="auto"/>
                <w:sz w:val="21"/>
                <w:szCs w:val="21"/>
                <w:highlight w:val="none"/>
              </w:rPr>
            </w:pPr>
          </w:p>
        </w:tc>
      </w:tr>
      <w:tr w14:paraId="03C98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4291E70">
            <w:pPr>
              <w:pStyle w:val="21"/>
              <w:jc w:val="center"/>
              <w:rPr>
                <w:rFonts w:cs="宋体"/>
                <w:color w:val="auto"/>
                <w:sz w:val="21"/>
                <w:szCs w:val="21"/>
                <w:highlight w:val="none"/>
              </w:rPr>
            </w:pPr>
            <w:bookmarkStart w:id="390" w:name="_Toc99533298"/>
            <w:bookmarkStart w:id="391" w:name="_Toc100090790"/>
            <w:r>
              <w:rPr>
                <w:rFonts w:hint="eastAsia" w:cs="宋体"/>
                <w:color w:val="auto"/>
                <w:sz w:val="21"/>
                <w:szCs w:val="21"/>
                <w:highlight w:val="none"/>
              </w:rPr>
              <w:t>7</w:t>
            </w:r>
            <w:bookmarkEnd w:id="390"/>
            <w:bookmarkEnd w:id="391"/>
          </w:p>
        </w:tc>
        <w:tc>
          <w:tcPr>
            <w:tcW w:w="1267" w:type="dxa"/>
            <w:vAlign w:val="center"/>
          </w:tcPr>
          <w:p w14:paraId="5881769E">
            <w:pPr>
              <w:pStyle w:val="21"/>
              <w:jc w:val="center"/>
              <w:rPr>
                <w:rFonts w:cs="宋体"/>
                <w:color w:val="auto"/>
                <w:sz w:val="21"/>
                <w:szCs w:val="21"/>
                <w:highlight w:val="none"/>
              </w:rPr>
            </w:pPr>
          </w:p>
        </w:tc>
        <w:tc>
          <w:tcPr>
            <w:tcW w:w="1296" w:type="dxa"/>
            <w:tcBorders>
              <w:right w:val="single" w:color="auto" w:sz="4" w:space="0"/>
            </w:tcBorders>
            <w:vAlign w:val="center"/>
          </w:tcPr>
          <w:p w14:paraId="79B0739F">
            <w:pPr>
              <w:pStyle w:val="21"/>
              <w:jc w:val="center"/>
              <w:rPr>
                <w:rFonts w:cs="宋体"/>
                <w:color w:val="auto"/>
                <w:sz w:val="21"/>
                <w:szCs w:val="21"/>
                <w:highlight w:val="none"/>
              </w:rPr>
            </w:pPr>
          </w:p>
        </w:tc>
        <w:tc>
          <w:tcPr>
            <w:tcW w:w="1080" w:type="dxa"/>
            <w:tcBorders>
              <w:left w:val="single" w:color="auto" w:sz="4" w:space="0"/>
            </w:tcBorders>
            <w:vAlign w:val="center"/>
          </w:tcPr>
          <w:p w14:paraId="01508E01">
            <w:pPr>
              <w:pStyle w:val="21"/>
              <w:jc w:val="center"/>
              <w:rPr>
                <w:rFonts w:cs="宋体"/>
                <w:color w:val="auto"/>
                <w:sz w:val="21"/>
                <w:szCs w:val="21"/>
                <w:highlight w:val="none"/>
              </w:rPr>
            </w:pPr>
          </w:p>
        </w:tc>
        <w:tc>
          <w:tcPr>
            <w:tcW w:w="804" w:type="dxa"/>
            <w:tcBorders>
              <w:left w:val="single" w:color="auto" w:sz="4" w:space="0"/>
            </w:tcBorders>
            <w:vAlign w:val="center"/>
          </w:tcPr>
          <w:p w14:paraId="0A647DC7">
            <w:pPr>
              <w:pStyle w:val="21"/>
              <w:jc w:val="center"/>
              <w:rPr>
                <w:rFonts w:cs="宋体"/>
                <w:color w:val="auto"/>
                <w:sz w:val="21"/>
                <w:szCs w:val="21"/>
                <w:highlight w:val="none"/>
              </w:rPr>
            </w:pPr>
          </w:p>
        </w:tc>
        <w:tc>
          <w:tcPr>
            <w:tcW w:w="1860" w:type="dxa"/>
            <w:vAlign w:val="center"/>
          </w:tcPr>
          <w:p w14:paraId="4C3A04B9">
            <w:pPr>
              <w:pStyle w:val="21"/>
              <w:jc w:val="center"/>
              <w:rPr>
                <w:rFonts w:cs="宋体"/>
                <w:color w:val="auto"/>
                <w:sz w:val="21"/>
                <w:szCs w:val="21"/>
                <w:highlight w:val="none"/>
              </w:rPr>
            </w:pPr>
          </w:p>
        </w:tc>
        <w:tc>
          <w:tcPr>
            <w:tcW w:w="1356" w:type="dxa"/>
            <w:vAlign w:val="center"/>
          </w:tcPr>
          <w:p w14:paraId="68D412D8">
            <w:pPr>
              <w:pStyle w:val="21"/>
              <w:jc w:val="center"/>
              <w:rPr>
                <w:rFonts w:cs="宋体"/>
                <w:color w:val="auto"/>
                <w:sz w:val="21"/>
                <w:szCs w:val="21"/>
                <w:highlight w:val="none"/>
              </w:rPr>
            </w:pPr>
          </w:p>
        </w:tc>
        <w:tc>
          <w:tcPr>
            <w:tcW w:w="816" w:type="dxa"/>
            <w:vAlign w:val="center"/>
          </w:tcPr>
          <w:p w14:paraId="2AE3E4B4">
            <w:pPr>
              <w:pStyle w:val="21"/>
              <w:jc w:val="center"/>
              <w:rPr>
                <w:rFonts w:cs="宋体"/>
                <w:color w:val="auto"/>
                <w:sz w:val="21"/>
                <w:szCs w:val="21"/>
                <w:highlight w:val="none"/>
              </w:rPr>
            </w:pPr>
          </w:p>
        </w:tc>
      </w:tr>
      <w:tr w14:paraId="3AFBB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54D4BB7">
            <w:pPr>
              <w:pStyle w:val="21"/>
              <w:jc w:val="center"/>
              <w:rPr>
                <w:rFonts w:cs="宋体"/>
                <w:color w:val="auto"/>
                <w:sz w:val="21"/>
                <w:szCs w:val="21"/>
                <w:highlight w:val="none"/>
              </w:rPr>
            </w:pPr>
            <w:bookmarkStart w:id="392" w:name="_Toc99533299"/>
            <w:bookmarkStart w:id="393" w:name="_Toc100090791"/>
            <w:r>
              <w:rPr>
                <w:rFonts w:hint="eastAsia" w:cs="宋体"/>
                <w:color w:val="auto"/>
                <w:sz w:val="21"/>
                <w:szCs w:val="21"/>
                <w:highlight w:val="none"/>
              </w:rPr>
              <w:t>8</w:t>
            </w:r>
            <w:bookmarkEnd w:id="392"/>
            <w:bookmarkEnd w:id="393"/>
          </w:p>
        </w:tc>
        <w:tc>
          <w:tcPr>
            <w:tcW w:w="1267" w:type="dxa"/>
            <w:vAlign w:val="center"/>
          </w:tcPr>
          <w:p w14:paraId="615E8C36">
            <w:pPr>
              <w:pStyle w:val="21"/>
              <w:jc w:val="center"/>
              <w:rPr>
                <w:rFonts w:cs="宋体"/>
                <w:color w:val="auto"/>
                <w:sz w:val="21"/>
                <w:szCs w:val="21"/>
                <w:highlight w:val="none"/>
              </w:rPr>
            </w:pPr>
          </w:p>
        </w:tc>
        <w:tc>
          <w:tcPr>
            <w:tcW w:w="1296" w:type="dxa"/>
            <w:tcBorders>
              <w:right w:val="single" w:color="auto" w:sz="4" w:space="0"/>
            </w:tcBorders>
            <w:vAlign w:val="center"/>
          </w:tcPr>
          <w:p w14:paraId="0335E091">
            <w:pPr>
              <w:pStyle w:val="21"/>
              <w:jc w:val="center"/>
              <w:rPr>
                <w:rFonts w:cs="宋体"/>
                <w:color w:val="auto"/>
                <w:sz w:val="21"/>
                <w:szCs w:val="21"/>
                <w:highlight w:val="none"/>
              </w:rPr>
            </w:pPr>
          </w:p>
        </w:tc>
        <w:tc>
          <w:tcPr>
            <w:tcW w:w="1080" w:type="dxa"/>
            <w:tcBorders>
              <w:left w:val="single" w:color="auto" w:sz="4" w:space="0"/>
            </w:tcBorders>
            <w:vAlign w:val="center"/>
          </w:tcPr>
          <w:p w14:paraId="44F4D233">
            <w:pPr>
              <w:pStyle w:val="21"/>
              <w:jc w:val="center"/>
              <w:rPr>
                <w:rFonts w:cs="宋体"/>
                <w:color w:val="auto"/>
                <w:sz w:val="21"/>
                <w:szCs w:val="21"/>
                <w:highlight w:val="none"/>
              </w:rPr>
            </w:pPr>
          </w:p>
        </w:tc>
        <w:tc>
          <w:tcPr>
            <w:tcW w:w="804" w:type="dxa"/>
            <w:tcBorders>
              <w:left w:val="single" w:color="auto" w:sz="4" w:space="0"/>
            </w:tcBorders>
            <w:vAlign w:val="center"/>
          </w:tcPr>
          <w:p w14:paraId="7F30B8DB">
            <w:pPr>
              <w:pStyle w:val="21"/>
              <w:jc w:val="center"/>
              <w:rPr>
                <w:rFonts w:cs="宋体"/>
                <w:color w:val="auto"/>
                <w:sz w:val="21"/>
                <w:szCs w:val="21"/>
                <w:highlight w:val="none"/>
              </w:rPr>
            </w:pPr>
          </w:p>
        </w:tc>
        <w:tc>
          <w:tcPr>
            <w:tcW w:w="1860" w:type="dxa"/>
            <w:vAlign w:val="center"/>
          </w:tcPr>
          <w:p w14:paraId="0B30A199">
            <w:pPr>
              <w:pStyle w:val="21"/>
              <w:jc w:val="center"/>
              <w:rPr>
                <w:rFonts w:cs="宋体"/>
                <w:color w:val="auto"/>
                <w:sz w:val="21"/>
                <w:szCs w:val="21"/>
                <w:highlight w:val="none"/>
              </w:rPr>
            </w:pPr>
          </w:p>
        </w:tc>
        <w:tc>
          <w:tcPr>
            <w:tcW w:w="1356" w:type="dxa"/>
            <w:vAlign w:val="center"/>
          </w:tcPr>
          <w:p w14:paraId="63B41D9B">
            <w:pPr>
              <w:pStyle w:val="21"/>
              <w:jc w:val="center"/>
              <w:rPr>
                <w:rFonts w:cs="宋体"/>
                <w:color w:val="auto"/>
                <w:sz w:val="21"/>
                <w:szCs w:val="21"/>
                <w:highlight w:val="none"/>
              </w:rPr>
            </w:pPr>
          </w:p>
        </w:tc>
        <w:tc>
          <w:tcPr>
            <w:tcW w:w="816" w:type="dxa"/>
            <w:vAlign w:val="center"/>
          </w:tcPr>
          <w:p w14:paraId="0FE0B7E6">
            <w:pPr>
              <w:pStyle w:val="21"/>
              <w:jc w:val="center"/>
              <w:rPr>
                <w:rFonts w:cs="宋体"/>
                <w:color w:val="auto"/>
                <w:sz w:val="21"/>
                <w:szCs w:val="21"/>
                <w:highlight w:val="none"/>
              </w:rPr>
            </w:pPr>
          </w:p>
        </w:tc>
      </w:tr>
      <w:tr w14:paraId="42071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6C0A8AD">
            <w:pPr>
              <w:pStyle w:val="21"/>
              <w:jc w:val="center"/>
              <w:rPr>
                <w:rFonts w:cs="宋体"/>
                <w:color w:val="auto"/>
                <w:sz w:val="21"/>
                <w:szCs w:val="21"/>
                <w:highlight w:val="none"/>
              </w:rPr>
            </w:pPr>
            <w:bookmarkStart w:id="394" w:name="_Toc99533300"/>
            <w:bookmarkStart w:id="395" w:name="_Toc100090792"/>
            <w:r>
              <w:rPr>
                <w:rFonts w:hint="eastAsia" w:cs="宋体"/>
                <w:color w:val="auto"/>
                <w:sz w:val="21"/>
                <w:szCs w:val="21"/>
                <w:highlight w:val="none"/>
              </w:rPr>
              <w:t>9</w:t>
            </w:r>
            <w:bookmarkEnd w:id="394"/>
            <w:bookmarkEnd w:id="395"/>
          </w:p>
        </w:tc>
        <w:tc>
          <w:tcPr>
            <w:tcW w:w="1267" w:type="dxa"/>
            <w:vAlign w:val="center"/>
          </w:tcPr>
          <w:p w14:paraId="0813D5BC">
            <w:pPr>
              <w:pStyle w:val="21"/>
              <w:jc w:val="center"/>
              <w:rPr>
                <w:rFonts w:cs="宋体"/>
                <w:color w:val="auto"/>
                <w:sz w:val="21"/>
                <w:szCs w:val="21"/>
                <w:highlight w:val="none"/>
              </w:rPr>
            </w:pPr>
          </w:p>
        </w:tc>
        <w:tc>
          <w:tcPr>
            <w:tcW w:w="1296" w:type="dxa"/>
            <w:tcBorders>
              <w:right w:val="single" w:color="auto" w:sz="4" w:space="0"/>
            </w:tcBorders>
            <w:vAlign w:val="center"/>
          </w:tcPr>
          <w:p w14:paraId="7BFB3B73">
            <w:pPr>
              <w:pStyle w:val="21"/>
              <w:jc w:val="center"/>
              <w:rPr>
                <w:rFonts w:cs="宋体"/>
                <w:color w:val="auto"/>
                <w:sz w:val="21"/>
                <w:szCs w:val="21"/>
                <w:highlight w:val="none"/>
              </w:rPr>
            </w:pPr>
          </w:p>
        </w:tc>
        <w:tc>
          <w:tcPr>
            <w:tcW w:w="1080" w:type="dxa"/>
            <w:tcBorders>
              <w:left w:val="single" w:color="auto" w:sz="4" w:space="0"/>
            </w:tcBorders>
            <w:vAlign w:val="center"/>
          </w:tcPr>
          <w:p w14:paraId="7024A6C8">
            <w:pPr>
              <w:pStyle w:val="21"/>
              <w:jc w:val="center"/>
              <w:rPr>
                <w:rFonts w:cs="宋体"/>
                <w:color w:val="auto"/>
                <w:sz w:val="21"/>
                <w:szCs w:val="21"/>
                <w:highlight w:val="none"/>
              </w:rPr>
            </w:pPr>
          </w:p>
        </w:tc>
        <w:tc>
          <w:tcPr>
            <w:tcW w:w="804" w:type="dxa"/>
            <w:tcBorders>
              <w:left w:val="single" w:color="auto" w:sz="4" w:space="0"/>
            </w:tcBorders>
            <w:vAlign w:val="center"/>
          </w:tcPr>
          <w:p w14:paraId="491F382C">
            <w:pPr>
              <w:pStyle w:val="21"/>
              <w:jc w:val="center"/>
              <w:rPr>
                <w:rFonts w:cs="宋体"/>
                <w:color w:val="auto"/>
                <w:sz w:val="21"/>
                <w:szCs w:val="21"/>
                <w:highlight w:val="none"/>
              </w:rPr>
            </w:pPr>
          </w:p>
        </w:tc>
        <w:tc>
          <w:tcPr>
            <w:tcW w:w="1860" w:type="dxa"/>
            <w:vAlign w:val="center"/>
          </w:tcPr>
          <w:p w14:paraId="4DBAD104">
            <w:pPr>
              <w:pStyle w:val="21"/>
              <w:jc w:val="center"/>
              <w:rPr>
                <w:rFonts w:cs="宋体"/>
                <w:color w:val="auto"/>
                <w:sz w:val="21"/>
                <w:szCs w:val="21"/>
                <w:highlight w:val="none"/>
              </w:rPr>
            </w:pPr>
          </w:p>
        </w:tc>
        <w:tc>
          <w:tcPr>
            <w:tcW w:w="1356" w:type="dxa"/>
            <w:vAlign w:val="center"/>
          </w:tcPr>
          <w:p w14:paraId="12F168E9">
            <w:pPr>
              <w:pStyle w:val="21"/>
              <w:jc w:val="center"/>
              <w:rPr>
                <w:rFonts w:cs="宋体"/>
                <w:color w:val="auto"/>
                <w:sz w:val="21"/>
                <w:szCs w:val="21"/>
                <w:highlight w:val="none"/>
              </w:rPr>
            </w:pPr>
          </w:p>
        </w:tc>
        <w:tc>
          <w:tcPr>
            <w:tcW w:w="816" w:type="dxa"/>
            <w:vAlign w:val="center"/>
          </w:tcPr>
          <w:p w14:paraId="5252800B">
            <w:pPr>
              <w:pStyle w:val="21"/>
              <w:jc w:val="center"/>
              <w:rPr>
                <w:rFonts w:cs="宋体"/>
                <w:color w:val="auto"/>
                <w:sz w:val="21"/>
                <w:szCs w:val="21"/>
                <w:highlight w:val="none"/>
              </w:rPr>
            </w:pPr>
          </w:p>
        </w:tc>
      </w:tr>
      <w:tr w14:paraId="1E2CF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2537BC63">
            <w:pPr>
              <w:pStyle w:val="21"/>
              <w:jc w:val="center"/>
              <w:rPr>
                <w:rFonts w:cs="宋体"/>
                <w:color w:val="auto"/>
                <w:sz w:val="21"/>
                <w:szCs w:val="21"/>
                <w:highlight w:val="none"/>
              </w:rPr>
            </w:pPr>
            <w:bookmarkStart w:id="396" w:name="_Toc99533301"/>
            <w:bookmarkStart w:id="397" w:name="_Toc100090793"/>
            <w:r>
              <w:rPr>
                <w:rFonts w:hint="eastAsia" w:cs="宋体"/>
                <w:color w:val="auto"/>
                <w:sz w:val="21"/>
                <w:szCs w:val="21"/>
                <w:highlight w:val="none"/>
              </w:rPr>
              <w:t>10</w:t>
            </w:r>
            <w:bookmarkEnd w:id="396"/>
            <w:bookmarkEnd w:id="397"/>
          </w:p>
        </w:tc>
        <w:tc>
          <w:tcPr>
            <w:tcW w:w="1267" w:type="dxa"/>
            <w:vAlign w:val="center"/>
          </w:tcPr>
          <w:p w14:paraId="6642D85C">
            <w:pPr>
              <w:pStyle w:val="21"/>
              <w:jc w:val="center"/>
              <w:rPr>
                <w:rFonts w:cs="宋体"/>
                <w:color w:val="auto"/>
                <w:sz w:val="21"/>
                <w:szCs w:val="21"/>
                <w:highlight w:val="none"/>
              </w:rPr>
            </w:pPr>
          </w:p>
        </w:tc>
        <w:tc>
          <w:tcPr>
            <w:tcW w:w="1296" w:type="dxa"/>
            <w:tcBorders>
              <w:right w:val="single" w:color="auto" w:sz="4" w:space="0"/>
            </w:tcBorders>
            <w:vAlign w:val="center"/>
          </w:tcPr>
          <w:p w14:paraId="2D733CAE">
            <w:pPr>
              <w:pStyle w:val="21"/>
              <w:jc w:val="center"/>
              <w:rPr>
                <w:rFonts w:cs="宋体"/>
                <w:color w:val="auto"/>
                <w:sz w:val="21"/>
                <w:szCs w:val="21"/>
                <w:highlight w:val="none"/>
              </w:rPr>
            </w:pPr>
          </w:p>
        </w:tc>
        <w:tc>
          <w:tcPr>
            <w:tcW w:w="1080" w:type="dxa"/>
            <w:tcBorders>
              <w:left w:val="single" w:color="auto" w:sz="4" w:space="0"/>
            </w:tcBorders>
            <w:vAlign w:val="center"/>
          </w:tcPr>
          <w:p w14:paraId="38EBB155">
            <w:pPr>
              <w:pStyle w:val="21"/>
              <w:jc w:val="center"/>
              <w:rPr>
                <w:rFonts w:cs="宋体"/>
                <w:color w:val="auto"/>
                <w:sz w:val="21"/>
                <w:szCs w:val="21"/>
                <w:highlight w:val="none"/>
              </w:rPr>
            </w:pPr>
          </w:p>
        </w:tc>
        <w:tc>
          <w:tcPr>
            <w:tcW w:w="804" w:type="dxa"/>
            <w:tcBorders>
              <w:left w:val="single" w:color="auto" w:sz="4" w:space="0"/>
            </w:tcBorders>
            <w:vAlign w:val="center"/>
          </w:tcPr>
          <w:p w14:paraId="44FEE6B7">
            <w:pPr>
              <w:pStyle w:val="21"/>
              <w:jc w:val="center"/>
              <w:rPr>
                <w:rFonts w:cs="宋体"/>
                <w:color w:val="auto"/>
                <w:sz w:val="21"/>
                <w:szCs w:val="21"/>
                <w:highlight w:val="none"/>
              </w:rPr>
            </w:pPr>
          </w:p>
        </w:tc>
        <w:tc>
          <w:tcPr>
            <w:tcW w:w="1860" w:type="dxa"/>
            <w:vAlign w:val="center"/>
          </w:tcPr>
          <w:p w14:paraId="01E5D659">
            <w:pPr>
              <w:pStyle w:val="21"/>
              <w:jc w:val="center"/>
              <w:rPr>
                <w:rFonts w:cs="宋体"/>
                <w:color w:val="auto"/>
                <w:sz w:val="21"/>
                <w:szCs w:val="21"/>
                <w:highlight w:val="none"/>
              </w:rPr>
            </w:pPr>
          </w:p>
        </w:tc>
        <w:tc>
          <w:tcPr>
            <w:tcW w:w="1356" w:type="dxa"/>
            <w:vAlign w:val="center"/>
          </w:tcPr>
          <w:p w14:paraId="695CBBF8">
            <w:pPr>
              <w:pStyle w:val="21"/>
              <w:jc w:val="center"/>
              <w:rPr>
                <w:rFonts w:cs="宋体"/>
                <w:color w:val="auto"/>
                <w:sz w:val="21"/>
                <w:szCs w:val="21"/>
                <w:highlight w:val="none"/>
              </w:rPr>
            </w:pPr>
          </w:p>
        </w:tc>
        <w:tc>
          <w:tcPr>
            <w:tcW w:w="816" w:type="dxa"/>
            <w:vAlign w:val="center"/>
          </w:tcPr>
          <w:p w14:paraId="25A3F64F">
            <w:pPr>
              <w:pStyle w:val="21"/>
              <w:jc w:val="center"/>
              <w:rPr>
                <w:rFonts w:cs="宋体"/>
                <w:color w:val="auto"/>
                <w:sz w:val="21"/>
                <w:szCs w:val="21"/>
                <w:highlight w:val="none"/>
              </w:rPr>
            </w:pPr>
          </w:p>
        </w:tc>
      </w:tr>
    </w:tbl>
    <w:p w14:paraId="3F0CD2E7">
      <w:pPr>
        <w:rPr>
          <w:rFonts w:cs="仿宋_GB2312"/>
          <w:color w:val="auto"/>
          <w:sz w:val="21"/>
          <w:szCs w:val="21"/>
          <w:highlight w:val="none"/>
        </w:rPr>
      </w:pPr>
    </w:p>
    <w:p w14:paraId="6A03C7D3">
      <w:pPr>
        <w:rPr>
          <w:rFonts w:cs="仿宋_GB2312"/>
          <w:color w:val="auto"/>
          <w:sz w:val="21"/>
          <w:szCs w:val="21"/>
          <w:highlight w:val="none"/>
        </w:rPr>
      </w:pPr>
      <w:r>
        <w:rPr>
          <w:rFonts w:hint="eastAsia" w:cs="仿宋_GB2312"/>
          <w:color w:val="auto"/>
          <w:sz w:val="21"/>
          <w:szCs w:val="21"/>
          <w:highlight w:val="none"/>
        </w:rPr>
        <w:t>注：按招标文件要求在本表后附相关人员证书。</w:t>
      </w:r>
    </w:p>
    <w:p w14:paraId="2E15D6AD">
      <w:pPr>
        <w:ind w:firstLine="420" w:firstLineChars="200"/>
        <w:rPr>
          <w:rFonts w:cs="仿宋_GB2312"/>
          <w:color w:val="auto"/>
          <w:sz w:val="21"/>
          <w:szCs w:val="21"/>
          <w:highlight w:val="none"/>
        </w:rPr>
      </w:pPr>
    </w:p>
    <w:p w14:paraId="16D96957">
      <w:pPr>
        <w:ind w:firstLine="420" w:firstLineChars="200"/>
        <w:rPr>
          <w:rFonts w:cs="仿宋_GB2312"/>
          <w:color w:val="auto"/>
          <w:sz w:val="21"/>
          <w:szCs w:val="21"/>
          <w:highlight w:val="none"/>
        </w:rPr>
      </w:pPr>
      <w:r>
        <w:rPr>
          <w:rFonts w:hint="eastAsia" w:cs="仿宋_GB2312"/>
          <w:color w:val="auto"/>
          <w:sz w:val="21"/>
          <w:szCs w:val="21"/>
          <w:highlight w:val="none"/>
        </w:rPr>
        <w:t xml:space="preserve">说明： </w:t>
      </w:r>
    </w:p>
    <w:p w14:paraId="2DAAF4D1">
      <w:pPr>
        <w:ind w:firstLine="420" w:firstLineChars="200"/>
        <w:rPr>
          <w:rFonts w:cs="仿宋_GB2312"/>
          <w:color w:val="auto"/>
          <w:sz w:val="21"/>
          <w:szCs w:val="21"/>
          <w:highlight w:val="none"/>
        </w:rPr>
      </w:pPr>
      <w:r>
        <w:rPr>
          <w:rFonts w:hint="eastAsia" w:cs="仿宋_GB2312"/>
          <w:color w:val="auto"/>
          <w:sz w:val="21"/>
          <w:szCs w:val="21"/>
          <w:highlight w:val="none"/>
        </w:rPr>
        <w:t xml:space="preserve">1.“在团队中职务（岗位）”栏应包括但不限于：项目负责人、项目联系人、项目服务人员或技术人员等。 </w:t>
      </w:r>
    </w:p>
    <w:p w14:paraId="127EB0F9">
      <w:pPr>
        <w:ind w:firstLine="420" w:firstLineChars="200"/>
        <w:rPr>
          <w:rFonts w:cs="仿宋_GB2312"/>
          <w:color w:val="auto"/>
          <w:sz w:val="21"/>
          <w:szCs w:val="21"/>
          <w:highlight w:val="none"/>
        </w:rPr>
      </w:pPr>
      <w:r>
        <w:rPr>
          <w:rFonts w:hint="eastAsia" w:cs="仿宋_GB2312"/>
          <w:color w:val="auto"/>
          <w:sz w:val="21"/>
          <w:szCs w:val="21"/>
          <w:highlight w:val="none"/>
        </w:rPr>
        <w:t>2.如投标人中标，须按本表项目组成人员操作，不得随意更换。</w:t>
      </w:r>
    </w:p>
    <w:p w14:paraId="2157F908">
      <w:pPr>
        <w:rPr>
          <w:color w:val="auto"/>
          <w:highlight w:val="none"/>
        </w:rPr>
      </w:pPr>
    </w:p>
    <w:p w14:paraId="46F960B4">
      <w:pPr>
        <w:rPr>
          <w:color w:val="auto"/>
          <w:highlight w:val="none"/>
        </w:rPr>
      </w:pPr>
      <w:r>
        <w:rPr>
          <w:color w:val="auto"/>
          <w:highlight w:val="none"/>
        </w:rPr>
        <w:br w:type="page"/>
      </w:r>
    </w:p>
    <w:p w14:paraId="67FFA717">
      <w:pPr>
        <w:pStyle w:val="5"/>
        <w:spacing w:before="100" w:after="100" w:line="360" w:lineRule="auto"/>
        <w:ind w:left="420" w:hanging="420"/>
        <w:jc w:val="center"/>
        <w:rPr>
          <w:color w:val="auto"/>
          <w:highlight w:val="none"/>
        </w:rPr>
      </w:pPr>
      <w:bookmarkStart w:id="398" w:name="_Toc163492935"/>
      <w:bookmarkStart w:id="399" w:name="_Toc5913"/>
      <w:r>
        <w:rPr>
          <w:rFonts w:hint="eastAsia"/>
          <w:color w:val="auto"/>
          <w:highlight w:val="none"/>
        </w:rPr>
        <w:t>十</w:t>
      </w:r>
      <w:r>
        <w:rPr>
          <w:rFonts w:hint="eastAsia"/>
          <w:color w:val="auto"/>
          <w:highlight w:val="none"/>
          <w:lang w:val="en-US" w:eastAsia="zh-CN"/>
        </w:rPr>
        <w:t>七</w:t>
      </w:r>
      <w:r>
        <w:rPr>
          <w:rFonts w:hint="eastAsia"/>
          <w:color w:val="auto"/>
          <w:highlight w:val="none"/>
        </w:rPr>
        <w:t>、技术方案</w:t>
      </w:r>
      <w:bookmarkEnd w:id="398"/>
      <w:bookmarkEnd w:id="399"/>
    </w:p>
    <w:p w14:paraId="55BA050E">
      <w:pPr>
        <w:pStyle w:val="20"/>
        <w:rPr>
          <w:color w:val="auto"/>
          <w:highlight w:val="none"/>
        </w:rPr>
      </w:pPr>
      <w:r>
        <w:rPr>
          <w:rFonts w:hint="eastAsia"/>
          <w:color w:val="auto"/>
          <w:highlight w:val="none"/>
        </w:rPr>
        <w:t>投标人应按照招标文件的要求，提供详细的</w:t>
      </w:r>
      <w:r>
        <w:rPr>
          <w:rFonts w:hint="eastAsia"/>
          <w:color w:val="auto"/>
          <w:highlight w:val="none"/>
          <w:lang w:val="en-US"/>
        </w:rPr>
        <w:t>供货及相关</w:t>
      </w:r>
      <w:r>
        <w:rPr>
          <w:rFonts w:hint="eastAsia"/>
          <w:color w:val="auto"/>
          <w:highlight w:val="none"/>
        </w:rPr>
        <w:t>服务方案，包括文字描述或图表显示。格式自拟。</w:t>
      </w:r>
    </w:p>
    <w:p w14:paraId="5C60D2E9">
      <w:pPr>
        <w:pStyle w:val="20"/>
        <w:rPr>
          <w:color w:val="auto"/>
          <w:highlight w:val="none"/>
        </w:rPr>
      </w:pPr>
      <w:r>
        <w:rPr>
          <w:color w:val="auto"/>
          <w:highlight w:val="none"/>
        </w:rPr>
        <w:br w:type="page"/>
      </w:r>
    </w:p>
    <w:p w14:paraId="098812E8">
      <w:pPr>
        <w:pStyle w:val="5"/>
        <w:spacing w:before="100" w:after="100" w:line="360" w:lineRule="auto"/>
        <w:ind w:left="420" w:hanging="420"/>
        <w:jc w:val="center"/>
        <w:rPr>
          <w:color w:val="auto"/>
          <w:highlight w:val="none"/>
        </w:rPr>
      </w:pPr>
      <w:bookmarkStart w:id="400" w:name="_Toc26668"/>
      <w:bookmarkStart w:id="401" w:name="_Toc163492936"/>
      <w:r>
        <w:rPr>
          <w:rFonts w:hint="eastAsia"/>
          <w:color w:val="auto"/>
          <w:highlight w:val="none"/>
        </w:rPr>
        <w:t>十</w:t>
      </w:r>
      <w:r>
        <w:rPr>
          <w:rFonts w:hint="eastAsia"/>
          <w:color w:val="auto"/>
          <w:highlight w:val="none"/>
          <w:lang w:val="en-US" w:eastAsia="zh-CN"/>
        </w:rPr>
        <w:t>八</w:t>
      </w:r>
      <w:r>
        <w:rPr>
          <w:rFonts w:hint="eastAsia"/>
          <w:color w:val="auto"/>
          <w:highlight w:val="none"/>
        </w:rPr>
        <w:t>、其他文件</w:t>
      </w:r>
      <w:bookmarkEnd w:id="400"/>
      <w:bookmarkEnd w:id="401"/>
    </w:p>
    <w:p w14:paraId="444A1517">
      <w:pPr>
        <w:pStyle w:val="20"/>
        <w:ind w:firstLine="0"/>
        <w:rPr>
          <w:b/>
          <w:bCs/>
          <w:color w:val="auto"/>
          <w:szCs w:val="24"/>
          <w:highlight w:val="none"/>
        </w:rPr>
      </w:pPr>
      <w:r>
        <w:rPr>
          <w:rFonts w:hint="eastAsia"/>
          <w:b/>
          <w:bCs/>
          <w:color w:val="auto"/>
          <w:szCs w:val="24"/>
          <w:highlight w:val="none"/>
        </w:rPr>
        <w:t>（</w:t>
      </w:r>
      <w:r>
        <w:rPr>
          <w:rFonts w:hint="eastAsia"/>
          <w:b/>
          <w:bCs/>
          <w:color w:val="auto"/>
          <w:szCs w:val="24"/>
          <w:highlight w:val="none"/>
          <w:lang w:val="en-US"/>
        </w:rPr>
        <w:t>一）</w:t>
      </w:r>
      <w:r>
        <w:rPr>
          <w:rFonts w:hint="eastAsia"/>
          <w:b/>
          <w:bCs/>
          <w:color w:val="auto"/>
          <w:szCs w:val="24"/>
          <w:highlight w:val="none"/>
        </w:rPr>
        <w:t>招标文件要求提供的其它商务、技术资料和证明材料；</w:t>
      </w:r>
    </w:p>
    <w:p w14:paraId="6917DFC8">
      <w:pPr>
        <w:pStyle w:val="20"/>
        <w:rPr>
          <w:color w:val="auto"/>
          <w:szCs w:val="24"/>
          <w:highlight w:val="none"/>
          <w:lang w:val="en-US"/>
        </w:rPr>
      </w:pPr>
      <w:r>
        <w:rPr>
          <w:rFonts w:hint="eastAsia"/>
          <w:color w:val="auto"/>
          <w:szCs w:val="24"/>
          <w:highlight w:val="none"/>
          <w:lang w:val="en-US"/>
        </w:rPr>
        <w:t>1.1供应商信息采集表</w:t>
      </w:r>
    </w:p>
    <w:tbl>
      <w:tblPr>
        <w:tblStyle w:val="16"/>
        <w:tblW w:w="829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8"/>
        <w:gridCol w:w="2841"/>
        <w:gridCol w:w="2743"/>
      </w:tblGrid>
      <w:tr w14:paraId="5A157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53F0DFFC">
            <w:pPr>
              <w:widowControl/>
              <w:jc w:val="center"/>
              <w:rPr>
                <w:rFonts w:cs="宋体"/>
                <w:color w:val="auto"/>
                <w:szCs w:val="24"/>
                <w:highlight w:val="none"/>
              </w:rPr>
            </w:pPr>
            <w:r>
              <w:rPr>
                <w:rFonts w:hint="eastAsia" w:cs="宋体"/>
                <w:color w:val="auto"/>
                <w:kern w:val="0"/>
                <w:szCs w:val="24"/>
                <w:highlight w:val="none"/>
                <w:lang w:bidi="ar"/>
              </w:rPr>
              <w:t>供应商名称</w:t>
            </w:r>
          </w:p>
        </w:tc>
        <w:tc>
          <w:tcPr>
            <w:tcW w:w="2841" w:type="dxa"/>
            <w:vAlign w:val="center"/>
          </w:tcPr>
          <w:p w14:paraId="5ACDA8B4">
            <w:pPr>
              <w:widowControl/>
              <w:jc w:val="center"/>
              <w:rPr>
                <w:rFonts w:cs="宋体"/>
                <w:color w:val="auto"/>
                <w:szCs w:val="24"/>
                <w:highlight w:val="none"/>
              </w:rPr>
            </w:pPr>
            <w:r>
              <w:rPr>
                <w:rFonts w:hint="eastAsia" w:cs="宋体"/>
                <w:color w:val="auto"/>
                <w:kern w:val="0"/>
                <w:szCs w:val="24"/>
                <w:highlight w:val="none"/>
                <w:lang w:bidi="ar"/>
              </w:rPr>
              <w:t>供应商实际控制人性别</w:t>
            </w:r>
          </w:p>
        </w:tc>
        <w:tc>
          <w:tcPr>
            <w:tcW w:w="2743" w:type="dxa"/>
            <w:vAlign w:val="center"/>
          </w:tcPr>
          <w:p w14:paraId="1ECDD949">
            <w:pPr>
              <w:widowControl/>
              <w:jc w:val="center"/>
              <w:rPr>
                <w:rFonts w:cs="宋体"/>
                <w:color w:val="auto"/>
                <w:szCs w:val="24"/>
                <w:highlight w:val="none"/>
              </w:rPr>
            </w:pPr>
            <w:r>
              <w:rPr>
                <w:rFonts w:hint="eastAsia" w:cs="宋体"/>
                <w:color w:val="auto"/>
                <w:kern w:val="0"/>
                <w:szCs w:val="24"/>
                <w:highlight w:val="none"/>
                <w:lang w:bidi="ar"/>
              </w:rPr>
              <w:t>外商投资类型</w:t>
            </w:r>
          </w:p>
        </w:tc>
      </w:tr>
      <w:tr w14:paraId="31A6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52E7C0B">
            <w:pPr>
              <w:pStyle w:val="20"/>
              <w:rPr>
                <w:rFonts w:cs="宋体"/>
                <w:color w:val="auto"/>
                <w:szCs w:val="24"/>
                <w:highlight w:val="none"/>
                <w:lang w:val="en-US"/>
              </w:rPr>
            </w:pPr>
          </w:p>
        </w:tc>
        <w:tc>
          <w:tcPr>
            <w:tcW w:w="2841" w:type="dxa"/>
          </w:tcPr>
          <w:p w14:paraId="6359767B">
            <w:pPr>
              <w:pStyle w:val="20"/>
              <w:rPr>
                <w:rFonts w:cs="宋体"/>
                <w:color w:val="auto"/>
                <w:szCs w:val="24"/>
                <w:highlight w:val="none"/>
                <w:lang w:val="en-US"/>
              </w:rPr>
            </w:pPr>
          </w:p>
        </w:tc>
        <w:tc>
          <w:tcPr>
            <w:tcW w:w="2743" w:type="dxa"/>
          </w:tcPr>
          <w:p w14:paraId="7A232745">
            <w:pPr>
              <w:pStyle w:val="20"/>
              <w:rPr>
                <w:rFonts w:cs="宋体"/>
                <w:color w:val="auto"/>
                <w:szCs w:val="24"/>
                <w:highlight w:val="none"/>
                <w:lang w:val="en-US"/>
              </w:rPr>
            </w:pPr>
          </w:p>
        </w:tc>
      </w:tr>
      <w:tr w14:paraId="4943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998DCFD">
            <w:pPr>
              <w:pStyle w:val="20"/>
              <w:rPr>
                <w:rFonts w:cs="宋体"/>
                <w:color w:val="auto"/>
                <w:szCs w:val="24"/>
                <w:highlight w:val="none"/>
                <w:lang w:val="en-US"/>
              </w:rPr>
            </w:pPr>
          </w:p>
        </w:tc>
        <w:tc>
          <w:tcPr>
            <w:tcW w:w="2841" w:type="dxa"/>
          </w:tcPr>
          <w:p w14:paraId="5862CE3E">
            <w:pPr>
              <w:pStyle w:val="20"/>
              <w:rPr>
                <w:rFonts w:cs="宋体"/>
                <w:color w:val="auto"/>
                <w:szCs w:val="24"/>
                <w:highlight w:val="none"/>
                <w:lang w:val="en-US"/>
              </w:rPr>
            </w:pPr>
          </w:p>
        </w:tc>
        <w:tc>
          <w:tcPr>
            <w:tcW w:w="2743" w:type="dxa"/>
          </w:tcPr>
          <w:p w14:paraId="618F15C9">
            <w:pPr>
              <w:pStyle w:val="20"/>
              <w:rPr>
                <w:rFonts w:cs="宋体"/>
                <w:color w:val="auto"/>
                <w:szCs w:val="24"/>
                <w:highlight w:val="none"/>
                <w:lang w:val="en-US"/>
              </w:rPr>
            </w:pPr>
          </w:p>
        </w:tc>
      </w:tr>
      <w:tr w14:paraId="78FF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08" w:type="dxa"/>
          </w:tcPr>
          <w:p w14:paraId="42FC2CE0">
            <w:pPr>
              <w:pStyle w:val="20"/>
              <w:rPr>
                <w:rFonts w:cs="宋体"/>
                <w:color w:val="auto"/>
                <w:szCs w:val="24"/>
                <w:highlight w:val="none"/>
                <w:lang w:val="en-US"/>
              </w:rPr>
            </w:pPr>
          </w:p>
        </w:tc>
        <w:tc>
          <w:tcPr>
            <w:tcW w:w="2841" w:type="dxa"/>
          </w:tcPr>
          <w:p w14:paraId="5F5271A1">
            <w:pPr>
              <w:pStyle w:val="20"/>
              <w:rPr>
                <w:rFonts w:cs="宋体"/>
                <w:color w:val="auto"/>
                <w:szCs w:val="24"/>
                <w:highlight w:val="none"/>
                <w:lang w:val="en-US"/>
              </w:rPr>
            </w:pPr>
          </w:p>
        </w:tc>
        <w:tc>
          <w:tcPr>
            <w:tcW w:w="2743" w:type="dxa"/>
          </w:tcPr>
          <w:p w14:paraId="78DE08AC">
            <w:pPr>
              <w:pStyle w:val="20"/>
              <w:rPr>
                <w:rFonts w:cs="宋体"/>
                <w:color w:val="auto"/>
                <w:szCs w:val="24"/>
                <w:highlight w:val="none"/>
                <w:lang w:val="en-US"/>
              </w:rPr>
            </w:pPr>
          </w:p>
        </w:tc>
      </w:tr>
      <w:tr w14:paraId="24D98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430C3DD">
            <w:pPr>
              <w:pStyle w:val="20"/>
              <w:rPr>
                <w:rFonts w:cs="宋体"/>
                <w:color w:val="auto"/>
                <w:szCs w:val="24"/>
                <w:highlight w:val="none"/>
                <w:lang w:val="en-US"/>
              </w:rPr>
            </w:pPr>
          </w:p>
        </w:tc>
        <w:tc>
          <w:tcPr>
            <w:tcW w:w="2841" w:type="dxa"/>
          </w:tcPr>
          <w:p w14:paraId="5DD6A3F7">
            <w:pPr>
              <w:pStyle w:val="20"/>
              <w:rPr>
                <w:rFonts w:cs="宋体"/>
                <w:color w:val="auto"/>
                <w:szCs w:val="24"/>
                <w:highlight w:val="none"/>
                <w:lang w:val="en-US"/>
              </w:rPr>
            </w:pPr>
          </w:p>
        </w:tc>
        <w:tc>
          <w:tcPr>
            <w:tcW w:w="2743" w:type="dxa"/>
          </w:tcPr>
          <w:p w14:paraId="0E5D1ACB">
            <w:pPr>
              <w:pStyle w:val="20"/>
              <w:rPr>
                <w:rFonts w:cs="宋体"/>
                <w:color w:val="auto"/>
                <w:szCs w:val="24"/>
                <w:highlight w:val="none"/>
                <w:lang w:val="en-US"/>
              </w:rPr>
            </w:pPr>
          </w:p>
        </w:tc>
      </w:tr>
    </w:tbl>
    <w:p w14:paraId="48DBD26E">
      <w:pPr>
        <w:widowControl/>
        <w:rPr>
          <w:rFonts w:cs="宋体"/>
          <w:color w:val="auto"/>
          <w:sz w:val="21"/>
          <w:szCs w:val="21"/>
          <w:highlight w:val="none"/>
        </w:rPr>
      </w:pPr>
      <w:r>
        <w:rPr>
          <w:rFonts w:hint="eastAsia" w:cs="宋体"/>
          <w:color w:val="auto"/>
          <w:kern w:val="0"/>
          <w:sz w:val="21"/>
          <w:szCs w:val="21"/>
          <w:highlight w:val="none"/>
          <w:lang w:bidi="ar"/>
        </w:rPr>
        <w:t xml:space="preserve">注：1.供应商如为联合体，则应填写联合体各成员信息。 </w:t>
      </w:r>
    </w:p>
    <w:p w14:paraId="3424B348">
      <w:pPr>
        <w:widowControl/>
        <w:ind w:firstLine="420" w:firstLineChars="200"/>
        <w:rPr>
          <w:rFonts w:cs="宋体"/>
          <w:color w:val="auto"/>
          <w:kern w:val="0"/>
          <w:sz w:val="21"/>
          <w:szCs w:val="21"/>
          <w:highlight w:val="none"/>
          <w:lang w:bidi="ar"/>
        </w:rPr>
      </w:pPr>
      <w:r>
        <w:rPr>
          <w:rFonts w:hint="eastAsia" w:cs="宋体"/>
          <w:color w:val="auto"/>
          <w:kern w:val="0"/>
          <w:sz w:val="21"/>
          <w:szCs w:val="21"/>
          <w:highlight w:val="none"/>
          <w:lang w:bidi="ar"/>
        </w:rPr>
        <w:t>2.“供应商实际控制人性别”按供应商实际控制人性别划分请填写“男”或“女”，指拥有供应商 51%以上绝对所有权的性别；绝对所有权拥有者可以是一个人，也可以是多人合计计算。</w:t>
      </w:r>
    </w:p>
    <w:p w14:paraId="7EFEAB84">
      <w:pPr>
        <w:pStyle w:val="20"/>
        <w:ind w:firstLine="420" w:firstLineChars="200"/>
        <w:rPr>
          <w:color w:val="auto"/>
          <w:sz w:val="21"/>
          <w:szCs w:val="21"/>
          <w:highlight w:val="none"/>
        </w:rPr>
      </w:pPr>
      <w:r>
        <w:rPr>
          <w:rFonts w:hint="eastAsia" w:cs="宋体"/>
          <w:color w:val="auto"/>
          <w:kern w:val="0"/>
          <w:sz w:val="21"/>
          <w:szCs w:val="21"/>
          <w:highlight w:val="none"/>
          <w:lang w:val="en-US" w:bidi="ar"/>
        </w:rPr>
        <w:t>3.“外商投资类型”请填写“外商单独投资”、“外商部分投资”或“内资”。</w:t>
      </w:r>
    </w:p>
    <w:p w14:paraId="0B06E968">
      <w:pPr>
        <w:pStyle w:val="20"/>
        <w:rPr>
          <w:color w:val="auto"/>
          <w:sz w:val="28"/>
          <w:szCs w:val="28"/>
          <w:highlight w:val="none"/>
          <w:lang w:val="en-US"/>
        </w:rPr>
      </w:pPr>
    </w:p>
    <w:p w14:paraId="2334F766">
      <w:pPr>
        <w:pStyle w:val="20"/>
        <w:rPr>
          <w:color w:val="auto"/>
          <w:szCs w:val="24"/>
          <w:highlight w:val="none"/>
          <w:lang w:val="en-US"/>
        </w:rPr>
      </w:pPr>
      <w:r>
        <w:rPr>
          <w:rFonts w:hint="eastAsia"/>
          <w:color w:val="auto"/>
          <w:szCs w:val="24"/>
          <w:highlight w:val="none"/>
          <w:lang w:val="en-US"/>
        </w:rPr>
        <w:t>1.2其它商务、技术资料和证明材料</w:t>
      </w:r>
    </w:p>
    <w:p w14:paraId="4203DBDF">
      <w:pPr>
        <w:pStyle w:val="20"/>
        <w:ind w:firstLine="0"/>
        <w:rPr>
          <w:b/>
          <w:bCs/>
          <w:color w:val="auto"/>
          <w:szCs w:val="24"/>
          <w:highlight w:val="none"/>
        </w:rPr>
      </w:pPr>
    </w:p>
    <w:p w14:paraId="2916CF5B">
      <w:pPr>
        <w:pStyle w:val="20"/>
        <w:ind w:firstLine="0"/>
        <w:rPr>
          <w:b/>
          <w:bCs/>
          <w:color w:val="auto"/>
          <w:szCs w:val="24"/>
          <w:highlight w:val="none"/>
        </w:rPr>
      </w:pPr>
      <w:r>
        <w:rPr>
          <w:rFonts w:hint="eastAsia"/>
          <w:b/>
          <w:bCs/>
          <w:color w:val="auto"/>
          <w:szCs w:val="24"/>
          <w:highlight w:val="none"/>
        </w:rPr>
        <w:t>（</w:t>
      </w:r>
      <w:r>
        <w:rPr>
          <w:rFonts w:hint="eastAsia"/>
          <w:b/>
          <w:bCs/>
          <w:color w:val="auto"/>
          <w:szCs w:val="24"/>
          <w:highlight w:val="none"/>
          <w:lang w:val="en-US"/>
        </w:rPr>
        <w:t>二）</w:t>
      </w:r>
      <w:r>
        <w:rPr>
          <w:rFonts w:hint="eastAsia"/>
          <w:b/>
          <w:bCs/>
          <w:color w:val="auto"/>
          <w:szCs w:val="24"/>
          <w:highlight w:val="none"/>
        </w:rPr>
        <w:t>投标人认为需要提供的其它商务、技术资料和说明。</w:t>
      </w:r>
    </w:p>
    <w:p w14:paraId="4A5F25A8">
      <w:pPr>
        <w:rPr>
          <w:color w:val="auto"/>
          <w:highlight w:val="none"/>
        </w:rPr>
      </w:pPr>
    </w:p>
    <w:sect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FZShuSong-Z01">
    <w:altName w:val="宋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DejaVu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6C787">
    <w:pPr>
      <w:pStyle w:val="12"/>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5AFEFD">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5AFEFD">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12122">
    <w:pPr>
      <w:pStyle w:val="12"/>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47B8B">
                          <w:pPr>
                            <w:pStyle w:val="12"/>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BE47B8B">
                    <w:pPr>
                      <w:pStyle w:val="12"/>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86CEC">
    <w:pPr>
      <w:pStyle w:val="12"/>
      <w:ind w:right="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9B197">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6A9B197">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1FD01">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3</w:t>
    </w:r>
    <w:r>
      <w:fldChar w:fldCharType="end"/>
    </w:r>
  </w:p>
  <w:p w14:paraId="02EEBE37">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72D62">
    <w:pPr>
      <w:pStyle w:val="12"/>
      <w:tabs>
        <w:tab w:val="clear" w:pos="4153"/>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E46EED">
                          <w:pPr>
                            <w:pStyle w:val="12"/>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2E46EED">
                    <w:pPr>
                      <w:pStyle w:val="12"/>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F89F1">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36C6D5">
                          <w:pPr>
                            <w:pStyle w:val="1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836C6D5">
                    <w:pPr>
                      <w:pStyle w:val="12"/>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3F27E">
    <w:pPr>
      <w:pStyle w:val="12"/>
      <w:framePr w:wrap="around" w:vAnchor="text" w:hAnchor="margin" w:xAlign="center" w:y="1"/>
      <w:rPr>
        <w:rStyle w:val="19"/>
      </w:rPr>
    </w:pPr>
    <w:r>
      <w:fldChar w:fldCharType="begin"/>
    </w:r>
    <w:r>
      <w:rPr>
        <w:rStyle w:val="19"/>
      </w:rPr>
      <w:instrText xml:space="preserve">PAGE  </w:instrText>
    </w:r>
    <w:r>
      <w:fldChar w:fldCharType="separate"/>
    </w:r>
    <w:r>
      <w:rPr>
        <w:rStyle w:val="19"/>
      </w:rPr>
      <w:t>3</w:t>
    </w:r>
    <w:r>
      <w:fldChar w:fldCharType="end"/>
    </w:r>
  </w:p>
  <w:p w14:paraId="14E4F46A">
    <w:pPr>
      <w:pStyle w:val="1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0BA0D">
    <w:pPr>
      <w:pStyle w:val="12"/>
      <w:tabs>
        <w:tab w:val="clear" w:pos="4153"/>
      </w:tabs>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EC5EC">
                          <w:pPr>
                            <w:pStyle w:val="12"/>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01EC5EC">
                    <w:pPr>
                      <w:pStyle w:val="12"/>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97A9A">
    <w:pPr>
      <w:pStyle w:val="12"/>
      <w:jc w:val="center"/>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ADF0C">
                          <w:pPr>
                            <w:pStyle w:val="12"/>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2DADF0C">
                    <w:pPr>
                      <w:pStyle w:val="12"/>
                    </w:pPr>
                    <w:r>
                      <w:fldChar w:fldCharType="begin"/>
                    </w:r>
                    <w:r>
                      <w:instrText xml:space="preserve"> PAGE  \* MERGEFORMAT </w:instrText>
                    </w:r>
                    <w:r>
                      <w:fldChar w:fldCharType="separate"/>
                    </w:r>
                    <w:r>
                      <w:t>75</w:t>
                    </w:r>
                    <w:r>
                      <w:fldChar w:fldCharType="end"/>
                    </w:r>
                  </w:p>
                </w:txbxContent>
              </v:textbox>
            </v:shape>
          </w:pict>
        </mc:Fallback>
      </mc:AlternateContent>
    </w:r>
  </w:p>
  <w:p w14:paraId="48ED9F27">
    <w:pPr>
      <w:pStyle w:val="12"/>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99875">
    <w:pPr>
      <w:pStyle w:val="13"/>
      <w:jc w:val="righ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6DA09">
    <w:pPr>
      <w:pStyle w:val="13"/>
      <w:rPr>
        <w:rFonts w:hint="eastAsia"/>
      </w:rPr>
    </w:pPr>
    <w:r>
      <w:rPr>
        <w:rFonts w:hint="eastAsia"/>
        <w:sz w:val="24"/>
        <w:szCs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AF25">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80653">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D4308">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67D1F">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B6052"/>
    <w:multiLevelType w:val="singleLevel"/>
    <w:tmpl w:val="9A1B6052"/>
    <w:lvl w:ilvl="0" w:tentative="0">
      <w:start w:val="8"/>
      <w:numFmt w:val="chineseCounting"/>
      <w:suff w:val="nothing"/>
      <w:lvlText w:val="%1、"/>
      <w:lvlJc w:val="left"/>
      <w:rPr>
        <w:rFonts w:hint="eastAsia"/>
      </w:rPr>
    </w:lvl>
  </w:abstractNum>
  <w:abstractNum w:abstractNumId="1">
    <w:nsid w:val="ACDCB41D"/>
    <w:multiLevelType w:val="singleLevel"/>
    <w:tmpl w:val="ACDCB41D"/>
    <w:lvl w:ilvl="0" w:tentative="0">
      <w:start w:val="3"/>
      <w:numFmt w:val="chineseCounting"/>
      <w:suff w:val="space"/>
      <w:lvlText w:val="第%1章"/>
      <w:lvlJc w:val="left"/>
      <w:rPr>
        <w:rFonts w:hint="eastAsia"/>
      </w:rPr>
    </w:lvl>
  </w:abstractNum>
  <w:abstractNum w:abstractNumId="2">
    <w:nsid w:val="BAB12EB4"/>
    <w:multiLevelType w:val="singleLevel"/>
    <w:tmpl w:val="BAB12EB4"/>
    <w:lvl w:ilvl="0" w:tentative="0">
      <w:start w:val="2"/>
      <w:numFmt w:val="chineseCounting"/>
      <w:suff w:val="nothing"/>
      <w:lvlText w:val="%1、"/>
      <w:lvlJc w:val="left"/>
      <w:rPr>
        <w:rFonts w:hint="eastAsia"/>
      </w:rPr>
    </w:lvl>
  </w:abstractNum>
  <w:abstractNum w:abstractNumId="3">
    <w:nsid w:val="C371B8C9"/>
    <w:multiLevelType w:val="singleLevel"/>
    <w:tmpl w:val="C371B8C9"/>
    <w:lvl w:ilvl="0" w:tentative="0">
      <w:start w:val="1"/>
      <w:numFmt w:val="chineseCounting"/>
      <w:suff w:val="nothing"/>
      <w:lvlText w:val="（%1）"/>
      <w:lvlJc w:val="left"/>
      <w:rPr>
        <w:rFonts w:hint="eastAsia"/>
        <w:color w:val="auto"/>
      </w:rPr>
    </w:lvl>
  </w:abstractNum>
  <w:abstractNum w:abstractNumId="4">
    <w:nsid w:val="E38A0821"/>
    <w:multiLevelType w:val="singleLevel"/>
    <w:tmpl w:val="E38A0821"/>
    <w:lvl w:ilvl="0" w:tentative="0">
      <w:start w:val="4"/>
      <w:numFmt w:val="chineseCounting"/>
      <w:suff w:val="nothing"/>
      <w:lvlText w:val="%1、"/>
      <w:lvlJc w:val="left"/>
      <w:rPr>
        <w:rFonts w:hint="eastAsia"/>
      </w:rPr>
    </w:lvl>
  </w:abstractNum>
  <w:abstractNum w:abstractNumId="5">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0153030"/>
    <w:multiLevelType w:val="singleLevel"/>
    <w:tmpl w:val="30153030"/>
    <w:lvl w:ilvl="0" w:tentative="0">
      <w:start w:val="1"/>
      <w:numFmt w:val="chineseCounting"/>
      <w:suff w:val="nothing"/>
      <w:lvlText w:val="（%1）"/>
      <w:lvlJc w:val="left"/>
      <w:pPr>
        <w:ind w:left="525" w:firstLine="0"/>
      </w:pPr>
      <w:rPr>
        <w:rFonts w:hint="eastAsia"/>
      </w:rPr>
    </w:lvl>
  </w:abstractNum>
  <w:abstractNum w:abstractNumId="7">
    <w:nsid w:val="447B6378"/>
    <w:multiLevelType w:val="multilevel"/>
    <w:tmpl w:val="447B6378"/>
    <w:lvl w:ilvl="0" w:tentative="0">
      <w:start w:val="1"/>
      <w:numFmt w:val="decimal"/>
      <w:pStyle w:val="33"/>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2631F09"/>
    <w:multiLevelType w:val="singleLevel"/>
    <w:tmpl w:val="62631F09"/>
    <w:lvl w:ilvl="0" w:tentative="0">
      <w:start w:val="1"/>
      <w:numFmt w:val="chineseCounting"/>
      <w:suff w:val="nothing"/>
      <w:lvlText w:val="（%1）"/>
      <w:lvlJc w:val="left"/>
      <w:rPr>
        <w:rFonts w:hint="eastAsia"/>
      </w:rPr>
    </w:lvl>
  </w:abstractNum>
  <w:abstractNum w:abstractNumId="9">
    <w:nsid w:val="750D944B"/>
    <w:multiLevelType w:val="singleLevel"/>
    <w:tmpl w:val="750D944B"/>
    <w:lvl w:ilvl="0" w:tentative="0">
      <w:start w:val="1"/>
      <w:numFmt w:val="decimal"/>
      <w:suff w:val="nothing"/>
      <w:lvlText w:val="%1、"/>
      <w:lvlJc w:val="left"/>
    </w:lvl>
  </w:abstractNum>
  <w:abstractNum w:abstractNumId="10">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
  </w:num>
  <w:num w:numId="3">
    <w:abstractNumId w:val="8"/>
  </w:num>
  <w:num w:numId="4">
    <w:abstractNumId w:val="9"/>
  </w:num>
  <w:num w:numId="5">
    <w:abstractNumId w:val="4"/>
  </w:num>
  <w:num w:numId="6">
    <w:abstractNumId w:val="3"/>
  </w:num>
  <w:num w:numId="7">
    <w:abstractNumId w:val="6"/>
  </w:num>
  <w:num w:numId="8">
    <w:abstractNumId w:val="2"/>
  </w:num>
  <w:num w:numId="9">
    <w:abstractNumId w:val="5"/>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YzdlOTVlMjM5ZDY2ZWExMjM0NzExNzlhM2Q5YjcifQ=="/>
  </w:docVars>
  <w:rsids>
    <w:rsidRoot w:val="76362E4B"/>
    <w:rsid w:val="021E494A"/>
    <w:rsid w:val="02A85C0F"/>
    <w:rsid w:val="0A0106F5"/>
    <w:rsid w:val="0A110938"/>
    <w:rsid w:val="0BAA1D47"/>
    <w:rsid w:val="0BEC4749"/>
    <w:rsid w:val="0C134C46"/>
    <w:rsid w:val="0C5A41B3"/>
    <w:rsid w:val="0C994C14"/>
    <w:rsid w:val="126F71B2"/>
    <w:rsid w:val="13FD7DFF"/>
    <w:rsid w:val="165B2F3A"/>
    <w:rsid w:val="17602EFE"/>
    <w:rsid w:val="1F5F3A9B"/>
    <w:rsid w:val="261879D9"/>
    <w:rsid w:val="2DF51A73"/>
    <w:rsid w:val="2FFA0365"/>
    <w:rsid w:val="30F7E238"/>
    <w:rsid w:val="33D900CA"/>
    <w:rsid w:val="36891BC7"/>
    <w:rsid w:val="41A423D2"/>
    <w:rsid w:val="43122D35"/>
    <w:rsid w:val="475E33E7"/>
    <w:rsid w:val="476126F4"/>
    <w:rsid w:val="4A003601"/>
    <w:rsid w:val="50707007"/>
    <w:rsid w:val="58214023"/>
    <w:rsid w:val="5B272CB6"/>
    <w:rsid w:val="5B3C598A"/>
    <w:rsid w:val="5B973E3E"/>
    <w:rsid w:val="5BBD930D"/>
    <w:rsid w:val="5D415993"/>
    <w:rsid w:val="5DEDAE4F"/>
    <w:rsid w:val="5F1B12F1"/>
    <w:rsid w:val="651374B5"/>
    <w:rsid w:val="66EB7332"/>
    <w:rsid w:val="67073DC9"/>
    <w:rsid w:val="691427CE"/>
    <w:rsid w:val="6B721A2E"/>
    <w:rsid w:val="6C3217A6"/>
    <w:rsid w:val="6C663626"/>
    <w:rsid w:val="6D6BEC9F"/>
    <w:rsid w:val="6D736D4F"/>
    <w:rsid w:val="6F73EF4D"/>
    <w:rsid w:val="76362E4B"/>
    <w:rsid w:val="79B79F99"/>
    <w:rsid w:val="7BB9943C"/>
    <w:rsid w:val="7BBFC2ED"/>
    <w:rsid w:val="7BDFE7E7"/>
    <w:rsid w:val="7C684EB3"/>
    <w:rsid w:val="7CC71DF4"/>
    <w:rsid w:val="7EB22415"/>
    <w:rsid w:val="7FFFA2EB"/>
    <w:rsid w:val="AD7F8D7B"/>
    <w:rsid w:val="BED903BA"/>
    <w:rsid w:val="BFFD9A46"/>
    <w:rsid w:val="D2DF4B76"/>
    <w:rsid w:val="E7DDF7CD"/>
    <w:rsid w:val="EDDF813A"/>
    <w:rsid w:val="EFFE48C2"/>
    <w:rsid w:val="F3D3D826"/>
    <w:rsid w:val="FB7BCFAD"/>
    <w:rsid w:val="FFEE5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4">
    <w:name w:val="heading 1"/>
    <w:basedOn w:val="1"/>
    <w:next w:val="1"/>
    <w:qFormat/>
    <w:uiPriority w:val="9"/>
    <w:pPr>
      <w:keepNext/>
      <w:keepLines/>
      <w:spacing w:before="340" w:after="330" w:line="578" w:lineRule="auto"/>
      <w:jc w:val="center"/>
      <w:outlineLvl w:val="0"/>
    </w:pPr>
    <w:rPr>
      <w:rFonts w:eastAsia="黑体"/>
      <w:b/>
      <w:bCs/>
      <w:kern w:val="44"/>
      <w:sz w:val="44"/>
      <w:szCs w:val="44"/>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6">
    <w:name w:val="heading 3"/>
    <w:basedOn w:val="1"/>
    <w:next w:val="1"/>
    <w:unhideWhenUsed/>
    <w:qFormat/>
    <w:uiPriority w:val="9"/>
    <w:pPr>
      <w:keepNext/>
      <w:keepLines/>
      <w:spacing w:before="260" w:after="260" w:line="416" w:lineRule="auto"/>
      <w:outlineLvl w:val="2"/>
    </w:pPr>
    <w:rPr>
      <w:b/>
      <w:bCs/>
      <w:sz w:val="30"/>
      <w:szCs w:val="32"/>
    </w:rPr>
  </w:style>
  <w:style w:type="paragraph" w:styleId="7">
    <w:name w:val="heading 4"/>
    <w:basedOn w:val="1"/>
    <w:next w:val="1"/>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表格文字2"/>
    <w:basedOn w:val="3"/>
    <w:qFormat/>
    <w:uiPriority w:val="99"/>
    <w:pPr>
      <w:jc w:val="left"/>
    </w:pPr>
    <w:rPr>
      <w:bCs/>
      <w:spacing w:val="10"/>
    </w:rPr>
  </w:style>
  <w:style w:type="paragraph" w:customStyle="1" w:styleId="3">
    <w:name w:val="正文1"/>
    <w:qFormat/>
    <w:uiPriority w:val="0"/>
    <w:pPr>
      <w:widowControl w:val="0"/>
      <w:jc w:val="both"/>
    </w:pPr>
    <w:rPr>
      <w:rFonts w:ascii="Calibri" w:hAnsi="Calibri" w:eastAsia="宋体" w:cs="Times New Roman"/>
      <w:lang w:val="en-US" w:eastAsia="zh-CN" w:bidi="ar-SA"/>
    </w:rPr>
  </w:style>
  <w:style w:type="paragraph" w:styleId="8">
    <w:name w:val="Normal Indent"/>
    <w:basedOn w:val="1"/>
    <w:next w:val="1"/>
    <w:unhideWhenUsed/>
    <w:qFormat/>
    <w:uiPriority w:val="0"/>
    <w:pPr>
      <w:ind w:firstLine="420" w:firstLineChars="200"/>
    </w:pPr>
    <w:rPr>
      <w:rFonts w:ascii="Calibri" w:hAnsi="Calibri"/>
    </w:rPr>
  </w:style>
  <w:style w:type="paragraph" w:styleId="9">
    <w:name w:val="annotation text"/>
    <w:basedOn w:val="1"/>
    <w:qFormat/>
    <w:uiPriority w:val="0"/>
    <w:pPr>
      <w:spacing w:line="240" w:lineRule="auto"/>
    </w:pPr>
    <w:rPr>
      <w:rFonts w:eastAsiaTheme="minorEastAsia"/>
      <w:sz w:val="21"/>
      <w:szCs w:val="24"/>
    </w:rPr>
  </w:style>
  <w:style w:type="paragraph" w:styleId="10">
    <w:name w:val="Body Text"/>
    <w:basedOn w:val="1"/>
    <w:qFormat/>
    <w:uiPriority w:val="99"/>
    <w:pPr>
      <w:spacing w:after="120" w:line="240" w:lineRule="auto"/>
      <w:jc w:val="both"/>
    </w:pPr>
    <w:rPr>
      <w:rFonts w:eastAsiaTheme="minorEastAsia"/>
      <w:sz w:val="21"/>
      <w:szCs w:val="24"/>
    </w:rPr>
  </w:style>
  <w:style w:type="paragraph" w:styleId="11">
    <w:name w:val="Plain Text"/>
    <w:basedOn w:val="1"/>
    <w:unhideWhenUsed/>
    <w:qFormat/>
    <w:uiPriority w:val="0"/>
    <w:rPr>
      <w:rFonts w:hAnsi="Courier New"/>
      <w:kern w:val="0"/>
      <w:sz w:val="20"/>
      <w:szCs w:val="20"/>
    </w:rPr>
  </w:style>
  <w:style w:type="paragraph" w:styleId="12">
    <w:name w:val="footer"/>
    <w:basedOn w:val="1"/>
    <w:unhideWhenUsed/>
    <w:qFormat/>
    <w:uiPriority w:val="99"/>
    <w:pPr>
      <w:tabs>
        <w:tab w:val="center" w:pos="4153"/>
        <w:tab w:val="right" w:pos="8306"/>
      </w:tabs>
      <w:snapToGrid w:val="0"/>
      <w:spacing w:line="240" w:lineRule="auto"/>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unhideWhenUsed/>
    <w:qFormat/>
    <w:uiPriority w:val="39"/>
    <w:pPr>
      <w:spacing w:before="120" w:after="120"/>
    </w:pPr>
    <w:rPr>
      <w:rFonts w:asciiTheme="minorHAnsi" w:eastAsiaTheme="minorHAnsi"/>
      <w:b/>
      <w:bCs/>
      <w:caps/>
      <w:sz w:val="20"/>
      <w:szCs w:val="20"/>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page number"/>
    <w:basedOn w:val="17"/>
    <w:qFormat/>
    <w:uiPriority w:val="0"/>
  </w:style>
  <w:style w:type="paragraph" w:customStyle="1" w:styleId="20">
    <w:name w:val="正文缩进2"/>
    <w:basedOn w:val="1"/>
    <w:qFormat/>
    <w:uiPriority w:val="0"/>
    <w:pPr>
      <w:wordWrap w:val="0"/>
      <w:ind w:firstLine="480"/>
    </w:pPr>
    <w:rPr>
      <w:iCs/>
      <w:shd w:val="clear" w:color="auto" w:fill="FFFFFF" w:themeFill="background1"/>
      <w:lang w:val="zh-CN"/>
    </w:rPr>
  </w:style>
  <w:style w:type="paragraph" w:styleId="21">
    <w:name w:val="No Spacing"/>
    <w:qFormat/>
    <w:uiPriority w:val="1"/>
    <w:pPr>
      <w:widowControl w:val="0"/>
    </w:pPr>
    <w:rPr>
      <w:rFonts w:ascii="宋体" w:hAnsi="宋体" w:eastAsia="宋体" w:cstheme="minorBidi"/>
      <w:kern w:val="2"/>
      <w:sz w:val="24"/>
      <w:szCs w:val="22"/>
      <w:lang w:val="en-US" w:eastAsia="zh-CN" w:bidi="ar-SA"/>
    </w:rPr>
  </w:style>
  <w:style w:type="paragraph" w:customStyle="1" w:styleId="22">
    <w:name w:val="正文_2"/>
    <w:qFormat/>
    <w:uiPriority w:val="0"/>
    <w:pPr>
      <w:widowControl w:val="0"/>
      <w:jc w:val="both"/>
    </w:pPr>
    <w:rPr>
      <w:rFonts w:ascii="Calibri" w:hAnsi="Calibri" w:eastAsia="宋体" w:cs="Times New Roman"/>
      <w:lang w:val="en-US" w:eastAsia="zh-CN" w:bidi="ar-SA"/>
    </w:rPr>
  </w:style>
  <w:style w:type="paragraph" w:customStyle="1" w:styleId="23">
    <w:name w:val="正文_1_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4">
    <w:name w:val="xl31"/>
    <w:basedOn w:val="1"/>
    <w:qFormat/>
    <w:uiPriority w:val="0"/>
    <w:pPr>
      <w:widowControl/>
      <w:spacing w:before="100" w:beforeAutospacing="1" w:after="100" w:afterAutospacing="1"/>
      <w:jc w:val="center"/>
    </w:pPr>
    <w:rPr>
      <w:b/>
      <w:bCs/>
      <w:kern w:val="0"/>
      <w:sz w:val="28"/>
      <w:szCs w:val="28"/>
    </w:rPr>
  </w:style>
  <w:style w:type="paragraph" w:customStyle="1" w:styleId="25">
    <w:name w:val="正文文本_2"/>
    <w:basedOn w:val="1"/>
    <w:unhideWhenUsed/>
    <w:qFormat/>
    <w:uiPriority w:val="0"/>
    <w:pPr>
      <w:jc w:val="both"/>
    </w:pPr>
    <w:rPr>
      <w:rFonts w:ascii="Times New Roman" w:hAnsi="Times New Roman" w:eastAsia="黑体" w:cs="Times New Roman"/>
      <w:sz w:val="36"/>
    </w:rPr>
  </w:style>
  <w:style w:type="paragraph" w:customStyle="1" w:styleId="26">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正文2"/>
    <w:qFormat/>
    <w:uiPriority w:val="0"/>
    <w:pPr>
      <w:widowControl w:val="0"/>
      <w:jc w:val="both"/>
    </w:pPr>
    <w:rPr>
      <w:rFonts w:ascii="Times New Roman" w:hAnsi="Times New Roman" w:eastAsia="Times New Roman" w:cs="Times New Roman"/>
      <w:lang w:val="en-US" w:eastAsia="zh-CN" w:bidi="ar-SA"/>
    </w:rPr>
  </w:style>
  <w:style w:type="character" w:customStyle="1" w:styleId="28">
    <w:name w:val="font211"/>
    <w:basedOn w:val="17"/>
    <w:qFormat/>
    <w:uiPriority w:val="0"/>
    <w:rPr>
      <w:rFonts w:hint="eastAsia" w:ascii="宋体" w:hAnsi="宋体" w:eastAsia="宋体" w:cs="宋体"/>
      <w:b/>
      <w:bCs/>
      <w:color w:val="000000"/>
      <w:sz w:val="20"/>
      <w:szCs w:val="20"/>
      <w:u w:val="none"/>
    </w:rPr>
  </w:style>
  <w:style w:type="character" w:customStyle="1" w:styleId="29">
    <w:name w:val="font81"/>
    <w:basedOn w:val="17"/>
    <w:qFormat/>
    <w:uiPriority w:val="0"/>
    <w:rPr>
      <w:rFonts w:hint="eastAsia" w:ascii="宋体" w:hAnsi="宋体" w:eastAsia="宋体" w:cs="宋体"/>
      <w:b/>
      <w:bCs/>
      <w:color w:val="000000"/>
      <w:sz w:val="20"/>
      <w:szCs w:val="20"/>
      <w:u w:val="none"/>
    </w:rPr>
  </w:style>
  <w:style w:type="character" w:customStyle="1" w:styleId="30">
    <w:name w:val="font141"/>
    <w:basedOn w:val="17"/>
    <w:qFormat/>
    <w:uiPriority w:val="0"/>
    <w:rPr>
      <w:rFonts w:hint="eastAsia" w:ascii="宋体" w:hAnsi="宋体" w:eastAsia="宋体" w:cs="宋体"/>
      <w:color w:val="000000"/>
      <w:sz w:val="12"/>
      <w:szCs w:val="12"/>
      <w:u w:val="none"/>
    </w:rPr>
  </w:style>
  <w:style w:type="character" w:customStyle="1" w:styleId="31">
    <w:name w:val="font221"/>
    <w:basedOn w:val="17"/>
    <w:qFormat/>
    <w:uiPriority w:val="0"/>
    <w:rPr>
      <w:rFonts w:ascii="Calibri" w:hAnsi="Calibri" w:cs="Calibri"/>
      <w:color w:val="000000"/>
      <w:sz w:val="12"/>
      <w:szCs w:val="12"/>
      <w:u w:val="none"/>
    </w:rPr>
  </w:style>
  <w:style w:type="character" w:customStyle="1" w:styleId="32">
    <w:name w:val="NormalCharacter"/>
    <w:qFormat/>
    <w:uiPriority w:val="0"/>
  </w:style>
  <w:style w:type="paragraph" w:styleId="33">
    <w:name w:val="List Paragraph"/>
    <w:basedOn w:val="1"/>
    <w:qFormat/>
    <w:uiPriority w:val="34"/>
    <w:pPr>
      <w:numPr>
        <w:ilvl w:val="0"/>
        <w:numId w:val="1"/>
      </w:numPr>
    </w:pPr>
  </w:style>
  <w:style w:type="paragraph" w:customStyle="1" w:styleId="34">
    <w:name w:val="p0"/>
    <w:basedOn w:val="1"/>
    <w:qFormat/>
    <w:uiPriority w:val="0"/>
    <w:pPr>
      <w:widowControl/>
    </w:pPr>
    <w:rPr>
      <w:kern w:val="0"/>
      <w:szCs w:val="21"/>
    </w:rPr>
  </w:style>
  <w:style w:type="character" w:customStyle="1" w:styleId="35">
    <w:name w:val="font21"/>
    <w:basedOn w:val="17"/>
    <w:qFormat/>
    <w:uiPriority w:val="0"/>
    <w:rPr>
      <w:rFonts w:hint="eastAsia" w:ascii="宋体" w:hAnsi="宋体" w:eastAsia="宋体" w:cs="宋体"/>
      <w:color w:val="000000"/>
      <w:sz w:val="20"/>
      <w:szCs w:val="20"/>
      <w:u w:val="none"/>
    </w:rPr>
  </w:style>
  <w:style w:type="character" w:customStyle="1" w:styleId="36">
    <w:name w:val="font13"/>
    <w:basedOn w:val="17"/>
    <w:qFormat/>
    <w:uiPriority w:val="0"/>
    <w:rPr>
      <w:rFonts w:hint="default" w:ascii="Times New Roman" w:hAnsi="Times New Roman" w:cs="Times New Roman"/>
      <w:color w:val="000000"/>
      <w:sz w:val="20"/>
      <w:szCs w:val="20"/>
      <w:u w:val="none"/>
    </w:rPr>
  </w:style>
  <w:style w:type="character" w:customStyle="1" w:styleId="37">
    <w:name w:val="font91"/>
    <w:basedOn w:val="17"/>
    <w:qFormat/>
    <w:uiPriority w:val="0"/>
    <w:rPr>
      <w:rFonts w:hint="eastAsia" w:ascii="宋体" w:hAnsi="宋体" w:eastAsia="宋体" w:cs="宋体"/>
      <w:color w:val="272727"/>
      <w:sz w:val="22"/>
      <w:szCs w:val="22"/>
      <w:u w:val="none"/>
    </w:rPr>
  </w:style>
  <w:style w:type="character" w:customStyle="1" w:styleId="38">
    <w:name w:val="font61"/>
    <w:basedOn w:val="17"/>
    <w:qFormat/>
    <w:uiPriority w:val="0"/>
    <w:rPr>
      <w:rFonts w:hint="default" w:ascii="Times New Roman" w:hAnsi="Times New Roman" w:cs="Times New Roman"/>
      <w:color w:val="272727"/>
      <w:sz w:val="22"/>
      <w:szCs w:val="22"/>
      <w:u w:val="none"/>
    </w:rPr>
  </w:style>
  <w:style w:type="character" w:customStyle="1" w:styleId="39">
    <w:name w:val="font101"/>
    <w:basedOn w:val="17"/>
    <w:qFormat/>
    <w:uiPriority w:val="0"/>
    <w:rPr>
      <w:rFonts w:hint="eastAsia" w:ascii="宋体" w:hAnsi="宋体" w:eastAsia="宋体" w:cs="宋体"/>
      <w:color w:val="000000"/>
      <w:sz w:val="22"/>
      <w:szCs w:val="22"/>
      <w:u w:val="none"/>
    </w:rPr>
  </w:style>
  <w:style w:type="character" w:customStyle="1" w:styleId="40">
    <w:name w:val="font31"/>
    <w:basedOn w:val="17"/>
    <w:qFormat/>
    <w:uiPriority w:val="0"/>
    <w:rPr>
      <w:rFonts w:hint="eastAsia" w:ascii="宋体" w:hAnsi="宋体" w:eastAsia="宋体" w:cs="宋体"/>
      <w:color w:val="000000"/>
      <w:sz w:val="18"/>
      <w:szCs w:val="18"/>
      <w:u w:val="none"/>
    </w:rPr>
  </w:style>
  <w:style w:type="character" w:customStyle="1" w:styleId="41">
    <w:name w:val="font41"/>
    <w:basedOn w:val="17"/>
    <w:qFormat/>
    <w:uiPriority w:val="0"/>
    <w:rPr>
      <w:rFonts w:hint="default" w:ascii="Times New Roman" w:hAnsi="Times New Roman" w:cs="Times New Roman"/>
      <w:color w:val="000000"/>
      <w:sz w:val="18"/>
      <w:szCs w:val="18"/>
      <w:u w:val="none"/>
    </w:rPr>
  </w:style>
  <w:style w:type="character" w:customStyle="1" w:styleId="42">
    <w:name w:val="font01"/>
    <w:basedOn w:val="17"/>
    <w:qFormat/>
    <w:uiPriority w:val="0"/>
    <w:rPr>
      <w:rFonts w:hint="eastAsia" w:ascii="宋体" w:hAnsi="宋体" w:eastAsia="宋体" w:cs="宋体"/>
      <w:color w:val="000000"/>
      <w:sz w:val="22"/>
      <w:szCs w:val="22"/>
      <w:u w:val="none"/>
    </w:rPr>
  </w:style>
  <w:style w:type="character" w:customStyle="1" w:styleId="43">
    <w:name w:val="font71"/>
    <w:basedOn w:val="17"/>
    <w:qFormat/>
    <w:uiPriority w:val="0"/>
    <w:rPr>
      <w:rFonts w:hint="default" w:ascii="Times New Roman" w:hAnsi="Times New Roman" w:cs="Times New Roman"/>
      <w:color w:val="000000"/>
      <w:sz w:val="22"/>
      <w:szCs w:val="22"/>
      <w:u w:val="none"/>
    </w:rPr>
  </w:style>
  <w:style w:type="character" w:customStyle="1" w:styleId="44">
    <w:name w:val="font111"/>
    <w:basedOn w:val="17"/>
    <w:qFormat/>
    <w:uiPriority w:val="0"/>
    <w:rPr>
      <w:rFonts w:hint="eastAsia" w:ascii="宋体" w:hAnsi="宋体" w:eastAsia="宋体" w:cs="宋体"/>
      <w:color w:val="231F20"/>
      <w:sz w:val="22"/>
      <w:szCs w:val="22"/>
      <w:u w:val="none"/>
    </w:rPr>
  </w:style>
  <w:style w:type="character" w:customStyle="1" w:styleId="45">
    <w:name w:val="font121"/>
    <w:basedOn w:val="1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6.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116</Pages>
  <Words>29624</Words>
  <Characters>32232</Characters>
  <Lines>0</Lines>
  <Paragraphs>0</Paragraphs>
  <TotalTime>47</TotalTime>
  <ScaleCrop>false</ScaleCrop>
  <LinksUpToDate>false</LinksUpToDate>
  <CharactersWithSpaces>33129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2026-02-16T06:09:00Z</dcterms:created>
  <dc:creator>无感</dc:creator>
  <cp:lastModifiedBy>杨猫猫吖</cp:lastModifiedBy>
  <cp:lastPrinted>2026-02-16T07:41:00Z</cp:lastPrinted>
  <dcterms:modified xsi:type="dcterms:W3CDTF">2026-05-22T07:32:22Z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0A1B840997F848218D9BDFC4FF9BB696_13</vt:lpwstr>
  </property>
  <property fmtid="{D5CDD505-2E9C-101B-9397-08002B2CF9AE}" pid="4" name="KSOTemplateDocerSaveRecord">
    <vt:lpwstr>eyJoZGlkIjoiNDc4MDRjZGVhNzUwMmEzZTljZGViYjYxZjdhZDU5NDIiLCJ1c2VySWQiOiI0MDA3Nzk4MzAifQ==</vt:lpwstr>
  </property>
</Properties>
</file>