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1E50E8">
      <w:pPr>
        <w:rPr>
          <w:rFonts w:hint="eastAsia" w:ascii="黑体" w:hAnsi="黑体" w:eastAsia="黑体"/>
          <w:color w:val="auto"/>
          <w:sz w:val="32"/>
          <w:szCs w:val="32"/>
          <w:highlight w:val="none"/>
          <w:lang w:eastAsia="zh-CN"/>
        </w:rPr>
      </w:pPr>
    </w:p>
    <w:p w14:paraId="7E039B8B">
      <w:pPr>
        <w:jc w:val="center"/>
        <w:rPr>
          <w:rFonts w:hint="eastAsia" w:ascii="黑体" w:hAnsi="黑体" w:eastAsia="黑体"/>
          <w:color w:val="auto"/>
          <w:spacing w:val="5760"/>
          <w:w w:val="100"/>
          <w:kern w:val="0"/>
          <w:sz w:val="36"/>
          <w:szCs w:val="36"/>
          <w:highlight w:val="none"/>
          <w:fitText w:val="6120" w:id="-1002138880"/>
          <w:lang w:val="en-US" w:eastAsia="zh-CN"/>
        </w:rPr>
      </w:pPr>
    </w:p>
    <w:p w14:paraId="143A0883">
      <w:pPr>
        <w:jc w:val="center"/>
        <w:rPr>
          <w:rFonts w:hint="eastAsia" w:ascii="宋体" w:hAnsi="宋体" w:eastAsia="宋体" w:cs="宋体"/>
          <w:b/>
          <w:bCs/>
          <w:color w:val="auto"/>
          <w:sz w:val="60"/>
          <w:szCs w:val="60"/>
          <w:highlight w:val="none"/>
          <w:lang w:val="en-US" w:eastAsia="zh-CN"/>
        </w:rPr>
      </w:pPr>
      <w:r>
        <w:rPr>
          <w:rFonts w:hint="eastAsia" w:ascii="宋体" w:hAnsi="宋体" w:eastAsia="宋体" w:cs="宋体"/>
          <w:b/>
          <w:bCs/>
          <w:color w:val="auto"/>
          <w:kern w:val="0"/>
          <w:sz w:val="60"/>
          <w:szCs w:val="60"/>
          <w:highlight w:val="none"/>
          <w:lang w:val="en-US" w:eastAsia="zh-CN"/>
        </w:rPr>
        <w:t>政府采购项目</w:t>
      </w:r>
    </w:p>
    <w:p w14:paraId="01CD27AD">
      <w:pPr>
        <w:jc w:val="center"/>
        <w:rPr>
          <w:rFonts w:hint="eastAsia" w:ascii="宋体" w:hAnsi="宋体" w:eastAsia="宋体" w:cs="宋体"/>
          <w:b/>
          <w:bCs/>
          <w:color w:val="auto"/>
          <w:sz w:val="60"/>
          <w:szCs w:val="60"/>
          <w:highlight w:val="none"/>
          <w:lang w:val="en-US" w:eastAsia="zh-CN"/>
        </w:rPr>
      </w:pPr>
      <w:r>
        <w:rPr>
          <w:rFonts w:hint="eastAsia" w:ascii="宋体" w:hAnsi="宋体" w:eastAsia="宋体" w:cs="宋体"/>
          <w:b/>
          <w:bCs/>
          <w:color w:val="auto"/>
          <w:sz w:val="60"/>
          <w:szCs w:val="60"/>
          <w:highlight w:val="none"/>
        </w:rPr>
        <w:t>公开招标文件</w:t>
      </w:r>
      <w:r>
        <w:rPr>
          <w:rFonts w:hint="eastAsia" w:ascii="宋体" w:hAnsi="宋体" w:eastAsia="宋体" w:cs="宋体"/>
          <w:b/>
          <w:bCs/>
          <w:color w:val="auto"/>
          <w:sz w:val="60"/>
          <w:szCs w:val="60"/>
          <w:highlight w:val="none"/>
          <w:lang w:val="en-US" w:eastAsia="zh-CN"/>
        </w:rPr>
        <w:t>示范文本</w:t>
      </w:r>
    </w:p>
    <w:p w14:paraId="2348539C">
      <w:pPr>
        <w:jc w:val="center"/>
        <w:rPr>
          <w:rFonts w:hint="eastAsia" w:ascii="宋体" w:hAnsi="宋体" w:eastAsia="宋体" w:cs="宋体"/>
          <w:b/>
          <w:bCs/>
          <w:color w:val="auto"/>
          <w:sz w:val="60"/>
          <w:szCs w:val="60"/>
          <w:highlight w:val="none"/>
        </w:rPr>
      </w:pPr>
      <w:r>
        <w:rPr>
          <w:rFonts w:hint="eastAsia" w:ascii="宋体" w:hAnsi="宋体" w:eastAsia="宋体" w:cs="宋体"/>
          <w:b/>
          <w:bCs/>
          <w:color w:val="auto"/>
          <w:sz w:val="60"/>
          <w:szCs w:val="60"/>
          <w:highlight w:val="none"/>
          <w:lang w:val="en-US" w:eastAsia="zh-CN"/>
        </w:rPr>
        <w:t>（货物）</w:t>
      </w:r>
    </w:p>
    <w:p w14:paraId="5DC44D9A">
      <w:pPr>
        <w:jc w:val="center"/>
        <w:rPr>
          <w:rFonts w:hint="eastAsia" w:ascii="宋体" w:hAnsi="宋体" w:eastAsia="宋体" w:cs="宋体"/>
          <w:b/>
          <w:bCs/>
          <w:color w:val="auto"/>
          <w:sz w:val="60"/>
          <w:szCs w:val="60"/>
          <w:highlight w:val="none"/>
        </w:rPr>
      </w:pPr>
      <w:bookmarkStart w:id="0" w:name="_Hlk164181180"/>
    </w:p>
    <w:bookmarkEnd w:id="0"/>
    <w:p w14:paraId="7757DFAA">
      <w:pPr>
        <w:spacing w:line="240" w:lineRule="auto"/>
        <w:jc w:val="center"/>
        <w:rPr>
          <w:rFonts w:ascii="黑体" w:hAnsi="黑体" w:eastAsia="黑体"/>
          <w:color w:val="auto"/>
          <w:sz w:val="52"/>
          <w:szCs w:val="52"/>
          <w:highlight w:val="none"/>
        </w:rPr>
      </w:pPr>
    </w:p>
    <w:p w14:paraId="67E856E7">
      <w:pPr>
        <w:spacing w:line="240" w:lineRule="auto"/>
        <w:jc w:val="center"/>
        <w:rPr>
          <w:rFonts w:ascii="黑体" w:hAnsi="黑体" w:eastAsia="黑体"/>
          <w:color w:val="auto"/>
          <w:sz w:val="52"/>
          <w:szCs w:val="52"/>
          <w:highlight w:val="none"/>
        </w:rPr>
      </w:pPr>
    </w:p>
    <w:p w14:paraId="6E97F6A4">
      <w:pPr>
        <w:spacing w:line="240" w:lineRule="auto"/>
        <w:jc w:val="center"/>
        <w:rPr>
          <w:rFonts w:ascii="黑体" w:hAnsi="黑体" w:eastAsia="黑体"/>
          <w:color w:val="auto"/>
          <w:sz w:val="52"/>
          <w:szCs w:val="52"/>
          <w:highlight w:val="none"/>
        </w:rPr>
      </w:pPr>
    </w:p>
    <w:p w14:paraId="0F88ECFE">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/包号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lang w:val="hr-HR" w:eastAsia="zh-CN"/>
        </w:rPr>
        <w:t>[2026]1307号</w:t>
      </w:r>
    </w:p>
    <w:p w14:paraId="0E6E48F8">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2160" w:leftChars="150" w:right="0" w:hanging="1800" w:hangingChars="500"/>
        <w:rPr>
          <w:rFonts w:hint="eastAsia" w:ascii="宋体" w:hAnsi="宋体" w:eastAsia="宋体" w:cs="宋体"/>
          <w:color w:val="auto"/>
          <w:sz w:val="36"/>
          <w:szCs w:val="36"/>
          <w:highlight w:val="none"/>
        </w:rPr>
      </w:pPr>
      <w:r>
        <w:rPr>
          <w:rFonts w:hint="eastAsia" w:ascii="宋体" w:hAnsi="宋体" w:eastAsia="宋体" w:cs="宋体"/>
          <w:b w:val="0"/>
          <w:bCs w:val="0"/>
          <w:color w:val="auto"/>
          <w:kern w:val="2"/>
          <w:sz w:val="36"/>
          <w:szCs w:val="36"/>
          <w:highlight w:val="none"/>
          <w:lang w:val="en-US" w:eastAsia="zh-CN" w:bidi="ar-SA"/>
        </w:rPr>
        <w:t>项目名称：</w:t>
      </w:r>
      <w:r>
        <w:rPr>
          <w:rFonts w:hint="eastAsia" w:ascii="宋体" w:hAnsi="宋体" w:eastAsia="宋体" w:cs="宋体"/>
          <w:b w:val="0"/>
          <w:bCs w:val="0"/>
          <w:color w:val="auto"/>
          <w:kern w:val="2"/>
          <w:sz w:val="36"/>
          <w:szCs w:val="36"/>
          <w:highlight w:val="none"/>
          <w:u w:val="single"/>
          <w:lang w:val="en-US" w:eastAsia="zh-CN" w:bidi="ar-SA"/>
        </w:rPr>
        <w:t>哈密市第八幼儿园大型树屋+木工坊定制项目游乐场设施项目</w:t>
      </w:r>
    </w:p>
    <w:p w14:paraId="0F84FA94">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购</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cs="宋体"/>
          <w:color w:val="auto"/>
          <w:sz w:val="36"/>
          <w:szCs w:val="36"/>
          <w:highlight w:val="none"/>
          <w:u w:val="single"/>
          <w:lang w:val="en-US" w:eastAsia="zh-CN"/>
        </w:rPr>
        <w:t>哈密市第八幼儿园</w:t>
      </w:r>
    </w:p>
    <w:p w14:paraId="4B180FDF">
      <w:pPr>
        <w:ind w:left="420" w:leftChars="175"/>
        <w:rPr>
          <w:rFonts w:hint="default" w:ascii="宋体" w:hAnsi="宋体" w:eastAsia="宋体" w:cs="宋体"/>
          <w:color w:val="auto"/>
          <w:sz w:val="36"/>
          <w:szCs w:val="36"/>
          <w:highlight w:val="none"/>
          <w:lang w:val="en-US" w:eastAsia="zh-CN"/>
        </w:rPr>
      </w:pPr>
      <w:r>
        <w:rPr>
          <w:rFonts w:hint="eastAsia" w:ascii="宋体" w:hAnsi="宋体" w:eastAsia="宋体" w:cs="宋体"/>
          <w:color w:val="auto"/>
          <w:sz w:val="36"/>
          <w:szCs w:val="36"/>
          <w:highlight w:val="none"/>
        </w:rPr>
        <w:t>采购代理机构：</w:t>
      </w:r>
      <w:r>
        <w:rPr>
          <w:rFonts w:hint="eastAsia" w:cs="宋体"/>
          <w:color w:val="auto"/>
          <w:sz w:val="36"/>
          <w:szCs w:val="36"/>
          <w:highlight w:val="none"/>
          <w:u w:val="single"/>
          <w:lang w:val="en-US" w:eastAsia="zh-CN"/>
        </w:rPr>
        <w:t>新疆筑石工程项目管理有限公司</w:t>
      </w:r>
    </w:p>
    <w:p w14:paraId="2C93F193">
      <w:pPr>
        <w:rPr>
          <w:rFonts w:ascii="黑体" w:hAnsi="黑体" w:eastAsia="黑体"/>
          <w:color w:val="auto"/>
          <w:highlight w:val="none"/>
        </w:rPr>
      </w:pPr>
    </w:p>
    <w:p w14:paraId="320C1BF6">
      <w:pPr>
        <w:ind w:left="420" w:leftChars="175" w:firstLine="640" w:firstLineChars="200"/>
        <w:jc w:val="center"/>
        <w:rPr>
          <w:rFonts w:ascii="黑体" w:hAnsi="黑体" w:eastAsia="黑体"/>
          <w:color w:val="auto"/>
          <w:sz w:val="32"/>
          <w:szCs w:val="32"/>
          <w:highlight w:val="none"/>
        </w:rPr>
      </w:pPr>
      <w:r>
        <w:rPr>
          <w:rFonts w:hint="eastAsia" w:ascii="黑体" w:hAnsi="黑体" w:eastAsia="黑体"/>
          <w:color w:val="auto"/>
          <w:sz w:val="32"/>
          <w:szCs w:val="32"/>
          <w:highlight w:val="none"/>
        </w:rPr>
        <w:t xml:space="preserve"> </w:t>
      </w:r>
      <w:r>
        <w:rPr>
          <w:rFonts w:ascii="黑体" w:hAnsi="黑体" w:eastAsia="黑体"/>
          <w:color w:val="auto"/>
          <w:sz w:val="32"/>
          <w:szCs w:val="32"/>
          <w:highlight w:val="none"/>
        </w:rPr>
        <w:t xml:space="preserve">   </w:t>
      </w:r>
    </w:p>
    <w:p w14:paraId="3B2CDAF9">
      <w:pPr>
        <w:jc w:val="center"/>
        <w:rPr>
          <w:rFonts w:hint="eastAsia" w:ascii="黑体" w:hAnsi="黑体" w:eastAsia="黑体"/>
          <w:color w:val="auto"/>
          <w:sz w:val="48"/>
          <w:szCs w:val="48"/>
          <w:highlight w:val="none"/>
        </w:rPr>
      </w:pPr>
    </w:p>
    <w:p w14:paraId="309B13BD">
      <w:pPr>
        <w:jc w:val="center"/>
        <w:rPr>
          <w:rFonts w:hint="eastAsia" w:ascii="黑体" w:hAnsi="黑体" w:eastAsia="黑体"/>
          <w:color w:val="auto"/>
          <w:sz w:val="48"/>
          <w:szCs w:val="48"/>
          <w:highlight w:val="none"/>
        </w:rPr>
      </w:pPr>
    </w:p>
    <w:p w14:paraId="67540CEC">
      <w:pPr>
        <w:jc w:val="center"/>
        <w:rPr>
          <w:rFonts w:hint="eastAsia" w:ascii="黑体" w:hAnsi="黑体" w:eastAsia="黑体"/>
          <w:color w:val="auto"/>
          <w:sz w:val="48"/>
          <w:szCs w:val="48"/>
          <w:highlight w:val="none"/>
        </w:rPr>
      </w:pPr>
    </w:p>
    <w:p w14:paraId="0BD23774">
      <w:pPr>
        <w:jc w:val="center"/>
        <w:rPr>
          <w:rFonts w:hint="eastAsia" w:ascii="黑体" w:hAnsi="黑体" w:eastAsia="黑体"/>
          <w:color w:val="auto"/>
          <w:sz w:val="48"/>
          <w:szCs w:val="48"/>
          <w:highlight w:val="none"/>
        </w:rPr>
      </w:pPr>
    </w:p>
    <w:p w14:paraId="2E6E0FD2">
      <w:pPr>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 xml:space="preserve">目 </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rPr>
        <w:t>录</w:t>
      </w:r>
    </w:p>
    <w:p w14:paraId="55100918">
      <w:pPr>
        <w:jc w:val="center"/>
        <w:rPr>
          <w:rFonts w:hint="eastAsia" w:ascii="宋体" w:hAnsi="宋体" w:eastAsia="宋体" w:cs="宋体"/>
          <w:b/>
          <w:bCs/>
          <w:color w:val="auto"/>
          <w:sz w:val="36"/>
          <w:szCs w:val="36"/>
          <w:highlight w:val="none"/>
        </w:rPr>
      </w:pPr>
    </w:p>
    <w:p w14:paraId="1377FDC5">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"1-2"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_Toc3968 </w:instrText>
      </w:r>
      <w:r>
        <w:rPr>
          <w:rFonts w:hint="eastAsia" w:ascii="宋体" w:hAnsi="宋体" w:eastAsia="宋体" w:cs="宋体"/>
          <w:sz w:val="24"/>
          <w:szCs w:val="24"/>
          <w:highlight w:val="none"/>
        </w:rPr>
        <w:fldChar w:fldCharType="separate"/>
      </w:r>
      <w:r>
        <w:rPr>
          <w:rFonts w:hint="eastAsia" w:ascii="宋体" w:hAnsi="宋体" w:eastAsia="宋体" w:cs="宋体"/>
          <w:bCs/>
          <w:kern w:val="44"/>
          <w:sz w:val="24"/>
          <w:szCs w:val="24"/>
          <w:highlight w:val="none"/>
          <w:lang w:val="en-US" w:eastAsia="zh-CN" w:bidi="ar-SA"/>
        </w:rPr>
        <w:t xml:space="preserve">第一章 </w:t>
      </w:r>
      <w:r>
        <w:rPr>
          <w:rFonts w:hint="eastAsia" w:ascii="宋体" w:hAnsi="宋体" w:eastAsia="宋体" w:cs="宋体"/>
          <w:sz w:val="24"/>
          <w:szCs w:val="24"/>
          <w:highlight w:val="none"/>
          <w:lang w:val="en-US" w:eastAsia="zh-CN"/>
        </w:rPr>
        <w:t>招标公告</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_Toc3968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- 1 -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4A3D2781">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_Toc32499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24"/>
          <w:highlight w:val="none"/>
          <w:lang w:val="hr-HR" w:eastAsia="zh-CN" w:bidi="ar-SA"/>
        </w:rPr>
        <w:t>一、</w:t>
      </w:r>
      <w:r>
        <w:rPr>
          <w:rFonts w:hint="eastAsia" w:ascii="宋体" w:hAnsi="宋体" w:eastAsia="宋体" w:cs="宋体"/>
          <w:sz w:val="24"/>
          <w:szCs w:val="24"/>
          <w:highlight w:val="none"/>
          <w:lang w:val="hr-HR"/>
        </w:rPr>
        <w:t>项目基本情况</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_Toc32499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- 1 -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32484117">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_Toc3089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24"/>
          <w:highlight w:val="none"/>
          <w:lang w:val="en-US" w:eastAsia="zh-CN" w:bidi="ar-SA"/>
        </w:rPr>
        <w:t>二、申请</w:t>
      </w:r>
      <w:r>
        <w:rPr>
          <w:rFonts w:hint="eastAsia" w:ascii="宋体" w:hAnsi="宋体" w:eastAsia="宋体" w:cs="宋体"/>
          <w:bCs/>
          <w:kern w:val="2"/>
          <w:sz w:val="24"/>
          <w:szCs w:val="24"/>
          <w:highlight w:val="none"/>
          <w:lang w:val="hr-HR" w:eastAsia="zh-CN" w:bidi="ar-SA"/>
        </w:rPr>
        <w:t>人</w:t>
      </w:r>
      <w:r>
        <w:rPr>
          <w:rFonts w:hint="eastAsia" w:ascii="宋体" w:hAnsi="宋体" w:eastAsia="宋体" w:cs="宋体"/>
          <w:bCs/>
          <w:kern w:val="2"/>
          <w:sz w:val="24"/>
          <w:szCs w:val="24"/>
          <w:highlight w:val="none"/>
          <w:lang w:val="en-US" w:eastAsia="zh-CN" w:bidi="ar-SA"/>
        </w:rPr>
        <w:t>的</w:t>
      </w:r>
      <w:r>
        <w:rPr>
          <w:rFonts w:hint="eastAsia" w:ascii="宋体" w:hAnsi="宋体" w:eastAsia="宋体" w:cs="宋体"/>
          <w:bCs/>
          <w:kern w:val="2"/>
          <w:sz w:val="24"/>
          <w:szCs w:val="24"/>
          <w:highlight w:val="none"/>
          <w:lang w:val="hr-HR" w:eastAsia="zh-CN" w:bidi="ar-SA"/>
        </w:rPr>
        <w:t>资格要求</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_Toc3089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- 1 -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17DDF94D">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_Toc5330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24"/>
          <w:highlight w:val="none"/>
          <w:lang w:val="en-US" w:eastAsia="zh-CN" w:bidi="ar-SA"/>
        </w:rPr>
        <w:t>三、</w:t>
      </w:r>
      <w:r>
        <w:rPr>
          <w:rFonts w:hint="eastAsia" w:ascii="宋体" w:hAnsi="宋体" w:eastAsia="宋体" w:cs="宋体"/>
          <w:bCs/>
          <w:kern w:val="2"/>
          <w:sz w:val="24"/>
          <w:szCs w:val="24"/>
          <w:highlight w:val="none"/>
          <w:lang w:val="hr-HR" w:eastAsia="zh-CN" w:bidi="ar-SA"/>
        </w:rPr>
        <w:t>获取招标文件</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_Toc5330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- 2 -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01289E71">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_Toc363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24"/>
          <w:highlight w:val="none"/>
          <w:lang w:val="en-US" w:eastAsia="zh-CN" w:bidi="ar-SA"/>
        </w:rPr>
        <w:t>四、</w:t>
      </w:r>
      <w:r>
        <w:rPr>
          <w:rFonts w:hint="eastAsia" w:ascii="宋体" w:hAnsi="宋体" w:eastAsia="宋体" w:cs="宋体"/>
          <w:bCs/>
          <w:kern w:val="2"/>
          <w:sz w:val="24"/>
          <w:szCs w:val="24"/>
          <w:highlight w:val="none"/>
          <w:lang w:val="hr-HR" w:eastAsia="zh-CN" w:bidi="ar-SA"/>
        </w:rPr>
        <w:t>提交投标文件截止时间</w:t>
      </w:r>
      <w:r>
        <w:rPr>
          <w:rFonts w:hint="eastAsia" w:ascii="宋体" w:hAnsi="宋体" w:eastAsia="宋体" w:cs="宋体"/>
          <w:bCs/>
          <w:kern w:val="2"/>
          <w:sz w:val="24"/>
          <w:szCs w:val="24"/>
          <w:highlight w:val="none"/>
          <w:lang w:val="en-US" w:eastAsia="zh-CN" w:bidi="ar-SA"/>
        </w:rPr>
        <w:t>/</w:t>
      </w:r>
      <w:r>
        <w:rPr>
          <w:rFonts w:hint="eastAsia" w:ascii="宋体" w:hAnsi="宋体" w:eastAsia="宋体" w:cs="宋体"/>
          <w:bCs/>
          <w:kern w:val="2"/>
          <w:sz w:val="24"/>
          <w:szCs w:val="24"/>
          <w:highlight w:val="none"/>
          <w:lang w:val="hr-HR" w:eastAsia="zh-CN" w:bidi="ar-SA"/>
        </w:rPr>
        <w:t>开标时间、递交方式和</w:t>
      </w:r>
      <w:r>
        <w:rPr>
          <w:rFonts w:hint="eastAsia" w:ascii="宋体" w:hAnsi="宋体" w:eastAsia="宋体" w:cs="宋体"/>
          <w:bCs/>
          <w:kern w:val="2"/>
          <w:sz w:val="24"/>
          <w:szCs w:val="24"/>
          <w:highlight w:val="none"/>
          <w:lang w:val="en-US" w:eastAsia="zh-CN" w:bidi="ar-SA"/>
        </w:rPr>
        <w:t>开标</w:t>
      </w:r>
      <w:r>
        <w:rPr>
          <w:rFonts w:hint="eastAsia" w:ascii="宋体" w:hAnsi="宋体" w:eastAsia="宋体" w:cs="宋体"/>
          <w:bCs/>
          <w:kern w:val="2"/>
          <w:sz w:val="24"/>
          <w:szCs w:val="24"/>
          <w:highlight w:val="none"/>
          <w:lang w:val="hr-HR" w:eastAsia="zh-CN" w:bidi="ar-SA"/>
        </w:rPr>
        <w:t>地点</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_Toc363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- 2 -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401B13B6">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_Toc24676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24"/>
          <w:highlight w:val="none"/>
          <w:lang w:val="en-US" w:eastAsia="zh-CN" w:bidi="ar-SA"/>
        </w:rPr>
        <w:t>五、</w:t>
      </w:r>
      <w:r>
        <w:rPr>
          <w:rFonts w:hint="eastAsia" w:ascii="宋体" w:hAnsi="宋体" w:eastAsia="宋体" w:cs="宋体"/>
          <w:bCs/>
          <w:kern w:val="2"/>
          <w:sz w:val="24"/>
          <w:szCs w:val="24"/>
          <w:highlight w:val="none"/>
          <w:lang w:val="hr-HR" w:eastAsia="zh-CN" w:bidi="ar-SA"/>
        </w:rPr>
        <w:t>公告期限</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_Toc24676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- 2 -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6F2D08C5">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_Toc5198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24"/>
          <w:highlight w:val="none"/>
          <w:lang w:val="en-US" w:eastAsia="zh-CN" w:bidi="ar-SA"/>
        </w:rPr>
        <w:t>六、</w:t>
      </w:r>
      <w:r>
        <w:rPr>
          <w:rFonts w:hint="eastAsia" w:ascii="宋体" w:hAnsi="宋体" w:eastAsia="宋体" w:cs="宋体"/>
          <w:bCs/>
          <w:kern w:val="2"/>
          <w:sz w:val="24"/>
          <w:szCs w:val="24"/>
          <w:highlight w:val="none"/>
          <w:lang w:val="hr-HR" w:eastAsia="zh-CN" w:bidi="ar-SA"/>
        </w:rPr>
        <w:t>其他补充事宜</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_Toc5198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- 2 -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7AE12942">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_Toc31968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24"/>
          <w:highlight w:val="none"/>
          <w:lang w:val="en-US" w:eastAsia="zh-CN" w:bidi="ar-SA"/>
        </w:rPr>
        <w:t>七、</w:t>
      </w:r>
      <w:r>
        <w:rPr>
          <w:rFonts w:hint="eastAsia" w:ascii="宋体" w:hAnsi="宋体" w:eastAsia="宋体" w:cs="宋体"/>
          <w:bCs/>
          <w:kern w:val="2"/>
          <w:sz w:val="24"/>
          <w:szCs w:val="24"/>
          <w:highlight w:val="none"/>
          <w:lang w:val="hr-HR" w:eastAsia="zh-CN" w:bidi="ar-SA"/>
        </w:rPr>
        <w:t>对本次</w:t>
      </w:r>
      <w:r>
        <w:rPr>
          <w:rFonts w:hint="eastAsia" w:ascii="宋体" w:hAnsi="宋体" w:eastAsia="宋体" w:cs="宋体"/>
          <w:bCs/>
          <w:kern w:val="2"/>
          <w:sz w:val="24"/>
          <w:szCs w:val="24"/>
          <w:highlight w:val="none"/>
          <w:lang w:val="en-US" w:eastAsia="zh-CN" w:bidi="ar-SA"/>
        </w:rPr>
        <w:t>招标</w:t>
      </w:r>
      <w:r>
        <w:rPr>
          <w:rFonts w:hint="eastAsia" w:ascii="宋体" w:hAnsi="宋体" w:eastAsia="宋体" w:cs="宋体"/>
          <w:bCs/>
          <w:kern w:val="2"/>
          <w:sz w:val="24"/>
          <w:szCs w:val="24"/>
          <w:highlight w:val="none"/>
          <w:lang w:val="hr-HR" w:eastAsia="zh-CN" w:bidi="ar-SA"/>
        </w:rPr>
        <w:t>提出询问，请按以下方式联系</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_Toc31968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- 3 -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45118F77">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_Toc29609 </w:instrText>
      </w:r>
      <w:r>
        <w:rPr>
          <w:rFonts w:hint="eastAsia" w:ascii="宋体" w:hAnsi="宋体" w:eastAsia="宋体" w:cs="宋体"/>
          <w:sz w:val="24"/>
          <w:szCs w:val="24"/>
          <w:highlight w:val="none"/>
        </w:rPr>
        <w:fldChar w:fldCharType="separate"/>
      </w:r>
      <w:r>
        <w:rPr>
          <w:rFonts w:hint="eastAsia" w:ascii="宋体" w:hAnsi="宋体" w:eastAsia="宋体" w:cs="宋体"/>
          <w:bCs/>
          <w:kern w:val="44"/>
          <w:sz w:val="24"/>
          <w:szCs w:val="24"/>
          <w:highlight w:val="none"/>
          <w:lang w:val="en-US" w:eastAsia="zh-CN" w:bidi="ar-SA"/>
        </w:rPr>
        <w:t>第二章 投标人须知</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_Toc29609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- 4 -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7EBE6DC0">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_Toc1412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24"/>
          <w:highlight w:val="none"/>
          <w:lang w:val="en-US" w:eastAsia="zh-CN" w:bidi="ar-SA"/>
        </w:rPr>
        <w:t>一、投标人须知前附表</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_Toc1412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- 4 -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48A5E0FF">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_Toc5698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24"/>
          <w:highlight w:val="none"/>
          <w:lang w:val="en-US" w:eastAsia="zh-CN" w:bidi="ar-SA"/>
        </w:rPr>
        <w:t>二、投标人须知</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_Toc5698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- 8 -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0EDF32A2">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_Toc22090 </w:instrText>
      </w:r>
      <w:r>
        <w:rPr>
          <w:rFonts w:hint="eastAsia" w:ascii="宋体" w:hAnsi="宋体" w:eastAsia="宋体" w:cs="宋体"/>
          <w:sz w:val="24"/>
          <w:szCs w:val="24"/>
          <w:highlight w:val="none"/>
        </w:rPr>
        <w:fldChar w:fldCharType="separate"/>
      </w:r>
      <w:r>
        <w:rPr>
          <w:rFonts w:hint="eastAsia" w:ascii="宋体" w:hAnsi="宋体" w:eastAsia="宋体" w:cs="宋体"/>
          <w:bCs/>
          <w:kern w:val="44"/>
          <w:sz w:val="24"/>
          <w:szCs w:val="24"/>
          <w:highlight w:val="none"/>
          <w:lang w:val="en-US" w:eastAsia="zh-CN" w:bidi="ar-SA"/>
        </w:rPr>
        <w:t>第三章 采购需求</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_Toc22090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- 35 -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2BB3CEE9">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_Toc12252 </w:instrText>
      </w:r>
      <w:r>
        <w:rPr>
          <w:rFonts w:hint="eastAsia" w:ascii="宋体" w:hAnsi="宋体" w:eastAsia="宋体" w:cs="宋体"/>
          <w:sz w:val="24"/>
          <w:szCs w:val="24"/>
          <w:highlight w:val="none"/>
        </w:rPr>
        <w:fldChar w:fldCharType="separate"/>
      </w:r>
      <w:r>
        <w:rPr>
          <w:rFonts w:hint="eastAsia" w:ascii="宋体" w:hAnsi="宋体" w:eastAsia="宋体" w:cs="宋体"/>
          <w:bCs/>
          <w:kern w:val="44"/>
          <w:sz w:val="24"/>
          <w:szCs w:val="24"/>
          <w:highlight w:val="none"/>
          <w:lang w:val="en-US" w:eastAsia="zh-CN" w:bidi="ar-SA"/>
        </w:rPr>
        <w:t>第四章 资格审查</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_Toc12252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- 37 -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0C8BD5EA">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_Toc17619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en-US" w:eastAsia="zh-CN"/>
        </w:rPr>
        <w:t>一、资格审查程序</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_Toc17619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- 37 -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16CA7ACD">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_Toc5337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en-US" w:eastAsia="zh-CN"/>
        </w:rPr>
        <w:t>二、资格审查要求</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_Toc5337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- 37 -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4A04B792">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_Toc23606 </w:instrText>
      </w:r>
      <w:r>
        <w:rPr>
          <w:rFonts w:hint="eastAsia" w:ascii="宋体" w:hAnsi="宋体" w:eastAsia="宋体" w:cs="宋体"/>
          <w:sz w:val="24"/>
          <w:szCs w:val="24"/>
          <w:highlight w:val="none"/>
        </w:rPr>
        <w:fldChar w:fldCharType="separate"/>
      </w:r>
      <w:r>
        <w:rPr>
          <w:rFonts w:hint="eastAsia" w:ascii="宋体" w:hAnsi="宋体" w:eastAsia="宋体" w:cs="宋体"/>
          <w:bCs/>
          <w:kern w:val="44"/>
          <w:sz w:val="24"/>
          <w:szCs w:val="24"/>
          <w:highlight w:val="none"/>
          <w:lang w:val="en-US" w:eastAsia="zh-CN" w:bidi="ar-SA"/>
        </w:rPr>
        <w:t>第五章 评标方法及标准(综合评分法)</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_Toc23606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- 40 -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2B686A8E">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_Toc29507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zh-CN" w:eastAsia="zh-CN"/>
        </w:rPr>
        <w:t>一、评标</w:t>
      </w:r>
      <w:r>
        <w:rPr>
          <w:rFonts w:hint="eastAsia" w:ascii="宋体" w:hAnsi="宋体" w:eastAsia="宋体" w:cs="宋体"/>
          <w:sz w:val="24"/>
          <w:szCs w:val="24"/>
          <w:highlight w:val="none"/>
          <w:lang w:val="en-US" w:eastAsia="zh-CN"/>
        </w:rPr>
        <w:t>方</w:t>
      </w:r>
      <w:r>
        <w:rPr>
          <w:rFonts w:hint="eastAsia" w:ascii="宋体" w:hAnsi="宋体" w:eastAsia="宋体" w:cs="宋体"/>
          <w:sz w:val="24"/>
          <w:szCs w:val="24"/>
          <w:highlight w:val="none"/>
          <w:lang w:val="zh-CN" w:eastAsia="zh-CN"/>
        </w:rPr>
        <w:t>法</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_Toc29507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- 40 -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0D3988CF">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_Toc27741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lang w:val="zh-CN" w:eastAsia="zh-CN"/>
        </w:rPr>
        <w:t>、评标程序</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_Toc27741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- 40 -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58270119">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_Toc30017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zh-CN" w:eastAsia="zh-CN"/>
        </w:rPr>
        <w:t>三、评标</w:t>
      </w:r>
      <w:r>
        <w:rPr>
          <w:rFonts w:hint="eastAsia" w:ascii="宋体" w:hAnsi="宋体" w:eastAsia="宋体" w:cs="宋体"/>
          <w:sz w:val="24"/>
          <w:szCs w:val="24"/>
          <w:highlight w:val="none"/>
          <w:lang w:val="en-US" w:eastAsia="zh-CN"/>
        </w:rPr>
        <w:t>其他要求</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_Toc30017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- 46 -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52AA5EFE">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_Toc12589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en-US" w:eastAsia="zh-CN"/>
        </w:rPr>
        <w:t>四</w:t>
      </w:r>
      <w:r>
        <w:rPr>
          <w:rFonts w:hint="eastAsia" w:ascii="宋体" w:hAnsi="宋体" w:eastAsia="宋体" w:cs="宋体"/>
          <w:sz w:val="24"/>
          <w:szCs w:val="24"/>
          <w:highlight w:val="none"/>
          <w:lang w:val="zh-CN" w:eastAsia="zh-CN"/>
        </w:rPr>
        <w:t>、评标标准</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_Toc12589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- 47 -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5FA02766">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_Toc8212 </w:instrText>
      </w:r>
      <w:r>
        <w:rPr>
          <w:rFonts w:hint="eastAsia" w:ascii="宋体" w:hAnsi="宋体" w:eastAsia="宋体" w:cs="宋体"/>
          <w:sz w:val="24"/>
          <w:szCs w:val="24"/>
          <w:highlight w:val="none"/>
        </w:rPr>
        <w:fldChar w:fldCharType="separate"/>
      </w:r>
      <w:r>
        <w:rPr>
          <w:rFonts w:hint="eastAsia" w:ascii="宋体" w:hAnsi="宋体" w:eastAsia="宋体" w:cs="宋体"/>
          <w:bCs/>
          <w:kern w:val="44"/>
          <w:sz w:val="24"/>
          <w:szCs w:val="24"/>
          <w:highlight w:val="none"/>
          <w:lang w:val="en-US" w:eastAsia="zh-CN" w:bidi="ar-SA"/>
        </w:rPr>
        <w:t>第五章 评标</w:t>
      </w:r>
      <w:r>
        <w:rPr>
          <w:rFonts w:hint="eastAsia" w:ascii="宋体" w:hAnsi="宋体" w:eastAsia="宋体" w:cs="宋体"/>
          <w:snapToGrid w:val="0"/>
          <w:sz w:val="24"/>
          <w:szCs w:val="24"/>
          <w:highlight w:val="none"/>
          <w:lang w:val="en-US" w:eastAsia="zh-CN"/>
        </w:rPr>
        <w:t>方</w:t>
      </w:r>
      <w:r>
        <w:rPr>
          <w:rFonts w:hint="eastAsia" w:ascii="宋体" w:hAnsi="宋体" w:eastAsia="宋体" w:cs="宋体"/>
          <w:bCs/>
          <w:kern w:val="44"/>
          <w:sz w:val="24"/>
          <w:szCs w:val="24"/>
          <w:highlight w:val="none"/>
          <w:lang w:val="en-US" w:eastAsia="zh-CN" w:bidi="ar-SA"/>
        </w:rPr>
        <w:t>法及标准(最低评标价法)</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_Toc8212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- 50 -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77CAC490">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_Toc14348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24"/>
          <w:highlight w:val="none"/>
          <w:lang w:val="zh-CN" w:eastAsia="zh-CN" w:bidi="ar-SA"/>
        </w:rPr>
        <w:t>一、</w:t>
      </w:r>
      <w:r>
        <w:rPr>
          <w:rFonts w:hint="eastAsia" w:ascii="宋体" w:hAnsi="宋体" w:eastAsia="宋体" w:cs="宋体"/>
          <w:sz w:val="24"/>
          <w:szCs w:val="24"/>
          <w:highlight w:val="none"/>
          <w:lang w:val="zh-CN"/>
        </w:rPr>
        <w:t>评标</w:t>
      </w:r>
      <w:r>
        <w:rPr>
          <w:rFonts w:hint="eastAsia" w:ascii="宋体" w:hAnsi="宋体" w:eastAsia="宋体" w:cs="宋体"/>
          <w:sz w:val="24"/>
          <w:szCs w:val="24"/>
          <w:highlight w:val="none"/>
          <w:lang w:val="en-US" w:eastAsia="zh-CN"/>
        </w:rPr>
        <w:t>方</w:t>
      </w:r>
      <w:r>
        <w:rPr>
          <w:rFonts w:hint="eastAsia" w:ascii="宋体" w:hAnsi="宋体" w:eastAsia="宋体" w:cs="宋体"/>
          <w:sz w:val="24"/>
          <w:szCs w:val="24"/>
          <w:highlight w:val="none"/>
          <w:lang w:val="zh-CN"/>
        </w:rPr>
        <w:t>法</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_Toc14348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- 50 -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13E30AE3">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_Toc7180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24"/>
          <w:highlight w:val="none"/>
          <w:lang w:val="zh-CN" w:eastAsia="zh-CN" w:bidi="ar-SA"/>
        </w:rPr>
        <w:t>二、评标程序</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_Toc7180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- 50 -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50695EF5">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_Toc7813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24"/>
          <w:highlight w:val="none"/>
          <w:lang w:val="zh-CN" w:eastAsia="zh-CN" w:bidi="ar-SA"/>
        </w:rPr>
        <w:t>三、评标</w:t>
      </w:r>
      <w:r>
        <w:rPr>
          <w:rFonts w:hint="eastAsia" w:ascii="宋体" w:hAnsi="宋体" w:eastAsia="宋体" w:cs="宋体"/>
          <w:bCs/>
          <w:kern w:val="2"/>
          <w:sz w:val="24"/>
          <w:szCs w:val="24"/>
          <w:highlight w:val="none"/>
          <w:lang w:val="en-US" w:eastAsia="zh-CN" w:bidi="ar-SA"/>
        </w:rPr>
        <w:t>其他要求</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_Toc7813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- 55 -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73FA5806">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_Toc13591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24"/>
          <w:highlight w:val="none"/>
          <w:lang w:val="en-US" w:eastAsia="zh-CN" w:bidi="ar-SA"/>
        </w:rPr>
        <w:t>四</w:t>
      </w:r>
      <w:r>
        <w:rPr>
          <w:rFonts w:hint="eastAsia" w:ascii="宋体" w:hAnsi="宋体" w:eastAsia="宋体" w:cs="宋体"/>
          <w:bCs/>
          <w:kern w:val="2"/>
          <w:sz w:val="24"/>
          <w:szCs w:val="24"/>
          <w:highlight w:val="none"/>
          <w:lang w:val="zh-CN" w:eastAsia="zh-CN" w:bidi="ar-SA"/>
        </w:rPr>
        <w:t>、评标标准</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_Toc13591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- 56 -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000EA584">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_Toc23323 </w:instrText>
      </w:r>
      <w:r>
        <w:rPr>
          <w:rFonts w:hint="eastAsia" w:ascii="宋体" w:hAnsi="宋体" w:eastAsia="宋体" w:cs="宋体"/>
          <w:sz w:val="24"/>
          <w:szCs w:val="24"/>
          <w:highlight w:val="none"/>
        </w:rPr>
        <w:fldChar w:fldCharType="separate"/>
      </w:r>
      <w:r>
        <w:rPr>
          <w:rFonts w:hint="eastAsia" w:ascii="宋体" w:hAnsi="宋体" w:eastAsia="宋体" w:cs="宋体"/>
          <w:bCs/>
          <w:kern w:val="44"/>
          <w:sz w:val="24"/>
          <w:szCs w:val="24"/>
          <w:highlight w:val="none"/>
          <w:lang w:val="zh-CN" w:eastAsia="zh-CN" w:bidi="ar-SA"/>
        </w:rPr>
        <w:t>第六章 合同草案</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_Toc23323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- 59 -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41D83DCC">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_Toc15820 </w:instrText>
      </w:r>
      <w:r>
        <w:rPr>
          <w:rFonts w:hint="eastAsia" w:ascii="宋体" w:hAnsi="宋体" w:eastAsia="宋体" w:cs="宋体"/>
          <w:sz w:val="24"/>
          <w:szCs w:val="24"/>
          <w:highlight w:val="none"/>
        </w:rPr>
        <w:fldChar w:fldCharType="separate"/>
      </w:r>
      <w:r>
        <w:rPr>
          <w:rFonts w:hint="eastAsia" w:ascii="宋体" w:hAnsi="宋体" w:eastAsia="宋体" w:cs="宋体"/>
          <w:bCs/>
          <w:kern w:val="44"/>
          <w:sz w:val="24"/>
          <w:szCs w:val="24"/>
          <w:highlight w:val="none"/>
          <w:lang w:val="en-US" w:eastAsia="zh-CN" w:bidi="ar-SA"/>
        </w:rPr>
        <w:t>第七章 投标文件格式</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_Toc15820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- 75 -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03A773F3">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Style w:val="34"/>
          <w:rFonts w:hint="eastAsia" w:ascii="宋体" w:hAnsi="宋体" w:eastAsia="宋体" w:cs="宋体"/>
          <w:b/>
          <w:bCs/>
          <w:i w:val="0"/>
          <w:iCs w:val="0"/>
          <w:caps w:val="0"/>
          <w:smallCaps w:val="0"/>
          <w:color w:val="auto"/>
          <w:sz w:val="24"/>
          <w:szCs w:val="24"/>
          <w:highlight w:val="none"/>
          <w:lang w:val="zh-CN"/>
        </w:rPr>
        <w:t>投标文件资格证明文件</w:t>
      </w:r>
      <w:r>
        <w:rPr>
          <w:rStyle w:val="34"/>
          <w:rFonts w:hint="eastAsia" w:ascii="宋体" w:hAnsi="宋体" w:eastAsia="宋体" w:cs="宋体"/>
          <w:b/>
          <w:bCs/>
          <w:i w:val="0"/>
          <w:iCs w:val="0"/>
          <w:caps w:val="0"/>
          <w:smallCaps w:val="0"/>
          <w:color w:val="auto"/>
          <w:sz w:val="24"/>
          <w:szCs w:val="24"/>
          <w:highlight w:val="none"/>
          <w:lang w:val="en-US" w:eastAsia="zh-CN"/>
        </w:rPr>
        <w:t>封面</w:t>
      </w:r>
      <w:r>
        <w:rPr>
          <w:rFonts w:hint="eastAsia" w:ascii="宋体" w:hAnsi="宋体" w:eastAsia="宋体" w:cs="宋体"/>
          <w:caps w:val="0"/>
          <w:smallCaps w:val="0"/>
          <w:spacing w:val="0"/>
          <w:sz w:val="24"/>
          <w:szCs w:val="24"/>
          <w:highlight w:val="none"/>
        </w:rPr>
        <w:tab/>
      </w:r>
      <w:r>
        <w:rPr>
          <w:rFonts w:hint="eastAsia" w:ascii="宋体" w:hAnsi="宋体" w:eastAsia="宋体" w:cs="宋体"/>
          <w:caps w:val="0"/>
          <w:smallCaps w:val="0"/>
          <w:spacing w:val="0"/>
          <w:sz w:val="24"/>
          <w:szCs w:val="24"/>
          <w:highlight w:val="none"/>
        </w:rPr>
        <w:fldChar w:fldCharType="begin"/>
      </w:r>
      <w:r>
        <w:rPr>
          <w:rFonts w:hint="eastAsia" w:ascii="宋体" w:hAnsi="宋体" w:eastAsia="宋体" w:cs="宋体"/>
          <w:caps w:val="0"/>
          <w:smallCaps w:val="0"/>
          <w:spacing w:val="0"/>
          <w:sz w:val="24"/>
          <w:szCs w:val="24"/>
          <w:highlight w:val="none"/>
        </w:rPr>
        <w:instrText xml:space="preserve"> PAGEREF _Toc28637 \h </w:instrText>
      </w:r>
      <w:r>
        <w:rPr>
          <w:rFonts w:hint="eastAsia" w:ascii="宋体" w:hAnsi="宋体" w:eastAsia="宋体" w:cs="宋体"/>
          <w:caps w:val="0"/>
          <w:smallCaps w:val="0"/>
          <w:spacing w:val="0"/>
          <w:sz w:val="24"/>
          <w:szCs w:val="24"/>
          <w:highlight w:val="none"/>
        </w:rPr>
        <w:fldChar w:fldCharType="separate"/>
      </w:r>
      <w:r>
        <w:rPr>
          <w:rFonts w:hint="eastAsia" w:ascii="宋体" w:hAnsi="宋体" w:eastAsia="宋体" w:cs="宋体"/>
          <w:caps w:val="0"/>
          <w:smallCaps w:val="0"/>
          <w:spacing w:val="0"/>
          <w:sz w:val="24"/>
          <w:szCs w:val="24"/>
          <w:highlight w:val="none"/>
        </w:rPr>
        <w:t xml:space="preserve">- </w:t>
      </w:r>
      <w:r>
        <w:rPr>
          <w:rFonts w:hint="eastAsia" w:ascii="宋体" w:eastAsia="宋体" w:cs="宋体"/>
          <w:caps w:val="0"/>
          <w:smallCaps w:val="0"/>
          <w:spacing w:val="0"/>
          <w:sz w:val="24"/>
          <w:szCs w:val="24"/>
          <w:highlight w:val="none"/>
          <w:lang w:val="en-US" w:eastAsia="zh-CN"/>
        </w:rPr>
        <w:t>7</w:t>
      </w:r>
      <w:r>
        <w:rPr>
          <w:rFonts w:hint="eastAsia" w:ascii="宋体" w:hAnsi="宋体" w:eastAsia="宋体" w:cs="宋体"/>
          <w:caps w:val="0"/>
          <w:smallCaps w:val="0"/>
          <w:spacing w:val="0"/>
          <w:sz w:val="24"/>
          <w:szCs w:val="24"/>
          <w:highlight w:val="none"/>
          <w:lang w:val="en-US" w:eastAsia="zh-CN"/>
        </w:rPr>
        <w:t>6</w:t>
      </w:r>
      <w:r>
        <w:rPr>
          <w:rFonts w:hint="eastAsia" w:ascii="宋体" w:hAnsi="宋体" w:eastAsia="宋体" w:cs="宋体"/>
          <w:caps w:val="0"/>
          <w:smallCaps w:val="0"/>
          <w:spacing w:val="0"/>
          <w:sz w:val="24"/>
          <w:szCs w:val="24"/>
          <w:highlight w:val="none"/>
        </w:rPr>
        <w:t xml:space="preserve"> -</w:t>
      </w:r>
      <w:r>
        <w:rPr>
          <w:rFonts w:hint="eastAsia" w:ascii="宋体" w:hAnsi="宋体" w:eastAsia="宋体" w:cs="宋体"/>
          <w:caps w:val="0"/>
          <w:smallCaps w:val="0"/>
          <w:spacing w:val="0"/>
          <w:sz w:val="24"/>
          <w:szCs w:val="24"/>
          <w:highlight w:val="none"/>
        </w:rPr>
        <w:fldChar w:fldCharType="end"/>
      </w:r>
    </w:p>
    <w:p w14:paraId="05B4E8E3">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_Toc25898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24"/>
          <w:highlight w:val="none"/>
          <w:lang w:val="en-US" w:eastAsia="zh-CN" w:bidi="ar-SA"/>
        </w:rPr>
        <w:t>一、满足《中华人民共和国政府采购法》第二十二条规定</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_Toc25898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- 77 -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0B5918AA">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_Toc17265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24"/>
          <w:highlight w:val="none"/>
          <w:lang w:val="en-US" w:eastAsia="zh-CN" w:bidi="ar-SA"/>
        </w:rPr>
        <w:t>二、</w:t>
      </w:r>
      <w:r>
        <w:rPr>
          <w:rFonts w:hint="eastAsia" w:ascii="宋体" w:hAnsi="宋体" w:eastAsia="宋体" w:cs="宋体"/>
          <w:bCs/>
          <w:kern w:val="2"/>
          <w:sz w:val="24"/>
          <w:szCs w:val="24"/>
          <w:highlight w:val="none"/>
          <w:lang w:val="zh-CN" w:eastAsia="zh-CN" w:bidi="ar-SA"/>
        </w:rPr>
        <w:t>联合体协议书</w:t>
      </w:r>
      <w:r>
        <w:rPr>
          <w:rFonts w:hint="eastAsia" w:ascii="宋体" w:hAnsi="宋体" w:eastAsia="宋体" w:cs="宋体"/>
          <w:bCs w:val="0"/>
          <w:kern w:val="2"/>
          <w:sz w:val="24"/>
          <w:szCs w:val="24"/>
          <w:highlight w:val="none"/>
          <w:lang w:val="zh-CN" w:eastAsia="zh-CN" w:bidi="ar-SA"/>
        </w:rPr>
        <w:t>【如适用】</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_Toc17265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- 80 -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36B54373">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_Toc4768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24"/>
          <w:highlight w:val="none"/>
          <w:lang w:val="en-US" w:eastAsia="zh-CN" w:bidi="ar-SA"/>
        </w:rPr>
        <w:t>三、</w:t>
      </w:r>
      <w:r>
        <w:rPr>
          <w:rFonts w:hint="eastAsia" w:ascii="宋体" w:hAnsi="宋体" w:eastAsia="宋体" w:cs="宋体"/>
          <w:bCs/>
          <w:kern w:val="2"/>
          <w:sz w:val="24"/>
          <w:szCs w:val="24"/>
          <w:highlight w:val="none"/>
          <w:lang w:val="zh-CN" w:eastAsia="zh-CN" w:bidi="ar-SA"/>
        </w:rPr>
        <w:t>分包意向协议书</w:t>
      </w:r>
      <w:r>
        <w:rPr>
          <w:rFonts w:hint="eastAsia" w:ascii="宋体" w:hAnsi="宋体" w:eastAsia="宋体" w:cs="宋体"/>
          <w:bCs w:val="0"/>
          <w:kern w:val="2"/>
          <w:sz w:val="24"/>
          <w:szCs w:val="24"/>
          <w:highlight w:val="none"/>
          <w:lang w:val="zh-CN" w:eastAsia="zh-CN" w:bidi="ar-SA"/>
        </w:rPr>
        <w:t>【如适用】</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_Toc4768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- 82 -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0E5354E6">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_Toc11321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24"/>
          <w:highlight w:val="none"/>
          <w:lang w:val="en-US" w:eastAsia="zh-CN" w:bidi="ar-SA"/>
        </w:rPr>
        <w:t>四、落实政府采购政策相关证明文件</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_Toc11321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- 84 -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196B4DA1">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_Toc17480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24"/>
          <w:highlight w:val="none"/>
          <w:lang w:val="en-US" w:eastAsia="zh-CN" w:bidi="ar-SA"/>
        </w:rPr>
        <w:t>五、不参与围标串标承诺书</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_Toc17480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- 97 -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03AB5C72">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_Toc15491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24"/>
          <w:highlight w:val="none"/>
          <w:lang w:val="en-US" w:eastAsia="zh-CN" w:bidi="ar-SA"/>
        </w:rPr>
        <w:t>六、</w:t>
      </w:r>
      <w:r>
        <w:rPr>
          <w:rFonts w:hint="eastAsia" w:ascii="宋体" w:hAnsi="宋体" w:eastAsia="宋体" w:cs="宋体"/>
          <w:bCs/>
          <w:kern w:val="2"/>
          <w:sz w:val="24"/>
          <w:szCs w:val="24"/>
          <w:highlight w:val="none"/>
          <w:lang w:val="zh-CN" w:eastAsia="zh-CN" w:bidi="ar-SA"/>
        </w:rPr>
        <w:t>其他资格证明文件</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_Toc15491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- 98 -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3461AAEF">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i w:val="0"/>
          <w:iCs w:val="0"/>
          <w:caps w:val="0"/>
          <w:smallCaps w:val="0"/>
          <w:color w:val="auto"/>
          <w:sz w:val="24"/>
          <w:szCs w:val="24"/>
          <w:highlight w:val="none"/>
        </w:rPr>
        <w:fldChar w:fldCharType="begin"/>
      </w:r>
      <w:r>
        <w:rPr>
          <w:rFonts w:hint="eastAsia" w:ascii="宋体" w:hAnsi="宋体" w:eastAsia="宋体" w:cs="宋体"/>
          <w:i w:val="0"/>
          <w:iCs w:val="0"/>
          <w:caps w:val="0"/>
          <w:smallCaps w:val="0"/>
          <w:color w:val="auto"/>
          <w:sz w:val="24"/>
          <w:szCs w:val="24"/>
          <w:highlight w:val="none"/>
        </w:rPr>
        <w:instrText xml:space="preserve"> HYPERLINK \l "_Toc163492914" </w:instrText>
      </w:r>
      <w:r>
        <w:rPr>
          <w:rFonts w:hint="eastAsia" w:ascii="宋体" w:hAnsi="宋体" w:eastAsia="宋体" w:cs="宋体"/>
          <w:i w:val="0"/>
          <w:iCs w:val="0"/>
          <w:caps w:val="0"/>
          <w:smallCaps w:val="0"/>
          <w:color w:val="auto"/>
          <w:sz w:val="24"/>
          <w:szCs w:val="24"/>
          <w:highlight w:val="none"/>
        </w:rPr>
        <w:fldChar w:fldCharType="separate"/>
      </w:r>
      <w:r>
        <w:rPr>
          <w:rStyle w:val="34"/>
          <w:rFonts w:hint="eastAsia" w:ascii="宋体" w:hAnsi="宋体" w:eastAsia="宋体" w:cs="宋体"/>
          <w:b/>
          <w:bCs/>
          <w:i w:val="0"/>
          <w:iCs w:val="0"/>
          <w:caps w:val="0"/>
          <w:smallCaps w:val="0"/>
          <w:color w:val="auto"/>
          <w:sz w:val="24"/>
          <w:szCs w:val="24"/>
          <w:highlight w:val="none"/>
          <w:lang w:val="zh-CN"/>
        </w:rPr>
        <w:t>投标文件</w:t>
      </w:r>
      <w:r>
        <w:rPr>
          <w:rStyle w:val="34"/>
          <w:rFonts w:hint="eastAsia" w:ascii="宋体" w:hAnsi="宋体" w:eastAsia="宋体" w:cs="宋体"/>
          <w:b/>
          <w:bCs/>
          <w:i w:val="0"/>
          <w:iCs w:val="0"/>
          <w:caps w:val="0"/>
          <w:smallCaps w:val="0"/>
          <w:color w:val="auto"/>
          <w:sz w:val="24"/>
          <w:szCs w:val="24"/>
          <w:highlight w:val="none"/>
          <w:lang w:val="en-US" w:eastAsia="zh-CN"/>
        </w:rPr>
        <w:t>报价文件封面</w:t>
      </w:r>
      <w:r>
        <w:rPr>
          <w:rFonts w:hint="eastAsia" w:ascii="宋体" w:hAnsi="宋体" w:eastAsia="宋体" w:cs="宋体"/>
          <w:caps w:val="0"/>
          <w:smallCaps w:val="0"/>
          <w:spacing w:val="0"/>
          <w:sz w:val="24"/>
          <w:szCs w:val="24"/>
          <w:highlight w:val="none"/>
        </w:rPr>
        <w:tab/>
      </w:r>
      <w:r>
        <w:rPr>
          <w:rFonts w:hint="eastAsia" w:ascii="宋体" w:hAnsi="宋体" w:eastAsia="宋体" w:cs="宋体"/>
          <w:caps w:val="0"/>
          <w:smallCaps w:val="0"/>
          <w:spacing w:val="0"/>
          <w:sz w:val="24"/>
          <w:szCs w:val="24"/>
          <w:highlight w:val="none"/>
        </w:rPr>
        <w:fldChar w:fldCharType="begin"/>
      </w:r>
      <w:r>
        <w:rPr>
          <w:rFonts w:hint="eastAsia" w:ascii="宋体" w:hAnsi="宋体" w:eastAsia="宋体" w:cs="宋体"/>
          <w:caps w:val="0"/>
          <w:smallCaps w:val="0"/>
          <w:spacing w:val="0"/>
          <w:sz w:val="24"/>
          <w:szCs w:val="24"/>
          <w:highlight w:val="none"/>
        </w:rPr>
        <w:instrText xml:space="preserve"> PAGEREF _Toc16115 \h </w:instrText>
      </w:r>
      <w:r>
        <w:rPr>
          <w:rFonts w:hint="eastAsia" w:ascii="宋体" w:hAnsi="宋体" w:eastAsia="宋体" w:cs="宋体"/>
          <w:caps w:val="0"/>
          <w:smallCaps w:val="0"/>
          <w:spacing w:val="0"/>
          <w:sz w:val="24"/>
          <w:szCs w:val="24"/>
          <w:highlight w:val="none"/>
        </w:rPr>
        <w:fldChar w:fldCharType="separate"/>
      </w:r>
      <w:r>
        <w:rPr>
          <w:rFonts w:hint="eastAsia" w:ascii="宋体" w:hAnsi="宋体" w:eastAsia="宋体" w:cs="宋体"/>
          <w:caps w:val="0"/>
          <w:smallCaps w:val="0"/>
          <w:spacing w:val="0"/>
          <w:sz w:val="24"/>
          <w:szCs w:val="24"/>
          <w:highlight w:val="none"/>
        </w:rPr>
        <w:t xml:space="preserve">- </w:t>
      </w:r>
      <w:r>
        <w:rPr>
          <w:rFonts w:hint="eastAsia" w:ascii="宋体" w:eastAsia="宋体" w:cs="宋体"/>
          <w:caps w:val="0"/>
          <w:smallCaps w:val="0"/>
          <w:spacing w:val="0"/>
          <w:sz w:val="24"/>
          <w:szCs w:val="24"/>
          <w:highlight w:val="none"/>
          <w:lang w:val="en-US" w:eastAsia="zh-CN"/>
        </w:rPr>
        <w:t>9</w:t>
      </w:r>
      <w:r>
        <w:rPr>
          <w:rFonts w:hint="eastAsia" w:ascii="宋体" w:hAnsi="宋体" w:eastAsia="宋体" w:cs="宋体"/>
          <w:caps w:val="0"/>
          <w:smallCaps w:val="0"/>
          <w:spacing w:val="0"/>
          <w:sz w:val="24"/>
          <w:szCs w:val="24"/>
          <w:highlight w:val="none"/>
          <w:lang w:val="en-US" w:eastAsia="zh-CN"/>
        </w:rPr>
        <w:t>9</w:t>
      </w:r>
      <w:r>
        <w:rPr>
          <w:rFonts w:hint="eastAsia" w:ascii="宋体" w:hAnsi="宋体" w:eastAsia="宋体" w:cs="宋体"/>
          <w:caps w:val="0"/>
          <w:smallCaps w:val="0"/>
          <w:spacing w:val="0"/>
          <w:sz w:val="24"/>
          <w:szCs w:val="24"/>
          <w:highlight w:val="none"/>
        </w:rPr>
        <w:t xml:space="preserve"> -</w:t>
      </w:r>
      <w:r>
        <w:rPr>
          <w:rFonts w:hint="eastAsia" w:ascii="宋体" w:hAnsi="宋体" w:eastAsia="宋体" w:cs="宋体"/>
          <w:caps w:val="0"/>
          <w:smallCaps w:val="0"/>
          <w:spacing w:val="0"/>
          <w:sz w:val="24"/>
          <w:szCs w:val="24"/>
          <w:highlight w:val="none"/>
        </w:rPr>
        <w:fldChar w:fldCharType="end"/>
      </w:r>
      <w:r>
        <w:rPr>
          <w:rFonts w:hint="eastAsia" w:ascii="宋体" w:hAnsi="宋体" w:eastAsia="宋体" w:cs="宋体"/>
          <w:i w:val="0"/>
          <w:iCs w:val="0"/>
          <w:caps w:val="0"/>
          <w:smallCaps w:val="0"/>
          <w:color w:val="auto"/>
          <w:sz w:val="24"/>
          <w:szCs w:val="24"/>
          <w:highlight w:val="none"/>
        </w:rPr>
        <w:fldChar w:fldCharType="end"/>
      </w:r>
    </w:p>
    <w:p w14:paraId="4713F2EE">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_Toc10253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24"/>
          <w:highlight w:val="none"/>
          <w:lang w:val="en-US" w:eastAsia="zh-CN" w:bidi="ar-SA"/>
        </w:rPr>
        <w:t>一、开标一览表</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_Toc10253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- 100 -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7EFF134A">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_Toc26733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24"/>
          <w:highlight w:val="none"/>
          <w:lang w:val="en-US" w:eastAsia="zh-CN" w:bidi="ar-SA"/>
        </w:rPr>
        <w:t>二、分项报价表</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_Toc26733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- 101 -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2F657F5D">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i w:val="0"/>
          <w:iCs w:val="0"/>
          <w:caps w:val="0"/>
          <w:smallCaps w:val="0"/>
          <w:color w:val="auto"/>
          <w:sz w:val="24"/>
          <w:szCs w:val="24"/>
          <w:highlight w:val="none"/>
        </w:rPr>
        <w:fldChar w:fldCharType="begin"/>
      </w:r>
      <w:r>
        <w:rPr>
          <w:rFonts w:hint="eastAsia" w:ascii="宋体" w:hAnsi="宋体" w:eastAsia="宋体" w:cs="宋体"/>
          <w:i w:val="0"/>
          <w:iCs w:val="0"/>
          <w:caps w:val="0"/>
          <w:smallCaps w:val="0"/>
          <w:color w:val="auto"/>
          <w:sz w:val="24"/>
          <w:szCs w:val="24"/>
          <w:highlight w:val="none"/>
        </w:rPr>
        <w:instrText xml:space="preserve"> HYPERLINK \l "_Toc163492914" </w:instrText>
      </w:r>
      <w:r>
        <w:rPr>
          <w:rFonts w:hint="eastAsia" w:ascii="宋体" w:hAnsi="宋体" w:eastAsia="宋体" w:cs="宋体"/>
          <w:i w:val="0"/>
          <w:iCs w:val="0"/>
          <w:caps w:val="0"/>
          <w:smallCaps w:val="0"/>
          <w:color w:val="auto"/>
          <w:sz w:val="24"/>
          <w:szCs w:val="24"/>
          <w:highlight w:val="none"/>
        </w:rPr>
        <w:fldChar w:fldCharType="separate"/>
      </w:r>
      <w:r>
        <w:rPr>
          <w:rStyle w:val="34"/>
          <w:rFonts w:hint="eastAsia" w:ascii="宋体" w:hAnsi="宋体" w:eastAsia="宋体" w:cs="宋体"/>
          <w:b/>
          <w:bCs/>
          <w:i w:val="0"/>
          <w:iCs w:val="0"/>
          <w:caps w:val="0"/>
          <w:smallCaps w:val="0"/>
          <w:color w:val="auto"/>
          <w:sz w:val="24"/>
          <w:szCs w:val="24"/>
          <w:highlight w:val="none"/>
          <w:lang w:val="zh-CN"/>
        </w:rPr>
        <w:t>投标文件</w:t>
      </w:r>
      <w:r>
        <w:rPr>
          <w:rStyle w:val="34"/>
          <w:rFonts w:hint="eastAsia" w:ascii="宋体" w:hAnsi="宋体" w:eastAsia="宋体" w:cs="宋体"/>
          <w:b/>
          <w:bCs/>
          <w:i w:val="0"/>
          <w:iCs w:val="0"/>
          <w:caps w:val="0"/>
          <w:smallCaps w:val="0"/>
          <w:color w:val="auto"/>
          <w:sz w:val="24"/>
          <w:szCs w:val="24"/>
          <w:highlight w:val="none"/>
          <w:lang w:val="en-US" w:eastAsia="zh-CN"/>
        </w:rPr>
        <w:t>商务技术文件封面</w:t>
      </w:r>
      <w:r>
        <w:rPr>
          <w:rFonts w:hint="eastAsia" w:ascii="宋体" w:hAnsi="宋体" w:eastAsia="宋体" w:cs="宋体"/>
          <w:caps w:val="0"/>
          <w:smallCaps w:val="0"/>
          <w:spacing w:val="0"/>
          <w:sz w:val="24"/>
          <w:szCs w:val="24"/>
          <w:highlight w:val="none"/>
        </w:rPr>
        <w:tab/>
      </w:r>
      <w:r>
        <w:rPr>
          <w:rFonts w:hint="eastAsia" w:ascii="宋体" w:hAnsi="宋体" w:eastAsia="宋体" w:cs="宋体"/>
          <w:caps w:val="0"/>
          <w:smallCaps w:val="0"/>
          <w:spacing w:val="0"/>
          <w:sz w:val="24"/>
          <w:szCs w:val="24"/>
          <w:highlight w:val="none"/>
        </w:rPr>
        <w:fldChar w:fldCharType="begin"/>
      </w:r>
      <w:r>
        <w:rPr>
          <w:rFonts w:hint="eastAsia" w:ascii="宋体" w:hAnsi="宋体" w:eastAsia="宋体" w:cs="宋体"/>
          <w:caps w:val="0"/>
          <w:smallCaps w:val="0"/>
          <w:spacing w:val="0"/>
          <w:sz w:val="24"/>
          <w:szCs w:val="24"/>
          <w:highlight w:val="none"/>
        </w:rPr>
        <w:instrText xml:space="preserve"> PAGEREF _Toc32532 \h </w:instrText>
      </w:r>
      <w:r>
        <w:rPr>
          <w:rFonts w:hint="eastAsia" w:ascii="宋体" w:hAnsi="宋体" w:eastAsia="宋体" w:cs="宋体"/>
          <w:caps w:val="0"/>
          <w:smallCaps w:val="0"/>
          <w:spacing w:val="0"/>
          <w:sz w:val="24"/>
          <w:szCs w:val="24"/>
          <w:highlight w:val="none"/>
        </w:rPr>
        <w:fldChar w:fldCharType="separate"/>
      </w:r>
      <w:r>
        <w:rPr>
          <w:rFonts w:hint="eastAsia" w:ascii="宋体" w:hAnsi="宋体" w:eastAsia="宋体" w:cs="宋体"/>
          <w:caps w:val="0"/>
          <w:smallCaps w:val="0"/>
          <w:spacing w:val="0"/>
          <w:sz w:val="24"/>
          <w:szCs w:val="24"/>
          <w:highlight w:val="none"/>
        </w:rPr>
        <w:t xml:space="preserve">- </w:t>
      </w:r>
      <w:r>
        <w:rPr>
          <w:rFonts w:hint="eastAsia" w:ascii="宋体" w:eastAsia="宋体" w:cs="宋体"/>
          <w:caps w:val="0"/>
          <w:smallCaps w:val="0"/>
          <w:spacing w:val="0"/>
          <w:sz w:val="24"/>
          <w:szCs w:val="24"/>
          <w:highlight w:val="none"/>
          <w:lang w:val="en-US" w:eastAsia="zh-CN"/>
        </w:rPr>
        <w:t>10</w:t>
      </w:r>
      <w:r>
        <w:rPr>
          <w:rFonts w:hint="eastAsia" w:ascii="宋体" w:hAnsi="宋体" w:eastAsia="宋体" w:cs="宋体"/>
          <w:caps w:val="0"/>
          <w:smallCaps w:val="0"/>
          <w:spacing w:val="0"/>
          <w:sz w:val="24"/>
          <w:szCs w:val="24"/>
          <w:highlight w:val="none"/>
          <w:lang w:val="en-US" w:eastAsia="zh-CN"/>
        </w:rPr>
        <w:t>2</w:t>
      </w:r>
      <w:r>
        <w:rPr>
          <w:rFonts w:hint="eastAsia" w:ascii="宋体" w:hAnsi="宋体" w:eastAsia="宋体" w:cs="宋体"/>
          <w:caps w:val="0"/>
          <w:smallCaps w:val="0"/>
          <w:spacing w:val="0"/>
          <w:sz w:val="24"/>
          <w:szCs w:val="24"/>
          <w:highlight w:val="none"/>
        </w:rPr>
        <w:t xml:space="preserve"> -</w:t>
      </w:r>
      <w:r>
        <w:rPr>
          <w:rFonts w:hint="eastAsia" w:ascii="宋体" w:hAnsi="宋体" w:eastAsia="宋体" w:cs="宋体"/>
          <w:caps w:val="0"/>
          <w:smallCaps w:val="0"/>
          <w:spacing w:val="0"/>
          <w:sz w:val="24"/>
          <w:szCs w:val="24"/>
          <w:highlight w:val="none"/>
        </w:rPr>
        <w:fldChar w:fldCharType="end"/>
      </w:r>
      <w:r>
        <w:rPr>
          <w:rFonts w:hint="eastAsia" w:ascii="宋体" w:hAnsi="宋体" w:eastAsia="宋体" w:cs="宋体"/>
          <w:i w:val="0"/>
          <w:iCs w:val="0"/>
          <w:caps w:val="0"/>
          <w:smallCaps w:val="0"/>
          <w:color w:val="auto"/>
          <w:sz w:val="24"/>
          <w:szCs w:val="24"/>
          <w:highlight w:val="none"/>
        </w:rPr>
        <w:fldChar w:fldCharType="end"/>
      </w:r>
    </w:p>
    <w:p w14:paraId="728A2893">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_Toc24394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24"/>
          <w:highlight w:val="none"/>
          <w:lang w:val="en-US" w:eastAsia="zh-CN" w:bidi="ar-SA"/>
        </w:rPr>
        <w:t>一、投标函</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_Toc24394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- 104 -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1AF198B2">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_Toc20456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24"/>
          <w:highlight w:val="none"/>
          <w:lang w:val="en-US" w:eastAsia="zh-CN" w:bidi="ar-SA"/>
        </w:rPr>
        <w:t>二、法定代表人（单位负责人）身份证明</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_Toc20456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- 106 -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0CE331E7">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_Toc18136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24"/>
          <w:highlight w:val="none"/>
          <w:lang w:val="en-US" w:eastAsia="zh-CN" w:bidi="ar-SA"/>
        </w:rPr>
        <w:t>三、授权委托书</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_Toc18136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- 107 -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60ABC0EF">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_Toc28250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24"/>
          <w:highlight w:val="none"/>
          <w:lang w:val="en-US" w:eastAsia="zh-CN" w:bidi="ar-SA"/>
        </w:rPr>
        <w:t>四、</w:t>
      </w:r>
      <w:r>
        <w:rPr>
          <w:rFonts w:hint="eastAsia" w:ascii="宋体" w:hAnsi="宋体" w:eastAsia="宋体" w:cs="宋体"/>
          <w:bCs/>
          <w:kern w:val="2"/>
          <w:sz w:val="24"/>
          <w:szCs w:val="24"/>
          <w:highlight w:val="none"/>
          <w:lang w:val="zh-CN" w:eastAsia="zh-CN" w:bidi="ar-SA"/>
        </w:rPr>
        <w:t>政府采购</w:t>
      </w:r>
      <w:r>
        <w:rPr>
          <w:rFonts w:hint="eastAsia" w:ascii="宋体" w:hAnsi="宋体" w:eastAsia="宋体" w:cs="宋体"/>
          <w:bCs/>
          <w:kern w:val="2"/>
          <w:sz w:val="24"/>
          <w:szCs w:val="24"/>
          <w:highlight w:val="none"/>
          <w:lang w:val="en-US" w:eastAsia="zh-CN" w:bidi="ar-SA"/>
        </w:rPr>
        <w:t>投标人</w:t>
      </w:r>
      <w:r>
        <w:rPr>
          <w:rFonts w:hint="eastAsia" w:ascii="宋体" w:hAnsi="宋体" w:eastAsia="宋体" w:cs="宋体"/>
          <w:bCs/>
          <w:kern w:val="2"/>
          <w:sz w:val="24"/>
          <w:szCs w:val="24"/>
          <w:highlight w:val="none"/>
          <w:lang w:val="zh-CN" w:eastAsia="zh-CN" w:bidi="ar-SA"/>
        </w:rPr>
        <w:t>廉洁自律承诺书</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_Toc28250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- 108 -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4D2979CD">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i w:val="0"/>
          <w:iCs w:val="0"/>
          <w:caps w:val="0"/>
          <w:smallCaps w:val="0"/>
          <w:color w:val="auto"/>
          <w:sz w:val="24"/>
          <w:szCs w:val="24"/>
          <w:highlight w:val="none"/>
          <w:lang w:val="en-US" w:eastAsia="zh-CN"/>
        </w:rPr>
        <w:t>五、</w:t>
      </w:r>
      <w:r>
        <w:rPr>
          <w:rFonts w:hint="eastAsia" w:ascii="宋体" w:hAnsi="宋体" w:eastAsia="宋体" w:cs="宋体"/>
          <w:i w:val="0"/>
          <w:iCs w:val="0"/>
          <w:caps w:val="0"/>
          <w:smallCaps w:val="0"/>
          <w:color w:val="auto"/>
          <w:sz w:val="24"/>
          <w:szCs w:val="24"/>
          <w:highlight w:val="none"/>
          <w:lang w:val="zh-CN" w:eastAsia="zh-CN"/>
        </w:rPr>
        <w:t>实质性响应一览表</w:t>
      </w:r>
      <w:r>
        <w:rPr>
          <w:rFonts w:hint="eastAsia" w:ascii="宋体" w:hAnsi="宋体" w:eastAsia="宋体" w:cs="宋体"/>
          <w:caps w:val="0"/>
          <w:smallCaps w:val="0"/>
          <w:spacing w:val="0"/>
          <w:sz w:val="24"/>
          <w:szCs w:val="24"/>
          <w:highlight w:val="none"/>
        </w:rPr>
        <w:tab/>
      </w:r>
      <w:r>
        <w:rPr>
          <w:rFonts w:hint="eastAsia" w:ascii="宋体" w:hAnsi="宋体" w:eastAsia="宋体" w:cs="宋体"/>
          <w:caps w:val="0"/>
          <w:smallCaps w:val="0"/>
          <w:spacing w:val="0"/>
          <w:sz w:val="24"/>
          <w:szCs w:val="24"/>
          <w:highlight w:val="none"/>
        </w:rPr>
        <w:fldChar w:fldCharType="begin"/>
      </w:r>
      <w:r>
        <w:rPr>
          <w:rFonts w:hint="eastAsia" w:ascii="宋体" w:hAnsi="宋体" w:eastAsia="宋体" w:cs="宋体"/>
          <w:caps w:val="0"/>
          <w:smallCaps w:val="0"/>
          <w:spacing w:val="0"/>
          <w:sz w:val="24"/>
          <w:szCs w:val="24"/>
          <w:highlight w:val="none"/>
        </w:rPr>
        <w:instrText xml:space="preserve"> PAGEREF _Toc9779 \h </w:instrText>
      </w:r>
      <w:r>
        <w:rPr>
          <w:rFonts w:hint="eastAsia" w:ascii="宋体" w:hAnsi="宋体" w:eastAsia="宋体" w:cs="宋体"/>
          <w:caps w:val="0"/>
          <w:smallCaps w:val="0"/>
          <w:spacing w:val="0"/>
          <w:sz w:val="24"/>
          <w:szCs w:val="24"/>
          <w:highlight w:val="none"/>
        </w:rPr>
        <w:fldChar w:fldCharType="separate"/>
      </w:r>
      <w:r>
        <w:rPr>
          <w:rFonts w:hint="eastAsia" w:ascii="宋体" w:hAnsi="宋体" w:eastAsia="宋体" w:cs="宋体"/>
          <w:caps w:val="0"/>
          <w:smallCaps w:val="0"/>
          <w:spacing w:val="0"/>
          <w:sz w:val="24"/>
          <w:szCs w:val="24"/>
          <w:highlight w:val="none"/>
        </w:rPr>
        <w:t xml:space="preserve">- </w:t>
      </w:r>
      <w:r>
        <w:rPr>
          <w:rFonts w:hint="eastAsia" w:ascii="宋体" w:eastAsia="宋体" w:cs="宋体"/>
          <w:caps w:val="0"/>
          <w:smallCaps w:val="0"/>
          <w:spacing w:val="0"/>
          <w:sz w:val="24"/>
          <w:szCs w:val="24"/>
          <w:highlight w:val="none"/>
          <w:lang w:val="en-US" w:eastAsia="zh-CN"/>
        </w:rPr>
        <w:t>109</w:t>
      </w:r>
      <w:r>
        <w:rPr>
          <w:rFonts w:hint="eastAsia" w:ascii="宋体" w:hAnsi="宋体" w:eastAsia="宋体" w:cs="宋体"/>
          <w:caps w:val="0"/>
          <w:smallCaps w:val="0"/>
          <w:spacing w:val="0"/>
          <w:sz w:val="24"/>
          <w:szCs w:val="24"/>
          <w:highlight w:val="none"/>
        </w:rPr>
        <w:t xml:space="preserve"> -</w:t>
      </w:r>
      <w:r>
        <w:rPr>
          <w:rFonts w:hint="eastAsia" w:ascii="宋体" w:hAnsi="宋体" w:eastAsia="宋体" w:cs="宋体"/>
          <w:caps w:val="0"/>
          <w:smallCaps w:val="0"/>
          <w:spacing w:val="0"/>
          <w:sz w:val="24"/>
          <w:szCs w:val="24"/>
          <w:highlight w:val="none"/>
        </w:rPr>
        <w:fldChar w:fldCharType="end"/>
      </w:r>
    </w:p>
    <w:p w14:paraId="7ACED323">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_Toc24270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24"/>
          <w:highlight w:val="none"/>
          <w:lang w:val="en-US" w:eastAsia="zh-CN" w:bidi="ar-SA"/>
        </w:rPr>
        <w:t>六、商务响应偏离表</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_Toc24270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- 110 -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44873AA4">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_Toc29880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24"/>
          <w:highlight w:val="none"/>
          <w:lang w:val="en-US" w:eastAsia="zh-CN" w:bidi="ar-SA"/>
        </w:rPr>
        <w:t>七、业绩证明文件</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_Toc29880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- 111 -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4933297C">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_Toc26782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24"/>
          <w:highlight w:val="none"/>
          <w:lang w:val="en-US" w:eastAsia="zh-CN" w:bidi="ar-SA"/>
        </w:rPr>
        <w:t>八、拟派项目团队</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_Toc26782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- 112 -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582E8509">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_Toc27056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24"/>
          <w:highlight w:val="none"/>
          <w:lang w:val="en-US" w:eastAsia="zh-CN" w:bidi="ar-SA"/>
        </w:rPr>
        <w:t>九、技术响应偏离表</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_Toc27056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- 113 -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7F7E57E7">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_Toc5913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24"/>
          <w:highlight w:val="none"/>
          <w:lang w:val="en-US" w:eastAsia="zh-CN" w:bidi="ar-SA"/>
        </w:rPr>
        <w:t>十、技术方案</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_Toc5913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- 114 -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0DFD9118">
      <w:pPr>
        <w:pStyle w:val="2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_Toc26668 </w:instrText>
      </w:r>
      <w:r>
        <w:rPr>
          <w:rFonts w:hint="eastAsia" w:ascii="宋体" w:hAnsi="宋体" w:eastAsia="宋体" w:cs="宋体"/>
          <w:sz w:val="24"/>
          <w:szCs w:val="24"/>
          <w:highlight w:val="none"/>
        </w:rPr>
        <w:fldChar w:fldCharType="separate"/>
      </w:r>
      <w:r>
        <w:rPr>
          <w:rFonts w:hint="eastAsia" w:ascii="宋体" w:hAnsi="宋体" w:eastAsia="宋体" w:cs="宋体"/>
          <w:bCs/>
          <w:kern w:val="2"/>
          <w:sz w:val="24"/>
          <w:szCs w:val="24"/>
          <w:highlight w:val="none"/>
          <w:lang w:val="en-US" w:eastAsia="zh-CN" w:bidi="ar-SA"/>
        </w:rPr>
        <w:t>十一、其他文件</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_Toc26668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- 115 -</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0DD905CE">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highlight w:val="none"/>
        </w:rPr>
      </w:pPr>
      <w:r>
        <w:rPr>
          <w:rFonts w:hint="eastAsia" w:ascii="宋体" w:hAnsi="宋体" w:eastAsia="宋体" w:cs="宋体"/>
          <w:color w:val="auto"/>
          <w:sz w:val="24"/>
          <w:szCs w:val="24"/>
          <w:highlight w:val="none"/>
        </w:rPr>
        <w:fldChar w:fldCharType="end"/>
      </w:r>
    </w:p>
    <w:p w14:paraId="4C618998">
      <w:pPr>
        <w:jc w:val="center"/>
        <w:rPr>
          <w:rFonts w:ascii="黑体" w:hAnsi="黑体" w:eastAsia="黑体"/>
          <w:b/>
          <w:bCs/>
          <w:color w:val="auto"/>
          <w:sz w:val="32"/>
          <w:szCs w:val="32"/>
          <w:highlight w:val="none"/>
        </w:rPr>
        <w:sectPr>
          <w:head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29DD1FCB">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color w:val="auto"/>
          <w:sz w:val="36"/>
          <w:szCs w:val="36"/>
          <w:highlight w:val="none"/>
          <w:lang w:val="en-US" w:eastAsia="zh-CN"/>
        </w:rPr>
      </w:pPr>
      <w:bookmarkStart w:id="1" w:name="_Toc155185859"/>
      <w:bookmarkStart w:id="2" w:name="_Toc163492811"/>
      <w:bookmarkStart w:id="3" w:name="_Toc3968"/>
      <w:r>
        <w:rPr>
          <w:rFonts w:hint="eastAsia" w:ascii="宋体" w:hAnsi="宋体" w:eastAsia="宋体" w:cs="宋体"/>
          <w:b/>
          <w:bCs/>
          <w:color w:val="auto"/>
          <w:kern w:val="44"/>
          <w:sz w:val="36"/>
          <w:szCs w:val="36"/>
          <w:highlight w:val="none"/>
          <w:lang w:val="en-US" w:eastAsia="zh-CN" w:bidi="ar-SA"/>
        </w:rPr>
        <w:t xml:space="preserve">第一章 </w:t>
      </w:r>
      <w:bookmarkEnd w:id="1"/>
      <w:bookmarkEnd w:id="2"/>
      <w:bookmarkStart w:id="4" w:name="_Hlk130458318"/>
      <w:r>
        <w:rPr>
          <w:rFonts w:hint="eastAsia" w:ascii="宋体" w:hAnsi="宋体" w:eastAsia="宋体" w:cs="宋体"/>
          <w:color w:val="auto"/>
          <w:sz w:val="36"/>
          <w:szCs w:val="36"/>
          <w:highlight w:val="none"/>
          <w:lang w:val="en-US" w:eastAsia="zh-CN"/>
        </w:rPr>
        <w:t>招标公告</w:t>
      </w:r>
      <w:bookmarkEnd w:id="3"/>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756E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24682E00">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color w:val="auto"/>
                <w:sz w:val="24"/>
                <w:szCs w:val="24"/>
                <w:highlight w:val="none"/>
                <w:lang w:val="en-US" w:eastAsia="zh-CN"/>
              </w:rPr>
            </w:pPr>
            <w:bookmarkStart w:id="5" w:name="_Toc17609"/>
            <w:bookmarkStart w:id="6" w:name="_Toc109900248"/>
            <w:bookmarkStart w:id="7" w:name="_Toc44583628"/>
            <w:bookmarkStart w:id="8" w:name="_Toc35393798"/>
            <w:bookmarkStart w:id="9" w:name="_Toc109899410"/>
            <w:bookmarkStart w:id="10" w:name="_Toc140132745"/>
            <w:bookmarkStart w:id="11" w:name="_Toc28359012"/>
            <w:bookmarkStart w:id="12" w:name="_Toc109899829"/>
            <w:bookmarkStart w:id="13" w:name="_Toc28359089"/>
            <w:bookmarkStart w:id="14" w:name="_Toc155185860"/>
            <w:bookmarkStart w:id="15" w:name="_Toc35393629"/>
            <w:bookmarkStart w:id="16" w:name="_Toc163492812"/>
            <w:r>
              <w:rPr>
                <w:rFonts w:hint="eastAsia"/>
                <w:color w:val="auto"/>
                <w:sz w:val="24"/>
                <w:szCs w:val="24"/>
                <w:highlight w:val="none"/>
                <w:lang w:val="en-US" w:eastAsia="zh-CN"/>
              </w:rPr>
              <w:t>项目概况：</w:t>
            </w:r>
            <w:bookmarkEnd w:id="5"/>
          </w:p>
          <w:p w14:paraId="2852FE91">
            <w:pPr>
              <w:spacing w:line="360" w:lineRule="auto"/>
              <w:ind w:firstLine="480" w:firstLineChars="200"/>
              <w:rPr>
                <w:rFonts w:hint="default"/>
                <w:color w:val="auto"/>
                <w:highlight w:val="none"/>
                <w:lang w:val="en-US" w:eastAsia="zh-CN"/>
              </w:rPr>
            </w:pPr>
            <w:r>
              <w:rPr>
                <w:rFonts w:hint="eastAsia" w:ascii="宋体" w:hAnsi="宋体" w:eastAsia="宋体" w:cs="宋体"/>
                <w:color w:val="auto"/>
                <w:sz w:val="24"/>
                <w:highlight w:val="none"/>
                <w:u w:val="single"/>
                <w:lang w:val="en-US" w:eastAsia="zh-CN"/>
              </w:rPr>
              <w:t>哈密市第八幼儿园大型树屋+木工坊定制项目游乐场设施项目</w:t>
            </w:r>
            <w:r>
              <w:rPr>
                <w:rFonts w:hint="eastAsia" w:ascii="宋体" w:hAnsi="宋体" w:eastAsia="宋体" w:cstheme="minorBidi"/>
                <w:iCs/>
                <w:color w:val="auto"/>
                <w:kern w:val="2"/>
                <w:sz w:val="24"/>
                <w:szCs w:val="24"/>
                <w:highlight w:val="none"/>
                <w:shd w:val="clear" w:color="auto" w:fill="FFFFFF" w:themeFill="background1"/>
                <w:lang w:val="hr-HR" w:eastAsia="zh-CN" w:bidi="ar-SA"/>
              </w:rPr>
              <w:t>招标项目的潜在投标人应在</w:t>
            </w:r>
            <w:r>
              <w:rPr>
                <w:rFonts w:hint="eastAsia" w:cs="宋体"/>
                <w:color w:val="auto"/>
                <w:sz w:val="24"/>
                <w:highlight w:val="none"/>
                <w:u w:val="single"/>
                <w:lang w:val="en-US" w:eastAsia="zh-CN"/>
              </w:rPr>
              <w:t>新疆</w:t>
            </w:r>
            <w:r>
              <w:rPr>
                <w:rFonts w:hint="eastAsia" w:ascii="宋体" w:hAnsi="宋体" w:eastAsia="宋体" w:cs="宋体"/>
                <w:color w:val="auto"/>
                <w:sz w:val="24"/>
                <w:highlight w:val="none"/>
                <w:u w:val="single"/>
                <w:lang w:val="en-US" w:eastAsia="zh-CN"/>
              </w:rPr>
              <w:t>政府采购网（</w:t>
            </w:r>
            <w:r>
              <w:rPr>
                <w:rFonts w:hint="eastAsia" w:cs="宋体"/>
                <w:color w:val="auto"/>
                <w:sz w:val="24"/>
                <w:highlight w:val="none"/>
                <w:u w:val="single"/>
                <w:lang w:val="en-US" w:eastAsia="zh-CN"/>
              </w:rPr>
              <w:t>http://www.ccgp-xinjiang.gov.cn/</w:t>
            </w:r>
            <w:r>
              <w:rPr>
                <w:rFonts w:hint="eastAsia" w:ascii="宋体" w:hAnsi="宋体" w:eastAsia="宋体" w:cs="宋体"/>
                <w:color w:val="auto"/>
                <w:sz w:val="24"/>
                <w:highlight w:val="none"/>
                <w:u w:val="single"/>
                <w:lang w:val="en-US" w:eastAsia="zh-CN"/>
              </w:rPr>
              <w:t>）</w:t>
            </w:r>
            <w:r>
              <w:rPr>
                <w:rFonts w:hint="eastAsia" w:ascii="宋体" w:hAnsi="宋体" w:eastAsia="宋体" w:cstheme="minorBidi"/>
                <w:iCs/>
                <w:color w:val="auto"/>
                <w:kern w:val="2"/>
                <w:sz w:val="24"/>
                <w:szCs w:val="24"/>
                <w:highlight w:val="none"/>
                <w:shd w:val="clear" w:color="auto" w:fill="FFFFFF" w:themeFill="background1"/>
                <w:lang w:val="hr-HR" w:eastAsia="zh-CN" w:bidi="ar-SA"/>
              </w:rPr>
              <w:t>获取招标文件，并于</w:t>
            </w:r>
            <w:r>
              <w:rPr>
                <w:rFonts w:hint="eastAsia" w:cstheme="minorBidi"/>
                <w:iCs/>
                <w:color w:val="auto"/>
                <w:kern w:val="2"/>
                <w:sz w:val="24"/>
                <w:szCs w:val="24"/>
                <w:highlight w:val="none"/>
                <w:u w:val="single"/>
                <w:shd w:val="clear" w:color="auto" w:fill="FFFFFF" w:themeFill="background1"/>
                <w:lang w:val="en-US" w:eastAsia="zh-CN" w:bidi="ar-SA"/>
              </w:rPr>
              <w:t>2026</w:t>
            </w:r>
            <w:r>
              <w:rPr>
                <w:rFonts w:hint="eastAsia" w:ascii="宋体" w:hAnsi="宋体" w:eastAsia="宋体" w:cstheme="minorBidi"/>
                <w:iCs/>
                <w:color w:val="auto"/>
                <w:kern w:val="2"/>
                <w:sz w:val="24"/>
                <w:szCs w:val="24"/>
                <w:highlight w:val="none"/>
                <w:u w:val="single"/>
                <w:shd w:val="clear" w:color="auto" w:fill="FFFFFF" w:themeFill="background1"/>
                <w:lang w:val="hr-HR" w:eastAsia="zh-CN" w:bidi="ar-SA"/>
              </w:rPr>
              <w:t>年</w:t>
            </w:r>
            <w:r>
              <w:rPr>
                <w:rFonts w:hint="eastAsia" w:cstheme="minorBidi"/>
                <w:iCs/>
                <w:color w:val="auto"/>
                <w:kern w:val="2"/>
                <w:sz w:val="24"/>
                <w:szCs w:val="24"/>
                <w:highlight w:val="none"/>
                <w:u w:val="single"/>
                <w:shd w:val="clear" w:color="auto" w:fill="FFFFFF" w:themeFill="background1"/>
                <w:lang w:val="en-US" w:eastAsia="zh-CN" w:bidi="ar-SA"/>
              </w:rPr>
              <w:t>06</w:t>
            </w:r>
            <w:r>
              <w:rPr>
                <w:rFonts w:hint="eastAsia" w:ascii="宋体" w:hAnsi="宋体" w:eastAsia="宋体" w:cstheme="minorBidi"/>
                <w:iCs/>
                <w:color w:val="auto"/>
                <w:kern w:val="2"/>
                <w:sz w:val="24"/>
                <w:szCs w:val="24"/>
                <w:highlight w:val="none"/>
                <w:u w:val="single"/>
                <w:shd w:val="clear" w:color="auto" w:fill="FFFFFF" w:themeFill="background1"/>
                <w:lang w:val="hr-HR" w:eastAsia="zh-CN" w:bidi="ar-SA"/>
              </w:rPr>
              <w:t>月</w:t>
            </w:r>
            <w:r>
              <w:rPr>
                <w:rFonts w:hint="eastAsia" w:cstheme="minorBidi"/>
                <w:iCs/>
                <w:color w:val="auto"/>
                <w:kern w:val="2"/>
                <w:sz w:val="24"/>
                <w:szCs w:val="24"/>
                <w:highlight w:val="none"/>
                <w:u w:val="single"/>
                <w:shd w:val="clear" w:color="auto" w:fill="FFFFFF" w:themeFill="background1"/>
                <w:lang w:val="en-US" w:eastAsia="zh-CN" w:bidi="ar-SA"/>
              </w:rPr>
              <w:t>15</w:t>
            </w:r>
            <w:r>
              <w:rPr>
                <w:rFonts w:hint="eastAsia" w:ascii="宋体" w:hAnsi="宋体" w:eastAsia="宋体" w:cstheme="minorBidi"/>
                <w:iCs/>
                <w:color w:val="auto"/>
                <w:kern w:val="2"/>
                <w:sz w:val="24"/>
                <w:szCs w:val="24"/>
                <w:highlight w:val="none"/>
                <w:u w:val="single"/>
                <w:shd w:val="clear" w:color="auto" w:fill="FFFFFF" w:themeFill="background1"/>
                <w:lang w:val="hr-HR" w:eastAsia="zh-CN" w:bidi="ar-SA"/>
              </w:rPr>
              <w:t>日</w:t>
            </w:r>
            <w:r>
              <w:rPr>
                <w:rFonts w:hint="eastAsia" w:cstheme="minorBidi"/>
                <w:iCs/>
                <w:color w:val="auto"/>
                <w:kern w:val="2"/>
                <w:sz w:val="24"/>
                <w:szCs w:val="24"/>
                <w:highlight w:val="none"/>
                <w:u w:val="single"/>
                <w:shd w:val="clear" w:color="auto" w:fill="FFFFFF" w:themeFill="background1"/>
                <w:lang w:val="en-US" w:eastAsia="zh-CN" w:bidi="ar-SA"/>
              </w:rPr>
              <w:t>10时30</w:t>
            </w:r>
            <w:r>
              <w:rPr>
                <w:rFonts w:hint="eastAsia" w:ascii="宋体" w:hAnsi="宋体" w:eastAsia="宋体" w:cstheme="minorBidi"/>
                <w:iCs/>
                <w:color w:val="auto"/>
                <w:kern w:val="2"/>
                <w:sz w:val="24"/>
                <w:szCs w:val="24"/>
                <w:highlight w:val="none"/>
                <w:u w:val="single"/>
                <w:shd w:val="clear" w:color="auto" w:fill="FFFFFF" w:themeFill="background1"/>
                <w:lang w:val="hr-HR" w:eastAsia="zh-CN" w:bidi="ar-SA"/>
              </w:rPr>
              <w:t>分</w:t>
            </w:r>
            <w:r>
              <w:rPr>
                <w:rFonts w:hint="eastAsia" w:ascii="宋体" w:hAnsi="宋体" w:eastAsia="宋体" w:cstheme="minorBidi"/>
                <w:iCs/>
                <w:color w:val="auto"/>
                <w:kern w:val="2"/>
                <w:sz w:val="24"/>
                <w:szCs w:val="24"/>
                <w:highlight w:val="none"/>
                <w:shd w:val="clear" w:color="auto" w:fill="FFFFFF" w:themeFill="background1"/>
                <w:lang w:val="hr-HR" w:eastAsia="zh-CN" w:bidi="ar-SA"/>
              </w:rPr>
              <w:t>（北京时间）前递交投标文件。</w:t>
            </w:r>
          </w:p>
        </w:tc>
      </w:tr>
    </w:tbl>
    <w:p w14:paraId="4072DEF0">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color w:val="auto"/>
          <w:sz w:val="24"/>
          <w:szCs w:val="24"/>
          <w:highlight w:val="none"/>
          <w:lang w:val="hr-HR"/>
        </w:rPr>
      </w:pPr>
      <w:bookmarkStart w:id="17" w:name="_Toc32499"/>
      <w:r>
        <w:rPr>
          <w:rFonts w:hint="eastAsia" w:ascii="宋体" w:hAnsi="宋体" w:eastAsia="宋体" w:cs="宋体"/>
          <w:b/>
          <w:bCs/>
          <w:color w:val="auto"/>
          <w:kern w:val="2"/>
          <w:sz w:val="24"/>
          <w:szCs w:val="24"/>
          <w:highlight w:val="none"/>
          <w:lang w:val="hr-HR" w:eastAsia="zh-CN" w:bidi="ar-SA"/>
        </w:rPr>
        <w:t>一、</w:t>
      </w:r>
      <w:r>
        <w:rPr>
          <w:rFonts w:hint="eastAsia" w:ascii="宋体" w:hAnsi="宋体" w:eastAsia="宋体" w:cs="宋体"/>
          <w:color w:val="auto"/>
          <w:sz w:val="24"/>
          <w:szCs w:val="24"/>
          <w:highlight w:val="none"/>
          <w:lang w:val="hr-HR"/>
        </w:rPr>
        <w:t>项目基本情况</w:t>
      </w:r>
      <w:bookmarkEnd w:id="6"/>
      <w:bookmarkEnd w:id="7"/>
      <w:bookmarkEnd w:id="8"/>
      <w:bookmarkEnd w:id="9"/>
      <w:bookmarkEnd w:id="10"/>
      <w:bookmarkEnd w:id="11"/>
      <w:bookmarkEnd w:id="12"/>
      <w:bookmarkEnd w:id="13"/>
      <w:bookmarkEnd w:id="14"/>
      <w:bookmarkEnd w:id="15"/>
      <w:bookmarkEnd w:id="16"/>
      <w:bookmarkEnd w:id="17"/>
    </w:p>
    <w:p w14:paraId="590E39A6">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hr-HR"/>
        </w:rPr>
        <w:t>1.项目编号</w:t>
      </w:r>
      <w:r>
        <w:rPr>
          <w:rFonts w:hint="eastAsia" w:ascii="宋体" w:hAnsi="宋体" w:eastAsia="宋体" w:cs="宋体"/>
          <w:color w:val="auto"/>
          <w:sz w:val="24"/>
          <w:highlight w:val="none"/>
          <w:lang w:val="en-US" w:eastAsia="zh-CN"/>
        </w:rPr>
        <w:t>/包号</w:t>
      </w:r>
      <w:r>
        <w:rPr>
          <w:rFonts w:hint="eastAsia" w:ascii="宋体" w:hAnsi="宋体" w:eastAsia="宋体" w:cs="宋体"/>
          <w:color w:val="auto"/>
          <w:sz w:val="24"/>
          <w:highlight w:val="none"/>
          <w:lang w:val="hr-HR"/>
        </w:rPr>
        <w:t>：</w:t>
      </w:r>
      <w:r>
        <w:rPr>
          <w:rFonts w:hint="eastAsia" w:ascii="宋体" w:hAnsi="宋体" w:eastAsia="宋体" w:cs="宋体"/>
          <w:b w:val="0"/>
          <w:bCs w:val="0"/>
          <w:color w:val="auto"/>
          <w:sz w:val="24"/>
          <w:highlight w:val="none"/>
          <w:u w:val="single"/>
          <w:lang w:val="hr-HR"/>
        </w:rPr>
        <w:t>[2026]1307号</w:t>
      </w:r>
    </w:p>
    <w:p w14:paraId="544AA4B7">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val="hr-HR"/>
        </w:rPr>
        <w:t>.项目名称：</w:t>
      </w:r>
      <w:r>
        <w:rPr>
          <w:rFonts w:hint="eastAsia" w:ascii="宋体" w:hAnsi="宋体" w:eastAsia="宋体" w:cs="宋体"/>
          <w:color w:val="auto"/>
          <w:sz w:val="24"/>
          <w:highlight w:val="none"/>
          <w:u w:val="single"/>
          <w:lang w:val="en-US" w:eastAsia="zh-CN"/>
        </w:rPr>
        <w:t>哈密市第八幼儿园大型树屋+木工坊定制项目游乐场设施项目</w:t>
      </w:r>
    </w:p>
    <w:p w14:paraId="3CE35A7E">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.采购方式：公开招标</w:t>
      </w:r>
    </w:p>
    <w:p w14:paraId="78A90596">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eastAsia="zh-CN"/>
        </w:rPr>
        <w:t>项目</w:t>
      </w:r>
      <w:r>
        <w:rPr>
          <w:rFonts w:hint="eastAsia" w:ascii="宋体" w:hAnsi="宋体" w:eastAsia="宋体" w:cs="宋体"/>
          <w:color w:val="auto"/>
          <w:sz w:val="24"/>
          <w:highlight w:val="none"/>
          <w:lang w:val="hr-HR"/>
        </w:rPr>
        <w:t>预算金额：</w:t>
      </w:r>
      <w:r>
        <w:rPr>
          <w:rFonts w:hint="eastAsia" w:cs="宋体"/>
          <w:color w:val="auto"/>
          <w:sz w:val="24"/>
          <w:highlight w:val="none"/>
          <w:u w:val="single"/>
          <w:lang w:val="en-US" w:eastAsia="zh-CN"/>
        </w:rPr>
        <w:t>50</w:t>
      </w:r>
      <w:r>
        <w:rPr>
          <w:rFonts w:hint="eastAsia" w:ascii="宋体" w:hAnsi="宋体" w:eastAsia="宋体" w:cs="宋体"/>
          <w:color w:val="auto"/>
          <w:sz w:val="24"/>
          <w:highlight w:val="none"/>
          <w:lang w:val="hr-HR"/>
        </w:rPr>
        <w:t>万元</w:t>
      </w:r>
    </w:p>
    <w:p w14:paraId="7851BE2C">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rPr>
        <w:t>最高限价【如有】</w:t>
      </w:r>
      <w:r>
        <w:rPr>
          <w:rFonts w:hint="eastAsia" w:ascii="宋体" w:hAnsi="宋体" w:eastAsia="宋体" w:cs="宋体"/>
          <w:color w:val="auto"/>
          <w:sz w:val="24"/>
          <w:highlight w:val="none"/>
          <w:lang w:val="hr-HR"/>
        </w:rPr>
        <w:t>：</w:t>
      </w:r>
      <w:r>
        <w:rPr>
          <w:rFonts w:hint="eastAsia" w:cs="宋体"/>
          <w:color w:val="auto"/>
          <w:sz w:val="24"/>
          <w:highlight w:val="none"/>
          <w:u w:val="single"/>
          <w:lang w:val="en-US" w:eastAsia="zh-CN"/>
        </w:rPr>
        <w:t>50</w:t>
      </w:r>
      <w:r>
        <w:rPr>
          <w:rFonts w:hint="eastAsia" w:ascii="宋体" w:hAnsi="宋体" w:eastAsia="宋体" w:cs="宋体"/>
          <w:color w:val="auto"/>
          <w:sz w:val="24"/>
          <w:highlight w:val="none"/>
        </w:rPr>
        <w:t>万元</w:t>
      </w:r>
    </w:p>
    <w:p w14:paraId="242750DC">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highlight w:val="none"/>
          <w:u w:val="single"/>
          <w:lang w:val="hr-HR" w:eastAsia="zh-CN"/>
        </w:rPr>
      </w:pP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lang w:val="hr-HR"/>
        </w:rPr>
        <w:t>.采购需求：</w:t>
      </w:r>
      <w:r>
        <w:rPr>
          <w:rFonts w:hint="eastAsia" w:ascii="宋体" w:hAnsi="宋体" w:eastAsia="宋体" w:cs="宋体"/>
          <w:color w:val="auto"/>
          <w:sz w:val="24"/>
          <w:highlight w:val="none"/>
          <w:u w:val="single"/>
          <w:lang w:val="en-US" w:eastAsia="zh-CN"/>
        </w:rPr>
        <w:t>哈密市第八幼儿园大型树屋+木工坊定制项目游乐场设施</w:t>
      </w:r>
      <w:r>
        <w:rPr>
          <w:rFonts w:hint="eastAsia" w:ascii="宋体" w:hAnsi="宋体" w:eastAsia="宋体" w:cs="宋体"/>
          <w:b w:val="0"/>
          <w:bCs w:val="0"/>
          <w:color w:val="auto"/>
          <w:sz w:val="24"/>
          <w:highlight w:val="none"/>
          <w:u w:val="single"/>
          <w:lang w:val="hr-HR"/>
        </w:rPr>
        <w:t>定制及安装</w:t>
      </w:r>
      <w:r>
        <w:rPr>
          <w:rFonts w:hint="eastAsia" w:cs="宋体"/>
          <w:b w:val="0"/>
          <w:bCs w:val="0"/>
          <w:color w:val="auto"/>
          <w:sz w:val="24"/>
          <w:highlight w:val="none"/>
          <w:u w:val="single"/>
          <w:lang w:val="hr-HR" w:eastAsia="zh-CN"/>
        </w:rPr>
        <w:t>（</w:t>
      </w:r>
      <w:r>
        <w:rPr>
          <w:rFonts w:hint="eastAsia" w:cs="宋体"/>
          <w:b w:val="0"/>
          <w:bCs w:val="0"/>
          <w:color w:val="auto"/>
          <w:sz w:val="24"/>
          <w:highlight w:val="none"/>
          <w:u w:val="single"/>
          <w:lang w:val="en-US" w:eastAsia="zh-CN"/>
        </w:rPr>
        <w:t>详见采购需求</w:t>
      </w:r>
      <w:r>
        <w:rPr>
          <w:rFonts w:hint="eastAsia" w:cs="宋体"/>
          <w:b w:val="0"/>
          <w:bCs w:val="0"/>
          <w:color w:val="auto"/>
          <w:sz w:val="24"/>
          <w:highlight w:val="none"/>
          <w:u w:val="single"/>
          <w:lang w:val="hr-HR" w:eastAsia="zh-CN"/>
        </w:rPr>
        <w:t>）</w:t>
      </w:r>
    </w:p>
    <w:p w14:paraId="56FBF6DA">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.合同履行期限：</w:t>
      </w:r>
      <w:r>
        <w:rPr>
          <w:rFonts w:hint="eastAsia" w:cs="宋体"/>
          <w:color w:val="auto"/>
          <w:sz w:val="24"/>
          <w:highlight w:val="none"/>
          <w:lang w:val="en-US" w:eastAsia="zh-CN"/>
        </w:rPr>
        <w:t>4</w:t>
      </w:r>
      <w:r>
        <w:rPr>
          <w:rFonts w:hint="eastAsia" w:cs="宋体"/>
          <w:b w:val="0"/>
          <w:bCs w:val="0"/>
          <w:color w:val="auto"/>
          <w:sz w:val="24"/>
          <w:highlight w:val="none"/>
          <w:u w:val="single"/>
          <w:lang w:val="en-US" w:eastAsia="zh-CN"/>
        </w:rPr>
        <w:t>5日（合同签订后货到现场至安装验收完成）</w:t>
      </w:r>
    </w:p>
    <w:p w14:paraId="4B098642">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bookmarkStart w:id="18" w:name="_Toc44583629"/>
      <w:bookmarkStart w:id="19" w:name="_Toc28359013"/>
      <w:bookmarkStart w:id="20" w:name="_Toc28359090"/>
      <w:bookmarkStart w:id="21" w:name="_Toc35393630"/>
      <w:bookmarkStart w:id="22" w:name="_Toc35393799"/>
      <w:r>
        <w:rPr>
          <w:rFonts w:hint="eastAsia" w:ascii="宋体" w:hAnsi="宋体" w:eastAsia="宋体" w:cs="宋体"/>
          <w:color w:val="auto"/>
          <w:sz w:val="24"/>
          <w:highlight w:val="none"/>
          <w:lang w:val="en-US" w:eastAsia="zh-CN"/>
        </w:rPr>
        <w:t>8.</w:t>
      </w:r>
      <w:bookmarkStart w:id="23" w:name="_Hlk162011358"/>
      <w:r>
        <w:rPr>
          <w:rFonts w:hint="eastAsia" w:ascii="宋体" w:hAnsi="宋体" w:eastAsia="宋体" w:cs="宋体"/>
          <w:color w:val="auto"/>
          <w:sz w:val="24"/>
          <w:highlight w:val="none"/>
          <w:lang w:val="en-US" w:eastAsia="zh-CN"/>
        </w:rPr>
        <w:t>本项目是否接受联合体投标：□是</w:t>
      </w:r>
      <w:bookmarkEnd w:id="23"/>
      <w:r>
        <w:rPr>
          <w:rFonts w:hint="eastAsia" w:ascii="宋体" w:hAnsi="宋体" w:eastAsia="宋体" w:cs="宋体"/>
          <w:color w:val="auto"/>
          <w:sz w:val="24"/>
          <w:highlight w:val="none"/>
          <w:lang w:val="en-US" w:eastAsia="zh-CN"/>
        </w:rPr>
        <w:t xml:space="preserve">   </w:t>
      </w:r>
      <w:r>
        <w:rPr>
          <w:rFonts w:hint="eastAsia" w:cs="宋体"/>
          <w:color w:val="auto"/>
          <w:sz w:val="24"/>
          <w:highlight w:val="none"/>
          <w:lang w:val="en-US" w:eastAsia="zh-CN"/>
        </w:rPr>
        <w:t>☑</w:t>
      </w:r>
      <w:r>
        <w:rPr>
          <w:rFonts w:hint="eastAsia" w:ascii="宋体" w:hAnsi="宋体" w:eastAsia="宋体" w:cs="宋体"/>
          <w:color w:val="auto"/>
          <w:sz w:val="24"/>
          <w:highlight w:val="none"/>
          <w:lang w:val="en-US" w:eastAsia="zh-CN"/>
        </w:rPr>
        <w:t>否</w:t>
      </w:r>
    </w:p>
    <w:p w14:paraId="1EEB1622">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24" w:name="_Toc140132746"/>
      <w:bookmarkStart w:id="25" w:name="_Toc155185861"/>
      <w:bookmarkStart w:id="26" w:name="_Toc163492813"/>
      <w:bookmarkStart w:id="27" w:name="_Toc109899411"/>
      <w:bookmarkStart w:id="28" w:name="_Toc109899830"/>
      <w:bookmarkStart w:id="29" w:name="_Toc109900249"/>
      <w:bookmarkStart w:id="30" w:name="_Toc3089"/>
      <w:r>
        <w:rPr>
          <w:rFonts w:hint="eastAsia" w:ascii="宋体" w:hAnsi="宋体" w:eastAsia="宋体" w:cs="宋体"/>
          <w:b/>
          <w:bCs/>
          <w:color w:val="auto"/>
          <w:kern w:val="2"/>
          <w:sz w:val="24"/>
          <w:szCs w:val="24"/>
          <w:highlight w:val="none"/>
          <w:lang w:val="en-US" w:eastAsia="zh-CN" w:bidi="ar-SA"/>
        </w:rPr>
        <w:t>二、申请</w:t>
      </w:r>
      <w:r>
        <w:rPr>
          <w:rFonts w:hint="eastAsia" w:ascii="宋体" w:hAnsi="宋体" w:eastAsia="宋体" w:cs="宋体"/>
          <w:b/>
          <w:bCs/>
          <w:color w:val="auto"/>
          <w:kern w:val="2"/>
          <w:sz w:val="24"/>
          <w:szCs w:val="24"/>
          <w:highlight w:val="none"/>
          <w:lang w:val="hr-HR" w:eastAsia="zh-CN" w:bidi="ar-SA"/>
        </w:rPr>
        <w:t>人</w:t>
      </w:r>
      <w:r>
        <w:rPr>
          <w:rFonts w:hint="eastAsia" w:ascii="宋体" w:hAnsi="宋体" w:eastAsia="宋体" w:cs="宋体"/>
          <w:b/>
          <w:bCs/>
          <w:color w:val="auto"/>
          <w:kern w:val="2"/>
          <w:sz w:val="24"/>
          <w:szCs w:val="24"/>
          <w:highlight w:val="none"/>
          <w:lang w:val="en-US" w:eastAsia="zh-CN" w:bidi="ar-SA"/>
        </w:rPr>
        <w:t>的</w:t>
      </w:r>
      <w:r>
        <w:rPr>
          <w:rFonts w:hint="eastAsia" w:ascii="宋体" w:hAnsi="宋体" w:eastAsia="宋体" w:cs="宋体"/>
          <w:b/>
          <w:bCs/>
          <w:color w:val="auto"/>
          <w:kern w:val="2"/>
          <w:sz w:val="24"/>
          <w:szCs w:val="24"/>
          <w:highlight w:val="none"/>
          <w:lang w:val="hr-HR" w:eastAsia="zh-CN" w:bidi="ar-SA"/>
        </w:rPr>
        <w:t>资格要求</w:t>
      </w:r>
      <w:bookmarkEnd w:id="18"/>
      <w:bookmarkEnd w:id="19"/>
      <w:bookmarkEnd w:id="20"/>
      <w:bookmarkEnd w:id="21"/>
      <w:bookmarkEnd w:id="22"/>
      <w:bookmarkEnd w:id="24"/>
      <w:bookmarkEnd w:id="25"/>
      <w:bookmarkEnd w:id="26"/>
      <w:bookmarkEnd w:id="27"/>
      <w:bookmarkEnd w:id="28"/>
      <w:bookmarkEnd w:id="29"/>
      <w:bookmarkEnd w:id="30"/>
    </w:p>
    <w:p w14:paraId="4033335F">
      <w:pPr>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bookmarkStart w:id="31" w:name="_Toc44583630"/>
      <w:bookmarkStart w:id="32" w:name="_Toc28359091"/>
      <w:bookmarkStart w:id="33" w:name="_Toc28359014"/>
      <w:bookmarkStart w:id="34" w:name="_Toc35393631"/>
      <w:bookmarkStart w:id="35" w:name="_Toc35393800"/>
      <w:r>
        <w:rPr>
          <w:rFonts w:hint="eastAsia" w:ascii="宋体" w:hAnsi="宋体" w:eastAsia="宋体" w:cs="宋体"/>
          <w:color w:val="auto"/>
          <w:sz w:val="24"/>
          <w:highlight w:val="none"/>
          <w:lang w:val="en-US" w:eastAsia="zh-CN"/>
        </w:rPr>
        <w:t>1.满足《中华人民共和国政府采购法》第二十二条规定；</w:t>
      </w:r>
    </w:p>
    <w:p w14:paraId="1C35AF5F">
      <w:pPr>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2.落实政府采购政策需满足的资格要求：</w:t>
      </w:r>
      <w:r>
        <w:rPr>
          <w:rFonts w:hint="eastAsia" w:ascii="宋体" w:hAnsi="宋体" w:eastAsia="宋体" w:cs="宋体"/>
          <w:color w:val="auto"/>
          <w:sz w:val="24"/>
          <w:highlight w:val="none"/>
          <w:u w:val="single"/>
          <w:lang w:val="en-US" w:eastAsia="zh-CN"/>
        </w:rPr>
        <w:t>专门面向中小企业采购的项目</w:t>
      </w:r>
      <w:r>
        <w:rPr>
          <w:rFonts w:hint="eastAsia" w:cs="宋体"/>
          <w:color w:val="auto"/>
          <w:sz w:val="24"/>
          <w:highlight w:val="none"/>
          <w:u w:val="single"/>
          <w:lang w:val="en-US" w:eastAsia="zh-CN"/>
        </w:rPr>
        <w:t>。</w:t>
      </w:r>
    </w:p>
    <w:p w14:paraId="55BA9FF5">
      <w:pPr>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3.本项目的特定资格要求：</w:t>
      </w:r>
      <w:r>
        <w:rPr>
          <w:rFonts w:hint="eastAsia" w:cs="宋体"/>
          <w:color w:val="auto"/>
          <w:sz w:val="24"/>
          <w:highlight w:val="none"/>
          <w:u w:val="single"/>
          <w:lang w:val="en-US" w:eastAsia="zh-CN"/>
        </w:rPr>
        <w:t>无</w:t>
      </w:r>
      <w:r>
        <w:rPr>
          <w:rFonts w:hint="eastAsia" w:ascii="宋体" w:hAnsi="宋体" w:eastAsia="宋体" w:cs="宋体"/>
          <w:color w:val="auto"/>
          <w:sz w:val="24"/>
          <w:highlight w:val="none"/>
          <w:u w:val="single"/>
          <w:lang w:val="en-US" w:eastAsia="zh-CN"/>
        </w:rPr>
        <w:t>。</w:t>
      </w:r>
    </w:p>
    <w:p w14:paraId="69D2AB04">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 其他资格要求：</w:t>
      </w:r>
    </w:p>
    <w:p w14:paraId="040E7358">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eastAsia="zh-CN"/>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lang w:val="hr-HR"/>
        </w:rPr>
        <w:t>法定代表人或</w:t>
      </w:r>
      <w:r>
        <w:rPr>
          <w:rFonts w:hint="eastAsia" w:ascii="宋体" w:hAnsi="宋体" w:eastAsia="宋体" w:cs="宋体"/>
          <w:color w:val="auto"/>
          <w:sz w:val="24"/>
          <w:highlight w:val="none"/>
          <w:lang w:val="en-US" w:eastAsia="zh-CN"/>
        </w:rPr>
        <w:t>单位</w:t>
      </w:r>
      <w:r>
        <w:rPr>
          <w:rFonts w:hint="eastAsia" w:ascii="宋体" w:hAnsi="宋体" w:eastAsia="宋体" w:cs="宋体"/>
          <w:color w:val="auto"/>
          <w:sz w:val="24"/>
          <w:highlight w:val="none"/>
          <w:lang w:val="hr-HR"/>
        </w:rPr>
        <w:t>负责人为同一人或者存在</w:t>
      </w:r>
      <w:r>
        <w:rPr>
          <w:rFonts w:hint="eastAsia" w:ascii="宋体" w:hAnsi="宋体" w:eastAsia="宋体" w:cs="宋体"/>
          <w:color w:val="auto"/>
          <w:sz w:val="24"/>
          <w:highlight w:val="none"/>
          <w:lang w:val="en-US" w:eastAsia="zh-CN"/>
        </w:rPr>
        <w:t>直接</w:t>
      </w:r>
      <w:r>
        <w:rPr>
          <w:rFonts w:hint="eastAsia" w:ascii="宋体" w:hAnsi="宋体" w:eastAsia="宋体" w:cs="宋体"/>
          <w:color w:val="auto"/>
          <w:sz w:val="24"/>
          <w:highlight w:val="none"/>
          <w:lang w:val="hr-HR"/>
        </w:rPr>
        <w:t>控股、管理关系的</w:t>
      </w:r>
      <w:r>
        <w:rPr>
          <w:rFonts w:hint="eastAsia" w:ascii="宋体" w:hAnsi="宋体" w:eastAsia="宋体" w:cs="宋体"/>
          <w:color w:val="auto"/>
          <w:sz w:val="24"/>
          <w:highlight w:val="none"/>
          <w:lang w:val="en-US" w:eastAsia="zh-CN"/>
        </w:rPr>
        <w:t>不同供应商</w:t>
      </w:r>
      <w:r>
        <w:rPr>
          <w:rFonts w:hint="eastAsia" w:ascii="宋体" w:hAnsi="宋体" w:eastAsia="宋体" w:cs="宋体"/>
          <w:color w:val="auto"/>
          <w:sz w:val="24"/>
          <w:highlight w:val="none"/>
          <w:lang w:val="hr-HR"/>
        </w:rPr>
        <w:t>，不得参加同一合同项下的政府采购活动。</w:t>
      </w:r>
    </w:p>
    <w:p w14:paraId="68099EEC">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val="hr-HR"/>
        </w:rPr>
        <w:t>除单一来源采购项目外，为采购项目提供整体设计、规范编制或者项目管理、监理、检测等服务的供应商，不得再参加该采购项目的其他采购活动。</w:t>
      </w:r>
    </w:p>
    <w:p w14:paraId="49ABF921">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hr-HR" w:eastAsia="zh-CN"/>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lang w:val="hr-HR"/>
        </w:rPr>
        <w:t>供应商的信用行为</w:t>
      </w:r>
      <w:r>
        <w:rPr>
          <w:rFonts w:hint="eastAsia" w:ascii="宋体" w:hAnsi="宋体" w:eastAsia="宋体" w:cs="宋体"/>
          <w:color w:val="auto"/>
          <w:sz w:val="24"/>
          <w:highlight w:val="none"/>
          <w:lang w:val="hr-HR" w:eastAsia="zh-CN"/>
        </w:rPr>
        <w:t>：</w:t>
      </w:r>
      <w:r>
        <w:rPr>
          <w:rFonts w:hint="eastAsia" w:ascii="宋体" w:hAnsi="宋体" w:eastAsia="宋体" w:cs="宋体"/>
          <w:color w:val="auto"/>
          <w:sz w:val="24"/>
          <w:highlight w:val="none"/>
          <w:lang w:val="hr-HR"/>
        </w:rPr>
        <w:t>在</w:t>
      </w:r>
      <w:r>
        <w:rPr>
          <w:rFonts w:hint="eastAsia" w:ascii="宋体" w:hAnsi="宋体" w:eastAsia="宋体" w:cs="宋体"/>
          <w:color w:val="auto"/>
          <w:sz w:val="24"/>
          <w:highlight w:val="none"/>
          <w:lang w:val="en-US" w:eastAsia="zh-CN"/>
        </w:rPr>
        <w:t>资格审查阶段经查询</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eastAsia="zh-CN"/>
        </w:rPr>
        <w:t>未被列入“失信被执行人”、“重大税收违法失信主体”、“政府采购严重违法失信行为记录名单”</w:t>
      </w:r>
      <w:r>
        <w:rPr>
          <w:rFonts w:hint="eastAsia" w:ascii="宋体" w:hAnsi="宋体" w:eastAsia="宋体" w:cs="宋体"/>
          <w:color w:val="auto"/>
          <w:sz w:val="24"/>
          <w:highlight w:val="none"/>
          <w:lang w:val="hr-HR"/>
        </w:rPr>
        <w:t>其中之一。如有以上不良信用记录</w:t>
      </w:r>
      <w:r>
        <w:rPr>
          <w:rFonts w:hint="eastAsia" w:ascii="宋体" w:hAnsi="宋体" w:eastAsia="宋体" w:cs="宋体"/>
          <w:color w:val="auto"/>
          <w:sz w:val="24"/>
          <w:highlight w:val="none"/>
          <w:lang w:val="en-US" w:eastAsia="zh-CN"/>
        </w:rPr>
        <w:t>之一的，</w:t>
      </w:r>
      <w:r>
        <w:rPr>
          <w:rFonts w:hint="eastAsia" w:ascii="宋体" w:hAnsi="宋体" w:eastAsia="宋体" w:cs="宋体"/>
          <w:color w:val="auto"/>
          <w:sz w:val="24"/>
          <w:highlight w:val="none"/>
          <w:lang w:val="hr-HR"/>
        </w:rPr>
        <w:t>其</w:t>
      </w:r>
      <w:r>
        <w:rPr>
          <w:rFonts w:hint="eastAsia" w:ascii="宋体" w:hAnsi="宋体" w:eastAsia="宋体" w:cs="宋体"/>
          <w:b/>
          <w:bCs/>
          <w:color w:val="auto"/>
          <w:sz w:val="24"/>
          <w:highlight w:val="none"/>
          <w:lang w:val="hr-HR"/>
        </w:rPr>
        <w:t>投标</w:t>
      </w:r>
      <w:r>
        <w:rPr>
          <w:rFonts w:hint="eastAsia" w:ascii="宋体" w:hAnsi="宋体" w:eastAsia="宋体" w:cs="宋体"/>
          <w:b/>
          <w:bCs/>
          <w:color w:val="auto"/>
          <w:sz w:val="24"/>
          <w:highlight w:val="none"/>
          <w:lang w:val="en-US" w:eastAsia="zh-CN"/>
        </w:rPr>
        <w:t>无效</w:t>
      </w:r>
      <w:r>
        <w:rPr>
          <w:rFonts w:hint="eastAsia" w:ascii="宋体" w:hAnsi="宋体" w:eastAsia="宋体" w:cs="宋体"/>
          <w:color w:val="auto"/>
          <w:sz w:val="24"/>
          <w:highlight w:val="none"/>
          <w:lang w:val="hr-HR"/>
        </w:rPr>
        <w:t>。</w:t>
      </w:r>
    </w:p>
    <w:p w14:paraId="17F1ED43">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36" w:name="_Toc5330"/>
      <w:bookmarkStart w:id="37" w:name="_Toc155185862"/>
      <w:bookmarkStart w:id="38" w:name="_Toc109900250"/>
      <w:bookmarkStart w:id="39" w:name="_Toc109899831"/>
      <w:bookmarkStart w:id="40" w:name="_Toc140132747"/>
      <w:bookmarkStart w:id="41" w:name="_Toc109899412"/>
      <w:bookmarkStart w:id="42" w:name="_Toc163492814"/>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kern w:val="2"/>
          <w:sz w:val="24"/>
          <w:szCs w:val="24"/>
          <w:highlight w:val="none"/>
          <w:lang w:val="hr-HR" w:eastAsia="zh-CN" w:bidi="ar-SA"/>
        </w:rPr>
        <w:t>获取招标文件</w:t>
      </w:r>
      <w:bookmarkEnd w:id="31"/>
      <w:bookmarkEnd w:id="32"/>
      <w:bookmarkEnd w:id="33"/>
      <w:bookmarkEnd w:id="34"/>
      <w:bookmarkEnd w:id="35"/>
      <w:bookmarkEnd w:id="36"/>
      <w:bookmarkEnd w:id="37"/>
      <w:bookmarkEnd w:id="38"/>
      <w:bookmarkEnd w:id="39"/>
      <w:bookmarkEnd w:id="40"/>
      <w:bookmarkEnd w:id="41"/>
      <w:bookmarkEnd w:id="42"/>
      <w:r>
        <w:rPr>
          <w:rFonts w:hint="eastAsia" w:ascii="宋体" w:hAnsi="宋体" w:eastAsia="宋体" w:cs="宋体"/>
          <w:b/>
          <w:bCs/>
          <w:color w:val="auto"/>
          <w:kern w:val="2"/>
          <w:sz w:val="24"/>
          <w:szCs w:val="24"/>
          <w:highlight w:val="none"/>
          <w:lang w:val="hr-HR" w:eastAsia="zh-CN" w:bidi="ar-SA"/>
        </w:rPr>
        <w:t xml:space="preserve"> </w:t>
      </w:r>
    </w:p>
    <w:p w14:paraId="7F0135DE">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bookmarkStart w:id="43" w:name="_Hlk130457234"/>
      <w:bookmarkStart w:id="44" w:name="_Hlk130457261"/>
      <w:bookmarkStart w:id="45" w:name="_Toc28359015"/>
      <w:bookmarkStart w:id="46" w:name="_Hlk130457327"/>
      <w:bookmarkStart w:id="47" w:name="_Toc35393632"/>
      <w:bookmarkStart w:id="48" w:name="_Toc35393801"/>
      <w:bookmarkStart w:id="49" w:name="_Toc28359092"/>
      <w:r>
        <w:rPr>
          <w:rFonts w:hint="eastAsia" w:ascii="宋体" w:hAnsi="宋体" w:eastAsia="宋体" w:cs="宋体"/>
          <w:color w:val="auto"/>
          <w:sz w:val="24"/>
          <w:highlight w:val="none"/>
          <w:lang w:val="hr-HR"/>
        </w:rPr>
        <w:t>1.时间：</w:t>
      </w:r>
      <w:r>
        <w:rPr>
          <w:rFonts w:hint="eastAsia" w:cs="宋体"/>
          <w:color w:val="auto"/>
          <w:sz w:val="24"/>
          <w:highlight w:val="none"/>
          <w:u w:val="single"/>
          <w:lang w:val="en-US" w:eastAsia="zh-CN"/>
        </w:rPr>
        <w:t>2026</w:t>
      </w:r>
      <w:r>
        <w:rPr>
          <w:rFonts w:hint="eastAsia" w:ascii="宋体" w:hAnsi="宋体" w:eastAsia="宋体" w:cs="宋体"/>
          <w:color w:val="auto"/>
          <w:sz w:val="24"/>
          <w:highlight w:val="none"/>
          <w:u w:val="single"/>
        </w:rPr>
        <w:t>年</w:t>
      </w:r>
      <w:r>
        <w:rPr>
          <w:rFonts w:hint="eastAsia" w:cs="宋体"/>
          <w:color w:val="auto"/>
          <w:sz w:val="24"/>
          <w:highlight w:val="none"/>
          <w:u w:val="single"/>
          <w:lang w:val="en-US" w:eastAsia="zh-CN"/>
        </w:rPr>
        <w:t>05</w:t>
      </w:r>
      <w:r>
        <w:rPr>
          <w:rFonts w:hint="eastAsia" w:ascii="宋体" w:hAnsi="宋体" w:eastAsia="宋体" w:cs="宋体"/>
          <w:color w:val="auto"/>
          <w:sz w:val="24"/>
          <w:highlight w:val="none"/>
          <w:u w:val="single"/>
        </w:rPr>
        <w:t>月</w:t>
      </w:r>
      <w:r>
        <w:rPr>
          <w:rFonts w:hint="eastAsia" w:cs="宋体"/>
          <w:color w:val="auto"/>
          <w:sz w:val="24"/>
          <w:highlight w:val="none"/>
          <w:u w:val="single"/>
          <w:lang w:val="en-US" w:eastAsia="zh-CN"/>
        </w:rPr>
        <w:t>25</w:t>
      </w:r>
      <w:r>
        <w:rPr>
          <w:rFonts w:hint="eastAsia" w:ascii="宋体" w:hAnsi="宋体" w:eastAsia="宋体" w:cs="宋体"/>
          <w:color w:val="auto"/>
          <w:sz w:val="24"/>
          <w:highlight w:val="none"/>
          <w:u w:val="single"/>
        </w:rPr>
        <w:t>日</w:t>
      </w:r>
      <w:r>
        <w:rPr>
          <w:rFonts w:hint="eastAsia" w:cs="宋体"/>
          <w:color w:val="auto"/>
          <w:sz w:val="24"/>
          <w:highlight w:val="none"/>
          <w:u w:val="single"/>
          <w:lang w:val="en-US" w:eastAsia="zh-CN"/>
        </w:rPr>
        <w:t>10</w:t>
      </w:r>
      <w:r>
        <w:rPr>
          <w:rFonts w:hint="eastAsia" w:ascii="宋体" w:hAnsi="宋体" w:eastAsia="宋体" w:cs="宋体"/>
          <w:color w:val="auto"/>
          <w:sz w:val="24"/>
          <w:highlight w:val="none"/>
          <w:u w:val="single"/>
        </w:rPr>
        <w:t>时</w:t>
      </w:r>
      <w:r>
        <w:rPr>
          <w:rFonts w:hint="eastAsia" w:cs="宋体"/>
          <w:color w:val="auto"/>
          <w:sz w:val="24"/>
          <w:highlight w:val="none"/>
          <w:u w:val="single"/>
          <w:lang w:val="en-US" w:eastAsia="zh-CN"/>
        </w:rPr>
        <w:t>00</w:t>
      </w:r>
      <w:r>
        <w:rPr>
          <w:rFonts w:hint="eastAsia" w:ascii="宋体" w:hAnsi="宋体" w:eastAsia="宋体" w:cs="宋体"/>
          <w:color w:val="auto"/>
          <w:sz w:val="24"/>
          <w:highlight w:val="none"/>
          <w:u w:val="single"/>
        </w:rPr>
        <w:t>分</w:t>
      </w:r>
      <w:r>
        <w:rPr>
          <w:rFonts w:hint="eastAsia" w:ascii="宋体" w:hAnsi="宋体" w:eastAsia="宋体" w:cs="宋体"/>
          <w:color w:val="auto"/>
          <w:sz w:val="24"/>
          <w:highlight w:val="none"/>
          <w:lang w:val="hr-HR"/>
        </w:rPr>
        <w:t>至</w:t>
      </w:r>
      <w:r>
        <w:rPr>
          <w:rFonts w:hint="eastAsia" w:cs="宋体"/>
          <w:color w:val="auto"/>
          <w:sz w:val="24"/>
          <w:highlight w:val="none"/>
          <w:u w:val="single"/>
          <w:lang w:val="en-US" w:eastAsia="zh-CN"/>
        </w:rPr>
        <w:t>2026</w:t>
      </w:r>
      <w:r>
        <w:rPr>
          <w:rFonts w:hint="eastAsia" w:ascii="宋体" w:hAnsi="宋体" w:eastAsia="宋体" w:cs="宋体"/>
          <w:color w:val="auto"/>
          <w:sz w:val="24"/>
          <w:highlight w:val="none"/>
          <w:u w:val="single"/>
        </w:rPr>
        <w:t>年</w:t>
      </w:r>
      <w:r>
        <w:rPr>
          <w:rFonts w:hint="eastAsia" w:cs="宋体"/>
          <w:color w:val="auto"/>
          <w:sz w:val="24"/>
          <w:highlight w:val="none"/>
          <w:u w:val="single"/>
          <w:lang w:val="en-US" w:eastAsia="zh-CN"/>
        </w:rPr>
        <w:t>06</w:t>
      </w:r>
      <w:r>
        <w:rPr>
          <w:rFonts w:hint="eastAsia" w:ascii="宋体" w:hAnsi="宋体" w:eastAsia="宋体" w:cs="宋体"/>
          <w:color w:val="auto"/>
          <w:sz w:val="24"/>
          <w:highlight w:val="none"/>
          <w:u w:val="single"/>
        </w:rPr>
        <w:t>月</w:t>
      </w:r>
      <w:r>
        <w:rPr>
          <w:rFonts w:hint="eastAsia" w:cs="宋体"/>
          <w:color w:val="auto"/>
          <w:sz w:val="24"/>
          <w:highlight w:val="none"/>
          <w:u w:val="single"/>
          <w:lang w:val="en-US" w:eastAsia="zh-CN"/>
        </w:rPr>
        <w:t>04</w:t>
      </w:r>
      <w:r>
        <w:rPr>
          <w:rFonts w:hint="eastAsia" w:ascii="宋体" w:hAnsi="宋体" w:eastAsia="宋体" w:cs="宋体"/>
          <w:color w:val="auto"/>
          <w:sz w:val="24"/>
          <w:highlight w:val="none"/>
          <w:u w:val="single"/>
        </w:rPr>
        <w:t>日</w:t>
      </w:r>
      <w:r>
        <w:rPr>
          <w:rFonts w:hint="eastAsia" w:cs="宋体"/>
          <w:color w:val="auto"/>
          <w:sz w:val="24"/>
          <w:highlight w:val="none"/>
          <w:u w:val="single"/>
          <w:lang w:val="en-US" w:eastAsia="zh-CN"/>
        </w:rPr>
        <w:t>19</w:t>
      </w:r>
      <w:r>
        <w:rPr>
          <w:rFonts w:hint="eastAsia" w:ascii="宋体" w:hAnsi="宋体" w:eastAsia="宋体" w:cs="宋体"/>
          <w:color w:val="auto"/>
          <w:sz w:val="24"/>
          <w:highlight w:val="none"/>
          <w:u w:val="single"/>
        </w:rPr>
        <w:t>时</w:t>
      </w:r>
      <w:r>
        <w:rPr>
          <w:rFonts w:hint="eastAsia" w:cs="宋体"/>
          <w:color w:val="auto"/>
          <w:sz w:val="24"/>
          <w:highlight w:val="none"/>
          <w:u w:val="single"/>
          <w:lang w:val="en-US" w:eastAsia="zh-CN"/>
        </w:rPr>
        <w:t>30</w:t>
      </w:r>
      <w:r>
        <w:rPr>
          <w:rFonts w:hint="eastAsia" w:ascii="宋体" w:hAnsi="宋体" w:eastAsia="宋体" w:cs="宋体"/>
          <w:color w:val="auto"/>
          <w:sz w:val="24"/>
          <w:highlight w:val="none"/>
          <w:u w:val="single"/>
        </w:rPr>
        <w:t>分</w:t>
      </w:r>
      <w:r>
        <w:rPr>
          <w:rFonts w:hint="eastAsia" w:ascii="宋体" w:hAnsi="宋体" w:eastAsia="宋体" w:cs="宋体"/>
          <w:color w:val="auto"/>
          <w:sz w:val="24"/>
          <w:highlight w:val="none"/>
          <w:lang w:val="hr-HR"/>
        </w:rPr>
        <w:t>（北京时间）。</w:t>
      </w:r>
    </w:p>
    <w:bookmarkEnd w:id="43"/>
    <w:p w14:paraId="34FD69CE">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r>
        <w:rPr>
          <w:rFonts w:hint="eastAsia" w:ascii="宋体" w:hAnsi="宋体" w:eastAsia="宋体" w:cs="宋体"/>
          <w:color w:val="auto"/>
          <w:sz w:val="24"/>
          <w:highlight w:val="none"/>
          <w:lang w:val="hr-HR"/>
        </w:rPr>
        <w:t>2.</w:t>
      </w:r>
      <w:r>
        <w:rPr>
          <w:rFonts w:hint="eastAsia" w:ascii="宋体" w:hAnsi="宋体" w:eastAsia="宋体" w:cs="宋体"/>
          <w:color w:val="auto"/>
          <w:sz w:val="24"/>
          <w:highlight w:val="none"/>
        </w:rPr>
        <w:t>地点</w:t>
      </w:r>
      <w:r>
        <w:rPr>
          <w:rFonts w:hint="eastAsia" w:ascii="宋体" w:hAnsi="宋体" w:eastAsia="宋体" w:cs="宋体"/>
          <w:color w:val="auto"/>
          <w:sz w:val="24"/>
          <w:highlight w:val="none"/>
          <w:lang w:val="hr-HR"/>
        </w:rPr>
        <w:t>：</w:t>
      </w:r>
      <w:bookmarkStart w:id="50" w:name="_Hlk89807779"/>
      <w:r>
        <w:rPr>
          <w:rFonts w:hint="eastAsia" w:ascii="宋体" w:hAnsi="宋体" w:eastAsia="宋体" w:cs="宋体"/>
          <w:color w:val="auto"/>
          <w:sz w:val="24"/>
          <w:highlight w:val="none"/>
        </w:rPr>
        <w:t>政府采购</w:t>
      </w:r>
      <w:r>
        <w:rPr>
          <w:rFonts w:hint="eastAsia" w:ascii="宋体" w:hAnsi="宋体" w:eastAsia="宋体" w:cs="宋体"/>
          <w:color w:val="auto"/>
          <w:sz w:val="24"/>
          <w:highlight w:val="none"/>
          <w:lang w:val="en-US"/>
        </w:rPr>
        <w:t>电子交易云</w:t>
      </w:r>
      <w:r>
        <w:rPr>
          <w:rFonts w:hint="eastAsia" w:ascii="宋体" w:hAnsi="宋体" w:eastAsia="宋体" w:cs="宋体"/>
          <w:color w:val="auto"/>
          <w:sz w:val="24"/>
          <w:highlight w:val="none"/>
        </w:rPr>
        <w:t>平台</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rPr>
        <w:t>网址</w:t>
      </w:r>
      <w:r>
        <w:rPr>
          <w:rFonts w:hint="eastAsia" w:ascii="宋体" w:hAnsi="宋体" w:eastAsia="宋体" w:cs="宋体"/>
          <w:color w:val="auto"/>
          <w:sz w:val="24"/>
          <w:highlight w:val="none"/>
          <w:lang w:val="hr-HR"/>
        </w:rPr>
        <w:t>：https://www.zcygov.cn/）</w:t>
      </w:r>
      <w:r>
        <w:rPr>
          <w:rFonts w:hint="eastAsia" w:ascii="宋体" w:hAnsi="宋体" w:eastAsia="宋体" w:cs="宋体"/>
          <w:color w:val="auto"/>
          <w:sz w:val="24"/>
          <w:highlight w:val="none"/>
        </w:rPr>
        <w:t>。</w:t>
      </w:r>
      <w:bookmarkEnd w:id="50"/>
    </w:p>
    <w:p w14:paraId="674E7A4D">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rPr>
      </w:pPr>
      <w:r>
        <w:rPr>
          <w:rFonts w:hint="eastAsia" w:ascii="宋体" w:hAnsi="宋体" w:eastAsia="宋体" w:cs="宋体"/>
          <w:color w:val="auto"/>
          <w:sz w:val="24"/>
          <w:highlight w:val="none"/>
          <w:lang w:val="hr-HR"/>
        </w:rPr>
        <w:t>3.</w:t>
      </w:r>
      <w:r>
        <w:rPr>
          <w:rFonts w:hint="eastAsia" w:ascii="宋体" w:hAnsi="宋体" w:eastAsia="宋体" w:cs="宋体"/>
          <w:color w:val="auto"/>
          <w:sz w:val="24"/>
          <w:highlight w:val="none"/>
        </w:rPr>
        <w:t>方式</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投标供应商登录政采云平台</w:t>
      </w:r>
      <w:r>
        <w:rPr>
          <w:rFonts w:hint="eastAsia" w:ascii="宋体" w:hAnsi="宋体" w:eastAsia="宋体" w:cs="宋体"/>
          <w:color w:val="auto"/>
          <w:sz w:val="24"/>
          <w:highlight w:val="none"/>
          <w:lang w:val="hr-HR"/>
        </w:rPr>
        <w:t>https</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lang w:val="hr-HR"/>
        </w:rPr>
        <w:t>//www.zcygov.cn/</w:t>
      </w:r>
      <w:r>
        <w:rPr>
          <w:rFonts w:hint="eastAsia" w:ascii="宋体" w:hAnsi="宋体" w:eastAsia="宋体" w:cs="宋体"/>
          <w:color w:val="auto"/>
          <w:sz w:val="24"/>
          <w:highlight w:val="none"/>
          <w:lang w:val="en-US"/>
        </w:rPr>
        <w:t>在线申请</w:t>
      </w:r>
      <w:r>
        <w:rPr>
          <w:rFonts w:hint="eastAsia" w:ascii="宋体" w:hAnsi="宋体" w:eastAsia="宋体" w:cs="宋体"/>
          <w:color w:val="auto"/>
          <w:sz w:val="24"/>
          <w:highlight w:val="none"/>
          <w:lang w:val="en-US" w:eastAsia="zh-CN"/>
        </w:rPr>
        <w:t>，免费</w:t>
      </w:r>
      <w:r>
        <w:rPr>
          <w:rFonts w:hint="eastAsia" w:ascii="宋体" w:hAnsi="宋体" w:eastAsia="宋体" w:cs="宋体"/>
          <w:color w:val="auto"/>
          <w:sz w:val="24"/>
          <w:highlight w:val="none"/>
          <w:lang w:val="en-US"/>
        </w:rPr>
        <w:t>获取</w:t>
      </w:r>
      <w:r>
        <w:rPr>
          <w:rFonts w:hint="eastAsia" w:ascii="宋体" w:hAnsi="宋体" w:eastAsia="宋体" w:cs="宋体"/>
          <w:color w:val="auto"/>
          <w:sz w:val="24"/>
          <w:highlight w:val="none"/>
          <w:lang w:val="en-US" w:eastAsia="zh-CN"/>
        </w:rPr>
        <w:t>电子</w:t>
      </w:r>
      <w:r>
        <w:rPr>
          <w:rFonts w:hint="eastAsia" w:ascii="宋体" w:hAnsi="宋体" w:eastAsia="宋体" w:cs="宋体"/>
          <w:color w:val="auto"/>
          <w:sz w:val="24"/>
          <w:highlight w:val="none"/>
          <w:lang w:val="en-US"/>
        </w:rPr>
        <w:t>采购文件</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进入</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项目采购</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应用</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在获取采购文件菜单中选择项目</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申请获取采购文件</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w:t>
      </w:r>
    </w:p>
    <w:p w14:paraId="21D74D7F">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4.售价：0元。</w:t>
      </w:r>
    </w:p>
    <w:bookmarkEnd w:id="44"/>
    <w:bookmarkEnd w:id="45"/>
    <w:bookmarkEnd w:id="46"/>
    <w:bookmarkEnd w:id="47"/>
    <w:bookmarkEnd w:id="48"/>
    <w:bookmarkEnd w:id="49"/>
    <w:p w14:paraId="6020FAF9">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51" w:name="_Toc140132748"/>
      <w:bookmarkStart w:id="52" w:name="_Toc163492815"/>
      <w:bookmarkStart w:id="53" w:name="_Toc155185863"/>
      <w:bookmarkStart w:id="54" w:name="_Toc109899413"/>
      <w:bookmarkStart w:id="55" w:name="_Toc109900251"/>
      <w:bookmarkStart w:id="56" w:name="_Toc109899832"/>
      <w:bookmarkStart w:id="57" w:name="_Toc363"/>
      <w:r>
        <w:rPr>
          <w:rFonts w:hint="eastAsia" w:ascii="宋体" w:hAnsi="宋体" w:eastAsia="宋体" w:cs="宋体"/>
          <w:b/>
          <w:bCs/>
          <w:color w:val="auto"/>
          <w:kern w:val="2"/>
          <w:sz w:val="24"/>
          <w:szCs w:val="24"/>
          <w:highlight w:val="none"/>
          <w:lang w:val="en-US" w:eastAsia="zh-CN" w:bidi="ar-SA"/>
        </w:rPr>
        <w:t>四、</w:t>
      </w:r>
      <w:bookmarkEnd w:id="51"/>
      <w:bookmarkEnd w:id="52"/>
      <w:bookmarkEnd w:id="53"/>
      <w:bookmarkEnd w:id="54"/>
      <w:bookmarkEnd w:id="55"/>
      <w:bookmarkEnd w:id="56"/>
      <w:r>
        <w:rPr>
          <w:rFonts w:hint="eastAsia" w:ascii="宋体" w:hAnsi="宋体" w:eastAsia="宋体" w:cs="宋体"/>
          <w:b/>
          <w:bCs/>
          <w:color w:val="auto"/>
          <w:kern w:val="2"/>
          <w:sz w:val="24"/>
          <w:szCs w:val="24"/>
          <w:highlight w:val="none"/>
          <w:lang w:val="hr-HR" w:eastAsia="zh-CN" w:bidi="ar-SA"/>
        </w:rPr>
        <w:t>提交投标文件截止时间</w:t>
      </w:r>
      <w:r>
        <w:rPr>
          <w:rFonts w:hint="eastAsia" w:ascii="宋体" w:hAnsi="宋体" w:eastAsia="宋体" w:cs="宋体"/>
          <w:b/>
          <w:bCs/>
          <w:color w:val="auto"/>
          <w:kern w:val="2"/>
          <w:sz w:val="24"/>
          <w:szCs w:val="24"/>
          <w:highlight w:val="none"/>
          <w:lang w:val="en-US" w:eastAsia="zh-CN" w:bidi="ar-SA"/>
        </w:rPr>
        <w:t>/</w:t>
      </w:r>
      <w:r>
        <w:rPr>
          <w:rFonts w:hint="eastAsia" w:ascii="宋体" w:hAnsi="宋体" w:eastAsia="宋体" w:cs="宋体"/>
          <w:b/>
          <w:bCs/>
          <w:color w:val="auto"/>
          <w:kern w:val="2"/>
          <w:sz w:val="24"/>
          <w:szCs w:val="24"/>
          <w:highlight w:val="none"/>
          <w:lang w:val="hr-HR" w:eastAsia="zh-CN" w:bidi="ar-SA"/>
        </w:rPr>
        <w:t>开标时间、递交方式和</w:t>
      </w:r>
      <w:r>
        <w:rPr>
          <w:rFonts w:hint="eastAsia" w:ascii="宋体" w:hAnsi="宋体" w:eastAsia="宋体" w:cs="宋体"/>
          <w:b/>
          <w:bCs/>
          <w:color w:val="auto"/>
          <w:kern w:val="2"/>
          <w:sz w:val="24"/>
          <w:szCs w:val="24"/>
          <w:highlight w:val="none"/>
          <w:lang w:val="en-US" w:eastAsia="zh-CN" w:bidi="ar-SA"/>
        </w:rPr>
        <w:t>开标</w:t>
      </w:r>
      <w:r>
        <w:rPr>
          <w:rFonts w:hint="eastAsia" w:ascii="宋体" w:hAnsi="宋体" w:eastAsia="宋体" w:cs="宋体"/>
          <w:b/>
          <w:bCs/>
          <w:color w:val="auto"/>
          <w:kern w:val="2"/>
          <w:sz w:val="24"/>
          <w:szCs w:val="24"/>
          <w:highlight w:val="none"/>
          <w:lang w:val="hr-HR" w:eastAsia="zh-CN" w:bidi="ar-SA"/>
        </w:rPr>
        <w:t>地点</w:t>
      </w:r>
      <w:bookmarkEnd w:id="57"/>
      <w:bookmarkStart w:id="58" w:name="_Hlk130457395"/>
      <w:bookmarkStart w:id="59" w:name="_Toc28359094"/>
      <w:bookmarkStart w:id="60" w:name="_Toc35393634"/>
      <w:bookmarkStart w:id="61" w:name="_Toc28359017"/>
      <w:bookmarkStart w:id="62" w:name="_Toc35393803"/>
      <w:bookmarkStart w:id="63" w:name="_Toc44583633"/>
    </w:p>
    <w:p w14:paraId="2D110B47">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ind w:firstLine="480" w:firstLineChars="200"/>
        <w:textAlignment w:val="auto"/>
        <w:rPr>
          <w:rFonts w:hint="eastAsia" w:ascii="宋体" w:hAnsi="宋体" w:eastAsia="宋体" w:cs="宋体"/>
          <w:b w:val="0"/>
          <w:bCs w:val="0"/>
          <w:color w:val="auto"/>
          <w:sz w:val="24"/>
          <w:highlight w:val="none"/>
        </w:rPr>
      </w:pPr>
      <w:bookmarkStart w:id="64" w:name="_Toc8573"/>
      <w:r>
        <w:rPr>
          <w:rFonts w:hint="eastAsia" w:ascii="宋体" w:hAnsi="宋体" w:eastAsia="宋体" w:cs="宋体"/>
          <w:b w:val="0"/>
          <w:bCs w:val="0"/>
          <w:color w:val="auto"/>
          <w:sz w:val="24"/>
          <w:highlight w:val="none"/>
        </w:rPr>
        <w:t>1.截止时间</w:t>
      </w:r>
      <w:r>
        <w:rPr>
          <w:rFonts w:hint="eastAsia" w:ascii="宋体" w:hAnsi="宋体" w:eastAsia="宋体" w:cs="宋体"/>
          <w:b w:val="0"/>
          <w:bCs w:val="0"/>
          <w:color w:val="auto"/>
          <w:sz w:val="24"/>
          <w:highlight w:val="none"/>
          <w:lang w:val="en-US"/>
        </w:rPr>
        <w:t>/</w:t>
      </w:r>
      <w:r>
        <w:rPr>
          <w:rFonts w:hint="eastAsia" w:ascii="宋体" w:hAnsi="宋体" w:eastAsia="宋体" w:cs="宋体"/>
          <w:b w:val="0"/>
          <w:bCs w:val="0"/>
          <w:color w:val="auto"/>
          <w:sz w:val="24"/>
          <w:highlight w:val="none"/>
        </w:rPr>
        <w:t>开标时间：</w:t>
      </w:r>
      <w:r>
        <w:rPr>
          <w:rFonts w:hint="eastAsia" w:ascii="宋体" w:hAnsi="宋体" w:cs="宋体"/>
          <w:b w:val="0"/>
          <w:bCs w:val="0"/>
          <w:color w:val="auto"/>
          <w:sz w:val="24"/>
          <w:highlight w:val="none"/>
          <w:u w:val="single"/>
          <w:lang w:val="en-US" w:eastAsia="zh-CN"/>
        </w:rPr>
        <w:t>2026</w:t>
      </w:r>
      <w:r>
        <w:rPr>
          <w:rFonts w:hint="eastAsia" w:ascii="宋体" w:hAnsi="宋体" w:eastAsia="宋体" w:cs="宋体"/>
          <w:b w:val="0"/>
          <w:bCs w:val="0"/>
          <w:color w:val="auto"/>
          <w:sz w:val="24"/>
          <w:highlight w:val="none"/>
          <w:u w:val="single"/>
        </w:rPr>
        <w:t>年</w:t>
      </w:r>
      <w:r>
        <w:rPr>
          <w:rFonts w:hint="eastAsia" w:ascii="宋体" w:hAnsi="宋体" w:cs="宋体"/>
          <w:b w:val="0"/>
          <w:bCs w:val="0"/>
          <w:color w:val="auto"/>
          <w:sz w:val="24"/>
          <w:highlight w:val="none"/>
          <w:u w:val="single"/>
          <w:lang w:val="en-US" w:eastAsia="zh-CN"/>
        </w:rPr>
        <w:t>06</w:t>
      </w:r>
      <w:r>
        <w:rPr>
          <w:rFonts w:hint="eastAsia" w:ascii="宋体" w:hAnsi="宋体" w:eastAsia="宋体" w:cs="宋体"/>
          <w:b w:val="0"/>
          <w:bCs w:val="0"/>
          <w:color w:val="auto"/>
          <w:sz w:val="24"/>
          <w:highlight w:val="none"/>
          <w:u w:val="single"/>
        </w:rPr>
        <w:t>月</w:t>
      </w:r>
      <w:r>
        <w:rPr>
          <w:rFonts w:hint="eastAsia" w:ascii="宋体" w:hAnsi="宋体" w:cs="宋体"/>
          <w:b w:val="0"/>
          <w:bCs w:val="0"/>
          <w:color w:val="auto"/>
          <w:sz w:val="24"/>
          <w:highlight w:val="none"/>
          <w:u w:val="single"/>
          <w:lang w:val="en-US" w:eastAsia="zh-CN"/>
        </w:rPr>
        <w:t>15</w:t>
      </w:r>
      <w:r>
        <w:rPr>
          <w:rFonts w:hint="eastAsia" w:ascii="宋体" w:hAnsi="宋体" w:eastAsia="宋体" w:cs="宋体"/>
          <w:b w:val="0"/>
          <w:bCs w:val="0"/>
          <w:color w:val="auto"/>
          <w:sz w:val="24"/>
          <w:highlight w:val="none"/>
          <w:u w:val="single"/>
        </w:rPr>
        <w:t>日</w:t>
      </w:r>
      <w:r>
        <w:rPr>
          <w:rFonts w:hint="eastAsia" w:ascii="宋体" w:hAnsi="宋体" w:cs="宋体"/>
          <w:b w:val="0"/>
          <w:bCs w:val="0"/>
          <w:color w:val="auto"/>
          <w:sz w:val="24"/>
          <w:highlight w:val="none"/>
          <w:u w:val="single"/>
          <w:lang w:val="en-US" w:eastAsia="zh-CN"/>
        </w:rPr>
        <w:t>10</w:t>
      </w:r>
      <w:r>
        <w:rPr>
          <w:rFonts w:hint="eastAsia" w:ascii="宋体" w:hAnsi="宋体" w:eastAsia="宋体" w:cs="宋体"/>
          <w:b w:val="0"/>
          <w:bCs w:val="0"/>
          <w:color w:val="auto"/>
          <w:sz w:val="24"/>
          <w:highlight w:val="none"/>
          <w:u w:val="single"/>
        </w:rPr>
        <w:t>时</w:t>
      </w:r>
      <w:r>
        <w:rPr>
          <w:rFonts w:hint="eastAsia" w:ascii="宋体" w:hAnsi="宋体" w:cs="宋体"/>
          <w:b w:val="0"/>
          <w:bCs w:val="0"/>
          <w:color w:val="auto"/>
          <w:sz w:val="24"/>
          <w:highlight w:val="none"/>
          <w:u w:val="single"/>
          <w:lang w:val="en-US" w:eastAsia="zh-CN"/>
        </w:rPr>
        <w:t>30</w:t>
      </w:r>
      <w:r>
        <w:rPr>
          <w:rFonts w:hint="eastAsia" w:ascii="宋体" w:hAnsi="宋体" w:eastAsia="宋体" w:cs="宋体"/>
          <w:b w:val="0"/>
          <w:bCs w:val="0"/>
          <w:color w:val="auto"/>
          <w:sz w:val="24"/>
          <w:highlight w:val="none"/>
          <w:u w:val="single"/>
        </w:rPr>
        <w:t>分</w:t>
      </w:r>
      <w:r>
        <w:rPr>
          <w:rFonts w:hint="eastAsia" w:ascii="宋体" w:hAnsi="宋体" w:eastAsia="宋体" w:cs="宋体"/>
          <w:b w:val="0"/>
          <w:bCs w:val="0"/>
          <w:color w:val="auto"/>
          <w:sz w:val="24"/>
          <w:highlight w:val="none"/>
        </w:rPr>
        <w:t>（北京时间）。</w:t>
      </w:r>
      <w:bookmarkEnd w:id="64"/>
    </w:p>
    <w:p w14:paraId="51B173F3">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2.递交方式：</w:t>
      </w:r>
      <w:bookmarkStart w:id="65" w:name="_Hlk89807823"/>
      <w:r>
        <w:rPr>
          <w:rFonts w:hint="eastAsia" w:ascii="宋体" w:hAnsi="宋体" w:eastAsia="宋体" w:cs="宋体"/>
          <w:color w:val="auto"/>
          <w:sz w:val="24"/>
          <w:highlight w:val="none"/>
        </w:rPr>
        <w:t>在政府采购电子交易云平台（网址：https://www.zcygov.cn/）进入“项目采购”应用，在投标文件上传菜单中选择项目进行上传。</w:t>
      </w:r>
      <w:bookmarkEnd w:id="65"/>
    </w:p>
    <w:p w14:paraId="276D3E17">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3.开标</w:t>
      </w:r>
      <w:r>
        <w:rPr>
          <w:rFonts w:hint="eastAsia" w:ascii="宋体" w:hAnsi="宋体" w:eastAsia="宋体" w:cs="宋体"/>
          <w:color w:val="auto"/>
          <w:sz w:val="24"/>
          <w:highlight w:val="none"/>
          <w:lang w:val="en-US"/>
        </w:rPr>
        <w:t>地点</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rPr>
        <w:t>投标</w:t>
      </w:r>
      <w:r>
        <w:rPr>
          <w:rFonts w:hint="eastAsia" w:ascii="宋体" w:hAnsi="宋体" w:eastAsia="宋体" w:cs="宋体"/>
          <w:color w:val="auto"/>
          <w:sz w:val="24"/>
          <w:highlight w:val="none"/>
          <w:lang w:val="en-US" w:eastAsia="zh-CN"/>
        </w:rPr>
        <w:t>人</w:t>
      </w:r>
      <w:r>
        <w:rPr>
          <w:rFonts w:hint="eastAsia" w:ascii="宋体" w:hAnsi="宋体" w:eastAsia="宋体" w:cs="宋体"/>
          <w:color w:val="auto"/>
          <w:sz w:val="24"/>
          <w:highlight w:val="none"/>
          <w:lang w:val="en-US"/>
        </w:rPr>
        <w:t>登录政采云平台https</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rPr>
        <w:t>//www.zcygov.cn/，进入项目采购-开</w:t>
      </w:r>
      <w:r>
        <w:rPr>
          <w:rFonts w:hint="eastAsia" w:ascii="宋体" w:hAnsi="宋体" w:eastAsia="宋体" w:cs="宋体"/>
          <w:color w:val="auto"/>
          <w:sz w:val="24"/>
          <w:highlight w:val="none"/>
          <w:lang w:val="en-US" w:eastAsia="zh-CN"/>
        </w:rPr>
        <w:t>标</w:t>
      </w:r>
      <w:r>
        <w:rPr>
          <w:rFonts w:hint="eastAsia" w:ascii="宋体" w:hAnsi="宋体" w:eastAsia="宋体" w:cs="宋体"/>
          <w:color w:val="auto"/>
          <w:sz w:val="24"/>
          <w:highlight w:val="none"/>
          <w:lang w:val="en-US"/>
        </w:rPr>
        <w:t>评标-右边选择对应项目点击“进入项目”进入开标大厅</w:t>
      </w:r>
      <w:r>
        <w:rPr>
          <w:rFonts w:hint="eastAsia" w:ascii="宋体" w:hAnsi="宋体" w:eastAsia="宋体" w:cs="宋体"/>
          <w:color w:val="auto"/>
          <w:sz w:val="24"/>
          <w:highlight w:val="none"/>
        </w:rPr>
        <w:t>。</w:t>
      </w:r>
    </w:p>
    <w:bookmarkEnd w:id="58"/>
    <w:p w14:paraId="679A69E0">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66" w:name="_Toc109900252"/>
      <w:bookmarkStart w:id="67" w:name="_Toc109899414"/>
      <w:bookmarkStart w:id="68" w:name="_Toc155185864"/>
      <w:bookmarkStart w:id="69" w:name="_Toc109899833"/>
      <w:bookmarkStart w:id="70" w:name="_Toc140132749"/>
      <w:bookmarkStart w:id="71" w:name="_Toc163492816"/>
      <w:bookmarkStart w:id="72" w:name="_Toc24676"/>
      <w:r>
        <w:rPr>
          <w:rFonts w:hint="eastAsia" w:ascii="宋体" w:hAnsi="宋体" w:eastAsia="宋体" w:cs="宋体"/>
          <w:b/>
          <w:bCs/>
          <w:color w:val="auto"/>
          <w:kern w:val="2"/>
          <w:sz w:val="24"/>
          <w:szCs w:val="24"/>
          <w:highlight w:val="none"/>
          <w:lang w:val="en-US" w:eastAsia="zh-CN" w:bidi="ar-SA"/>
        </w:rPr>
        <w:t>五、</w:t>
      </w:r>
      <w:r>
        <w:rPr>
          <w:rFonts w:hint="eastAsia" w:ascii="宋体" w:hAnsi="宋体" w:eastAsia="宋体" w:cs="宋体"/>
          <w:b/>
          <w:bCs/>
          <w:color w:val="auto"/>
          <w:kern w:val="2"/>
          <w:sz w:val="24"/>
          <w:szCs w:val="24"/>
          <w:highlight w:val="none"/>
          <w:lang w:val="hr-HR" w:eastAsia="zh-CN" w:bidi="ar-SA"/>
        </w:rPr>
        <w:t>公告期限</w:t>
      </w:r>
      <w:bookmarkEnd w:id="59"/>
      <w:bookmarkEnd w:id="60"/>
      <w:bookmarkEnd w:id="61"/>
      <w:bookmarkEnd w:id="62"/>
      <w:bookmarkEnd w:id="63"/>
      <w:bookmarkEnd w:id="66"/>
      <w:bookmarkEnd w:id="67"/>
      <w:bookmarkEnd w:id="68"/>
      <w:bookmarkEnd w:id="69"/>
      <w:bookmarkEnd w:id="70"/>
      <w:bookmarkEnd w:id="71"/>
      <w:bookmarkEnd w:id="72"/>
    </w:p>
    <w:p w14:paraId="32028F42">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自招标公告发布之日起5个工作日。</w:t>
      </w:r>
    </w:p>
    <w:p w14:paraId="20DD1AA0">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73" w:name="_Toc35393804"/>
      <w:bookmarkStart w:id="74" w:name="_Toc109899415"/>
      <w:bookmarkStart w:id="75" w:name="_Toc44583634"/>
      <w:bookmarkStart w:id="76" w:name="_Toc140132750"/>
      <w:bookmarkStart w:id="77" w:name="_Toc109900253"/>
      <w:bookmarkStart w:id="78" w:name="_Toc163492817"/>
      <w:bookmarkStart w:id="79" w:name="_Toc155185865"/>
      <w:bookmarkStart w:id="80" w:name="_Toc35393635"/>
      <w:bookmarkStart w:id="81" w:name="_Toc109899834"/>
      <w:bookmarkStart w:id="82" w:name="_Toc5198"/>
      <w:r>
        <w:rPr>
          <w:rFonts w:hint="eastAsia" w:ascii="宋体" w:hAnsi="宋体" w:eastAsia="宋体" w:cs="宋体"/>
          <w:b/>
          <w:bCs/>
          <w:color w:val="auto"/>
          <w:kern w:val="2"/>
          <w:sz w:val="24"/>
          <w:szCs w:val="24"/>
          <w:highlight w:val="none"/>
          <w:lang w:val="en-US" w:eastAsia="zh-CN" w:bidi="ar-SA"/>
        </w:rPr>
        <w:t>六、</w:t>
      </w:r>
      <w:r>
        <w:rPr>
          <w:rFonts w:hint="eastAsia" w:ascii="宋体" w:hAnsi="宋体" w:eastAsia="宋体" w:cs="宋体"/>
          <w:b/>
          <w:bCs/>
          <w:color w:val="auto"/>
          <w:kern w:val="2"/>
          <w:sz w:val="24"/>
          <w:szCs w:val="24"/>
          <w:highlight w:val="none"/>
          <w:lang w:val="hr-HR" w:eastAsia="zh-CN" w:bidi="ar-SA"/>
        </w:rPr>
        <w:t>其他补充事宜</w:t>
      </w:r>
      <w:bookmarkEnd w:id="73"/>
      <w:bookmarkEnd w:id="74"/>
      <w:bookmarkEnd w:id="75"/>
      <w:bookmarkEnd w:id="76"/>
      <w:bookmarkEnd w:id="77"/>
      <w:bookmarkEnd w:id="78"/>
      <w:bookmarkEnd w:id="79"/>
      <w:bookmarkEnd w:id="80"/>
      <w:bookmarkEnd w:id="81"/>
      <w:r>
        <w:rPr>
          <w:rFonts w:hint="eastAsia" w:ascii="宋体" w:hAnsi="宋体" w:eastAsia="宋体" w:cs="宋体"/>
          <w:b/>
          <w:bCs/>
          <w:color w:val="auto"/>
          <w:kern w:val="2"/>
          <w:sz w:val="24"/>
          <w:szCs w:val="24"/>
          <w:highlight w:val="none"/>
          <w:lang w:val="hr-HR" w:eastAsia="zh-CN" w:bidi="ar-SA"/>
        </w:rPr>
        <w:t>【如政采云平台信息内容更新，按最新内容自行修改】</w:t>
      </w:r>
      <w:bookmarkEnd w:id="82"/>
    </w:p>
    <w:p w14:paraId="30FA302A">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1、本项目实行网上投标，采用电子投标文件；</w:t>
      </w:r>
    </w:p>
    <w:p w14:paraId="40387C18">
      <w:pPr>
        <w:keepNext w:val="0"/>
        <w:keepLines w:val="0"/>
        <w:widowControl/>
        <w:suppressLineNumbers w:val="0"/>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2、各投标人应在开标前应确保成为政采云平台供应商，并完成CA数字证书（符合国密标准）申领。因未注册入库、未办理CA数字证书等原因造成无法投标或投标失败等后果由投标人自行承担。如需咨询，请联系新疆-安信CA 服务热线18399999326；翔晟CA 服务热线025-66085508；新疆CA 服务热线4000921999。 </w:t>
      </w:r>
    </w:p>
    <w:p w14:paraId="34AAF104">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3、投标人将政采云电子交易客户端下载、安装完成后，可通过账号密码或CA登录客户端进行投标文件的制作。在使用政采云</w:t>
      </w:r>
      <w:r>
        <w:rPr>
          <w:rFonts w:hint="eastAsia" w:cs="宋体"/>
          <w:color w:val="auto"/>
          <w:sz w:val="24"/>
          <w:highlight w:val="none"/>
          <w:lang w:val="en-US" w:eastAsia="zh-CN"/>
        </w:rPr>
        <w:t>“</w:t>
      </w:r>
      <w:r>
        <w:rPr>
          <w:rFonts w:hint="eastAsia" w:ascii="宋体" w:hAnsi="宋体" w:eastAsia="宋体" w:cs="宋体"/>
          <w:color w:val="auto"/>
          <w:sz w:val="24"/>
          <w:highlight w:val="none"/>
          <w:lang w:val="en-US" w:eastAsia="zh-CN"/>
        </w:rPr>
        <w:t>投标客户端</w:t>
      </w:r>
      <w:r>
        <w:rPr>
          <w:rFonts w:hint="eastAsia" w:cs="宋体"/>
          <w:color w:val="auto"/>
          <w:sz w:val="24"/>
          <w:highlight w:val="none"/>
          <w:lang w:val="en-US" w:eastAsia="zh-CN"/>
        </w:rPr>
        <w:t>”</w:t>
      </w:r>
      <w:r>
        <w:rPr>
          <w:rFonts w:hint="eastAsia" w:ascii="宋体" w:hAnsi="宋体" w:eastAsia="宋体" w:cs="宋体"/>
          <w:color w:val="auto"/>
          <w:sz w:val="24"/>
          <w:highlight w:val="none"/>
          <w:lang w:val="en-US" w:eastAsia="zh-CN"/>
        </w:rPr>
        <w:t>时，建议使用WIN7（64位）及以上操作系统。客户端请至</w:t>
      </w:r>
      <w:r>
        <w:rPr>
          <w:rFonts w:hint="eastAsia" w:cs="宋体"/>
          <w:color w:val="auto"/>
          <w:sz w:val="24"/>
          <w:highlight w:val="none"/>
          <w:lang w:val="en-US" w:eastAsia="zh-CN"/>
        </w:rPr>
        <w:t>新疆</w:t>
      </w:r>
      <w:r>
        <w:rPr>
          <w:rFonts w:hint="eastAsia" w:ascii="宋体" w:hAnsi="宋体" w:eastAsia="宋体" w:cs="宋体"/>
          <w:color w:val="auto"/>
          <w:sz w:val="24"/>
          <w:highlight w:val="none"/>
          <w:lang w:val="en-US" w:eastAsia="zh-CN"/>
        </w:rPr>
        <w:t>政府采购网（</w:t>
      </w:r>
      <w:r>
        <w:rPr>
          <w:rFonts w:hint="eastAsia" w:cs="宋体"/>
          <w:color w:val="auto"/>
          <w:sz w:val="24"/>
          <w:highlight w:val="none"/>
          <w:lang w:val="en-US" w:eastAsia="zh-CN"/>
        </w:rPr>
        <w:t>http://www.ccgp-xinjiang.gov.cn/</w:t>
      </w:r>
      <w:r>
        <w:rPr>
          <w:rFonts w:hint="eastAsia" w:ascii="宋体" w:hAnsi="宋体" w:eastAsia="宋体" w:cs="宋体"/>
          <w:color w:val="auto"/>
          <w:sz w:val="24"/>
          <w:highlight w:val="none"/>
          <w:lang w:val="en-US" w:eastAsia="zh-CN"/>
        </w:rPr>
        <w:t>）下载专区查看，如有问题可拨打政采云客户服务热线95763进行咨询。如因投标人自身原因导致在规定时间内无法正常解密的（如：浏览器故障、未安装相关驱动、网络故障、加密CA与解密CA不一致等），视为投标人自动弃标。</w:t>
      </w:r>
    </w:p>
    <w:p w14:paraId="40426368">
      <w:pPr>
        <w:pStyle w:val="8"/>
        <w:keepNext w:val="0"/>
        <w:keepLines w:val="0"/>
        <w:widowControl/>
        <w:suppressLineNumbers w:val="0"/>
        <w:spacing w:before="0" w:beforeAutospacing="0" w:after="0" w:afterAutospacing="0" w:line="301" w:lineRule="auto"/>
        <w:ind w:left="0" w:firstLine="428"/>
        <w:contextualSpacing/>
        <w:jc w:val="left"/>
        <w:rPr>
          <w:rFonts w:hint="eastAsia" w:ascii="宋体" w:hAnsi="宋体" w:eastAsia="宋体" w:cs="宋体"/>
          <w:iCs/>
          <w:color w:val="auto"/>
          <w:kern w:val="2"/>
          <w:sz w:val="24"/>
          <w:szCs w:val="22"/>
          <w:highlight w:val="none"/>
          <w:shd w:val="clear" w:color="auto" w:fill="FFFFFF" w:themeFill="background1"/>
          <w:lang w:val="en-US" w:eastAsia="zh-CN" w:bidi="ar-SA"/>
        </w:rPr>
      </w:pPr>
      <w:r>
        <w:rPr>
          <w:rFonts w:hint="eastAsia" w:ascii="宋体" w:hAnsi="宋体" w:eastAsia="宋体" w:cs="宋体"/>
          <w:color w:val="auto"/>
          <w:sz w:val="24"/>
          <w:highlight w:val="none"/>
          <w:lang w:val="en-US" w:eastAsia="zh-CN"/>
        </w:rPr>
        <w:t>4、</w:t>
      </w:r>
      <w:r>
        <w:rPr>
          <w:rFonts w:hint="eastAsia" w:ascii="宋体" w:hAnsi="宋体" w:eastAsia="宋体" w:cs="宋体"/>
          <w:iCs/>
          <w:color w:val="auto"/>
          <w:kern w:val="2"/>
          <w:sz w:val="24"/>
          <w:szCs w:val="22"/>
          <w:highlight w:val="none"/>
          <w:shd w:val="clear" w:color="auto" w:fill="FFFFFF" w:themeFill="background1"/>
          <w:lang w:val="en-US" w:eastAsia="zh-CN" w:bidi="ar-SA"/>
        </w:rPr>
        <w:t>其他事项：</w:t>
      </w:r>
    </w:p>
    <w:p w14:paraId="2C80B2AB">
      <w:pPr>
        <w:pStyle w:val="8"/>
        <w:keepNext w:val="0"/>
        <w:keepLines w:val="0"/>
        <w:widowControl/>
        <w:suppressLineNumbers w:val="0"/>
        <w:spacing w:before="0" w:beforeAutospacing="0" w:after="0" w:afterAutospacing="0" w:line="301" w:lineRule="auto"/>
        <w:ind w:left="0" w:firstLine="428"/>
        <w:contextualSpacing/>
        <w:jc w:val="left"/>
        <w:rPr>
          <w:rFonts w:hint="eastAsia" w:ascii="宋体" w:hAnsi="宋体" w:eastAsia="宋体" w:cs="宋体"/>
          <w:iCs/>
          <w:color w:val="auto"/>
          <w:kern w:val="2"/>
          <w:sz w:val="24"/>
          <w:szCs w:val="22"/>
          <w:highlight w:val="none"/>
          <w:shd w:val="clear" w:color="auto" w:fill="FFFFFF" w:themeFill="background1"/>
          <w:lang w:val="en-US" w:eastAsia="zh-CN" w:bidi="ar-SA"/>
        </w:rPr>
      </w:pPr>
      <w:r>
        <w:rPr>
          <w:rFonts w:hint="eastAsia" w:ascii="宋体" w:hAnsi="宋体" w:eastAsia="宋体" w:cs="宋体"/>
          <w:iCs/>
          <w:color w:val="auto"/>
          <w:kern w:val="2"/>
          <w:sz w:val="24"/>
          <w:szCs w:val="22"/>
          <w:highlight w:val="none"/>
          <w:shd w:val="clear" w:color="auto" w:fill="FFFFFF" w:themeFill="background1"/>
          <w:lang w:val="en-US" w:eastAsia="zh-CN" w:bidi="ar-SA"/>
        </w:rPr>
        <w:t>特别提示：</w:t>
      </w:r>
    </w:p>
    <w:p w14:paraId="763399D5">
      <w:pPr>
        <w:pStyle w:val="8"/>
        <w:keepNext w:val="0"/>
        <w:keepLines w:val="0"/>
        <w:widowControl/>
        <w:suppressLineNumbers w:val="0"/>
        <w:spacing w:before="0" w:beforeAutospacing="0" w:after="0" w:afterAutospacing="0" w:line="301" w:lineRule="auto"/>
        <w:ind w:left="0" w:firstLine="428"/>
        <w:contextualSpacing/>
        <w:jc w:val="left"/>
        <w:rPr>
          <w:rFonts w:hint="eastAsia" w:ascii="宋体" w:hAnsi="宋体" w:eastAsia="宋体" w:cs="宋体"/>
          <w:iCs/>
          <w:color w:val="auto"/>
          <w:kern w:val="2"/>
          <w:sz w:val="24"/>
          <w:szCs w:val="22"/>
          <w:highlight w:val="none"/>
          <w:shd w:val="clear" w:color="auto" w:fill="FFFFFF" w:themeFill="background1"/>
          <w:lang w:val="en-US" w:eastAsia="zh-CN" w:bidi="ar-SA"/>
        </w:rPr>
      </w:pPr>
      <w:r>
        <w:rPr>
          <w:rFonts w:hint="eastAsia" w:ascii="宋体" w:hAnsi="宋体" w:eastAsia="宋体" w:cs="宋体"/>
          <w:iCs/>
          <w:color w:val="auto"/>
          <w:kern w:val="2"/>
          <w:sz w:val="24"/>
          <w:szCs w:val="22"/>
          <w:highlight w:val="none"/>
          <w:shd w:val="clear" w:color="auto" w:fill="FFFFFF" w:themeFill="background1"/>
          <w:lang w:val="en-US" w:eastAsia="zh-CN" w:bidi="ar-SA"/>
        </w:rPr>
        <w:t>1.采购限额标准以上，200 万元以下的货物和服务采购项目、400 万元以下的工程采购项目，适宜由中小企业提供的，采购人应当专门面向中小企业采购。</w:t>
      </w:r>
    </w:p>
    <w:p w14:paraId="5DB1D4EE">
      <w:pPr>
        <w:pStyle w:val="8"/>
        <w:keepNext w:val="0"/>
        <w:keepLines w:val="0"/>
        <w:widowControl/>
        <w:suppressLineNumbers w:val="0"/>
        <w:spacing w:before="0" w:beforeAutospacing="0" w:after="0" w:afterAutospacing="0" w:line="290" w:lineRule="auto"/>
        <w:ind w:left="0" w:firstLine="416"/>
        <w:contextualSpacing/>
        <w:jc w:val="left"/>
        <w:rPr>
          <w:rFonts w:hint="eastAsia" w:ascii="宋体" w:hAnsi="宋体" w:eastAsia="宋体" w:cs="宋体"/>
          <w:iCs/>
          <w:color w:val="auto"/>
          <w:kern w:val="2"/>
          <w:sz w:val="24"/>
          <w:szCs w:val="22"/>
          <w:highlight w:val="none"/>
          <w:shd w:val="clear" w:color="auto" w:fill="FFFFFF" w:themeFill="background1"/>
          <w:lang w:val="en-US" w:eastAsia="zh-CN" w:bidi="ar-SA"/>
        </w:rPr>
      </w:pPr>
      <w:r>
        <w:rPr>
          <w:rFonts w:hint="eastAsia" w:ascii="宋体" w:hAnsi="宋体" w:eastAsia="宋体" w:cs="宋体"/>
          <w:iCs/>
          <w:color w:val="auto"/>
          <w:kern w:val="2"/>
          <w:sz w:val="24"/>
          <w:szCs w:val="22"/>
          <w:highlight w:val="none"/>
          <w:shd w:val="clear" w:color="auto" w:fill="FFFFFF" w:themeFill="background1"/>
          <w:lang w:val="en-US" w:eastAsia="zh-CN" w:bidi="ar-SA"/>
        </w:rPr>
        <w:t>2.超过200 万元的货物和服务采购项目，预留该部分采购项目预算总额的30%以上专门面向中小企业采购，其中预留给小微企业的比例不低于60%。</w:t>
      </w:r>
    </w:p>
    <w:p w14:paraId="2FC94D6C">
      <w:pPr>
        <w:pStyle w:val="8"/>
        <w:keepNext w:val="0"/>
        <w:keepLines w:val="0"/>
        <w:widowControl/>
        <w:suppressLineNumbers w:val="0"/>
        <w:spacing w:before="0" w:beforeAutospacing="0" w:after="0" w:afterAutospacing="0" w:line="290" w:lineRule="auto"/>
        <w:ind w:left="0" w:firstLine="418"/>
        <w:contextualSpacing/>
        <w:jc w:val="left"/>
        <w:rPr>
          <w:rFonts w:hint="eastAsia" w:ascii="宋体" w:hAnsi="宋体" w:eastAsia="宋体" w:cs="宋体"/>
          <w:iCs/>
          <w:color w:val="auto"/>
          <w:kern w:val="2"/>
          <w:sz w:val="24"/>
          <w:szCs w:val="22"/>
          <w:highlight w:val="none"/>
          <w:shd w:val="clear" w:color="auto" w:fill="FFFFFF" w:themeFill="background1"/>
          <w:lang w:val="en-US" w:eastAsia="zh-CN" w:bidi="ar-SA"/>
        </w:rPr>
      </w:pPr>
      <w:r>
        <w:rPr>
          <w:rFonts w:hint="eastAsia" w:ascii="宋体" w:hAnsi="宋体" w:eastAsia="宋体" w:cs="宋体"/>
          <w:iCs/>
          <w:color w:val="auto"/>
          <w:kern w:val="2"/>
          <w:sz w:val="24"/>
          <w:szCs w:val="22"/>
          <w:highlight w:val="none"/>
          <w:shd w:val="clear" w:color="auto" w:fill="FFFFFF" w:themeFill="background1"/>
          <w:lang w:val="en-US" w:eastAsia="zh-CN" w:bidi="ar-SA"/>
        </w:rPr>
        <w:t>3.超过400 万元的工程采购项目中适宜由中小企业提供的，预留该部分采购项目预算总额的40%以上专门面向中小企业采购，其中预留给小微企业的比例不低于60%。</w:t>
      </w:r>
    </w:p>
    <w:p w14:paraId="2E6E47A0">
      <w:pPr>
        <w:pStyle w:val="8"/>
        <w:keepNext w:val="0"/>
        <w:keepLines w:val="0"/>
        <w:widowControl/>
        <w:suppressLineNumbers w:val="0"/>
        <w:spacing w:before="0" w:beforeAutospacing="0" w:after="0" w:afterAutospacing="0" w:line="290" w:lineRule="auto"/>
        <w:ind w:left="0" w:firstLine="412"/>
        <w:contextualSpacing/>
        <w:jc w:val="left"/>
        <w:rPr>
          <w:rFonts w:hint="eastAsia" w:ascii="宋体" w:hAnsi="宋体" w:eastAsia="宋体" w:cs="宋体"/>
          <w:iCs/>
          <w:color w:val="auto"/>
          <w:kern w:val="2"/>
          <w:sz w:val="24"/>
          <w:szCs w:val="22"/>
          <w:highlight w:val="none"/>
          <w:shd w:val="clear" w:color="auto" w:fill="FFFFFF" w:themeFill="background1"/>
          <w:lang w:val="en-US" w:eastAsia="zh-CN" w:bidi="ar-SA"/>
        </w:rPr>
      </w:pPr>
      <w:r>
        <w:rPr>
          <w:rFonts w:hint="eastAsia" w:ascii="宋体" w:hAnsi="宋体" w:eastAsia="宋体" w:cs="宋体"/>
          <w:iCs/>
          <w:color w:val="auto"/>
          <w:kern w:val="2"/>
          <w:sz w:val="24"/>
          <w:szCs w:val="22"/>
          <w:highlight w:val="none"/>
          <w:shd w:val="clear" w:color="auto" w:fill="FFFFFF" w:themeFill="background1"/>
          <w:lang w:val="en-US" w:eastAsia="zh-CN" w:bidi="ar-SA"/>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2658125B">
      <w:pPr>
        <w:pStyle w:val="8"/>
        <w:keepNext w:val="0"/>
        <w:keepLines w:val="0"/>
        <w:widowControl/>
        <w:suppressLineNumbers w:val="0"/>
        <w:spacing w:before="0" w:beforeAutospacing="0" w:after="0" w:afterAutospacing="0" w:line="290" w:lineRule="auto"/>
        <w:ind w:left="0" w:firstLine="418"/>
        <w:contextualSpacing/>
        <w:jc w:val="left"/>
        <w:rPr>
          <w:rFonts w:hint="eastAsia" w:ascii="宋体" w:hAnsi="宋体" w:eastAsia="宋体" w:cs="宋体"/>
          <w:iCs/>
          <w:color w:val="auto"/>
          <w:kern w:val="2"/>
          <w:sz w:val="24"/>
          <w:szCs w:val="22"/>
          <w:highlight w:val="none"/>
          <w:shd w:val="clear" w:color="auto" w:fill="FFFFFF" w:themeFill="background1"/>
          <w:lang w:val="en-US" w:eastAsia="zh-CN" w:bidi="ar-SA"/>
        </w:rPr>
      </w:pPr>
      <w:r>
        <w:rPr>
          <w:rFonts w:hint="eastAsia" w:ascii="宋体" w:hAnsi="宋体" w:eastAsia="宋体" w:cs="宋体"/>
          <w:iCs/>
          <w:color w:val="auto"/>
          <w:kern w:val="2"/>
          <w:sz w:val="24"/>
          <w:szCs w:val="22"/>
          <w:highlight w:val="none"/>
          <w:shd w:val="clear" w:color="auto" w:fill="FFFFFF" w:themeFill="background1"/>
          <w:lang w:val="en-US" w:eastAsia="zh-CN" w:bidi="ar-SA"/>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723251BD">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83" w:name="_Toc44583635"/>
      <w:bookmarkStart w:id="84" w:name="_Toc109899416"/>
      <w:bookmarkStart w:id="85" w:name="_Toc155185866"/>
      <w:bookmarkStart w:id="86" w:name="_Toc28359095"/>
      <w:bookmarkStart w:id="87" w:name="_Toc140132751"/>
      <w:bookmarkStart w:id="88" w:name="_Toc109900254"/>
      <w:bookmarkStart w:id="89" w:name="_Toc109899835"/>
      <w:bookmarkStart w:id="90" w:name="_Toc35393805"/>
      <w:bookmarkStart w:id="91" w:name="_Toc28359018"/>
      <w:bookmarkStart w:id="92" w:name="_Toc35393636"/>
      <w:bookmarkStart w:id="93" w:name="_Toc163492818"/>
      <w:bookmarkStart w:id="94" w:name="_Toc31968"/>
      <w:r>
        <w:rPr>
          <w:rFonts w:hint="eastAsia" w:ascii="宋体" w:hAnsi="宋体" w:eastAsia="宋体" w:cs="宋体"/>
          <w:b/>
          <w:bCs/>
          <w:color w:val="auto"/>
          <w:kern w:val="2"/>
          <w:sz w:val="24"/>
          <w:szCs w:val="24"/>
          <w:highlight w:val="none"/>
          <w:lang w:val="en-US" w:eastAsia="zh-CN" w:bidi="ar-SA"/>
        </w:rPr>
        <w:t>七、</w:t>
      </w:r>
      <w:bookmarkEnd w:id="83"/>
      <w:bookmarkEnd w:id="84"/>
      <w:bookmarkEnd w:id="85"/>
      <w:bookmarkEnd w:id="86"/>
      <w:bookmarkEnd w:id="87"/>
      <w:bookmarkEnd w:id="88"/>
      <w:bookmarkEnd w:id="89"/>
      <w:bookmarkEnd w:id="90"/>
      <w:bookmarkEnd w:id="91"/>
      <w:bookmarkEnd w:id="92"/>
      <w:bookmarkEnd w:id="93"/>
      <w:r>
        <w:rPr>
          <w:rFonts w:hint="eastAsia" w:ascii="宋体" w:hAnsi="宋体" w:eastAsia="宋体" w:cs="宋体"/>
          <w:b/>
          <w:bCs/>
          <w:color w:val="auto"/>
          <w:kern w:val="2"/>
          <w:sz w:val="24"/>
          <w:szCs w:val="24"/>
          <w:highlight w:val="none"/>
          <w:lang w:val="hr-HR" w:eastAsia="zh-CN" w:bidi="ar-SA"/>
        </w:rPr>
        <w:t>对本次</w:t>
      </w:r>
      <w:r>
        <w:rPr>
          <w:rFonts w:hint="eastAsia" w:ascii="宋体" w:hAnsi="宋体" w:eastAsia="宋体" w:cs="宋体"/>
          <w:b/>
          <w:bCs/>
          <w:color w:val="auto"/>
          <w:kern w:val="2"/>
          <w:sz w:val="24"/>
          <w:szCs w:val="24"/>
          <w:highlight w:val="none"/>
          <w:lang w:val="en-US" w:eastAsia="zh-CN" w:bidi="ar-SA"/>
        </w:rPr>
        <w:t>招标</w:t>
      </w:r>
      <w:r>
        <w:rPr>
          <w:rFonts w:hint="eastAsia" w:ascii="宋体" w:hAnsi="宋体" w:eastAsia="宋体" w:cs="宋体"/>
          <w:b/>
          <w:bCs/>
          <w:color w:val="auto"/>
          <w:kern w:val="2"/>
          <w:sz w:val="24"/>
          <w:szCs w:val="24"/>
          <w:highlight w:val="none"/>
          <w:lang w:val="hr-HR" w:eastAsia="zh-CN" w:bidi="ar-SA"/>
        </w:rPr>
        <w:t>提出询问，请按以下方式联系</w:t>
      </w:r>
      <w:bookmarkEnd w:id="94"/>
    </w:p>
    <w:p w14:paraId="3EEAC95D">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bookmarkStart w:id="95" w:name="_Toc28359096"/>
      <w:bookmarkStart w:id="96" w:name="_Toc28359019"/>
      <w:bookmarkStart w:id="97" w:name="_Toc35393637"/>
      <w:bookmarkStart w:id="98" w:name="_Toc35393806"/>
      <w:r>
        <w:rPr>
          <w:rFonts w:hint="eastAsia" w:ascii="宋体" w:hAnsi="宋体" w:eastAsia="宋体" w:cs="宋体"/>
          <w:color w:val="auto"/>
          <w:sz w:val="24"/>
          <w:highlight w:val="none"/>
        </w:rPr>
        <w:t>1.采购人信息</w:t>
      </w:r>
      <w:bookmarkEnd w:id="95"/>
      <w:bookmarkEnd w:id="96"/>
      <w:bookmarkEnd w:id="97"/>
      <w:bookmarkEnd w:id="98"/>
    </w:p>
    <w:p w14:paraId="78A2EFA3">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哈密市第八幼儿园</w:t>
      </w:r>
    </w:p>
    <w:p w14:paraId="1DD202A8">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u w:val="single"/>
        </w:rPr>
        <w:t>伊州区翰林路与红柳路交叉口东180米</w:t>
      </w:r>
    </w:p>
    <w:p w14:paraId="676204EA">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联系方式：</w:t>
      </w:r>
      <w:bookmarkStart w:id="99" w:name="_Hlk46775675"/>
      <w:r>
        <w:rPr>
          <w:rFonts w:hint="eastAsia" w:ascii="宋体" w:hAnsi="宋体" w:eastAsia="宋体" w:cs="宋体"/>
          <w:color w:val="auto"/>
          <w:sz w:val="24"/>
          <w:highlight w:val="none"/>
          <w:u w:val="single"/>
        </w:rPr>
        <w:t>15699197488</w:t>
      </w:r>
    </w:p>
    <w:bookmarkEnd w:id="99"/>
    <w:p w14:paraId="5C798AB6">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bookmarkStart w:id="100" w:name="_Toc35393807"/>
      <w:bookmarkStart w:id="101" w:name="_Toc28359097"/>
      <w:bookmarkStart w:id="102" w:name="_Toc28359020"/>
      <w:bookmarkStart w:id="103" w:name="_Toc35393638"/>
      <w:r>
        <w:rPr>
          <w:rFonts w:hint="eastAsia" w:ascii="宋体" w:hAnsi="宋体" w:eastAsia="宋体" w:cs="宋体"/>
          <w:color w:val="auto"/>
          <w:sz w:val="24"/>
          <w:highlight w:val="none"/>
        </w:rPr>
        <w:t>2.采购代理机构信息</w:t>
      </w:r>
      <w:bookmarkEnd w:id="100"/>
      <w:bookmarkEnd w:id="101"/>
      <w:bookmarkEnd w:id="102"/>
      <w:bookmarkEnd w:id="103"/>
    </w:p>
    <w:p w14:paraId="5E585559">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名称：</w:t>
      </w:r>
      <w:r>
        <w:rPr>
          <w:rFonts w:hint="eastAsia" w:cs="宋体"/>
          <w:color w:val="auto"/>
          <w:sz w:val="24"/>
          <w:highlight w:val="none"/>
          <w:u w:val="single"/>
          <w:lang w:val="en-US" w:eastAsia="zh-CN"/>
        </w:rPr>
        <w:t>新疆筑石工程项目管理有限公司</w:t>
      </w:r>
    </w:p>
    <w:p w14:paraId="2395F894">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地址：</w:t>
      </w:r>
      <w:r>
        <w:rPr>
          <w:rFonts w:hint="eastAsia" w:cs="宋体"/>
          <w:color w:val="auto"/>
          <w:sz w:val="24"/>
          <w:highlight w:val="none"/>
          <w:u w:val="single"/>
          <w:lang w:val="en-US" w:eastAsia="zh-CN"/>
        </w:rPr>
        <w:t>新疆哈密市大营房百花路红星名筑大厦2102号</w:t>
      </w:r>
    </w:p>
    <w:p w14:paraId="7EBA1364">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联系方式：</w:t>
      </w:r>
      <w:r>
        <w:rPr>
          <w:rFonts w:hint="eastAsia" w:cs="宋体"/>
          <w:color w:val="auto"/>
          <w:sz w:val="24"/>
          <w:highlight w:val="none"/>
          <w:u w:val="single"/>
          <w:lang w:val="en-US" w:eastAsia="zh-CN"/>
        </w:rPr>
        <w:t>19190861077</w:t>
      </w:r>
    </w:p>
    <w:p w14:paraId="28B1182B">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szCs w:val="24"/>
          <w:highlight w:val="none"/>
          <w:lang w:val="en-US" w:eastAsia="zh-CN"/>
        </w:rPr>
      </w:pPr>
      <w:bookmarkStart w:id="104" w:name="_Toc28359098"/>
      <w:bookmarkStart w:id="105" w:name="_Toc35393808"/>
      <w:bookmarkStart w:id="106" w:name="_Toc35393639"/>
      <w:bookmarkStart w:id="107" w:name="_Toc28359021"/>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项目联系方式</w:t>
      </w:r>
    </w:p>
    <w:p w14:paraId="7E6118A7">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val="en-US" w:eastAsia="zh-CN"/>
        </w:rPr>
        <w:t>项目</w:t>
      </w:r>
      <w:r>
        <w:rPr>
          <w:rFonts w:hint="eastAsia" w:ascii="宋体" w:hAnsi="宋体" w:eastAsia="宋体" w:cs="宋体"/>
          <w:color w:val="auto"/>
          <w:sz w:val="24"/>
          <w:szCs w:val="24"/>
          <w:highlight w:val="none"/>
        </w:rPr>
        <w:t>联系人：</w:t>
      </w:r>
      <w:r>
        <w:rPr>
          <w:rFonts w:hint="eastAsia" w:cs="宋体"/>
          <w:color w:val="auto"/>
          <w:sz w:val="24"/>
          <w:szCs w:val="24"/>
          <w:highlight w:val="none"/>
          <w:u w:val="single"/>
          <w:lang w:val="en-US" w:eastAsia="zh-CN"/>
        </w:rPr>
        <w:t>王先生</w:t>
      </w:r>
    </w:p>
    <w:bookmarkEnd w:id="104"/>
    <w:bookmarkEnd w:id="105"/>
    <w:bookmarkEnd w:id="106"/>
    <w:bookmarkEnd w:id="107"/>
    <w:p w14:paraId="567D1B59">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default"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val="en-US" w:eastAsia="zh-CN"/>
        </w:rPr>
        <w:t>电话：</w:t>
      </w:r>
      <w:r>
        <w:rPr>
          <w:rFonts w:hint="eastAsia" w:cs="宋体"/>
          <w:color w:val="auto"/>
          <w:sz w:val="24"/>
          <w:szCs w:val="24"/>
          <w:highlight w:val="none"/>
          <w:u w:val="single"/>
          <w:lang w:val="en-US" w:eastAsia="zh-CN"/>
        </w:rPr>
        <w:t>19190861077</w:t>
      </w:r>
    </w:p>
    <w:p w14:paraId="3EF17BC4">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p w14:paraId="3ADF3AE0">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p w14:paraId="3B793992">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p w14:paraId="34A5BC61">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p w14:paraId="10B047C1">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p>
    <w:p w14:paraId="4D23FB4C">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108" w:name="_Toc29609"/>
      <w:bookmarkStart w:id="109" w:name="_Toc155185867"/>
      <w:bookmarkStart w:id="110" w:name="_Toc163492819"/>
      <w:r>
        <w:rPr>
          <w:rFonts w:hint="eastAsia" w:ascii="宋体" w:hAnsi="宋体" w:eastAsia="宋体" w:cs="宋体"/>
          <w:b/>
          <w:bCs/>
          <w:color w:val="auto"/>
          <w:kern w:val="44"/>
          <w:sz w:val="36"/>
          <w:szCs w:val="36"/>
          <w:highlight w:val="none"/>
          <w:lang w:val="en-US" w:eastAsia="zh-CN" w:bidi="ar-SA"/>
        </w:rPr>
        <w:t>第二章 投标人须知</w:t>
      </w:r>
      <w:bookmarkEnd w:id="108"/>
      <w:bookmarkEnd w:id="109"/>
      <w:bookmarkEnd w:id="110"/>
    </w:p>
    <w:bookmarkEnd w:id="4"/>
    <w:p w14:paraId="5A1F6903">
      <w:pPr>
        <w:pStyle w:val="3"/>
        <w:keepNext/>
        <w:keepLines/>
        <w:pageBreakBefore w:val="0"/>
        <w:widowControl w:val="0"/>
        <w:numPr>
          <w:ilvl w:val="0"/>
          <w:numId w:val="0"/>
        </w:numPr>
        <w:kinsoku/>
        <w:wordWrap/>
        <w:overflowPunct/>
        <w:topLinePunct w:val="0"/>
        <w:autoSpaceDE/>
        <w:autoSpaceDN/>
        <w:bidi w:val="0"/>
        <w:adjustRightInd/>
        <w:snapToGrid/>
        <w:spacing w:before="80" w:after="8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111" w:name="_Toc163492820"/>
      <w:bookmarkStart w:id="112" w:name="_Toc155185868"/>
      <w:bookmarkStart w:id="113" w:name="_Toc1412"/>
      <w:r>
        <w:rPr>
          <w:rFonts w:hint="eastAsia" w:eastAsia="宋体" w:asciiTheme="majorHAnsi" w:hAnsiTheme="majorHAnsi" w:cstheme="majorBidi"/>
          <w:b/>
          <w:bCs/>
          <w:color w:val="auto"/>
          <w:kern w:val="2"/>
          <w:sz w:val="28"/>
          <w:szCs w:val="28"/>
          <w:highlight w:val="none"/>
          <w:lang w:val="en-US" w:eastAsia="zh-CN" w:bidi="ar-SA"/>
        </w:rPr>
        <w:t>一、投标人须知前附表</w:t>
      </w:r>
      <w:bookmarkEnd w:id="111"/>
      <w:bookmarkEnd w:id="112"/>
      <w:bookmarkEnd w:id="113"/>
    </w:p>
    <w:p w14:paraId="7F3ACB7A">
      <w:pPr>
        <w:pStyle w:val="38"/>
        <w:rPr>
          <w:rFonts w:hint="default" w:eastAsia="宋体"/>
          <w:color w:val="auto"/>
          <w:sz w:val="24"/>
          <w:szCs w:val="24"/>
          <w:highlight w:val="none"/>
          <w:lang w:val="en-US" w:eastAsia="zh-CN"/>
        </w:rPr>
      </w:pPr>
      <w:r>
        <w:rPr>
          <w:rFonts w:hint="eastAsia"/>
          <w:color w:val="auto"/>
          <w:sz w:val="24"/>
          <w:szCs w:val="24"/>
          <w:highlight w:val="none"/>
        </w:rPr>
        <w:t>投标人应仔细阅读本招标文件的第二章“投标人须知”，下面所列资料是对“投标人须知”的具体补充和说明</w:t>
      </w:r>
      <w:r>
        <w:rPr>
          <w:rFonts w:hint="eastAsia"/>
          <w:color w:val="auto"/>
          <w:sz w:val="24"/>
          <w:szCs w:val="24"/>
          <w:highlight w:val="none"/>
          <w:lang w:eastAsia="zh-CN"/>
        </w:rPr>
        <w:t>，</w:t>
      </w:r>
      <w:r>
        <w:rPr>
          <w:rFonts w:hint="eastAsia"/>
          <w:color w:val="auto"/>
          <w:sz w:val="24"/>
          <w:szCs w:val="24"/>
          <w:highlight w:val="none"/>
        </w:rPr>
        <w:t>如有矛盾，应以本表为准。</w:t>
      </w:r>
      <w:r>
        <w:rPr>
          <w:rFonts w:hint="eastAsia"/>
          <w:color w:val="auto"/>
          <w:sz w:val="24"/>
          <w:szCs w:val="24"/>
          <w:highlight w:val="none"/>
          <w:lang w:val="en-US" w:eastAsia="zh-CN"/>
        </w:rPr>
        <w:t>标记“</w:t>
      </w:r>
      <w:r>
        <w:rPr>
          <w:rFonts w:hint="eastAsia" w:ascii="宋体" w:hAnsi="宋体" w:eastAsia="宋体"/>
          <w:color w:val="auto"/>
          <w:sz w:val="24"/>
          <w:szCs w:val="24"/>
          <w:highlight w:val="none"/>
          <w:lang w:val="en-US" w:eastAsia="zh-CN"/>
        </w:rPr>
        <w:t>☑”的选项意为适用于本项目，标记“□”的选项意为不适用于本项目。</w:t>
      </w:r>
    </w:p>
    <w:tbl>
      <w:tblPr>
        <w:tblStyle w:val="30"/>
        <w:tblW w:w="9408" w:type="dxa"/>
        <w:tblInd w:w="-35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108" w:type="dxa"/>
          <w:bottom w:w="57" w:type="dxa"/>
          <w:right w:w="108" w:type="dxa"/>
        </w:tblCellMar>
      </w:tblPr>
      <w:tblGrid>
        <w:gridCol w:w="970"/>
        <w:gridCol w:w="1738"/>
        <w:gridCol w:w="6700"/>
      </w:tblGrid>
      <w:tr w14:paraId="1B64B2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73" w:hRule="atLeast"/>
          <w:tblHeader/>
        </w:trPr>
        <w:tc>
          <w:tcPr>
            <w:tcW w:w="97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C4440DB">
            <w:pPr>
              <w:pStyle w:val="5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条款号</w:t>
            </w:r>
          </w:p>
        </w:tc>
        <w:tc>
          <w:tcPr>
            <w:tcW w:w="173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B9EABEB">
            <w:pPr>
              <w:pStyle w:val="5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条款名称</w:t>
            </w:r>
          </w:p>
        </w:tc>
        <w:tc>
          <w:tcPr>
            <w:tcW w:w="670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C7B3B70">
            <w:pPr>
              <w:pStyle w:val="5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内  容</w:t>
            </w:r>
          </w:p>
        </w:tc>
      </w:tr>
      <w:tr w14:paraId="46137A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60441C76">
            <w:pPr>
              <w:pStyle w:val="5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2.5</w:t>
            </w:r>
          </w:p>
        </w:tc>
        <w:tc>
          <w:tcPr>
            <w:tcW w:w="1738" w:type="dxa"/>
            <w:vAlign w:val="center"/>
          </w:tcPr>
          <w:p w14:paraId="3D9DB5F0">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核心产品</w:t>
            </w:r>
          </w:p>
        </w:tc>
        <w:tc>
          <w:tcPr>
            <w:tcW w:w="6700" w:type="dxa"/>
            <w:vAlign w:val="center"/>
          </w:tcPr>
          <w:p w14:paraId="7BB22B3E">
            <w:pPr>
              <w:pStyle w:val="50"/>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本项目第</w:t>
            </w:r>
            <w:r>
              <w:rPr>
                <w:rFonts w:hint="eastAsia" w:cs="宋体"/>
                <w:color w:val="auto"/>
                <w:sz w:val="24"/>
                <w:szCs w:val="24"/>
                <w:highlight w:val="none"/>
                <w:u w:val="single"/>
                <w:lang w:val="en-US" w:eastAsia="zh-CN"/>
              </w:rPr>
              <w:t>1</w:t>
            </w:r>
            <w:r>
              <w:rPr>
                <w:rFonts w:hint="eastAsia" w:ascii="宋体" w:hAnsi="宋体" w:eastAsia="宋体" w:cs="宋体"/>
                <w:color w:val="auto"/>
                <w:sz w:val="24"/>
                <w:szCs w:val="24"/>
                <w:highlight w:val="none"/>
                <w:lang w:val="en-US" w:eastAsia="zh-CN"/>
              </w:rPr>
              <w:t xml:space="preserve">包不适用。 </w:t>
            </w:r>
          </w:p>
          <w:p w14:paraId="3D32C559">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□本项目第__包为单一产品采购项目。 </w:t>
            </w:r>
          </w:p>
          <w:p w14:paraId="6BCC34C0">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□本项目第__包为非单一产品采购项目，其中核心产品为：____。</w:t>
            </w:r>
          </w:p>
        </w:tc>
      </w:tr>
      <w:tr w14:paraId="2E7636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85" w:hRule="atLeast"/>
        </w:trPr>
        <w:tc>
          <w:tcPr>
            <w:tcW w:w="970" w:type="dxa"/>
            <w:shd w:val="clear" w:color="auto" w:fill="auto"/>
            <w:vAlign w:val="center"/>
          </w:tcPr>
          <w:p w14:paraId="1BF1D896">
            <w:pPr>
              <w:pStyle w:val="5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2.6</w:t>
            </w:r>
          </w:p>
        </w:tc>
        <w:tc>
          <w:tcPr>
            <w:tcW w:w="1738" w:type="dxa"/>
            <w:shd w:val="clear" w:color="auto" w:fill="auto"/>
            <w:vAlign w:val="center"/>
          </w:tcPr>
          <w:p w14:paraId="700F5EE9">
            <w:pPr>
              <w:keepNext w:val="0"/>
              <w:keepLines w:val="0"/>
              <w:widowControl/>
              <w:suppressLineNumbers w:val="0"/>
              <w:spacing w:line="24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
              </w:rPr>
              <w:t>科研仪器设备</w:t>
            </w:r>
          </w:p>
        </w:tc>
        <w:tc>
          <w:tcPr>
            <w:tcW w:w="6700" w:type="dxa"/>
            <w:shd w:val="clear" w:color="auto" w:fill="auto"/>
            <w:vAlign w:val="center"/>
          </w:tcPr>
          <w:p w14:paraId="0F6FC5C1">
            <w:pPr>
              <w:keepNext w:val="0"/>
              <w:keepLines w:val="0"/>
              <w:widowControl/>
              <w:suppressLineNumbers w:val="0"/>
              <w:spacing w:line="24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是否属于科研仪器设备采购项目： </w:t>
            </w:r>
          </w:p>
          <w:p w14:paraId="4A1686C7">
            <w:pPr>
              <w:keepNext w:val="0"/>
              <w:keepLines w:val="0"/>
              <w:widowControl/>
              <w:suppressLineNumbers w:val="0"/>
              <w:spacing w:line="24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kern w:val="0"/>
                <w:sz w:val="24"/>
                <w:szCs w:val="24"/>
                <w:highlight w:val="none"/>
                <w:lang w:val="en-US" w:eastAsia="zh-CN" w:bidi="ar"/>
              </w:rPr>
              <w:t xml:space="preserve">是 </w:t>
            </w:r>
          </w:p>
          <w:p w14:paraId="7C9332C8">
            <w:pPr>
              <w:keepNext w:val="0"/>
              <w:keepLines w:val="0"/>
              <w:widowControl/>
              <w:suppressLineNumbers w:val="0"/>
              <w:spacing w:line="240" w:lineRule="auto"/>
              <w:jc w:val="left"/>
              <w:rPr>
                <w:rFonts w:hint="eastAsia" w:ascii="宋体" w:hAnsi="宋体" w:eastAsia="宋体" w:cs="宋体"/>
                <w:color w:val="auto"/>
                <w:kern w:val="0"/>
                <w:sz w:val="24"/>
                <w:szCs w:val="24"/>
                <w:highlight w:val="none"/>
                <w:lang w:val="en-US" w:eastAsia="zh-CN" w:bidi="ar"/>
              </w:rPr>
            </w:pPr>
            <w:r>
              <w:rPr>
                <w:rFonts w:hint="eastAsia" w:cs="宋体"/>
                <w:color w:val="auto"/>
                <w:sz w:val="24"/>
                <w:szCs w:val="24"/>
                <w:highlight w:val="none"/>
                <w:lang w:val="en-US" w:eastAsia="zh-CN"/>
              </w:rPr>
              <w:t>☑</w:t>
            </w:r>
            <w:r>
              <w:rPr>
                <w:rFonts w:hint="eastAsia" w:ascii="宋体" w:hAnsi="宋体" w:eastAsia="宋体" w:cs="宋体"/>
                <w:color w:val="auto"/>
                <w:kern w:val="0"/>
                <w:sz w:val="24"/>
                <w:szCs w:val="24"/>
                <w:highlight w:val="none"/>
                <w:lang w:val="en-US" w:eastAsia="zh-CN" w:bidi="ar"/>
              </w:rPr>
              <w:t>否</w:t>
            </w:r>
          </w:p>
        </w:tc>
      </w:tr>
      <w:tr w14:paraId="25C468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68" w:hRule="atLeast"/>
        </w:trPr>
        <w:tc>
          <w:tcPr>
            <w:tcW w:w="970" w:type="dxa"/>
            <w:vAlign w:val="center"/>
          </w:tcPr>
          <w:p w14:paraId="3A136892">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9.1</w:t>
            </w:r>
          </w:p>
        </w:tc>
        <w:tc>
          <w:tcPr>
            <w:tcW w:w="1738" w:type="dxa"/>
            <w:vAlign w:val="center"/>
          </w:tcPr>
          <w:p w14:paraId="117C18AE">
            <w:pPr>
              <w:pStyle w:val="50"/>
              <w:rPr>
                <w:rFonts w:hint="eastAsia" w:ascii="宋体" w:hAnsi="宋体" w:eastAsia="宋体" w:cs="宋体"/>
                <w:color w:val="auto"/>
                <w:sz w:val="24"/>
                <w:szCs w:val="24"/>
                <w:highlight w:val="none"/>
              </w:rPr>
            </w:pPr>
            <w:bookmarkStart w:id="114" w:name="_Hlk143529175"/>
            <w:r>
              <w:rPr>
                <w:rFonts w:hint="eastAsia" w:ascii="宋体" w:hAnsi="宋体" w:eastAsia="宋体" w:cs="宋体"/>
                <w:color w:val="auto"/>
                <w:sz w:val="24"/>
                <w:szCs w:val="24"/>
                <w:highlight w:val="none"/>
              </w:rPr>
              <w:t>现场考察</w:t>
            </w:r>
            <w:bookmarkEnd w:id="114"/>
          </w:p>
        </w:tc>
        <w:tc>
          <w:tcPr>
            <w:tcW w:w="6700" w:type="dxa"/>
            <w:vAlign w:val="center"/>
          </w:tcPr>
          <w:p w14:paraId="36549596">
            <w:pPr>
              <w:pStyle w:val="5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不组织，投标人自行前往</w:t>
            </w:r>
            <w:r>
              <w:rPr>
                <w:rFonts w:hint="eastAsia" w:ascii="宋体" w:hAnsi="宋体" w:eastAsia="宋体" w:cs="宋体"/>
                <w:color w:val="auto"/>
                <w:sz w:val="24"/>
                <w:szCs w:val="24"/>
                <w:highlight w:val="none"/>
                <w:lang w:eastAsia="zh-CN"/>
              </w:rPr>
              <w:t>。</w:t>
            </w:r>
          </w:p>
          <w:p w14:paraId="70F71951">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组织</w:t>
            </w:r>
          </w:p>
          <w:p w14:paraId="0A578DA1">
            <w:pPr>
              <w:pStyle w:val="50"/>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6FE8AF39">
            <w:pPr>
              <w:pStyle w:val="50"/>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31CF27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35" w:hRule="atLeast"/>
        </w:trPr>
        <w:tc>
          <w:tcPr>
            <w:tcW w:w="970" w:type="dxa"/>
            <w:vAlign w:val="center"/>
          </w:tcPr>
          <w:p w14:paraId="0D95D099">
            <w:pPr>
              <w:pStyle w:val="5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9.5</w:t>
            </w:r>
          </w:p>
        </w:tc>
        <w:tc>
          <w:tcPr>
            <w:tcW w:w="1738" w:type="dxa"/>
            <w:vAlign w:val="center"/>
          </w:tcPr>
          <w:p w14:paraId="4A5FE036">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答疑会</w:t>
            </w:r>
          </w:p>
        </w:tc>
        <w:tc>
          <w:tcPr>
            <w:tcW w:w="6700" w:type="dxa"/>
            <w:vAlign w:val="center"/>
          </w:tcPr>
          <w:p w14:paraId="6B78B750">
            <w:pPr>
              <w:pStyle w:val="5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不组织</w:t>
            </w:r>
          </w:p>
          <w:p w14:paraId="3C61F0CD">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组织</w:t>
            </w:r>
          </w:p>
          <w:p w14:paraId="1279EA7E">
            <w:pPr>
              <w:pStyle w:val="50"/>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7368AD2C">
            <w:pPr>
              <w:pStyle w:val="50"/>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58EAFC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09017C90">
            <w:pPr>
              <w:pStyle w:val="5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w:t>
            </w:r>
          </w:p>
        </w:tc>
        <w:tc>
          <w:tcPr>
            <w:tcW w:w="1738" w:type="dxa"/>
            <w:vAlign w:val="center"/>
          </w:tcPr>
          <w:p w14:paraId="14B3667D">
            <w:pPr>
              <w:pStyle w:val="5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询问</w:t>
            </w:r>
          </w:p>
        </w:tc>
        <w:tc>
          <w:tcPr>
            <w:tcW w:w="6700" w:type="dxa"/>
            <w:vAlign w:val="center"/>
          </w:tcPr>
          <w:p w14:paraId="3D637E0D">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方式：</w:t>
            </w:r>
            <w:r>
              <w:rPr>
                <w:rFonts w:hint="eastAsia" w:ascii="宋体" w:hAnsi="宋体" w:eastAsia="宋体" w:cs="宋体"/>
                <w:color w:val="auto"/>
                <w:sz w:val="24"/>
                <w:szCs w:val="24"/>
                <w:highlight w:val="none"/>
                <w:u w:val="single"/>
                <w:lang w:val="en-US" w:eastAsia="zh-CN"/>
              </w:rPr>
              <w:t>填写询问函，签字盖章后提交至代理公司项目负责人处</w:t>
            </w:r>
            <w:r>
              <w:rPr>
                <w:rFonts w:hint="eastAsia" w:ascii="宋体" w:hAnsi="宋体" w:eastAsia="宋体" w:cs="宋体"/>
                <w:color w:val="auto"/>
                <w:sz w:val="24"/>
                <w:szCs w:val="24"/>
                <w:highlight w:val="none"/>
              </w:rPr>
              <w:t>。</w:t>
            </w:r>
          </w:p>
          <w:p w14:paraId="09E4A188">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lang w:val="en-US" w:eastAsia="zh-CN"/>
              </w:rPr>
              <w:t>要求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获取招标文件开始时间5个工作日内</w:t>
            </w:r>
            <w:r>
              <w:rPr>
                <w:rFonts w:hint="eastAsia" w:ascii="宋体" w:hAnsi="宋体" w:eastAsia="宋体" w:cs="宋体"/>
                <w:color w:val="auto"/>
                <w:sz w:val="24"/>
                <w:szCs w:val="24"/>
                <w:highlight w:val="none"/>
              </w:rPr>
              <w:t>。</w:t>
            </w:r>
          </w:p>
        </w:tc>
      </w:tr>
      <w:tr w14:paraId="67C3BC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1A104107">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w:t>
            </w:r>
          </w:p>
        </w:tc>
        <w:tc>
          <w:tcPr>
            <w:tcW w:w="1738" w:type="dxa"/>
            <w:vAlign w:val="center"/>
          </w:tcPr>
          <w:p w14:paraId="79A1D807">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投标有效期</w:t>
            </w:r>
          </w:p>
        </w:tc>
        <w:tc>
          <w:tcPr>
            <w:tcW w:w="6700" w:type="dxa"/>
            <w:vAlign w:val="center"/>
          </w:tcPr>
          <w:p w14:paraId="41DD7733">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投标截止</w:t>
            </w:r>
            <w:r>
              <w:rPr>
                <w:rFonts w:hint="eastAsia" w:ascii="宋体" w:hAnsi="宋体" w:eastAsia="宋体" w:cs="宋体"/>
                <w:color w:val="auto"/>
                <w:sz w:val="24"/>
                <w:szCs w:val="24"/>
                <w:highlight w:val="none"/>
                <w:lang w:val="en-US" w:eastAsia="zh-CN"/>
              </w:rPr>
              <w:t>时间</w:t>
            </w:r>
            <w:r>
              <w:rPr>
                <w:rFonts w:hint="eastAsia" w:ascii="宋体" w:hAnsi="宋体" w:eastAsia="宋体" w:cs="宋体"/>
                <w:color w:val="auto"/>
                <w:sz w:val="24"/>
                <w:szCs w:val="24"/>
                <w:highlight w:val="none"/>
              </w:rPr>
              <w:t>后</w:t>
            </w:r>
            <w:r>
              <w:rPr>
                <w:rFonts w:hint="eastAsia" w:ascii="宋体" w:hAnsi="宋体" w:eastAsia="宋体" w:cs="宋体"/>
                <w:color w:val="auto"/>
                <w:sz w:val="24"/>
                <w:szCs w:val="24"/>
                <w:highlight w:val="none"/>
                <w:u w:val="single"/>
              </w:rPr>
              <w:t>90</w:t>
            </w:r>
            <w:r>
              <w:rPr>
                <w:rFonts w:hint="eastAsia" w:ascii="宋体" w:hAnsi="宋体" w:eastAsia="宋体" w:cs="宋体"/>
                <w:color w:val="auto"/>
                <w:sz w:val="24"/>
                <w:szCs w:val="24"/>
                <w:highlight w:val="none"/>
              </w:rPr>
              <w:t>日历日。</w:t>
            </w:r>
          </w:p>
        </w:tc>
      </w:tr>
      <w:tr w14:paraId="05426B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674" w:hRule="atLeast"/>
        </w:trPr>
        <w:tc>
          <w:tcPr>
            <w:tcW w:w="970" w:type="dxa"/>
            <w:vAlign w:val="center"/>
          </w:tcPr>
          <w:p w14:paraId="3DB59B05">
            <w:pPr>
              <w:pStyle w:val="5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17.1</w:t>
            </w:r>
          </w:p>
        </w:tc>
        <w:tc>
          <w:tcPr>
            <w:tcW w:w="1738" w:type="dxa"/>
            <w:vAlign w:val="center"/>
          </w:tcPr>
          <w:p w14:paraId="02D54664">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投标保证金</w:t>
            </w:r>
          </w:p>
        </w:tc>
        <w:tc>
          <w:tcPr>
            <w:tcW w:w="6700" w:type="dxa"/>
            <w:vAlign w:val="center"/>
          </w:tcPr>
          <w:p w14:paraId="713A171A">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金额：</w:t>
            </w:r>
          </w:p>
          <w:p w14:paraId="5947F8CF">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免收</w:t>
            </w:r>
          </w:p>
          <w:p w14:paraId="659FBE06">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预算金额</w:t>
            </w:r>
            <w:r>
              <w:rPr>
                <w:rFonts w:hint="eastAsia" w:ascii="宋体" w:hAnsi="宋体" w:eastAsia="宋体" w:cs="宋体"/>
                <w:color w:val="auto"/>
                <w:sz w:val="24"/>
                <w:szCs w:val="24"/>
                <w:highlight w:val="none"/>
              </w:rPr>
              <w:t>的   %</w:t>
            </w:r>
            <w:r>
              <w:rPr>
                <w:rFonts w:hint="eastAsia" w:ascii="宋体" w:hAnsi="宋体" w:eastAsia="宋体" w:cs="宋体"/>
                <w:color w:val="auto"/>
                <w:sz w:val="24"/>
                <w:szCs w:val="24"/>
                <w:highlight w:val="none"/>
                <w:lang w:eastAsia="zh-CN"/>
              </w:rPr>
              <w:t>。</w:t>
            </w:r>
          </w:p>
          <w:p w14:paraId="408CDEE0">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□定额收取：人民币       元</w:t>
            </w:r>
            <w:r>
              <w:rPr>
                <w:rFonts w:hint="eastAsia" w:ascii="宋体" w:hAnsi="宋体" w:eastAsia="宋体" w:cs="宋体"/>
                <w:color w:val="auto"/>
                <w:sz w:val="24"/>
                <w:szCs w:val="24"/>
                <w:highlight w:val="none"/>
                <w:lang w:eastAsia="zh-CN"/>
              </w:rPr>
              <w:t>。</w:t>
            </w:r>
          </w:p>
          <w:p w14:paraId="471258F6">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支付方式：</w:t>
            </w:r>
          </w:p>
          <w:p w14:paraId="54A32B09">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投标人可自主选择以支票、汇票、本票、电汇、转账、网银、保函等非现金形式缴纳或提交保证金。</w:t>
            </w:r>
          </w:p>
          <w:p w14:paraId="013890D1">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收取单位：                            </w:t>
            </w:r>
          </w:p>
          <w:p w14:paraId="521BA7F2">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4.收取账号：</w:t>
            </w:r>
            <w:r>
              <w:rPr>
                <w:rFonts w:hint="eastAsia" w:ascii="宋体" w:hAnsi="宋体" w:eastAsia="宋体" w:cs="宋体"/>
                <w:color w:val="auto"/>
                <w:sz w:val="24"/>
                <w:szCs w:val="24"/>
                <w:highlight w:val="none"/>
              </w:rPr>
              <w:t xml:space="preserve">              </w:t>
            </w:r>
          </w:p>
          <w:p w14:paraId="1F174ACF">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 xml:space="preserve">退还时间：              </w:t>
            </w:r>
          </w:p>
          <w:p w14:paraId="0C79EF6C">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注意事项：</w:t>
            </w:r>
          </w:p>
          <w:p w14:paraId="7CEAD366">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以上各类机构出具的以担保函、保证保险承担责任的方式均须满足无条件见索即付条件。</w:t>
            </w:r>
          </w:p>
          <w:p w14:paraId="0A6AA7E8">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以担保函、保证保险形式缴纳</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保证金的，受益人和收取单位须为采购人。</w:t>
            </w:r>
          </w:p>
        </w:tc>
      </w:tr>
      <w:tr w14:paraId="4501EC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603" w:hRule="atLeast"/>
        </w:trPr>
        <w:tc>
          <w:tcPr>
            <w:tcW w:w="970" w:type="dxa"/>
            <w:vAlign w:val="center"/>
          </w:tcPr>
          <w:p w14:paraId="0FAEE6C9">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p>
        </w:tc>
        <w:tc>
          <w:tcPr>
            <w:tcW w:w="1738" w:type="dxa"/>
            <w:vAlign w:val="center"/>
          </w:tcPr>
          <w:p w14:paraId="1A5D11C5">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实物样品</w:t>
            </w:r>
          </w:p>
        </w:tc>
        <w:tc>
          <w:tcPr>
            <w:tcW w:w="6700" w:type="dxa"/>
            <w:vAlign w:val="center"/>
          </w:tcPr>
          <w:p w14:paraId="29F70D2B">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投标样品递交： </w:t>
            </w:r>
          </w:p>
          <w:p w14:paraId="08448385">
            <w:pPr>
              <w:pStyle w:val="50"/>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 xml:space="preserve">不需要 </w:t>
            </w:r>
          </w:p>
          <w:p w14:paraId="75ABDCC9">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□需要，具体要求如下： </w:t>
            </w:r>
          </w:p>
          <w:p w14:paraId="45E00831">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1.样品制作的标准和要求：_________； </w:t>
            </w:r>
          </w:p>
          <w:p w14:paraId="636410A9">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2.是否需要随样品提交相关检测报告： </w:t>
            </w:r>
          </w:p>
          <w:p w14:paraId="4042F79A">
            <w:pPr>
              <w:pStyle w:val="5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□不需要 </w:t>
            </w:r>
          </w:p>
          <w:p w14:paraId="69ACDCB3">
            <w:pPr>
              <w:pStyle w:val="5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□需要 </w:t>
            </w:r>
          </w:p>
          <w:p w14:paraId="2365C0AF">
            <w:pPr>
              <w:pStyle w:val="50"/>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3.样品递交要求：递交时间：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w:t>
            </w:r>
          </w:p>
          <w:p w14:paraId="0C201764">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递交</w:t>
            </w: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，逾期提供的样品将不予接受。</w:t>
            </w:r>
            <w:r>
              <w:rPr>
                <w:rFonts w:hint="eastAsia" w:ascii="宋体" w:hAnsi="宋体" w:eastAsia="宋体" w:cs="宋体"/>
                <w:color w:val="auto"/>
                <w:sz w:val="24"/>
                <w:szCs w:val="24"/>
                <w:highlight w:val="none"/>
                <w:lang w:val="en-US" w:eastAsia="zh-CN"/>
              </w:rPr>
              <w:t xml:space="preserve"> </w:t>
            </w:r>
          </w:p>
          <w:p w14:paraId="20C6A605">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4.未中标人样品退还：</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w:t>
            </w:r>
          </w:p>
          <w:p w14:paraId="2FA55552">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5.中标人样品保管、封存及退还：_________； </w:t>
            </w:r>
          </w:p>
          <w:p w14:paraId="5F60BBB0">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6.其他要求（如有）：_________。 </w:t>
            </w:r>
          </w:p>
        </w:tc>
      </w:tr>
      <w:tr w14:paraId="1C643F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03DA43E2">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w:t>
            </w:r>
          </w:p>
        </w:tc>
        <w:tc>
          <w:tcPr>
            <w:tcW w:w="1738" w:type="dxa"/>
            <w:vAlign w:val="center"/>
          </w:tcPr>
          <w:p w14:paraId="22504622">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演示</w:t>
            </w:r>
          </w:p>
        </w:tc>
        <w:tc>
          <w:tcPr>
            <w:tcW w:w="6700" w:type="dxa"/>
            <w:vAlign w:val="center"/>
          </w:tcPr>
          <w:p w14:paraId="7B2FDAC1">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sym w:font="Wingdings" w:char="00FE"/>
            </w:r>
            <w:r>
              <w:rPr>
                <w:rFonts w:hint="eastAsia" w:ascii="宋体" w:hAnsi="宋体" w:eastAsia="宋体" w:cs="宋体"/>
                <w:color w:val="auto"/>
                <w:sz w:val="24"/>
                <w:szCs w:val="24"/>
                <w:highlight w:val="none"/>
              </w:rPr>
              <w:t>不进行</w:t>
            </w:r>
          </w:p>
          <w:p w14:paraId="7B0141AF">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进行，远程线上演示/现场演示</w:t>
            </w:r>
          </w:p>
          <w:p w14:paraId="29D1FB67">
            <w:pPr>
              <w:pStyle w:val="50"/>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1.演示时间不得超过</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分钟；</w:t>
            </w:r>
          </w:p>
          <w:p w14:paraId="0D5B188D">
            <w:pPr>
              <w:pStyle w:val="50"/>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2.进行远程线上演示的，投标人应提前自行准备好演示的软硬配置环境和网络环境，做好演示的各项准备工作。因投标人自身原因无法演示或者演示效果不理想的，导致的后果由投标人自行承担；</w:t>
            </w:r>
          </w:p>
          <w:p w14:paraId="34ED7966">
            <w:pPr>
              <w:pStyle w:val="50"/>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3.进行现场演示的，演示人员不得超过</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人，演示现场提供</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097642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93" w:hRule="atLeast"/>
        </w:trPr>
        <w:tc>
          <w:tcPr>
            <w:tcW w:w="970" w:type="dxa"/>
            <w:vAlign w:val="center"/>
          </w:tcPr>
          <w:p w14:paraId="4CE72DC4">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w:t>
            </w:r>
          </w:p>
        </w:tc>
        <w:tc>
          <w:tcPr>
            <w:tcW w:w="1738" w:type="dxa"/>
            <w:vAlign w:val="center"/>
          </w:tcPr>
          <w:p w14:paraId="35FB661A">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解密投标文件的时限</w:t>
            </w:r>
          </w:p>
        </w:tc>
        <w:tc>
          <w:tcPr>
            <w:tcW w:w="6700" w:type="dxa"/>
            <w:vAlign w:val="center"/>
          </w:tcPr>
          <w:p w14:paraId="44601FEC">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不见面开标默认解密时长：</w:t>
            </w:r>
            <w:r>
              <w:rPr>
                <w:rFonts w:hint="eastAsia" w:cs="宋体"/>
                <w:color w:val="auto"/>
                <w:sz w:val="24"/>
                <w:szCs w:val="24"/>
                <w:highlight w:val="none"/>
                <w:u w:val="single"/>
                <w:lang w:val="en-US" w:eastAsia="zh-CN"/>
              </w:rPr>
              <w:t>30</w:t>
            </w:r>
            <w:r>
              <w:rPr>
                <w:rFonts w:hint="eastAsia" w:ascii="宋体" w:hAnsi="宋体" w:eastAsia="宋体" w:cs="宋体"/>
                <w:color w:val="auto"/>
                <w:sz w:val="24"/>
                <w:szCs w:val="24"/>
                <w:highlight w:val="none"/>
                <w:lang w:val="en-US" w:eastAsia="zh-CN"/>
              </w:rPr>
              <w:t>分钟。</w:t>
            </w:r>
            <w:r>
              <w:rPr>
                <w:rFonts w:hint="eastAsia" w:ascii="宋体" w:hAnsi="宋体" w:eastAsia="宋体" w:cs="宋体"/>
                <w:color w:val="auto"/>
                <w:sz w:val="24"/>
                <w:szCs w:val="24"/>
                <w:highlight w:val="none"/>
              </w:rPr>
              <w:t xml:space="preserve"> </w:t>
            </w:r>
          </w:p>
          <w:p w14:paraId="01B25268">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除因交易平台发生故障导致投标文件无法按时解密外，投标文件未按时解密的，视为未按规定提交投标文件。</w:t>
            </w:r>
          </w:p>
        </w:tc>
      </w:tr>
      <w:tr w14:paraId="79EC87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77" w:hRule="atLeast"/>
        </w:trPr>
        <w:tc>
          <w:tcPr>
            <w:tcW w:w="970" w:type="dxa"/>
            <w:vAlign w:val="center"/>
          </w:tcPr>
          <w:p w14:paraId="23FC94CD">
            <w:pPr>
              <w:pStyle w:val="5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29.1</w:t>
            </w:r>
          </w:p>
        </w:tc>
        <w:tc>
          <w:tcPr>
            <w:tcW w:w="1738" w:type="dxa"/>
            <w:vAlign w:val="center"/>
          </w:tcPr>
          <w:p w14:paraId="5A1E858C">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评标方法</w:t>
            </w:r>
          </w:p>
        </w:tc>
        <w:tc>
          <w:tcPr>
            <w:tcW w:w="6700" w:type="dxa"/>
            <w:vAlign w:val="center"/>
          </w:tcPr>
          <w:p w14:paraId="49F2488F">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lang w:val="en-US" w:eastAsia="zh-CN"/>
              </w:rPr>
              <w:t>综合评分法</w:t>
            </w:r>
          </w:p>
          <w:p w14:paraId="63A64BEE">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lang w:val="en-US" w:eastAsia="zh-CN"/>
              </w:rPr>
              <w:t>最低评标价法</w:t>
            </w:r>
          </w:p>
        </w:tc>
      </w:tr>
      <w:tr w14:paraId="5A0872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5" w:hRule="atLeast"/>
        </w:trPr>
        <w:tc>
          <w:tcPr>
            <w:tcW w:w="970" w:type="dxa"/>
            <w:vAlign w:val="center"/>
          </w:tcPr>
          <w:p w14:paraId="42D57B39">
            <w:pPr>
              <w:pStyle w:val="5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p>
        </w:tc>
        <w:tc>
          <w:tcPr>
            <w:tcW w:w="1738" w:type="dxa"/>
            <w:vAlign w:val="center"/>
          </w:tcPr>
          <w:p w14:paraId="109515DE">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推荐中标候选人</w:t>
            </w:r>
          </w:p>
        </w:tc>
        <w:tc>
          <w:tcPr>
            <w:tcW w:w="6700" w:type="dxa"/>
            <w:vAlign w:val="center"/>
          </w:tcPr>
          <w:p w14:paraId="0DB0E73E">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中标候选人数量</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1</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家</w:t>
            </w:r>
          </w:p>
        </w:tc>
      </w:tr>
      <w:tr w14:paraId="176C1C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13" w:hRule="atLeast"/>
        </w:trPr>
        <w:tc>
          <w:tcPr>
            <w:tcW w:w="970" w:type="dxa"/>
            <w:vAlign w:val="center"/>
          </w:tcPr>
          <w:p w14:paraId="4EEEE9B4">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.1</w:t>
            </w:r>
          </w:p>
        </w:tc>
        <w:tc>
          <w:tcPr>
            <w:tcW w:w="1738" w:type="dxa"/>
            <w:vAlign w:val="center"/>
          </w:tcPr>
          <w:p w14:paraId="266C355B">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确定中标人</w:t>
            </w:r>
          </w:p>
        </w:tc>
        <w:tc>
          <w:tcPr>
            <w:tcW w:w="6700" w:type="dxa"/>
            <w:vAlign w:val="center"/>
          </w:tcPr>
          <w:p w14:paraId="3AF868A2">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采购人按评审报告中推荐的中标候选人排序确定中标人。</w:t>
            </w:r>
          </w:p>
          <w:p w14:paraId="0911185A">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采购人委托评标委员会直接确定中标人。</w:t>
            </w:r>
          </w:p>
        </w:tc>
      </w:tr>
      <w:tr w14:paraId="6F937C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01" w:hRule="atLeast"/>
        </w:trPr>
        <w:tc>
          <w:tcPr>
            <w:tcW w:w="970" w:type="dxa"/>
            <w:vAlign w:val="center"/>
          </w:tcPr>
          <w:p w14:paraId="7325020F">
            <w:pPr>
              <w:pStyle w:val="5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30.2</w:t>
            </w:r>
          </w:p>
          <w:p w14:paraId="55F094A5">
            <w:pPr>
              <w:pStyle w:val="5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30.3</w:t>
            </w:r>
          </w:p>
        </w:tc>
        <w:tc>
          <w:tcPr>
            <w:tcW w:w="1738" w:type="dxa"/>
            <w:vAlign w:val="center"/>
          </w:tcPr>
          <w:p w14:paraId="1B13E6FA">
            <w:pPr>
              <w:pStyle w:val="50"/>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提供相同品牌产品的不同投标人确定中标候选人的规定</w:t>
            </w:r>
          </w:p>
        </w:tc>
        <w:tc>
          <w:tcPr>
            <w:tcW w:w="6700" w:type="dxa"/>
            <w:vAlign w:val="center"/>
          </w:tcPr>
          <w:p w14:paraId="0F6B6850">
            <w:pPr>
              <w:pStyle w:val="50"/>
              <w:ind w:firstLine="480" w:firstLineChars="200"/>
              <w:rPr>
                <w:rFonts w:hint="default" w:ascii="宋体" w:hAnsi="宋体" w:eastAsia="宋体" w:cs="宋体"/>
                <w:color w:val="auto"/>
                <w:kern w:val="0"/>
                <w:sz w:val="24"/>
                <w:szCs w:val="24"/>
                <w:highlight w:val="none"/>
                <w:lang w:val="en-US" w:eastAsia="zh-CN" w:bidi="ar"/>
              </w:rPr>
            </w:pPr>
            <w:r>
              <w:rPr>
                <w:rFonts w:hint="eastAsia" w:cs="宋体"/>
                <w:color w:val="auto"/>
                <w:kern w:val="0"/>
                <w:sz w:val="24"/>
                <w:szCs w:val="24"/>
                <w:highlight w:val="none"/>
                <w:lang w:val="en-US" w:eastAsia="zh-CN" w:bidi="ar"/>
              </w:rPr>
              <w:t>/</w:t>
            </w:r>
          </w:p>
        </w:tc>
      </w:tr>
      <w:tr w14:paraId="35A01A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641" w:hRule="atLeast"/>
        </w:trPr>
        <w:tc>
          <w:tcPr>
            <w:tcW w:w="970" w:type="dxa"/>
            <w:vAlign w:val="center"/>
          </w:tcPr>
          <w:p w14:paraId="1D722A96">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w:t>
            </w:r>
          </w:p>
        </w:tc>
        <w:tc>
          <w:tcPr>
            <w:tcW w:w="1738" w:type="dxa"/>
            <w:vAlign w:val="center"/>
          </w:tcPr>
          <w:p w14:paraId="0A6B190B">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履约保证金</w:t>
            </w:r>
          </w:p>
        </w:tc>
        <w:tc>
          <w:tcPr>
            <w:tcW w:w="6700" w:type="dxa"/>
            <w:vAlign w:val="center"/>
          </w:tcPr>
          <w:p w14:paraId="52B73BFF">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金额：</w:t>
            </w:r>
          </w:p>
          <w:p w14:paraId="2D4AA05F">
            <w:pPr>
              <w:pStyle w:val="50"/>
              <w:ind w:firstLine="480" w:firstLineChars="200"/>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免收</w:t>
            </w:r>
          </w:p>
          <w:p w14:paraId="185FFD88">
            <w:pPr>
              <w:pStyle w:val="5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□合同价的   %</w:t>
            </w:r>
          </w:p>
          <w:p w14:paraId="7DCA35D2">
            <w:pPr>
              <w:pStyle w:val="5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□定额收取：人民币              元</w:t>
            </w:r>
          </w:p>
          <w:p w14:paraId="78911AAD">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支付方式：</w:t>
            </w:r>
          </w:p>
          <w:p w14:paraId="12B7F8B1">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投标人可自主选择以支票、汇票、本票、电汇、转账、网银、保函等非现金形式缴纳或提交保证金。</w:t>
            </w:r>
          </w:p>
          <w:p w14:paraId="20AB6ECE">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3.</w:t>
            </w:r>
            <w:r>
              <w:rPr>
                <w:rFonts w:hint="eastAsia" w:ascii="宋体" w:hAnsi="宋体" w:eastAsia="宋体" w:cs="宋体"/>
                <w:color w:val="auto"/>
                <w:sz w:val="24"/>
                <w:szCs w:val="24"/>
                <w:highlight w:val="none"/>
              </w:rPr>
              <w:t xml:space="preserve">收取单位：                            </w:t>
            </w:r>
          </w:p>
          <w:p w14:paraId="4D83FA75">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4.收取账号：</w:t>
            </w:r>
            <w:r>
              <w:rPr>
                <w:rFonts w:hint="eastAsia" w:ascii="宋体" w:hAnsi="宋体" w:eastAsia="宋体" w:cs="宋体"/>
                <w:color w:val="auto"/>
                <w:sz w:val="24"/>
                <w:szCs w:val="24"/>
                <w:highlight w:val="none"/>
              </w:rPr>
              <w:t xml:space="preserve">              </w:t>
            </w:r>
          </w:p>
          <w:p w14:paraId="2CF8CC08">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5.</w:t>
            </w:r>
            <w:r>
              <w:rPr>
                <w:rFonts w:hint="eastAsia" w:ascii="宋体" w:hAnsi="宋体" w:eastAsia="宋体" w:cs="宋体"/>
                <w:color w:val="auto"/>
                <w:sz w:val="24"/>
                <w:szCs w:val="24"/>
                <w:highlight w:val="none"/>
              </w:rPr>
              <w:t xml:space="preserve">退还时间：              </w:t>
            </w:r>
          </w:p>
          <w:p w14:paraId="5BA146AB">
            <w:pPr>
              <w:pStyle w:val="5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注意事项：</w:t>
            </w:r>
          </w:p>
          <w:p w14:paraId="43FE4EC8">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以上各类机构出具的以担保函、保证保险承担责任的方式均须满足无条件见索即付条件。</w:t>
            </w:r>
          </w:p>
          <w:p w14:paraId="191E3959">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以担保函、保证保险形式缴纳履约保证金的，受益人和收取单位须为采购人。</w:t>
            </w:r>
          </w:p>
        </w:tc>
      </w:tr>
      <w:tr w14:paraId="6B1F02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923" w:hRule="atLeast"/>
        </w:trPr>
        <w:tc>
          <w:tcPr>
            <w:tcW w:w="970" w:type="dxa"/>
            <w:vAlign w:val="center"/>
          </w:tcPr>
          <w:p w14:paraId="600814BC">
            <w:pPr>
              <w:pStyle w:val="5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34.5</w:t>
            </w:r>
          </w:p>
        </w:tc>
        <w:tc>
          <w:tcPr>
            <w:tcW w:w="1738" w:type="dxa"/>
            <w:vAlign w:val="center"/>
          </w:tcPr>
          <w:p w14:paraId="74D19386">
            <w:pPr>
              <w:pStyle w:val="5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中标后分包</w:t>
            </w:r>
          </w:p>
        </w:tc>
        <w:tc>
          <w:tcPr>
            <w:tcW w:w="6700" w:type="dxa"/>
            <w:vAlign w:val="center"/>
          </w:tcPr>
          <w:p w14:paraId="4344EC45">
            <w:pPr>
              <w:pStyle w:val="5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本项目的非主体、非关键性工作是否允许分包： </w:t>
            </w:r>
          </w:p>
          <w:p w14:paraId="3D901FC0">
            <w:pPr>
              <w:pStyle w:val="50"/>
              <w:ind w:firstLine="480" w:firstLineChars="200"/>
              <w:rPr>
                <w:rFonts w:hint="eastAsia" w:ascii="宋体" w:hAnsi="宋体"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 xml:space="preserve">不允许 </w:t>
            </w:r>
          </w:p>
          <w:p w14:paraId="56DFA0F7">
            <w:pPr>
              <w:pStyle w:val="50"/>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□允许，具体要求： </w:t>
            </w:r>
          </w:p>
          <w:p w14:paraId="6C445FF2">
            <w:pPr>
              <w:pStyle w:val="5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     1.可以分包履行的具体内容：_____； </w:t>
            </w:r>
          </w:p>
          <w:p w14:paraId="71BE067E">
            <w:pPr>
              <w:pStyle w:val="5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     2.允许分包的金额或者比例：_____； </w:t>
            </w:r>
          </w:p>
          <w:p w14:paraId="2F04DF99">
            <w:pPr>
              <w:pStyle w:val="5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     3.其他要求：_____。 </w:t>
            </w:r>
          </w:p>
        </w:tc>
      </w:tr>
      <w:tr w14:paraId="19B129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5BFFADC2">
            <w:pPr>
              <w:pStyle w:val="5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35.1</w:t>
            </w:r>
          </w:p>
        </w:tc>
        <w:tc>
          <w:tcPr>
            <w:tcW w:w="1738" w:type="dxa"/>
            <w:vAlign w:val="center"/>
          </w:tcPr>
          <w:p w14:paraId="6B25F509">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质疑</w:t>
            </w:r>
          </w:p>
        </w:tc>
        <w:tc>
          <w:tcPr>
            <w:tcW w:w="6700" w:type="dxa"/>
            <w:vAlign w:val="center"/>
          </w:tcPr>
          <w:p w14:paraId="19F26822">
            <w:pPr>
              <w:pStyle w:val="58"/>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递交方式：</w:t>
            </w:r>
            <w:r>
              <w:rPr>
                <w:rFonts w:hint="eastAsia" w:ascii="宋体" w:hAnsi="宋体" w:eastAsia="宋体" w:cs="宋体"/>
                <w:color w:val="auto"/>
                <w:kern w:val="2"/>
                <w:sz w:val="24"/>
                <w:szCs w:val="24"/>
                <w:highlight w:val="none"/>
                <w:u w:val="single"/>
                <w:lang w:val="zh-CN" w:eastAsia="zh-CN" w:bidi="ar-SA"/>
              </w:rPr>
              <w:t>纸质版盖章原件递交</w:t>
            </w:r>
            <w:r>
              <w:rPr>
                <w:rFonts w:hint="eastAsia" w:ascii="宋体" w:hAnsi="宋体" w:eastAsia="宋体" w:cs="宋体"/>
                <w:color w:val="auto"/>
                <w:kern w:val="2"/>
                <w:sz w:val="24"/>
                <w:szCs w:val="24"/>
                <w:highlight w:val="none"/>
                <w:lang w:val="zh-CN" w:eastAsia="zh-CN" w:bidi="ar-SA"/>
              </w:rPr>
              <w:t xml:space="preserve">              </w:t>
            </w:r>
          </w:p>
          <w:p w14:paraId="33CC548F">
            <w:pPr>
              <w:pStyle w:val="58"/>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接收部门：</w:t>
            </w:r>
            <w:r>
              <w:rPr>
                <w:rFonts w:hint="eastAsia" w:ascii="宋体" w:hAnsi="宋体" w:eastAsia="宋体" w:cs="宋体"/>
                <w:color w:val="auto"/>
                <w:kern w:val="2"/>
                <w:sz w:val="24"/>
                <w:szCs w:val="24"/>
                <w:highlight w:val="none"/>
                <w:u w:val="single"/>
                <w:lang w:val="zh-CN" w:eastAsia="zh-CN" w:bidi="ar-SA"/>
              </w:rPr>
              <w:t>新疆筑石工程项目管理有限公司</w:t>
            </w:r>
            <w:r>
              <w:rPr>
                <w:rFonts w:hint="eastAsia" w:ascii="宋体" w:hAnsi="宋体" w:eastAsia="宋体" w:cs="宋体"/>
                <w:color w:val="auto"/>
                <w:kern w:val="2"/>
                <w:sz w:val="24"/>
                <w:szCs w:val="24"/>
                <w:highlight w:val="none"/>
                <w:lang w:val="zh-CN" w:eastAsia="zh-CN" w:bidi="ar-SA"/>
              </w:rPr>
              <w:t xml:space="preserve">           </w:t>
            </w:r>
          </w:p>
          <w:p w14:paraId="4E9BBFA0">
            <w:pPr>
              <w:pStyle w:val="58"/>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联系电话：</w:t>
            </w:r>
            <w:r>
              <w:rPr>
                <w:rFonts w:hint="eastAsia" w:ascii="宋体" w:hAnsi="宋体" w:cs="宋体"/>
                <w:color w:val="auto"/>
                <w:sz w:val="24"/>
                <w:szCs w:val="24"/>
                <w:highlight w:val="none"/>
                <w:u w:val="single"/>
                <w:lang w:val="en-US" w:eastAsia="zh-CN"/>
              </w:rPr>
              <w:t>19190861077</w:t>
            </w:r>
            <w:r>
              <w:rPr>
                <w:rFonts w:hint="eastAsia" w:ascii="宋体" w:hAnsi="宋体" w:eastAsia="宋体" w:cs="宋体"/>
                <w:color w:val="auto"/>
                <w:kern w:val="2"/>
                <w:sz w:val="24"/>
                <w:szCs w:val="24"/>
                <w:highlight w:val="none"/>
                <w:lang w:val="zh-CN" w:eastAsia="zh-CN" w:bidi="ar-SA"/>
              </w:rPr>
              <w:t xml:space="preserve">              </w:t>
            </w:r>
          </w:p>
          <w:p w14:paraId="30211831">
            <w:pPr>
              <w:pStyle w:val="58"/>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通讯地址：</w:t>
            </w:r>
            <w:r>
              <w:rPr>
                <w:rFonts w:hint="eastAsia" w:cs="宋体"/>
                <w:color w:val="auto"/>
                <w:sz w:val="24"/>
                <w:highlight w:val="none"/>
                <w:u w:val="single"/>
                <w:lang w:val="en-US" w:eastAsia="zh-CN"/>
              </w:rPr>
              <w:t>新疆哈密市大营房百花路红星名筑大厦2102号</w:t>
            </w:r>
            <w:r>
              <w:rPr>
                <w:rFonts w:hint="eastAsia" w:ascii="宋体" w:hAnsi="宋体" w:eastAsia="宋体" w:cs="宋体"/>
                <w:color w:val="auto"/>
                <w:kern w:val="2"/>
                <w:sz w:val="24"/>
                <w:szCs w:val="24"/>
                <w:highlight w:val="none"/>
                <w:lang w:val="zh-CN" w:eastAsia="zh-CN" w:bidi="ar-SA"/>
              </w:rPr>
              <w:t xml:space="preserve">              </w:t>
            </w:r>
          </w:p>
        </w:tc>
      </w:tr>
      <w:tr w14:paraId="4EB163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0A62D33C">
            <w:pPr>
              <w:pStyle w:val="50"/>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35.2</w:t>
            </w:r>
          </w:p>
        </w:tc>
        <w:tc>
          <w:tcPr>
            <w:tcW w:w="1738" w:type="dxa"/>
            <w:vAlign w:val="center"/>
          </w:tcPr>
          <w:p w14:paraId="0DB97241">
            <w:pPr>
              <w:pStyle w:val="50"/>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投诉</w:t>
            </w:r>
          </w:p>
        </w:tc>
        <w:tc>
          <w:tcPr>
            <w:tcW w:w="6700" w:type="dxa"/>
            <w:vAlign w:val="center"/>
          </w:tcPr>
          <w:p w14:paraId="44037369">
            <w:pPr>
              <w:pStyle w:val="58"/>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递交方式：</w:t>
            </w:r>
            <w:r>
              <w:rPr>
                <w:rFonts w:hint="eastAsia" w:ascii="宋体" w:hAnsi="宋体" w:eastAsia="宋体" w:cs="宋体"/>
                <w:color w:val="auto"/>
                <w:kern w:val="2"/>
                <w:sz w:val="24"/>
                <w:szCs w:val="24"/>
                <w:highlight w:val="none"/>
                <w:u w:val="single"/>
                <w:lang w:val="zh-CN" w:eastAsia="zh-CN" w:bidi="ar-SA"/>
              </w:rPr>
              <w:t>纸质版盖章原件递交</w:t>
            </w:r>
            <w:r>
              <w:rPr>
                <w:rFonts w:hint="eastAsia" w:ascii="宋体" w:hAnsi="宋体" w:eastAsia="宋体" w:cs="宋体"/>
                <w:color w:val="auto"/>
                <w:kern w:val="2"/>
                <w:sz w:val="24"/>
                <w:szCs w:val="24"/>
                <w:highlight w:val="none"/>
                <w:lang w:val="zh-CN" w:eastAsia="zh-CN" w:bidi="ar-SA"/>
              </w:rPr>
              <w:t xml:space="preserve">              </w:t>
            </w:r>
          </w:p>
          <w:p w14:paraId="17E58E45">
            <w:pPr>
              <w:pStyle w:val="58"/>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接收部门：</w:t>
            </w:r>
            <w:r>
              <w:rPr>
                <w:rFonts w:hint="eastAsia" w:ascii="宋体" w:hAnsi="宋体" w:eastAsia="宋体" w:cs="宋体"/>
                <w:color w:val="auto"/>
                <w:kern w:val="2"/>
                <w:sz w:val="24"/>
                <w:szCs w:val="24"/>
                <w:highlight w:val="none"/>
                <w:u w:val="single"/>
                <w:lang w:val="zh-CN" w:eastAsia="zh-CN" w:bidi="ar-SA"/>
              </w:rPr>
              <w:t>新疆</w:t>
            </w:r>
            <w:r>
              <w:rPr>
                <w:rFonts w:hint="eastAsia" w:ascii="宋体" w:hAnsi="宋体" w:cs="宋体"/>
                <w:color w:val="auto"/>
                <w:kern w:val="2"/>
                <w:sz w:val="24"/>
                <w:szCs w:val="24"/>
                <w:highlight w:val="none"/>
                <w:u w:val="single"/>
                <w:lang w:val="en-US" w:eastAsia="zh-CN" w:bidi="ar-SA"/>
              </w:rPr>
              <w:t>哈密市伊州区财政局</w:t>
            </w:r>
            <w:r>
              <w:rPr>
                <w:rFonts w:hint="eastAsia" w:ascii="宋体" w:hAnsi="宋体" w:eastAsia="宋体" w:cs="宋体"/>
                <w:color w:val="auto"/>
                <w:kern w:val="2"/>
                <w:sz w:val="24"/>
                <w:szCs w:val="24"/>
                <w:highlight w:val="none"/>
                <w:lang w:val="zh-CN" w:eastAsia="zh-CN" w:bidi="ar-SA"/>
              </w:rPr>
              <w:t xml:space="preserve">           </w:t>
            </w:r>
          </w:p>
          <w:p w14:paraId="254A0173">
            <w:pPr>
              <w:pStyle w:val="58"/>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联系电话：</w:t>
            </w:r>
            <w:r>
              <w:rPr>
                <w:rFonts w:hint="eastAsia" w:ascii="宋体" w:hAnsi="宋体" w:cs="宋体"/>
                <w:color w:val="auto"/>
                <w:sz w:val="24"/>
                <w:szCs w:val="24"/>
                <w:highlight w:val="none"/>
                <w:u w:val="single"/>
                <w:lang w:val="en-US" w:eastAsia="zh-CN"/>
              </w:rPr>
              <w:t>0902-2239017</w:t>
            </w:r>
            <w:r>
              <w:rPr>
                <w:rFonts w:hint="eastAsia" w:ascii="宋体" w:hAnsi="宋体" w:eastAsia="宋体" w:cs="宋体"/>
                <w:color w:val="auto"/>
                <w:kern w:val="2"/>
                <w:sz w:val="24"/>
                <w:szCs w:val="24"/>
                <w:highlight w:val="none"/>
                <w:lang w:val="zh-CN" w:eastAsia="zh-CN" w:bidi="ar-SA"/>
              </w:rPr>
              <w:t xml:space="preserve">              </w:t>
            </w:r>
          </w:p>
        </w:tc>
      </w:tr>
      <w:tr w14:paraId="3C8ED1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04" w:hRule="atLeast"/>
        </w:trPr>
        <w:tc>
          <w:tcPr>
            <w:tcW w:w="970" w:type="dxa"/>
            <w:vAlign w:val="center"/>
          </w:tcPr>
          <w:p w14:paraId="422A3CDD">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.1</w:t>
            </w:r>
          </w:p>
        </w:tc>
        <w:tc>
          <w:tcPr>
            <w:tcW w:w="1738" w:type="dxa"/>
            <w:vAlign w:val="center"/>
          </w:tcPr>
          <w:p w14:paraId="1782DE51">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采购代理服务费</w:t>
            </w:r>
          </w:p>
        </w:tc>
        <w:tc>
          <w:tcPr>
            <w:tcW w:w="6700" w:type="dxa"/>
            <w:vAlign w:val="center"/>
          </w:tcPr>
          <w:p w14:paraId="572A09AD">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收</w:t>
            </w:r>
            <w:r>
              <w:rPr>
                <w:rFonts w:hint="eastAsia" w:ascii="宋体" w:hAnsi="宋体" w:eastAsia="宋体" w:cs="宋体"/>
                <w:color w:val="auto"/>
                <w:sz w:val="24"/>
                <w:szCs w:val="24"/>
                <w:highlight w:val="none"/>
              </w:rPr>
              <w:t>费</w:t>
            </w:r>
            <w:r>
              <w:rPr>
                <w:rFonts w:hint="eastAsia" w:ascii="宋体" w:hAnsi="宋体" w:eastAsia="宋体" w:cs="宋体"/>
                <w:color w:val="auto"/>
                <w:sz w:val="24"/>
                <w:szCs w:val="24"/>
                <w:highlight w:val="none"/>
                <w:lang w:val="en-US" w:eastAsia="zh-CN"/>
              </w:rPr>
              <w:t>对象</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 xml:space="preserve">采购人支付 </w:t>
            </w: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 xml:space="preserve">中标人支付 </w:t>
            </w:r>
          </w:p>
          <w:p w14:paraId="75684927">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收费</w:t>
            </w:r>
            <w:r>
              <w:rPr>
                <w:rFonts w:hint="eastAsia" w:ascii="宋体" w:hAnsi="宋体" w:eastAsia="宋体" w:cs="宋体"/>
                <w:color w:val="auto"/>
                <w:sz w:val="24"/>
                <w:szCs w:val="24"/>
                <w:highlight w:val="none"/>
              </w:rPr>
              <w:t>标准：</w:t>
            </w:r>
            <w:r>
              <w:rPr>
                <w:rFonts w:hint="eastAsia" w:ascii="宋体" w:hAnsi="宋体" w:eastAsia="宋体" w:cs="宋体"/>
                <w:color w:val="auto"/>
                <w:sz w:val="24"/>
                <w:szCs w:val="24"/>
                <w:highlight w:val="none"/>
                <w:lang w:val="en-US" w:eastAsia="zh-CN"/>
              </w:rPr>
              <w:t>参考《关于印发招标代理服务收费管理暂行办法的通知》（计价格[2002]1980号）及《关于招标代理服务收费有关问题的通知》（发改办价格[2003]857号）计算，由成交人支付</w:t>
            </w:r>
          </w:p>
          <w:p w14:paraId="1368AF2C">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收取</w:t>
            </w:r>
            <w:r>
              <w:rPr>
                <w:rFonts w:hint="eastAsia" w:ascii="宋体" w:hAnsi="宋体" w:eastAsia="宋体" w:cs="宋体"/>
                <w:color w:val="auto"/>
                <w:sz w:val="24"/>
                <w:szCs w:val="24"/>
                <w:highlight w:val="none"/>
              </w:rPr>
              <w:t>时间：</w:t>
            </w:r>
            <w:r>
              <w:rPr>
                <w:rFonts w:hint="eastAsia" w:cs="宋体"/>
                <w:i w:val="0"/>
                <w:iCs w:val="0"/>
                <w:color w:val="auto"/>
                <w:sz w:val="24"/>
                <w:szCs w:val="24"/>
                <w:highlight w:val="none"/>
                <w:u w:val="single"/>
                <w:lang w:val="en-US" w:eastAsia="zh-CN"/>
              </w:rPr>
              <w:t>成交</w:t>
            </w:r>
            <w:r>
              <w:rPr>
                <w:rFonts w:hint="eastAsia" w:ascii="宋体" w:hAnsi="宋体" w:eastAsia="宋体" w:cs="宋体"/>
                <w:color w:val="auto"/>
                <w:sz w:val="24"/>
                <w:szCs w:val="24"/>
                <w:highlight w:val="none"/>
                <w:u w:val="single"/>
              </w:rPr>
              <w:t>结果公示期结束后</w:t>
            </w:r>
          </w:p>
          <w:p w14:paraId="62FC59B1">
            <w:pPr>
              <w:pStyle w:val="5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收取</w:t>
            </w:r>
            <w:r>
              <w:rPr>
                <w:rFonts w:hint="eastAsia" w:ascii="宋体" w:hAnsi="宋体" w:eastAsia="宋体" w:cs="宋体"/>
                <w:color w:val="auto"/>
                <w:sz w:val="24"/>
                <w:szCs w:val="24"/>
                <w:highlight w:val="none"/>
              </w:rPr>
              <w:t>方式：</w:t>
            </w:r>
            <w:r>
              <w:rPr>
                <w:rFonts w:hint="eastAsia" w:ascii="宋体" w:hAnsi="宋体" w:eastAsia="宋体" w:cs="宋体"/>
                <w:color w:val="auto"/>
                <w:sz w:val="24"/>
                <w:szCs w:val="24"/>
                <w:highlight w:val="none"/>
                <w:u w:val="single"/>
              </w:rPr>
              <w:t>电汇</w:t>
            </w:r>
          </w:p>
        </w:tc>
      </w:tr>
      <w:tr w14:paraId="30DE59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42" w:hRule="atLeast"/>
        </w:trPr>
        <w:tc>
          <w:tcPr>
            <w:tcW w:w="970" w:type="dxa"/>
            <w:vAlign w:val="center"/>
          </w:tcPr>
          <w:p w14:paraId="6F1BF374">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w:t>
            </w:r>
          </w:p>
        </w:tc>
        <w:tc>
          <w:tcPr>
            <w:tcW w:w="1738" w:type="dxa"/>
            <w:vAlign w:val="center"/>
          </w:tcPr>
          <w:p w14:paraId="5D860FC6">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是否接受进口产品</w:t>
            </w:r>
          </w:p>
        </w:tc>
        <w:tc>
          <w:tcPr>
            <w:tcW w:w="6700" w:type="dxa"/>
            <w:vAlign w:val="center"/>
          </w:tcPr>
          <w:p w14:paraId="438B47DA">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不接受</w:t>
            </w:r>
          </w:p>
          <w:p w14:paraId="1481386A">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lang w:val="zh-CN"/>
              </w:rPr>
              <w:t>接受</w:t>
            </w:r>
          </w:p>
        </w:tc>
      </w:tr>
      <w:tr w14:paraId="2539FC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829" w:hRule="atLeast"/>
        </w:trPr>
        <w:tc>
          <w:tcPr>
            <w:tcW w:w="970" w:type="dxa"/>
            <w:vAlign w:val="center"/>
          </w:tcPr>
          <w:p w14:paraId="06648806">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2</w:t>
            </w:r>
          </w:p>
        </w:tc>
        <w:tc>
          <w:tcPr>
            <w:tcW w:w="1738" w:type="dxa"/>
            <w:vAlign w:val="center"/>
          </w:tcPr>
          <w:p w14:paraId="34AA4482">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支持中小企业政策</w:t>
            </w:r>
            <w:r>
              <w:rPr>
                <w:rStyle w:val="33"/>
                <w:rFonts w:hint="eastAsia" w:ascii="宋体" w:hAnsi="宋体" w:eastAsia="宋体" w:cs="宋体"/>
                <w:b w:val="0"/>
                <w:color w:val="auto"/>
                <w:sz w:val="24"/>
                <w:szCs w:val="24"/>
                <w:highlight w:val="none"/>
                <w:lang w:val="en-US" w:eastAsia="zh-CN"/>
              </w:rPr>
              <w:t>（非专门面向中小企业采购项目适用）</w:t>
            </w:r>
          </w:p>
        </w:tc>
        <w:tc>
          <w:tcPr>
            <w:tcW w:w="6700" w:type="dxa"/>
            <w:vAlign w:val="center"/>
          </w:tcPr>
          <w:p w14:paraId="736B9D94">
            <w:pPr>
              <w:pStyle w:val="71"/>
              <w:widowControl w:val="0"/>
              <w:spacing w:before="0" w:beforeAutospacing="0" w:after="0" w:afterAutospacing="0" w:line="240" w:lineRule="auto"/>
              <w:jc w:val="both"/>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1</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小型和微型企业价格扣除：</w:t>
            </w:r>
            <w:r>
              <w:rPr>
                <w:rFonts w:hint="eastAsia" w:ascii="宋体" w:hAnsi="宋体" w:eastAsia="宋体" w:cs="宋体"/>
                <w:b w:val="0"/>
                <w:color w:val="auto"/>
                <w:sz w:val="24"/>
                <w:szCs w:val="24"/>
                <w:highlight w:val="none"/>
                <w:u w:val="single"/>
                <w:lang w:val="en-US" w:eastAsia="zh-CN"/>
              </w:rPr>
              <w:t xml:space="preserve">  </w:t>
            </w:r>
            <w:r>
              <w:rPr>
                <w:rFonts w:hint="eastAsia" w:cs="宋体"/>
                <w:b w:val="0"/>
                <w:color w:val="auto"/>
                <w:sz w:val="24"/>
                <w:szCs w:val="24"/>
                <w:highlight w:val="none"/>
                <w:u w:val="single"/>
                <w:lang w:val="en-US" w:eastAsia="zh-CN"/>
              </w:rPr>
              <w:t>10%</w:t>
            </w:r>
            <w:r>
              <w:rPr>
                <w:rFonts w:hint="eastAsia" w:ascii="宋体" w:hAnsi="宋体" w:eastAsia="宋体" w:cs="宋体"/>
                <w:b w:val="0"/>
                <w:color w:val="auto"/>
                <w:sz w:val="24"/>
                <w:szCs w:val="24"/>
                <w:highlight w:val="none"/>
                <w:u w:val="single"/>
                <w:lang w:val="en-US" w:eastAsia="zh-CN"/>
              </w:rPr>
              <w:t xml:space="preserve">   </w:t>
            </w:r>
            <w:r>
              <w:rPr>
                <w:rFonts w:hint="eastAsia" w:ascii="宋体" w:hAnsi="宋体" w:eastAsia="宋体" w:cs="宋体"/>
                <w:b w:val="0"/>
                <w:color w:val="auto"/>
                <w:sz w:val="24"/>
                <w:szCs w:val="24"/>
                <w:highlight w:val="none"/>
              </w:rPr>
              <w:t>。</w:t>
            </w:r>
          </w:p>
          <w:p w14:paraId="3A14D5AD">
            <w:pPr>
              <w:pStyle w:val="71"/>
              <w:widowControl w:val="0"/>
              <w:spacing w:before="0" w:beforeAutospacing="0" w:after="0" w:afterAutospacing="0" w:line="240" w:lineRule="auto"/>
              <w:jc w:val="both"/>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2</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监狱企业价格扣除：</w:t>
            </w:r>
            <w:r>
              <w:rPr>
                <w:rFonts w:hint="eastAsia" w:ascii="宋体" w:hAnsi="宋体" w:eastAsia="宋体" w:cs="宋体"/>
                <w:b w:val="0"/>
                <w:color w:val="auto"/>
                <w:sz w:val="24"/>
                <w:szCs w:val="24"/>
                <w:highlight w:val="none"/>
                <w:u w:val="none"/>
              </w:rPr>
              <w:t>同小型和微型企业</w:t>
            </w:r>
            <w:r>
              <w:rPr>
                <w:rFonts w:hint="eastAsia" w:ascii="宋体" w:hAnsi="宋体" w:eastAsia="宋体" w:cs="宋体"/>
                <w:b w:val="0"/>
                <w:color w:val="auto"/>
                <w:sz w:val="24"/>
                <w:szCs w:val="24"/>
                <w:highlight w:val="none"/>
              </w:rPr>
              <w:t>。</w:t>
            </w:r>
          </w:p>
          <w:p w14:paraId="5CF7AA8F">
            <w:pPr>
              <w:pStyle w:val="71"/>
              <w:widowControl w:val="0"/>
              <w:spacing w:before="0" w:beforeAutospacing="0" w:after="0" w:afterAutospacing="0" w:line="240" w:lineRule="auto"/>
              <w:jc w:val="both"/>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3</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残疾人福利性单位价格扣除：</w:t>
            </w:r>
            <w:r>
              <w:rPr>
                <w:rFonts w:hint="eastAsia" w:ascii="宋体" w:hAnsi="宋体" w:eastAsia="宋体" w:cs="宋体"/>
                <w:b w:val="0"/>
                <w:color w:val="auto"/>
                <w:sz w:val="24"/>
                <w:szCs w:val="24"/>
                <w:highlight w:val="none"/>
                <w:u w:val="none"/>
              </w:rPr>
              <w:t>同小型和微型企业</w:t>
            </w:r>
            <w:r>
              <w:rPr>
                <w:rFonts w:hint="eastAsia" w:ascii="宋体" w:hAnsi="宋体" w:eastAsia="宋体" w:cs="宋体"/>
                <w:b w:val="0"/>
                <w:color w:val="auto"/>
                <w:sz w:val="24"/>
                <w:szCs w:val="24"/>
                <w:highlight w:val="none"/>
              </w:rPr>
              <w:t>。</w:t>
            </w:r>
          </w:p>
          <w:p w14:paraId="529022C4">
            <w:pPr>
              <w:pStyle w:val="71"/>
              <w:widowControl w:val="0"/>
              <w:spacing w:before="0" w:beforeAutospacing="0" w:after="0" w:afterAutospacing="0" w:line="240" w:lineRule="auto"/>
              <w:jc w:val="both"/>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4</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符合条件的联合体价格扣除：</w:t>
            </w:r>
            <w:r>
              <w:rPr>
                <w:rFonts w:hint="eastAsia" w:ascii="宋体" w:hAnsi="宋体" w:eastAsia="宋体" w:cs="宋体"/>
                <w:b w:val="0"/>
                <w:color w:val="auto"/>
                <w:sz w:val="24"/>
                <w:szCs w:val="24"/>
                <w:highlight w:val="none"/>
                <w:u w:val="single"/>
                <w:lang w:val="en-US" w:eastAsia="zh-CN"/>
              </w:rPr>
              <w:t xml:space="preserve">    </w:t>
            </w:r>
            <w:r>
              <w:rPr>
                <w:rFonts w:hint="eastAsia" w:cs="宋体"/>
                <w:b w:val="0"/>
                <w:color w:val="auto"/>
                <w:sz w:val="24"/>
                <w:szCs w:val="24"/>
                <w:highlight w:val="none"/>
                <w:u w:val="single"/>
                <w:lang w:val="en-US" w:eastAsia="zh-CN"/>
              </w:rPr>
              <w:t>/</w:t>
            </w:r>
            <w:r>
              <w:rPr>
                <w:rFonts w:hint="eastAsia" w:ascii="宋体" w:hAnsi="宋体" w:eastAsia="宋体" w:cs="宋体"/>
                <w:b w:val="0"/>
                <w:color w:val="auto"/>
                <w:sz w:val="24"/>
                <w:szCs w:val="24"/>
                <w:highlight w:val="none"/>
                <w:u w:val="single"/>
                <w:lang w:val="en-US" w:eastAsia="zh-CN"/>
              </w:rPr>
              <w:t xml:space="preserve">    </w:t>
            </w:r>
            <w:r>
              <w:rPr>
                <w:rFonts w:hint="eastAsia" w:ascii="宋体" w:hAnsi="宋体" w:eastAsia="宋体" w:cs="宋体"/>
                <w:b w:val="0"/>
                <w:color w:val="auto"/>
                <w:sz w:val="24"/>
                <w:szCs w:val="24"/>
                <w:highlight w:val="none"/>
              </w:rPr>
              <w:t>。</w:t>
            </w:r>
          </w:p>
          <w:p w14:paraId="1B996B16">
            <w:pPr>
              <w:pStyle w:val="71"/>
              <w:widowControl w:val="0"/>
              <w:spacing w:before="0" w:beforeAutospacing="0" w:after="0" w:afterAutospacing="0" w:line="240" w:lineRule="auto"/>
              <w:jc w:val="both"/>
              <w:rPr>
                <w:rFonts w:hint="eastAsia" w:ascii="宋体" w:hAnsi="宋体" w:eastAsia="宋体" w:cs="宋体"/>
                <w:b w:val="0"/>
                <w:bCs/>
                <w:color w:val="auto"/>
                <w:kern w:val="0"/>
                <w:sz w:val="24"/>
                <w:szCs w:val="24"/>
                <w:highlight w:val="none"/>
                <w:lang w:val="en-US" w:eastAsia="zh-CN" w:bidi="ar-SA"/>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5</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符合条件的向小微企业分包的大中型企业价格扣除：</w:t>
            </w:r>
            <w:r>
              <w:rPr>
                <w:rFonts w:hint="eastAsia" w:ascii="宋体" w:hAnsi="宋体" w:eastAsia="宋体" w:cs="宋体"/>
                <w:b w:val="0"/>
                <w:color w:val="auto"/>
                <w:sz w:val="24"/>
                <w:szCs w:val="24"/>
                <w:highlight w:val="none"/>
                <w:u w:val="single"/>
                <w:lang w:val="en-US" w:eastAsia="zh-CN"/>
              </w:rPr>
              <w:t xml:space="preserve">     </w:t>
            </w:r>
            <w:r>
              <w:rPr>
                <w:rFonts w:hint="eastAsia" w:cs="宋体"/>
                <w:b w:val="0"/>
                <w:color w:val="auto"/>
                <w:sz w:val="24"/>
                <w:szCs w:val="24"/>
                <w:highlight w:val="none"/>
                <w:u w:val="single"/>
                <w:lang w:val="en-US" w:eastAsia="zh-CN"/>
              </w:rPr>
              <w:t>/</w:t>
            </w:r>
            <w:r>
              <w:rPr>
                <w:rFonts w:hint="eastAsia" w:ascii="宋体" w:hAnsi="宋体" w:eastAsia="宋体" w:cs="宋体"/>
                <w:b w:val="0"/>
                <w:color w:val="auto"/>
                <w:sz w:val="24"/>
                <w:szCs w:val="24"/>
                <w:highlight w:val="none"/>
                <w:u w:val="single"/>
                <w:lang w:val="en-US" w:eastAsia="zh-CN"/>
              </w:rPr>
              <w:t xml:space="preserve">   </w:t>
            </w:r>
            <w:r>
              <w:rPr>
                <w:rFonts w:hint="eastAsia" w:ascii="宋体" w:hAnsi="宋体" w:eastAsia="宋体" w:cs="宋体"/>
                <w:b w:val="0"/>
                <w:color w:val="auto"/>
                <w:sz w:val="24"/>
                <w:szCs w:val="24"/>
                <w:highlight w:val="none"/>
              </w:rPr>
              <w:t>。</w:t>
            </w:r>
            <w:r>
              <w:rPr>
                <w:rFonts w:hint="eastAsia" w:ascii="宋体" w:hAnsi="宋体" w:eastAsia="宋体" w:cs="宋体"/>
                <w:b w:val="0"/>
                <w:i w:val="0"/>
                <w:iCs/>
                <w:color w:val="auto"/>
                <w:sz w:val="24"/>
                <w:szCs w:val="24"/>
                <w:highlight w:val="none"/>
              </w:rPr>
              <w:t>（允许大中型企业向小微企业分包的项目适用）</w:t>
            </w:r>
          </w:p>
        </w:tc>
      </w:tr>
      <w:tr w14:paraId="707AAB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2513" w:hRule="atLeast"/>
        </w:trPr>
        <w:tc>
          <w:tcPr>
            <w:tcW w:w="970" w:type="dxa"/>
            <w:vAlign w:val="center"/>
          </w:tcPr>
          <w:p w14:paraId="3AAFC5B3">
            <w:pPr>
              <w:pStyle w:val="5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42.5</w:t>
            </w:r>
          </w:p>
        </w:tc>
        <w:tc>
          <w:tcPr>
            <w:tcW w:w="1738" w:type="dxa"/>
            <w:vAlign w:val="center"/>
          </w:tcPr>
          <w:p w14:paraId="59931474">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标的所属行业</w:t>
            </w:r>
          </w:p>
          <w:p w14:paraId="27995733">
            <w:pPr>
              <w:pStyle w:val="50"/>
              <w:rPr>
                <w:rFonts w:hint="eastAsia" w:ascii="宋体" w:hAnsi="宋体" w:eastAsia="宋体" w:cs="宋体"/>
                <w:color w:val="auto"/>
                <w:sz w:val="24"/>
                <w:szCs w:val="24"/>
                <w:highlight w:val="none"/>
                <w:lang w:val="en-US" w:eastAsia="zh-CN"/>
              </w:rPr>
            </w:pPr>
            <w:r>
              <w:rPr>
                <w:rStyle w:val="33"/>
                <w:rFonts w:hint="eastAsia" w:ascii="宋体" w:hAnsi="宋体" w:eastAsia="宋体" w:cs="宋体"/>
                <w:b w:val="0"/>
                <w:color w:val="auto"/>
                <w:sz w:val="24"/>
                <w:szCs w:val="24"/>
                <w:highlight w:val="none"/>
                <w:lang w:val="en-US" w:eastAsia="zh-CN"/>
              </w:rPr>
              <w:t>参照后附</w:t>
            </w:r>
            <w:r>
              <w:rPr>
                <w:rStyle w:val="33"/>
                <w:rFonts w:hint="eastAsia" w:ascii="宋体" w:hAnsi="宋体" w:eastAsia="宋体" w:cs="宋体"/>
                <w:b w:val="0"/>
                <w:color w:val="auto"/>
                <w:sz w:val="24"/>
                <w:szCs w:val="24"/>
                <w:highlight w:val="none"/>
                <w:lang w:eastAsia="zh-CN"/>
              </w:rPr>
              <w:t>《</w:t>
            </w:r>
            <w:r>
              <w:rPr>
                <w:rStyle w:val="33"/>
                <w:rFonts w:hint="eastAsia" w:ascii="宋体" w:hAnsi="宋体" w:eastAsia="宋体" w:cs="宋体"/>
                <w:b w:val="0"/>
                <w:color w:val="auto"/>
                <w:sz w:val="24"/>
                <w:szCs w:val="24"/>
                <w:highlight w:val="none"/>
              </w:rPr>
              <w:t>工信部联企业〔2011〕300号</w:t>
            </w:r>
            <w:r>
              <w:rPr>
                <w:rStyle w:val="33"/>
                <w:rFonts w:hint="eastAsia" w:ascii="宋体" w:hAnsi="宋体" w:eastAsia="宋体" w:cs="宋体"/>
                <w:b w:val="0"/>
                <w:color w:val="auto"/>
                <w:sz w:val="24"/>
                <w:szCs w:val="24"/>
                <w:highlight w:val="none"/>
                <w:lang w:eastAsia="zh-CN"/>
              </w:rPr>
              <w:t>》</w:t>
            </w:r>
          </w:p>
        </w:tc>
        <w:tc>
          <w:tcPr>
            <w:tcW w:w="6700" w:type="dxa"/>
            <w:vAlign w:val="center"/>
          </w:tcPr>
          <w:p w14:paraId="6804F69E">
            <w:pPr>
              <w:keepNext w:val="0"/>
              <w:keepLines w:val="0"/>
              <w:widowControl/>
              <w:suppressLineNumbers w:val="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本项目采购标的对应的中小企业划分标准所属行业： </w:t>
            </w:r>
          </w:p>
          <w:tbl>
            <w:tblPr>
              <w:tblStyle w:val="31"/>
              <w:tblW w:w="61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1824"/>
              <w:gridCol w:w="3245"/>
            </w:tblGrid>
            <w:tr w14:paraId="1CAAD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7" w:type="dxa"/>
                  <w:vAlign w:val="center"/>
                </w:tcPr>
                <w:p w14:paraId="7059451F">
                  <w:pPr>
                    <w:keepNext w:val="0"/>
                    <w:keepLines w:val="0"/>
                    <w:widowControl/>
                    <w:suppressLineNumbers w:val="0"/>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lang w:val="en-US" w:eastAsia="zh-CN" w:bidi="ar"/>
                    </w:rPr>
                    <w:t>包号</w:t>
                  </w:r>
                </w:p>
              </w:tc>
              <w:tc>
                <w:tcPr>
                  <w:tcW w:w="1824" w:type="dxa"/>
                  <w:vAlign w:val="center"/>
                </w:tcPr>
                <w:p w14:paraId="334359A5">
                  <w:pPr>
                    <w:keepNext w:val="0"/>
                    <w:keepLines w:val="0"/>
                    <w:widowControl/>
                    <w:suppressLineNumbers w:val="0"/>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lang w:val="en-US" w:eastAsia="zh-CN" w:bidi="ar"/>
                    </w:rPr>
                    <w:t>标的名称</w:t>
                  </w:r>
                </w:p>
              </w:tc>
              <w:tc>
                <w:tcPr>
                  <w:tcW w:w="3245" w:type="dxa"/>
                  <w:vAlign w:val="center"/>
                </w:tcPr>
                <w:p w14:paraId="6E9115BA">
                  <w:pPr>
                    <w:keepNext w:val="0"/>
                    <w:keepLines w:val="0"/>
                    <w:widowControl/>
                    <w:suppressLineNumbers w:val="0"/>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lang w:val="en-US" w:eastAsia="zh-CN" w:bidi="ar"/>
                    </w:rPr>
                    <w:t>中小企业划分标准所属行业</w:t>
                  </w:r>
                </w:p>
              </w:tc>
            </w:tr>
            <w:tr w14:paraId="585F9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4BD03589">
                  <w:pPr>
                    <w:keepNext w:val="0"/>
                    <w:keepLines w:val="0"/>
                    <w:widowControl/>
                    <w:suppressLineNumbers w:val="0"/>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第1包</w:t>
                  </w:r>
                </w:p>
              </w:tc>
              <w:tc>
                <w:tcPr>
                  <w:tcW w:w="1824" w:type="dxa"/>
                  <w:vAlign w:val="center"/>
                </w:tcPr>
                <w:p w14:paraId="402B250B">
                  <w:pPr>
                    <w:keepNext w:val="0"/>
                    <w:keepLines w:val="0"/>
                    <w:widowControl/>
                    <w:suppressLineNumbers w:val="0"/>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sz w:val="24"/>
                      <w:highlight w:val="none"/>
                      <w:u w:val="single"/>
                      <w:lang w:val="en-US" w:eastAsia="zh-CN"/>
                    </w:rPr>
                    <w:t>哈密市第八幼儿园大型树屋+木工坊定制项目游乐场设施项目</w:t>
                  </w:r>
                </w:p>
              </w:tc>
              <w:tc>
                <w:tcPr>
                  <w:tcW w:w="3245" w:type="dxa"/>
                  <w:vAlign w:val="center"/>
                </w:tcPr>
                <w:p w14:paraId="6A9C8731">
                  <w:pPr>
                    <w:keepNext w:val="0"/>
                    <w:keepLines w:val="0"/>
                    <w:widowControl/>
                    <w:suppressLineNumbers w:val="0"/>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其他未列明行业</w:t>
                  </w:r>
                </w:p>
              </w:tc>
            </w:tr>
          </w:tbl>
          <w:p w14:paraId="56AC7DD6">
            <w:pPr>
              <w:pStyle w:val="50"/>
              <w:rPr>
                <w:rFonts w:hint="eastAsia" w:ascii="宋体" w:hAnsi="宋体" w:eastAsia="宋体" w:cs="宋体"/>
                <w:color w:val="auto"/>
                <w:sz w:val="24"/>
                <w:szCs w:val="24"/>
                <w:highlight w:val="none"/>
              </w:rPr>
            </w:pPr>
          </w:p>
        </w:tc>
      </w:tr>
      <w:tr w14:paraId="545B04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25" w:hRule="atLeast"/>
        </w:trPr>
        <w:tc>
          <w:tcPr>
            <w:tcW w:w="970" w:type="dxa"/>
            <w:shd w:val="clear" w:color="auto" w:fill="auto"/>
            <w:vAlign w:val="center"/>
          </w:tcPr>
          <w:p w14:paraId="18792692">
            <w:pPr>
              <w:pStyle w:val="5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43.5</w:t>
            </w:r>
          </w:p>
        </w:tc>
        <w:tc>
          <w:tcPr>
            <w:tcW w:w="1738" w:type="dxa"/>
            <w:shd w:val="clear" w:color="auto" w:fill="auto"/>
            <w:vAlign w:val="center"/>
          </w:tcPr>
          <w:p w14:paraId="69CF29E9">
            <w:pPr>
              <w:pStyle w:val="5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优先采购创新节能环保产品</w:t>
            </w:r>
          </w:p>
        </w:tc>
        <w:tc>
          <w:tcPr>
            <w:tcW w:w="6700" w:type="dxa"/>
            <w:shd w:val="clear" w:color="auto" w:fill="auto"/>
            <w:vAlign w:val="center"/>
          </w:tcPr>
          <w:p w14:paraId="299F639F">
            <w:pPr>
              <w:pStyle w:val="5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所投产品纳入创新产品应用示范推荐目录内企业、所投产品获得节能产品或环境标志产品认证证书的</w:t>
            </w:r>
            <w:r>
              <w:rPr>
                <w:rFonts w:hint="eastAsia" w:cs="宋体"/>
                <w:color w:val="auto"/>
                <w:sz w:val="24"/>
                <w:szCs w:val="24"/>
                <w:highlight w:val="none"/>
                <w:lang w:val="en-US" w:eastAsia="zh-CN"/>
              </w:rPr>
              <w:t>供应商</w:t>
            </w:r>
            <w:r>
              <w:rPr>
                <w:rFonts w:hint="eastAsia" w:ascii="宋体" w:hAnsi="宋体" w:eastAsia="宋体" w:cs="宋体"/>
                <w:color w:val="auto"/>
                <w:sz w:val="24"/>
                <w:szCs w:val="24"/>
                <w:highlight w:val="none"/>
              </w:rPr>
              <w:t>给予</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lang w:val="en-US" w:eastAsia="zh-CN"/>
              </w:rPr>
              <w:t>评审优惠</w:t>
            </w:r>
            <w:r>
              <w:rPr>
                <w:rFonts w:hint="eastAsia" w:ascii="宋体" w:hAnsi="宋体" w:eastAsia="宋体" w:cs="宋体"/>
                <w:color w:val="auto"/>
                <w:sz w:val="24"/>
                <w:szCs w:val="24"/>
                <w:highlight w:val="none"/>
              </w:rPr>
              <w:t>。</w:t>
            </w:r>
          </w:p>
        </w:tc>
      </w:tr>
      <w:tr w14:paraId="140D50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379" w:hRule="atLeast"/>
        </w:trPr>
        <w:tc>
          <w:tcPr>
            <w:tcW w:w="970" w:type="dxa"/>
            <w:tcBorders>
              <w:right w:val="single" w:color="auto" w:sz="4" w:space="0"/>
            </w:tcBorders>
            <w:vAlign w:val="center"/>
          </w:tcPr>
          <w:p w14:paraId="08D3F63A">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.1</w:t>
            </w:r>
          </w:p>
        </w:tc>
        <w:tc>
          <w:tcPr>
            <w:tcW w:w="1738" w:type="dxa"/>
            <w:tcBorders>
              <w:left w:val="single" w:color="auto" w:sz="4" w:space="0"/>
              <w:right w:val="single" w:color="auto" w:sz="4" w:space="0"/>
            </w:tcBorders>
            <w:vAlign w:val="center"/>
          </w:tcPr>
          <w:p w14:paraId="651753DB">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w:t>
            </w:r>
          </w:p>
          <w:p w14:paraId="5E3751DF">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合同融资政策</w:t>
            </w:r>
          </w:p>
        </w:tc>
        <w:tc>
          <w:tcPr>
            <w:tcW w:w="6700" w:type="dxa"/>
            <w:tcBorders>
              <w:left w:val="single" w:color="auto" w:sz="4" w:space="0"/>
            </w:tcBorders>
            <w:vAlign w:val="center"/>
          </w:tcPr>
          <w:p w14:paraId="4377B3EE">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1.</w:t>
            </w:r>
            <w:r>
              <w:rPr>
                <w:rFonts w:hint="eastAsia" w:ascii="宋体" w:hAnsi="宋体" w:eastAsia="宋体" w:cs="宋体"/>
                <w:color w:val="auto"/>
                <w:sz w:val="24"/>
                <w:szCs w:val="24"/>
                <w:highlight w:val="none"/>
              </w:rPr>
              <w:t>有融资需求的中标人在获得政府采购中标通知书后，即可向开展“政采贷”业务的金融机构提出申请，金融机构依据政府采购中标通知书和政府采购合同，为中小微企业提供融资服务。</w:t>
            </w:r>
          </w:p>
          <w:p w14:paraId="247FAD72">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渠道和方式：</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根据项目情况自行补充</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rPr>
              <w:t>。</w:t>
            </w:r>
          </w:p>
          <w:p w14:paraId="5D7FBF5F">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2.</w:t>
            </w:r>
            <w:r>
              <w:rPr>
                <w:rFonts w:hint="eastAsia" w:ascii="宋体" w:hAnsi="宋体" w:eastAsia="宋体" w:cs="宋体"/>
                <w:color w:val="auto"/>
                <w:sz w:val="24"/>
                <w:szCs w:val="24"/>
                <w:highlight w:val="none"/>
                <w:lang w:eastAsia="zh-CN"/>
              </w:rPr>
              <w:t>“政采贷”融资指引：在取得政府采购中标通知书后，可访问“政采贷</w:t>
            </w:r>
            <w:r>
              <w:rPr>
                <w:rFonts w:hint="eastAsia" w:ascii="宋体" w:hAnsi="宋体" w:eastAsia="宋体" w:cs="宋体"/>
                <w:color w:val="auto"/>
                <w:sz w:val="24"/>
                <w:szCs w:val="24"/>
                <w:highlight w:val="none"/>
                <w:lang w:val="en-US" w:eastAsia="zh-CN"/>
              </w:rPr>
              <w:t>融资服务平台”</w:t>
            </w:r>
            <w:r>
              <w:rPr>
                <w:rFonts w:hint="eastAsia" w:ascii="宋体" w:hAnsi="宋体" w:eastAsia="宋体" w:cs="宋体"/>
                <w:color w:val="auto"/>
                <w:sz w:val="24"/>
                <w:szCs w:val="24"/>
                <w:highlight w:val="none"/>
                <w:lang w:eastAsia="zh-CN"/>
              </w:rPr>
              <w:t>，查看和联系第三方平台或者金融机构，商洽融资事项，确定融资意向。中标人签署政府采购中标合同后，登录“政采贷</w:t>
            </w:r>
            <w:r>
              <w:rPr>
                <w:rFonts w:hint="eastAsia" w:ascii="宋体" w:hAnsi="宋体" w:eastAsia="宋体" w:cs="宋体"/>
                <w:color w:val="auto"/>
                <w:sz w:val="24"/>
                <w:szCs w:val="24"/>
                <w:highlight w:val="none"/>
                <w:lang w:val="en-US" w:eastAsia="zh-CN"/>
              </w:rPr>
              <w:t>融资服务平台”</w:t>
            </w:r>
            <w:r>
              <w:rPr>
                <w:rFonts w:hint="eastAsia" w:ascii="宋体" w:hAnsi="宋体" w:eastAsia="宋体" w:cs="宋体"/>
                <w:color w:val="auto"/>
                <w:sz w:val="24"/>
                <w:szCs w:val="24"/>
                <w:highlight w:val="none"/>
                <w:lang w:eastAsia="zh-CN"/>
              </w:rPr>
              <w:t>，选择意向产品进行申请，并填写相关信息，“政采贷</w:t>
            </w:r>
            <w:r>
              <w:rPr>
                <w:rFonts w:hint="eastAsia" w:ascii="宋体" w:hAnsi="宋体" w:eastAsia="宋体" w:cs="宋体"/>
                <w:color w:val="auto"/>
                <w:sz w:val="24"/>
                <w:szCs w:val="24"/>
                <w:highlight w:val="none"/>
                <w:lang w:val="en-US" w:eastAsia="zh-CN"/>
              </w:rPr>
              <w:t>融资服务平台”</w:t>
            </w:r>
            <w:r>
              <w:rPr>
                <w:rFonts w:hint="eastAsia" w:ascii="宋体" w:hAnsi="宋体" w:eastAsia="宋体" w:cs="宋体"/>
                <w:color w:val="auto"/>
                <w:sz w:val="24"/>
                <w:szCs w:val="24"/>
                <w:highlight w:val="none"/>
                <w:lang w:eastAsia="zh-CN"/>
              </w:rPr>
              <w:t>将中标人融资申请信息推送第三方平台、意向金融机构。</w:t>
            </w:r>
          </w:p>
        </w:tc>
      </w:tr>
      <w:tr w14:paraId="48C9FD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tcBorders>
              <w:right w:val="single" w:color="auto" w:sz="4" w:space="0"/>
            </w:tcBorders>
            <w:vAlign w:val="center"/>
          </w:tcPr>
          <w:p w14:paraId="59449E7E">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.1</w:t>
            </w:r>
          </w:p>
        </w:tc>
        <w:tc>
          <w:tcPr>
            <w:tcW w:w="1738" w:type="dxa"/>
            <w:tcBorders>
              <w:right w:val="single" w:color="auto" w:sz="4" w:space="0"/>
            </w:tcBorders>
            <w:vAlign w:val="center"/>
          </w:tcPr>
          <w:p w14:paraId="7068A1E1">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需要补充的其他内容</w:t>
            </w:r>
          </w:p>
        </w:tc>
        <w:tc>
          <w:tcPr>
            <w:tcW w:w="6700" w:type="dxa"/>
            <w:tcBorders>
              <w:left w:val="single" w:color="auto" w:sz="4" w:space="0"/>
            </w:tcBorders>
            <w:vAlign w:val="center"/>
          </w:tcPr>
          <w:p w14:paraId="31D9FC3C">
            <w:pPr>
              <w:pStyle w:val="75"/>
              <w:spacing w:before="78" w:line="220" w:lineRule="auto"/>
              <w:rPr>
                <w:rFonts w:hint="eastAsia" w:eastAsia="宋体"/>
                <w:color w:val="auto"/>
                <w:highlight w:val="none"/>
                <w:lang w:val="en-US" w:eastAsia="zh-CN"/>
              </w:rPr>
            </w:pPr>
            <w:r>
              <w:rPr>
                <w:rFonts w:hint="eastAsia"/>
                <w:color w:val="auto"/>
                <w:highlight w:val="none"/>
                <w:lang w:val="en-US" w:eastAsia="zh-CN"/>
              </w:rPr>
              <w:t>1、成交</w:t>
            </w:r>
            <w:r>
              <w:rPr>
                <w:rFonts w:hint="eastAsia"/>
                <w:color w:val="auto"/>
                <w:highlight w:val="none"/>
              </w:rPr>
              <w:t>公告发布后3日内，所有参加投标单位需提供投标文件纸质版一正二副，邮寄或递交至</w:t>
            </w:r>
            <w:r>
              <w:rPr>
                <w:color w:val="auto"/>
                <w:spacing w:val="-3"/>
              </w:rPr>
              <w:t>新疆哈密市百花路1号红星名筑</w:t>
            </w:r>
            <w:r>
              <w:rPr>
                <w:rFonts w:hint="eastAsia"/>
                <w:color w:val="auto"/>
                <w:spacing w:val="-3"/>
                <w:lang w:val="en-US" w:eastAsia="zh-CN"/>
              </w:rPr>
              <w:t>大厦</w:t>
            </w:r>
          </w:p>
          <w:p w14:paraId="7DCA56E1">
            <w:pPr>
              <w:pStyle w:val="75"/>
              <w:spacing w:before="78" w:line="220" w:lineRule="auto"/>
              <w:rPr>
                <w:rFonts w:hint="default" w:eastAsia="宋体"/>
                <w:color w:val="auto"/>
                <w:highlight w:val="none"/>
                <w:lang w:val="en-US" w:eastAsia="zh-CN"/>
              </w:rPr>
            </w:pPr>
            <w:r>
              <w:rPr>
                <w:rFonts w:hint="eastAsia"/>
                <w:color w:val="auto"/>
                <w:highlight w:val="none"/>
              </w:rPr>
              <w:t>联系人：</w:t>
            </w:r>
            <w:r>
              <w:rPr>
                <w:rFonts w:hint="eastAsia"/>
                <w:color w:val="auto"/>
                <w:highlight w:val="none"/>
                <w:lang w:val="en-US" w:eastAsia="zh-CN"/>
              </w:rPr>
              <w:t>王先生</w:t>
            </w:r>
            <w:r>
              <w:rPr>
                <w:rFonts w:hint="eastAsia"/>
                <w:color w:val="auto"/>
                <w:highlight w:val="none"/>
              </w:rPr>
              <w:t xml:space="preserve">   联系电话：</w:t>
            </w:r>
            <w:r>
              <w:rPr>
                <w:rFonts w:hint="eastAsia"/>
                <w:color w:val="auto"/>
                <w:highlight w:val="none"/>
                <w:lang w:val="en-US" w:eastAsia="zh-CN"/>
              </w:rPr>
              <w:t>19190861077</w:t>
            </w:r>
          </w:p>
          <w:p w14:paraId="7B1D4272">
            <w:pPr>
              <w:pStyle w:val="75"/>
              <w:spacing w:before="78" w:line="22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2"/>
                <w:kern w:val="2"/>
                <w:sz w:val="24"/>
                <w:szCs w:val="24"/>
                <w:highlight w:val="none"/>
                <w:lang w:val="en-US" w:eastAsia="en-US" w:bidi="ar-SA"/>
              </w:rPr>
              <w:t>2、</w:t>
            </w:r>
            <w:r>
              <w:rPr>
                <w:rFonts w:hint="eastAsia"/>
                <w:color w:val="auto"/>
                <w:highlight w:val="none"/>
              </w:rPr>
              <w:t>合同服务履行期限：</w:t>
            </w:r>
            <w:r>
              <w:rPr>
                <w:rFonts w:hint="eastAsia" w:cs="宋体"/>
                <w:color w:val="auto"/>
                <w:sz w:val="24"/>
                <w:highlight w:val="none"/>
                <w:u w:val="none"/>
                <w:lang w:val="en-US" w:eastAsia="zh-CN"/>
              </w:rPr>
              <w:t>4</w:t>
            </w:r>
            <w:r>
              <w:rPr>
                <w:rFonts w:hint="eastAsia" w:cs="宋体"/>
                <w:b w:val="0"/>
                <w:bCs w:val="0"/>
                <w:color w:val="auto"/>
                <w:sz w:val="24"/>
                <w:highlight w:val="none"/>
                <w:u w:val="none"/>
                <w:lang w:val="en-US" w:eastAsia="zh-CN"/>
              </w:rPr>
              <w:t>5日（合同签订后货到现场至安装验收完成）</w:t>
            </w:r>
          </w:p>
        </w:tc>
      </w:tr>
      <w:tr w14:paraId="475204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tcBorders>
              <w:right w:val="single" w:color="auto" w:sz="4" w:space="0"/>
            </w:tcBorders>
            <w:vAlign w:val="center"/>
          </w:tcPr>
          <w:p w14:paraId="2AC9F9B2">
            <w:pPr>
              <w:pStyle w:val="50"/>
              <w:jc w:val="center"/>
              <w:rPr>
                <w:rFonts w:hint="default" w:ascii="宋体" w:hAnsi="宋体" w:eastAsia="宋体" w:cs="宋体"/>
                <w:b/>
                <w:bCs/>
                <w:color w:val="auto"/>
                <w:sz w:val="24"/>
                <w:szCs w:val="24"/>
                <w:highlight w:val="none"/>
                <w:lang w:val="en-US" w:eastAsia="zh-CN"/>
              </w:rPr>
            </w:pPr>
            <w:r>
              <w:rPr>
                <w:rFonts w:hint="eastAsia" w:cs="宋体"/>
                <w:b/>
                <w:bCs/>
                <w:color w:val="auto"/>
                <w:sz w:val="24"/>
                <w:szCs w:val="24"/>
                <w:highlight w:val="none"/>
                <w:lang w:val="en-US" w:eastAsia="zh-CN"/>
              </w:rPr>
              <w:t>49.1</w:t>
            </w:r>
          </w:p>
        </w:tc>
        <w:tc>
          <w:tcPr>
            <w:tcW w:w="1738" w:type="dxa"/>
            <w:tcBorders>
              <w:right w:val="single" w:color="auto" w:sz="4" w:space="0"/>
            </w:tcBorders>
            <w:vAlign w:val="center"/>
          </w:tcPr>
          <w:p w14:paraId="2B5AE904">
            <w:pPr>
              <w:pStyle w:val="50"/>
              <w:rPr>
                <w:rFonts w:hint="eastAsia" w:ascii="宋体" w:hAnsi="宋体" w:eastAsia="宋体" w:cs="宋体"/>
                <w:b/>
                <w:bCs/>
                <w:color w:val="auto"/>
                <w:sz w:val="24"/>
                <w:szCs w:val="24"/>
                <w:highlight w:val="none"/>
              </w:rPr>
            </w:pPr>
            <w:r>
              <w:rPr>
                <w:rFonts w:hint="eastAsia"/>
                <w:b/>
                <w:bCs/>
                <w:color w:val="auto"/>
                <w:highlight w:val="none"/>
                <w:lang w:val="en-US" w:eastAsia="zh-CN"/>
              </w:rPr>
              <w:t>付款方式</w:t>
            </w:r>
          </w:p>
        </w:tc>
        <w:tc>
          <w:tcPr>
            <w:tcW w:w="6700" w:type="dxa"/>
            <w:tcBorders>
              <w:left w:val="single" w:color="auto" w:sz="4" w:space="0"/>
            </w:tcBorders>
            <w:vAlign w:val="center"/>
          </w:tcPr>
          <w:p w14:paraId="4C25A352">
            <w:pPr>
              <w:pStyle w:val="50"/>
              <w:rPr>
                <w:rFonts w:hint="eastAsia"/>
                <w:b/>
                <w:bCs/>
                <w:color w:val="auto"/>
                <w:highlight w:val="none"/>
                <w:lang w:val="en-US" w:eastAsia="zh-CN"/>
              </w:rPr>
            </w:pPr>
            <w:r>
              <w:rPr>
                <w:rFonts w:hint="eastAsia"/>
                <w:b/>
                <w:bCs/>
                <w:color w:val="auto"/>
                <w:highlight w:val="none"/>
                <w:lang w:val="en-US" w:eastAsia="zh-CN"/>
              </w:rPr>
              <w:t>付款方式：</w:t>
            </w:r>
            <w:r>
              <w:rPr>
                <w:rFonts w:hint="eastAsia" w:ascii="宋体" w:hAnsi="宋体" w:cs="宋体"/>
                <w:b/>
                <w:bCs/>
                <w:color w:val="auto"/>
                <w:sz w:val="24"/>
                <w:highlight w:val="none"/>
              </w:rPr>
              <w:t>合同签定后支付合同总价款</w:t>
            </w:r>
            <w:r>
              <w:rPr>
                <w:rFonts w:hint="eastAsia" w:cs="宋体"/>
                <w:b/>
                <w:bCs/>
                <w:color w:val="auto"/>
                <w:sz w:val="24"/>
                <w:highlight w:val="none"/>
                <w:lang w:val="en-US" w:eastAsia="zh-CN"/>
              </w:rPr>
              <w:t>5</w:t>
            </w:r>
            <w:r>
              <w:rPr>
                <w:rFonts w:hint="eastAsia" w:ascii="宋体" w:hAnsi="宋体" w:cs="宋体"/>
                <w:b/>
                <w:bCs/>
                <w:color w:val="auto"/>
                <w:sz w:val="24"/>
                <w:highlight w:val="none"/>
              </w:rPr>
              <w:t>0%预付款。货到</w:t>
            </w:r>
            <w:r>
              <w:rPr>
                <w:rFonts w:hint="eastAsia" w:ascii="宋体" w:hAnsi="宋体" w:cs="宋体"/>
                <w:b/>
                <w:bCs/>
                <w:color w:val="auto"/>
                <w:sz w:val="24"/>
                <w:highlight w:val="none"/>
                <w:lang w:eastAsia="zh-CN"/>
              </w:rPr>
              <w:t>甲方指定</w:t>
            </w:r>
            <w:r>
              <w:rPr>
                <w:rFonts w:hint="eastAsia" w:ascii="宋体" w:hAnsi="宋体" w:cs="宋体"/>
                <w:b/>
                <w:bCs/>
                <w:color w:val="auto"/>
                <w:sz w:val="24"/>
                <w:highlight w:val="none"/>
              </w:rPr>
              <w:t>现场安装、</w:t>
            </w:r>
            <w:r>
              <w:rPr>
                <w:rFonts w:hint="eastAsia" w:ascii="宋体" w:hAnsi="宋体" w:cs="宋体"/>
                <w:b/>
                <w:bCs/>
                <w:color w:val="auto"/>
                <w:sz w:val="24"/>
                <w:highlight w:val="none"/>
                <w:lang w:val="en-US" w:eastAsia="zh-CN"/>
              </w:rPr>
              <w:t>调试</w:t>
            </w:r>
            <w:r>
              <w:rPr>
                <w:rFonts w:hint="eastAsia" w:ascii="宋体" w:hAnsi="宋体" w:cs="宋体"/>
                <w:b/>
                <w:bCs/>
                <w:color w:val="auto"/>
                <w:sz w:val="24"/>
                <w:highlight w:val="none"/>
              </w:rPr>
              <w:t>、</w:t>
            </w:r>
            <w:r>
              <w:rPr>
                <w:rFonts w:hint="eastAsia" w:ascii="宋体" w:hAnsi="宋体" w:cs="宋体"/>
                <w:b/>
                <w:bCs/>
                <w:color w:val="auto"/>
                <w:sz w:val="24"/>
                <w:highlight w:val="none"/>
                <w:lang w:val="en-US" w:eastAsia="zh-CN"/>
              </w:rPr>
              <w:t>验收</w:t>
            </w:r>
            <w:r>
              <w:rPr>
                <w:rFonts w:hint="eastAsia" w:ascii="宋体" w:hAnsi="宋体" w:cs="宋体"/>
                <w:b/>
                <w:bCs/>
                <w:color w:val="auto"/>
                <w:sz w:val="24"/>
                <w:highlight w:val="none"/>
              </w:rPr>
              <w:t>合格并交付使用</w:t>
            </w:r>
            <w:r>
              <w:rPr>
                <w:rFonts w:hint="eastAsia" w:ascii="宋体" w:hAnsi="宋体" w:cs="宋体"/>
                <w:b/>
                <w:bCs/>
                <w:color w:val="auto"/>
                <w:sz w:val="24"/>
                <w:highlight w:val="none"/>
                <w:lang w:eastAsia="zh-CN"/>
              </w:rPr>
              <w:t>，根据审计价支付</w:t>
            </w:r>
            <w:r>
              <w:rPr>
                <w:rFonts w:hint="eastAsia" w:ascii="宋体" w:hAnsi="宋体" w:cs="宋体"/>
                <w:b/>
                <w:bCs/>
                <w:color w:val="auto"/>
                <w:sz w:val="24"/>
                <w:highlight w:val="none"/>
              </w:rPr>
              <w:t>支付</w:t>
            </w:r>
            <w:r>
              <w:rPr>
                <w:rFonts w:hint="eastAsia" w:cs="宋体"/>
                <w:b/>
                <w:bCs/>
                <w:color w:val="auto"/>
                <w:sz w:val="24"/>
                <w:highlight w:val="none"/>
                <w:lang w:val="en-US" w:eastAsia="zh-CN"/>
              </w:rPr>
              <w:t>剩余</w:t>
            </w:r>
            <w:r>
              <w:rPr>
                <w:rFonts w:hint="eastAsia" w:ascii="宋体" w:hAnsi="宋体" w:cs="宋体"/>
                <w:b/>
                <w:bCs/>
                <w:color w:val="auto"/>
                <w:sz w:val="24"/>
                <w:highlight w:val="none"/>
              </w:rPr>
              <w:t>合同总价款的</w:t>
            </w:r>
            <w:r>
              <w:rPr>
                <w:rFonts w:hint="eastAsia" w:cs="宋体"/>
                <w:b/>
                <w:bCs/>
                <w:color w:val="auto"/>
                <w:sz w:val="24"/>
                <w:highlight w:val="none"/>
                <w:lang w:val="en-US" w:eastAsia="zh-CN"/>
              </w:rPr>
              <w:t>50</w:t>
            </w:r>
            <w:r>
              <w:rPr>
                <w:rFonts w:hint="eastAsia" w:ascii="宋体" w:hAnsi="宋体" w:cs="宋体"/>
                <w:b/>
                <w:bCs/>
                <w:color w:val="auto"/>
                <w:sz w:val="24"/>
                <w:highlight w:val="none"/>
              </w:rPr>
              <w:t>%。</w:t>
            </w:r>
            <w:r>
              <w:rPr>
                <w:rFonts w:hint="eastAsia" w:ascii="宋体" w:hAnsi="宋体" w:eastAsia="宋体" w:cs="宋体"/>
                <w:b/>
                <w:bCs/>
                <w:sz w:val="24"/>
                <w:szCs w:val="24"/>
              </w:rPr>
              <w:t>（具体以签订合同为准）</w:t>
            </w:r>
          </w:p>
        </w:tc>
      </w:tr>
      <w:tr w14:paraId="0C2269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408" w:type="dxa"/>
            <w:gridSpan w:val="3"/>
            <w:vAlign w:val="center"/>
          </w:tcPr>
          <w:p w14:paraId="16CF3F9F">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备注:</w:t>
            </w:r>
          </w:p>
          <w:p w14:paraId="1ECD6A03">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除本招标文件另有规定外，招标文件中出现的类似于“近三年”或“前三年”、“近五年”或“前五年”均指递交投标文件</w:t>
            </w:r>
            <w:r>
              <w:rPr>
                <w:rFonts w:hint="eastAsia" w:ascii="宋体" w:hAnsi="宋体" w:eastAsia="宋体" w:cs="宋体"/>
                <w:color w:val="auto"/>
                <w:sz w:val="24"/>
                <w:szCs w:val="24"/>
                <w:highlight w:val="none"/>
                <w:lang w:val="en-US" w:eastAsia="zh-CN"/>
              </w:rPr>
              <w:t>截止</w:t>
            </w: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lang w:val="en-US" w:eastAsia="zh-CN"/>
              </w:rPr>
              <w:t>之</w:t>
            </w:r>
            <w:r>
              <w:rPr>
                <w:rFonts w:hint="eastAsia" w:ascii="宋体" w:hAnsi="宋体" w:eastAsia="宋体" w:cs="宋体"/>
                <w:color w:val="auto"/>
                <w:sz w:val="24"/>
                <w:szCs w:val="24"/>
                <w:highlight w:val="none"/>
              </w:rPr>
              <w:t>前三年或前五年，以此类推。如：递交投标文件时间为  年  月  日，则“近三年”是指  年  月  日至  年  月  日。</w:t>
            </w:r>
          </w:p>
          <w:p w14:paraId="6F66C892">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本招标文件所称的“以上”、“以下”、“内”、“以内”，包括本数；所称的“不足”，不包括本数。</w:t>
            </w:r>
          </w:p>
        </w:tc>
      </w:tr>
    </w:tbl>
    <w:p w14:paraId="452C548F">
      <w:pPr>
        <w:rPr>
          <w:color w:val="auto"/>
          <w:highlight w:val="none"/>
        </w:rPr>
      </w:pPr>
      <w:r>
        <w:rPr>
          <w:color w:val="auto"/>
          <w:highlight w:val="none"/>
        </w:rPr>
        <w:br w:type="page"/>
      </w:r>
    </w:p>
    <w:p w14:paraId="410914FC">
      <w:pPr>
        <w:pStyle w:val="3"/>
        <w:keepNext/>
        <w:keepLines/>
        <w:pageBreakBefore w:val="0"/>
        <w:widowControl w:val="0"/>
        <w:numPr>
          <w:ilvl w:val="0"/>
          <w:numId w:val="0"/>
        </w:numPr>
        <w:kinsoku/>
        <w:wordWrap/>
        <w:overflowPunct/>
        <w:topLinePunct w:val="0"/>
        <w:autoSpaceDE/>
        <w:autoSpaceDN/>
        <w:bidi w:val="0"/>
        <w:adjustRightInd/>
        <w:snapToGrid/>
        <w:spacing w:before="80" w:after="8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115" w:name="_Toc155185869"/>
      <w:bookmarkStart w:id="116" w:name="_Toc163492821"/>
      <w:bookmarkStart w:id="117" w:name="_Toc5698"/>
      <w:r>
        <w:rPr>
          <w:rFonts w:hint="eastAsia" w:eastAsia="宋体" w:asciiTheme="majorHAnsi" w:hAnsiTheme="majorHAnsi" w:cstheme="majorBidi"/>
          <w:b/>
          <w:bCs/>
          <w:color w:val="auto"/>
          <w:kern w:val="2"/>
          <w:sz w:val="28"/>
          <w:szCs w:val="28"/>
          <w:highlight w:val="none"/>
          <w:lang w:val="en-US" w:eastAsia="zh-CN" w:bidi="ar-SA"/>
        </w:rPr>
        <w:t>二、投标人须知</w:t>
      </w:r>
      <w:bookmarkEnd w:id="115"/>
      <w:bookmarkEnd w:id="116"/>
      <w:bookmarkEnd w:id="117"/>
    </w:p>
    <w:p w14:paraId="604D77A9">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bookmarkStart w:id="118" w:name="_Toc155185870"/>
      <w:bookmarkStart w:id="119" w:name="_Toc163492822"/>
      <w:r>
        <w:rPr>
          <w:rFonts w:hint="eastAsia" w:ascii="宋体" w:hAnsi="宋体" w:eastAsia="宋体" w:cs="宋体"/>
          <w:b/>
          <w:bCs/>
          <w:color w:val="auto"/>
          <w:kern w:val="2"/>
          <w:sz w:val="24"/>
          <w:szCs w:val="32"/>
          <w:highlight w:val="none"/>
          <w:lang w:val="en-US" w:eastAsia="zh-CN" w:bidi="ar-SA"/>
        </w:rPr>
        <w:t>（一）总则</w:t>
      </w:r>
      <w:bookmarkEnd w:id="118"/>
      <w:bookmarkEnd w:id="119"/>
    </w:p>
    <w:p w14:paraId="788765C9">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20" w:name="_Toc163492823"/>
      <w:bookmarkStart w:id="121" w:name="_Toc109900469"/>
      <w:bookmarkStart w:id="122" w:name="_Toc155095689"/>
      <w:bookmarkStart w:id="123" w:name="_Toc109900050"/>
      <w:bookmarkStart w:id="124" w:name="_Toc31233"/>
      <w:bookmarkStart w:id="125" w:name="_Toc109897532"/>
      <w:bookmarkStart w:id="126" w:name="_Toc109899631"/>
      <w:r>
        <w:rPr>
          <w:rFonts w:hint="eastAsia" w:ascii="宋体" w:hAnsi="宋体" w:eastAsia="宋体" w:cs="宋体"/>
          <w:b/>
          <w:bCs/>
          <w:color w:val="auto"/>
          <w:kern w:val="2"/>
          <w:sz w:val="24"/>
          <w:szCs w:val="28"/>
          <w:highlight w:val="none"/>
          <w:lang w:val="en-US" w:eastAsia="zh-CN" w:bidi="ar-SA"/>
        </w:rPr>
        <w:t>1.适用范围</w:t>
      </w:r>
      <w:bookmarkEnd w:id="120"/>
      <w:bookmarkEnd w:id="121"/>
      <w:bookmarkEnd w:id="122"/>
      <w:bookmarkEnd w:id="123"/>
      <w:bookmarkEnd w:id="124"/>
      <w:bookmarkEnd w:id="125"/>
      <w:bookmarkEnd w:id="126"/>
    </w:p>
    <w:p w14:paraId="38963635">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highlight w:val="none"/>
        </w:rPr>
      </w:pPr>
      <w:r>
        <w:rPr>
          <w:rFonts w:hint="eastAsia" w:ascii="宋体" w:hAnsi="宋体" w:eastAsia="宋体" w:cs="宋体"/>
          <w:snapToGrid w:val="0"/>
          <w:color w:val="auto"/>
          <w:sz w:val="24"/>
          <w:highlight w:val="none"/>
        </w:rPr>
        <w:t>1.1本招标文件仅适用于本项目的采购活动。</w:t>
      </w:r>
    </w:p>
    <w:p w14:paraId="34F08411">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27" w:name="_Toc163492824"/>
      <w:r>
        <w:rPr>
          <w:rFonts w:hint="eastAsia" w:ascii="宋体" w:hAnsi="宋体" w:eastAsia="宋体" w:cs="宋体"/>
          <w:b/>
          <w:bCs/>
          <w:color w:val="auto"/>
          <w:kern w:val="2"/>
          <w:sz w:val="24"/>
          <w:szCs w:val="28"/>
          <w:highlight w:val="none"/>
          <w:lang w:val="en-US" w:eastAsia="zh-CN" w:bidi="ar-SA"/>
        </w:rPr>
        <w:t>2.基本定义</w:t>
      </w:r>
      <w:bookmarkEnd w:id="127"/>
    </w:p>
    <w:p w14:paraId="768D70C2">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2.1根据《中华人民共和国政府采购法》及其实施条例等有关法律、法规和规章的规定，制定本招标文件。</w:t>
      </w:r>
    </w:p>
    <w:p w14:paraId="342EC44E">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eastAsia="宋体"/>
          <w:color w:val="auto"/>
          <w:sz w:val="24"/>
          <w:highlight w:val="none"/>
        </w:rPr>
      </w:pPr>
      <w:r>
        <w:rPr>
          <w:rFonts w:hint="eastAsia" w:eastAsia="宋体"/>
          <w:color w:val="auto"/>
          <w:sz w:val="24"/>
          <w:highlight w:val="none"/>
        </w:rPr>
        <w:t>2.2采购人：</w:t>
      </w:r>
      <w:r>
        <w:rPr>
          <w:rFonts w:hint="eastAsia" w:ascii="宋体" w:hAnsi="宋体" w:eastAsia="宋体" w:cs="宋体"/>
          <w:color w:val="auto"/>
          <w:kern w:val="0"/>
          <w:sz w:val="24"/>
          <w:szCs w:val="24"/>
          <w:highlight w:val="none"/>
          <w:lang w:val="en-US" w:eastAsia="zh-CN" w:bidi="ar"/>
        </w:rPr>
        <w:t>指依法进行政府采购的国家机关、事业单位、团体组织</w:t>
      </w:r>
      <w:r>
        <w:rPr>
          <w:rFonts w:hint="eastAsia" w:eastAsia="宋体"/>
          <w:color w:val="auto"/>
          <w:sz w:val="24"/>
          <w:highlight w:val="none"/>
        </w:rPr>
        <w:t>。</w:t>
      </w:r>
    </w:p>
    <w:p w14:paraId="429A3EF6">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eastAsia="宋体"/>
          <w:color w:val="auto"/>
          <w:sz w:val="24"/>
          <w:highlight w:val="none"/>
        </w:rPr>
      </w:pPr>
      <w:r>
        <w:rPr>
          <w:rFonts w:hint="eastAsia" w:eastAsia="宋体"/>
          <w:color w:val="auto"/>
          <w:sz w:val="24"/>
          <w:highlight w:val="none"/>
        </w:rPr>
        <w:t>2.3采购代理机构：</w:t>
      </w:r>
      <w:r>
        <w:rPr>
          <w:rFonts w:hint="eastAsia" w:ascii="宋体" w:hAnsi="宋体" w:eastAsia="宋体" w:cs="宋体"/>
          <w:color w:val="auto"/>
          <w:kern w:val="0"/>
          <w:sz w:val="24"/>
          <w:szCs w:val="24"/>
          <w:highlight w:val="none"/>
          <w:lang w:val="en-US" w:eastAsia="zh-CN" w:bidi="ar"/>
        </w:rPr>
        <w:t>指依法进行政府采购的国家机关、事业单位、团体组织</w:t>
      </w:r>
      <w:r>
        <w:rPr>
          <w:rFonts w:hint="eastAsia" w:eastAsia="宋体"/>
          <w:color w:val="auto"/>
          <w:sz w:val="24"/>
          <w:highlight w:val="none"/>
          <w:lang w:val="en-US" w:eastAsia="zh-CN"/>
        </w:rPr>
        <w:t>委托的采购代理机构</w:t>
      </w:r>
      <w:r>
        <w:rPr>
          <w:rFonts w:hint="eastAsia" w:eastAsia="宋体"/>
          <w:color w:val="auto"/>
          <w:sz w:val="24"/>
          <w:highlight w:val="none"/>
        </w:rPr>
        <w:t>。</w:t>
      </w:r>
    </w:p>
    <w:p w14:paraId="26D50742">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2.4政府采购监督管理部门：各级人民政府财政部门是负责政府采购监督管理的部门，依法履行对政府采购活动的监督管理职责。各级人民政府其他有关部门依法履行与政府采购活动有关的监督管理职责。</w:t>
      </w:r>
    </w:p>
    <w:p w14:paraId="18E21DAA">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2.5 核心产品见</w:t>
      </w:r>
      <w:r>
        <w:rPr>
          <w:rFonts w:hint="eastAsia" w:eastAsia="宋体"/>
          <w:color w:val="auto"/>
          <w:sz w:val="24"/>
          <w:highlight w:val="none"/>
        </w:rPr>
        <w:t>“投标人须知前附表”</w:t>
      </w:r>
      <w:r>
        <w:rPr>
          <w:rFonts w:hint="eastAsia" w:eastAsia="宋体"/>
          <w:color w:val="auto"/>
          <w:sz w:val="24"/>
          <w:highlight w:val="none"/>
          <w:lang w:val="en-US" w:eastAsia="zh-CN"/>
        </w:rPr>
        <w:t>。</w:t>
      </w:r>
    </w:p>
    <w:p w14:paraId="6557BF30">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2.6是否属于</w:t>
      </w:r>
      <w:r>
        <w:rPr>
          <w:rFonts w:ascii="FZShuSong-Z01" w:hAnsi="FZShuSong-Z01" w:eastAsia="宋体" w:cs="FZShuSong-Z01"/>
          <w:color w:val="auto"/>
          <w:kern w:val="0"/>
          <w:sz w:val="24"/>
          <w:szCs w:val="24"/>
          <w:highlight w:val="none"/>
          <w:lang w:val="en-US" w:eastAsia="zh-CN" w:bidi="ar"/>
        </w:rPr>
        <w:t>科研仪器设备</w:t>
      </w:r>
      <w:r>
        <w:rPr>
          <w:rFonts w:hint="eastAsia" w:ascii="FZShuSong-Z01" w:hAnsi="FZShuSong-Z01" w:eastAsia="宋体" w:cs="FZShuSong-Z01"/>
          <w:color w:val="auto"/>
          <w:kern w:val="0"/>
          <w:sz w:val="24"/>
          <w:szCs w:val="24"/>
          <w:highlight w:val="none"/>
          <w:lang w:val="en-US" w:eastAsia="zh-CN" w:bidi="ar"/>
        </w:rPr>
        <w:t>采购</w:t>
      </w:r>
      <w:r>
        <w:rPr>
          <w:rFonts w:hint="eastAsia" w:eastAsia="宋体"/>
          <w:color w:val="auto"/>
          <w:sz w:val="24"/>
          <w:highlight w:val="none"/>
          <w:lang w:val="en-US" w:eastAsia="zh-CN"/>
        </w:rPr>
        <w:t>见</w:t>
      </w:r>
      <w:r>
        <w:rPr>
          <w:rFonts w:hint="eastAsia" w:eastAsia="宋体"/>
          <w:color w:val="auto"/>
          <w:sz w:val="24"/>
          <w:highlight w:val="none"/>
        </w:rPr>
        <w:t>“</w:t>
      </w:r>
      <w:r>
        <w:rPr>
          <w:rFonts w:hint="eastAsia" w:eastAsia="宋体"/>
          <w:color w:val="auto"/>
          <w:sz w:val="24"/>
          <w:highlight w:val="none"/>
          <w:lang w:val="en-US" w:eastAsia="zh-CN"/>
        </w:rPr>
        <w:t>投标人</w:t>
      </w:r>
      <w:r>
        <w:rPr>
          <w:rFonts w:hint="eastAsia" w:eastAsia="宋体"/>
          <w:color w:val="auto"/>
          <w:sz w:val="24"/>
          <w:highlight w:val="none"/>
        </w:rPr>
        <w:t>须知前附表”</w:t>
      </w:r>
      <w:r>
        <w:rPr>
          <w:rFonts w:hint="eastAsia" w:eastAsia="宋体"/>
          <w:color w:val="auto"/>
          <w:sz w:val="24"/>
          <w:highlight w:val="none"/>
          <w:lang w:val="en-US" w:eastAsia="zh-CN"/>
        </w:rPr>
        <w:t>。</w:t>
      </w:r>
    </w:p>
    <w:p w14:paraId="214DD75F">
      <w:pPr>
        <w:ind w:firstLine="480" w:firstLineChars="200"/>
        <w:rPr>
          <w:rFonts w:eastAsia="宋体"/>
          <w:color w:val="auto"/>
          <w:sz w:val="24"/>
          <w:highlight w:val="none"/>
        </w:rPr>
      </w:pPr>
      <w:r>
        <w:rPr>
          <w:rFonts w:hint="eastAsia" w:eastAsia="宋体"/>
          <w:iCs/>
          <w:color w:val="auto"/>
          <w:sz w:val="24"/>
          <w:highlight w:val="none"/>
          <w:shd w:val="clear" w:color="auto" w:fill="FFFFFF" w:themeFill="background1"/>
        </w:rPr>
        <w:t>2.</w:t>
      </w:r>
      <w:r>
        <w:rPr>
          <w:rFonts w:hint="eastAsia" w:eastAsia="宋体"/>
          <w:iCs/>
          <w:color w:val="auto"/>
          <w:sz w:val="24"/>
          <w:highlight w:val="none"/>
          <w:shd w:val="clear" w:color="auto" w:fill="FFFFFF" w:themeFill="background1"/>
          <w:lang w:val="en-US" w:eastAsia="zh-CN"/>
        </w:rPr>
        <w:t>7</w:t>
      </w:r>
      <w:r>
        <w:rPr>
          <w:rFonts w:hint="eastAsia" w:eastAsia="宋体"/>
          <w:iCs/>
          <w:color w:val="auto"/>
          <w:sz w:val="24"/>
          <w:highlight w:val="none"/>
          <w:shd w:val="clear" w:color="auto" w:fill="FFFFFF" w:themeFill="background1"/>
        </w:rPr>
        <w:t>投标人（也称“供应商”、“申请人”）：指向采购人提供货物、工程或者服务的法人、其他组织或者自然人。</w:t>
      </w:r>
      <w:r>
        <w:rPr>
          <w:rFonts w:hint="eastAsia" w:eastAsia="宋体"/>
          <w:color w:val="auto"/>
          <w:sz w:val="24"/>
          <w:highlight w:val="none"/>
        </w:rPr>
        <w:t>分支机构不得参加政府采购活动，但银行、保险、石油石化、电力、电信等</w:t>
      </w:r>
      <w:r>
        <w:rPr>
          <w:rFonts w:hint="eastAsia" w:eastAsia="宋体"/>
          <w:color w:val="auto"/>
          <w:sz w:val="24"/>
          <w:highlight w:val="none"/>
          <w:lang w:val="en-US" w:eastAsia="zh-CN"/>
        </w:rPr>
        <w:t>有</w:t>
      </w:r>
      <w:r>
        <w:rPr>
          <w:rFonts w:hint="eastAsia" w:eastAsia="宋体"/>
          <w:color w:val="auto"/>
          <w:sz w:val="24"/>
          <w:highlight w:val="none"/>
        </w:rPr>
        <w:t>行业特殊</w:t>
      </w:r>
      <w:r>
        <w:rPr>
          <w:rFonts w:hint="eastAsia" w:eastAsia="宋体"/>
          <w:color w:val="auto"/>
          <w:sz w:val="24"/>
          <w:highlight w:val="none"/>
          <w:lang w:val="en-US" w:eastAsia="zh-CN"/>
        </w:rPr>
        <w:t>情况的</w:t>
      </w:r>
      <w:r>
        <w:rPr>
          <w:rFonts w:hint="eastAsia" w:eastAsia="宋体"/>
          <w:color w:val="auto"/>
          <w:sz w:val="24"/>
          <w:highlight w:val="none"/>
        </w:rPr>
        <w:t>除外。</w:t>
      </w:r>
      <w:r>
        <w:rPr>
          <w:rFonts w:eastAsia="宋体"/>
          <w:color w:val="auto"/>
          <w:sz w:val="24"/>
          <w:highlight w:val="none"/>
        </w:rPr>
        <w:t>本项目的投标人须满足以下条件：</w:t>
      </w:r>
    </w:p>
    <w:p w14:paraId="2518C535">
      <w:pPr>
        <w:ind w:firstLine="480" w:firstLineChars="200"/>
        <w:rPr>
          <w:rFonts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7</w:t>
      </w:r>
      <w:r>
        <w:rPr>
          <w:rFonts w:eastAsia="宋体"/>
          <w:color w:val="auto"/>
          <w:sz w:val="24"/>
          <w:highlight w:val="none"/>
        </w:rPr>
        <w:t>.</w:t>
      </w:r>
      <w:r>
        <w:rPr>
          <w:rFonts w:hint="eastAsia" w:eastAsia="宋体"/>
          <w:color w:val="auto"/>
          <w:sz w:val="24"/>
          <w:highlight w:val="none"/>
        </w:rPr>
        <w:t>1</w:t>
      </w:r>
      <w:r>
        <w:rPr>
          <w:rFonts w:eastAsia="宋体"/>
          <w:color w:val="auto"/>
          <w:sz w:val="24"/>
          <w:highlight w:val="none"/>
        </w:rPr>
        <w:t>具备《中华人民共和国政府采购法》第二十二条规定的</w:t>
      </w:r>
      <w:r>
        <w:rPr>
          <w:rFonts w:hint="eastAsia" w:eastAsia="宋体"/>
          <w:color w:val="auto"/>
          <w:sz w:val="24"/>
          <w:highlight w:val="none"/>
        </w:rPr>
        <w:t>条件</w:t>
      </w:r>
      <w:r>
        <w:rPr>
          <w:rFonts w:eastAsia="宋体"/>
          <w:color w:val="auto"/>
          <w:sz w:val="24"/>
          <w:highlight w:val="none"/>
        </w:rPr>
        <w:t>，遵守本项目采购人本级和上级财政部门政府采购的有关规定。</w:t>
      </w:r>
    </w:p>
    <w:p w14:paraId="76745163">
      <w:pPr>
        <w:ind w:firstLine="480" w:firstLineChars="200"/>
        <w:rPr>
          <w:rFonts w:hint="eastAsia"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.2以招标公告中发布的方式依法获得了本项目的招标文件。</w:t>
      </w:r>
    </w:p>
    <w:p w14:paraId="0DE24F0D">
      <w:pPr>
        <w:ind w:firstLine="480" w:firstLineChars="200"/>
        <w:rPr>
          <w:rFonts w:hint="eastAsia" w:eastAsia="宋体"/>
          <w:color w:val="auto"/>
          <w:sz w:val="24"/>
          <w:highlight w:val="none"/>
          <w:lang w:val="en-US" w:eastAsia="zh-CN"/>
        </w:rPr>
      </w:pPr>
      <w:r>
        <w:rPr>
          <w:rFonts w:hint="eastAsia" w:eastAsia="宋体"/>
          <w:color w:val="auto"/>
          <w:sz w:val="24"/>
          <w:highlight w:val="none"/>
          <w:lang w:val="en-US" w:eastAsia="zh-CN"/>
        </w:rPr>
        <w:t>2.7.3符合本招标文件规定并参加投标的供应商。</w:t>
      </w:r>
    </w:p>
    <w:p w14:paraId="5FC27D1B">
      <w:pPr>
        <w:spacing w:line="360" w:lineRule="auto"/>
        <w:ind w:firstLine="480" w:firstLineChars="200"/>
        <w:rPr>
          <w:rFonts w:hint="default" w:eastAsia="宋体"/>
          <w:color w:val="auto"/>
          <w:sz w:val="24"/>
          <w:highlight w:val="none"/>
          <w:lang w:val="en-US" w:eastAsia="zh-CN"/>
        </w:rPr>
      </w:pPr>
      <w:r>
        <w:rPr>
          <w:rFonts w:hint="eastAsia" w:eastAsia="宋体"/>
          <w:color w:val="auto"/>
          <w:sz w:val="24"/>
          <w:highlight w:val="none"/>
          <w:lang w:val="en-US" w:eastAsia="zh-CN"/>
        </w:rPr>
        <w:t>2.8</w:t>
      </w:r>
      <w:r>
        <w:rPr>
          <w:rFonts w:hint="eastAsia" w:eastAsia="宋体"/>
          <w:iCs/>
          <w:color w:val="auto"/>
          <w:sz w:val="24"/>
          <w:highlight w:val="none"/>
          <w:shd w:val="clear" w:color="auto" w:fill="FFFFFF" w:themeFill="background1"/>
        </w:rPr>
        <w:t>潜在投标人、潜在供应商</w:t>
      </w:r>
      <w:r>
        <w:rPr>
          <w:rFonts w:hint="eastAsia" w:eastAsia="宋体"/>
          <w:iCs/>
          <w:color w:val="auto"/>
          <w:sz w:val="24"/>
          <w:highlight w:val="none"/>
          <w:shd w:val="clear" w:color="auto" w:fill="FFFFFF" w:themeFill="background1"/>
          <w:lang w:eastAsia="zh-CN"/>
        </w:rPr>
        <w:t>：</w:t>
      </w:r>
      <w:r>
        <w:rPr>
          <w:rFonts w:hint="eastAsia" w:eastAsia="宋体"/>
          <w:iCs/>
          <w:color w:val="auto"/>
          <w:sz w:val="24"/>
          <w:highlight w:val="none"/>
          <w:shd w:val="clear" w:color="auto" w:fill="FFFFFF" w:themeFill="background1"/>
          <w:lang w:val="en-US" w:eastAsia="zh-CN"/>
        </w:rPr>
        <w:t>指</w:t>
      </w:r>
      <w:r>
        <w:rPr>
          <w:rFonts w:hint="eastAsia" w:eastAsia="宋体"/>
          <w:color w:val="auto"/>
          <w:sz w:val="24"/>
          <w:highlight w:val="none"/>
          <w:lang w:val="en-US" w:eastAsia="zh-CN"/>
        </w:rPr>
        <w:t>符合本招标文件规定的供应商。</w:t>
      </w:r>
    </w:p>
    <w:p w14:paraId="7BECD896">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28" w:name="_Toc163492825"/>
      <w:bookmarkStart w:id="129" w:name="_Toc140132758"/>
      <w:r>
        <w:rPr>
          <w:rFonts w:hint="eastAsia" w:ascii="宋体" w:hAnsi="宋体" w:eastAsia="宋体" w:cs="宋体"/>
          <w:b/>
          <w:bCs/>
          <w:color w:val="auto"/>
          <w:kern w:val="2"/>
          <w:sz w:val="24"/>
          <w:szCs w:val="28"/>
          <w:highlight w:val="none"/>
          <w:lang w:val="en-US" w:eastAsia="zh-CN" w:bidi="ar-SA"/>
        </w:rPr>
        <w:t>3.资金来源</w:t>
      </w:r>
      <w:bookmarkEnd w:id="128"/>
      <w:bookmarkEnd w:id="129"/>
    </w:p>
    <w:p w14:paraId="76E8C14F">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3.1资金来源：</w:t>
      </w:r>
      <w:r>
        <w:rPr>
          <w:rFonts w:hint="eastAsia" w:eastAsia="宋体"/>
          <w:color w:val="auto"/>
          <w:sz w:val="24"/>
          <w:highlight w:val="none"/>
          <w:lang w:val="en-US" w:eastAsia="zh-CN"/>
        </w:rPr>
        <w:t>为财政性资金即</w:t>
      </w:r>
      <w:r>
        <w:rPr>
          <w:rFonts w:hint="eastAsia" w:eastAsia="宋体"/>
          <w:color w:val="auto"/>
          <w:sz w:val="24"/>
          <w:highlight w:val="none"/>
        </w:rPr>
        <w:t>纳入预算管理的资金</w:t>
      </w:r>
      <w:r>
        <w:rPr>
          <w:rFonts w:hint="eastAsia" w:eastAsia="宋体"/>
          <w:color w:val="auto"/>
          <w:sz w:val="24"/>
          <w:highlight w:val="none"/>
          <w:lang w:eastAsia="zh-CN"/>
        </w:rPr>
        <w:t>。</w:t>
      </w:r>
      <w:r>
        <w:rPr>
          <w:rFonts w:hint="eastAsia" w:eastAsia="宋体"/>
          <w:color w:val="auto"/>
          <w:sz w:val="24"/>
          <w:highlight w:val="none"/>
        </w:rPr>
        <w:t>以财政性资金作为还款来源的借贷资金，视同财政性资金。财政性资金与非财政性资金无法分割采购的，统一适用《中华人民共和国政府采购法》及其实施条例。</w:t>
      </w:r>
    </w:p>
    <w:p w14:paraId="17722C40">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30" w:name="_Toc163492826"/>
      <w:bookmarkStart w:id="131" w:name="_Toc140132760"/>
      <w:r>
        <w:rPr>
          <w:rFonts w:hint="eastAsia" w:ascii="宋体" w:hAnsi="宋体" w:eastAsia="宋体" w:cs="宋体"/>
          <w:b/>
          <w:bCs/>
          <w:color w:val="auto"/>
          <w:kern w:val="2"/>
          <w:sz w:val="24"/>
          <w:szCs w:val="28"/>
          <w:highlight w:val="none"/>
          <w:lang w:val="en-US" w:eastAsia="zh-CN" w:bidi="ar-SA"/>
        </w:rPr>
        <w:t>4.投标人资格要求</w:t>
      </w:r>
      <w:bookmarkEnd w:id="130"/>
      <w:bookmarkEnd w:id="131"/>
    </w:p>
    <w:p w14:paraId="522AD9C1">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4.1投标人资格要求：见“</w:t>
      </w:r>
      <w:r>
        <w:rPr>
          <w:rFonts w:hint="eastAsia" w:eastAsia="宋体"/>
          <w:color w:val="auto"/>
          <w:sz w:val="24"/>
          <w:highlight w:val="none"/>
          <w:lang w:val="en-US" w:eastAsia="zh-CN"/>
        </w:rPr>
        <w:t>第一章 招标公告</w:t>
      </w:r>
      <w:r>
        <w:rPr>
          <w:rFonts w:hint="eastAsia" w:eastAsia="宋体"/>
          <w:color w:val="auto"/>
          <w:sz w:val="24"/>
          <w:highlight w:val="none"/>
        </w:rPr>
        <w:t>”；</w:t>
      </w:r>
    </w:p>
    <w:p w14:paraId="3B57853B">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en-US" w:eastAsia="zh-CN"/>
        </w:rPr>
        <w:t>4</w:t>
      </w:r>
      <w:r>
        <w:rPr>
          <w:rFonts w:hint="eastAsia" w:eastAsia="宋体"/>
          <w:color w:val="auto"/>
          <w:sz w:val="24"/>
          <w:highlight w:val="none"/>
          <w:lang w:val="zh-CN" w:eastAsia="zh-CN"/>
        </w:rPr>
        <w:t>.</w:t>
      </w:r>
      <w:r>
        <w:rPr>
          <w:rFonts w:hint="eastAsia" w:eastAsia="宋体"/>
          <w:color w:val="auto"/>
          <w:sz w:val="24"/>
          <w:highlight w:val="none"/>
          <w:lang w:val="en-US" w:eastAsia="zh-CN"/>
        </w:rPr>
        <w:t>2</w:t>
      </w:r>
      <w:r>
        <w:rPr>
          <w:rFonts w:hint="eastAsia" w:eastAsia="宋体"/>
          <w:color w:val="auto"/>
          <w:sz w:val="24"/>
          <w:highlight w:val="none"/>
          <w:lang w:val="zh-CN" w:eastAsia="zh-CN"/>
        </w:rPr>
        <w:t>“</w:t>
      </w:r>
      <w:r>
        <w:rPr>
          <w:rFonts w:hint="eastAsia" w:eastAsia="宋体"/>
          <w:color w:val="auto"/>
          <w:sz w:val="24"/>
          <w:highlight w:val="none"/>
          <w:lang w:val="en-US" w:eastAsia="zh-CN"/>
        </w:rPr>
        <w:t>第一章 招标公告</w:t>
      </w:r>
      <w:r>
        <w:rPr>
          <w:rFonts w:hint="eastAsia" w:eastAsia="宋体"/>
          <w:color w:val="auto"/>
          <w:sz w:val="24"/>
          <w:highlight w:val="none"/>
          <w:lang w:val="zh-CN" w:eastAsia="zh-CN"/>
        </w:rPr>
        <w:t>”规定接受联合体投标的，还应遵守以下规定：</w:t>
      </w:r>
    </w:p>
    <w:p w14:paraId="512308FF">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eastAsia="宋体"/>
          <w:color w:val="auto"/>
          <w:sz w:val="24"/>
          <w:highlight w:val="none"/>
          <w:lang w:val="en-US" w:eastAsia="zh-CN"/>
        </w:rPr>
        <w:t>4</w:t>
      </w:r>
      <w:r>
        <w:rPr>
          <w:rFonts w:hint="eastAsia" w:eastAsia="宋体"/>
          <w:color w:val="auto"/>
          <w:sz w:val="24"/>
          <w:highlight w:val="none"/>
          <w:lang w:val="zh-CN" w:eastAsia="zh-CN"/>
        </w:rPr>
        <w:t>.</w:t>
      </w:r>
      <w:r>
        <w:rPr>
          <w:rFonts w:hint="eastAsia" w:eastAsia="宋体"/>
          <w:color w:val="auto"/>
          <w:sz w:val="24"/>
          <w:highlight w:val="none"/>
          <w:lang w:val="en-US" w:eastAsia="zh-CN"/>
        </w:rPr>
        <w:t>2.</w:t>
      </w:r>
      <w:r>
        <w:rPr>
          <w:rFonts w:hint="eastAsia" w:eastAsia="宋体"/>
          <w:color w:val="auto"/>
          <w:sz w:val="24"/>
          <w:highlight w:val="none"/>
          <w:lang w:val="zh-CN" w:eastAsia="zh-CN"/>
        </w:rPr>
        <w:t>1两个以上的自然人、法人或者其他组织可以组成一个联合体，以一个</w:t>
      </w:r>
      <w:r>
        <w:rPr>
          <w:rFonts w:hint="eastAsia" w:eastAsia="宋体"/>
          <w:color w:val="auto"/>
          <w:sz w:val="24"/>
          <w:highlight w:val="none"/>
          <w:lang w:val="en-US" w:eastAsia="zh-CN"/>
        </w:rPr>
        <w:t>投标人</w:t>
      </w:r>
      <w:r>
        <w:rPr>
          <w:rFonts w:hint="eastAsia" w:eastAsia="宋体"/>
          <w:color w:val="auto"/>
          <w:sz w:val="24"/>
          <w:highlight w:val="none"/>
          <w:lang w:val="zh-CN" w:eastAsia="zh-CN"/>
        </w:rPr>
        <w:t>的身份共同参加政府采购。</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以联合体形式进行政府采购的，参加联合体的供应商均应当具备《</w:t>
      </w:r>
      <w:r>
        <w:rPr>
          <w:rFonts w:hint="eastAsia" w:eastAsia="宋体"/>
          <w:color w:val="auto"/>
          <w:sz w:val="24"/>
          <w:highlight w:val="none"/>
        </w:rPr>
        <w:t>中华人民共和国政府采购法</w:t>
      </w:r>
      <w:r>
        <w:rPr>
          <w:rFonts w:hint="eastAsia" w:ascii="宋体" w:hAnsi="宋体" w:eastAsia="宋体" w:cstheme="minorBidi"/>
          <w:iCs/>
          <w:color w:val="auto"/>
          <w:kern w:val="2"/>
          <w:sz w:val="24"/>
          <w:szCs w:val="22"/>
          <w:highlight w:val="none"/>
          <w:shd w:val="clear" w:color="auto" w:fill="FFFFFF" w:themeFill="background1"/>
          <w:lang w:val="zh-CN" w:eastAsia="zh-CN" w:bidi="ar-SA"/>
        </w:rPr>
        <w:t>》第二十二条规定的条件。</w:t>
      </w:r>
    </w:p>
    <w:p w14:paraId="7EFB49B3">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2.</w:t>
      </w:r>
      <w:r>
        <w:rPr>
          <w:rFonts w:hint="eastAsia" w:eastAsia="宋体" w:cstheme="minorBidi"/>
          <w:iCs/>
          <w:color w:val="auto"/>
          <w:kern w:val="2"/>
          <w:sz w:val="24"/>
          <w:szCs w:val="22"/>
          <w:highlight w:val="none"/>
          <w:shd w:val="clear" w:color="auto" w:fill="FFFFFF" w:themeFill="background1"/>
          <w:lang w:val="en-US" w:eastAsia="zh-CN" w:bidi="ar-SA"/>
        </w:rPr>
        <w:t>2</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联合体各方应按招标文件提供的格式签订联合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协议</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书</w:t>
      </w:r>
      <w:r>
        <w:rPr>
          <w:rFonts w:hint="eastAsia" w:ascii="宋体" w:hAnsi="宋体" w:eastAsia="宋体" w:cstheme="minorBidi"/>
          <w:iCs/>
          <w:color w:val="auto"/>
          <w:kern w:val="2"/>
          <w:sz w:val="24"/>
          <w:szCs w:val="22"/>
          <w:highlight w:val="none"/>
          <w:shd w:val="clear" w:color="auto" w:fill="FFFFFF" w:themeFill="background1"/>
          <w:lang w:val="zh-CN" w:eastAsia="zh-CN" w:bidi="ar-SA"/>
        </w:rPr>
        <w:t>，明确约定联合体各方承担的工作和相应的责任，并将联合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协议</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书</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作为投标文件的一部分提交，该协议书对联合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体所有成员</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均具有法律约束力。</w:t>
      </w:r>
    </w:p>
    <w:p w14:paraId="5343E5B5">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4.2.</w:t>
      </w:r>
      <w:r>
        <w:rPr>
          <w:rFonts w:hint="eastAsia" w:eastAsia="宋体" w:cstheme="minorBidi"/>
          <w:iCs/>
          <w:color w:val="auto"/>
          <w:kern w:val="2"/>
          <w:sz w:val="24"/>
          <w:szCs w:val="22"/>
          <w:highlight w:val="none"/>
          <w:shd w:val="clear" w:color="auto" w:fill="FFFFFF" w:themeFill="background1"/>
          <w:lang w:val="en-US" w:eastAsia="zh-CN" w:bidi="ar-SA"/>
        </w:rPr>
        <w:t>3</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联合体中有同类资质的供应商按照联合体分工承担相同工作的，应当按照资质等级较低的供应商确定资质等级。</w:t>
      </w:r>
    </w:p>
    <w:p w14:paraId="21D444C4">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4.2</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r>
        <w:rPr>
          <w:rFonts w:hint="eastAsia" w:eastAsia="宋体" w:cstheme="minorBidi"/>
          <w:iCs/>
          <w:color w:val="auto"/>
          <w:kern w:val="2"/>
          <w:sz w:val="24"/>
          <w:szCs w:val="22"/>
          <w:highlight w:val="none"/>
          <w:shd w:val="clear" w:color="auto" w:fill="FFFFFF" w:themeFill="background1"/>
          <w:lang w:val="en-US" w:eastAsia="zh-CN" w:bidi="ar-SA"/>
        </w:rPr>
        <w:t>4</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以联合体形式参加政府采购活动的，联合体各方不得再单独参加或者与其他供应商另外组成联合体参加</w:t>
      </w:r>
      <w:r>
        <w:rPr>
          <w:rFonts w:hint="eastAsia" w:ascii="宋体" w:hAnsi="宋体" w:eastAsia="宋体" w:cstheme="minorBidi"/>
          <w:iCs/>
          <w:color w:val="auto"/>
          <w:kern w:val="2"/>
          <w:sz w:val="24"/>
          <w:szCs w:val="22"/>
          <w:highlight w:val="none"/>
          <w:shd w:val="clear" w:color="auto" w:fill="FFFFFF" w:themeFill="background1"/>
          <w:lang w:val="en-US" w:eastAsia="zh-CN" w:bidi="ar-SA"/>
        </w:rPr>
        <w:t>同一合同项下的</w:t>
      </w:r>
      <w:r>
        <w:rPr>
          <w:rFonts w:hint="eastAsia" w:ascii="宋体" w:hAnsi="宋体" w:eastAsia="宋体" w:cstheme="minorBidi"/>
          <w:iCs/>
          <w:color w:val="auto"/>
          <w:kern w:val="2"/>
          <w:sz w:val="24"/>
          <w:szCs w:val="22"/>
          <w:highlight w:val="none"/>
          <w:shd w:val="clear" w:color="auto" w:fill="FFFFFF" w:themeFill="background1"/>
          <w:lang w:val="zh-CN" w:eastAsia="zh-CN" w:bidi="ar-SA"/>
        </w:rPr>
        <w:t>投标，否则相关投标将被认定为</w:t>
      </w:r>
      <w:r>
        <w:rPr>
          <w:rFonts w:hint="eastAsia" w:ascii="宋体" w:hAnsi="宋体" w:eastAsia="宋体" w:cstheme="minorBidi"/>
          <w:b/>
          <w:bCs/>
          <w:iCs/>
          <w:color w:val="auto"/>
          <w:kern w:val="2"/>
          <w:sz w:val="24"/>
          <w:szCs w:val="22"/>
          <w:highlight w:val="none"/>
          <w:shd w:val="clear" w:color="auto" w:fill="FFFFFF" w:themeFill="background1"/>
          <w:lang w:val="zh-CN" w:eastAsia="zh-CN" w:bidi="ar-SA"/>
        </w:rPr>
        <w:t>投标无效</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p>
    <w:p w14:paraId="2E60D00D">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4.2</w:t>
      </w:r>
      <w:r>
        <w:rPr>
          <w:rFonts w:hint="eastAsia" w:ascii="宋体" w:hAnsi="宋体" w:eastAsia="宋体" w:cstheme="minorBidi"/>
          <w:iCs/>
          <w:color w:val="auto"/>
          <w:kern w:val="2"/>
          <w:sz w:val="24"/>
          <w:szCs w:val="22"/>
          <w:highlight w:val="none"/>
          <w:shd w:val="clear" w:color="auto" w:fill="FFFFFF" w:themeFill="background1"/>
          <w:lang w:val="zh-CN" w:eastAsia="zh-CN" w:bidi="ar-SA"/>
        </w:rPr>
        <w:t>.5大中型企业、其他自然人、法人或者非法人组织与小型、微型企业组成联合体共同参加投标</w:t>
      </w:r>
      <w:r>
        <w:rPr>
          <w:rFonts w:hint="eastAsia" w:ascii="宋体" w:hAnsi="宋体"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协议</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书</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中应写明小型、微型企业的合同金额占到联合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投标</w:t>
      </w:r>
      <w:r>
        <w:rPr>
          <w:rFonts w:hint="eastAsia" w:ascii="宋体" w:hAnsi="宋体" w:eastAsia="宋体" w:cstheme="minorBidi"/>
          <w:iCs/>
          <w:color w:val="auto"/>
          <w:kern w:val="2"/>
          <w:sz w:val="24"/>
          <w:szCs w:val="22"/>
          <w:highlight w:val="none"/>
          <w:shd w:val="clear" w:color="auto" w:fill="FFFFFF" w:themeFill="background1"/>
          <w:lang w:val="en-US" w:eastAsia="zh-CN" w:bidi="ar-SA"/>
        </w:rPr>
        <w:t>合同</w:t>
      </w:r>
      <w:r>
        <w:rPr>
          <w:rFonts w:hint="eastAsia" w:ascii="宋体" w:hAnsi="宋体" w:eastAsia="宋体" w:cstheme="minorBidi"/>
          <w:iCs/>
          <w:color w:val="auto"/>
          <w:kern w:val="2"/>
          <w:sz w:val="24"/>
          <w:szCs w:val="22"/>
          <w:highlight w:val="none"/>
          <w:shd w:val="clear" w:color="auto" w:fill="FFFFFF" w:themeFill="background1"/>
          <w:lang w:val="zh-CN" w:eastAsia="zh-CN" w:bidi="ar-SA"/>
        </w:rPr>
        <w:t>总金额的比例。</w:t>
      </w:r>
    </w:p>
    <w:p w14:paraId="7127D169">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zh-CN" w:eastAsia="zh-CN" w:bidi="ar-SA"/>
        </w:rPr>
        <w:t>4.2</w:t>
      </w:r>
      <w:r>
        <w:rPr>
          <w:rFonts w:hint="eastAsia"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eastAsia="宋体" w:cstheme="minorBidi"/>
          <w:iCs/>
          <w:color w:val="auto"/>
          <w:kern w:val="2"/>
          <w:sz w:val="24"/>
          <w:szCs w:val="22"/>
          <w:highlight w:val="none"/>
          <w:shd w:val="clear" w:color="auto" w:fill="FFFFFF" w:themeFill="background1"/>
          <w:lang w:val="en-US" w:eastAsia="zh-CN" w:bidi="ar-SA"/>
        </w:rPr>
        <w:t>6</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联合体中标</w:t>
      </w:r>
      <w:r>
        <w:rPr>
          <w:rFonts w:hint="eastAsia"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采购</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合同应由</w:t>
      </w:r>
      <w:r>
        <w:rPr>
          <w:rFonts w:hint="eastAsia" w:ascii="宋体" w:hAnsi="宋体" w:eastAsia="宋体" w:cstheme="minorBidi"/>
          <w:iCs/>
          <w:color w:val="auto"/>
          <w:kern w:val="2"/>
          <w:sz w:val="24"/>
          <w:szCs w:val="22"/>
          <w:highlight w:val="none"/>
          <w:shd w:val="clear" w:color="auto" w:fill="FFFFFF" w:themeFill="background1"/>
          <w:lang w:val="en-US" w:eastAsia="zh-CN" w:bidi="ar-SA"/>
        </w:rPr>
        <w:t>联合体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各成员的合法授权代表签字</w:t>
      </w:r>
      <w:r>
        <w:rPr>
          <w:rFonts w:hint="eastAsia" w:eastAsia="宋体" w:cstheme="minorBidi"/>
          <w:iCs/>
          <w:color w:val="auto"/>
          <w:kern w:val="2"/>
          <w:sz w:val="24"/>
          <w:szCs w:val="22"/>
          <w:highlight w:val="none"/>
          <w:shd w:val="clear" w:color="auto" w:fill="FFFFFF" w:themeFill="background1"/>
          <w:lang w:val="en-US" w:eastAsia="zh-CN" w:bidi="ar-SA"/>
        </w:rPr>
        <w:t>及</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加盖</w:t>
      </w:r>
      <w:r>
        <w:rPr>
          <w:rFonts w:hint="eastAsia" w:ascii="宋体" w:hAnsi="宋体" w:eastAsia="宋体" w:cstheme="minorBidi"/>
          <w:iCs/>
          <w:color w:val="auto"/>
          <w:kern w:val="2"/>
          <w:sz w:val="24"/>
          <w:szCs w:val="22"/>
          <w:highlight w:val="none"/>
          <w:shd w:val="clear" w:color="auto" w:fill="FFFFFF" w:themeFill="background1"/>
          <w:lang w:val="en-US" w:eastAsia="zh-CN" w:bidi="ar-SA"/>
        </w:rPr>
        <w:t>联合体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各成员公章，</w:t>
      </w:r>
      <w:r>
        <w:rPr>
          <w:rFonts w:hint="eastAsia" w:eastAsia="宋体" w:cstheme="minorBidi"/>
          <w:iCs/>
          <w:color w:val="auto"/>
          <w:kern w:val="2"/>
          <w:sz w:val="24"/>
          <w:szCs w:val="22"/>
          <w:highlight w:val="none"/>
          <w:shd w:val="clear" w:color="auto" w:fill="FFFFFF" w:themeFill="background1"/>
          <w:lang w:val="en-US" w:eastAsia="zh-CN" w:bidi="ar-SA"/>
        </w:rPr>
        <w:t>并</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对联合体成员作为整体和他们各自作为独立体均具有法律约束力，但若该签字或公章不齐全或缺乏，该联合体的牵头人的签署或类似的意思表示人具有代表该联合体的签署或意思表示的法律效力，并且据此各成员为履行合同应向采购人与采购代理机构承担连带责任。</w:t>
      </w:r>
    </w:p>
    <w:p w14:paraId="72C3CFE0">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zh-CN" w:eastAsia="zh-CN" w:bidi="ar-SA"/>
        </w:rPr>
        <w:t>4.2</w:t>
      </w:r>
      <w:r>
        <w:rPr>
          <w:rFonts w:hint="eastAsia"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eastAsia="宋体" w:cstheme="minorBidi"/>
          <w:iCs/>
          <w:color w:val="auto"/>
          <w:kern w:val="2"/>
          <w:sz w:val="24"/>
          <w:szCs w:val="22"/>
          <w:highlight w:val="none"/>
          <w:shd w:val="clear" w:color="auto" w:fill="FFFFFF" w:themeFill="background1"/>
          <w:lang w:val="en-US" w:eastAsia="zh-CN" w:bidi="ar-SA"/>
        </w:rPr>
        <w:t>7</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联合体或其成员不得将其在合同项下的权利或义务全部或部分转让给第三人，有关分包事项须事先取得采购</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人</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书面同意并且须遵守相关法律、法规、本次招标的全部相关规定。</w:t>
      </w:r>
    </w:p>
    <w:p w14:paraId="7D2803AB">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4.2</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r>
        <w:rPr>
          <w:rFonts w:hint="eastAsia" w:eastAsia="宋体" w:cstheme="minorBidi"/>
          <w:iCs/>
          <w:color w:val="auto"/>
          <w:kern w:val="2"/>
          <w:sz w:val="24"/>
          <w:szCs w:val="22"/>
          <w:highlight w:val="none"/>
          <w:shd w:val="clear" w:color="auto" w:fill="FFFFFF" w:themeFill="background1"/>
          <w:lang w:val="en-US" w:eastAsia="zh-CN" w:bidi="ar-SA"/>
        </w:rPr>
        <w:t>8</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对联合体投标的其他资格要求见</w:t>
      </w:r>
      <w:r>
        <w:rPr>
          <w:rFonts w:hint="eastAsia" w:eastAsia="宋体"/>
          <w:color w:val="auto"/>
          <w:sz w:val="24"/>
          <w:highlight w:val="none"/>
        </w:rPr>
        <w:t>“</w:t>
      </w:r>
      <w:r>
        <w:rPr>
          <w:rFonts w:hint="eastAsia" w:eastAsia="宋体"/>
          <w:color w:val="auto"/>
          <w:sz w:val="24"/>
          <w:highlight w:val="none"/>
          <w:lang w:val="en-US" w:eastAsia="zh-CN"/>
        </w:rPr>
        <w:t>第一章 招标公告</w:t>
      </w:r>
      <w:r>
        <w:rPr>
          <w:rFonts w:hint="eastAsia" w:eastAsia="宋体"/>
          <w:color w:val="auto"/>
          <w:sz w:val="24"/>
          <w:highlight w:val="none"/>
        </w:rPr>
        <w:t>”</w:t>
      </w:r>
      <w:r>
        <w:rPr>
          <w:rFonts w:hint="eastAsia" w:eastAsia="宋体"/>
          <w:color w:val="auto"/>
          <w:sz w:val="24"/>
          <w:highlight w:val="none"/>
          <w:lang w:val="en-US" w:eastAsia="zh-CN"/>
        </w:rPr>
        <w:t>中的“二、</w:t>
      </w:r>
      <w:r>
        <w:rPr>
          <w:rFonts w:hint="eastAsia" w:ascii="宋体" w:hAnsi="宋体" w:eastAsia="宋体" w:cstheme="minorBidi"/>
          <w:iCs/>
          <w:color w:val="auto"/>
          <w:kern w:val="2"/>
          <w:sz w:val="24"/>
          <w:szCs w:val="22"/>
          <w:highlight w:val="none"/>
          <w:shd w:val="clear" w:color="auto" w:fill="FFFFFF" w:themeFill="background1"/>
          <w:lang w:val="en-US" w:eastAsia="zh-CN" w:bidi="ar-SA"/>
        </w:rPr>
        <w:t>申请人的</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资格</w:t>
      </w:r>
      <w:r>
        <w:rPr>
          <w:rFonts w:hint="eastAsia" w:ascii="宋体" w:hAnsi="宋体" w:eastAsia="宋体" w:cstheme="minorBidi"/>
          <w:iCs/>
          <w:color w:val="auto"/>
          <w:kern w:val="2"/>
          <w:sz w:val="24"/>
          <w:szCs w:val="22"/>
          <w:highlight w:val="none"/>
          <w:shd w:val="clear" w:color="auto" w:fill="FFFFFF" w:themeFill="background1"/>
          <w:lang w:val="en-US" w:eastAsia="zh-CN" w:bidi="ar-SA"/>
        </w:rPr>
        <w:t>要求</w:t>
      </w:r>
      <w:r>
        <w:rPr>
          <w:rFonts w:hint="eastAsia"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p>
    <w:p w14:paraId="4DE6446D">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32" w:name="_Toc163492827"/>
      <w:r>
        <w:rPr>
          <w:rFonts w:hint="eastAsia" w:ascii="宋体" w:hAnsi="宋体" w:eastAsia="宋体" w:cs="宋体"/>
          <w:b/>
          <w:bCs/>
          <w:color w:val="auto"/>
          <w:kern w:val="2"/>
          <w:sz w:val="24"/>
          <w:szCs w:val="28"/>
          <w:highlight w:val="none"/>
          <w:lang w:val="en-US" w:eastAsia="zh-CN" w:bidi="ar-SA"/>
        </w:rPr>
        <w:t>5.费用承担</w:t>
      </w:r>
      <w:bookmarkEnd w:id="132"/>
    </w:p>
    <w:p w14:paraId="3C6741ED">
      <w:pPr>
        <w:pStyle w:val="38"/>
        <w:keepNext w:val="0"/>
        <w:keepLines w:val="0"/>
        <w:pageBreakBefore w:val="0"/>
        <w:widowControl w:val="0"/>
        <w:kinsoku/>
        <w:overflowPunct/>
        <w:topLinePunct w:val="0"/>
        <w:autoSpaceDE/>
        <w:autoSpaceDN/>
        <w:bidi w:val="0"/>
        <w:adjustRightInd/>
        <w:snapToGrid/>
        <w:textAlignment w:val="auto"/>
        <w:rPr>
          <w:rFonts w:hint="eastAsia" w:eastAsia="宋体"/>
          <w:color w:val="auto"/>
          <w:sz w:val="24"/>
          <w:highlight w:val="none"/>
        </w:rPr>
      </w:pPr>
      <w:r>
        <w:rPr>
          <w:rFonts w:hint="eastAsia" w:eastAsia="宋体"/>
          <w:color w:val="auto"/>
          <w:sz w:val="24"/>
          <w:highlight w:val="none"/>
        </w:rPr>
        <w:t>5.1</w:t>
      </w:r>
      <w:r>
        <w:rPr>
          <w:rFonts w:hint="eastAsia" w:eastAsia="宋体"/>
          <w:color w:val="auto"/>
          <w:sz w:val="24"/>
          <w:highlight w:val="none"/>
          <w:lang w:val="en-US" w:eastAsia="zh-CN"/>
        </w:rPr>
        <w:t>不论投标的结果如何，投标人应承担所有与准备和参加投标有关的费用。</w:t>
      </w:r>
    </w:p>
    <w:p w14:paraId="0CE9ACA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33" w:name="_Toc163492828"/>
      <w:bookmarkStart w:id="134" w:name="_Toc140132761"/>
      <w:r>
        <w:rPr>
          <w:rFonts w:hint="eastAsia" w:ascii="宋体" w:hAnsi="宋体" w:eastAsia="宋体" w:cs="宋体"/>
          <w:b/>
          <w:bCs/>
          <w:color w:val="auto"/>
          <w:kern w:val="2"/>
          <w:sz w:val="24"/>
          <w:szCs w:val="28"/>
          <w:highlight w:val="none"/>
          <w:lang w:val="en-US" w:eastAsia="zh-CN" w:bidi="ar-SA"/>
        </w:rPr>
        <w:t>6.保密</w:t>
      </w:r>
      <w:bookmarkEnd w:id="133"/>
      <w:bookmarkEnd w:id="134"/>
    </w:p>
    <w:p w14:paraId="7CBA93F7">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6.1</w:t>
      </w:r>
      <w:r>
        <w:rPr>
          <w:rFonts w:hint="eastAsia" w:eastAsia="宋体"/>
          <w:color w:val="auto"/>
          <w:sz w:val="24"/>
          <w:highlight w:val="none"/>
          <w:lang w:val="en-US" w:eastAsia="zh-CN"/>
        </w:rPr>
        <w:t xml:space="preserve"> </w:t>
      </w:r>
      <w:r>
        <w:rPr>
          <w:rFonts w:hint="eastAsia" w:eastAsia="宋体"/>
          <w:color w:val="auto"/>
          <w:sz w:val="24"/>
          <w:highlight w:val="none"/>
        </w:rPr>
        <w:t>参与招标投标活动的各方应对招标文件和投标文件中的商业和技术等秘密保密，否则应承担相应的法律责任。</w:t>
      </w:r>
    </w:p>
    <w:p w14:paraId="2947ABFF">
      <w:pPr>
        <w:pStyle w:val="5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lang w:val="en-US" w:eastAsia="zh-CN"/>
        </w:rPr>
        <w:t>6</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2 </w:t>
      </w:r>
      <w:r>
        <w:rPr>
          <w:rFonts w:hint="eastAsia" w:ascii="宋体" w:hAnsi="宋体" w:eastAsia="宋体" w:cs="宋体"/>
          <w:color w:val="auto"/>
          <w:kern w:val="2"/>
          <w:sz w:val="24"/>
          <w:szCs w:val="22"/>
          <w:highlight w:val="none"/>
        </w:rPr>
        <w:t>投标人自领取招标文件之日起，须承担本招标项目保密义务，不得将因本次招标获得的信息向第三人外传。由采购人向投标人提供的图纸、详细资料、样品、模型、模件和所有其它资料，被视为保密资料，仅被用于它所规定的用途。除非得到采购人的同意，不能向任何第三方透露。开标结束后，应采购人要求，投标人应归还所有从采购人处获得的保密资料。</w:t>
      </w:r>
    </w:p>
    <w:p w14:paraId="38BD9605">
      <w:pPr>
        <w:pStyle w:val="5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lang w:val="en-US" w:eastAsia="zh-CN"/>
        </w:rPr>
        <w:t>6</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3 </w:t>
      </w:r>
      <w:r>
        <w:rPr>
          <w:rFonts w:hint="eastAsia" w:ascii="宋体" w:hAnsi="宋体" w:eastAsia="宋体" w:cs="宋体"/>
          <w:color w:val="auto"/>
          <w:kern w:val="2"/>
          <w:sz w:val="24"/>
          <w:szCs w:val="22"/>
          <w:highlight w:val="none"/>
        </w:rPr>
        <w:t>采购代理机构有权将投标人提供的所有资料向有关政府部门或评审</w:t>
      </w:r>
      <w:r>
        <w:rPr>
          <w:rFonts w:hint="eastAsia" w:ascii="宋体" w:hAnsi="宋体" w:eastAsia="宋体" w:cs="宋体"/>
          <w:color w:val="auto"/>
          <w:kern w:val="2"/>
          <w:sz w:val="24"/>
          <w:szCs w:val="22"/>
          <w:highlight w:val="none"/>
          <w:lang w:val="en-US" w:eastAsia="zh-CN"/>
        </w:rPr>
        <w:t>投标文件</w:t>
      </w:r>
      <w:r>
        <w:rPr>
          <w:rFonts w:hint="eastAsia" w:ascii="宋体" w:hAnsi="宋体" w:eastAsia="宋体" w:cs="宋体"/>
          <w:color w:val="auto"/>
          <w:kern w:val="2"/>
          <w:sz w:val="24"/>
          <w:szCs w:val="22"/>
          <w:highlight w:val="none"/>
        </w:rPr>
        <w:t>的有关人员披露。</w:t>
      </w:r>
    </w:p>
    <w:p w14:paraId="7D9AB2DE">
      <w:pPr>
        <w:pStyle w:val="5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6</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4 各级人民政府财政部门对政府采购活动进行监督检查，有权查阅、复制有关文件、资料，相关单位和人员应当予以配合。</w:t>
      </w:r>
    </w:p>
    <w:p w14:paraId="284B114B">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35" w:name="_Toc140132762"/>
      <w:bookmarkStart w:id="136" w:name="_Toc163492829"/>
      <w:r>
        <w:rPr>
          <w:rFonts w:hint="eastAsia" w:ascii="宋体" w:hAnsi="宋体" w:eastAsia="宋体" w:cs="宋体"/>
          <w:b/>
          <w:bCs/>
          <w:color w:val="auto"/>
          <w:kern w:val="2"/>
          <w:sz w:val="24"/>
          <w:szCs w:val="28"/>
          <w:highlight w:val="none"/>
          <w:lang w:val="en-US" w:eastAsia="zh-CN" w:bidi="ar-SA"/>
        </w:rPr>
        <w:t>7.语言文字</w:t>
      </w:r>
      <w:bookmarkEnd w:id="135"/>
      <w:bookmarkEnd w:id="136"/>
    </w:p>
    <w:p w14:paraId="25140936">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7.1招标投标</w:t>
      </w:r>
      <w:r>
        <w:rPr>
          <w:rFonts w:hint="eastAsia" w:eastAsia="宋体"/>
          <w:color w:val="auto"/>
          <w:sz w:val="24"/>
          <w:highlight w:val="none"/>
          <w:lang w:val="en-US" w:eastAsia="zh-CN"/>
        </w:rPr>
        <w:t>过程</w:t>
      </w:r>
      <w:r>
        <w:rPr>
          <w:rFonts w:hint="eastAsia" w:eastAsia="宋体"/>
          <w:color w:val="auto"/>
          <w:sz w:val="24"/>
          <w:highlight w:val="none"/>
        </w:rPr>
        <w:t>文件使用的语言文字为中文。专用术语使用外文的，应附有中文注释。</w:t>
      </w:r>
      <w:r>
        <w:rPr>
          <w:rFonts w:hint="eastAsia" w:eastAsia="宋体"/>
          <w:color w:val="auto"/>
          <w:sz w:val="24"/>
          <w:highlight w:val="none"/>
          <w:lang w:val="en-US" w:eastAsia="zh-CN"/>
        </w:rPr>
        <w:t>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2F336166">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37" w:name="_Toc163492830"/>
      <w:bookmarkStart w:id="138" w:name="_Toc140132763"/>
      <w:r>
        <w:rPr>
          <w:rFonts w:hint="eastAsia" w:ascii="宋体" w:hAnsi="宋体" w:eastAsia="宋体" w:cs="宋体"/>
          <w:b/>
          <w:bCs/>
          <w:color w:val="auto"/>
          <w:kern w:val="2"/>
          <w:sz w:val="24"/>
          <w:szCs w:val="28"/>
          <w:highlight w:val="none"/>
          <w:lang w:val="en-US" w:eastAsia="zh-CN" w:bidi="ar-SA"/>
        </w:rPr>
        <w:t>8.计量单位</w:t>
      </w:r>
      <w:bookmarkEnd w:id="137"/>
      <w:bookmarkEnd w:id="138"/>
    </w:p>
    <w:p w14:paraId="45A7AE57">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8.1所有计量均采用中华人民共和国法定计量单位。</w:t>
      </w:r>
    </w:p>
    <w:p w14:paraId="099F3EF6">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39" w:name="_Toc140132764"/>
      <w:bookmarkStart w:id="140" w:name="_Toc163492831"/>
      <w:r>
        <w:rPr>
          <w:rFonts w:hint="eastAsia" w:ascii="宋体" w:hAnsi="宋体" w:eastAsia="宋体" w:cs="宋体"/>
          <w:b/>
          <w:bCs/>
          <w:color w:val="auto"/>
          <w:kern w:val="2"/>
          <w:sz w:val="24"/>
          <w:szCs w:val="28"/>
          <w:highlight w:val="none"/>
          <w:lang w:val="en-US" w:eastAsia="zh-CN" w:bidi="ar-SA"/>
        </w:rPr>
        <w:t>9.现场考察和答疑会</w:t>
      </w:r>
      <w:bookmarkEnd w:id="139"/>
      <w:bookmarkEnd w:id="140"/>
    </w:p>
    <w:p w14:paraId="5A8B8C45">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bookmarkStart w:id="141" w:name="_Hlk143529198"/>
      <w:r>
        <w:rPr>
          <w:rFonts w:hint="eastAsia" w:eastAsia="宋体"/>
          <w:color w:val="auto"/>
          <w:sz w:val="24"/>
          <w:highlight w:val="none"/>
        </w:rPr>
        <w:t xml:space="preserve">9.1 “投标人须知前附表”规定组织现场考察的，采购代理机构按“投标人须知前附表”规定的时间、地点组织投标人项目现场考察。 </w:t>
      </w:r>
    </w:p>
    <w:p w14:paraId="5F8A235F">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9.2 投标人现场考察发生的费用自理。</w:t>
      </w:r>
    </w:p>
    <w:p w14:paraId="199A48B2">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9.3 在现场考察中，因投标人自身原因发生的人员伤亡和财产损失，由投标人自行负责。</w:t>
      </w:r>
    </w:p>
    <w:p w14:paraId="6F1F6A2D">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9.4 采购人在现场考察中介绍的项目场地和相关的周边环境情况，仅供投标人在编制投标文件时参考，采购人和采购代理机构不对投标人据此作出的判断和决策负责。</w:t>
      </w:r>
    </w:p>
    <w:p w14:paraId="0E249AE3">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9.5 “投标人须知前附表”规定召开答疑会的，采购代理机构按“投标人须知前附表”规定的时间和地点召开答疑会，澄清投标人提出的问题。</w:t>
      </w:r>
    </w:p>
    <w:p w14:paraId="00943847">
      <w:pPr>
        <w:pStyle w:val="38"/>
        <w:keepNext w:val="0"/>
        <w:keepLines w:val="0"/>
        <w:pageBreakBefore w:val="0"/>
        <w:widowControl w:val="0"/>
        <w:kinsoku/>
        <w:overflowPunct/>
        <w:topLinePunct w:val="0"/>
        <w:autoSpaceDE/>
        <w:autoSpaceDN/>
        <w:bidi w:val="0"/>
        <w:adjustRightInd/>
        <w:textAlignment w:val="auto"/>
        <w:rPr>
          <w:rFonts w:hint="default" w:eastAsia="宋体"/>
          <w:color w:val="auto"/>
          <w:sz w:val="24"/>
          <w:highlight w:val="none"/>
          <w:lang w:val="en-US" w:eastAsia="zh-CN"/>
        </w:rPr>
      </w:pPr>
      <w:r>
        <w:rPr>
          <w:rFonts w:hint="eastAsia" w:eastAsia="宋体"/>
          <w:color w:val="auto"/>
          <w:sz w:val="24"/>
          <w:highlight w:val="none"/>
          <w:lang w:val="en-US" w:eastAsia="zh-CN"/>
        </w:rPr>
        <w:t>9.6 由于未参加现场考察或未参加标前答疑会而导致对项目实际情况不了解，影响投标文件编制、投标报价准确性、综合因素响应不全面等问题的，由投标人自行承担不利评审后果。</w:t>
      </w:r>
    </w:p>
    <w:bookmarkEnd w:id="141"/>
    <w:p w14:paraId="015C1ED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142" w:name="_Toc155185858"/>
      <w:bookmarkStart w:id="143" w:name="_Toc163492833"/>
      <w:bookmarkStart w:id="144" w:name="_Toc155185871"/>
      <w:r>
        <w:rPr>
          <w:rFonts w:hint="eastAsia" w:ascii="宋体" w:hAnsi="宋体" w:eastAsia="宋体" w:cs="宋体"/>
          <w:b/>
          <w:bCs/>
          <w:color w:val="auto"/>
          <w:kern w:val="2"/>
          <w:sz w:val="24"/>
          <w:szCs w:val="28"/>
          <w:highlight w:val="none"/>
          <w:lang w:val="en-US" w:eastAsia="zh-CN" w:bidi="ar-SA"/>
        </w:rPr>
        <w:t>10.电子投标说明</w:t>
      </w:r>
      <w:bookmarkEnd w:id="142"/>
      <w:bookmarkEnd w:id="143"/>
      <w:r>
        <w:rPr>
          <w:rFonts w:hint="eastAsia" w:ascii="宋体" w:hAnsi="宋体" w:eastAsia="宋体" w:cs="宋体"/>
          <w:b/>
          <w:bCs/>
          <w:color w:val="auto"/>
          <w:kern w:val="2"/>
          <w:sz w:val="24"/>
          <w:szCs w:val="28"/>
          <w:highlight w:val="none"/>
          <w:lang w:val="en-US" w:eastAsia="zh-CN" w:bidi="ar-SA"/>
        </w:rPr>
        <w:t xml:space="preserve">   </w:t>
      </w:r>
    </w:p>
    <w:p w14:paraId="111A1565">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 xml:space="preserve">.1 </w:t>
      </w:r>
      <w:r>
        <w:rPr>
          <w:rFonts w:hint="eastAsia" w:ascii="宋体" w:hAnsi="宋体" w:eastAsia="宋体"/>
          <w:color w:val="auto"/>
          <w:sz w:val="24"/>
          <w:highlight w:val="none"/>
        </w:rPr>
        <w:t>本次采购采用电子交易方式，电子交易平台为政府采购</w:t>
      </w:r>
      <w:r>
        <w:rPr>
          <w:rFonts w:hint="eastAsia" w:ascii="宋体" w:hAnsi="宋体" w:eastAsia="宋体"/>
          <w:color w:val="auto"/>
          <w:sz w:val="24"/>
          <w:highlight w:val="none"/>
          <w:lang w:val="en-US"/>
        </w:rPr>
        <w:t>电子交易云</w:t>
      </w:r>
      <w:r>
        <w:rPr>
          <w:rFonts w:hint="eastAsia" w:ascii="宋体" w:hAnsi="宋体" w:eastAsia="宋体"/>
          <w:color w:val="auto"/>
          <w:sz w:val="24"/>
          <w:highlight w:val="none"/>
        </w:rPr>
        <w:t>平台</w:t>
      </w:r>
      <w:r>
        <w:rPr>
          <w:rFonts w:hint="eastAsia" w:ascii="宋体" w:hAnsi="宋体" w:eastAsia="宋体"/>
          <w:color w:val="auto"/>
          <w:sz w:val="24"/>
          <w:highlight w:val="none"/>
          <w:lang w:val="hr-HR"/>
        </w:rPr>
        <w:t>（</w:t>
      </w:r>
      <w:r>
        <w:rPr>
          <w:rFonts w:hint="eastAsia" w:ascii="宋体" w:hAnsi="宋体" w:eastAsia="宋体"/>
          <w:color w:val="auto"/>
          <w:sz w:val="24"/>
          <w:highlight w:val="none"/>
        </w:rPr>
        <w:t>网址</w:t>
      </w:r>
      <w:r>
        <w:rPr>
          <w:rFonts w:hint="eastAsia" w:ascii="宋体" w:hAnsi="宋体" w:eastAsia="宋体"/>
          <w:color w:val="auto"/>
          <w:sz w:val="24"/>
          <w:highlight w:val="none"/>
          <w:lang w:val="hr-HR"/>
        </w:rPr>
        <w:t>：https://www.zcygov.cn/）</w:t>
      </w:r>
      <w:r>
        <w:rPr>
          <w:rFonts w:hint="eastAsia" w:ascii="宋体" w:hAnsi="宋体" w:eastAsia="宋体"/>
          <w:color w:val="auto"/>
          <w:sz w:val="24"/>
          <w:highlight w:val="none"/>
        </w:rPr>
        <w:t>。投标人参与本项目电子交易活动前，应</w:t>
      </w:r>
      <w:r>
        <w:rPr>
          <w:rFonts w:hint="eastAsia" w:eastAsia="宋体"/>
          <w:color w:val="auto"/>
          <w:sz w:val="24"/>
          <w:highlight w:val="none"/>
          <w:lang w:val="en-US" w:eastAsia="zh-CN"/>
        </w:rPr>
        <w:t>在</w:t>
      </w:r>
      <w:r>
        <w:rPr>
          <w:rFonts w:hint="eastAsia" w:ascii="宋体" w:hAnsi="宋体" w:eastAsia="宋体"/>
          <w:color w:val="auto"/>
          <w:sz w:val="24"/>
          <w:highlight w:val="none"/>
        </w:rPr>
        <w:t>政</w:t>
      </w:r>
      <w:r>
        <w:rPr>
          <w:rFonts w:hint="eastAsia" w:eastAsia="宋体"/>
          <w:color w:val="auto"/>
          <w:sz w:val="24"/>
          <w:highlight w:val="none"/>
          <w:lang w:val="en-US" w:eastAsia="zh-CN"/>
        </w:rPr>
        <w:t>采</w:t>
      </w:r>
      <w:r>
        <w:rPr>
          <w:rFonts w:hint="eastAsia" w:ascii="宋体" w:hAnsi="宋体" w:eastAsia="宋体"/>
          <w:color w:val="auto"/>
          <w:sz w:val="24"/>
          <w:highlight w:val="none"/>
          <w:lang w:val="en-US"/>
        </w:rPr>
        <w:t>云</w:t>
      </w:r>
      <w:r>
        <w:rPr>
          <w:rFonts w:hint="eastAsia" w:ascii="宋体" w:hAnsi="宋体" w:eastAsia="宋体"/>
          <w:color w:val="auto"/>
          <w:sz w:val="24"/>
          <w:highlight w:val="none"/>
        </w:rPr>
        <w:t>平台</w:t>
      </w:r>
      <w:r>
        <w:rPr>
          <w:rFonts w:hint="eastAsia" w:eastAsia="宋体"/>
          <w:color w:val="auto"/>
          <w:sz w:val="24"/>
          <w:highlight w:val="none"/>
          <w:lang w:val="en-US" w:eastAsia="zh-CN"/>
        </w:rPr>
        <w:t>上</w:t>
      </w:r>
      <w:r>
        <w:rPr>
          <w:rFonts w:hint="eastAsia" w:ascii="宋体" w:hAnsi="宋体" w:eastAsia="宋体"/>
          <w:color w:val="auto"/>
          <w:sz w:val="24"/>
          <w:highlight w:val="none"/>
        </w:rPr>
        <w:t>注册</w:t>
      </w:r>
      <w:r>
        <w:rPr>
          <w:rFonts w:hint="eastAsia" w:eastAsia="宋体"/>
          <w:color w:val="auto"/>
          <w:sz w:val="24"/>
          <w:highlight w:val="none"/>
          <w:lang w:val="en-US" w:eastAsia="zh-CN"/>
        </w:rPr>
        <w:t>供应商账号</w:t>
      </w:r>
      <w:r>
        <w:rPr>
          <w:rFonts w:hint="eastAsia" w:ascii="宋体" w:hAnsi="宋体" w:eastAsia="宋体"/>
          <w:color w:val="auto"/>
          <w:sz w:val="24"/>
          <w:highlight w:val="none"/>
        </w:rPr>
        <w:t>。编制电子</w:t>
      </w:r>
      <w:r>
        <w:rPr>
          <w:rFonts w:hint="eastAsia" w:ascii="宋体" w:hAnsi="宋体" w:eastAsia="宋体"/>
          <w:color w:val="auto"/>
          <w:sz w:val="24"/>
          <w:highlight w:val="none"/>
          <w:lang w:val="en-US" w:eastAsia="zh-CN"/>
        </w:rPr>
        <w:t>投标</w:t>
      </w:r>
      <w:r>
        <w:rPr>
          <w:rFonts w:hint="eastAsia" w:ascii="宋体" w:hAnsi="宋体" w:eastAsia="宋体"/>
          <w:color w:val="auto"/>
          <w:sz w:val="24"/>
          <w:highlight w:val="none"/>
        </w:rPr>
        <w:t>文件前还需</w:t>
      </w:r>
      <w:r>
        <w:rPr>
          <w:rFonts w:hint="eastAsia" w:ascii="宋体" w:hAnsi="宋体" w:eastAsia="宋体"/>
          <w:color w:val="auto"/>
          <w:sz w:val="24"/>
          <w:highlight w:val="none"/>
          <w:lang w:val="en-US" w:eastAsia="zh-CN"/>
        </w:rPr>
        <w:t>申领CA证书并绑定帐号。投标人应充分考虑完成平台注册、申领CA证书等所需的时间。</w:t>
      </w:r>
      <w:r>
        <w:rPr>
          <w:rFonts w:hint="eastAsia" w:ascii="宋体" w:hAnsi="宋体" w:eastAsia="宋体"/>
          <w:color w:val="auto"/>
          <w:sz w:val="24"/>
          <w:highlight w:val="none"/>
          <w:lang w:val="zh-CN" w:eastAsia="zh-CN"/>
        </w:rPr>
        <w:t>潜在投标人领取文件须提前完成注册、CA证书和电子签章申领和绑定、下载</w:t>
      </w:r>
      <w:r>
        <w:rPr>
          <w:rFonts w:hint="eastAsia"/>
          <w:color w:val="auto"/>
          <w:sz w:val="24"/>
          <w:highlight w:val="none"/>
          <w:lang w:val="zh-CN" w:eastAsia="zh-CN"/>
        </w:rPr>
        <w:t>“</w:t>
      </w:r>
      <w:r>
        <w:rPr>
          <w:rFonts w:hint="eastAsia" w:ascii="宋体" w:hAnsi="宋体" w:eastAsia="宋体"/>
          <w:color w:val="auto"/>
          <w:sz w:val="24"/>
          <w:highlight w:val="none"/>
          <w:lang w:val="zh-CN" w:eastAsia="zh-CN"/>
        </w:rPr>
        <w:t>投标客户端</w:t>
      </w:r>
      <w:r>
        <w:rPr>
          <w:rFonts w:hint="eastAsia"/>
          <w:color w:val="auto"/>
          <w:sz w:val="24"/>
          <w:highlight w:val="none"/>
          <w:lang w:val="zh-CN" w:eastAsia="zh-CN"/>
        </w:rPr>
        <w:t>”</w:t>
      </w:r>
      <w:r>
        <w:rPr>
          <w:rFonts w:hint="eastAsia" w:ascii="宋体" w:hAnsi="宋体" w:eastAsia="宋体"/>
          <w:color w:val="auto"/>
          <w:sz w:val="24"/>
          <w:highlight w:val="none"/>
          <w:lang w:val="zh-CN" w:eastAsia="zh-CN"/>
        </w:rPr>
        <w:t>。因未办理CA数字证书、CA证书故障、操作不当等原因造成无法投标或投标失败等后果由投标人自行承担。</w:t>
      </w:r>
      <w:r>
        <w:rPr>
          <w:rFonts w:hint="eastAsia" w:eastAsia="宋体"/>
          <w:color w:val="auto"/>
          <w:sz w:val="24"/>
          <w:highlight w:val="none"/>
          <w:lang w:val="en-US" w:eastAsia="zh-CN"/>
        </w:rPr>
        <w:t>投标人</w:t>
      </w:r>
      <w:r>
        <w:rPr>
          <w:rFonts w:hint="eastAsia" w:ascii="宋体" w:hAnsi="宋体" w:eastAsia="宋体"/>
          <w:color w:val="auto"/>
          <w:sz w:val="24"/>
          <w:highlight w:val="none"/>
          <w:lang w:val="zh-CN" w:eastAsia="zh-CN"/>
        </w:rPr>
        <w:t>登录</w:t>
      </w:r>
      <w:r>
        <w:rPr>
          <w:rFonts w:hint="eastAsia"/>
          <w:color w:val="auto"/>
          <w:sz w:val="24"/>
          <w:highlight w:val="none"/>
          <w:lang w:val="en-US" w:eastAsia="zh-CN"/>
        </w:rPr>
        <w:t>新疆</w:t>
      </w:r>
      <w:r>
        <w:rPr>
          <w:rFonts w:hint="eastAsia" w:ascii="宋体" w:hAnsi="宋体" w:eastAsia="宋体"/>
          <w:color w:val="auto"/>
          <w:sz w:val="24"/>
          <w:highlight w:val="none"/>
          <w:lang w:val="zh-CN" w:eastAsia="zh-CN"/>
        </w:rPr>
        <w:t>政府采购网“供应商注册”—“新疆</w:t>
      </w:r>
      <w:r>
        <w:rPr>
          <w:rFonts w:hint="eastAsia"/>
          <w:color w:val="auto"/>
          <w:sz w:val="24"/>
          <w:highlight w:val="none"/>
          <w:lang w:val="en-US" w:eastAsia="zh-CN"/>
        </w:rPr>
        <w:t>维吾尔自治区</w:t>
      </w:r>
      <w:r>
        <w:rPr>
          <w:rFonts w:hint="eastAsia" w:ascii="宋体" w:hAnsi="宋体" w:eastAsia="宋体"/>
          <w:color w:val="auto"/>
          <w:sz w:val="24"/>
          <w:highlight w:val="none"/>
          <w:lang w:val="zh-CN" w:eastAsia="zh-CN"/>
        </w:rPr>
        <w:t>政府采购供应商入驻登记”—“立即登记”进行自助注册绑定。</w:t>
      </w:r>
    </w:p>
    <w:p w14:paraId="18ECC266">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2</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投标人将政府采购</w:t>
      </w:r>
      <w:r>
        <w:rPr>
          <w:rFonts w:hint="eastAsia" w:ascii="宋体" w:hAnsi="宋体" w:eastAsia="宋体"/>
          <w:color w:val="auto"/>
          <w:sz w:val="24"/>
          <w:highlight w:val="none"/>
          <w:lang w:val="en-US"/>
        </w:rPr>
        <w:t>电子交易云</w:t>
      </w:r>
      <w:r>
        <w:rPr>
          <w:rFonts w:hint="eastAsia" w:ascii="宋体" w:hAnsi="宋体" w:eastAsia="宋体"/>
          <w:color w:val="auto"/>
          <w:sz w:val="24"/>
          <w:highlight w:val="none"/>
        </w:rPr>
        <w:t>平台电子交易客户端下载、安装完成后，可通过账号密码或CA登录客户端进行</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制作。在使用政采云</w:t>
      </w:r>
      <w:r>
        <w:rPr>
          <w:rFonts w:hint="eastAsia"/>
          <w:color w:val="auto"/>
          <w:sz w:val="24"/>
          <w:highlight w:val="none"/>
          <w:lang w:eastAsia="zh-CN"/>
        </w:rPr>
        <w:t>“</w:t>
      </w:r>
      <w:r>
        <w:rPr>
          <w:rFonts w:hint="eastAsia" w:ascii="宋体" w:hAnsi="宋体" w:eastAsia="宋体"/>
          <w:color w:val="auto"/>
          <w:sz w:val="24"/>
          <w:highlight w:val="none"/>
        </w:rPr>
        <w:t>投标客户端</w:t>
      </w:r>
      <w:r>
        <w:rPr>
          <w:rFonts w:hint="eastAsia"/>
          <w:color w:val="auto"/>
          <w:sz w:val="24"/>
          <w:highlight w:val="none"/>
          <w:lang w:eastAsia="zh-CN"/>
        </w:rPr>
        <w:t>”</w:t>
      </w:r>
      <w:r>
        <w:rPr>
          <w:rFonts w:hint="eastAsia" w:ascii="宋体" w:hAnsi="宋体" w:eastAsia="宋体"/>
          <w:color w:val="auto"/>
          <w:sz w:val="24"/>
          <w:highlight w:val="none"/>
        </w:rPr>
        <w:t>时，建议使用WIN7及以上操作系统。</w:t>
      </w:r>
      <w:r>
        <w:rPr>
          <w:rFonts w:hint="eastAsia" w:eastAsia="宋体"/>
          <w:color w:val="auto"/>
          <w:sz w:val="24"/>
          <w:highlight w:val="none"/>
          <w:lang w:val="en-US" w:eastAsia="zh-CN"/>
        </w:rPr>
        <w:t>投标人</w:t>
      </w:r>
      <w:r>
        <w:rPr>
          <w:rFonts w:hint="eastAsia" w:ascii="宋体" w:hAnsi="宋体" w:eastAsia="宋体"/>
          <w:color w:val="auto"/>
          <w:sz w:val="24"/>
          <w:highlight w:val="none"/>
        </w:rPr>
        <w:t>登录</w:t>
      </w:r>
      <w:r>
        <w:rPr>
          <w:rFonts w:hint="eastAsia"/>
          <w:color w:val="auto"/>
          <w:sz w:val="24"/>
          <w:highlight w:val="none"/>
          <w:lang w:val="en-US" w:eastAsia="zh-CN"/>
        </w:rPr>
        <w:t>新疆</w:t>
      </w:r>
      <w:r>
        <w:rPr>
          <w:rFonts w:hint="eastAsia" w:ascii="宋体" w:hAnsi="宋体" w:eastAsia="宋体"/>
          <w:color w:val="auto"/>
          <w:sz w:val="24"/>
          <w:highlight w:val="none"/>
        </w:rPr>
        <w:t>政府采购网“下载专区”—“电子招投标客户端下载”下载相关客户端，如有问题可拨打政采云客户服务热线95763进行咨询。</w:t>
      </w:r>
    </w:p>
    <w:p w14:paraId="1E16A3EF">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3</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加密的电子</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应在</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递交截止时间前通过政采云平台上传完成。逾期上传或者未上传指定地点的</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，不予受理。</w:t>
      </w:r>
    </w:p>
    <w:p w14:paraId="53B28965">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4</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投标人在开标前须提前配置好电脑</w:t>
      </w:r>
      <w:r>
        <w:rPr>
          <w:rFonts w:hint="eastAsia" w:eastAsia="宋体"/>
          <w:color w:val="auto"/>
          <w:sz w:val="24"/>
          <w:highlight w:val="none"/>
          <w:lang w:val="en-US" w:eastAsia="zh-CN"/>
        </w:rPr>
        <w:t>及</w:t>
      </w:r>
      <w:r>
        <w:rPr>
          <w:rFonts w:hint="eastAsia" w:ascii="宋体" w:hAnsi="宋体" w:eastAsia="宋体"/>
          <w:color w:val="auto"/>
          <w:sz w:val="24"/>
          <w:highlight w:val="none"/>
        </w:rPr>
        <w:t>浏览器，开标时请使用制作加密电子</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的CA锁进行解密及报价确认。本项目</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解密时间</w:t>
      </w:r>
      <w:r>
        <w:rPr>
          <w:rFonts w:hint="eastAsia" w:eastAsia="宋体"/>
          <w:color w:val="auto"/>
          <w:sz w:val="24"/>
          <w:highlight w:val="none"/>
          <w:lang w:val="en-US" w:eastAsia="zh-CN"/>
        </w:rPr>
        <w:t>详见“投标人须知前附表”</w:t>
      </w:r>
      <w:r>
        <w:rPr>
          <w:rFonts w:hint="eastAsia" w:ascii="宋体" w:hAnsi="宋体" w:eastAsia="宋体"/>
          <w:color w:val="auto"/>
          <w:sz w:val="24"/>
          <w:highlight w:val="none"/>
        </w:rPr>
        <w:t>，如因自身原因导致无法正常解密，后果由投标人自行承担。</w:t>
      </w:r>
    </w:p>
    <w:p w14:paraId="469768F0">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5</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如遇“政府采购</w:t>
      </w:r>
      <w:r>
        <w:rPr>
          <w:rFonts w:hint="eastAsia" w:ascii="宋体" w:hAnsi="宋体" w:eastAsia="宋体"/>
          <w:color w:val="auto"/>
          <w:sz w:val="24"/>
          <w:highlight w:val="none"/>
          <w:lang w:val="en-US"/>
        </w:rPr>
        <w:t>电子交易云</w:t>
      </w:r>
      <w:r>
        <w:rPr>
          <w:rFonts w:hint="eastAsia" w:ascii="宋体" w:hAnsi="宋体" w:eastAsia="宋体"/>
          <w:color w:val="auto"/>
          <w:sz w:val="24"/>
          <w:highlight w:val="none"/>
        </w:rPr>
        <w:t>平台</w:t>
      </w:r>
      <w:r>
        <w:rPr>
          <w:rFonts w:hint="eastAsia" w:ascii="宋体" w:hAnsi="宋体" w:eastAsia="宋体"/>
          <w:color w:val="auto"/>
          <w:sz w:val="24"/>
          <w:highlight w:val="none"/>
          <w:lang w:val="hr-HR"/>
        </w:rPr>
        <w:t>（</w:t>
      </w:r>
      <w:r>
        <w:rPr>
          <w:rFonts w:hint="eastAsia" w:ascii="宋体" w:hAnsi="宋体" w:eastAsia="宋体"/>
          <w:color w:val="auto"/>
          <w:sz w:val="24"/>
          <w:highlight w:val="none"/>
        </w:rPr>
        <w:t>网址</w:t>
      </w:r>
      <w:r>
        <w:rPr>
          <w:rFonts w:hint="eastAsia" w:ascii="宋体" w:hAnsi="宋体" w:eastAsia="宋体"/>
          <w:color w:val="auto"/>
          <w:sz w:val="24"/>
          <w:highlight w:val="none"/>
          <w:lang w:val="hr-HR"/>
        </w:rPr>
        <w:t>：https://www.zcygov.cn/）</w:t>
      </w:r>
      <w:r>
        <w:rPr>
          <w:rFonts w:hint="eastAsia" w:ascii="宋体" w:hAnsi="宋体" w:eastAsia="宋体"/>
          <w:color w:val="auto"/>
          <w:sz w:val="24"/>
          <w:highlight w:val="none"/>
        </w:rPr>
        <w:t>”电子交易规则调整，以最新要求为准。</w:t>
      </w:r>
    </w:p>
    <w:p w14:paraId="08AA0ABB">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.6 电子交易系统咨询：投标人应当充分考虑到电子投标可能会发生的各种问题和风险，特别是投标文件签署、提交等问题，</w:t>
      </w:r>
      <w:r>
        <w:rPr>
          <w:rFonts w:hint="eastAsia" w:eastAsia="宋体"/>
          <w:color w:val="auto"/>
          <w:sz w:val="24"/>
          <w:highlight w:val="none"/>
          <w:lang w:val="en-US" w:eastAsia="zh-CN"/>
        </w:rPr>
        <w:t>可</w:t>
      </w:r>
      <w:r>
        <w:rPr>
          <w:rFonts w:hint="eastAsia" w:ascii="宋体" w:hAnsi="宋体" w:eastAsia="宋体"/>
          <w:color w:val="auto"/>
          <w:sz w:val="24"/>
          <w:highlight w:val="none"/>
          <w:lang w:val="en-US" w:eastAsia="zh-CN"/>
        </w:rPr>
        <w:t>按照“</w:t>
      </w:r>
      <w:r>
        <w:rPr>
          <w:rFonts w:hint="eastAsia" w:eastAsia="宋体"/>
          <w:color w:val="auto"/>
          <w:sz w:val="24"/>
          <w:highlight w:val="none"/>
          <w:lang w:val="en-US" w:eastAsia="zh-CN"/>
        </w:rPr>
        <w:t>第一章 招标公告</w:t>
      </w:r>
      <w:r>
        <w:rPr>
          <w:rFonts w:hint="eastAsia" w:ascii="宋体" w:hAnsi="宋体" w:eastAsia="宋体"/>
          <w:color w:val="auto"/>
          <w:sz w:val="24"/>
          <w:highlight w:val="none"/>
          <w:lang w:val="en-US" w:eastAsia="zh-CN"/>
        </w:rPr>
        <w:t>”的</w:t>
      </w:r>
      <w:r>
        <w:rPr>
          <w:rFonts w:hint="eastAsia" w:eastAsia="宋体"/>
          <w:color w:val="auto"/>
          <w:sz w:val="24"/>
          <w:highlight w:val="none"/>
          <w:lang w:val="en-US" w:eastAsia="zh-CN"/>
        </w:rPr>
        <w:t>联系方式咨询相关人员</w:t>
      </w:r>
      <w:r>
        <w:rPr>
          <w:rFonts w:hint="eastAsia" w:ascii="宋体" w:hAnsi="宋体" w:eastAsia="宋体"/>
          <w:color w:val="auto"/>
          <w:sz w:val="24"/>
          <w:highlight w:val="none"/>
          <w:lang w:val="en-US" w:eastAsia="zh-CN"/>
        </w:rPr>
        <w:t>。</w:t>
      </w:r>
    </w:p>
    <w:p w14:paraId="39CA1037">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.7 由于本项目采用电子招标方式，潜在投标人的名单将在</w:t>
      </w:r>
      <w:r>
        <w:rPr>
          <w:rFonts w:hint="eastAsia" w:eastAsia="宋体"/>
          <w:color w:val="auto"/>
          <w:sz w:val="24"/>
          <w:highlight w:val="none"/>
          <w:lang w:val="en-US" w:eastAsia="zh-CN"/>
        </w:rPr>
        <w:t>提交</w:t>
      </w:r>
      <w:r>
        <w:rPr>
          <w:rFonts w:hint="eastAsia" w:ascii="宋体" w:hAnsi="宋体" w:eastAsia="宋体"/>
          <w:color w:val="auto"/>
          <w:sz w:val="24"/>
          <w:highlight w:val="none"/>
          <w:lang w:val="en-US" w:eastAsia="zh-CN"/>
        </w:rPr>
        <w:t>投标</w:t>
      </w:r>
      <w:r>
        <w:rPr>
          <w:rFonts w:hint="eastAsia" w:eastAsia="宋体"/>
          <w:color w:val="auto"/>
          <w:sz w:val="24"/>
          <w:highlight w:val="none"/>
          <w:lang w:val="en-US" w:eastAsia="zh-CN"/>
        </w:rPr>
        <w:t>文件</w:t>
      </w:r>
      <w:r>
        <w:rPr>
          <w:rFonts w:hint="eastAsia" w:ascii="宋体" w:hAnsi="宋体" w:eastAsia="宋体"/>
          <w:color w:val="auto"/>
          <w:sz w:val="24"/>
          <w:highlight w:val="none"/>
          <w:lang w:val="en-US" w:eastAsia="zh-CN"/>
        </w:rPr>
        <w:t>截止时间后才会解密。因此，采购人或采购代理机构无法通过传统的传真或邮件方式，将招标文件的澄清或修改内容逐一通知到每位已获取招标文件的潜在投标人。为确保信息的及时性和准确性，澄清或修改的内容将仅在政采云平台以更正公告的形式发布。潜在投标人需密切关注该网站，及时查看并下载相关更正公告。若因潜在投标人未能及时查看或下载相关更正公告，而导致的一切后果，将由潜在投标人自行承担。</w:t>
      </w:r>
    </w:p>
    <w:p w14:paraId="7A306C00">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bookmarkStart w:id="145" w:name="_Toc163492834"/>
      <w:r>
        <w:rPr>
          <w:rFonts w:hint="eastAsia" w:ascii="宋体" w:hAnsi="宋体" w:eastAsia="宋体" w:cs="宋体"/>
          <w:b/>
          <w:bCs/>
          <w:color w:val="auto"/>
          <w:kern w:val="2"/>
          <w:sz w:val="24"/>
          <w:szCs w:val="32"/>
          <w:highlight w:val="none"/>
          <w:lang w:val="en-US" w:eastAsia="zh-CN" w:bidi="ar-SA"/>
        </w:rPr>
        <w:t>（二）招标文件</w:t>
      </w:r>
      <w:bookmarkEnd w:id="144"/>
      <w:bookmarkEnd w:id="145"/>
    </w:p>
    <w:p w14:paraId="08A2C6A4">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46" w:name="_Toc163492835"/>
      <w:bookmarkStart w:id="147" w:name="_Toc140132768"/>
      <w:r>
        <w:rPr>
          <w:rFonts w:hint="eastAsia" w:ascii="宋体" w:hAnsi="宋体" w:eastAsia="宋体" w:cs="宋体"/>
          <w:b/>
          <w:bCs/>
          <w:color w:val="auto"/>
          <w:kern w:val="2"/>
          <w:sz w:val="24"/>
          <w:szCs w:val="28"/>
          <w:highlight w:val="none"/>
          <w:lang w:val="en-US" w:eastAsia="zh-CN" w:bidi="ar-SA"/>
        </w:rPr>
        <w:t>11.招标文件的组成</w:t>
      </w:r>
      <w:bookmarkEnd w:id="146"/>
      <w:bookmarkEnd w:id="147"/>
    </w:p>
    <w:p w14:paraId="0FCCC628">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1</w:t>
      </w:r>
      <w:r>
        <w:rPr>
          <w:rFonts w:hint="eastAsia" w:eastAsia="宋体" w:cs="仿宋_GB2312"/>
          <w:color w:val="auto"/>
          <w:sz w:val="24"/>
          <w:szCs w:val="24"/>
          <w:highlight w:val="none"/>
        </w:rPr>
        <w:t>.1本招标文件包括下列文件及根据本章第9款、第</w:t>
      </w: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2</w:t>
      </w:r>
      <w:r>
        <w:rPr>
          <w:rFonts w:hint="eastAsia" w:eastAsia="宋体" w:cs="仿宋_GB2312"/>
          <w:color w:val="auto"/>
          <w:sz w:val="24"/>
          <w:szCs w:val="24"/>
          <w:highlight w:val="none"/>
        </w:rPr>
        <w:t>款对招标文件所作的澄清或者修改。</w:t>
      </w:r>
    </w:p>
    <w:p w14:paraId="5876B8A3">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 xml:space="preserve">第一章 </w:t>
      </w:r>
      <w:r>
        <w:rPr>
          <w:rFonts w:hint="eastAsia" w:eastAsia="宋体"/>
          <w:color w:val="auto"/>
          <w:sz w:val="24"/>
          <w:highlight w:val="none"/>
          <w:lang w:val="en-US" w:eastAsia="zh-CN"/>
        </w:rPr>
        <w:t>招标公告</w:t>
      </w:r>
    </w:p>
    <w:p w14:paraId="626801D6">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第二章 投标人须知</w:t>
      </w:r>
    </w:p>
    <w:p w14:paraId="5E339F13">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第三章 采购需求</w:t>
      </w:r>
    </w:p>
    <w:p w14:paraId="750A6D4C">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第四章 资格审查</w:t>
      </w:r>
    </w:p>
    <w:p w14:paraId="08BF9358">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第五章 评标</w:t>
      </w:r>
      <w:r>
        <w:rPr>
          <w:rFonts w:hint="eastAsia" w:eastAsia="宋体" w:cs="仿宋_GB2312"/>
          <w:color w:val="auto"/>
          <w:sz w:val="24"/>
          <w:szCs w:val="24"/>
          <w:highlight w:val="none"/>
          <w:lang w:val="en-US" w:eastAsia="zh-CN"/>
        </w:rPr>
        <w:t>方</w:t>
      </w:r>
      <w:r>
        <w:rPr>
          <w:rFonts w:hint="eastAsia" w:eastAsia="宋体" w:cs="仿宋_GB2312"/>
          <w:color w:val="auto"/>
          <w:sz w:val="24"/>
          <w:szCs w:val="24"/>
          <w:highlight w:val="none"/>
        </w:rPr>
        <w:t>法及标准</w:t>
      </w:r>
    </w:p>
    <w:p w14:paraId="3F57501F">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第六章 合同草案</w:t>
      </w:r>
    </w:p>
    <w:p w14:paraId="5855AFA7">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第七章 投标文件的格式</w:t>
      </w:r>
    </w:p>
    <w:p w14:paraId="78CADEE1">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48" w:name="_Toc140132769"/>
      <w:bookmarkStart w:id="149" w:name="_Toc163492836"/>
      <w:r>
        <w:rPr>
          <w:rFonts w:hint="eastAsia" w:ascii="宋体" w:hAnsi="宋体" w:eastAsia="宋体" w:cs="宋体"/>
          <w:b/>
          <w:bCs/>
          <w:color w:val="auto"/>
          <w:kern w:val="2"/>
          <w:sz w:val="24"/>
          <w:szCs w:val="28"/>
          <w:highlight w:val="none"/>
          <w:lang w:val="en-US" w:eastAsia="zh-CN" w:bidi="ar-SA"/>
        </w:rPr>
        <w:t>12.招标文件的询问、澄清或者修改</w:t>
      </w:r>
      <w:bookmarkEnd w:id="148"/>
      <w:bookmarkEnd w:id="149"/>
    </w:p>
    <w:p w14:paraId="2E6BAA48">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w:t>
      </w:r>
      <w:r>
        <w:rPr>
          <w:rFonts w:eastAsia="宋体" w:cs="仿宋_GB2312"/>
          <w:color w:val="auto"/>
          <w:sz w:val="24"/>
          <w:szCs w:val="24"/>
          <w:highlight w:val="none"/>
        </w:rPr>
        <w:t>.</w:t>
      </w:r>
      <w:r>
        <w:rPr>
          <w:rFonts w:hint="eastAsia" w:eastAsia="宋体" w:cs="仿宋_GB2312"/>
          <w:color w:val="auto"/>
          <w:sz w:val="24"/>
          <w:szCs w:val="24"/>
          <w:highlight w:val="none"/>
        </w:rPr>
        <w:t>1</w:t>
      </w:r>
      <w:r>
        <w:rPr>
          <w:rFonts w:eastAsia="宋体" w:cs="仿宋_GB2312"/>
          <w:color w:val="auto"/>
          <w:sz w:val="24"/>
          <w:szCs w:val="24"/>
          <w:highlight w:val="none"/>
        </w:rPr>
        <w:t>投标人如对招标文件内容有疑问，须在</w:t>
      </w:r>
      <w:r>
        <w:rPr>
          <w:rFonts w:hint="eastAsia" w:cs="仿宋_GB2312"/>
          <w:color w:val="auto"/>
          <w:sz w:val="24"/>
          <w:szCs w:val="24"/>
          <w:highlight w:val="none"/>
          <w:lang w:eastAsia="zh-CN"/>
        </w:rPr>
        <w:t>“</w:t>
      </w:r>
      <w:r>
        <w:rPr>
          <w:rFonts w:eastAsia="宋体" w:cs="仿宋_GB2312"/>
          <w:color w:val="auto"/>
          <w:sz w:val="24"/>
          <w:szCs w:val="24"/>
          <w:highlight w:val="none"/>
        </w:rPr>
        <w:t>投标人须知前附表</w:t>
      </w:r>
      <w:r>
        <w:rPr>
          <w:rFonts w:hint="eastAsia" w:cs="仿宋_GB2312"/>
          <w:color w:val="auto"/>
          <w:sz w:val="24"/>
          <w:szCs w:val="24"/>
          <w:highlight w:val="none"/>
          <w:lang w:eastAsia="zh-CN"/>
        </w:rPr>
        <w:t>”</w:t>
      </w:r>
      <w:r>
        <w:rPr>
          <w:rFonts w:eastAsia="宋体" w:cs="仿宋_GB2312"/>
          <w:color w:val="auto"/>
          <w:sz w:val="24"/>
          <w:szCs w:val="24"/>
          <w:highlight w:val="none"/>
        </w:rPr>
        <w:t>规定的</w:t>
      </w:r>
      <w:r>
        <w:rPr>
          <w:rFonts w:hint="eastAsia" w:eastAsia="宋体" w:cs="仿宋_GB2312"/>
          <w:color w:val="auto"/>
          <w:sz w:val="24"/>
          <w:szCs w:val="24"/>
          <w:highlight w:val="none"/>
        </w:rPr>
        <w:t>询问</w:t>
      </w:r>
      <w:r>
        <w:rPr>
          <w:rFonts w:hint="eastAsia" w:cs="仿宋_GB2312"/>
          <w:color w:val="auto"/>
          <w:sz w:val="24"/>
          <w:szCs w:val="24"/>
          <w:highlight w:val="none"/>
          <w:lang w:val="en-US" w:eastAsia="zh-CN"/>
        </w:rPr>
        <w:t>方式和</w:t>
      </w:r>
      <w:r>
        <w:rPr>
          <w:rFonts w:eastAsia="宋体" w:cs="仿宋_GB2312"/>
          <w:color w:val="auto"/>
          <w:sz w:val="24"/>
          <w:szCs w:val="24"/>
          <w:highlight w:val="none"/>
        </w:rPr>
        <w:t>时间提交给</w:t>
      </w:r>
      <w:r>
        <w:rPr>
          <w:rFonts w:hint="eastAsia" w:cs="仿宋_GB2312"/>
          <w:color w:val="auto"/>
          <w:sz w:val="24"/>
          <w:szCs w:val="24"/>
          <w:highlight w:val="none"/>
          <w:lang w:val="en-US" w:eastAsia="zh-CN"/>
        </w:rPr>
        <w:t>采购人或</w:t>
      </w:r>
      <w:r>
        <w:rPr>
          <w:rFonts w:eastAsia="宋体" w:cs="仿宋_GB2312"/>
          <w:color w:val="auto"/>
          <w:sz w:val="24"/>
          <w:szCs w:val="24"/>
          <w:highlight w:val="none"/>
        </w:rPr>
        <w:t>采购代理机构。</w:t>
      </w:r>
    </w:p>
    <w:p w14:paraId="6D964354">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w:t>
      </w:r>
      <w:r>
        <w:rPr>
          <w:rFonts w:eastAsia="宋体" w:cs="仿宋_GB2312"/>
          <w:color w:val="auto"/>
          <w:sz w:val="24"/>
          <w:szCs w:val="24"/>
          <w:highlight w:val="none"/>
        </w:rPr>
        <w:t>.</w:t>
      </w:r>
      <w:r>
        <w:rPr>
          <w:rFonts w:hint="eastAsia" w:eastAsia="宋体" w:cs="仿宋_GB2312"/>
          <w:color w:val="auto"/>
          <w:sz w:val="24"/>
          <w:szCs w:val="24"/>
          <w:highlight w:val="none"/>
        </w:rPr>
        <w:t>2采购人可主动地或在</w:t>
      </w:r>
      <w:r>
        <w:rPr>
          <w:rFonts w:hint="eastAsia" w:eastAsia="宋体" w:cs="仿宋_GB2312"/>
          <w:color w:val="auto"/>
          <w:sz w:val="24"/>
          <w:szCs w:val="24"/>
          <w:highlight w:val="none"/>
          <w:lang w:val="en-US" w:eastAsia="zh-CN"/>
        </w:rPr>
        <w:t>答复</w:t>
      </w:r>
      <w:r>
        <w:rPr>
          <w:rFonts w:hint="eastAsia" w:eastAsia="宋体" w:cs="仿宋_GB2312"/>
          <w:color w:val="auto"/>
          <w:sz w:val="24"/>
          <w:szCs w:val="24"/>
          <w:highlight w:val="none"/>
        </w:rPr>
        <w:t>投标人提出的</w:t>
      </w:r>
      <w:r>
        <w:rPr>
          <w:rFonts w:hint="eastAsia" w:eastAsia="宋体" w:cs="仿宋_GB2312"/>
          <w:color w:val="auto"/>
          <w:sz w:val="24"/>
          <w:szCs w:val="24"/>
          <w:highlight w:val="none"/>
          <w:lang w:val="en-US" w:eastAsia="zh-CN"/>
        </w:rPr>
        <w:t>询问</w:t>
      </w:r>
      <w:r>
        <w:rPr>
          <w:rFonts w:hint="eastAsia" w:eastAsia="宋体" w:cs="仿宋_GB2312"/>
          <w:color w:val="auto"/>
          <w:sz w:val="24"/>
          <w:szCs w:val="24"/>
          <w:highlight w:val="none"/>
        </w:rPr>
        <w:t>时对招标文件进行澄清与修改。</w:t>
      </w:r>
      <w:r>
        <w:rPr>
          <w:rFonts w:eastAsia="宋体" w:cs="仿宋_GB2312"/>
          <w:color w:val="auto"/>
          <w:sz w:val="24"/>
          <w:szCs w:val="24"/>
          <w:highlight w:val="none"/>
        </w:rPr>
        <w:t>采购代理机构将</w:t>
      </w:r>
      <w:r>
        <w:rPr>
          <w:rFonts w:hint="eastAsia" w:eastAsia="宋体" w:cs="仿宋_GB2312"/>
          <w:color w:val="auto"/>
          <w:sz w:val="24"/>
          <w:szCs w:val="24"/>
          <w:highlight w:val="none"/>
        </w:rPr>
        <w:t>在</w:t>
      </w:r>
      <w:r>
        <w:rPr>
          <w:rFonts w:hint="eastAsia" w:cs="仿宋_GB2312"/>
          <w:color w:val="auto"/>
          <w:sz w:val="24"/>
          <w:szCs w:val="24"/>
          <w:highlight w:val="none"/>
          <w:lang w:val="en-US" w:eastAsia="zh-CN"/>
        </w:rPr>
        <w:t>新疆政府采购云平台</w:t>
      </w:r>
      <w:r>
        <w:rPr>
          <w:rFonts w:hint="eastAsia" w:eastAsia="宋体" w:cs="仿宋_GB2312"/>
          <w:color w:val="auto"/>
          <w:sz w:val="24"/>
          <w:szCs w:val="24"/>
          <w:highlight w:val="none"/>
        </w:rPr>
        <w:t>以发布更正公告的方式澄清或修改招标文件，更正公告的</w:t>
      </w:r>
      <w:r>
        <w:rPr>
          <w:rFonts w:eastAsia="宋体" w:cs="仿宋_GB2312"/>
          <w:color w:val="auto"/>
          <w:sz w:val="24"/>
          <w:szCs w:val="24"/>
          <w:highlight w:val="none"/>
        </w:rPr>
        <w:t>内容</w:t>
      </w:r>
      <w:r>
        <w:rPr>
          <w:rFonts w:hint="eastAsia" w:eastAsia="宋体" w:cs="仿宋_GB2312"/>
          <w:color w:val="auto"/>
          <w:sz w:val="24"/>
          <w:szCs w:val="24"/>
          <w:highlight w:val="none"/>
        </w:rPr>
        <w:t>作</w:t>
      </w:r>
      <w:r>
        <w:rPr>
          <w:rFonts w:eastAsia="宋体" w:cs="仿宋_GB2312"/>
          <w:color w:val="auto"/>
          <w:sz w:val="24"/>
          <w:szCs w:val="24"/>
          <w:highlight w:val="none"/>
        </w:rPr>
        <w:t>为招标文件</w:t>
      </w:r>
      <w:r>
        <w:rPr>
          <w:rFonts w:hint="eastAsia" w:eastAsia="宋体" w:cs="仿宋_GB2312"/>
          <w:color w:val="auto"/>
          <w:sz w:val="24"/>
          <w:szCs w:val="24"/>
          <w:highlight w:val="none"/>
        </w:rPr>
        <w:t>的</w:t>
      </w:r>
      <w:r>
        <w:rPr>
          <w:rFonts w:eastAsia="宋体" w:cs="仿宋_GB2312"/>
          <w:color w:val="auto"/>
          <w:sz w:val="24"/>
          <w:szCs w:val="24"/>
          <w:highlight w:val="none"/>
        </w:rPr>
        <w:t>组成部分，对投标人起约束作用</w:t>
      </w:r>
      <w:r>
        <w:rPr>
          <w:rFonts w:hint="eastAsia" w:eastAsia="宋体" w:cs="仿宋_GB2312"/>
          <w:color w:val="auto"/>
          <w:sz w:val="24"/>
          <w:szCs w:val="24"/>
          <w:highlight w:val="none"/>
        </w:rPr>
        <w:t>。投标人应主动上网查询。采购代理机构不承担投标人未及时关注相关信息引发的相关责任。</w:t>
      </w:r>
    </w:p>
    <w:p w14:paraId="14950506">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2</w:t>
      </w:r>
      <w:r>
        <w:rPr>
          <w:rFonts w:hint="eastAsia" w:eastAsia="宋体" w:cs="仿宋_GB2312"/>
          <w:color w:val="auto"/>
          <w:sz w:val="24"/>
          <w:szCs w:val="24"/>
          <w:highlight w:val="none"/>
        </w:rPr>
        <w:t>.3 招标文件的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593F433F">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w:t>
      </w:r>
      <w:r>
        <w:rPr>
          <w:rFonts w:hint="eastAsia" w:eastAsia="宋体" w:cs="仿宋_GB2312"/>
          <w:color w:val="auto"/>
          <w:sz w:val="24"/>
          <w:szCs w:val="24"/>
          <w:highlight w:val="none"/>
        </w:rPr>
        <w:t>.</w:t>
      </w:r>
      <w:r>
        <w:rPr>
          <w:rFonts w:hint="eastAsia" w:cs="仿宋_GB2312"/>
          <w:color w:val="auto"/>
          <w:sz w:val="24"/>
          <w:szCs w:val="24"/>
          <w:highlight w:val="none"/>
          <w:lang w:val="en-US" w:eastAsia="zh-CN"/>
        </w:rPr>
        <w:t>4</w:t>
      </w:r>
      <w:r>
        <w:rPr>
          <w:rFonts w:hint="eastAsia" w:eastAsia="宋体" w:cs="仿宋_GB2312"/>
          <w:color w:val="auto"/>
          <w:sz w:val="24"/>
          <w:szCs w:val="24"/>
          <w:highlight w:val="none"/>
        </w:rPr>
        <w:t>任何人或任何组织向投标人提供的任何书面或口头资料，未经采购代理机构在网上发布或书面通知，均作无效处理，不得作为招标文件的组成部分。采购代理机构对投标人由此而做出的推论、理解和结论概不负责。</w:t>
      </w:r>
    </w:p>
    <w:p w14:paraId="715B8664">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12.5</w:t>
      </w:r>
      <w:r>
        <w:rPr>
          <w:rFonts w:eastAsia="宋体" w:cs="仿宋_GB2312"/>
          <w:color w:val="auto"/>
          <w:sz w:val="24"/>
          <w:szCs w:val="24"/>
          <w:highlight w:val="none"/>
        </w:rPr>
        <w:t>对于没有提出</w:t>
      </w:r>
      <w:r>
        <w:rPr>
          <w:rFonts w:hint="eastAsia" w:eastAsia="宋体" w:cs="仿宋_GB2312"/>
          <w:color w:val="auto"/>
          <w:sz w:val="24"/>
          <w:szCs w:val="24"/>
          <w:highlight w:val="none"/>
        </w:rPr>
        <w:t>疑问</w:t>
      </w:r>
      <w:r>
        <w:rPr>
          <w:rFonts w:eastAsia="宋体" w:cs="仿宋_GB2312"/>
          <w:color w:val="auto"/>
          <w:sz w:val="24"/>
          <w:szCs w:val="24"/>
          <w:highlight w:val="none"/>
        </w:rPr>
        <w:t>又参与了</w:t>
      </w:r>
      <w:r>
        <w:rPr>
          <w:rFonts w:hint="eastAsia" w:eastAsia="宋体" w:cs="仿宋_GB2312"/>
          <w:color w:val="auto"/>
          <w:sz w:val="24"/>
          <w:szCs w:val="24"/>
          <w:highlight w:val="none"/>
        </w:rPr>
        <w:t>本</w:t>
      </w:r>
      <w:r>
        <w:rPr>
          <w:rFonts w:eastAsia="宋体" w:cs="仿宋_GB2312"/>
          <w:color w:val="auto"/>
          <w:sz w:val="24"/>
          <w:szCs w:val="24"/>
          <w:highlight w:val="none"/>
        </w:rPr>
        <w:t>项目投标的</w:t>
      </w:r>
      <w:r>
        <w:rPr>
          <w:rFonts w:hint="eastAsia" w:eastAsia="宋体" w:cs="仿宋_GB2312"/>
          <w:color w:val="auto"/>
          <w:sz w:val="24"/>
          <w:szCs w:val="24"/>
          <w:highlight w:val="none"/>
        </w:rPr>
        <w:t>投标人</w:t>
      </w:r>
      <w:r>
        <w:rPr>
          <w:rFonts w:eastAsia="宋体" w:cs="仿宋_GB2312"/>
          <w:color w:val="auto"/>
          <w:sz w:val="24"/>
          <w:szCs w:val="24"/>
          <w:highlight w:val="none"/>
        </w:rPr>
        <w:t>将被视为完全认同</w:t>
      </w:r>
      <w:r>
        <w:rPr>
          <w:rFonts w:hint="eastAsia" w:eastAsia="宋体" w:cs="仿宋_GB2312"/>
          <w:color w:val="auto"/>
          <w:sz w:val="24"/>
          <w:szCs w:val="24"/>
          <w:highlight w:val="none"/>
        </w:rPr>
        <w:t>本</w:t>
      </w:r>
      <w:r>
        <w:rPr>
          <w:rFonts w:eastAsia="宋体" w:cs="仿宋_GB2312"/>
          <w:color w:val="auto"/>
          <w:sz w:val="24"/>
          <w:szCs w:val="24"/>
          <w:highlight w:val="none"/>
        </w:rPr>
        <w:t>招标文件（含</w:t>
      </w:r>
      <w:r>
        <w:rPr>
          <w:rFonts w:hint="eastAsia" w:eastAsia="宋体" w:cs="仿宋_GB2312"/>
          <w:color w:val="auto"/>
          <w:sz w:val="24"/>
          <w:szCs w:val="24"/>
          <w:highlight w:val="none"/>
        </w:rPr>
        <w:t>更正公告的</w:t>
      </w:r>
      <w:r>
        <w:rPr>
          <w:rFonts w:eastAsia="宋体" w:cs="仿宋_GB2312"/>
          <w:color w:val="auto"/>
          <w:sz w:val="24"/>
          <w:szCs w:val="24"/>
          <w:highlight w:val="none"/>
        </w:rPr>
        <w:t>内容）</w:t>
      </w:r>
      <w:r>
        <w:rPr>
          <w:rFonts w:hint="eastAsia" w:eastAsia="宋体" w:cs="仿宋_GB2312"/>
          <w:color w:val="auto"/>
          <w:sz w:val="24"/>
          <w:szCs w:val="24"/>
          <w:highlight w:val="none"/>
        </w:rPr>
        <w:t>。</w:t>
      </w:r>
    </w:p>
    <w:p w14:paraId="6F274E6E">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1</w:t>
      </w:r>
      <w:r>
        <w:rPr>
          <w:rFonts w:hint="eastAsia" w:eastAsia="宋体"/>
          <w:color w:val="auto"/>
          <w:sz w:val="24"/>
          <w:highlight w:val="none"/>
          <w:lang w:val="en-US" w:eastAsia="zh-CN"/>
        </w:rPr>
        <w:t>2</w:t>
      </w:r>
      <w:r>
        <w:rPr>
          <w:rFonts w:eastAsia="宋体"/>
          <w:color w:val="auto"/>
          <w:sz w:val="24"/>
          <w:highlight w:val="none"/>
        </w:rPr>
        <w:t>.</w:t>
      </w:r>
      <w:r>
        <w:rPr>
          <w:rFonts w:hint="eastAsia"/>
          <w:color w:val="auto"/>
          <w:sz w:val="24"/>
          <w:highlight w:val="none"/>
          <w:lang w:val="en-US" w:eastAsia="zh-CN"/>
        </w:rPr>
        <w:t>6</w:t>
      </w:r>
      <w:r>
        <w:rPr>
          <w:rFonts w:hint="eastAsia" w:eastAsia="宋体"/>
          <w:color w:val="auto"/>
          <w:sz w:val="24"/>
          <w:highlight w:val="none"/>
        </w:rPr>
        <w:t xml:space="preserve"> </w:t>
      </w:r>
      <w:r>
        <w:rPr>
          <w:rFonts w:hint="eastAsia" w:eastAsia="宋体" w:cs="仿宋_GB2312"/>
          <w:color w:val="auto"/>
          <w:sz w:val="24"/>
          <w:szCs w:val="24"/>
          <w:highlight w:val="none"/>
          <w:lang w:val="en-US" w:eastAsia="zh-CN"/>
        </w:rPr>
        <w:t>“</w:t>
      </w:r>
      <w:r>
        <w:rPr>
          <w:rFonts w:hint="eastAsia" w:eastAsia="宋体" w:cs="仿宋_GB2312"/>
          <w:color w:val="auto"/>
          <w:sz w:val="24"/>
          <w:szCs w:val="24"/>
          <w:highlight w:val="none"/>
        </w:rPr>
        <w:t>投标人须知”所称“</w:t>
      </w:r>
      <w:r>
        <w:rPr>
          <w:rFonts w:hint="eastAsia" w:eastAsia="宋体"/>
          <w:color w:val="auto"/>
          <w:sz w:val="24"/>
          <w:highlight w:val="none"/>
        </w:rPr>
        <w:t>书面形式</w:t>
      </w:r>
      <w:r>
        <w:rPr>
          <w:rFonts w:hint="eastAsia" w:eastAsia="宋体" w:cs="仿宋_GB2312"/>
          <w:color w:val="auto"/>
          <w:sz w:val="24"/>
          <w:szCs w:val="24"/>
          <w:highlight w:val="none"/>
        </w:rPr>
        <w:t>”</w:t>
      </w:r>
      <w:r>
        <w:rPr>
          <w:rFonts w:hint="eastAsia" w:eastAsia="宋体"/>
          <w:color w:val="auto"/>
          <w:sz w:val="24"/>
          <w:highlight w:val="none"/>
        </w:rPr>
        <w:t>包括系统消息、政府采购</w:t>
      </w:r>
      <w:r>
        <w:rPr>
          <w:rFonts w:hint="eastAsia" w:eastAsia="宋体"/>
          <w:color w:val="auto"/>
          <w:sz w:val="24"/>
          <w:highlight w:val="none"/>
          <w:lang w:val="en-US" w:eastAsia="zh-CN"/>
        </w:rPr>
        <w:t>云平台</w:t>
      </w:r>
      <w:r>
        <w:rPr>
          <w:rFonts w:hint="eastAsia" w:eastAsia="宋体"/>
          <w:color w:val="auto"/>
          <w:sz w:val="24"/>
          <w:highlight w:val="none"/>
        </w:rPr>
        <w:t>发布的公告。</w:t>
      </w:r>
    </w:p>
    <w:p w14:paraId="39FCE417">
      <w:pPr>
        <w:pStyle w:val="5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lang w:val="en-US" w:eastAsia="zh-CN"/>
        </w:rPr>
        <w:t>12.7</w:t>
      </w:r>
      <w:r>
        <w:rPr>
          <w:rFonts w:hint="eastAsia" w:ascii="宋体" w:hAnsi="宋体" w:eastAsia="宋体" w:cs="宋体"/>
          <w:color w:val="auto"/>
          <w:kern w:val="2"/>
          <w:sz w:val="24"/>
          <w:szCs w:val="22"/>
          <w:highlight w:val="none"/>
        </w:rPr>
        <w:t>当招标文件的澄清、修改及其他答复等就同一内容的表述不一致时，以最后发布的内容为准。</w:t>
      </w:r>
    </w:p>
    <w:p w14:paraId="578320B0">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bookmarkStart w:id="150" w:name="_Toc163492837"/>
      <w:bookmarkStart w:id="151" w:name="_Toc155185872"/>
      <w:r>
        <w:rPr>
          <w:rFonts w:hint="eastAsia" w:ascii="宋体" w:hAnsi="宋体" w:eastAsia="宋体" w:cs="宋体"/>
          <w:b/>
          <w:bCs/>
          <w:color w:val="auto"/>
          <w:kern w:val="2"/>
          <w:sz w:val="24"/>
          <w:szCs w:val="32"/>
          <w:highlight w:val="none"/>
          <w:lang w:val="en-US" w:eastAsia="zh-CN" w:bidi="ar-SA"/>
        </w:rPr>
        <w:t>（三）投标文件</w:t>
      </w:r>
      <w:bookmarkEnd w:id="150"/>
      <w:bookmarkEnd w:id="151"/>
    </w:p>
    <w:p w14:paraId="67D7EC68">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152" w:name="_Toc163492838"/>
      <w:r>
        <w:rPr>
          <w:rFonts w:hint="eastAsia" w:ascii="宋体" w:hAnsi="宋体" w:eastAsia="宋体" w:cs="宋体"/>
          <w:b/>
          <w:bCs/>
          <w:color w:val="auto"/>
          <w:kern w:val="2"/>
          <w:sz w:val="24"/>
          <w:szCs w:val="28"/>
          <w:highlight w:val="none"/>
          <w:lang w:val="en-US" w:eastAsia="zh-CN" w:bidi="ar-SA"/>
        </w:rPr>
        <w:t>13.投标文件的组成</w:t>
      </w:r>
      <w:bookmarkEnd w:id="152"/>
    </w:p>
    <w:p w14:paraId="174A0A3D">
      <w:pPr>
        <w:pStyle w:val="5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bookmarkStart w:id="153" w:name="_Toc163492839"/>
      <w:bookmarkStart w:id="154" w:name="_Toc140132772"/>
      <w:r>
        <w:rPr>
          <w:rFonts w:hint="eastAsia" w:ascii="宋体" w:hAnsi="宋体" w:eastAsia="宋体" w:cs="宋体"/>
          <w:color w:val="auto"/>
          <w:kern w:val="2"/>
          <w:sz w:val="24"/>
          <w:szCs w:val="22"/>
          <w:highlight w:val="none"/>
          <w:lang w:val="en-US" w:eastAsia="zh-CN"/>
        </w:rPr>
        <w:t>13</w:t>
      </w:r>
      <w:r>
        <w:rPr>
          <w:rFonts w:hint="eastAsia" w:ascii="宋体" w:hAnsi="宋体" w:eastAsia="宋体" w:cs="宋体"/>
          <w:color w:val="auto"/>
          <w:kern w:val="2"/>
          <w:sz w:val="24"/>
          <w:szCs w:val="22"/>
          <w:highlight w:val="none"/>
        </w:rPr>
        <w:t>.1投标人应完整地按招标文件提供的投标文件格式及要求编写投标文件，具体内容详见</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lang w:val="en-US" w:eastAsia="zh-CN"/>
        </w:rPr>
        <w:t xml:space="preserve">第七章 </w:t>
      </w:r>
      <w:r>
        <w:rPr>
          <w:rFonts w:hint="eastAsia" w:ascii="宋体" w:hAnsi="宋体" w:eastAsia="宋体" w:cs="宋体"/>
          <w:color w:val="auto"/>
          <w:kern w:val="2"/>
          <w:sz w:val="24"/>
          <w:szCs w:val="22"/>
          <w:highlight w:val="none"/>
        </w:rPr>
        <w:t>投标文件格式</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的相关内容。</w:t>
      </w:r>
    </w:p>
    <w:p w14:paraId="3BB3A0B7">
      <w:pPr>
        <w:pStyle w:val="5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13.2</w:t>
      </w:r>
      <w:r>
        <w:rPr>
          <w:rFonts w:hint="eastAsia" w:ascii="宋体" w:hAnsi="宋体" w:eastAsia="宋体" w:cs="宋体"/>
          <w:color w:val="auto"/>
          <w:kern w:val="2"/>
          <w:sz w:val="24"/>
          <w:szCs w:val="22"/>
          <w:highlight w:val="none"/>
        </w:rPr>
        <w:t>投标人应提交招标文件要求的证明文件，证明其投标内容符合招标文件规定</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该证明文件是投标文件的一部分</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证明文件</w:t>
      </w:r>
      <w:r>
        <w:rPr>
          <w:rFonts w:hint="eastAsia" w:ascii="宋体" w:hAnsi="宋体" w:eastAsia="宋体" w:cs="宋体"/>
          <w:color w:val="auto"/>
          <w:kern w:val="2"/>
          <w:sz w:val="24"/>
          <w:szCs w:val="22"/>
          <w:highlight w:val="none"/>
          <w:lang w:val="en-US" w:eastAsia="zh-CN"/>
        </w:rPr>
        <w:t>形式</w:t>
      </w:r>
      <w:r>
        <w:rPr>
          <w:rFonts w:hint="eastAsia" w:ascii="宋体" w:hAnsi="宋体" w:eastAsia="宋体" w:cs="宋体"/>
          <w:color w:val="auto"/>
          <w:kern w:val="2"/>
          <w:sz w:val="24"/>
          <w:szCs w:val="22"/>
          <w:highlight w:val="none"/>
        </w:rPr>
        <w:t>可以是文字资料、图纸和数据</w:t>
      </w:r>
      <w:bookmarkStart w:id="155" w:name="_Hlk11703583"/>
      <w:r>
        <w:rPr>
          <w:rFonts w:hint="eastAsia" w:ascii="宋体" w:hAnsi="宋体" w:eastAsia="宋体" w:cs="宋体"/>
          <w:color w:val="auto"/>
          <w:kern w:val="2"/>
          <w:sz w:val="24"/>
          <w:szCs w:val="22"/>
          <w:highlight w:val="none"/>
          <w:lang w:val="en-US" w:eastAsia="zh-CN"/>
        </w:rPr>
        <w:t>等。</w:t>
      </w:r>
    </w:p>
    <w:bookmarkEnd w:id="155"/>
    <w:p w14:paraId="781BBAEB">
      <w:pPr>
        <w:pStyle w:val="5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13.3</w:t>
      </w:r>
      <w:r>
        <w:rPr>
          <w:rFonts w:hint="eastAsia" w:ascii="宋体" w:hAnsi="宋体" w:eastAsia="宋体" w:cs="宋体"/>
          <w:color w:val="auto"/>
          <w:kern w:val="2"/>
          <w:sz w:val="24"/>
          <w:szCs w:val="22"/>
          <w:highlight w:val="none"/>
        </w:rPr>
        <w:t>为保证公平公正，除非</w:t>
      </w:r>
      <w:r>
        <w:rPr>
          <w:rFonts w:hint="eastAsia" w:ascii="宋体" w:hAnsi="宋体" w:eastAsia="宋体" w:cs="宋体"/>
          <w:color w:val="auto"/>
          <w:kern w:val="2"/>
          <w:sz w:val="24"/>
          <w:szCs w:val="22"/>
          <w:highlight w:val="none"/>
          <w:lang w:val="en-US" w:eastAsia="zh-CN"/>
        </w:rPr>
        <w:t>本招标文件</w:t>
      </w:r>
      <w:r>
        <w:rPr>
          <w:rFonts w:hint="eastAsia" w:ascii="宋体" w:hAnsi="宋体" w:eastAsia="宋体" w:cs="宋体"/>
          <w:color w:val="auto"/>
          <w:kern w:val="2"/>
          <w:sz w:val="24"/>
          <w:szCs w:val="22"/>
          <w:highlight w:val="none"/>
        </w:rPr>
        <w:t>另有规定或说明，投标人对同一项目投标时，不得同时提供备选投标方案。</w:t>
      </w:r>
    </w:p>
    <w:p w14:paraId="2DB5A9E4">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r>
        <w:rPr>
          <w:rFonts w:hint="eastAsia" w:ascii="宋体" w:hAnsi="宋体" w:eastAsia="宋体" w:cs="宋体"/>
          <w:b/>
          <w:bCs/>
          <w:color w:val="auto"/>
          <w:kern w:val="2"/>
          <w:sz w:val="24"/>
          <w:szCs w:val="28"/>
          <w:highlight w:val="none"/>
          <w:lang w:val="en-US" w:eastAsia="zh-CN" w:bidi="ar-SA"/>
        </w:rPr>
        <w:t>14.投标报价</w:t>
      </w:r>
      <w:bookmarkEnd w:id="153"/>
      <w:bookmarkEnd w:id="154"/>
    </w:p>
    <w:p w14:paraId="3BD2CDC3">
      <w:pPr>
        <w:keepNext w:val="0"/>
        <w:keepLines w:val="0"/>
        <w:pageBreakBefore w:val="0"/>
        <w:widowControl w:val="0"/>
        <w:kinsoku/>
        <w:overflowPunct/>
        <w:topLinePunct w:val="0"/>
        <w:autoSpaceDE/>
        <w:autoSpaceDN/>
        <w:bidi w:val="0"/>
        <w:adjustRightInd/>
        <w:ind w:firstLine="480" w:firstLineChars="200"/>
        <w:textAlignment w:val="auto"/>
        <w:rPr>
          <w:rFonts w:eastAsia="宋体" w:cs="宋体"/>
          <w:snapToGrid w:val="0"/>
          <w:color w:val="auto"/>
          <w:sz w:val="24"/>
          <w:szCs w:val="24"/>
          <w:highlight w:val="none"/>
          <w:lang w:val="zh-CN"/>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 xml:space="preserve">.1 </w:t>
      </w:r>
      <w:r>
        <w:rPr>
          <w:rFonts w:hint="eastAsia" w:eastAsia="宋体" w:cs="宋体"/>
          <w:snapToGrid w:val="0"/>
          <w:color w:val="auto"/>
          <w:sz w:val="24"/>
          <w:szCs w:val="24"/>
          <w:highlight w:val="none"/>
          <w:lang w:val="zh-CN"/>
        </w:rPr>
        <w:t>投标人的报价均应以人民币进行报价。</w:t>
      </w:r>
    </w:p>
    <w:p w14:paraId="6CC00543">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宋体"/>
          <w:snapToGrid w:val="0"/>
          <w:color w:val="auto"/>
          <w:sz w:val="24"/>
          <w:szCs w:val="24"/>
          <w:highlight w:val="none"/>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.2 投标人应按照本招标文件规定的报价方式进行报价，投标报价中不得包含招标文件要求以外的内容，否则，在评标时不予核减。投标报价中也不得</w:t>
      </w:r>
      <w:r>
        <w:rPr>
          <w:rFonts w:hint="eastAsia" w:eastAsia="宋体" w:cs="宋体"/>
          <w:snapToGrid w:val="0"/>
          <w:color w:val="auto"/>
          <w:sz w:val="24"/>
          <w:szCs w:val="24"/>
          <w:highlight w:val="none"/>
          <w:lang w:val="en-US" w:eastAsia="zh-CN"/>
        </w:rPr>
        <w:t>缺</w:t>
      </w:r>
      <w:r>
        <w:rPr>
          <w:rFonts w:hint="eastAsia" w:eastAsia="宋体" w:cs="宋体"/>
          <w:snapToGrid w:val="0"/>
          <w:color w:val="auto"/>
          <w:sz w:val="24"/>
          <w:szCs w:val="24"/>
          <w:highlight w:val="none"/>
        </w:rPr>
        <w:t>漏招标文件所要求的内容，否则其</w:t>
      </w:r>
      <w:r>
        <w:rPr>
          <w:rFonts w:hint="eastAsia" w:eastAsia="宋体" w:cs="宋体"/>
          <w:b/>
          <w:bCs/>
          <w:snapToGrid w:val="0"/>
          <w:color w:val="auto"/>
          <w:sz w:val="24"/>
          <w:szCs w:val="24"/>
          <w:highlight w:val="none"/>
        </w:rPr>
        <w:t>投标无效</w:t>
      </w:r>
      <w:r>
        <w:rPr>
          <w:rFonts w:hint="eastAsia" w:eastAsia="宋体" w:cs="宋体"/>
          <w:snapToGrid w:val="0"/>
          <w:color w:val="auto"/>
          <w:sz w:val="24"/>
          <w:szCs w:val="24"/>
          <w:highlight w:val="none"/>
        </w:rPr>
        <w:t>。</w:t>
      </w:r>
    </w:p>
    <w:p w14:paraId="1197AD09">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kern w:val="2"/>
          <w:sz w:val="24"/>
          <w:szCs w:val="22"/>
          <w:highlight w:val="none"/>
        </w:rPr>
      </w:pPr>
      <w:r>
        <w:rPr>
          <w:rFonts w:hint="eastAsia" w:eastAsia="宋体" w:cs="宋体"/>
          <w:color w:val="auto"/>
          <w:kern w:val="2"/>
          <w:sz w:val="24"/>
          <w:szCs w:val="22"/>
          <w:highlight w:val="none"/>
          <w:lang w:val="en-US" w:eastAsia="zh-CN"/>
        </w:rPr>
        <w:t>投标人的报价应包括为完成本项目所发生的一切费用和税费，采购人将不再支付报价以外的任何费用。</w:t>
      </w:r>
      <w:r>
        <w:rPr>
          <w:rFonts w:hint="eastAsia" w:ascii="宋体" w:hAnsi="宋体" w:eastAsia="宋体" w:cs="宋体"/>
          <w:color w:val="auto"/>
          <w:kern w:val="2"/>
          <w:sz w:val="24"/>
          <w:szCs w:val="22"/>
          <w:highlight w:val="none"/>
        </w:rPr>
        <w:t>只要投报了一个确定数额的总价，无论分项价格是否全部填报了相应的金额或免费字样，</w:t>
      </w:r>
      <w:r>
        <w:rPr>
          <w:rFonts w:hint="eastAsia" w:eastAsia="宋体" w:cs="宋体"/>
          <w:color w:val="auto"/>
          <w:kern w:val="2"/>
          <w:sz w:val="24"/>
          <w:szCs w:val="22"/>
          <w:highlight w:val="none"/>
          <w:lang w:val="en-US" w:eastAsia="zh-CN"/>
        </w:rPr>
        <w:t>该报价应被视为已包含但不限</w:t>
      </w:r>
      <w:r>
        <w:rPr>
          <w:rFonts w:hint="eastAsia" w:ascii="宋体" w:hAnsi="宋体" w:eastAsia="宋体" w:cs="宋体"/>
          <w:color w:val="auto"/>
          <w:kern w:val="2"/>
          <w:sz w:val="24"/>
          <w:szCs w:val="22"/>
          <w:highlight w:val="none"/>
        </w:rPr>
        <w:t>于各项购买货物及其运送、安装、调试、验收、保险和相关服务等的费用和所需缴纳的所有价格、税、费。在其他情况下，由于分项报价填报不完整、不清楚或存在其他任何失误，所导致的任何不利后果均应当由投标人自行承担。</w:t>
      </w:r>
    </w:p>
    <w:p w14:paraId="41BDFD38">
      <w:pPr>
        <w:pStyle w:val="10"/>
        <w:keepNext w:val="0"/>
        <w:keepLines w:val="0"/>
        <w:pageBreakBefore w:val="0"/>
        <w:widowControl w:val="0"/>
        <w:kinsoku/>
        <w:overflowPunct/>
        <w:topLinePunct w:val="0"/>
        <w:autoSpaceDE/>
        <w:autoSpaceDN/>
        <w:bidi w:val="0"/>
        <w:adjustRightInd/>
        <w:textAlignment w:val="auto"/>
        <w:rPr>
          <w:rFonts w:hint="eastAsia" w:eastAsia="宋体" w:cs="宋体"/>
          <w:color w:val="auto"/>
          <w:kern w:val="2"/>
          <w:sz w:val="24"/>
          <w:szCs w:val="22"/>
          <w:highlight w:val="none"/>
          <w:lang w:val="en-US" w:eastAsia="zh-CN"/>
        </w:rPr>
      </w:pPr>
      <w:r>
        <w:rPr>
          <w:rFonts w:hint="eastAsia" w:eastAsia="宋体" w:cs="宋体"/>
          <w:color w:val="auto"/>
          <w:kern w:val="2"/>
          <w:sz w:val="24"/>
          <w:szCs w:val="22"/>
          <w:highlight w:val="none"/>
          <w:lang w:val="en-US" w:eastAsia="zh-CN"/>
        </w:rPr>
        <w:t xml:space="preserve">投标人的报价应包括但不限于下列内容： </w:t>
      </w:r>
    </w:p>
    <w:p w14:paraId="4342C0DA">
      <w:pPr>
        <w:pStyle w:val="10"/>
        <w:keepNext w:val="0"/>
        <w:keepLines w:val="0"/>
        <w:pageBreakBefore w:val="0"/>
        <w:widowControl w:val="0"/>
        <w:kinsoku/>
        <w:overflowPunct/>
        <w:topLinePunct w:val="0"/>
        <w:autoSpaceDE/>
        <w:autoSpaceDN/>
        <w:bidi w:val="0"/>
        <w:adjustRightInd/>
        <w:textAlignment w:val="auto"/>
        <w:rPr>
          <w:rFonts w:hint="eastAsia" w:eastAsia="宋体" w:cs="宋体"/>
          <w:color w:val="auto"/>
          <w:kern w:val="2"/>
          <w:sz w:val="24"/>
          <w:szCs w:val="22"/>
          <w:highlight w:val="none"/>
          <w:lang w:val="en-US" w:eastAsia="zh-CN"/>
        </w:rPr>
      </w:pPr>
      <w:r>
        <w:rPr>
          <w:rFonts w:hint="eastAsia" w:ascii="宋体" w:hAnsi="宋体" w:eastAsia="宋体" w:cs="宋体"/>
          <w:snapToGrid w:val="0"/>
          <w:color w:val="auto"/>
          <w:kern w:val="2"/>
          <w:sz w:val="24"/>
          <w:szCs w:val="24"/>
          <w:highlight w:val="none"/>
          <w:lang w:val="en-US" w:eastAsia="zh-CN" w:bidi="ar-SA"/>
        </w:rPr>
        <w:t>14.2.1 投标货物及标准附件、备品备件、专用工具等的出厂价（包括已在中</w:t>
      </w:r>
      <w:r>
        <w:rPr>
          <w:rFonts w:hint="eastAsia" w:eastAsia="宋体" w:cs="宋体"/>
          <w:color w:val="auto"/>
          <w:kern w:val="2"/>
          <w:sz w:val="24"/>
          <w:szCs w:val="22"/>
          <w:highlight w:val="none"/>
          <w:lang w:val="en-US" w:eastAsia="zh-CN"/>
        </w:rPr>
        <w:t xml:space="preserve">国国内的进口货物完税后的仓库交货价、展室交货价或货架交货价）和运至最终目的地的运输费和保险费，安装调试、检验、技术服务、培训、质量保证、售后服务、税费等； </w:t>
      </w:r>
    </w:p>
    <w:p w14:paraId="412F0384">
      <w:pPr>
        <w:pStyle w:val="10"/>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14.2.2 按照招标文件要求完成本项目的全部相关费用。</w:t>
      </w:r>
    </w:p>
    <w:p w14:paraId="3EFD841C">
      <w:pPr>
        <w:keepNext w:val="0"/>
        <w:keepLines w:val="0"/>
        <w:pageBreakBefore w:val="0"/>
        <w:widowControl w:val="0"/>
        <w:kinsoku/>
        <w:overflowPunct/>
        <w:topLinePunct w:val="0"/>
        <w:autoSpaceDE/>
        <w:autoSpaceDN/>
        <w:bidi w:val="0"/>
        <w:adjustRightInd/>
        <w:ind w:firstLine="480" w:firstLineChars="200"/>
        <w:textAlignment w:val="auto"/>
        <w:rPr>
          <w:rFonts w:eastAsia="宋体" w:cs="宋体"/>
          <w:snapToGrid w:val="0"/>
          <w:color w:val="auto"/>
          <w:sz w:val="24"/>
          <w:szCs w:val="24"/>
          <w:highlight w:val="none"/>
          <w:lang w:val="zh-CN"/>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 xml:space="preserve">.3 </w:t>
      </w:r>
      <w:r>
        <w:rPr>
          <w:rFonts w:hint="eastAsia" w:ascii="宋体" w:hAnsi="宋体" w:eastAsia="宋体" w:cs="宋体"/>
          <w:color w:val="auto"/>
          <w:kern w:val="2"/>
          <w:sz w:val="24"/>
          <w:szCs w:val="22"/>
          <w:highlight w:val="none"/>
        </w:rPr>
        <w:t>投标人须严格按照</w:t>
      </w:r>
      <w:r>
        <w:rPr>
          <w:rFonts w:hint="eastAsia" w:eastAsia="宋体" w:cs="宋体"/>
          <w:color w:val="auto"/>
          <w:kern w:val="2"/>
          <w:sz w:val="24"/>
          <w:szCs w:val="22"/>
          <w:highlight w:val="none"/>
          <w:lang w:val="en-US" w:eastAsia="zh-CN"/>
        </w:rPr>
        <w:t>分项</w:t>
      </w:r>
      <w:r>
        <w:rPr>
          <w:rFonts w:hint="eastAsia" w:ascii="宋体" w:hAnsi="宋体" w:eastAsia="宋体" w:cs="宋体"/>
          <w:color w:val="auto"/>
          <w:kern w:val="2"/>
          <w:sz w:val="24"/>
          <w:szCs w:val="22"/>
          <w:highlight w:val="none"/>
        </w:rPr>
        <w:t>报价表规定的内容填写货物单价以及其他事项。</w:t>
      </w:r>
      <w:r>
        <w:rPr>
          <w:rFonts w:hint="eastAsia" w:eastAsia="宋体" w:cs="宋体"/>
          <w:snapToGrid w:val="0"/>
          <w:color w:val="auto"/>
          <w:sz w:val="24"/>
          <w:szCs w:val="24"/>
          <w:highlight w:val="none"/>
          <w:lang w:val="zh-CN"/>
        </w:rPr>
        <w:t>投标人应根据本招标文件的规定和要求、市场价格水平及其走势、投标人的管理水平、投标人的方案和由这些因素决定的投标人之于本项目的成本水平等提出自己的报价。报价应合理，并包含完成本招标文件采购需求全部内容的所有费用，所有根据本招标文件或其它原因应由投标人支付的税款和其他应</w:t>
      </w:r>
      <w:r>
        <w:rPr>
          <w:rFonts w:hint="eastAsia" w:eastAsia="宋体" w:cs="宋体"/>
          <w:snapToGrid w:val="0"/>
          <w:color w:val="auto"/>
          <w:sz w:val="24"/>
          <w:szCs w:val="24"/>
          <w:highlight w:val="none"/>
          <w:lang w:val="en-US" w:eastAsia="zh-CN"/>
        </w:rPr>
        <w:t>缴</w:t>
      </w:r>
      <w:r>
        <w:rPr>
          <w:rFonts w:hint="eastAsia" w:eastAsia="宋体" w:cs="宋体"/>
          <w:snapToGrid w:val="0"/>
          <w:color w:val="auto"/>
          <w:sz w:val="24"/>
          <w:szCs w:val="24"/>
          <w:highlight w:val="none"/>
          <w:lang w:val="zh-CN"/>
        </w:rPr>
        <w:t>纳的费用都应包括在投标人提交的投标报价中。</w:t>
      </w:r>
    </w:p>
    <w:p w14:paraId="5E3B6519">
      <w:pPr>
        <w:keepNext w:val="0"/>
        <w:keepLines w:val="0"/>
        <w:pageBreakBefore w:val="0"/>
        <w:widowControl w:val="0"/>
        <w:kinsoku/>
        <w:overflowPunct/>
        <w:topLinePunct w:val="0"/>
        <w:autoSpaceDE/>
        <w:autoSpaceDN/>
        <w:bidi w:val="0"/>
        <w:adjustRightInd/>
        <w:ind w:firstLine="480" w:firstLineChars="200"/>
        <w:textAlignment w:val="auto"/>
        <w:rPr>
          <w:rFonts w:eastAsia="宋体" w:cs="宋体"/>
          <w:snapToGrid w:val="0"/>
          <w:color w:val="auto"/>
          <w:sz w:val="24"/>
          <w:szCs w:val="24"/>
          <w:highlight w:val="none"/>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.4 投标人在投标文件中注明免费的项目将视为包含在投标报价中。</w:t>
      </w:r>
    </w:p>
    <w:p w14:paraId="78B9FFCD">
      <w:pPr>
        <w:pStyle w:val="10"/>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ascii="宋体" w:hAnsi="宋体" w:eastAsia="宋体" w:cs="宋体"/>
          <w:snapToGrid w:val="0"/>
          <w:color w:val="auto"/>
          <w:kern w:val="2"/>
          <w:sz w:val="24"/>
          <w:szCs w:val="24"/>
          <w:highlight w:val="none"/>
          <w:lang w:val="en-US" w:eastAsia="zh-CN" w:bidi="ar-SA"/>
        </w:rPr>
        <w:t>1</w:t>
      </w:r>
      <w:r>
        <w:rPr>
          <w:rFonts w:hint="eastAsia" w:ascii="宋体" w:hAnsi="宋体" w:eastAsia="宋体" w:cs="宋体"/>
          <w:snapToGrid w:val="0"/>
          <w:color w:val="auto"/>
          <w:kern w:val="2"/>
          <w:sz w:val="24"/>
          <w:szCs w:val="24"/>
          <w:highlight w:val="none"/>
          <w:lang w:val="en-US" w:eastAsia="zh-CN" w:bidi="ar-SA"/>
        </w:rPr>
        <w:t>4.5 每一</w:t>
      </w:r>
      <w:r>
        <w:rPr>
          <w:rFonts w:hint="eastAsia" w:eastAsia="宋体" w:cs="宋体"/>
          <w:snapToGrid w:val="0"/>
          <w:color w:val="auto"/>
          <w:sz w:val="24"/>
          <w:szCs w:val="24"/>
          <w:highlight w:val="none"/>
        </w:rPr>
        <w:t>种采购内容只允许有一个报价，否则其</w:t>
      </w:r>
      <w:r>
        <w:rPr>
          <w:rFonts w:hint="eastAsia" w:eastAsia="宋体" w:cs="宋体"/>
          <w:b/>
          <w:bCs/>
          <w:snapToGrid w:val="0"/>
          <w:color w:val="auto"/>
          <w:sz w:val="24"/>
          <w:szCs w:val="24"/>
          <w:highlight w:val="none"/>
        </w:rPr>
        <w:t>投标无效</w:t>
      </w:r>
      <w:r>
        <w:rPr>
          <w:rFonts w:hint="eastAsia" w:eastAsia="宋体" w:cs="宋体"/>
          <w:snapToGrid w:val="0"/>
          <w:color w:val="auto"/>
          <w:sz w:val="24"/>
          <w:szCs w:val="24"/>
          <w:highlight w:val="none"/>
        </w:rPr>
        <w:t>。</w:t>
      </w:r>
      <w:r>
        <w:rPr>
          <w:rFonts w:hint="eastAsia" w:ascii="宋体" w:hAnsi="宋体" w:eastAsia="宋体" w:cs="宋体"/>
          <w:color w:val="auto"/>
          <w:kern w:val="2"/>
          <w:sz w:val="24"/>
          <w:szCs w:val="22"/>
          <w:highlight w:val="none"/>
        </w:rPr>
        <w:t>除非招标文件另有规定，不接受可选择或可调整的投标方案和报价，任何有选择的或可调整的投标方案和报价将被视为非</w:t>
      </w:r>
      <w:r>
        <w:rPr>
          <w:rFonts w:hint="eastAsia" w:ascii="宋体" w:hAnsi="宋体" w:eastAsia="宋体" w:cs="宋体"/>
          <w:color w:val="auto"/>
          <w:kern w:val="2"/>
          <w:sz w:val="24"/>
          <w:szCs w:val="22"/>
          <w:highlight w:val="none"/>
          <w:lang w:val="en-US" w:eastAsia="zh-CN"/>
        </w:rPr>
        <w:t>实质性</w:t>
      </w:r>
      <w:r>
        <w:rPr>
          <w:rFonts w:hint="eastAsia" w:ascii="宋体" w:hAnsi="宋体" w:eastAsia="宋体" w:cs="宋体"/>
          <w:color w:val="auto"/>
          <w:kern w:val="2"/>
          <w:sz w:val="24"/>
          <w:szCs w:val="22"/>
          <w:highlight w:val="none"/>
        </w:rPr>
        <w:t>响应</w:t>
      </w:r>
      <w:r>
        <w:rPr>
          <w:rFonts w:hint="eastAsia" w:ascii="宋体" w:hAnsi="宋体" w:eastAsia="宋体" w:cs="宋体"/>
          <w:color w:val="auto"/>
          <w:kern w:val="2"/>
          <w:sz w:val="24"/>
          <w:szCs w:val="22"/>
          <w:highlight w:val="none"/>
          <w:lang w:val="en-US" w:eastAsia="zh-CN"/>
        </w:rPr>
        <w:t>招标文件,其</w:t>
      </w:r>
      <w:r>
        <w:rPr>
          <w:rFonts w:hint="eastAsia" w:eastAsia="宋体" w:cs="宋体"/>
          <w:b/>
          <w:bCs/>
          <w:snapToGrid w:val="0"/>
          <w:color w:val="auto"/>
          <w:sz w:val="24"/>
          <w:szCs w:val="24"/>
          <w:highlight w:val="none"/>
          <w:lang w:eastAsia="zh-CN"/>
        </w:rPr>
        <w:t>投标无效</w:t>
      </w:r>
      <w:r>
        <w:rPr>
          <w:rFonts w:hint="eastAsia" w:ascii="宋体" w:hAnsi="宋体" w:eastAsia="宋体" w:cs="宋体"/>
          <w:color w:val="auto"/>
          <w:kern w:val="2"/>
          <w:sz w:val="24"/>
          <w:szCs w:val="22"/>
          <w:highlight w:val="none"/>
        </w:rPr>
        <w:t>。</w:t>
      </w:r>
    </w:p>
    <w:p w14:paraId="234C15F2">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4</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 xml:space="preserve">6 </w:t>
      </w:r>
      <w:r>
        <w:rPr>
          <w:rFonts w:hint="eastAsia" w:eastAsia="宋体" w:cs="仿宋_GB2312"/>
          <w:color w:val="auto"/>
          <w:sz w:val="24"/>
          <w:szCs w:val="24"/>
          <w:highlight w:val="none"/>
        </w:rPr>
        <w:t>投标报价不得超过“</w:t>
      </w:r>
      <w:r>
        <w:rPr>
          <w:rFonts w:hint="eastAsia" w:eastAsia="宋体"/>
          <w:color w:val="auto"/>
          <w:sz w:val="24"/>
          <w:highlight w:val="none"/>
          <w:lang w:val="en-US" w:eastAsia="zh-CN"/>
        </w:rPr>
        <w:t>第一章 招标公告</w:t>
      </w:r>
      <w:r>
        <w:rPr>
          <w:rFonts w:hint="eastAsia" w:eastAsia="宋体" w:cs="仿宋_GB2312"/>
          <w:color w:val="auto"/>
          <w:sz w:val="24"/>
          <w:szCs w:val="24"/>
          <w:highlight w:val="none"/>
        </w:rPr>
        <w:t>”中规定的最高投标限价</w:t>
      </w:r>
      <w:r>
        <w:rPr>
          <w:rFonts w:hint="eastAsia" w:ascii="宋体" w:hAnsi="宋体" w:eastAsia="宋体"/>
          <w:color w:val="auto"/>
          <w:sz w:val="24"/>
          <w:highlight w:val="none"/>
          <w:lang w:val="en-US" w:eastAsia="zh-CN"/>
        </w:rPr>
        <w:t>或者预算金额</w:t>
      </w:r>
      <w:r>
        <w:rPr>
          <w:rFonts w:hint="eastAsia" w:eastAsia="宋体" w:cs="仿宋_GB2312"/>
          <w:color w:val="auto"/>
          <w:sz w:val="24"/>
          <w:szCs w:val="24"/>
          <w:highlight w:val="none"/>
        </w:rPr>
        <w:t>，否则</w:t>
      </w:r>
      <w:r>
        <w:rPr>
          <w:rFonts w:eastAsia="宋体" w:cs="仿宋_GB2312"/>
          <w:color w:val="auto"/>
          <w:sz w:val="24"/>
          <w:szCs w:val="24"/>
          <w:highlight w:val="none"/>
        </w:rPr>
        <w:t>评标委员会将</w:t>
      </w:r>
      <w:r>
        <w:rPr>
          <w:rFonts w:hint="eastAsia" w:eastAsia="宋体" w:cs="仿宋_GB2312"/>
          <w:b w:val="0"/>
          <w:bCs w:val="0"/>
          <w:color w:val="auto"/>
          <w:sz w:val="24"/>
          <w:szCs w:val="24"/>
          <w:highlight w:val="none"/>
          <w:lang w:val="en-US" w:eastAsia="zh-CN"/>
        </w:rPr>
        <w:t>对</w:t>
      </w:r>
      <w:r>
        <w:rPr>
          <w:rFonts w:eastAsia="宋体" w:cs="仿宋_GB2312"/>
          <w:b w:val="0"/>
          <w:bCs w:val="0"/>
          <w:color w:val="auto"/>
          <w:sz w:val="24"/>
          <w:szCs w:val="24"/>
          <w:highlight w:val="none"/>
        </w:rPr>
        <w:t>其</w:t>
      </w:r>
      <w:r>
        <w:rPr>
          <w:rFonts w:hint="eastAsia" w:eastAsia="宋体" w:cs="仿宋_GB2312"/>
          <w:b w:val="0"/>
          <w:bCs w:val="0"/>
          <w:color w:val="auto"/>
          <w:sz w:val="24"/>
          <w:szCs w:val="24"/>
          <w:highlight w:val="none"/>
          <w:lang w:val="en-US" w:eastAsia="zh-CN"/>
        </w:rPr>
        <w:t>作</w:t>
      </w:r>
      <w:r>
        <w:rPr>
          <w:rFonts w:hint="eastAsia" w:eastAsia="宋体" w:cs="仿宋_GB2312"/>
          <w:b/>
          <w:bCs/>
          <w:color w:val="auto"/>
          <w:sz w:val="24"/>
          <w:szCs w:val="24"/>
          <w:highlight w:val="none"/>
          <w:lang w:val="en-US" w:eastAsia="zh-CN"/>
        </w:rPr>
        <w:t>无效</w:t>
      </w:r>
      <w:r>
        <w:rPr>
          <w:rFonts w:eastAsia="宋体" w:cs="仿宋_GB2312"/>
          <w:b/>
          <w:bCs/>
          <w:color w:val="auto"/>
          <w:sz w:val="24"/>
          <w:szCs w:val="24"/>
          <w:highlight w:val="none"/>
        </w:rPr>
        <w:t>投标</w:t>
      </w:r>
      <w:r>
        <w:rPr>
          <w:rFonts w:hint="eastAsia" w:eastAsia="宋体" w:cs="仿宋_GB2312"/>
          <w:b/>
          <w:bCs/>
          <w:color w:val="auto"/>
          <w:sz w:val="24"/>
          <w:szCs w:val="24"/>
          <w:highlight w:val="none"/>
          <w:lang w:val="en-US" w:eastAsia="zh-CN"/>
        </w:rPr>
        <w:t>处理</w:t>
      </w:r>
      <w:r>
        <w:rPr>
          <w:rFonts w:eastAsia="宋体" w:cs="仿宋_GB2312"/>
          <w:color w:val="auto"/>
          <w:sz w:val="24"/>
          <w:szCs w:val="24"/>
          <w:highlight w:val="none"/>
        </w:rPr>
        <w:t>。</w:t>
      </w:r>
    </w:p>
    <w:p w14:paraId="313FA63F">
      <w:pPr>
        <w:pStyle w:val="5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7 </w:t>
      </w:r>
      <w:r>
        <w:rPr>
          <w:rFonts w:hint="eastAsia" w:ascii="宋体" w:hAnsi="宋体" w:eastAsia="宋体" w:cs="宋体"/>
          <w:color w:val="auto"/>
          <w:kern w:val="2"/>
          <w:sz w:val="24"/>
          <w:szCs w:val="22"/>
          <w:highlight w:val="none"/>
        </w:rPr>
        <w:t>投标人对投标报价若有说明应在投标文件中显著处注明。</w:t>
      </w:r>
    </w:p>
    <w:p w14:paraId="2DE4CF29">
      <w:pPr>
        <w:pStyle w:val="5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除政策性文件规定以外，投标人所报价格在合同实施期间不因市场变化因素而变动。</w:t>
      </w:r>
    </w:p>
    <w:p w14:paraId="2C302D73">
      <w:pPr>
        <w:pStyle w:val="5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8 </w:t>
      </w:r>
      <w:r>
        <w:rPr>
          <w:rFonts w:hint="eastAsia" w:ascii="宋体" w:hAnsi="宋体" w:eastAsia="宋体" w:cs="宋体"/>
          <w:color w:val="auto"/>
          <w:kern w:val="2"/>
          <w:sz w:val="24"/>
          <w:szCs w:val="22"/>
          <w:highlight w:val="none"/>
        </w:rPr>
        <w:t>对于有配件、耗材、选件、备件和特殊工具的货物，还应填报投标货物配件、耗材、选件表和备件及特殊工具清单，注明品牌、型号、产地、功能、单价、批量折扣等内容，该表格格式由投标人自行设计。投标人按照上述要求分类报价，其目的是便于评标，但在任何情况下并不限制采购人以其他条款签订合同的权利。</w:t>
      </w:r>
    </w:p>
    <w:p w14:paraId="7CD424F2">
      <w:pPr>
        <w:pStyle w:val="5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9 </w:t>
      </w:r>
      <w:r>
        <w:rPr>
          <w:rFonts w:hint="eastAsia" w:ascii="宋体" w:hAnsi="宋体" w:eastAsia="宋体" w:cs="宋体"/>
          <w:color w:val="auto"/>
          <w:kern w:val="2"/>
          <w:sz w:val="24"/>
          <w:szCs w:val="22"/>
          <w:highlight w:val="none"/>
        </w:rPr>
        <w:t>最低报价不能作为中标的保证。</w:t>
      </w:r>
    </w:p>
    <w:p w14:paraId="2C6B9037">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default"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w:t>
      </w:r>
      <w:r>
        <w:rPr>
          <w:rFonts w:hint="eastAsia"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lang w:val="en-US" w:eastAsia="zh-CN"/>
        </w:rPr>
        <w:t>.10</w:t>
      </w:r>
      <w:r>
        <w:rPr>
          <w:rFonts w:hint="eastAsia" w:ascii="宋体" w:hAnsi="宋体" w:eastAsia="宋体" w:cs="宋体"/>
          <w:color w:val="auto"/>
          <w:kern w:val="0"/>
          <w:sz w:val="24"/>
          <w:szCs w:val="24"/>
          <w:highlight w:val="none"/>
          <w:lang w:val="en-US" w:eastAsia="zh-CN" w:bidi="ar"/>
        </w:rPr>
        <w:t>采购人不得向</w:t>
      </w:r>
      <w:r>
        <w:rPr>
          <w:rFonts w:hint="eastAsia" w:eastAsia="宋体" w:cs="宋体"/>
          <w:color w:val="auto"/>
          <w:kern w:val="0"/>
          <w:sz w:val="24"/>
          <w:szCs w:val="24"/>
          <w:highlight w:val="none"/>
          <w:lang w:val="en-US" w:eastAsia="zh-CN" w:bidi="ar"/>
        </w:rPr>
        <w:t>投标人</w:t>
      </w:r>
      <w:r>
        <w:rPr>
          <w:rFonts w:hint="eastAsia" w:ascii="宋体" w:hAnsi="宋体" w:eastAsia="宋体" w:cs="宋体"/>
          <w:color w:val="auto"/>
          <w:kern w:val="0"/>
          <w:sz w:val="24"/>
          <w:szCs w:val="24"/>
          <w:highlight w:val="none"/>
          <w:lang w:val="en-US" w:eastAsia="zh-CN" w:bidi="ar"/>
        </w:rPr>
        <w:t>索要或者接受其给予的赠品、回扣或者与采购无关的其他商品、服务。</w:t>
      </w:r>
    </w:p>
    <w:p w14:paraId="691BBD09">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56" w:name="_Toc163492840"/>
      <w:bookmarkStart w:id="157" w:name="_Toc140132773"/>
      <w:r>
        <w:rPr>
          <w:rFonts w:hint="eastAsia" w:ascii="宋体" w:hAnsi="宋体" w:eastAsia="宋体" w:cs="宋体"/>
          <w:b/>
          <w:bCs/>
          <w:color w:val="auto"/>
          <w:kern w:val="2"/>
          <w:sz w:val="24"/>
          <w:szCs w:val="28"/>
          <w:highlight w:val="none"/>
          <w:lang w:val="en-US" w:eastAsia="zh-CN" w:bidi="ar-SA"/>
        </w:rPr>
        <w:t>15.投标有效期</w:t>
      </w:r>
      <w:bookmarkEnd w:id="156"/>
      <w:bookmarkEnd w:id="157"/>
    </w:p>
    <w:p w14:paraId="13B2B164">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 xml:space="preserve">.1 </w:t>
      </w:r>
      <w:r>
        <w:rPr>
          <w:rFonts w:ascii="Arial" w:hAnsi="Arial" w:eastAsia="宋体" w:cs="Arial"/>
          <w:color w:val="auto"/>
          <w:kern w:val="0"/>
          <w:sz w:val="24"/>
          <w:szCs w:val="21"/>
          <w:highlight w:val="none"/>
          <w:lang w:val="en"/>
        </w:rPr>
        <w:t>投标有效期</w:t>
      </w:r>
      <w:r>
        <w:rPr>
          <w:rFonts w:hint="eastAsia" w:eastAsia="宋体" w:cs="仿宋_GB2312"/>
          <w:color w:val="auto"/>
          <w:sz w:val="24"/>
          <w:szCs w:val="24"/>
          <w:highlight w:val="none"/>
        </w:rPr>
        <w:t>见“</w:t>
      </w:r>
      <w:r>
        <w:rPr>
          <w:rFonts w:hint="eastAsia" w:eastAsia="宋体" w:cs="仿宋_GB2312"/>
          <w:color w:val="auto"/>
          <w:sz w:val="24"/>
          <w:szCs w:val="24"/>
          <w:highlight w:val="none"/>
          <w:lang w:val="en-US" w:eastAsia="zh-CN"/>
        </w:rPr>
        <w:t xml:space="preserve">第二章 </w:t>
      </w:r>
      <w:r>
        <w:rPr>
          <w:rFonts w:eastAsia="宋体" w:cs="仿宋_GB2312"/>
          <w:color w:val="auto"/>
          <w:sz w:val="24"/>
          <w:szCs w:val="24"/>
          <w:highlight w:val="none"/>
        </w:rPr>
        <w:t>投标人须知前附表</w:t>
      </w:r>
      <w:r>
        <w:rPr>
          <w:rFonts w:hint="eastAsia" w:eastAsia="宋体" w:cs="仿宋_GB2312"/>
          <w:color w:val="auto"/>
          <w:sz w:val="24"/>
          <w:szCs w:val="24"/>
          <w:highlight w:val="none"/>
        </w:rPr>
        <w:t>”，投标人承诺的投标有效期</w:t>
      </w:r>
      <w:r>
        <w:rPr>
          <w:rFonts w:hint="eastAsia" w:eastAsia="宋体"/>
          <w:snapToGrid w:val="0"/>
          <w:color w:val="auto"/>
          <w:sz w:val="24"/>
          <w:highlight w:val="none"/>
          <w:lang w:val="zh-CN" w:eastAsia="zh-CN"/>
        </w:rPr>
        <w:t>少于</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val="zh-CN" w:eastAsia="zh-CN"/>
        </w:rPr>
        <w:t>文件规定期限的，其</w:t>
      </w:r>
      <w:r>
        <w:rPr>
          <w:rFonts w:hint="eastAsia" w:eastAsia="宋体"/>
          <w:b/>
          <w:bCs/>
          <w:snapToGrid w:val="0"/>
          <w:color w:val="auto"/>
          <w:sz w:val="24"/>
          <w:highlight w:val="none"/>
          <w:lang w:val="en-US" w:eastAsia="zh-CN"/>
        </w:rPr>
        <w:t>投标</w:t>
      </w:r>
      <w:r>
        <w:rPr>
          <w:rFonts w:hint="eastAsia" w:eastAsia="宋体"/>
          <w:b/>
          <w:bCs/>
          <w:snapToGrid w:val="0"/>
          <w:color w:val="auto"/>
          <w:sz w:val="24"/>
          <w:highlight w:val="none"/>
          <w:lang w:val="zh-CN" w:eastAsia="zh-CN"/>
        </w:rPr>
        <w:t>无效</w:t>
      </w:r>
      <w:r>
        <w:rPr>
          <w:rFonts w:hint="eastAsia" w:eastAsia="宋体"/>
          <w:snapToGrid w:val="0"/>
          <w:color w:val="auto"/>
          <w:sz w:val="24"/>
          <w:highlight w:val="none"/>
          <w:lang w:val="zh-CN" w:eastAsia="zh-CN"/>
        </w:rPr>
        <w:t>。</w:t>
      </w:r>
    </w:p>
    <w:p w14:paraId="6D112F8D">
      <w:pPr>
        <w:keepNext w:val="0"/>
        <w:keepLines w:val="0"/>
        <w:pageBreakBefore w:val="0"/>
        <w:widowControl w:val="0"/>
        <w:kinsoku/>
        <w:overflowPunct/>
        <w:topLinePunct w:val="0"/>
        <w:autoSpaceDE/>
        <w:autoSpaceDN/>
        <w:bidi w:val="0"/>
        <w:adjustRightInd/>
        <w:ind w:firstLine="480" w:firstLineChars="200"/>
        <w:textAlignment w:val="auto"/>
        <w:rPr>
          <w:rFonts w:hint="default" w:eastAsia="宋体" w:cs="仿宋_GB2312"/>
          <w:color w:val="auto"/>
          <w:sz w:val="24"/>
          <w:szCs w:val="24"/>
          <w:highlight w:val="none"/>
          <w:lang w:val="en-US" w:eastAsia="zh-CN"/>
        </w:rPr>
      </w:pPr>
      <w:r>
        <w:rPr>
          <w:rFonts w:hint="eastAsia" w:eastAsia="宋体" w:cs="仿宋_GB2312"/>
          <w:color w:val="auto"/>
          <w:sz w:val="24"/>
          <w:szCs w:val="24"/>
          <w:highlight w:val="none"/>
          <w:lang w:val="en-US" w:eastAsia="zh-CN"/>
        </w:rPr>
        <w:t>15.2 投标有效期从提交投标文件的截止之日起算。投标文件中承诺的投标有效期应当不少于招标文件中载明的投标有效期。投标有效期内投标人撤销投标文件的，采购人或者采购代理机构可以不退还投标保证金。</w:t>
      </w:r>
    </w:p>
    <w:p w14:paraId="4457FE8E">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5</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3</w:t>
      </w:r>
      <w:r>
        <w:rPr>
          <w:rFonts w:eastAsia="宋体" w:cs="仿宋_GB2312"/>
          <w:color w:val="auto"/>
          <w:sz w:val="24"/>
          <w:szCs w:val="24"/>
          <w:highlight w:val="none"/>
        </w:rPr>
        <w:t>特殊情况下，在原</w:t>
      </w:r>
      <w:r>
        <w:rPr>
          <w:rFonts w:hint="eastAsia" w:eastAsia="宋体" w:cs="仿宋_GB2312"/>
          <w:color w:val="auto"/>
          <w:sz w:val="24"/>
          <w:szCs w:val="24"/>
          <w:highlight w:val="none"/>
        </w:rPr>
        <w:t>投标文件</w:t>
      </w:r>
      <w:r>
        <w:rPr>
          <w:rFonts w:eastAsia="宋体" w:cs="仿宋_GB2312"/>
          <w:color w:val="auto"/>
          <w:sz w:val="24"/>
          <w:szCs w:val="24"/>
          <w:highlight w:val="none"/>
        </w:rPr>
        <w:t>有效期截止之前，采购代理机构或采购人可要求</w:t>
      </w:r>
      <w:r>
        <w:rPr>
          <w:rFonts w:hint="eastAsia" w:eastAsia="宋体" w:cs="仿宋_GB2312"/>
          <w:color w:val="auto"/>
          <w:sz w:val="24"/>
          <w:szCs w:val="24"/>
          <w:highlight w:val="none"/>
        </w:rPr>
        <w:t>投标人</w:t>
      </w:r>
      <w:r>
        <w:rPr>
          <w:rFonts w:eastAsia="宋体" w:cs="仿宋_GB2312"/>
          <w:color w:val="auto"/>
          <w:sz w:val="24"/>
          <w:szCs w:val="24"/>
          <w:highlight w:val="none"/>
        </w:rPr>
        <w:t>延长</w:t>
      </w:r>
      <w:r>
        <w:rPr>
          <w:rFonts w:hint="eastAsia" w:eastAsia="宋体" w:cs="仿宋_GB2312"/>
          <w:color w:val="auto"/>
          <w:sz w:val="24"/>
          <w:szCs w:val="24"/>
          <w:highlight w:val="none"/>
        </w:rPr>
        <w:t>投标</w:t>
      </w:r>
      <w:r>
        <w:rPr>
          <w:rFonts w:eastAsia="宋体" w:cs="仿宋_GB2312"/>
          <w:color w:val="auto"/>
          <w:sz w:val="24"/>
          <w:szCs w:val="24"/>
          <w:highlight w:val="none"/>
        </w:rPr>
        <w:t>有效期。需要延长</w:t>
      </w:r>
      <w:r>
        <w:rPr>
          <w:rFonts w:hint="eastAsia" w:eastAsia="宋体" w:cs="仿宋_GB2312"/>
          <w:color w:val="auto"/>
          <w:sz w:val="24"/>
          <w:szCs w:val="24"/>
          <w:highlight w:val="none"/>
        </w:rPr>
        <w:t>投标</w:t>
      </w:r>
      <w:r>
        <w:rPr>
          <w:rFonts w:eastAsia="宋体" w:cs="仿宋_GB2312"/>
          <w:color w:val="auto"/>
          <w:sz w:val="24"/>
          <w:szCs w:val="24"/>
          <w:highlight w:val="none"/>
        </w:rPr>
        <w:t>有效期时，采购代理机构或采购人将以书面形式通知所有</w:t>
      </w:r>
      <w:r>
        <w:rPr>
          <w:rFonts w:hint="eastAsia" w:eastAsia="宋体" w:cs="仿宋_GB2312"/>
          <w:color w:val="auto"/>
          <w:sz w:val="24"/>
          <w:szCs w:val="24"/>
          <w:highlight w:val="none"/>
        </w:rPr>
        <w:t>投标人</w:t>
      </w:r>
      <w:r>
        <w:rPr>
          <w:rFonts w:eastAsia="宋体" w:cs="仿宋_GB2312"/>
          <w:color w:val="auto"/>
          <w:sz w:val="24"/>
          <w:szCs w:val="24"/>
          <w:highlight w:val="none"/>
        </w:rPr>
        <w:t>，</w:t>
      </w:r>
      <w:r>
        <w:rPr>
          <w:rFonts w:hint="eastAsia" w:eastAsia="宋体" w:cs="仿宋_GB2312"/>
          <w:color w:val="auto"/>
          <w:sz w:val="24"/>
          <w:szCs w:val="24"/>
          <w:highlight w:val="none"/>
        </w:rPr>
        <w:t>投标人</w:t>
      </w:r>
      <w:r>
        <w:rPr>
          <w:rFonts w:eastAsia="宋体" w:cs="仿宋_GB2312"/>
          <w:color w:val="auto"/>
          <w:sz w:val="24"/>
          <w:szCs w:val="24"/>
          <w:highlight w:val="none"/>
        </w:rPr>
        <w:t>应以书面形式答复是否同意延长</w:t>
      </w:r>
      <w:r>
        <w:rPr>
          <w:rFonts w:hint="eastAsia" w:eastAsia="宋体" w:cs="仿宋_GB2312"/>
          <w:color w:val="auto"/>
          <w:sz w:val="24"/>
          <w:szCs w:val="24"/>
          <w:highlight w:val="none"/>
        </w:rPr>
        <w:t>投标</w:t>
      </w:r>
      <w:r>
        <w:rPr>
          <w:rFonts w:eastAsia="宋体" w:cs="仿宋_GB2312"/>
          <w:color w:val="auto"/>
          <w:sz w:val="24"/>
          <w:szCs w:val="24"/>
          <w:highlight w:val="none"/>
        </w:rPr>
        <w:t>有效期。</w:t>
      </w:r>
    </w:p>
    <w:p w14:paraId="2EF7720C">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5</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4</w:t>
      </w:r>
      <w:r>
        <w:rPr>
          <w:rFonts w:hint="eastAsia" w:eastAsia="宋体" w:cs="仿宋_GB2312"/>
          <w:color w:val="auto"/>
          <w:sz w:val="24"/>
          <w:szCs w:val="24"/>
          <w:highlight w:val="none"/>
        </w:rPr>
        <w:t>投标人</w:t>
      </w:r>
      <w:r>
        <w:rPr>
          <w:rFonts w:eastAsia="宋体" w:cs="仿宋_GB2312"/>
          <w:color w:val="auto"/>
          <w:sz w:val="24"/>
          <w:szCs w:val="24"/>
          <w:highlight w:val="none"/>
        </w:rPr>
        <w:t>同意延长的，</w:t>
      </w:r>
      <w:r>
        <w:rPr>
          <w:rFonts w:hint="eastAsia" w:eastAsia="宋体" w:cs="宋体"/>
          <w:color w:val="auto"/>
          <w:kern w:val="2"/>
          <w:sz w:val="24"/>
          <w:szCs w:val="22"/>
          <w:highlight w:val="none"/>
          <w:lang w:val="en-US" w:eastAsia="zh-CN"/>
        </w:rPr>
        <w:t>其</w:t>
      </w:r>
      <w:r>
        <w:rPr>
          <w:rFonts w:hint="eastAsia" w:ascii="宋体" w:hAnsi="宋体" w:eastAsia="宋体" w:cs="宋体"/>
          <w:color w:val="auto"/>
          <w:kern w:val="2"/>
          <w:sz w:val="24"/>
          <w:szCs w:val="22"/>
          <w:highlight w:val="none"/>
        </w:rPr>
        <w:t>投标保证金的有效期也相应延长</w:t>
      </w:r>
      <w:r>
        <w:rPr>
          <w:rFonts w:hint="eastAsia" w:eastAsia="宋体" w:cs="宋体"/>
          <w:color w:val="auto"/>
          <w:kern w:val="2"/>
          <w:sz w:val="24"/>
          <w:szCs w:val="22"/>
          <w:highlight w:val="none"/>
          <w:lang w:eastAsia="zh-CN"/>
        </w:rPr>
        <w:t>，</w:t>
      </w:r>
      <w:r>
        <w:rPr>
          <w:rFonts w:hint="eastAsia" w:eastAsia="宋体" w:cs="宋体"/>
          <w:color w:val="auto"/>
          <w:kern w:val="2"/>
          <w:sz w:val="24"/>
          <w:szCs w:val="22"/>
          <w:highlight w:val="none"/>
          <w:lang w:val="en-US" w:eastAsia="zh-CN"/>
        </w:rPr>
        <w:t>但</w:t>
      </w:r>
      <w:r>
        <w:rPr>
          <w:rFonts w:eastAsia="宋体" w:cs="仿宋_GB2312"/>
          <w:color w:val="auto"/>
          <w:sz w:val="24"/>
          <w:szCs w:val="24"/>
          <w:highlight w:val="none"/>
        </w:rPr>
        <w:t>不得要求或被允许修改或撤销其</w:t>
      </w:r>
      <w:r>
        <w:rPr>
          <w:rFonts w:hint="eastAsia" w:eastAsia="宋体" w:cs="仿宋_GB2312"/>
          <w:color w:val="auto"/>
          <w:sz w:val="24"/>
          <w:szCs w:val="24"/>
          <w:highlight w:val="none"/>
        </w:rPr>
        <w:t>投标文件</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投标人</w:t>
      </w:r>
      <w:r>
        <w:rPr>
          <w:rFonts w:eastAsia="宋体" w:cs="仿宋_GB2312"/>
          <w:color w:val="auto"/>
          <w:sz w:val="24"/>
          <w:szCs w:val="24"/>
          <w:highlight w:val="none"/>
        </w:rPr>
        <w:t>拒绝延长的，其</w:t>
      </w:r>
      <w:r>
        <w:rPr>
          <w:rFonts w:hint="eastAsia" w:eastAsia="宋体" w:cs="仿宋_GB2312"/>
          <w:color w:val="auto"/>
          <w:sz w:val="24"/>
          <w:szCs w:val="24"/>
          <w:highlight w:val="none"/>
        </w:rPr>
        <w:t>投标文件</w:t>
      </w:r>
      <w:r>
        <w:rPr>
          <w:rFonts w:eastAsia="宋体" w:cs="仿宋_GB2312"/>
          <w:color w:val="auto"/>
          <w:sz w:val="24"/>
          <w:szCs w:val="24"/>
          <w:highlight w:val="none"/>
        </w:rPr>
        <w:t>在原</w:t>
      </w:r>
      <w:r>
        <w:rPr>
          <w:rFonts w:hint="eastAsia" w:eastAsia="宋体" w:cs="仿宋_GB2312"/>
          <w:color w:val="auto"/>
          <w:sz w:val="24"/>
          <w:szCs w:val="24"/>
          <w:highlight w:val="none"/>
        </w:rPr>
        <w:t>投标</w:t>
      </w:r>
      <w:r>
        <w:rPr>
          <w:rFonts w:eastAsia="宋体" w:cs="仿宋_GB2312"/>
          <w:color w:val="auto"/>
          <w:sz w:val="24"/>
          <w:szCs w:val="24"/>
          <w:highlight w:val="none"/>
        </w:rPr>
        <w:t>有效期满后将不再有效</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lang w:val="en-US" w:eastAsia="zh-CN"/>
        </w:rPr>
        <w:t>但其提交的投标保证金可予以退还</w:t>
      </w:r>
      <w:r>
        <w:rPr>
          <w:rFonts w:eastAsia="宋体" w:cs="仿宋_GB2312"/>
          <w:color w:val="auto"/>
          <w:sz w:val="24"/>
          <w:szCs w:val="24"/>
          <w:highlight w:val="none"/>
        </w:rPr>
        <w:t>。</w:t>
      </w:r>
    </w:p>
    <w:p w14:paraId="51F7C8DB">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58" w:name="_Toc140132774"/>
      <w:bookmarkStart w:id="159" w:name="_Toc163492841"/>
      <w:r>
        <w:rPr>
          <w:rFonts w:hint="eastAsia" w:ascii="宋体" w:hAnsi="宋体" w:eastAsia="宋体" w:cs="宋体"/>
          <w:b/>
          <w:bCs/>
          <w:color w:val="auto"/>
          <w:kern w:val="2"/>
          <w:sz w:val="24"/>
          <w:szCs w:val="28"/>
          <w:highlight w:val="none"/>
          <w:lang w:val="en-US" w:eastAsia="zh-CN" w:bidi="ar-SA"/>
        </w:rPr>
        <w:t>16.投标文件的编制</w:t>
      </w:r>
      <w:bookmarkEnd w:id="158"/>
      <w:bookmarkEnd w:id="159"/>
    </w:p>
    <w:p w14:paraId="523C51E8">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6</w:t>
      </w:r>
      <w:r>
        <w:rPr>
          <w:rFonts w:hint="eastAsia" w:eastAsia="宋体" w:cs="仿宋_GB2312"/>
          <w:color w:val="auto"/>
          <w:sz w:val="24"/>
          <w:szCs w:val="24"/>
          <w:highlight w:val="none"/>
        </w:rPr>
        <w:t>.1投标文件应在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eastAsia="宋体" w:cs="仿宋_GB2312"/>
          <w:color w:val="auto"/>
          <w:sz w:val="24"/>
          <w:szCs w:val="24"/>
          <w:highlight w:val="none"/>
        </w:rPr>
        <w:t>中进行编制，在投标文件中要求加盖印章的，除有特殊说明之外，</w:t>
      </w:r>
      <w:r>
        <w:rPr>
          <w:rFonts w:hint="eastAsia" w:eastAsia="宋体" w:cs="仿宋_GB2312"/>
          <w:color w:val="auto"/>
          <w:sz w:val="24"/>
          <w:szCs w:val="24"/>
          <w:highlight w:val="none"/>
          <w:lang w:val="en-US" w:eastAsia="zh-CN"/>
        </w:rPr>
        <w:t>可</w:t>
      </w:r>
      <w:r>
        <w:rPr>
          <w:rFonts w:hint="eastAsia" w:eastAsia="宋体" w:cs="仿宋_GB2312"/>
          <w:color w:val="auto"/>
          <w:sz w:val="24"/>
          <w:szCs w:val="24"/>
          <w:highlight w:val="none"/>
        </w:rPr>
        <w:t>使用电子签章签署。</w:t>
      </w:r>
    </w:p>
    <w:p w14:paraId="540601F4">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1</w:t>
      </w:r>
      <w:r>
        <w:rPr>
          <w:rFonts w:hint="eastAsia" w:eastAsia="宋体"/>
          <w:color w:val="auto"/>
          <w:sz w:val="24"/>
          <w:highlight w:val="none"/>
          <w:lang w:val="en-US" w:eastAsia="zh-CN"/>
        </w:rPr>
        <w:t>6</w:t>
      </w:r>
      <w:r>
        <w:rPr>
          <w:rFonts w:hint="eastAsia" w:eastAsia="宋体"/>
          <w:color w:val="auto"/>
          <w:sz w:val="24"/>
          <w:highlight w:val="none"/>
        </w:rPr>
        <w:t>.</w:t>
      </w:r>
      <w:bookmarkStart w:id="160" w:name="_Hlk143528557"/>
      <w:r>
        <w:rPr>
          <w:rFonts w:eastAsia="宋体"/>
          <w:color w:val="auto"/>
          <w:sz w:val="24"/>
          <w:highlight w:val="none"/>
        </w:rPr>
        <w:t>2</w:t>
      </w:r>
      <w:r>
        <w:rPr>
          <w:rFonts w:hint="eastAsia" w:eastAsia="宋体"/>
          <w:color w:val="auto"/>
          <w:sz w:val="24"/>
          <w:highlight w:val="none"/>
        </w:rPr>
        <w:t>投标人在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eastAsia="宋体"/>
          <w:color w:val="auto"/>
          <w:sz w:val="24"/>
          <w:highlight w:val="none"/>
        </w:rPr>
        <w:t>中按照</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eastAsia="宋体"/>
          <w:color w:val="auto"/>
          <w:sz w:val="24"/>
          <w:highlight w:val="none"/>
        </w:rPr>
        <w:t>中的格式要求填写响应内容后，生成投标文件。投标人须按照招标文件的要求使用电子签章对要求加盖印章的部分逐一进行签章。</w:t>
      </w:r>
      <w:bookmarkEnd w:id="160"/>
    </w:p>
    <w:p w14:paraId="1A7BD123">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3</w:t>
      </w:r>
      <w:r>
        <w:rPr>
          <w:rFonts w:hint="eastAsia" w:ascii="宋体" w:hAnsi="宋体" w:eastAsia="宋体"/>
          <w:color w:val="auto"/>
          <w:sz w:val="24"/>
          <w:highlight w:val="none"/>
        </w:rPr>
        <w:t>投标人应详细阅读招标文件的全部内容。投标文件须对招标文件中的内容作出实质性和完整的响应，如果投标文件填报的内容不详，或没有提供招标文件中所要求的全部资料及数据，将可能</w:t>
      </w:r>
      <w:r>
        <w:rPr>
          <w:rFonts w:hint="eastAsia" w:ascii="宋体" w:hAnsi="宋体" w:eastAsia="宋体"/>
          <w:b/>
          <w:bCs/>
          <w:color w:val="auto"/>
          <w:sz w:val="24"/>
          <w:highlight w:val="none"/>
        </w:rPr>
        <w:t>导致</w:t>
      </w:r>
      <w:r>
        <w:rPr>
          <w:rFonts w:hint="eastAsia" w:eastAsia="宋体"/>
          <w:b/>
          <w:bCs/>
          <w:color w:val="auto"/>
          <w:sz w:val="24"/>
          <w:highlight w:val="none"/>
          <w:lang w:val="en-US" w:eastAsia="zh-CN"/>
        </w:rPr>
        <w:t>其</w:t>
      </w:r>
      <w:r>
        <w:rPr>
          <w:rFonts w:hint="eastAsia" w:ascii="宋体" w:hAnsi="宋体" w:eastAsia="宋体"/>
          <w:b/>
          <w:bCs/>
          <w:color w:val="auto"/>
          <w:sz w:val="24"/>
          <w:highlight w:val="none"/>
        </w:rPr>
        <w:t>投标</w:t>
      </w:r>
      <w:r>
        <w:rPr>
          <w:rFonts w:hint="eastAsia" w:eastAsia="宋体"/>
          <w:b/>
          <w:bCs/>
          <w:color w:val="auto"/>
          <w:sz w:val="24"/>
          <w:highlight w:val="none"/>
          <w:lang w:val="en-US" w:eastAsia="zh-CN"/>
        </w:rPr>
        <w:t>无效</w:t>
      </w:r>
      <w:r>
        <w:rPr>
          <w:rFonts w:hint="eastAsia" w:ascii="宋体" w:hAnsi="宋体" w:eastAsia="宋体"/>
          <w:color w:val="auto"/>
          <w:sz w:val="24"/>
          <w:highlight w:val="none"/>
        </w:rPr>
        <w:t>。</w:t>
      </w:r>
    </w:p>
    <w:p w14:paraId="7A6BB4B7">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投标文件须严格按照</w:t>
      </w:r>
      <w:r>
        <w:rPr>
          <w:rFonts w:hint="eastAsia" w:ascii="宋体" w:hAnsi="宋体" w:eastAsia="宋体"/>
          <w:color w:val="auto"/>
          <w:sz w:val="24"/>
          <w:highlight w:val="none"/>
          <w:lang w:val="en-US" w:eastAsia="zh-CN"/>
        </w:rPr>
        <w:t>本</w:t>
      </w:r>
      <w:r>
        <w:rPr>
          <w:rFonts w:hint="eastAsia" w:ascii="宋体" w:hAnsi="宋体" w:eastAsia="宋体"/>
          <w:color w:val="auto"/>
          <w:sz w:val="24"/>
          <w:highlight w:val="none"/>
        </w:rPr>
        <w:t>招标文件第</w:t>
      </w:r>
      <w:r>
        <w:rPr>
          <w:rFonts w:hint="eastAsia" w:ascii="宋体" w:hAnsi="宋体" w:eastAsia="宋体"/>
          <w:color w:val="auto"/>
          <w:sz w:val="24"/>
          <w:highlight w:val="none"/>
          <w:lang w:val="en-US" w:eastAsia="zh-CN"/>
        </w:rPr>
        <w:t>七章</w:t>
      </w:r>
      <w:r>
        <w:rPr>
          <w:rFonts w:hint="eastAsia" w:ascii="宋体" w:hAnsi="宋体" w:eastAsia="宋体"/>
          <w:color w:val="auto"/>
          <w:sz w:val="24"/>
          <w:highlight w:val="none"/>
        </w:rPr>
        <w:t>规定的格式提交，并按规定的统一格式逐项填写，不准有空项；无相应内容可填的项，应填写“无”、“未测试”、“没有相应指标”等明确的回答文字。由于编排混乱导致投标文件被误读或查找不到，其责任由投标人承担。</w:t>
      </w:r>
    </w:p>
    <w:p w14:paraId="10A9DC8A">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eastAsia="宋体"/>
          <w:color w:val="auto"/>
          <w:sz w:val="24"/>
          <w:highlight w:val="none"/>
          <w:lang w:val="en-US" w:eastAsia="zh-CN"/>
        </w:rPr>
        <w:t>16.5货物的</w:t>
      </w:r>
      <w:r>
        <w:rPr>
          <w:rFonts w:hint="eastAsia" w:ascii="宋体" w:hAnsi="宋体" w:eastAsia="宋体"/>
          <w:color w:val="auto"/>
          <w:sz w:val="24"/>
          <w:highlight w:val="none"/>
          <w:lang w:val="en-US" w:eastAsia="zh-CN"/>
        </w:rPr>
        <w:t>技术参数有具体数值要求的，</w:t>
      </w:r>
      <w:r>
        <w:rPr>
          <w:rFonts w:hint="eastAsia" w:eastAsia="宋体"/>
          <w:color w:val="auto"/>
          <w:sz w:val="24"/>
          <w:highlight w:val="none"/>
          <w:lang w:val="en-US" w:eastAsia="zh-CN"/>
        </w:rPr>
        <w:t>且招标</w:t>
      </w:r>
      <w:r>
        <w:rPr>
          <w:rFonts w:hint="eastAsia" w:ascii="宋体" w:hAnsi="宋体" w:eastAsia="宋体"/>
          <w:color w:val="auto"/>
          <w:sz w:val="24"/>
          <w:highlight w:val="none"/>
          <w:lang w:val="en-US" w:eastAsia="zh-CN"/>
        </w:rPr>
        <w:t>文件要求</w:t>
      </w:r>
      <w:r>
        <w:rPr>
          <w:rFonts w:hint="eastAsia" w:eastAsia="宋体"/>
          <w:color w:val="auto"/>
          <w:sz w:val="24"/>
          <w:highlight w:val="none"/>
          <w:lang w:val="en-US" w:eastAsia="zh-CN"/>
        </w:rPr>
        <w:t>投标人</w:t>
      </w:r>
      <w:r>
        <w:rPr>
          <w:rFonts w:hint="eastAsia" w:ascii="宋体" w:hAnsi="宋体" w:eastAsia="宋体"/>
          <w:color w:val="auto"/>
          <w:sz w:val="24"/>
          <w:highlight w:val="none"/>
          <w:lang w:val="en-US" w:eastAsia="zh-CN"/>
        </w:rPr>
        <w:t>提供响应产品彩页、检验检测报告、厂家使用说明书等证明材料，</w:t>
      </w:r>
      <w:r>
        <w:rPr>
          <w:rFonts w:hint="eastAsia" w:eastAsia="宋体"/>
          <w:color w:val="auto"/>
          <w:sz w:val="24"/>
          <w:highlight w:val="none"/>
          <w:lang w:val="en-US" w:eastAsia="zh-CN"/>
        </w:rPr>
        <w:t>则投标人</w:t>
      </w:r>
      <w:r>
        <w:rPr>
          <w:rFonts w:hint="eastAsia" w:ascii="宋体" w:hAnsi="宋体" w:eastAsia="宋体"/>
          <w:color w:val="auto"/>
          <w:sz w:val="24"/>
          <w:highlight w:val="none"/>
          <w:lang w:val="en-US" w:eastAsia="zh-CN"/>
        </w:rPr>
        <w:t>在技术参数响应表中</w:t>
      </w:r>
      <w:r>
        <w:rPr>
          <w:rFonts w:hint="eastAsia" w:eastAsia="宋体"/>
          <w:color w:val="auto"/>
          <w:sz w:val="24"/>
          <w:highlight w:val="none"/>
          <w:lang w:val="en-US" w:eastAsia="zh-CN"/>
        </w:rPr>
        <w:t>须</w:t>
      </w:r>
      <w:r>
        <w:rPr>
          <w:rFonts w:hint="eastAsia" w:ascii="宋体" w:hAnsi="宋体" w:eastAsia="宋体"/>
          <w:color w:val="auto"/>
          <w:sz w:val="24"/>
          <w:highlight w:val="none"/>
          <w:lang w:val="en-US" w:eastAsia="zh-CN"/>
        </w:rPr>
        <w:t>标注产品实际参数数值，照搬照抄</w:t>
      </w:r>
      <w:r>
        <w:rPr>
          <w:rFonts w:hint="eastAsia" w:eastAsia="宋体"/>
          <w:color w:val="auto"/>
          <w:sz w:val="24"/>
          <w:highlight w:val="none"/>
          <w:lang w:val="en-US" w:eastAsia="zh-CN"/>
        </w:rPr>
        <w:t>招标</w:t>
      </w:r>
      <w:r>
        <w:rPr>
          <w:rFonts w:hint="eastAsia" w:ascii="宋体" w:hAnsi="宋体" w:eastAsia="宋体"/>
          <w:color w:val="auto"/>
          <w:sz w:val="24"/>
          <w:highlight w:val="none"/>
          <w:lang w:val="en-US" w:eastAsia="zh-CN"/>
        </w:rPr>
        <w:t>文件参数、不注明实际数值者</w:t>
      </w:r>
      <w:r>
        <w:rPr>
          <w:rFonts w:hint="eastAsia" w:ascii="宋体" w:hAnsi="宋体" w:eastAsia="宋体"/>
          <w:b/>
          <w:bCs/>
          <w:color w:val="auto"/>
          <w:sz w:val="24"/>
          <w:highlight w:val="none"/>
          <w:lang w:val="en-US" w:eastAsia="zh-CN"/>
        </w:rPr>
        <w:t>视为未响应</w:t>
      </w:r>
      <w:r>
        <w:rPr>
          <w:rFonts w:hint="eastAsia" w:ascii="宋体" w:hAnsi="宋体" w:eastAsia="宋体"/>
          <w:color w:val="auto"/>
          <w:sz w:val="24"/>
          <w:highlight w:val="none"/>
          <w:lang w:val="en-US" w:eastAsia="zh-CN"/>
        </w:rPr>
        <w:t>。</w:t>
      </w:r>
    </w:p>
    <w:p w14:paraId="4B72F25A">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6</w:t>
      </w:r>
      <w:r>
        <w:rPr>
          <w:rFonts w:hint="eastAsia" w:ascii="宋体" w:hAnsi="宋体" w:eastAsia="宋体"/>
          <w:color w:val="auto"/>
          <w:sz w:val="24"/>
          <w:highlight w:val="none"/>
        </w:rPr>
        <w:t>开标一览表为在开标</w:t>
      </w:r>
      <w:r>
        <w:rPr>
          <w:rFonts w:hint="eastAsia" w:eastAsia="宋体"/>
          <w:color w:val="auto"/>
          <w:sz w:val="24"/>
          <w:highlight w:val="none"/>
          <w:lang w:val="en-US" w:eastAsia="zh-CN"/>
        </w:rPr>
        <w:t>时</w:t>
      </w:r>
      <w:r>
        <w:rPr>
          <w:rFonts w:hint="eastAsia" w:ascii="宋体" w:hAnsi="宋体" w:eastAsia="宋体"/>
          <w:color w:val="auto"/>
          <w:sz w:val="24"/>
          <w:highlight w:val="none"/>
        </w:rPr>
        <w:t>唱标的内容，要求按格式统一填写，不得自行增减内容。</w:t>
      </w:r>
    </w:p>
    <w:p w14:paraId="499D7059">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7</w:t>
      </w:r>
      <w:r>
        <w:rPr>
          <w:rFonts w:hint="eastAsia" w:ascii="宋体" w:hAnsi="宋体" w:eastAsia="宋体"/>
          <w:color w:val="auto"/>
          <w:sz w:val="24"/>
          <w:highlight w:val="none"/>
        </w:rPr>
        <w:t>投标人须注意：为合理节约政府采购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w:t>
      </w:r>
      <w:r>
        <w:rPr>
          <w:rFonts w:hint="eastAsia" w:eastAsia="宋体"/>
          <w:color w:val="auto"/>
          <w:sz w:val="24"/>
          <w:highlight w:val="none"/>
          <w:lang w:val="en-US" w:eastAsia="zh-CN"/>
        </w:rPr>
        <w:t>按</w:t>
      </w:r>
      <w:r>
        <w:rPr>
          <w:rFonts w:hint="eastAsia" w:eastAsia="宋体"/>
          <w:b/>
          <w:bCs/>
          <w:color w:val="auto"/>
          <w:sz w:val="24"/>
          <w:highlight w:val="none"/>
          <w:lang w:val="en-US" w:eastAsia="zh-CN"/>
        </w:rPr>
        <w:t>无效投标</w:t>
      </w:r>
      <w:r>
        <w:rPr>
          <w:rFonts w:hint="eastAsia" w:ascii="宋体" w:hAnsi="宋体" w:eastAsia="宋体"/>
          <w:color w:val="auto"/>
          <w:sz w:val="24"/>
          <w:highlight w:val="none"/>
        </w:rPr>
        <w:t>处理。</w:t>
      </w:r>
    </w:p>
    <w:p w14:paraId="7DBECB06">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8</w:t>
      </w:r>
      <w:r>
        <w:rPr>
          <w:rFonts w:hint="eastAsia" w:ascii="宋体" w:hAnsi="宋体" w:eastAsia="宋体"/>
          <w:color w:val="auto"/>
          <w:sz w:val="24"/>
          <w:highlight w:val="none"/>
        </w:rPr>
        <w:t>投标人必须保证投标文件所提供的全部资料真实可靠，并接受采购</w:t>
      </w:r>
      <w:r>
        <w:rPr>
          <w:rFonts w:hint="eastAsia" w:ascii="宋体" w:hAnsi="宋体" w:eastAsia="宋体"/>
          <w:color w:val="auto"/>
          <w:sz w:val="24"/>
          <w:highlight w:val="none"/>
          <w:lang w:val="en-US" w:eastAsia="zh-CN"/>
        </w:rPr>
        <w:t>人、采购</w:t>
      </w:r>
      <w:r>
        <w:rPr>
          <w:rFonts w:hint="eastAsia" w:ascii="宋体" w:hAnsi="宋体" w:eastAsia="宋体"/>
          <w:color w:val="auto"/>
          <w:sz w:val="24"/>
          <w:highlight w:val="none"/>
        </w:rPr>
        <w:t>代理机构或评标委员会对其中任何资料进一步审查的要求。</w:t>
      </w:r>
    </w:p>
    <w:p w14:paraId="7AE3718F">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9</w:t>
      </w:r>
      <w:r>
        <w:rPr>
          <w:rFonts w:hint="eastAsia" w:ascii="宋体" w:hAnsi="宋体" w:eastAsia="宋体"/>
          <w:color w:val="auto"/>
          <w:sz w:val="24"/>
          <w:highlight w:val="none"/>
        </w:rPr>
        <w:t>投标人在投标文件及相关文件的签订、履行、通知等事项的文件中的单位盖章、印章、公章等处均指与当事人全称相一致的标准公章，不得使用其他形式（如带有“专用章”等字样的印章）。不符合本条规定的按</w:t>
      </w:r>
      <w:r>
        <w:rPr>
          <w:rFonts w:hint="eastAsia" w:ascii="宋体" w:hAnsi="宋体" w:eastAsia="宋体"/>
          <w:b/>
          <w:bCs/>
          <w:color w:val="auto"/>
          <w:sz w:val="24"/>
          <w:highlight w:val="none"/>
        </w:rPr>
        <w:t>无效投标</w:t>
      </w:r>
      <w:r>
        <w:rPr>
          <w:rFonts w:hint="eastAsia" w:ascii="宋体" w:hAnsi="宋体" w:eastAsia="宋体"/>
          <w:color w:val="auto"/>
          <w:sz w:val="24"/>
          <w:highlight w:val="none"/>
        </w:rPr>
        <w:t>处理。</w:t>
      </w:r>
    </w:p>
    <w:p w14:paraId="323B93DE">
      <w:pPr>
        <w:pStyle w:val="5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16.10电子投标文件的编制</w:t>
      </w:r>
    </w:p>
    <w:p w14:paraId="072DFFA4">
      <w:pPr>
        <w:pStyle w:val="5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16.10.1电子投标文件需按招标文件要求进行制作编制。投标文件制作时，不同内容按标签提示制作导入，按照招标文件中明确的投标文件目录和格式进行编制，保证目录清晰、内容完整；           </w:t>
      </w:r>
    </w:p>
    <w:p w14:paraId="51F1928B">
      <w:pPr>
        <w:pStyle w:val="5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16.10.2电子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w:t>
      </w:r>
      <w:r>
        <w:rPr>
          <w:rFonts w:hint="eastAsia" w:ascii="宋体" w:hAnsi="宋体" w:eastAsia="宋体" w:cstheme="minorBidi"/>
          <w:b/>
          <w:bCs/>
          <w:iCs/>
          <w:color w:val="auto"/>
          <w:kern w:val="2"/>
          <w:sz w:val="24"/>
          <w:szCs w:val="22"/>
          <w:highlight w:val="none"/>
          <w:shd w:val="clear" w:color="auto" w:fill="FFFFFF" w:themeFill="background1"/>
          <w:lang w:val="en-US" w:eastAsia="zh-CN" w:bidi="ar-SA"/>
        </w:rPr>
        <w:t>其投标无效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6B2E6D6A">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bookmarkStart w:id="161" w:name="_Toc155185873"/>
      <w:bookmarkStart w:id="162" w:name="_Toc163492842"/>
      <w:r>
        <w:rPr>
          <w:rFonts w:hint="eastAsia" w:ascii="宋体" w:hAnsi="宋体" w:eastAsia="宋体" w:cs="宋体"/>
          <w:b/>
          <w:bCs/>
          <w:color w:val="auto"/>
          <w:kern w:val="2"/>
          <w:sz w:val="24"/>
          <w:szCs w:val="32"/>
          <w:highlight w:val="none"/>
          <w:lang w:val="en-US" w:eastAsia="zh-CN" w:bidi="ar-SA"/>
        </w:rPr>
        <w:t>（四）投标</w:t>
      </w:r>
      <w:bookmarkEnd w:id="161"/>
      <w:bookmarkEnd w:id="162"/>
    </w:p>
    <w:p w14:paraId="386CC8EA">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63" w:name="_Toc163492843"/>
      <w:r>
        <w:rPr>
          <w:rFonts w:hint="eastAsia" w:ascii="宋体" w:hAnsi="宋体" w:eastAsia="宋体" w:cs="宋体"/>
          <w:b/>
          <w:bCs/>
          <w:color w:val="auto"/>
          <w:kern w:val="2"/>
          <w:sz w:val="24"/>
          <w:szCs w:val="28"/>
          <w:highlight w:val="none"/>
          <w:lang w:val="en-US" w:eastAsia="zh-CN" w:bidi="ar-SA"/>
        </w:rPr>
        <w:t>17.投标保证金</w:t>
      </w:r>
    </w:p>
    <w:p w14:paraId="1182B9BB">
      <w:pPr>
        <w:pStyle w:val="5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17.1投标人应按照招标文件“第二章 投标人须知前附表”规定的金额及要求提交投标保证金。投标人自愿超额缴纳投标保证金的，投标文件不做无效处理。</w:t>
      </w:r>
    </w:p>
    <w:p w14:paraId="370C7C1E">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eastAsia="宋体" w:cstheme="minorBidi"/>
          <w:iCs/>
          <w:color w:val="auto"/>
          <w:kern w:val="2"/>
          <w:sz w:val="24"/>
          <w:szCs w:val="22"/>
          <w:highlight w:val="none"/>
          <w:shd w:val="clear" w:color="auto" w:fill="FFFFFF" w:themeFill="background1"/>
          <w:lang w:val="en-US" w:eastAsia="zh-CN" w:bidi="ar-SA"/>
        </w:rPr>
        <w:t>7</w:t>
      </w:r>
      <w:r>
        <w:rPr>
          <w:rFonts w:hint="eastAsia" w:ascii="宋体" w:hAnsi="宋体" w:eastAsia="宋体" w:cstheme="minorBidi"/>
          <w:iCs/>
          <w:color w:val="auto"/>
          <w:kern w:val="2"/>
          <w:sz w:val="24"/>
          <w:szCs w:val="22"/>
          <w:highlight w:val="none"/>
          <w:shd w:val="clear" w:color="auto" w:fill="FFFFFF" w:themeFill="background1"/>
          <w:lang w:val="en-US" w:eastAsia="zh-CN" w:bidi="ar-SA"/>
        </w:rPr>
        <w:t>.2</w:t>
      </w:r>
      <w:r>
        <w:rPr>
          <w:rFonts w:hint="eastAsia" w:eastAsia="宋体" w:cstheme="minorBidi"/>
          <w:iCs/>
          <w:color w:val="auto"/>
          <w:kern w:val="2"/>
          <w:sz w:val="24"/>
          <w:szCs w:val="22"/>
          <w:highlight w:val="none"/>
          <w:shd w:val="clear" w:color="auto" w:fill="FFFFFF" w:themeFill="background1"/>
          <w:lang w:val="en-US" w:eastAsia="zh-CN" w:bidi="ar-SA"/>
        </w:rPr>
        <w:t>提交</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投标保证金可采用的形式：政府采购法律法规接受的支票、汇票、本票、网上银行支付或者金融机构、担保机构出具的保函等非现金形式。</w:t>
      </w:r>
      <w:r>
        <w:rPr>
          <w:rFonts w:hint="eastAsia" w:ascii="宋体" w:hAnsi="宋体" w:eastAsia="宋体" w:cs="宋体"/>
          <w:color w:val="auto"/>
          <w:kern w:val="2"/>
          <w:sz w:val="24"/>
          <w:szCs w:val="22"/>
          <w:highlight w:val="none"/>
          <w:lang w:val="en-US" w:eastAsia="zh-CN" w:bidi="ar-SA"/>
        </w:rPr>
        <w:t>投标人未按照招标文件要求提交投标保证金的，</w:t>
      </w:r>
      <w:r>
        <w:rPr>
          <w:rFonts w:hint="eastAsia" w:eastAsia="宋体" w:cs="宋体"/>
          <w:color w:val="auto"/>
          <w:kern w:val="2"/>
          <w:sz w:val="24"/>
          <w:szCs w:val="22"/>
          <w:highlight w:val="none"/>
          <w:lang w:val="en-US" w:eastAsia="zh-CN" w:bidi="ar-SA"/>
        </w:rPr>
        <w:t>其</w:t>
      </w:r>
      <w:r>
        <w:rPr>
          <w:rFonts w:hint="eastAsia" w:ascii="宋体" w:hAnsi="宋体" w:eastAsia="宋体" w:cs="宋体"/>
          <w:b/>
          <w:bCs/>
          <w:color w:val="auto"/>
          <w:kern w:val="2"/>
          <w:sz w:val="24"/>
          <w:szCs w:val="22"/>
          <w:highlight w:val="none"/>
          <w:lang w:val="en-US" w:eastAsia="zh-CN" w:bidi="ar-SA"/>
        </w:rPr>
        <w:t>投标无效</w:t>
      </w:r>
      <w:r>
        <w:rPr>
          <w:rFonts w:hint="eastAsia" w:ascii="宋体" w:hAnsi="宋体" w:eastAsia="宋体" w:cs="宋体"/>
          <w:color w:val="auto"/>
          <w:kern w:val="2"/>
          <w:sz w:val="24"/>
          <w:szCs w:val="22"/>
          <w:highlight w:val="none"/>
          <w:lang w:val="en-US" w:eastAsia="zh-CN" w:bidi="ar-SA"/>
        </w:rPr>
        <w:t>。</w:t>
      </w:r>
      <w:r>
        <w:rPr>
          <w:rFonts w:hint="eastAsia" w:eastAsia="宋体"/>
          <w:color w:val="auto"/>
          <w:sz w:val="24"/>
          <w:highlight w:val="none"/>
          <w:lang w:val="en-US" w:eastAsia="zh-CN"/>
        </w:rPr>
        <w:t>投标保证金有效期同投标有效期。</w:t>
      </w:r>
    </w:p>
    <w:p w14:paraId="54BD0912">
      <w:pPr>
        <w:pStyle w:val="10"/>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17.3投标保证金到账（保函提交）截止时间同投标截止时间。以支票、汇票、本票、网上银行支付等形式提交投标保证金的，应在投标截止时间前到账；以金融机构、担保机构出具的保函等形式提交投标保证金的，应在投标截止时间前将投标保证金支付原件扫描后作为投标文件的组成部分与投标文件一起上传。由于到账时间晚于投标截止时间，或者票据错误、印鉴不清等原因导致不能到账的，其</w:t>
      </w:r>
      <w:r>
        <w:rPr>
          <w:rFonts w:hint="eastAsia" w:ascii="宋体" w:hAnsi="宋体" w:eastAsia="宋体" w:cs="宋体"/>
          <w:b/>
          <w:bCs/>
          <w:color w:val="auto"/>
          <w:kern w:val="2"/>
          <w:sz w:val="24"/>
          <w:szCs w:val="22"/>
          <w:highlight w:val="none"/>
          <w:lang w:val="en-US" w:eastAsia="zh-CN"/>
        </w:rPr>
        <w:t>投标无效</w:t>
      </w:r>
      <w:r>
        <w:rPr>
          <w:rFonts w:hint="eastAsia" w:ascii="宋体" w:hAnsi="宋体" w:eastAsia="宋体" w:cs="宋体"/>
          <w:color w:val="auto"/>
          <w:kern w:val="2"/>
          <w:sz w:val="24"/>
          <w:szCs w:val="22"/>
          <w:highlight w:val="none"/>
          <w:lang w:val="en-US" w:eastAsia="zh-CN"/>
        </w:rPr>
        <w:t>。</w:t>
      </w:r>
    </w:p>
    <w:p w14:paraId="3BAA958D">
      <w:pPr>
        <w:pStyle w:val="5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4</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投标人为联合体的，可以由联合体中的一方或者多方共同</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提交</w:t>
      </w:r>
      <w:r>
        <w:rPr>
          <w:rFonts w:hint="default" w:ascii="宋体" w:hAnsi="宋体" w:eastAsia="宋体" w:cstheme="minorBidi"/>
          <w:iCs/>
          <w:color w:val="auto"/>
          <w:kern w:val="2"/>
          <w:sz w:val="24"/>
          <w:szCs w:val="22"/>
          <w:highlight w:val="none"/>
          <w:shd w:val="clear" w:color="auto" w:fill="FFFFFF" w:themeFill="background1"/>
          <w:lang w:val="en-US" w:eastAsia="zh-CN" w:bidi="ar-SA"/>
        </w:rPr>
        <w:t>投标保证金，其</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提交</w:t>
      </w:r>
      <w:r>
        <w:rPr>
          <w:rFonts w:hint="default" w:ascii="宋体" w:hAnsi="宋体" w:eastAsia="宋体" w:cstheme="minorBidi"/>
          <w:iCs/>
          <w:color w:val="auto"/>
          <w:kern w:val="2"/>
          <w:sz w:val="24"/>
          <w:szCs w:val="22"/>
          <w:highlight w:val="none"/>
          <w:shd w:val="clear" w:color="auto" w:fill="FFFFFF" w:themeFill="background1"/>
          <w:lang w:val="en-US" w:eastAsia="zh-CN" w:bidi="ar-SA"/>
        </w:rPr>
        <w:t>的投标保证金对联合体各方均具有约束力。</w:t>
      </w:r>
    </w:p>
    <w:p w14:paraId="27BA1101">
      <w:pPr>
        <w:pStyle w:val="55"/>
        <w:keepNext w:val="0"/>
        <w:keepLines w:val="0"/>
        <w:pageBreakBefore w:val="0"/>
        <w:widowControl w:val="0"/>
        <w:shd w:val="clear" w:color="auto" w:fill="auto"/>
        <w:kinsoku/>
        <w:wordWrap/>
        <w:overflowPunct/>
        <w:topLinePunct w:val="0"/>
        <w:autoSpaceDE/>
        <w:autoSpaceDN/>
        <w:bidi w:val="0"/>
        <w:adjustRightInd/>
        <w:spacing w:line="360" w:lineRule="auto"/>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    17.5</w:t>
      </w:r>
      <w:r>
        <w:rPr>
          <w:rFonts w:hint="default" w:ascii="宋体" w:hAnsi="宋体" w:eastAsia="宋体" w:cstheme="minorBidi"/>
          <w:iCs/>
          <w:color w:val="auto"/>
          <w:kern w:val="2"/>
          <w:sz w:val="24"/>
          <w:szCs w:val="22"/>
          <w:highlight w:val="none"/>
          <w:shd w:val="clear" w:color="auto" w:fill="FFFFFF" w:themeFill="background1"/>
          <w:lang w:val="en-US" w:eastAsia="zh-CN" w:bidi="ar-SA"/>
        </w:rPr>
        <w:t>采购人或者采购代理机构应当在采购活动结束后及时退还</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w:t>
      </w:r>
      <w:r>
        <w:rPr>
          <w:rFonts w:hint="default" w:ascii="宋体" w:hAnsi="宋体" w:eastAsia="宋体" w:cstheme="minorBidi"/>
          <w:iCs/>
          <w:color w:val="auto"/>
          <w:kern w:val="2"/>
          <w:sz w:val="24"/>
          <w:szCs w:val="22"/>
          <w:highlight w:val="none"/>
          <w:shd w:val="clear" w:color="auto" w:fill="FFFFFF" w:themeFill="background1"/>
          <w:lang w:val="en-US" w:eastAsia="zh-CN" w:bidi="ar-SA"/>
        </w:rPr>
        <w:t>保证金，采用银行保函、担保机构担保函等形式递交的</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w:t>
      </w:r>
      <w:r>
        <w:rPr>
          <w:rFonts w:hint="default" w:ascii="宋体" w:hAnsi="宋体" w:eastAsia="宋体" w:cstheme="minorBidi"/>
          <w:iCs/>
          <w:color w:val="auto"/>
          <w:kern w:val="2"/>
          <w:sz w:val="24"/>
          <w:szCs w:val="22"/>
          <w:highlight w:val="none"/>
          <w:shd w:val="clear" w:color="auto" w:fill="FFFFFF" w:themeFill="background1"/>
          <w:lang w:val="en-US" w:eastAsia="zh-CN" w:bidi="ar-SA"/>
        </w:rPr>
        <w:t>保证金，经</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同意后采购人、采购代理机构可以不再退还，但因</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自身原因导致无法及时退还的除外。未</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中标投标人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w:t>
      </w:r>
      <w:r>
        <w:rPr>
          <w:rFonts w:hint="default" w:ascii="宋体" w:hAnsi="宋体" w:eastAsia="宋体" w:cstheme="minorBidi"/>
          <w:iCs/>
          <w:color w:val="auto"/>
          <w:kern w:val="2"/>
          <w:sz w:val="24"/>
          <w:szCs w:val="22"/>
          <w:highlight w:val="none"/>
          <w:shd w:val="clear" w:color="auto" w:fill="FFFFFF" w:themeFill="background1"/>
          <w:lang w:val="en-US" w:eastAsia="zh-CN" w:bidi="ar-SA"/>
        </w:rPr>
        <w:t>保证金应当自中标通知书发出之日起 5 个工作日内退还，</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中标投标人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保证金应当自采购合同签订之日起 5 个工作日内退还。 </w:t>
      </w:r>
    </w:p>
    <w:p w14:paraId="6CFB121F">
      <w:pPr>
        <w:pStyle w:val="5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6</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投标人在投标截止时间前撤回已</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提</w:t>
      </w:r>
      <w:r>
        <w:rPr>
          <w:rFonts w:hint="default" w:ascii="宋体" w:hAnsi="宋体" w:eastAsia="宋体" w:cstheme="minorBidi"/>
          <w:iCs/>
          <w:color w:val="auto"/>
          <w:kern w:val="2"/>
          <w:sz w:val="24"/>
          <w:szCs w:val="22"/>
          <w:highlight w:val="none"/>
          <w:shd w:val="clear" w:color="auto" w:fill="FFFFFF" w:themeFill="background1"/>
          <w:lang w:val="en-US" w:eastAsia="zh-CN" w:bidi="ar-SA"/>
        </w:rPr>
        <w:t>交的投标文件的，自收到投标人书面撤回通知之日起 5 个工作日内，退还已收取的投标保证金，但因投标人自身原因导致无法及时退还的除外</w:t>
      </w:r>
      <w:r>
        <w:rPr>
          <w:rFonts w:hint="eastAsia" w:ascii="宋体" w:hAnsi="宋体" w:eastAsia="宋体" w:cstheme="minorBidi"/>
          <w:iCs/>
          <w:color w:val="auto"/>
          <w:kern w:val="2"/>
          <w:sz w:val="24"/>
          <w:szCs w:val="22"/>
          <w:highlight w:val="none"/>
          <w:shd w:val="clear" w:color="auto" w:fill="FFFFFF" w:themeFill="background1"/>
          <w:lang w:val="en-US" w:eastAsia="zh-CN" w:bidi="ar-SA"/>
        </w:rPr>
        <w:t>。</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28156F6E">
      <w:pPr>
        <w:pStyle w:val="5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终止招标项目已经收取投标保证金的，自终止采购活动后 5 个工作日内退还已收取的投标保证金及其在银行产生的孳息。</w:t>
      </w:r>
    </w:p>
    <w:p w14:paraId="0B6A028F">
      <w:pPr>
        <w:pStyle w:val="5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8</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有下列情形之一的，采购人或采购代理机构可以不予退还投标保证金</w:t>
      </w:r>
      <w:r>
        <w:rPr>
          <w:rFonts w:hint="eastAsia"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宋体"/>
          <w:color w:val="auto"/>
          <w:kern w:val="2"/>
          <w:sz w:val="24"/>
          <w:szCs w:val="22"/>
          <w:highlight w:val="none"/>
        </w:rPr>
        <w:t>情节严重的将其列入不良记录名单</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02F7ADEB">
      <w:pPr>
        <w:pStyle w:val="5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8</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.1 </w:t>
      </w:r>
      <w:r>
        <w:rPr>
          <w:rFonts w:hint="eastAsia" w:ascii="宋体" w:hAnsi="宋体" w:eastAsia="宋体" w:cs="宋体"/>
          <w:color w:val="auto"/>
          <w:kern w:val="2"/>
          <w:sz w:val="24"/>
          <w:szCs w:val="22"/>
          <w:highlight w:val="none"/>
        </w:rPr>
        <w:t>开标后在投标有效期内，投标人撤</w:t>
      </w:r>
      <w:r>
        <w:rPr>
          <w:rFonts w:hint="eastAsia" w:ascii="宋体" w:hAnsi="宋体" w:eastAsia="宋体" w:cs="宋体"/>
          <w:color w:val="auto"/>
          <w:kern w:val="2"/>
          <w:sz w:val="24"/>
          <w:szCs w:val="22"/>
          <w:highlight w:val="none"/>
          <w:lang w:val="en-US" w:eastAsia="zh-CN"/>
        </w:rPr>
        <w:t>销</w:t>
      </w:r>
      <w:r>
        <w:rPr>
          <w:rFonts w:hint="eastAsia" w:ascii="宋体" w:hAnsi="宋体" w:eastAsia="宋体" w:cs="宋体"/>
          <w:color w:val="auto"/>
          <w:kern w:val="2"/>
          <w:sz w:val="24"/>
          <w:szCs w:val="22"/>
          <w:highlight w:val="none"/>
        </w:rPr>
        <w:t>其投标</w:t>
      </w:r>
      <w:r>
        <w:rPr>
          <w:rFonts w:hint="eastAsia" w:ascii="宋体" w:hAnsi="宋体" w:eastAsia="宋体" w:cs="宋体"/>
          <w:color w:val="auto"/>
          <w:kern w:val="2"/>
          <w:sz w:val="24"/>
          <w:szCs w:val="22"/>
          <w:highlight w:val="none"/>
          <w:lang w:val="en-US" w:eastAsia="zh-CN"/>
        </w:rPr>
        <w:t>的</w:t>
      </w:r>
      <w:r>
        <w:rPr>
          <w:rFonts w:hint="eastAsia" w:ascii="宋体" w:hAnsi="宋体" w:eastAsia="宋体" w:cs="宋体"/>
          <w:color w:val="auto"/>
          <w:kern w:val="2"/>
          <w:sz w:val="24"/>
          <w:szCs w:val="22"/>
          <w:highlight w:val="none"/>
        </w:rPr>
        <w:t>；</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36FC9D74">
      <w:pPr>
        <w:pStyle w:val="5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8</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.2 </w:t>
      </w:r>
      <w:r>
        <w:rPr>
          <w:rFonts w:hint="eastAsia" w:ascii="宋体" w:hAnsi="宋体" w:eastAsia="宋体" w:cs="宋体"/>
          <w:color w:val="auto"/>
          <w:kern w:val="2"/>
          <w:sz w:val="24"/>
          <w:szCs w:val="22"/>
          <w:highlight w:val="none"/>
        </w:rPr>
        <w:t>中标后无正当理由不与采购人签订合同的；</w:t>
      </w:r>
    </w:p>
    <w:p w14:paraId="3694295C">
      <w:pPr>
        <w:pStyle w:val="5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17.8.3 </w:t>
      </w:r>
      <w:r>
        <w:rPr>
          <w:rFonts w:hint="eastAsia" w:ascii="宋体" w:hAnsi="宋体" w:eastAsia="宋体" w:cs="宋体"/>
          <w:color w:val="auto"/>
          <w:kern w:val="2"/>
          <w:sz w:val="24"/>
          <w:szCs w:val="22"/>
          <w:highlight w:val="none"/>
        </w:rPr>
        <w:t>中标人与采购人订立背离合同实质性内容的其他协议；</w:t>
      </w:r>
    </w:p>
    <w:p w14:paraId="54583F23">
      <w:pPr>
        <w:pStyle w:val="5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17.8.</w:t>
      </w:r>
      <w:r>
        <w:rPr>
          <w:rFonts w:hint="eastAsia" w:ascii="宋体" w:hAnsi="宋体" w:eastAsia="宋体" w:cs="宋体"/>
          <w:color w:val="auto"/>
          <w:kern w:val="2"/>
          <w:sz w:val="24"/>
          <w:szCs w:val="22"/>
          <w:highlight w:val="none"/>
        </w:rPr>
        <w:t>4</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将中标项目转让给他人，或者在投标文件中未说明，且未经采购</w:t>
      </w:r>
      <w:r>
        <w:rPr>
          <w:rFonts w:hint="eastAsia" w:ascii="宋体" w:hAnsi="宋体" w:eastAsia="宋体" w:cs="宋体"/>
          <w:color w:val="auto"/>
          <w:kern w:val="2"/>
          <w:sz w:val="24"/>
          <w:szCs w:val="22"/>
          <w:highlight w:val="none"/>
          <w:lang w:val="en-US" w:eastAsia="zh-CN"/>
        </w:rPr>
        <w:t>人</w:t>
      </w:r>
      <w:r>
        <w:rPr>
          <w:rFonts w:hint="eastAsia" w:ascii="宋体" w:hAnsi="宋体" w:eastAsia="宋体" w:cs="宋体"/>
          <w:color w:val="auto"/>
          <w:kern w:val="2"/>
          <w:sz w:val="24"/>
          <w:szCs w:val="22"/>
          <w:highlight w:val="none"/>
        </w:rPr>
        <w:t>同意，将中标项目分包给他人的；</w:t>
      </w:r>
    </w:p>
    <w:p w14:paraId="433DB211">
      <w:pPr>
        <w:pStyle w:val="5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17.8.</w:t>
      </w:r>
      <w:r>
        <w:rPr>
          <w:rFonts w:hint="eastAsia" w:ascii="宋体" w:hAnsi="宋体" w:eastAsia="宋体" w:cs="宋体"/>
          <w:color w:val="auto"/>
          <w:kern w:val="2"/>
          <w:sz w:val="24"/>
          <w:szCs w:val="22"/>
          <w:highlight w:val="none"/>
        </w:rPr>
        <w:t>5</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存在串通投标行为的；</w:t>
      </w:r>
    </w:p>
    <w:p w14:paraId="0A3E2CC4">
      <w:pPr>
        <w:pStyle w:val="5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17.8.</w:t>
      </w:r>
      <w:r>
        <w:rPr>
          <w:rFonts w:hint="eastAsia" w:ascii="宋体" w:hAnsi="宋体" w:eastAsia="宋体" w:cs="宋体"/>
          <w:color w:val="auto"/>
          <w:kern w:val="2"/>
          <w:sz w:val="24"/>
          <w:szCs w:val="22"/>
          <w:highlight w:val="none"/>
        </w:rPr>
        <w:t>6</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存在弄虚作假或提供虚假材料谋取中标的；</w:t>
      </w:r>
    </w:p>
    <w:p w14:paraId="3CBF915F">
      <w:pPr>
        <w:pStyle w:val="5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17.8.</w:t>
      </w:r>
      <w:r>
        <w:rPr>
          <w:rFonts w:hint="eastAsia" w:ascii="宋体" w:hAnsi="宋体" w:eastAsia="宋体" w:cs="宋体"/>
          <w:color w:val="auto"/>
          <w:kern w:val="2"/>
          <w:sz w:val="24"/>
          <w:szCs w:val="22"/>
          <w:highlight w:val="none"/>
        </w:rPr>
        <w:t>7</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投标人其他未按招标文件规定和合同约定履行义务的行为。</w:t>
      </w:r>
    </w:p>
    <w:p w14:paraId="330E240F">
      <w:pPr>
        <w:pStyle w:val="5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17.9如开标时投标人对本单位投标保证金缴纳情况有疑义，投标人应在开标结束前向采购人提交书面申请核实保证金缴纳情况。由银行或保险公司核实后出具书面材料予以答复。</w:t>
      </w:r>
    </w:p>
    <w:p w14:paraId="071DFFA7">
      <w:pPr>
        <w:pStyle w:val="5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17.10为支持和促进中小企业发展，进一步发挥政府采购政策功能，鼓励投标供应商使用电子保函代替现金缴纳投标保证金，在线完成保函的申请、审核、开票、出函等环节，投标企业注意区分办理保函类型，并确认投标有效期，如采用政采云电子保函，可登录“新疆政府采购网”—顶部通栏“信用融资”或者“政府采购网”首页“政采贷｜电子保函”快捷模块查看： </w:t>
      </w:r>
    </w:p>
    <w:p w14:paraId="3586E85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r>
        <w:rPr>
          <w:rFonts w:hint="eastAsia" w:ascii="宋体" w:hAnsi="宋体" w:eastAsia="宋体" w:cs="宋体"/>
          <w:b/>
          <w:bCs/>
          <w:color w:val="auto"/>
          <w:kern w:val="2"/>
          <w:sz w:val="24"/>
          <w:szCs w:val="28"/>
          <w:highlight w:val="none"/>
          <w:lang w:val="en-US" w:eastAsia="zh-CN" w:bidi="ar-SA"/>
        </w:rPr>
        <w:t>18.投标文件的加密</w:t>
      </w:r>
      <w:bookmarkEnd w:id="163"/>
    </w:p>
    <w:p w14:paraId="7CFFC076">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u w:val="single"/>
        </w:rPr>
      </w:pPr>
      <w:bookmarkStart w:id="164" w:name="_Hlk143531864"/>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.1投标人在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eastAsia="宋体" w:cs="仿宋_GB2312"/>
          <w:color w:val="auto"/>
          <w:sz w:val="24"/>
          <w:szCs w:val="24"/>
          <w:highlight w:val="none"/>
        </w:rPr>
        <w:t>中生成投标文件并完成签章之后，使用CA证书在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eastAsia="宋体" w:cs="仿宋_GB2312"/>
          <w:color w:val="auto"/>
          <w:sz w:val="24"/>
          <w:szCs w:val="24"/>
          <w:highlight w:val="none"/>
        </w:rPr>
        <w:t>中对投标文件进行加密。</w:t>
      </w:r>
    </w:p>
    <w:p w14:paraId="20075D69">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.2投标人应在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eastAsia="宋体" w:cs="仿宋_GB2312"/>
          <w:color w:val="auto"/>
          <w:sz w:val="24"/>
          <w:szCs w:val="24"/>
          <w:highlight w:val="none"/>
        </w:rPr>
        <w:t>中对加密的投标文件进行解密验证，以防止投标文件加密异常，在开标时无法解密。</w:t>
      </w:r>
    </w:p>
    <w:p w14:paraId="60E84957">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.3 投标人应保证加密投标文件的CA证书有效期在开标时间之前。若CA证书有效期临近开标时间，建议投标人提前办理CA证书续期，以免开标时无法进行解密。</w:t>
      </w:r>
    </w:p>
    <w:p w14:paraId="4D80B003">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4</w:t>
      </w:r>
      <w:r>
        <w:rPr>
          <w:rFonts w:hint="eastAsia" w:eastAsia="宋体" w:cs="仿宋_GB2312"/>
          <w:color w:val="auto"/>
          <w:sz w:val="24"/>
          <w:szCs w:val="24"/>
          <w:highlight w:val="none"/>
          <w:lang w:eastAsia="zh-CN"/>
        </w:rPr>
        <w:t>投标人</w:t>
      </w:r>
      <w:r>
        <w:rPr>
          <w:rFonts w:hint="eastAsia" w:eastAsia="宋体" w:cs="仿宋_GB2312"/>
          <w:color w:val="auto"/>
          <w:sz w:val="24"/>
          <w:szCs w:val="24"/>
          <w:highlight w:val="none"/>
        </w:rPr>
        <w:t>在</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递交截</w:t>
      </w:r>
      <w:r>
        <w:rPr>
          <w:rFonts w:hint="eastAsia" w:eastAsia="宋体" w:cs="仿宋_GB2312"/>
          <w:color w:val="auto"/>
          <w:sz w:val="24"/>
          <w:szCs w:val="24"/>
          <w:highlight w:val="none"/>
          <w:lang w:val="en-US" w:eastAsia="zh-CN"/>
        </w:rPr>
        <w:t>止</w:t>
      </w:r>
      <w:r>
        <w:rPr>
          <w:rFonts w:hint="eastAsia" w:eastAsia="宋体" w:cs="仿宋_GB2312"/>
          <w:color w:val="auto"/>
          <w:sz w:val="24"/>
          <w:szCs w:val="24"/>
          <w:highlight w:val="none"/>
        </w:rPr>
        <w:t>时间前通过</w:t>
      </w:r>
      <w:r>
        <w:rPr>
          <w:rFonts w:hint="eastAsia" w:cs="仿宋_GB2312"/>
          <w:color w:val="auto"/>
          <w:sz w:val="24"/>
          <w:szCs w:val="24"/>
          <w:highlight w:val="none"/>
          <w:lang w:val="en-US" w:eastAsia="zh-CN"/>
        </w:rPr>
        <w:t>新疆</w:t>
      </w:r>
      <w:r>
        <w:rPr>
          <w:rFonts w:hint="eastAsia" w:eastAsia="宋体" w:cs="仿宋_GB2312"/>
          <w:color w:val="auto"/>
          <w:sz w:val="24"/>
          <w:szCs w:val="24"/>
          <w:highlight w:val="none"/>
        </w:rPr>
        <w:t>政府采购网（</w:t>
      </w:r>
      <w:r>
        <w:rPr>
          <w:rFonts w:hint="eastAsia" w:cs="宋体"/>
          <w:color w:val="auto"/>
          <w:sz w:val="24"/>
          <w:highlight w:val="none"/>
          <w:lang w:val="en-US" w:eastAsia="zh-CN"/>
        </w:rPr>
        <w:t>http://www.ccgp-xinjiang.gov.cn/</w:t>
      </w:r>
      <w:r>
        <w:rPr>
          <w:rFonts w:hint="eastAsia" w:eastAsia="宋体" w:cs="仿宋_GB2312"/>
          <w:color w:val="auto"/>
          <w:sz w:val="24"/>
          <w:szCs w:val="24"/>
          <w:highlight w:val="none"/>
        </w:rPr>
        <w:t>）的”政采云登录入口”登录后，将加密电子</w:t>
      </w:r>
      <w:r>
        <w:rPr>
          <w:rFonts w:hint="eastAsia" w:eastAsia="宋体" w:cs="仿宋_GB2312"/>
          <w:color w:val="auto"/>
          <w:sz w:val="24"/>
          <w:szCs w:val="24"/>
          <w:highlight w:val="none"/>
          <w:lang w:eastAsia="zh-CN"/>
        </w:rPr>
        <w:t>投标文件</w:t>
      </w:r>
      <w:r>
        <w:rPr>
          <w:rFonts w:hint="eastAsia" w:ascii="宋体" w:hAnsi="宋体" w:eastAsia="宋体" w:cs="仿宋_GB2312"/>
          <w:color w:val="auto"/>
          <w:sz w:val="24"/>
          <w:szCs w:val="24"/>
          <w:highlight w:val="none"/>
        </w:rPr>
        <w:t>（为.jmbs后缀格式）</w:t>
      </w:r>
      <w:r>
        <w:rPr>
          <w:rFonts w:hint="eastAsia" w:eastAsia="宋体" w:cs="仿宋_GB2312"/>
          <w:color w:val="auto"/>
          <w:sz w:val="24"/>
          <w:szCs w:val="24"/>
          <w:highlight w:val="none"/>
        </w:rPr>
        <w:t>上传到对应项目的指定位置</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rPr>
        <w:t>投标人认为有必要提交的其他资料请于投标截止时间前一并提交。</w:t>
      </w:r>
    </w:p>
    <w:p w14:paraId="7FD09881">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如果投标人未按上述要求</w:t>
      </w:r>
      <w:r>
        <w:rPr>
          <w:rFonts w:hint="eastAsia" w:eastAsia="宋体" w:cs="仿宋_GB2312"/>
          <w:color w:val="auto"/>
          <w:sz w:val="24"/>
          <w:szCs w:val="24"/>
          <w:highlight w:val="none"/>
          <w:lang w:val="en-US" w:eastAsia="zh-CN"/>
        </w:rPr>
        <w:t>加密并上传</w:t>
      </w:r>
      <w:r>
        <w:rPr>
          <w:rFonts w:hint="eastAsia" w:eastAsia="宋体" w:cs="仿宋_GB2312"/>
          <w:color w:val="auto"/>
          <w:sz w:val="24"/>
          <w:szCs w:val="24"/>
          <w:highlight w:val="none"/>
        </w:rPr>
        <w:t>，采购代理机构对投标文件的误投</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lang w:val="en-US" w:eastAsia="zh-CN"/>
        </w:rPr>
        <w:t>无法解密、传输错误等问题</w:t>
      </w:r>
      <w:r>
        <w:rPr>
          <w:rFonts w:hint="eastAsia" w:eastAsia="宋体" w:cs="仿宋_GB2312"/>
          <w:color w:val="auto"/>
          <w:sz w:val="24"/>
          <w:szCs w:val="24"/>
          <w:highlight w:val="none"/>
        </w:rPr>
        <w:t>概不负责。对由此造成</w:t>
      </w:r>
      <w:r>
        <w:rPr>
          <w:rFonts w:hint="eastAsia" w:eastAsia="宋体" w:cs="仿宋_GB2312"/>
          <w:color w:val="auto"/>
          <w:sz w:val="24"/>
          <w:szCs w:val="24"/>
          <w:highlight w:val="none"/>
          <w:lang w:val="en-US" w:eastAsia="zh-CN"/>
        </w:rPr>
        <w:t>无法正常开启</w:t>
      </w:r>
      <w:r>
        <w:rPr>
          <w:rFonts w:hint="eastAsia" w:eastAsia="宋体" w:cs="仿宋_GB2312"/>
          <w:color w:val="auto"/>
          <w:sz w:val="24"/>
          <w:szCs w:val="24"/>
          <w:highlight w:val="none"/>
        </w:rPr>
        <w:t>的投标文件，采购代理机构有权予以拒绝，并退回投标人。</w:t>
      </w:r>
    </w:p>
    <w:p w14:paraId="23051441">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6</w:t>
      </w:r>
      <w:r>
        <w:rPr>
          <w:rFonts w:hint="eastAsia" w:eastAsia="宋体" w:cs="仿宋_GB2312"/>
          <w:color w:val="auto"/>
          <w:sz w:val="24"/>
          <w:szCs w:val="24"/>
          <w:highlight w:val="none"/>
        </w:rPr>
        <w:t>本项目采用不见面开标，无需提供电子</w:t>
      </w:r>
      <w:r>
        <w:rPr>
          <w:rFonts w:hint="eastAsia" w:ascii="宋体" w:hAnsi="宋体" w:eastAsia="宋体" w:cs="仿宋_GB2312"/>
          <w:color w:val="auto"/>
          <w:sz w:val="24"/>
          <w:szCs w:val="24"/>
          <w:highlight w:val="none"/>
        </w:rPr>
        <w:t>投标文件U盘</w:t>
      </w:r>
      <w:r>
        <w:rPr>
          <w:rFonts w:hint="eastAsia" w:eastAsia="宋体" w:cs="仿宋_GB2312"/>
          <w:color w:val="auto"/>
          <w:sz w:val="24"/>
          <w:szCs w:val="24"/>
          <w:highlight w:val="none"/>
        </w:rPr>
        <w:t>。</w:t>
      </w:r>
    </w:p>
    <w:bookmarkEnd w:id="164"/>
    <w:p w14:paraId="31ED663E">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65" w:name="_Toc140132777"/>
      <w:bookmarkStart w:id="166" w:name="_Toc163492844"/>
      <w:r>
        <w:rPr>
          <w:rFonts w:hint="eastAsia" w:ascii="宋体" w:hAnsi="宋体" w:eastAsia="宋体" w:cs="宋体"/>
          <w:b/>
          <w:bCs/>
          <w:color w:val="auto"/>
          <w:kern w:val="2"/>
          <w:sz w:val="24"/>
          <w:szCs w:val="28"/>
          <w:highlight w:val="none"/>
          <w:lang w:val="en-US" w:eastAsia="zh-CN" w:bidi="ar-SA"/>
        </w:rPr>
        <w:t>19.投标文件的递交</w:t>
      </w:r>
      <w:bookmarkEnd w:id="165"/>
      <w:r>
        <w:rPr>
          <w:rFonts w:hint="eastAsia" w:ascii="宋体" w:hAnsi="宋体" w:eastAsia="宋体" w:cs="宋体"/>
          <w:b/>
          <w:bCs/>
          <w:color w:val="auto"/>
          <w:kern w:val="2"/>
          <w:sz w:val="24"/>
          <w:szCs w:val="28"/>
          <w:highlight w:val="none"/>
          <w:lang w:val="en-US" w:eastAsia="zh-CN" w:bidi="ar-SA"/>
        </w:rPr>
        <w:t>（上传）</w:t>
      </w:r>
      <w:bookmarkEnd w:id="166"/>
    </w:p>
    <w:p w14:paraId="68ADD5DF">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bookmarkStart w:id="167" w:name="_Hlk143531977"/>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.1 投标人应在“</w:t>
      </w:r>
      <w:r>
        <w:rPr>
          <w:rFonts w:hint="eastAsia" w:eastAsia="宋体" w:cs="仿宋_GB2312"/>
          <w:color w:val="auto"/>
          <w:sz w:val="24"/>
          <w:szCs w:val="24"/>
          <w:highlight w:val="none"/>
          <w:lang w:val="en-US" w:eastAsia="zh-CN"/>
        </w:rPr>
        <w:t xml:space="preserve">第一章 </w:t>
      </w:r>
      <w:r>
        <w:rPr>
          <w:rFonts w:hint="eastAsia" w:eastAsia="宋体"/>
          <w:color w:val="auto"/>
          <w:sz w:val="24"/>
          <w:highlight w:val="none"/>
          <w:lang w:val="en-US" w:eastAsia="zh-CN"/>
        </w:rPr>
        <w:t>招标公告</w:t>
      </w:r>
      <w:r>
        <w:rPr>
          <w:rFonts w:hint="eastAsia" w:eastAsia="宋体" w:cs="仿宋_GB2312"/>
          <w:color w:val="auto"/>
          <w:sz w:val="24"/>
          <w:szCs w:val="24"/>
          <w:highlight w:val="none"/>
        </w:rPr>
        <w:t>”规定的投标截止时间前递交（上传）投标文件。</w:t>
      </w:r>
    </w:p>
    <w:p w14:paraId="0686D9A3">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.2 投标人递交（上传）投标文件的地点见“</w:t>
      </w:r>
      <w:r>
        <w:rPr>
          <w:rFonts w:hint="eastAsia" w:eastAsia="宋体" w:cs="仿宋_GB2312"/>
          <w:color w:val="auto"/>
          <w:sz w:val="24"/>
          <w:szCs w:val="24"/>
          <w:highlight w:val="none"/>
          <w:lang w:val="en-US" w:eastAsia="zh-CN"/>
        </w:rPr>
        <w:t xml:space="preserve">第一章 </w:t>
      </w:r>
      <w:r>
        <w:rPr>
          <w:rFonts w:hint="eastAsia" w:eastAsia="宋体"/>
          <w:color w:val="auto"/>
          <w:sz w:val="24"/>
          <w:highlight w:val="none"/>
          <w:lang w:val="en-US" w:eastAsia="zh-CN"/>
        </w:rPr>
        <w:t>招标公告</w:t>
      </w:r>
      <w:r>
        <w:rPr>
          <w:rFonts w:hint="eastAsia" w:eastAsia="宋体" w:cs="仿宋_GB2312"/>
          <w:color w:val="auto"/>
          <w:sz w:val="24"/>
          <w:szCs w:val="24"/>
          <w:highlight w:val="none"/>
        </w:rPr>
        <w:t>”。</w:t>
      </w:r>
    </w:p>
    <w:p w14:paraId="6AE6974A">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lang w:eastAsia="zh-CN"/>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.3投标人应充分评估集中同时投标带来的网络影响，尽量避开投标高峰时间，错峰进行电子投标。投标人递交全部的投标文件后可在政采云平台（项目采购</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rPr>
        <w:t>投标文件上传）中获取投标文件递交回执单。</w:t>
      </w:r>
    </w:p>
    <w:p w14:paraId="66FB688C">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.4 投标人应在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eastAsia="宋体" w:cs="仿宋_GB2312"/>
          <w:color w:val="auto"/>
          <w:sz w:val="24"/>
          <w:szCs w:val="24"/>
          <w:highlight w:val="none"/>
        </w:rPr>
        <w:t>中下载未加密且完成签章的投标文件妥善保存，以便启动应急开标程序时使用。</w:t>
      </w:r>
    </w:p>
    <w:p w14:paraId="4469D505">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.5投标人所递交的投标文件不予退还。</w:t>
      </w:r>
    </w:p>
    <w:bookmarkEnd w:id="167"/>
    <w:p w14:paraId="6AD7096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68" w:name="_Toc163492845"/>
      <w:r>
        <w:rPr>
          <w:rFonts w:hint="eastAsia" w:ascii="宋体" w:hAnsi="宋体" w:eastAsia="宋体" w:cs="宋体"/>
          <w:b/>
          <w:bCs/>
          <w:color w:val="auto"/>
          <w:kern w:val="2"/>
          <w:sz w:val="24"/>
          <w:szCs w:val="28"/>
          <w:highlight w:val="none"/>
          <w:lang w:val="en-US" w:eastAsia="zh-CN" w:bidi="ar-SA"/>
        </w:rPr>
        <w:t>20.拒收</w:t>
      </w:r>
      <w:bookmarkEnd w:id="168"/>
    </w:p>
    <w:p w14:paraId="163AD542">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2</w:t>
      </w:r>
      <w:r>
        <w:rPr>
          <w:rFonts w:hint="eastAsia" w:eastAsia="宋体" w:cs="仿宋_GB2312"/>
          <w:color w:val="auto"/>
          <w:sz w:val="24"/>
          <w:szCs w:val="24"/>
          <w:highlight w:val="none"/>
          <w:lang w:val="en-US" w:eastAsia="zh-CN"/>
        </w:rPr>
        <w:t>0</w:t>
      </w:r>
      <w:r>
        <w:rPr>
          <w:rFonts w:hint="eastAsia" w:eastAsia="宋体" w:cs="仿宋_GB2312"/>
          <w:color w:val="auto"/>
          <w:sz w:val="24"/>
          <w:szCs w:val="24"/>
          <w:highlight w:val="none"/>
        </w:rPr>
        <w:t>.1 超过投标文件提交截止时间</w:t>
      </w:r>
      <w:bookmarkStart w:id="169" w:name="_Hlk143532404"/>
      <w:r>
        <w:rPr>
          <w:rFonts w:hint="eastAsia" w:eastAsia="宋体" w:cs="仿宋_GB2312"/>
          <w:color w:val="auto"/>
          <w:sz w:val="24"/>
          <w:szCs w:val="24"/>
          <w:highlight w:val="none"/>
        </w:rPr>
        <w:t>或者不按照本章要求加密的投标文件，交易系统应当拒收</w:t>
      </w:r>
      <w:bookmarkEnd w:id="169"/>
      <w:r>
        <w:rPr>
          <w:rFonts w:hint="eastAsia" w:eastAsia="宋体" w:cs="仿宋_GB2312"/>
          <w:color w:val="auto"/>
          <w:sz w:val="24"/>
          <w:szCs w:val="24"/>
          <w:highlight w:val="none"/>
        </w:rPr>
        <w:t>。</w:t>
      </w:r>
    </w:p>
    <w:p w14:paraId="03561218">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70" w:name="_Toc140132778"/>
      <w:bookmarkStart w:id="171" w:name="_Toc163492846"/>
      <w:r>
        <w:rPr>
          <w:rFonts w:hint="eastAsia" w:ascii="宋体" w:hAnsi="宋体" w:eastAsia="宋体" w:cs="宋体"/>
          <w:b/>
          <w:bCs/>
          <w:color w:val="auto"/>
          <w:kern w:val="2"/>
          <w:sz w:val="24"/>
          <w:szCs w:val="28"/>
          <w:highlight w:val="none"/>
          <w:lang w:val="en-US" w:eastAsia="zh-CN" w:bidi="ar-SA"/>
        </w:rPr>
        <w:t>21.投标文件的修改与撤回</w:t>
      </w:r>
      <w:bookmarkEnd w:id="170"/>
      <w:bookmarkEnd w:id="171"/>
    </w:p>
    <w:p w14:paraId="7DBF29E0">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2</w:t>
      </w:r>
      <w:r>
        <w:rPr>
          <w:rFonts w:hint="eastAsia" w:eastAsia="宋体" w:cs="仿宋_GB2312"/>
          <w:color w:val="auto"/>
          <w:sz w:val="24"/>
          <w:szCs w:val="24"/>
          <w:highlight w:val="none"/>
          <w:lang w:val="en-US" w:eastAsia="zh-CN"/>
        </w:rPr>
        <w:t>1</w:t>
      </w:r>
      <w:r>
        <w:rPr>
          <w:rFonts w:hint="eastAsia" w:eastAsia="宋体" w:cs="仿宋_GB2312"/>
          <w:color w:val="auto"/>
          <w:sz w:val="24"/>
          <w:szCs w:val="24"/>
          <w:highlight w:val="none"/>
        </w:rPr>
        <w:t>.1</w:t>
      </w:r>
      <w:bookmarkStart w:id="172" w:name="_Hlk143532466"/>
      <w:r>
        <w:rPr>
          <w:rFonts w:hint="eastAsia" w:eastAsia="宋体" w:cs="仿宋_GB2312"/>
          <w:color w:val="auto"/>
          <w:sz w:val="24"/>
          <w:szCs w:val="24"/>
          <w:highlight w:val="none"/>
          <w:lang w:eastAsia="zh-CN"/>
        </w:rPr>
        <w:t>投标人</w:t>
      </w:r>
      <w:r>
        <w:rPr>
          <w:rFonts w:hint="eastAsia" w:eastAsia="宋体" w:cs="仿宋_GB2312"/>
          <w:color w:val="auto"/>
          <w:sz w:val="24"/>
          <w:szCs w:val="24"/>
          <w:highlight w:val="none"/>
        </w:rPr>
        <w:t>在</w:t>
      </w:r>
      <w:r>
        <w:rPr>
          <w:rFonts w:hint="eastAsia" w:eastAsia="宋体" w:cs="仿宋_GB2312"/>
          <w:color w:val="auto"/>
          <w:sz w:val="24"/>
          <w:szCs w:val="24"/>
          <w:highlight w:val="none"/>
          <w:lang w:eastAsia="zh-CN"/>
        </w:rPr>
        <w:t>“</w:t>
      </w:r>
      <w:r>
        <w:rPr>
          <w:rFonts w:hint="eastAsia" w:eastAsia="宋体"/>
          <w:color w:val="auto"/>
          <w:sz w:val="24"/>
          <w:highlight w:val="none"/>
          <w:lang w:val="en-US" w:eastAsia="zh-CN"/>
        </w:rPr>
        <w:t>第一章 招标公告</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rPr>
        <w:t>规定的</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递交截止时间之前，可在</w:t>
      </w:r>
      <w:r>
        <w:rPr>
          <w:rFonts w:hint="eastAsia" w:cs="仿宋_GB2312"/>
          <w:color w:val="auto"/>
          <w:sz w:val="24"/>
          <w:szCs w:val="24"/>
          <w:highlight w:val="none"/>
          <w:lang w:val="en-US" w:eastAsia="zh-CN"/>
        </w:rPr>
        <w:t>新疆</w:t>
      </w:r>
      <w:r>
        <w:rPr>
          <w:rFonts w:hint="eastAsia" w:eastAsia="宋体" w:cs="仿宋_GB2312"/>
          <w:color w:val="auto"/>
          <w:sz w:val="24"/>
          <w:szCs w:val="24"/>
          <w:highlight w:val="none"/>
        </w:rPr>
        <w:t>政府采购电子交易云平台上随时撤回已上传的电子</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，将修改好的电子</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在</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递交截止时间前重新上传到</w:t>
      </w:r>
      <w:r>
        <w:rPr>
          <w:rFonts w:hint="eastAsia" w:cs="仿宋_GB2312"/>
          <w:color w:val="auto"/>
          <w:sz w:val="24"/>
          <w:szCs w:val="24"/>
          <w:highlight w:val="none"/>
          <w:lang w:val="en-US" w:eastAsia="zh-CN"/>
        </w:rPr>
        <w:t>新疆</w:t>
      </w:r>
      <w:r>
        <w:rPr>
          <w:rFonts w:hint="eastAsia" w:eastAsia="宋体" w:cs="仿宋_GB2312"/>
          <w:color w:val="auto"/>
          <w:sz w:val="24"/>
          <w:szCs w:val="24"/>
          <w:highlight w:val="none"/>
        </w:rPr>
        <w:t>政府采购电子交易云平台的</w:t>
      </w:r>
      <w:r>
        <w:rPr>
          <w:rFonts w:hint="eastAsia" w:eastAsia="宋体" w:cs="仿宋_GB2312"/>
          <w:color w:val="auto"/>
          <w:sz w:val="24"/>
          <w:szCs w:val="24"/>
          <w:highlight w:val="none"/>
          <w:lang w:val="en-US" w:eastAsia="zh-CN"/>
        </w:rPr>
        <w:t>指</w:t>
      </w:r>
      <w:r>
        <w:rPr>
          <w:rFonts w:hint="eastAsia" w:eastAsia="宋体" w:cs="仿宋_GB2312"/>
          <w:color w:val="auto"/>
          <w:sz w:val="24"/>
          <w:szCs w:val="24"/>
          <w:highlight w:val="none"/>
        </w:rPr>
        <w:t>定位置。</w:t>
      </w:r>
    </w:p>
    <w:bookmarkEnd w:id="172"/>
    <w:p w14:paraId="20434D8C">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73" w:name="_Toc163492847"/>
      <w:bookmarkStart w:id="174" w:name="_Toc155185874"/>
      <w:r>
        <w:rPr>
          <w:rFonts w:hint="eastAsia" w:ascii="宋体" w:hAnsi="宋体" w:eastAsia="宋体" w:cs="宋体"/>
          <w:b/>
          <w:bCs/>
          <w:color w:val="auto"/>
          <w:kern w:val="2"/>
          <w:sz w:val="24"/>
          <w:szCs w:val="28"/>
          <w:highlight w:val="none"/>
          <w:lang w:val="en-US" w:eastAsia="zh-CN" w:bidi="ar-SA"/>
        </w:rPr>
        <w:t>22.实物样品</w:t>
      </w:r>
      <w:bookmarkEnd w:id="173"/>
      <w:bookmarkEnd w:id="174"/>
    </w:p>
    <w:p w14:paraId="52D4EAF6">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2</w:t>
      </w:r>
      <w:r>
        <w:rPr>
          <w:rFonts w:hint="eastAsia" w:eastAsia="宋体"/>
          <w:color w:val="auto"/>
          <w:sz w:val="24"/>
          <w:highlight w:val="none"/>
        </w:rPr>
        <w:t>.1“投标人须知前附表”要求提供样品的，样品的具体要求及评审详见“第三章 采购需求”和“第五章 评标</w:t>
      </w:r>
      <w:r>
        <w:rPr>
          <w:rFonts w:hint="eastAsia" w:eastAsia="宋体"/>
          <w:color w:val="auto"/>
          <w:sz w:val="24"/>
          <w:highlight w:val="none"/>
          <w:lang w:val="en-US" w:eastAsia="zh-CN"/>
        </w:rPr>
        <w:t>方</w:t>
      </w:r>
      <w:r>
        <w:rPr>
          <w:rFonts w:hint="eastAsia" w:eastAsia="宋体"/>
          <w:color w:val="auto"/>
          <w:sz w:val="24"/>
          <w:highlight w:val="none"/>
        </w:rPr>
        <w:t>法及标准”。</w:t>
      </w:r>
    </w:p>
    <w:p w14:paraId="2D6ED3FC">
      <w:pPr>
        <w:pStyle w:val="38"/>
        <w:keepNext w:val="0"/>
        <w:keepLines w:val="0"/>
        <w:pageBreakBefore w:val="0"/>
        <w:widowControl w:val="0"/>
        <w:kinsoku/>
        <w:overflowPunct/>
        <w:topLinePunct w:val="0"/>
        <w:autoSpaceDE/>
        <w:autoSpaceDN/>
        <w:bidi w:val="0"/>
        <w:adjustRightInd/>
        <w:textAlignment w:val="auto"/>
        <w:rPr>
          <w:rFonts w:eastAsia="宋体" w:cs="仿宋_GB2312"/>
          <w:b/>
          <w:color w:val="auto"/>
          <w:sz w:val="24"/>
          <w:szCs w:val="24"/>
          <w:highlight w:val="none"/>
        </w:rPr>
      </w:pPr>
      <w:r>
        <w:rPr>
          <w:rFonts w:eastAsia="宋体"/>
          <w:color w:val="auto"/>
          <w:sz w:val="24"/>
          <w:highlight w:val="none"/>
        </w:rPr>
        <w:t>2</w:t>
      </w:r>
      <w:r>
        <w:rPr>
          <w:rFonts w:hint="eastAsia" w:eastAsia="宋体"/>
          <w:color w:val="auto"/>
          <w:sz w:val="24"/>
          <w:highlight w:val="none"/>
          <w:lang w:val="en-US" w:eastAsia="zh-CN"/>
        </w:rPr>
        <w:t>2</w:t>
      </w:r>
      <w:r>
        <w:rPr>
          <w:rFonts w:hint="eastAsia" w:eastAsia="宋体"/>
          <w:color w:val="auto"/>
          <w:sz w:val="24"/>
          <w:highlight w:val="none"/>
        </w:rPr>
        <w:t>.2样品退还：</w:t>
      </w:r>
      <w:r>
        <w:rPr>
          <w:rFonts w:hint="eastAsia" w:ascii="宋体" w:hAnsi="宋体" w:eastAsia="宋体"/>
          <w:color w:val="auto"/>
          <w:sz w:val="24"/>
          <w:highlight w:val="none"/>
        </w:rPr>
        <w:t>未中标的投标人应</w:t>
      </w:r>
      <w:r>
        <w:rPr>
          <w:rFonts w:hint="eastAsia" w:ascii="宋体" w:hAnsi="宋体" w:eastAsia="宋体"/>
          <w:color w:val="auto"/>
          <w:sz w:val="24"/>
          <w:highlight w:val="none"/>
          <w:lang w:val="en-US" w:eastAsia="zh-CN"/>
        </w:rPr>
        <w:t>按照</w:t>
      </w:r>
      <w:r>
        <w:rPr>
          <w:rFonts w:hint="eastAsia" w:ascii="宋体" w:hAnsi="宋体" w:eastAsia="宋体"/>
          <w:color w:val="auto"/>
          <w:sz w:val="24"/>
          <w:highlight w:val="none"/>
        </w:rPr>
        <w:t>“投标人须知前附表”</w:t>
      </w:r>
      <w:r>
        <w:rPr>
          <w:rFonts w:hint="eastAsia" w:ascii="宋体" w:hAnsi="宋体" w:eastAsia="宋体"/>
          <w:color w:val="auto"/>
          <w:sz w:val="24"/>
          <w:highlight w:val="none"/>
          <w:lang w:val="en-US" w:eastAsia="zh-CN"/>
        </w:rPr>
        <w:t>要求</w:t>
      </w:r>
      <w:r>
        <w:rPr>
          <w:rFonts w:hint="eastAsia" w:ascii="宋体" w:hAnsi="宋体" w:eastAsia="宋体"/>
          <w:color w:val="auto"/>
          <w:sz w:val="24"/>
          <w:highlight w:val="none"/>
        </w:rPr>
        <w:t>自行联系采购人取回投标样品；中标人的样品由采购人进行保管、封存，并作为履约验收的参考</w:t>
      </w:r>
      <w:r>
        <w:rPr>
          <w:rFonts w:hint="eastAsia" w:eastAsia="宋体"/>
          <w:color w:val="auto"/>
          <w:sz w:val="24"/>
          <w:highlight w:val="none"/>
        </w:rPr>
        <w:t>（招标文件另有规定的从其规定）。</w:t>
      </w:r>
    </w:p>
    <w:p w14:paraId="7DD3C31F">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75" w:name="_Toc155185875"/>
      <w:bookmarkStart w:id="176" w:name="_Toc163492848"/>
      <w:r>
        <w:rPr>
          <w:rFonts w:hint="eastAsia" w:ascii="宋体" w:hAnsi="宋体" w:eastAsia="宋体" w:cs="宋体"/>
          <w:b/>
          <w:bCs/>
          <w:color w:val="auto"/>
          <w:kern w:val="2"/>
          <w:sz w:val="24"/>
          <w:szCs w:val="28"/>
          <w:highlight w:val="none"/>
          <w:lang w:val="en-US" w:eastAsia="zh-CN" w:bidi="ar-SA"/>
        </w:rPr>
        <w:t>23.演示</w:t>
      </w:r>
      <w:bookmarkEnd w:id="175"/>
      <w:bookmarkEnd w:id="176"/>
    </w:p>
    <w:p w14:paraId="1A234B38">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3</w:t>
      </w:r>
      <w:r>
        <w:rPr>
          <w:rFonts w:hint="eastAsia" w:eastAsia="宋体"/>
          <w:color w:val="auto"/>
          <w:sz w:val="24"/>
          <w:highlight w:val="none"/>
        </w:rPr>
        <w:t>.1要求投标人进行演示的，演示要求详见“投标人须知前附表”。</w:t>
      </w:r>
    </w:p>
    <w:p w14:paraId="527E9036">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3</w:t>
      </w:r>
      <w:r>
        <w:rPr>
          <w:rFonts w:hint="eastAsia" w:eastAsia="宋体"/>
          <w:color w:val="auto"/>
          <w:sz w:val="24"/>
          <w:highlight w:val="none"/>
        </w:rPr>
        <w:t>.2演示的评审详见“第三章 采购需求”和“第五章 评标</w:t>
      </w:r>
      <w:r>
        <w:rPr>
          <w:rFonts w:hint="eastAsia" w:eastAsia="宋体"/>
          <w:color w:val="auto"/>
          <w:sz w:val="24"/>
          <w:highlight w:val="none"/>
          <w:lang w:val="en-US" w:eastAsia="zh-CN"/>
        </w:rPr>
        <w:t>方</w:t>
      </w:r>
      <w:r>
        <w:rPr>
          <w:rFonts w:hint="eastAsia" w:eastAsia="宋体"/>
          <w:color w:val="auto"/>
          <w:sz w:val="24"/>
          <w:highlight w:val="none"/>
        </w:rPr>
        <w:t>法及标准”。</w:t>
      </w:r>
    </w:p>
    <w:p w14:paraId="44828689">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bookmarkStart w:id="177" w:name="_Toc163492849"/>
      <w:bookmarkStart w:id="178" w:name="_Toc155185876"/>
      <w:bookmarkStart w:id="179" w:name="_Toc140132779"/>
      <w:r>
        <w:rPr>
          <w:rFonts w:hint="eastAsia" w:ascii="宋体" w:hAnsi="宋体" w:eastAsia="宋体" w:cs="宋体"/>
          <w:b/>
          <w:bCs/>
          <w:color w:val="auto"/>
          <w:kern w:val="2"/>
          <w:sz w:val="24"/>
          <w:szCs w:val="32"/>
          <w:highlight w:val="none"/>
          <w:lang w:val="en-US" w:eastAsia="zh-CN" w:bidi="ar-SA"/>
        </w:rPr>
        <w:t>（五）开标</w:t>
      </w:r>
      <w:bookmarkEnd w:id="177"/>
      <w:bookmarkEnd w:id="178"/>
      <w:bookmarkEnd w:id="179"/>
    </w:p>
    <w:p w14:paraId="1705A8FF">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80" w:name="_Toc140132780"/>
      <w:bookmarkStart w:id="181" w:name="_Toc163492850"/>
      <w:r>
        <w:rPr>
          <w:rFonts w:hint="eastAsia" w:ascii="宋体" w:hAnsi="宋体" w:eastAsia="宋体" w:cs="宋体"/>
          <w:b/>
          <w:bCs/>
          <w:color w:val="auto"/>
          <w:kern w:val="2"/>
          <w:sz w:val="24"/>
          <w:szCs w:val="28"/>
          <w:highlight w:val="none"/>
          <w:lang w:val="en-US" w:eastAsia="zh-CN" w:bidi="ar-SA"/>
        </w:rPr>
        <w:t>24.开标会议</w:t>
      </w:r>
      <w:bookmarkEnd w:id="180"/>
      <w:bookmarkEnd w:id="181"/>
    </w:p>
    <w:p w14:paraId="43376441">
      <w:pPr>
        <w:keepNext w:val="0"/>
        <w:keepLines w:val="0"/>
        <w:pageBreakBefore w:val="0"/>
        <w:widowControl w:val="0"/>
        <w:kinsoku/>
        <w:overflowPunct/>
        <w:topLinePunct w:val="0"/>
        <w:autoSpaceDE/>
        <w:autoSpaceDN/>
        <w:bidi w:val="0"/>
        <w:adjustRightInd/>
        <w:snapToGrid/>
        <w:ind w:firstLine="480" w:firstLineChars="200"/>
        <w:textAlignment w:val="auto"/>
        <w:rPr>
          <w:rFonts w:hint="eastAsia" w:eastAsia="宋体" w:cs="仿宋_GB2312"/>
          <w:color w:val="auto"/>
          <w:sz w:val="24"/>
          <w:szCs w:val="24"/>
          <w:highlight w:val="none"/>
          <w:lang w:eastAsia="zh-CN"/>
        </w:rPr>
      </w:pPr>
      <w:bookmarkStart w:id="182" w:name="_Toc140132781"/>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4</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1</w:t>
      </w:r>
      <w:r>
        <w:rPr>
          <w:rFonts w:hint="eastAsia" w:eastAsia="宋体" w:cs="仿宋_GB2312"/>
          <w:color w:val="auto"/>
          <w:sz w:val="24"/>
          <w:szCs w:val="24"/>
          <w:highlight w:val="none"/>
        </w:rPr>
        <w:t>开标会按“</w:t>
      </w:r>
      <w:r>
        <w:rPr>
          <w:rFonts w:hint="eastAsia" w:eastAsia="宋体" w:cs="仿宋_GB2312"/>
          <w:color w:val="auto"/>
          <w:sz w:val="24"/>
          <w:szCs w:val="24"/>
          <w:highlight w:val="none"/>
          <w:lang w:val="en-US" w:eastAsia="zh-CN"/>
        </w:rPr>
        <w:t xml:space="preserve">第一章 </w:t>
      </w:r>
      <w:r>
        <w:rPr>
          <w:rFonts w:hint="eastAsia" w:eastAsia="宋体"/>
          <w:color w:val="auto"/>
          <w:sz w:val="24"/>
          <w:highlight w:val="none"/>
          <w:lang w:val="en-US" w:eastAsia="zh-CN"/>
        </w:rPr>
        <w:t>招标公告</w:t>
      </w:r>
      <w:r>
        <w:rPr>
          <w:rFonts w:hint="eastAsia" w:eastAsia="宋体" w:cs="仿宋_GB2312"/>
          <w:color w:val="auto"/>
          <w:sz w:val="24"/>
          <w:szCs w:val="24"/>
          <w:highlight w:val="none"/>
        </w:rPr>
        <w:t>”规定的开标时间和地点准时举行，采购人、采购代理机构邀请所有投标人准时参加开标会。</w:t>
      </w:r>
      <w:r>
        <w:rPr>
          <w:rFonts w:hint="eastAsia" w:eastAsia="宋体"/>
          <w:color w:val="auto"/>
          <w:sz w:val="24"/>
          <w:highlight w:val="none"/>
        </w:rPr>
        <w:t>投标人应按照</w:t>
      </w:r>
      <w:r>
        <w:rPr>
          <w:rFonts w:hint="eastAsia" w:eastAsia="宋体"/>
          <w:color w:val="auto"/>
          <w:sz w:val="24"/>
          <w:highlight w:val="none"/>
          <w:lang w:val="en-US" w:eastAsia="zh-CN"/>
        </w:rPr>
        <w:t>招标文件</w:t>
      </w:r>
      <w:r>
        <w:rPr>
          <w:rFonts w:hint="eastAsia" w:eastAsia="宋体"/>
          <w:color w:val="auto"/>
          <w:sz w:val="24"/>
          <w:highlight w:val="none"/>
        </w:rPr>
        <w:t>的要求参与</w:t>
      </w:r>
      <w:r>
        <w:rPr>
          <w:rFonts w:hint="eastAsia" w:eastAsia="宋体"/>
          <w:color w:val="auto"/>
          <w:sz w:val="24"/>
          <w:highlight w:val="none"/>
          <w:lang w:val="en-US" w:eastAsia="zh-CN"/>
        </w:rPr>
        <w:t>不见面开标</w:t>
      </w:r>
      <w:r>
        <w:rPr>
          <w:rFonts w:hint="eastAsia" w:eastAsia="宋体"/>
          <w:color w:val="auto"/>
          <w:sz w:val="24"/>
          <w:highlight w:val="none"/>
        </w:rPr>
        <w:t>。</w:t>
      </w:r>
    </w:p>
    <w:p w14:paraId="60A061F0">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ascii="宋体" w:hAnsi="宋体" w:eastAsia="宋体" w:cs="宋体"/>
          <w:color w:val="auto"/>
          <w:kern w:val="2"/>
          <w:sz w:val="24"/>
          <w:szCs w:val="22"/>
          <w:highlight w:val="none"/>
        </w:rPr>
      </w:pPr>
      <w:r>
        <w:rPr>
          <w:rFonts w:eastAsia="宋体"/>
          <w:color w:val="auto"/>
          <w:sz w:val="24"/>
          <w:highlight w:val="none"/>
        </w:rPr>
        <w:t>2</w:t>
      </w:r>
      <w:r>
        <w:rPr>
          <w:rFonts w:hint="eastAsia" w:eastAsia="宋体"/>
          <w:color w:val="auto"/>
          <w:sz w:val="24"/>
          <w:highlight w:val="none"/>
          <w:lang w:val="en-US" w:eastAsia="zh-CN"/>
        </w:rPr>
        <w:t>4</w:t>
      </w:r>
      <w:r>
        <w:rPr>
          <w:rFonts w:hint="eastAsia" w:eastAsia="宋体"/>
          <w:color w:val="auto"/>
          <w:sz w:val="24"/>
          <w:highlight w:val="none"/>
        </w:rPr>
        <w:t>.</w:t>
      </w:r>
      <w:r>
        <w:rPr>
          <w:rFonts w:hint="eastAsia" w:eastAsia="宋体"/>
          <w:color w:val="auto"/>
          <w:sz w:val="24"/>
          <w:highlight w:val="none"/>
          <w:lang w:val="en-US" w:eastAsia="zh-CN"/>
        </w:rPr>
        <w:t>2</w:t>
      </w:r>
      <w:r>
        <w:rPr>
          <w:rFonts w:hint="eastAsia" w:eastAsia="宋体"/>
          <w:color w:val="auto"/>
          <w:sz w:val="24"/>
          <w:highlight w:val="none"/>
        </w:rPr>
        <w:t xml:space="preserve"> </w:t>
      </w:r>
      <w:bookmarkEnd w:id="182"/>
      <w:r>
        <w:rPr>
          <w:rFonts w:hint="eastAsia" w:ascii="宋体" w:hAnsi="宋体" w:eastAsia="宋体" w:cs="宋体"/>
          <w:color w:val="auto"/>
          <w:kern w:val="2"/>
          <w:sz w:val="24"/>
          <w:szCs w:val="22"/>
          <w:highlight w:val="none"/>
        </w:rPr>
        <w:t>采购代理机构按照招标文件规定的时间、地点主持开标。采购人在规定的</w:t>
      </w:r>
      <w:r>
        <w:rPr>
          <w:rFonts w:hint="eastAsia" w:ascii="宋体" w:hAnsi="宋体" w:eastAsia="宋体" w:cs="宋体"/>
          <w:color w:val="auto"/>
          <w:kern w:val="2"/>
          <w:sz w:val="24"/>
          <w:szCs w:val="22"/>
          <w:highlight w:val="none"/>
          <w:lang w:eastAsia="zh-CN"/>
        </w:rPr>
        <w:t>投标文件</w:t>
      </w:r>
      <w:r>
        <w:rPr>
          <w:rFonts w:hint="eastAsia" w:ascii="宋体" w:hAnsi="宋体" w:eastAsia="宋体" w:cs="宋体"/>
          <w:color w:val="auto"/>
          <w:kern w:val="2"/>
          <w:sz w:val="24"/>
          <w:szCs w:val="22"/>
          <w:highlight w:val="none"/>
        </w:rPr>
        <w:t>递交截止时间（开标时间）和地点进行不见面远程开标。</w:t>
      </w:r>
      <w:r>
        <w:rPr>
          <w:rFonts w:hint="eastAsia" w:ascii="宋体" w:hAnsi="宋体" w:eastAsia="宋体" w:cs="宋体"/>
          <w:color w:val="auto"/>
          <w:kern w:val="2"/>
          <w:sz w:val="24"/>
          <w:szCs w:val="22"/>
          <w:highlight w:val="none"/>
          <w:lang w:eastAsia="zh-CN"/>
        </w:rPr>
        <w:t>投标人</w:t>
      </w:r>
      <w:r>
        <w:rPr>
          <w:rFonts w:hint="eastAsia" w:ascii="宋体" w:hAnsi="宋体" w:eastAsia="宋体" w:cs="宋体"/>
          <w:color w:val="auto"/>
          <w:kern w:val="2"/>
          <w:sz w:val="24"/>
          <w:szCs w:val="22"/>
          <w:highlight w:val="none"/>
        </w:rPr>
        <w:t>的法定代表人或其委托代理人无需到达开标现场，仅需在任意地点通过</w:t>
      </w:r>
      <w:r>
        <w:rPr>
          <w:rFonts w:hint="eastAsia" w:ascii="宋体" w:hAnsi="宋体" w:eastAsia="宋体" w:cs="宋体"/>
          <w:color w:val="auto"/>
          <w:kern w:val="2"/>
          <w:sz w:val="24"/>
          <w:szCs w:val="22"/>
          <w:highlight w:val="none"/>
          <w:lang w:val="en-US" w:eastAsia="zh-CN"/>
        </w:rPr>
        <w:t>政府采购电子交易云平台（网址：https://www.zcygov.cn/）</w:t>
      </w:r>
      <w:r>
        <w:rPr>
          <w:rFonts w:hint="eastAsia" w:ascii="宋体" w:hAnsi="宋体" w:eastAsia="宋体" w:cs="宋体"/>
          <w:color w:val="auto"/>
          <w:kern w:val="2"/>
          <w:sz w:val="24"/>
          <w:szCs w:val="22"/>
          <w:highlight w:val="none"/>
        </w:rPr>
        <w:t>的</w:t>
      </w:r>
      <w:r>
        <w:rPr>
          <w:rFonts w:hint="eastAsia"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政采云登录入口”登录后，进入“政采云远程开标大厅”参加开标会议，并使用CA密钥完成远程解密、提疑澄清、开标唱标、结果公布等交互环节。</w:t>
      </w:r>
    </w:p>
    <w:p w14:paraId="4F83B05F">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lang w:val="en-US" w:eastAsia="zh-CN"/>
        </w:rPr>
        <w:t>2</w:t>
      </w:r>
      <w:r>
        <w:rPr>
          <w:rFonts w:hint="eastAsia"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lang w:val="en-US" w:eastAsia="zh-CN"/>
        </w:rPr>
        <w:t xml:space="preserve">.3开标过程将宣布投标人名称、投标价格和招标文件规定的需要宣布的其他内容并进行记录，并由参加开标的各投标人确认。投标人未在规定时间内提 出疑义或确认一览表的，视同认可开标结果。 </w:t>
      </w:r>
    </w:p>
    <w:p w14:paraId="63FB5E60">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83" w:name="_Toc140132783"/>
      <w:bookmarkStart w:id="184" w:name="_Toc163492852"/>
      <w:r>
        <w:rPr>
          <w:rFonts w:hint="eastAsia" w:ascii="宋体" w:hAnsi="宋体" w:eastAsia="宋体" w:cs="宋体"/>
          <w:b/>
          <w:bCs/>
          <w:color w:val="auto"/>
          <w:kern w:val="2"/>
          <w:sz w:val="24"/>
          <w:szCs w:val="28"/>
          <w:highlight w:val="none"/>
          <w:lang w:val="en-US" w:eastAsia="zh-CN" w:bidi="ar-SA"/>
        </w:rPr>
        <w:t>25.开标程序</w:t>
      </w:r>
      <w:bookmarkEnd w:id="183"/>
      <w:bookmarkEnd w:id="184"/>
    </w:p>
    <w:p w14:paraId="60F7948B">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.1 投标人不足3家的，不得开标。</w:t>
      </w:r>
    </w:p>
    <w:p w14:paraId="5B4EFA66">
      <w:pPr>
        <w:keepNext w:val="0"/>
        <w:keepLines w:val="0"/>
        <w:pageBreakBefore w:val="0"/>
        <w:widowControl w:val="0"/>
        <w:kinsoku/>
        <w:overflowPunct/>
        <w:topLinePunct w:val="0"/>
        <w:autoSpaceDE/>
        <w:autoSpaceDN/>
        <w:bidi w:val="0"/>
        <w:adjustRightInd/>
        <w:ind w:firstLine="480" w:firstLineChars="200"/>
        <w:textAlignment w:val="auto"/>
        <w:rPr>
          <w:rFonts w:eastAsia="宋体"/>
          <w:color w:val="auto"/>
          <w:sz w:val="24"/>
          <w:highlight w:val="none"/>
        </w:rPr>
      </w:pPr>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.2 评标委员会成员不得参加开标活动。</w:t>
      </w:r>
    </w:p>
    <w:p w14:paraId="6EDD80B3">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.3主持人按下列程序进行开标：</w:t>
      </w:r>
    </w:p>
    <w:p w14:paraId="02BF7803">
      <w:pPr>
        <w:keepNext w:val="0"/>
        <w:keepLines w:val="0"/>
        <w:pageBreakBefore w:val="0"/>
        <w:widowControl w:val="0"/>
        <w:kinsoku/>
        <w:overflowPunct/>
        <w:topLinePunct w:val="0"/>
        <w:autoSpaceDE/>
        <w:autoSpaceDN/>
        <w:bidi w:val="0"/>
        <w:adjustRightInd/>
        <w:ind w:firstLine="398" w:firstLineChars="166"/>
        <w:textAlignment w:val="auto"/>
        <w:rPr>
          <w:rFonts w:eastAsia="宋体" w:cs="仿宋_GB2312"/>
          <w:color w:val="auto"/>
          <w:sz w:val="24"/>
          <w:szCs w:val="24"/>
          <w:highlight w:val="none"/>
        </w:rPr>
      </w:pPr>
      <w:r>
        <w:rPr>
          <w:rFonts w:hint="eastAsia" w:eastAsia="宋体" w:cs="仿宋_GB2312"/>
          <w:color w:val="auto"/>
          <w:sz w:val="24"/>
          <w:szCs w:val="24"/>
          <w:highlight w:val="none"/>
        </w:rPr>
        <w:t>（1）宣布开标会纪律；</w:t>
      </w:r>
    </w:p>
    <w:p w14:paraId="06FE8596">
      <w:pPr>
        <w:keepNext w:val="0"/>
        <w:keepLines w:val="0"/>
        <w:pageBreakBefore w:val="0"/>
        <w:widowControl w:val="0"/>
        <w:kinsoku/>
        <w:overflowPunct/>
        <w:topLinePunct w:val="0"/>
        <w:autoSpaceDE/>
        <w:autoSpaceDN/>
        <w:bidi w:val="0"/>
        <w:adjustRightInd/>
        <w:ind w:firstLine="398" w:firstLineChars="166"/>
        <w:textAlignment w:val="auto"/>
        <w:rPr>
          <w:rFonts w:eastAsia="宋体" w:cs="仿宋_GB2312"/>
          <w:color w:val="auto"/>
          <w:sz w:val="24"/>
          <w:szCs w:val="24"/>
          <w:highlight w:val="none"/>
        </w:rPr>
      </w:pPr>
      <w:r>
        <w:rPr>
          <w:rFonts w:hint="eastAsia" w:eastAsia="宋体" w:cs="仿宋_GB2312"/>
          <w:color w:val="auto"/>
          <w:sz w:val="24"/>
          <w:szCs w:val="24"/>
          <w:highlight w:val="none"/>
        </w:rPr>
        <w:t>（2）介绍参加开标会的单位和人员；</w:t>
      </w:r>
    </w:p>
    <w:p w14:paraId="69CFC68B">
      <w:pPr>
        <w:keepNext w:val="0"/>
        <w:keepLines w:val="0"/>
        <w:pageBreakBefore w:val="0"/>
        <w:widowControl w:val="0"/>
        <w:kinsoku/>
        <w:overflowPunct/>
        <w:topLinePunct w:val="0"/>
        <w:autoSpaceDE/>
        <w:autoSpaceDN/>
        <w:bidi w:val="0"/>
        <w:adjustRightInd/>
        <w:ind w:firstLine="398" w:firstLineChars="166"/>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（3）发起投标文件解密。投标人应在“投标人须知前附表”规定的时间内使用加密投标文件的CA证书在系统中完成投标文件的解密；</w:t>
      </w:r>
      <w:r>
        <w:rPr>
          <w:rFonts w:hint="eastAsia" w:eastAsia="宋体" w:cs="仿宋_GB2312"/>
          <w:color w:val="auto"/>
          <w:sz w:val="24"/>
          <w:szCs w:val="24"/>
          <w:highlight w:val="none"/>
          <w:lang w:val="en-US" w:eastAsia="zh-CN"/>
        </w:rPr>
        <w:t>投标人不足3家的，不予解密；</w:t>
      </w:r>
    </w:p>
    <w:p w14:paraId="30C058B0">
      <w:pPr>
        <w:keepNext w:val="0"/>
        <w:keepLines w:val="0"/>
        <w:pageBreakBefore w:val="0"/>
        <w:widowControl w:val="0"/>
        <w:kinsoku/>
        <w:overflowPunct/>
        <w:topLinePunct w:val="0"/>
        <w:autoSpaceDE/>
        <w:autoSpaceDN/>
        <w:bidi w:val="0"/>
        <w:adjustRightInd/>
        <w:ind w:firstLine="398" w:firstLineChars="166"/>
        <w:textAlignment w:val="auto"/>
        <w:rPr>
          <w:rFonts w:eastAsia="宋体" w:cs="仿宋_GB2312"/>
          <w:color w:val="auto"/>
          <w:sz w:val="24"/>
          <w:szCs w:val="24"/>
          <w:highlight w:val="none"/>
        </w:rPr>
      </w:pPr>
      <w:r>
        <w:rPr>
          <w:rFonts w:hint="eastAsia" w:eastAsia="宋体" w:cs="仿宋_GB2312"/>
          <w:color w:val="auto"/>
          <w:sz w:val="24"/>
          <w:szCs w:val="24"/>
          <w:highlight w:val="none"/>
        </w:rPr>
        <w:t>（4）解密完成后，系统自动显示投标人名称、投标价格和招标文件规定的需要宣布的其他内容；</w:t>
      </w:r>
    </w:p>
    <w:p w14:paraId="102D4E44">
      <w:pPr>
        <w:keepNext w:val="0"/>
        <w:keepLines w:val="0"/>
        <w:pageBreakBefore w:val="0"/>
        <w:widowControl w:val="0"/>
        <w:kinsoku/>
        <w:overflowPunct/>
        <w:topLinePunct w:val="0"/>
        <w:autoSpaceDE/>
        <w:autoSpaceDN/>
        <w:bidi w:val="0"/>
        <w:adjustRightInd/>
        <w:ind w:left="564" w:leftChars="200" w:hanging="84" w:hangingChars="35"/>
        <w:textAlignment w:val="auto"/>
        <w:rPr>
          <w:rFonts w:hint="eastAsia" w:eastAsia="宋体" w:cs="仿宋_GB2312"/>
          <w:color w:val="auto"/>
          <w:sz w:val="24"/>
          <w:szCs w:val="24"/>
          <w:highlight w:val="none"/>
          <w:lang w:val="en-US" w:eastAsia="zh-CN"/>
        </w:rPr>
      </w:pPr>
      <w:r>
        <w:rPr>
          <w:rFonts w:hint="eastAsia" w:eastAsia="宋体" w:cs="仿宋_GB2312"/>
          <w:color w:val="auto"/>
          <w:sz w:val="24"/>
          <w:szCs w:val="24"/>
          <w:highlight w:val="none"/>
        </w:rPr>
        <w:t>（5）系统自动生成开标记录表，</w:t>
      </w:r>
      <w:r>
        <w:rPr>
          <w:rFonts w:hint="eastAsia" w:eastAsia="宋体" w:cs="仿宋_GB2312"/>
          <w:color w:val="auto"/>
          <w:sz w:val="24"/>
          <w:szCs w:val="24"/>
          <w:highlight w:val="none"/>
          <w:lang w:val="en-US" w:eastAsia="zh-CN"/>
        </w:rPr>
        <w:t>投标人</w:t>
      </w:r>
      <w:r>
        <w:rPr>
          <w:rFonts w:hint="eastAsia" w:eastAsia="宋体" w:cs="仿宋_GB2312"/>
          <w:color w:val="auto"/>
          <w:sz w:val="24"/>
          <w:szCs w:val="24"/>
          <w:highlight w:val="none"/>
        </w:rPr>
        <w:t>应在线对开标记录进行签署确认</w:t>
      </w:r>
      <w:r>
        <w:rPr>
          <w:rFonts w:hint="eastAsia" w:eastAsia="宋体" w:cs="仿宋_GB2312"/>
          <w:color w:val="auto"/>
          <w:sz w:val="24"/>
          <w:szCs w:val="24"/>
          <w:highlight w:val="none"/>
          <w:lang w:val="en-US" w:eastAsia="zh-CN"/>
        </w:rPr>
        <w:t>；</w:t>
      </w:r>
    </w:p>
    <w:p w14:paraId="1E68785D">
      <w:pPr>
        <w:keepNext w:val="0"/>
        <w:keepLines w:val="0"/>
        <w:pageBreakBefore w:val="0"/>
        <w:widowControl w:val="0"/>
        <w:kinsoku/>
        <w:overflowPunct/>
        <w:topLinePunct w:val="0"/>
        <w:autoSpaceDE/>
        <w:autoSpaceDN/>
        <w:bidi w:val="0"/>
        <w:adjustRightInd/>
        <w:ind w:left="564" w:leftChars="200" w:hanging="84" w:hangingChars="35"/>
        <w:textAlignment w:val="auto"/>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（6）开标会结束。</w:t>
      </w:r>
      <w:bookmarkStart w:id="185" w:name="_Toc140132784"/>
      <w:bookmarkStart w:id="186" w:name="_Toc163492853"/>
    </w:p>
    <w:p w14:paraId="459D358F">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r>
        <w:rPr>
          <w:rFonts w:hint="eastAsia" w:ascii="宋体" w:hAnsi="宋体" w:eastAsia="宋体" w:cs="宋体"/>
          <w:b/>
          <w:bCs/>
          <w:color w:val="auto"/>
          <w:kern w:val="2"/>
          <w:sz w:val="24"/>
          <w:szCs w:val="28"/>
          <w:highlight w:val="none"/>
          <w:lang w:val="en-US" w:eastAsia="zh-CN" w:bidi="ar-SA"/>
        </w:rPr>
        <w:t>26.开标疑义及回避情形</w:t>
      </w:r>
      <w:bookmarkEnd w:id="185"/>
      <w:bookmarkEnd w:id="186"/>
    </w:p>
    <w:p w14:paraId="04573EB2">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6</w:t>
      </w:r>
      <w:r>
        <w:rPr>
          <w:rFonts w:hint="eastAsia" w:eastAsia="宋体"/>
          <w:color w:val="auto"/>
          <w:sz w:val="24"/>
          <w:highlight w:val="none"/>
        </w:rPr>
        <w:t>.1投标人代表对开标过程和开标记录有疑义，以及认为采购人、采购代理机构相关工作人员有需要回避的情形的，应在开标会议中提出询问或者回避申请。采购人、采购代理机构对投标人授权代表提出的询问或者回避申请应当及时处理。</w:t>
      </w:r>
    </w:p>
    <w:p w14:paraId="4E69EE01">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6</w:t>
      </w:r>
      <w:r>
        <w:rPr>
          <w:rFonts w:hint="eastAsia" w:eastAsia="宋体"/>
          <w:color w:val="auto"/>
          <w:sz w:val="24"/>
          <w:highlight w:val="none"/>
        </w:rPr>
        <w:t>.2投标人未参加开标的，视同认可开标结果。</w:t>
      </w:r>
    </w:p>
    <w:p w14:paraId="55D243EF">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bookmarkStart w:id="187" w:name="_Toc140132785"/>
      <w:bookmarkStart w:id="188" w:name="_Toc163492854"/>
      <w:bookmarkStart w:id="189" w:name="_Toc155185877"/>
      <w:r>
        <w:rPr>
          <w:rFonts w:hint="eastAsia" w:ascii="宋体" w:hAnsi="宋体" w:eastAsia="宋体" w:cs="宋体"/>
          <w:b/>
          <w:bCs/>
          <w:color w:val="auto"/>
          <w:kern w:val="2"/>
          <w:sz w:val="24"/>
          <w:szCs w:val="32"/>
          <w:highlight w:val="none"/>
          <w:lang w:val="en-US" w:eastAsia="zh-CN" w:bidi="ar-SA"/>
        </w:rPr>
        <w:t>（六）资格审查</w:t>
      </w:r>
      <w:bookmarkEnd w:id="187"/>
      <w:bookmarkEnd w:id="188"/>
      <w:bookmarkEnd w:id="189"/>
    </w:p>
    <w:p w14:paraId="2C1B5FD6">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90" w:name="_Toc163492855"/>
      <w:r>
        <w:rPr>
          <w:rFonts w:hint="eastAsia" w:ascii="宋体" w:hAnsi="宋体" w:eastAsia="宋体" w:cs="宋体"/>
          <w:b/>
          <w:bCs/>
          <w:color w:val="auto"/>
          <w:kern w:val="2"/>
          <w:sz w:val="24"/>
          <w:szCs w:val="28"/>
          <w:highlight w:val="none"/>
          <w:lang w:val="en-US" w:eastAsia="zh-CN" w:bidi="ar-SA"/>
        </w:rPr>
        <w:t>27.资格审查及审查主体</w:t>
      </w:r>
      <w:bookmarkEnd w:id="190"/>
    </w:p>
    <w:p w14:paraId="3F6E8AD4">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bookmarkStart w:id="191" w:name="_Toc140132786"/>
      <w:r>
        <w:rPr>
          <w:rFonts w:hint="eastAsia"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.1</w:t>
      </w:r>
      <w:bookmarkEnd w:id="191"/>
      <w:r>
        <w:rPr>
          <w:rFonts w:hint="eastAsia" w:eastAsia="宋体"/>
          <w:color w:val="auto"/>
          <w:sz w:val="24"/>
          <w:highlight w:val="none"/>
        </w:rPr>
        <w:t>开标结束后，采购人或者采购代理机构应当依法对投标人的资格进行审查。</w:t>
      </w:r>
    </w:p>
    <w:p w14:paraId="6F7626D3">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bookmarkStart w:id="192" w:name="_Toc140132787"/>
      <w:r>
        <w:rPr>
          <w:rFonts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.2</w:t>
      </w:r>
      <w:r>
        <w:rPr>
          <w:rFonts w:eastAsia="宋体"/>
          <w:color w:val="auto"/>
          <w:sz w:val="24"/>
          <w:highlight w:val="none"/>
        </w:rPr>
        <w:t>资格审查</w:t>
      </w:r>
      <w:r>
        <w:rPr>
          <w:rFonts w:hint="eastAsia" w:eastAsia="宋体"/>
          <w:color w:val="auto"/>
          <w:sz w:val="24"/>
          <w:highlight w:val="none"/>
        </w:rPr>
        <w:t>按“第四章</w:t>
      </w:r>
      <w:r>
        <w:rPr>
          <w:rFonts w:hint="eastAsia" w:eastAsia="宋体"/>
          <w:color w:val="auto"/>
          <w:sz w:val="24"/>
          <w:highlight w:val="none"/>
          <w:lang w:val="en-US" w:eastAsia="zh-CN"/>
        </w:rPr>
        <w:t xml:space="preserve"> </w:t>
      </w:r>
      <w:r>
        <w:rPr>
          <w:rFonts w:hint="eastAsia" w:eastAsia="宋体"/>
          <w:color w:val="auto"/>
          <w:sz w:val="24"/>
          <w:highlight w:val="none"/>
        </w:rPr>
        <w:t>资格审查”的规定进行。</w:t>
      </w:r>
      <w:bookmarkEnd w:id="192"/>
    </w:p>
    <w:p w14:paraId="44D43B82">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bookmarkStart w:id="193" w:name="_Toc140132788"/>
      <w:r>
        <w:rPr>
          <w:rFonts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.3</w:t>
      </w:r>
      <w:r>
        <w:rPr>
          <w:rFonts w:eastAsia="宋体"/>
          <w:color w:val="auto"/>
          <w:sz w:val="24"/>
          <w:highlight w:val="none"/>
        </w:rPr>
        <w:t>资格审查结束后，应及时对资格审查结果进行复核，对资格审查错误进行及时纠正并记录。</w:t>
      </w:r>
      <w:bookmarkEnd w:id="193"/>
    </w:p>
    <w:p w14:paraId="272F167A">
      <w:pPr>
        <w:pStyle w:val="38"/>
        <w:keepNext w:val="0"/>
        <w:keepLines w:val="0"/>
        <w:pageBreakBefore w:val="0"/>
        <w:widowControl w:val="0"/>
        <w:kinsoku/>
        <w:overflowPunct/>
        <w:topLinePunct w:val="0"/>
        <w:autoSpaceDE/>
        <w:autoSpaceDN/>
        <w:bidi w:val="0"/>
        <w:adjustRightInd/>
        <w:textAlignment w:val="auto"/>
        <w:rPr>
          <w:rFonts w:hint="default" w:eastAsia="宋体"/>
          <w:color w:val="auto"/>
          <w:sz w:val="24"/>
          <w:highlight w:val="none"/>
          <w:lang w:val="en-US" w:eastAsia="zh-CN"/>
        </w:rPr>
      </w:pPr>
      <w:r>
        <w:rPr>
          <w:rFonts w:hint="eastAsia" w:eastAsia="宋体"/>
          <w:color w:val="auto"/>
          <w:sz w:val="24"/>
          <w:highlight w:val="none"/>
          <w:lang w:val="en-US" w:eastAsia="zh-CN"/>
        </w:rPr>
        <w:t>27.4</w:t>
      </w:r>
      <w:r>
        <w:rPr>
          <w:rFonts w:eastAsia="宋体"/>
          <w:color w:val="auto"/>
          <w:sz w:val="24"/>
          <w:highlight w:val="none"/>
        </w:rPr>
        <w:t>资格审查</w:t>
      </w:r>
      <w:r>
        <w:rPr>
          <w:rFonts w:hint="eastAsia" w:eastAsia="宋体"/>
          <w:color w:val="auto"/>
          <w:sz w:val="24"/>
          <w:highlight w:val="none"/>
        </w:rPr>
        <w:t>合格投标人不足3家的，不得评标。</w:t>
      </w:r>
    </w:p>
    <w:p w14:paraId="7A1F7D21">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bookmarkStart w:id="194" w:name="_Toc140132789"/>
      <w:bookmarkStart w:id="195" w:name="_Toc163492856"/>
      <w:bookmarkStart w:id="196" w:name="_Toc155185878"/>
      <w:r>
        <w:rPr>
          <w:rFonts w:hint="eastAsia" w:ascii="宋体" w:hAnsi="宋体" w:eastAsia="宋体" w:cs="宋体"/>
          <w:b/>
          <w:bCs/>
          <w:color w:val="auto"/>
          <w:kern w:val="2"/>
          <w:sz w:val="24"/>
          <w:szCs w:val="32"/>
          <w:highlight w:val="none"/>
          <w:lang w:val="en-US" w:eastAsia="zh-CN" w:bidi="ar-SA"/>
        </w:rPr>
        <w:t>（七）评标</w:t>
      </w:r>
      <w:bookmarkEnd w:id="194"/>
      <w:bookmarkEnd w:id="195"/>
      <w:bookmarkEnd w:id="196"/>
    </w:p>
    <w:p w14:paraId="7EBE7ABE">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97" w:name="_Toc140132790"/>
      <w:bookmarkStart w:id="198" w:name="_Toc163492857"/>
      <w:r>
        <w:rPr>
          <w:rFonts w:hint="eastAsia" w:ascii="宋体" w:hAnsi="宋体" w:eastAsia="宋体" w:cs="宋体"/>
          <w:b/>
          <w:bCs/>
          <w:color w:val="auto"/>
          <w:kern w:val="2"/>
          <w:sz w:val="24"/>
          <w:szCs w:val="28"/>
          <w:highlight w:val="none"/>
          <w:lang w:val="en-US" w:eastAsia="zh-CN" w:bidi="ar-SA"/>
        </w:rPr>
        <w:t>28.评标委员会</w:t>
      </w:r>
      <w:bookmarkEnd w:id="197"/>
      <w:bookmarkEnd w:id="198"/>
    </w:p>
    <w:p w14:paraId="1EA2B13D">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ascii="宋体" w:hAnsi="宋体" w:eastAsia="宋体"/>
          <w:color w:val="auto"/>
          <w:sz w:val="24"/>
          <w:highlight w:val="none"/>
        </w:rPr>
        <w:t>2</w:t>
      </w:r>
      <w:r>
        <w:rPr>
          <w:rFonts w:hint="eastAsia" w:ascii="宋体" w:hAnsi="宋体" w:eastAsia="宋体"/>
          <w:color w:val="auto"/>
          <w:sz w:val="24"/>
          <w:highlight w:val="none"/>
          <w:lang w:val="en-US" w:eastAsia="zh-CN"/>
        </w:rPr>
        <w:t>8</w:t>
      </w:r>
      <w:r>
        <w:rPr>
          <w:rFonts w:hint="eastAsia" w:ascii="宋体" w:hAnsi="宋体" w:eastAsia="宋体"/>
          <w:color w:val="auto"/>
          <w:sz w:val="24"/>
          <w:highlight w:val="none"/>
        </w:rPr>
        <w:t>.1 评标由采购人依法组建的评标委员会负责。评标委员会由采购人代表和评审专家组成</w:t>
      </w:r>
      <w:r>
        <w:rPr>
          <w:rFonts w:hint="eastAsia" w:ascii="宋体" w:hAnsi="宋体" w:eastAsia="宋体"/>
          <w:color w:val="auto"/>
          <w:sz w:val="24"/>
          <w:highlight w:val="none"/>
          <w:lang w:eastAsia="zh-CN"/>
        </w:rPr>
        <w:t>，</w:t>
      </w:r>
      <w:r>
        <w:rPr>
          <w:rFonts w:hint="eastAsia" w:ascii="宋体" w:hAnsi="宋体" w:eastAsia="宋体"/>
          <w:color w:val="auto"/>
          <w:sz w:val="24"/>
          <w:highlight w:val="none"/>
          <w:lang w:val="en-US" w:eastAsia="zh-CN"/>
        </w:rPr>
        <w:t>成员人数应当为5</w:t>
      </w:r>
      <w:r>
        <w:rPr>
          <w:rFonts w:hint="eastAsia" w:ascii="宋体" w:hAnsi="宋体" w:eastAsia="宋体"/>
          <w:color w:val="auto"/>
          <w:sz w:val="24"/>
          <w:highlight w:val="none"/>
        </w:rPr>
        <w:t>人以上单数，其中</w:t>
      </w:r>
      <w:r>
        <w:rPr>
          <w:rFonts w:hint="eastAsia" w:ascii="宋体" w:hAnsi="宋体" w:eastAsia="宋体"/>
          <w:color w:val="auto"/>
          <w:sz w:val="24"/>
          <w:highlight w:val="none"/>
          <w:lang w:val="en-US" w:eastAsia="zh-CN"/>
        </w:rPr>
        <w:t>评审</w:t>
      </w:r>
      <w:r>
        <w:rPr>
          <w:rFonts w:hint="eastAsia" w:ascii="宋体" w:hAnsi="宋体" w:eastAsia="宋体"/>
          <w:color w:val="auto"/>
          <w:sz w:val="24"/>
          <w:highlight w:val="none"/>
        </w:rPr>
        <w:t>专家不</w:t>
      </w:r>
      <w:r>
        <w:rPr>
          <w:rFonts w:hint="eastAsia" w:ascii="宋体" w:hAnsi="宋体" w:eastAsia="宋体"/>
          <w:color w:val="auto"/>
          <w:sz w:val="24"/>
          <w:highlight w:val="none"/>
          <w:lang w:val="en-US" w:eastAsia="zh-CN"/>
        </w:rPr>
        <w:t>得</w:t>
      </w:r>
      <w:r>
        <w:rPr>
          <w:rFonts w:hint="eastAsia" w:ascii="宋体" w:hAnsi="宋体" w:eastAsia="宋体"/>
          <w:color w:val="auto"/>
          <w:sz w:val="24"/>
          <w:highlight w:val="none"/>
        </w:rPr>
        <w:t>少于</w:t>
      </w:r>
      <w:r>
        <w:rPr>
          <w:rFonts w:hint="eastAsia" w:ascii="宋体" w:hAnsi="宋体" w:eastAsia="宋体"/>
          <w:color w:val="auto"/>
          <w:sz w:val="24"/>
          <w:highlight w:val="none"/>
          <w:lang w:val="en-US" w:eastAsia="zh-CN"/>
        </w:rPr>
        <w:t>成员总数的</w:t>
      </w:r>
      <w:r>
        <w:rPr>
          <w:rFonts w:hint="eastAsia" w:ascii="宋体" w:hAnsi="宋体" w:eastAsia="宋体"/>
          <w:color w:val="auto"/>
          <w:sz w:val="24"/>
          <w:highlight w:val="none"/>
        </w:rPr>
        <w:t>三分之二。</w:t>
      </w:r>
      <w:r>
        <w:rPr>
          <w:rFonts w:hint="default" w:ascii="宋体" w:hAnsi="宋体" w:eastAsia="宋体"/>
          <w:color w:val="auto"/>
          <w:sz w:val="24"/>
          <w:highlight w:val="none"/>
          <w:lang w:val="en-US" w:eastAsia="zh-CN"/>
        </w:rPr>
        <w:t>采购人或者采购代理机构应当从省级以上财政部门设立的政府采购评审专家库中，通过随机方式抽取评审专家。</w:t>
      </w:r>
    </w:p>
    <w:p w14:paraId="32DE7801">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 xml:space="preserve">28.2 </w:t>
      </w:r>
      <w:r>
        <w:rPr>
          <w:rFonts w:ascii="宋体" w:hAnsi="宋体" w:eastAsia="宋体"/>
          <w:color w:val="auto"/>
          <w:sz w:val="24"/>
          <w:highlight w:val="none"/>
          <w:lang w:val="en-US" w:eastAsia="zh-CN"/>
        </w:rPr>
        <w:t>采购项目符合下列情形之一的，评标委员会成员人数应当为</w:t>
      </w:r>
      <w:r>
        <w:rPr>
          <w:rFonts w:hint="default" w:ascii="宋体" w:hAnsi="宋体" w:eastAsia="宋体"/>
          <w:color w:val="auto"/>
          <w:sz w:val="24"/>
          <w:highlight w:val="none"/>
          <w:lang w:val="en-US" w:eastAsia="zh-CN"/>
        </w:rPr>
        <w:t>7人以上单数：</w:t>
      </w:r>
    </w:p>
    <w:p w14:paraId="05C639B0">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default" w:ascii="宋体" w:hAnsi="宋体" w:eastAsia="宋体"/>
          <w:color w:val="auto"/>
          <w:sz w:val="24"/>
          <w:highlight w:val="none"/>
          <w:lang w:val="en-US" w:eastAsia="zh-CN"/>
        </w:rPr>
        <w:t>（</w:t>
      </w:r>
      <w:r>
        <w:rPr>
          <w:rFonts w:hint="eastAsia" w:ascii="宋体" w:hAnsi="宋体" w:eastAsia="宋体"/>
          <w:color w:val="auto"/>
          <w:sz w:val="24"/>
          <w:highlight w:val="none"/>
          <w:lang w:val="en-US" w:eastAsia="zh-CN"/>
        </w:rPr>
        <w:t>1</w:t>
      </w:r>
      <w:r>
        <w:rPr>
          <w:rFonts w:hint="default" w:ascii="宋体" w:hAnsi="宋体" w:eastAsia="宋体"/>
          <w:color w:val="auto"/>
          <w:sz w:val="24"/>
          <w:highlight w:val="none"/>
          <w:lang w:val="en-US" w:eastAsia="zh-CN"/>
        </w:rPr>
        <w:t>）采购预算金额在1000万元以上；</w:t>
      </w:r>
    </w:p>
    <w:p w14:paraId="67DFE620">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default" w:ascii="宋体" w:hAnsi="宋体" w:eastAsia="宋体"/>
          <w:color w:val="auto"/>
          <w:sz w:val="24"/>
          <w:highlight w:val="none"/>
          <w:lang w:val="en-US" w:eastAsia="zh-CN"/>
        </w:rPr>
        <w:t>（</w:t>
      </w:r>
      <w:r>
        <w:rPr>
          <w:rFonts w:hint="eastAsia" w:ascii="宋体" w:hAnsi="宋体" w:eastAsia="宋体"/>
          <w:color w:val="auto"/>
          <w:sz w:val="24"/>
          <w:highlight w:val="none"/>
          <w:lang w:val="en-US" w:eastAsia="zh-CN"/>
        </w:rPr>
        <w:t>2</w:t>
      </w:r>
      <w:r>
        <w:rPr>
          <w:rFonts w:hint="default" w:ascii="宋体" w:hAnsi="宋体" w:eastAsia="宋体"/>
          <w:color w:val="auto"/>
          <w:sz w:val="24"/>
          <w:highlight w:val="none"/>
          <w:lang w:val="en-US" w:eastAsia="zh-CN"/>
        </w:rPr>
        <w:t>）技术复杂；</w:t>
      </w:r>
    </w:p>
    <w:p w14:paraId="6B9FB10B">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default" w:ascii="宋体" w:hAnsi="宋体" w:eastAsia="宋体"/>
          <w:color w:val="auto"/>
          <w:sz w:val="24"/>
          <w:highlight w:val="none"/>
          <w:lang w:val="en-US" w:eastAsia="zh-CN"/>
        </w:rPr>
        <w:t>（</w:t>
      </w:r>
      <w:r>
        <w:rPr>
          <w:rFonts w:hint="eastAsia" w:ascii="宋体" w:hAnsi="宋体" w:eastAsia="宋体"/>
          <w:color w:val="auto"/>
          <w:sz w:val="24"/>
          <w:highlight w:val="none"/>
          <w:lang w:val="en-US" w:eastAsia="zh-CN"/>
        </w:rPr>
        <w:t>3</w:t>
      </w:r>
      <w:r>
        <w:rPr>
          <w:rFonts w:hint="default" w:ascii="宋体" w:hAnsi="宋体" w:eastAsia="宋体"/>
          <w:color w:val="auto"/>
          <w:sz w:val="24"/>
          <w:highlight w:val="none"/>
          <w:lang w:val="en-US" w:eastAsia="zh-CN"/>
        </w:rPr>
        <w:t>）社会影响较大。</w:t>
      </w:r>
    </w:p>
    <w:p w14:paraId="4590A674">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28.3</w:t>
      </w:r>
      <w:r>
        <w:rPr>
          <w:rFonts w:hint="default" w:ascii="宋体" w:hAnsi="宋体" w:eastAsia="宋体"/>
          <w:color w:val="auto"/>
          <w:sz w:val="24"/>
          <w:highlight w:val="none"/>
          <w:lang w:val="en-US" w:eastAsia="zh-CN"/>
        </w:rPr>
        <w:t>评审专家对本单位的采购项目只能作为采购人代表参与评标，对技术复杂、专业性强的采购项目，通过随机方式难以确定合适评审专家的，经主管预算单位同意，采购人可以自行选定相应专业领域的评审专家。采购代理机构工作人员不得参加由本机构代理的政府采购项目的评标。</w:t>
      </w:r>
    </w:p>
    <w:p w14:paraId="16E92807">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28.4</w:t>
      </w:r>
      <w:r>
        <w:rPr>
          <w:rFonts w:hint="default" w:ascii="宋体" w:hAnsi="宋体" w:eastAsia="宋体"/>
          <w:color w:val="auto"/>
          <w:sz w:val="24"/>
          <w:highlight w:val="none"/>
          <w:lang w:val="en-US" w:eastAsia="zh-CN"/>
        </w:rPr>
        <w:t>评标委员会成员名单在评标结果公告前应当保密。</w:t>
      </w:r>
    </w:p>
    <w:p w14:paraId="2F8842E2">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28.5</w:t>
      </w:r>
      <w:r>
        <w:rPr>
          <w:rFonts w:hint="default" w:ascii="宋体" w:hAnsi="宋体" w:eastAsia="宋体"/>
          <w:color w:val="auto"/>
          <w:sz w:val="24"/>
          <w:highlight w:val="none"/>
          <w:lang w:val="en-US" w:eastAsia="zh-CN"/>
        </w:rPr>
        <w:t>评标中因评标委员会成员缺席、回避或者健康等特殊原因导致评标委员会组成不符合本办法规定的，采购人或者采购代理机构应当依法补足后继续评标。被更换的评标委员会成员所作出的评标意见无效。</w:t>
      </w:r>
    </w:p>
    <w:p w14:paraId="28948BF7">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28.6</w:t>
      </w:r>
      <w:r>
        <w:rPr>
          <w:rFonts w:hint="default" w:ascii="宋体" w:hAnsi="宋体" w:eastAsia="宋体"/>
          <w:color w:val="auto"/>
          <w:sz w:val="24"/>
          <w:highlight w:val="none"/>
          <w:lang w:val="en-US" w:eastAsia="zh-CN"/>
        </w:rPr>
        <w:t>无法及时补足评标委员会成员的，采购人或者采购代理机构应当停止评标活动，封存所有投标文件和开标、评标资料，依法重新组建评标委员会进行评标。原评标委员会所作出的评标意见无效。</w:t>
      </w:r>
    </w:p>
    <w:p w14:paraId="301CAD81">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8</w:t>
      </w:r>
      <w:r>
        <w:rPr>
          <w:rFonts w:hint="eastAsia" w:eastAsia="宋体"/>
          <w:color w:val="auto"/>
          <w:sz w:val="24"/>
          <w:highlight w:val="none"/>
        </w:rPr>
        <w:t>.</w:t>
      </w:r>
      <w:r>
        <w:rPr>
          <w:rFonts w:hint="eastAsia" w:eastAsia="宋体"/>
          <w:color w:val="auto"/>
          <w:sz w:val="24"/>
          <w:highlight w:val="none"/>
          <w:lang w:val="en-US" w:eastAsia="zh-CN"/>
        </w:rPr>
        <w:t>7</w:t>
      </w:r>
      <w:r>
        <w:rPr>
          <w:rFonts w:hint="eastAsia" w:eastAsia="宋体"/>
          <w:color w:val="auto"/>
          <w:sz w:val="24"/>
          <w:highlight w:val="none"/>
        </w:rPr>
        <w:t xml:space="preserve"> 评标委员会成员有下列情形之一的，应当回避：</w:t>
      </w:r>
    </w:p>
    <w:p w14:paraId="0656ACEF">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（1）参加采购活动前3年内与投标人存在劳动关系；</w:t>
      </w:r>
    </w:p>
    <w:p w14:paraId="55B6A1BF">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（2）参加采购活动前3年内担任投标人的董事、监事；</w:t>
      </w:r>
    </w:p>
    <w:p w14:paraId="61A1D2B8">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（3）参加采购活动前3年内是投标人的控股股东或实际控制人；</w:t>
      </w:r>
    </w:p>
    <w:p w14:paraId="2961D582">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（4）与投标人的法定代表人或者负责人有夫妻、直系血亲、三代以内旁系血亲或者近姻亲关系；</w:t>
      </w:r>
    </w:p>
    <w:p w14:paraId="20FB9B78">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（5）与投标人有其他可能影响采购活动公平、公正进行的关系。</w:t>
      </w:r>
    </w:p>
    <w:p w14:paraId="25BEA5A7">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99" w:name="_Toc163492858"/>
      <w:bookmarkStart w:id="200" w:name="_Toc140132791"/>
      <w:r>
        <w:rPr>
          <w:rFonts w:hint="eastAsia" w:ascii="宋体" w:hAnsi="宋体" w:eastAsia="宋体" w:cs="宋体"/>
          <w:b/>
          <w:bCs/>
          <w:color w:val="auto"/>
          <w:kern w:val="2"/>
          <w:sz w:val="24"/>
          <w:szCs w:val="28"/>
          <w:highlight w:val="none"/>
          <w:lang w:val="en-US" w:eastAsia="zh-CN" w:bidi="ar-SA"/>
        </w:rPr>
        <w:t>29.评标</w:t>
      </w:r>
      <w:bookmarkEnd w:id="199"/>
      <w:bookmarkEnd w:id="200"/>
    </w:p>
    <w:p w14:paraId="6D0B095D">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eastAsia="zh-CN"/>
        </w:rPr>
      </w:pPr>
      <w:r>
        <w:rPr>
          <w:rFonts w:hint="eastAsia" w:eastAsia="宋体"/>
          <w:color w:val="auto"/>
          <w:sz w:val="24"/>
          <w:highlight w:val="none"/>
          <w:lang w:val="en-US" w:eastAsia="zh-CN"/>
        </w:rPr>
        <w:t>29</w:t>
      </w:r>
      <w:r>
        <w:rPr>
          <w:rFonts w:hint="eastAsia" w:eastAsia="宋体"/>
          <w:color w:val="auto"/>
          <w:sz w:val="24"/>
          <w:highlight w:val="none"/>
        </w:rPr>
        <w:t>.1</w:t>
      </w:r>
      <w:r>
        <w:rPr>
          <w:rFonts w:hint="eastAsia" w:eastAsia="宋体"/>
          <w:color w:val="auto"/>
          <w:sz w:val="24"/>
          <w:highlight w:val="none"/>
          <w:lang w:val="en-US" w:eastAsia="zh-CN"/>
        </w:rPr>
        <w:t xml:space="preserve"> 评标方法分为综合评分法和</w:t>
      </w:r>
      <w:r>
        <w:rPr>
          <w:rFonts w:eastAsia="宋体"/>
          <w:color w:val="auto"/>
          <w:sz w:val="24"/>
          <w:highlight w:val="none"/>
        </w:rPr>
        <w:t>最低评标价法</w:t>
      </w:r>
      <w:r>
        <w:rPr>
          <w:rFonts w:hint="eastAsia" w:eastAsia="宋体"/>
          <w:color w:val="auto"/>
          <w:sz w:val="24"/>
          <w:highlight w:val="none"/>
          <w:lang w:eastAsia="zh-CN"/>
        </w:rPr>
        <w:t>，</w:t>
      </w:r>
      <w:r>
        <w:rPr>
          <w:rFonts w:eastAsia="宋体"/>
          <w:color w:val="auto"/>
          <w:sz w:val="24"/>
          <w:highlight w:val="none"/>
        </w:rPr>
        <w:t>本项目</w:t>
      </w:r>
      <w:r>
        <w:rPr>
          <w:rFonts w:hint="eastAsia" w:eastAsia="宋体"/>
          <w:color w:val="auto"/>
          <w:sz w:val="24"/>
          <w:highlight w:val="none"/>
        </w:rPr>
        <w:t>评标</w:t>
      </w:r>
      <w:r>
        <w:rPr>
          <w:rFonts w:hint="eastAsia" w:eastAsia="宋体"/>
          <w:color w:val="auto"/>
          <w:sz w:val="24"/>
          <w:highlight w:val="none"/>
          <w:lang w:val="en-US" w:eastAsia="zh-CN"/>
        </w:rPr>
        <w:t>方法详见</w:t>
      </w:r>
      <w:r>
        <w:rPr>
          <w:rFonts w:hint="eastAsia" w:eastAsia="宋体"/>
          <w:color w:val="auto"/>
          <w:sz w:val="24"/>
          <w:highlight w:val="none"/>
        </w:rPr>
        <w:t>“投标人须知前附表”</w:t>
      </w:r>
      <w:r>
        <w:rPr>
          <w:rFonts w:hint="eastAsia" w:eastAsia="宋体"/>
          <w:color w:val="auto"/>
          <w:sz w:val="24"/>
          <w:highlight w:val="none"/>
          <w:lang w:eastAsia="zh-CN"/>
        </w:rPr>
        <w:t>。</w:t>
      </w:r>
    </w:p>
    <w:p w14:paraId="2BC22B3E">
      <w:pPr>
        <w:pStyle w:val="38"/>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9.1.1</w:t>
      </w:r>
      <w:r>
        <w:rPr>
          <w:rFonts w:eastAsia="宋体"/>
          <w:color w:val="auto"/>
          <w:sz w:val="24"/>
          <w:highlight w:val="none"/>
        </w:rPr>
        <w:t>综合评分法，是指投标文件满足招标文件全部实质性要求</w:t>
      </w:r>
      <w:r>
        <w:rPr>
          <w:rFonts w:hint="eastAsia" w:eastAsia="宋体"/>
          <w:color w:val="auto"/>
          <w:sz w:val="24"/>
          <w:highlight w:val="none"/>
          <w:lang w:eastAsia="zh-CN"/>
        </w:rPr>
        <w:t>，</w:t>
      </w:r>
      <w:r>
        <w:rPr>
          <w:rFonts w:eastAsia="宋体"/>
          <w:color w:val="auto"/>
          <w:sz w:val="24"/>
          <w:highlight w:val="none"/>
        </w:rPr>
        <w:t>且按照评审因素的量化指标评审得分最高的投标人为中标候选人的评标方法。</w:t>
      </w:r>
    </w:p>
    <w:p w14:paraId="0E3867EE">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29.1.2.</w:t>
      </w:r>
      <w:r>
        <w:rPr>
          <w:rFonts w:eastAsia="宋体"/>
          <w:color w:val="auto"/>
          <w:sz w:val="24"/>
          <w:highlight w:val="none"/>
        </w:rPr>
        <w:t>最低评标价法，是指投标文件满足招标文件全部实质性要求</w:t>
      </w:r>
      <w:r>
        <w:rPr>
          <w:rFonts w:hint="eastAsia" w:eastAsia="宋体"/>
          <w:color w:val="auto"/>
          <w:sz w:val="24"/>
          <w:highlight w:val="none"/>
          <w:lang w:eastAsia="zh-CN"/>
        </w:rPr>
        <w:t>，</w:t>
      </w:r>
      <w:r>
        <w:rPr>
          <w:rFonts w:eastAsia="宋体"/>
          <w:color w:val="auto"/>
          <w:sz w:val="24"/>
          <w:highlight w:val="none"/>
        </w:rPr>
        <w:t>且投标报价最低的投标人为中标候选人的评标方法。</w:t>
      </w:r>
    </w:p>
    <w:p w14:paraId="418DE4CD">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lang w:val="en-US" w:eastAsia="zh-CN"/>
        </w:rPr>
        <w:t>29</w:t>
      </w:r>
      <w:r>
        <w:rPr>
          <w:rFonts w:hint="eastAsia" w:eastAsia="宋体"/>
          <w:color w:val="auto"/>
          <w:sz w:val="24"/>
          <w:highlight w:val="none"/>
        </w:rPr>
        <w:t>.</w:t>
      </w:r>
      <w:r>
        <w:rPr>
          <w:rFonts w:hint="eastAsia" w:eastAsia="宋体"/>
          <w:color w:val="auto"/>
          <w:sz w:val="24"/>
          <w:highlight w:val="none"/>
          <w:lang w:val="en-US" w:eastAsia="zh-CN"/>
        </w:rPr>
        <w:t xml:space="preserve">2 </w:t>
      </w:r>
      <w:r>
        <w:rPr>
          <w:rFonts w:hint="eastAsia" w:eastAsia="宋体"/>
          <w:color w:val="auto"/>
          <w:sz w:val="24"/>
          <w:highlight w:val="none"/>
        </w:rPr>
        <w:t>评标委员会按照“第五章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w:t>
      </w:r>
      <w:r>
        <w:rPr>
          <w:rFonts w:hint="eastAsia" w:eastAsia="宋体"/>
          <w:color w:val="auto"/>
          <w:sz w:val="24"/>
          <w:highlight w:val="none"/>
          <w:lang w:val="en-US" w:eastAsia="zh-CN"/>
        </w:rPr>
        <w:t>的</w:t>
      </w:r>
      <w:r>
        <w:rPr>
          <w:rFonts w:hint="eastAsia" w:eastAsia="宋体"/>
          <w:color w:val="auto"/>
          <w:sz w:val="24"/>
          <w:highlight w:val="none"/>
        </w:rPr>
        <w:t>规定对投标文件进行评审。“第五章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法及标准”没有规定的方法、评审因素和标准，不作为评标依据。</w:t>
      </w:r>
    </w:p>
    <w:p w14:paraId="1A9007D8">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29</w:t>
      </w:r>
      <w:r>
        <w:rPr>
          <w:rFonts w:hint="eastAsia" w:eastAsia="宋体"/>
          <w:color w:val="auto"/>
          <w:sz w:val="24"/>
          <w:highlight w:val="none"/>
        </w:rPr>
        <w:t>.</w:t>
      </w:r>
      <w:r>
        <w:rPr>
          <w:rFonts w:hint="eastAsia" w:eastAsia="宋体"/>
          <w:color w:val="auto"/>
          <w:sz w:val="24"/>
          <w:highlight w:val="none"/>
          <w:lang w:val="en-US" w:eastAsia="zh-CN"/>
        </w:rPr>
        <w:t xml:space="preserve">3 </w:t>
      </w:r>
      <w:r>
        <w:rPr>
          <w:rFonts w:hint="eastAsia" w:eastAsia="宋体"/>
          <w:color w:val="auto"/>
          <w:sz w:val="24"/>
          <w:highlight w:val="none"/>
        </w:rPr>
        <w:t>评标委员会按“投标人须知前附表”规定的中标候选人数量在评标报告中向采购人推荐中标候选人。</w:t>
      </w:r>
    </w:p>
    <w:p w14:paraId="1E63454C">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29.4 开标之后，直到签订合同止，凡是属于审查、澄清、评价和比较投标的有关资料以及定标意向等，均不得向投标人或者其他与评标无关的人员透露。</w:t>
      </w:r>
    </w:p>
    <w:p w14:paraId="57927CBE">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29.5 在确定中标人之前，投标人试图在投标文件审查、澄清、比较和评标时对评标委员会、采购人和采购代理机构施加任何影响都可能导致其</w:t>
      </w:r>
      <w:r>
        <w:rPr>
          <w:rFonts w:hint="eastAsia" w:eastAsia="宋体"/>
          <w:b/>
          <w:bCs/>
          <w:color w:val="auto"/>
          <w:sz w:val="24"/>
          <w:highlight w:val="none"/>
          <w:lang w:val="en-US" w:eastAsia="zh-CN"/>
        </w:rPr>
        <w:t>投标无效</w:t>
      </w:r>
      <w:r>
        <w:rPr>
          <w:rFonts w:hint="eastAsia" w:eastAsia="宋体"/>
          <w:color w:val="auto"/>
          <w:sz w:val="24"/>
          <w:highlight w:val="none"/>
          <w:lang w:val="en-US" w:eastAsia="zh-CN"/>
        </w:rPr>
        <w:t>。</w:t>
      </w:r>
    </w:p>
    <w:p w14:paraId="32A32003">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29.6 电子招投标的应急措施</w:t>
      </w:r>
    </w:p>
    <w:p w14:paraId="52525CD6">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29.6.1电子开标、评标如出现下列原因，导致系统无法正常运行或无法正常评标时，应采取应急措施。</w:t>
      </w:r>
    </w:p>
    <w:p w14:paraId="3D99F562">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（1）系统服务器发生故障，无法访问或无法使用系统；</w:t>
      </w:r>
    </w:p>
    <w:p w14:paraId="518B308A">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（2）系统的软件或数据库出现错误，不能进行正常操作；</w:t>
      </w:r>
    </w:p>
    <w:p w14:paraId="657BA7B3">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（3）系统发现有安全漏洞，有潜在的泄密危险；</w:t>
      </w:r>
    </w:p>
    <w:p w14:paraId="26B15397">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（4）病毒发作或受到外来病毒的攻击；</w:t>
      </w:r>
    </w:p>
    <w:p w14:paraId="6BCA43D9">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（5）出现其他不可抗拒的客观原因造成开评标系统无法正常使用。</w:t>
      </w:r>
    </w:p>
    <w:p w14:paraId="2BA3CE00">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出现上述情况时，应对未开标的暂停开标。已在系统内开标、评标的立即停止。采取应急措施时，必须对原有资料及信息作出妥善保密处理。</w:t>
      </w:r>
    </w:p>
    <w:p w14:paraId="791CC4F0">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29.6.2因系统原因导致投标人均无法解密电子投标文件时，采购代理机构可在开标现场直接导入投标人在投标截止时间前递交的未加密的电子投标文件进行开标、评标。</w:t>
      </w:r>
    </w:p>
    <w:p w14:paraId="28CD45E0">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29.7 投标人瑕疵滞后发现的处理规则</w:t>
      </w:r>
    </w:p>
    <w:p w14:paraId="11E85EAD">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29.7.1无论基于何种原因，各项本应作</w:t>
      </w:r>
      <w:r>
        <w:rPr>
          <w:rFonts w:hint="eastAsia" w:eastAsia="宋体"/>
          <w:b/>
          <w:bCs/>
          <w:color w:val="auto"/>
          <w:sz w:val="24"/>
          <w:highlight w:val="none"/>
          <w:lang w:val="en-US" w:eastAsia="zh-CN"/>
        </w:rPr>
        <w:t>无效投标</w:t>
      </w:r>
      <w:r>
        <w:rPr>
          <w:rFonts w:hint="eastAsia" w:eastAsia="宋体"/>
          <w:color w:val="auto"/>
          <w:sz w:val="24"/>
          <w:highlight w:val="none"/>
          <w:lang w:val="en-US" w:eastAsia="zh-CN"/>
        </w:rPr>
        <w:t>处理的情形即便未被及时发现而使该投标人进入初审、综合评审或其他后续程序，包括已经签订合同的情形，一旦该投标人的投标作无效投标处理或该投标人的此前评议结果被取消，其现有的位置将被其他投标人依序替代，相关的一切损失均由该投标人承担。</w:t>
      </w:r>
    </w:p>
    <w:p w14:paraId="34027149">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bookmarkStart w:id="201" w:name="_Toc163492859"/>
      <w:bookmarkStart w:id="202" w:name="_Toc155185879"/>
      <w:bookmarkStart w:id="203" w:name="_Toc140132792"/>
      <w:r>
        <w:rPr>
          <w:rFonts w:hint="eastAsia" w:ascii="宋体" w:hAnsi="宋体" w:eastAsia="宋体" w:cs="宋体"/>
          <w:b/>
          <w:bCs/>
          <w:color w:val="auto"/>
          <w:kern w:val="2"/>
          <w:sz w:val="24"/>
          <w:szCs w:val="32"/>
          <w:highlight w:val="none"/>
          <w:lang w:val="en-US" w:eastAsia="zh-CN" w:bidi="ar-SA"/>
        </w:rPr>
        <w:t>（八）中标</w:t>
      </w:r>
      <w:bookmarkEnd w:id="201"/>
      <w:bookmarkEnd w:id="202"/>
      <w:bookmarkEnd w:id="203"/>
    </w:p>
    <w:p w14:paraId="37B6B950">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04" w:name="_Toc163492860"/>
      <w:bookmarkStart w:id="205" w:name="_Toc140132793"/>
      <w:r>
        <w:rPr>
          <w:rFonts w:hint="eastAsia" w:ascii="宋体" w:hAnsi="宋体" w:eastAsia="宋体" w:cs="宋体"/>
          <w:b/>
          <w:bCs/>
          <w:color w:val="auto"/>
          <w:kern w:val="2"/>
          <w:sz w:val="24"/>
          <w:szCs w:val="28"/>
          <w:highlight w:val="none"/>
          <w:lang w:val="en-US" w:eastAsia="zh-CN" w:bidi="ar-SA"/>
        </w:rPr>
        <w:t>30.确定中标人</w:t>
      </w:r>
      <w:bookmarkEnd w:id="204"/>
      <w:bookmarkEnd w:id="205"/>
    </w:p>
    <w:p w14:paraId="23CC2B81">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eastAsia="宋体"/>
          <w:color w:val="auto"/>
          <w:sz w:val="24"/>
          <w:highlight w:val="none"/>
          <w:lang w:val="en-US" w:eastAsia="zh-CN"/>
        </w:rPr>
        <w:t>30.1</w:t>
      </w:r>
      <w:r>
        <w:rPr>
          <w:rFonts w:hint="eastAsia" w:ascii="宋体" w:hAnsi="宋体" w:eastAsia="宋体" w:cs="宋体"/>
          <w:color w:val="auto"/>
          <w:kern w:val="0"/>
          <w:sz w:val="24"/>
          <w:szCs w:val="24"/>
          <w:highlight w:val="none"/>
          <w:lang w:val="en-US" w:eastAsia="zh-CN" w:bidi="ar"/>
        </w:rPr>
        <w:t>采购人将在评标报告确定的中标候选人名单中按顺序确定中标人，中标候选人并列的，按照</w:t>
      </w:r>
      <w:r>
        <w:rPr>
          <w:rFonts w:hint="eastAsia" w:eastAsia="宋体"/>
          <w:color w:val="auto"/>
          <w:sz w:val="24"/>
          <w:highlight w:val="none"/>
        </w:rPr>
        <w:t>“投标人须知前附表”</w:t>
      </w:r>
      <w:r>
        <w:rPr>
          <w:rFonts w:hint="eastAsia" w:ascii="宋体" w:hAnsi="宋体" w:eastAsia="宋体" w:cs="宋体"/>
          <w:color w:val="auto"/>
          <w:kern w:val="0"/>
          <w:sz w:val="24"/>
          <w:szCs w:val="24"/>
          <w:highlight w:val="none"/>
          <w:lang w:val="en-US" w:eastAsia="zh-CN" w:bidi="ar"/>
        </w:rPr>
        <w:t>确定中标人；招标文件未规定的，采取随机抽取的方式确定。采购人是否委托评标委员会直接确定中标人，见</w:t>
      </w:r>
      <w:r>
        <w:rPr>
          <w:rFonts w:hint="eastAsia" w:eastAsia="宋体"/>
          <w:color w:val="auto"/>
          <w:sz w:val="24"/>
          <w:highlight w:val="none"/>
        </w:rPr>
        <w:t>“投标人须知前附表”</w:t>
      </w:r>
      <w:r>
        <w:rPr>
          <w:rFonts w:hint="eastAsia" w:ascii="宋体" w:hAnsi="宋体" w:eastAsia="宋体" w:cs="宋体"/>
          <w:color w:val="auto"/>
          <w:kern w:val="0"/>
          <w:sz w:val="24"/>
          <w:szCs w:val="24"/>
          <w:highlight w:val="none"/>
          <w:lang w:val="en-US" w:eastAsia="zh-CN" w:bidi="ar"/>
        </w:rPr>
        <w:t>。</w:t>
      </w:r>
    </w:p>
    <w:p w14:paraId="1B14917F">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w:t>
      </w:r>
      <w:r>
        <w:rPr>
          <w:rFonts w:hint="eastAsia" w:eastAsia="宋体" w:cs="宋体"/>
          <w:color w:val="auto"/>
          <w:kern w:val="0"/>
          <w:sz w:val="24"/>
          <w:szCs w:val="24"/>
          <w:highlight w:val="none"/>
          <w:lang w:val="en-US" w:eastAsia="zh-CN" w:bidi="ar"/>
        </w:rPr>
        <w:t>0</w:t>
      </w:r>
      <w:r>
        <w:rPr>
          <w:rFonts w:hint="eastAsia" w:ascii="宋体" w:hAnsi="宋体" w:eastAsia="宋体" w:cs="宋体"/>
          <w:color w:val="auto"/>
          <w:kern w:val="0"/>
          <w:sz w:val="24"/>
          <w:szCs w:val="24"/>
          <w:highlight w:val="none"/>
          <w:lang w:val="en-US" w:eastAsia="zh-CN" w:bidi="ar"/>
        </w:rPr>
        <w:t>.</w:t>
      </w:r>
      <w:r>
        <w:rPr>
          <w:rFonts w:hint="eastAsia" w:eastAsia="宋体" w:cs="宋体"/>
          <w:color w:val="auto"/>
          <w:kern w:val="0"/>
          <w:sz w:val="24"/>
          <w:szCs w:val="24"/>
          <w:highlight w:val="none"/>
          <w:lang w:val="en-US" w:eastAsia="zh-CN" w:bidi="ar"/>
        </w:rPr>
        <w:t>2采</w:t>
      </w:r>
      <w:r>
        <w:rPr>
          <w:rFonts w:hint="eastAsia" w:ascii="宋体" w:hAnsi="宋体" w:eastAsia="宋体" w:cs="宋体"/>
          <w:color w:val="auto"/>
          <w:kern w:val="0"/>
          <w:sz w:val="24"/>
          <w:szCs w:val="24"/>
          <w:highlight w:val="none"/>
          <w:lang w:val="en-US" w:eastAsia="zh-CN" w:bidi="ar"/>
        </w:rPr>
        <w:t>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w:t>
      </w:r>
      <w:r>
        <w:rPr>
          <w:rFonts w:hint="eastAsia" w:eastAsia="宋体"/>
          <w:color w:val="auto"/>
          <w:sz w:val="24"/>
          <w:highlight w:val="none"/>
        </w:rPr>
        <w:t>“投标人须知前附表”</w:t>
      </w:r>
      <w:r>
        <w:rPr>
          <w:rFonts w:hint="eastAsia" w:ascii="宋体" w:hAnsi="宋体" w:eastAsia="宋体" w:cs="宋体"/>
          <w:color w:val="auto"/>
          <w:kern w:val="0"/>
          <w:sz w:val="24"/>
          <w:szCs w:val="24"/>
          <w:highlight w:val="none"/>
          <w:lang w:val="en-US" w:eastAsia="zh-CN" w:bidi="ar"/>
        </w:rPr>
        <w:t>规定的方式确定一个投标人获得中标人推荐资格，招标文件未规定的采取随机抽取方式确定，其他同品牌投标人不作为中标候选人。</w:t>
      </w:r>
    </w:p>
    <w:p w14:paraId="5EF9107C">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eastAsia="宋体" w:cs="宋体"/>
          <w:color w:val="auto"/>
          <w:kern w:val="0"/>
          <w:sz w:val="24"/>
          <w:szCs w:val="24"/>
          <w:highlight w:val="none"/>
          <w:lang w:val="en-US" w:eastAsia="zh-CN" w:bidi="ar"/>
        </w:rPr>
      </w:pPr>
      <w:r>
        <w:rPr>
          <w:rFonts w:hint="eastAsia" w:eastAsia="宋体" w:cs="宋体"/>
          <w:color w:val="auto"/>
          <w:kern w:val="0"/>
          <w:sz w:val="24"/>
          <w:szCs w:val="24"/>
          <w:highlight w:val="none"/>
          <w:lang w:val="en-US" w:eastAsia="zh-CN" w:bidi="ar"/>
        </w:rPr>
        <w:t>30.3采用最低评标价法的采购项目，提供相同品牌产品的不同投标人参加同一合同项下投标的，以其中通过资格审查、符合性审查且报价最低的参加评标；报价相同的，由采购人或者采购人委托评标委员会按照</w:t>
      </w:r>
      <w:r>
        <w:rPr>
          <w:rFonts w:hint="eastAsia" w:eastAsia="宋体"/>
          <w:color w:val="auto"/>
          <w:sz w:val="24"/>
          <w:highlight w:val="none"/>
        </w:rPr>
        <w:t>“投标人须知前附表”</w:t>
      </w:r>
      <w:r>
        <w:rPr>
          <w:rFonts w:hint="eastAsia" w:eastAsia="宋体" w:cs="宋体"/>
          <w:color w:val="auto"/>
          <w:kern w:val="0"/>
          <w:sz w:val="24"/>
          <w:szCs w:val="24"/>
          <w:highlight w:val="none"/>
          <w:lang w:val="en-US" w:eastAsia="zh-CN" w:bidi="ar"/>
        </w:rPr>
        <w:t>规定的方式确定一个参加评标的投标人，招标文件未规定的采取随机抽取方式确定，其他投标无效。</w:t>
      </w:r>
    </w:p>
    <w:p w14:paraId="4A5A7398">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eastAsia="宋体"/>
          <w:color w:val="auto"/>
          <w:sz w:val="24"/>
          <w:highlight w:val="none"/>
        </w:rPr>
      </w:pPr>
      <w:r>
        <w:rPr>
          <w:rFonts w:hint="eastAsia" w:eastAsia="宋体" w:cs="宋体"/>
          <w:color w:val="auto"/>
          <w:kern w:val="0"/>
          <w:sz w:val="24"/>
          <w:szCs w:val="24"/>
          <w:highlight w:val="none"/>
          <w:lang w:val="en-US" w:eastAsia="zh-CN" w:bidi="ar"/>
        </w:rPr>
        <w:t>30.4非单一产品采购项目，采购人应当根据采购项目技术构成、产品价格比重等合理确定核心产品，并在</w:t>
      </w:r>
      <w:r>
        <w:rPr>
          <w:rFonts w:hint="eastAsia" w:eastAsia="宋体"/>
          <w:color w:val="auto"/>
          <w:sz w:val="24"/>
          <w:highlight w:val="none"/>
        </w:rPr>
        <w:t>“投标人须知前附表”</w:t>
      </w:r>
      <w:r>
        <w:rPr>
          <w:rFonts w:hint="eastAsia" w:eastAsia="宋体" w:cs="宋体"/>
          <w:color w:val="auto"/>
          <w:kern w:val="0"/>
          <w:sz w:val="24"/>
          <w:szCs w:val="24"/>
          <w:highlight w:val="none"/>
          <w:lang w:val="en-US" w:eastAsia="zh-CN" w:bidi="ar"/>
        </w:rPr>
        <w:t>中载明。多家投标人提供的核心产品品牌相同的，按前两款规定处理。</w:t>
      </w:r>
      <w:r>
        <w:rPr>
          <w:rFonts w:hint="eastAsia" w:ascii="宋体" w:hAnsi="宋体" w:eastAsia="宋体" w:cs="宋体"/>
          <w:color w:val="auto"/>
          <w:kern w:val="0"/>
          <w:sz w:val="24"/>
          <w:szCs w:val="24"/>
          <w:highlight w:val="none"/>
          <w:lang w:val="en-US" w:eastAsia="zh-CN" w:bidi="ar"/>
        </w:rPr>
        <w:t xml:space="preserve"> </w:t>
      </w:r>
    </w:p>
    <w:p w14:paraId="18971451">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06" w:name="_Toc163492861"/>
      <w:bookmarkStart w:id="207" w:name="_Toc140132794"/>
      <w:r>
        <w:rPr>
          <w:rFonts w:hint="eastAsia" w:ascii="宋体" w:hAnsi="宋体" w:eastAsia="宋体" w:cs="宋体"/>
          <w:b/>
          <w:bCs/>
          <w:color w:val="auto"/>
          <w:kern w:val="2"/>
          <w:sz w:val="24"/>
          <w:szCs w:val="28"/>
          <w:highlight w:val="none"/>
          <w:lang w:val="en-US" w:eastAsia="zh-CN" w:bidi="ar-SA"/>
        </w:rPr>
        <w:t>31.中标结果公告</w:t>
      </w:r>
      <w:bookmarkEnd w:id="206"/>
      <w:bookmarkEnd w:id="207"/>
    </w:p>
    <w:p w14:paraId="712AF3E4">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1</w:t>
      </w:r>
      <w:r>
        <w:rPr>
          <w:rFonts w:hint="eastAsia" w:eastAsia="宋体"/>
          <w:color w:val="auto"/>
          <w:sz w:val="24"/>
          <w:highlight w:val="none"/>
        </w:rPr>
        <w:t>.1</w:t>
      </w:r>
      <w:r>
        <w:rPr>
          <w:rFonts w:hint="eastAsia" w:eastAsia="宋体"/>
          <w:color w:val="auto"/>
          <w:sz w:val="24"/>
          <w:highlight w:val="none"/>
          <w:lang w:val="en-US" w:eastAsia="zh-CN"/>
        </w:rPr>
        <w:t>采购人或</w:t>
      </w:r>
      <w:r>
        <w:rPr>
          <w:rFonts w:hint="eastAsia" w:eastAsia="宋体"/>
          <w:color w:val="auto"/>
          <w:sz w:val="24"/>
          <w:highlight w:val="none"/>
        </w:rPr>
        <w:t>采购代理机构应当自中标人确定之日起2个工作日内，在</w:t>
      </w:r>
      <w:r>
        <w:rPr>
          <w:rFonts w:hint="eastAsia" w:eastAsia="宋体"/>
          <w:color w:val="auto"/>
          <w:sz w:val="24"/>
          <w:highlight w:val="none"/>
          <w:lang w:val="en-US" w:eastAsia="zh-CN"/>
        </w:rPr>
        <w:t>发布招标公告的同一</w:t>
      </w:r>
      <w:r>
        <w:rPr>
          <w:rFonts w:hint="eastAsia" w:eastAsia="宋体"/>
          <w:color w:val="auto"/>
          <w:sz w:val="24"/>
          <w:highlight w:val="none"/>
        </w:rPr>
        <w:t>媒体上发布中标结果公告，</w:t>
      </w:r>
      <w:r>
        <w:rPr>
          <w:rFonts w:hint="eastAsia" w:eastAsia="宋体"/>
          <w:color w:val="auto"/>
          <w:sz w:val="24"/>
          <w:highlight w:val="none"/>
          <w:lang w:val="en-US" w:eastAsia="zh-CN"/>
        </w:rPr>
        <w:t>同时向中标人</w:t>
      </w:r>
      <w:r>
        <w:rPr>
          <w:rFonts w:hint="eastAsia" w:eastAsia="宋体"/>
          <w:color w:val="auto"/>
          <w:sz w:val="24"/>
          <w:highlight w:val="none"/>
        </w:rPr>
        <w:t>发出中标通知书</w:t>
      </w:r>
      <w:r>
        <w:rPr>
          <w:rFonts w:hint="eastAsia" w:eastAsia="宋体"/>
          <w:color w:val="auto"/>
          <w:sz w:val="24"/>
          <w:highlight w:val="none"/>
          <w:lang w:eastAsia="zh-CN"/>
        </w:rPr>
        <w:t>。招标文件随中标结果同时公告，</w:t>
      </w:r>
      <w:r>
        <w:rPr>
          <w:rFonts w:hint="eastAsia" w:eastAsia="宋体"/>
          <w:color w:val="auto"/>
          <w:sz w:val="24"/>
          <w:highlight w:val="none"/>
        </w:rPr>
        <w:t>中标结果公告期限为1个工作日。</w:t>
      </w:r>
    </w:p>
    <w:p w14:paraId="5352A1FC">
      <w:pPr>
        <w:pStyle w:val="38"/>
        <w:keepNext w:val="0"/>
        <w:keepLines w:val="0"/>
        <w:pageBreakBefore w:val="0"/>
        <w:widowControl w:val="0"/>
        <w:kinsoku/>
        <w:overflowPunct/>
        <w:topLinePunct w:val="0"/>
        <w:autoSpaceDE/>
        <w:autoSpaceDN/>
        <w:bidi w:val="0"/>
        <w:adjustRightInd/>
        <w:textAlignment w:val="auto"/>
        <w:rPr>
          <w:rFonts w:hint="eastAsia" w:eastAsia="宋体"/>
          <w:bCs/>
          <w:color w:val="auto"/>
          <w:sz w:val="24"/>
          <w:highlight w:val="none"/>
          <w:lang w:eastAsia="zh-CN"/>
        </w:rPr>
      </w:pPr>
      <w:r>
        <w:rPr>
          <w:rFonts w:hint="eastAsia" w:eastAsia="宋体"/>
          <w:bCs/>
          <w:color w:val="auto"/>
          <w:sz w:val="24"/>
          <w:highlight w:val="none"/>
        </w:rPr>
        <w:t>3</w:t>
      </w:r>
      <w:r>
        <w:rPr>
          <w:rFonts w:hint="eastAsia" w:eastAsia="宋体"/>
          <w:bCs/>
          <w:color w:val="auto"/>
          <w:sz w:val="24"/>
          <w:highlight w:val="none"/>
          <w:lang w:val="en-US" w:eastAsia="zh-CN"/>
        </w:rPr>
        <w:t>1</w:t>
      </w:r>
      <w:r>
        <w:rPr>
          <w:rFonts w:eastAsia="宋体"/>
          <w:bCs/>
          <w:color w:val="auto"/>
          <w:sz w:val="24"/>
          <w:highlight w:val="none"/>
        </w:rPr>
        <w:t>.2</w:t>
      </w:r>
      <w:r>
        <w:rPr>
          <w:rFonts w:hint="eastAsia" w:eastAsia="宋体"/>
          <w:bCs/>
          <w:color w:val="auto"/>
          <w:sz w:val="24"/>
          <w:highlight w:val="none"/>
          <w:lang w:eastAsia="zh-CN"/>
        </w:rPr>
        <w:t>中标</w:t>
      </w:r>
      <w:r>
        <w:rPr>
          <w:rFonts w:hint="eastAsia" w:eastAsia="宋体"/>
          <w:bCs/>
          <w:color w:val="auto"/>
          <w:sz w:val="24"/>
          <w:highlight w:val="none"/>
          <w:lang w:val="en-US" w:eastAsia="zh-CN"/>
        </w:rPr>
        <w:t>人</w:t>
      </w:r>
      <w:r>
        <w:rPr>
          <w:rFonts w:hint="eastAsia" w:eastAsia="宋体"/>
          <w:bCs/>
          <w:color w:val="auto"/>
          <w:sz w:val="24"/>
          <w:highlight w:val="none"/>
          <w:lang w:eastAsia="zh-CN"/>
        </w:rPr>
        <w:t>为中小企业</w:t>
      </w:r>
      <w:r>
        <w:rPr>
          <w:rFonts w:hint="eastAsia" w:eastAsia="宋体"/>
          <w:bCs/>
          <w:color w:val="auto"/>
          <w:sz w:val="24"/>
          <w:highlight w:val="none"/>
          <w:lang w:val="en-US" w:eastAsia="zh-CN"/>
        </w:rPr>
        <w:t>享受中小企业扶持政策的</w:t>
      </w:r>
      <w:r>
        <w:rPr>
          <w:rFonts w:hint="eastAsia" w:eastAsia="宋体"/>
          <w:bCs/>
          <w:color w:val="auto"/>
          <w:sz w:val="24"/>
          <w:highlight w:val="none"/>
          <w:lang w:eastAsia="zh-CN"/>
        </w:rPr>
        <w:t>，其“中小企业声明函”随中标结果同时公告。中标</w:t>
      </w:r>
      <w:r>
        <w:rPr>
          <w:rFonts w:hint="eastAsia" w:eastAsia="宋体"/>
          <w:bCs/>
          <w:color w:val="auto"/>
          <w:sz w:val="24"/>
          <w:highlight w:val="none"/>
          <w:lang w:val="en-US" w:eastAsia="zh-CN"/>
        </w:rPr>
        <w:t>人</w:t>
      </w:r>
      <w:r>
        <w:rPr>
          <w:rFonts w:hint="eastAsia" w:eastAsia="宋体"/>
          <w:bCs/>
          <w:color w:val="auto"/>
          <w:sz w:val="24"/>
          <w:highlight w:val="none"/>
          <w:lang w:eastAsia="zh-CN"/>
        </w:rPr>
        <w:t>为残疾人福利性单位的，其“残疾人福利性单位声明函”随中标结果同时公告。</w:t>
      </w:r>
    </w:p>
    <w:p w14:paraId="284DD9EA">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bCs/>
          <w:color w:val="auto"/>
          <w:sz w:val="24"/>
          <w:highlight w:val="none"/>
        </w:rPr>
      </w:pPr>
      <w:r>
        <w:rPr>
          <w:rFonts w:hint="eastAsia" w:ascii="宋体" w:hAnsi="宋体" w:eastAsia="宋体"/>
          <w:bCs/>
          <w:color w:val="auto"/>
          <w:sz w:val="24"/>
          <w:highlight w:val="none"/>
          <w:lang w:val="en-US" w:eastAsia="zh-CN"/>
        </w:rPr>
        <w:t>31.3</w:t>
      </w:r>
      <w:r>
        <w:rPr>
          <w:rFonts w:hint="eastAsia" w:ascii="宋体" w:hAnsi="宋体" w:eastAsia="宋体"/>
          <w:bCs/>
          <w:color w:val="auto"/>
          <w:sz w:val="24"/>
          <w:highlight w:val="none"/>
        </w:rPr>
        <w:t>项目采购采用最低评标价法的，公告中标结果时同时公告因落实政府采购政策等原因进行价格扣除后中标</w:t>
      </w:r>
      <w:r>
        <w:rPr>
          <w:rFonts w:hint="eastAsia" w:ascii="宋体" w:hAnsi="宋体" w:eastAsia="宋体"/>
          <w:bCs/>
          <w:color w:val="auto"/>
          <w:sz w:val="24"/>
          <w:highlight w:val="none"/>
          <w:lang w:val="en-US" w:eastAsia="zh-CN"/>
        </w:rPr>
        <w:t>人</w:t>
      </w:r>
      <w:r>
        <w:rPr>
          <w:rFonts w:hint="eastAsia" w:ascii="宋体" w:hAnsi="宋体" w:eastAsia="宋体"/>
          <w:bCs/>
          <w:color w:val="auto"/>
          <w:sz w:val="24"/>
          <w:highlight w:val="none"/>
        </w:rPr>
        <w:t>的评审报价；项目采购采用综合评分法的，公告中标结果时同时公告中标</w:t>
      </w:r>
      <w:r>
        <w:rPr>
          <w:rFonts w:hint="eastAsia" w:ascii="宋体" w:hAnsi="宋体" w:eastAsia="宋体"/>
          <w:bCs/>
          <w:color w:val="auto"/>
          <w:sz w:val="24"/>
          <w:highlight w:val="none"/>
          <w:lang w:val="en-US" w:eastAsia="zh-CN"/>
        </w:rPr>
        <w:t>供应商</w:t>
      </w:r>
      <w:r>
        <w:rPr>
          <w:rFonts w:hint="eastAsia" w:ascii="宋体" w:hAnsi="宋体" w:eastAsia="宋体"/>
          <w:bCs/>
          <w:color w:val="auto"/>
          <w:sz w:val="24"/>
          <w:highlight w:val="none"/>
        </w:rPr>
        <w:t>的评审总得分。</w:t>
      </w:r>
    </w:p>
    <w:p w14:paraId="24E8EB4D">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08" w:name="_Toc163492862"/>
      <w:bookmarkStart w:id="209" w:name="_Toc140132795"/>
      <w:r>
        <w:rPr>
          <w:rFonts w:hint="eastAsia" w:ascii="宋体" w:hAnsi="宋体" w:eastAsia="宋体" w:cs="宋体"/>
          <w:b/>
          <w:bCs/>
          <w:color w:val="auto"/>
          <w:kern w:val="2"/>
          <w:sz w:val="24"/>
          <w:szCs w:val="28"/>
          <w:highlight w:val="none"/>
          <w:lang w:val="en-US" w:eastAsia="zh-CN" w:bidi="ar-SA"/>
        </w:rPr>
        <w:t>32.中标通知</w:t>
      </w:r>
      <w:bookmarkEnd w:id="208"/>
      <w:bookmarkEnd w:id="209"/>
    </w:p>
    <w:p w14:paraId="41D33E18">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2</w:t>
      </w:r>
      <w:r>
        <w:rPr>
          <w:rFonts w:hint="eastAsia" w:eastAsia="宋体"/>
          <w:color w:val="auto"/>
          <w:sz w:val="24"/>
          <w:highlight w:val="none"/>
        </w:rPr>
        <w:t>.1采购人和采购代理机构以书面形式向中标人发出中标通知书，同时将招标结果通知未中标的投标人。对未通过资格审查的投标人，应当告知其未通过的原因；采用综合评分法评审的，还应当告知未中标人本人的评审得分与排序。</w:t>
      </w:r>
    </w:p>
    <w:p w14:paraId="67E9F9A5">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32.2中标通知书对采购人和中标人均具有法律效力。中标通知书发出后，采购人改变中标结果的，或者中标人放弃中标项目的，应当依法承担法律责任。</w:t>
      </w:r>
    </w:p>
    <w:p w14:paraId="004C264E">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bookmarkStart w:id="210" w:name="_Toc163492863"/>
      <w:r>
        <w:rPr>
          <w:rFonts w:hint="eastAsia" w:ascii="宋体" w:hAnsi="宋体" w:eastAsia="宋体" w:cs="宋体"/>
          <w:b/>
          <w:bCs/>
          <w:color w:val="auto"/>
          <w:kern w:val="2"/>
          <w:sz w:val="24"/>
          <w:szCs w:val="32"/>
          <w:highlight w:val="none"/>
          <w:lang w:val="en-US" w:eastAsia="zh-CN" w:bidi="ar-SA"/>
        </w:rPr>
        <w:t>（九）签订</w:t>
      </w:r>
      <w:bookmarkStart w:id="211" w:name="_Toc140132796"/>
      <w:bookmarkStart w:id="212" w:name="_Toc155185880"/>
      <w:r>
        <w:rPr>
          <w:rFonts w:hint="eastAsia" w:ascii="宋体" w:hAnsi="宋体" w:eastAsia="宋体" w:cs="宋体"/>
          <w:b/>
          <w:bCs/>
          <w:color w:val="auto"/>
          <w:kern w:val="2"/>
          <w:sz w:val="24"/>
          <w:szCs w:val="32"/>
          <w:highlight w:val="none"/>
          <w:lang w:val="en-US" w:eastAsia="zh-CN" w:bidi="ar-SA"/>
        </w:rPr>
        <w:t>合同</w:t>
      </w:r>
      <w:bookmarkEnd w:id="210"/>
      <w:bookmarkEnd w:id="211"/>
      <w:bookmarkEnd w:id="212"/>
    </w:p>
    <w:p w14:paraId="547E6B99">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13" w:name="_Toc163492864"/>
      <w:bookmarkStart w:id="214" w:name="_Toc140132797"/>
      <w:r>
        <w:rPr>
          <w:rFonts w:hint="eastAsia" w:ascii="宋体" w:hAnsi="宋体" w:eastAsia="宋体" w:cs="宋体"/>
          <w:b/>
          <w:bCs/>
          <w:color w:val="auto"/>
          <w:kern w:val="2"/>
          <w:sz w:val="24"/>
          <w:szCs w:val="28"/>
          <w:highlight w:val="none"/>
          <w:lang w:val="en-US" w:eastAsia="zh-CN" w:bidi="ar-SA"/>
        </w:rPr>
        <w:t>33.履约保证金</w:t>
      </w:r>
      <w:bookmarkEnd w:id="213"/>
      <w:bookmarkEnd w:id="214"/>
    </w:p>
    <w:p w14:paraId="77717F01">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3</w:t>
      </w:r>
      <w:r>
        <w:rPr>
          <w:rFonts w:hint="eastAsia" w:eastAsia="宋体"/>
          <w:color w:val="auto"/>
          <w:sz w:val="24"/>
          <w:highlight w:val="none"/>
        </w:rPr>
        <w:t>.1在签订合同前，中标人应按“投标人须知前附表”规定的金额、担保形式和采购人认可的履约担保格式向采购人提交履约保证金。</w:t>
      </w:r>
    </w:p>
    <w:p w14:paraId="73BC7DAF">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3</w:t>
      </w:r>
      <w:r>
        <w:rPr>
          <w:rFonts w:hint="eastAsia" w:eastAsia="宋体"/>
          <w:color w:val="auto"/>
          <w:sz w:val="24"/>
          <w:highlight w:val="none"/>
        </w:rPr>
        <w:t>.2中标人不能按本章第</w:t>
      </w:r>
      <w:r>
        <w:rPr>
          <w:rFonts w:eastAsia="宋体"/>
          <w:color w:val="auto"/>
          <w:sz w:val="24"/>
          <w:highlight w:val="none"/>
        </w:rPr>
        <w:t>3</w:t>
      </w:r>
      <w:r>
        <w:rPr>
          <w:rFonts w:hint="eastAsia" w:eastAsia="宋体"/>
          <w:color w:val="auto"/>
          <w:sz w:val="24"/>
          <w:highlight w:val="none"/>
          <w:lang w:val="en-US" w:eastAsia="zh-CN"/>
        </w:rPr>
        <w:t>3</w:t>
      </w:r>
      <w:r>
        <w:rPr>
          <w:rFonts w:hint="eastAsia" w:eastAsia="宋体"/>
          <w:color w:val="auto"/>
          <w:sz w:val="24"/>
          <w:highlight w:val="none"/>
        </w:rPr>
        <w:t>.1项要求提交履约担保的，视为放弃中标，给采购人造成损失的，中标人还应当承担民事责任。</w:t>
      </w:r>
    </w:p>
    <w:p w14:paraId="4B3DD6F8">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15" w:name="_Toc163492865"/>
      <w:bookmarkStart w:id="216" w:name="_Toc140132798"/>
      <w:r>
        <w:rPr>
          <w:rFonts w:hint="eastAsia" w:ascii="宋体" w:hAnsi="宋体" w:eastAsia="宋体" w:cs="宋体"/>
          <w:b/>
          <w:bCs/>
          <w:color w:val="auto"/>
          <w:kern w:val="2"/>
          <w:sz w:val="24"/>
          <w:szCs w:val="28"/>
          <w:highlight w:val="none"/>
          <w:lang w:val="en-US" w:eastAsia="zh-CN" w:bidi="ar-SA"/>
        </w:rPr>
        <w:t>34.签订合同</w:t>
      </w:r>
      <w:bookmarkEnd w:id="215"/>
      <w:bookmarkEnd w:id="216"/>
    </w:p>
    <w:p w14:paraId="77507EBB">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4</w:t>
      </w:r>
      <w:r>
        <w:rPr>
          <w:rFonts w:hint="eastAsia" w:eastAsia="宋体"/>
          <w:color w:val="auto"/>
          <w:sz w:val="24"/>
          <w:highlight w:val="none"/>
        </w:rPr>
        <w:t>.1 采购人和中标人应当自中标通知书发出之日起</w:t>
      </w:r>
      <w:r>
        <w:rPr>
          <w:rFonts w:hint="eastAsia" w:eastAsia="宋体"/>
          <w:color w:val="auto"/>
          <w:sz w:val="24"/>
          <w:highlight w:val="none"/>
          <w:lang w:val="en-US" w:eastAsia="zh-CN"/>
        </w:rPr>
        <w:t>25</w:t>
      </w:r>
      <w:r>
        <w:rPr>
          <w:rFonts w:hint="eastAsia" w:eastAsia="宋体"/>
          <w:color w:val="auto"/>
          <w:sz w:val="24"/>
          <w:highlight w:val="none"/>
        </w:rPr>
        <w:t>天内，根据招标文件和中标人的投标文件订立书面合同。</w:t>
      </w:r>
      <w:r>
        <w:rPr>
          <w:rFonts w:hint="eastAsia" w:ascii="宋体" w:hAnsi="宋体" w:eastAsia="宋体"/>
          <w:color w:val="auto"/>
          <w:sz w:val="24"/>
          <w:highlight w:val="none"/>
        </w:rPr>
        <w:t>采购人因不可抗力原因迟延签订合同的，应当自不可抗力事由消除之日起7日内完成合同签订事宜。</w:t>
      </w:r>
      <w:r>
        <w:rPr>
          <w:rFonts w:hint="eastAsia" w:eastAsia="宋体"/>
          <w:color w:val="auto"/>
          <w:sz w:val="24"/>
          <w:highlight w:val="none"/>
        </w:rPr>
        <w:t>所签订的合同不得对招标文件和中标人投标文件作实质性修改。中标人无正当理由拒签合同，给采购人造成损失的，中标人还应当承担民事责任。</w:t>
      </w:r>
    </w:p>
    <w:p w14:paraId="72CF4FDD">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34.2 中标人拒绝与采购人签订合同的，采购人可以按照评标报告推荐的中标候选人名单排序，确定下一候选人为中标人，也可以重新开展政府采购活动。</w:t>
      </w:r>
    </w:p>
    <w:p w14:paraId="0D3421B6">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4</w:t>
      </w:r>
      <w:r>
        <w:rPr>
          <w:rFonts w:hint="eastAsia" w:eastAsia="宋体"/>
          <w:color w:val="auto"/>
          <w:sz w:val="24"/>
          <w:highlight w:val="none"/>
        </w:rPr>
        <w:t>.</w:t>
      </w:r>
      <w:r>
        <w:rPr>
          <w:rFonts w:hint="eastAsia" w:eastAsia="宋体"/>
          <w:color w:val="auto"/>
          <w:sz w:val="24"/>
          <w:highlight w:val="none"/>
          <w:lang w:val="en-US" w:eastAsia="zh-CN"/>
        </w:rPr>
        <w:t>3</w:t>
      </w:r>
      <w:r>
        <w:rPr>
          <w:rFonts w:hint="eastAsia" w:eastAsia="宋体"/>
          <w:color w:val="auto"/>
          <w:sz w:val="24"/>
          <w:highlight w:val="none"/>
        </w:rPr>
        <w:t xml:space="preserve"> 采购人和中标人不得向对方提出任何不合理的要求，作为签订合同的条件，双方不得私下订立背离合同实质性内容的协议。</w:t>
      </w:r>
    </w:p>
    <w:p w14:paraId="5551DDAE">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34.4 联合体中标的，联合体各方应当共同与采购人签订合同，就采购合同约定的事项向采购人承担连带责任。</w:t>
      </w:r>
    </w:p>
    <w:p w14:paraId="2BA187E8">
      <w:pPr>
        <w:pStyle w:val="38"/>
        <w:keepNext w:val="0"/>
        <w:keepLines w:val="0"/>
        <w:pageBreakBefore w:val="0"/>
        <w:widowControl w:val="0"/>
        <w:kinsoku/>
        <w:overflowPunct/>
        <w:topLinePunct w:val="0"/>
        <w:autoSpaceDE/>
        <w:autoSpaceDN/>
        <w:bidi w:val="0"/>
        <w:adjustRightInd/>
        <w:textAlignment w:val="auto"/>
        <w:rPr>
          <w:rFonts w:hint="eastAsia" w:eastAsia="宋体"/>
          <w:b/>
          <w:bCs/>
          <w:color w:val="auto"/>
          <w:sz w:val="24"/>
          <w:highlight w:val="none"/>
          <w:lang w:val="en-US" w:eastAsia="zh-CN"/>
        </w:rPr>
      </w:pPr>
      <w:r>
        <w:rPr>
          <w:rFonts w:hint="eastAsia" w:eastAsia="宋体"/>
          <w:color w:val="auto"/>
          <w:sz w:val="24"/>
          <w:highlight w:val="none"/>
          <w:lang w:val="en-US" w:eastAsia="zh-CN"/>
        </w:rPr>
        <w:t>34.5 本项目的非主体、非关键性工作是否允许分包，见“投标人须知前附表”。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eastAsia="宋体"/>
          <w:b/>
          <w:bCs/>
          <w:color w:val="auto"/>
          <w:sz w:val="24"/>
          <w:highlight w:val="none"/>
          <w:lang w:val="en-US" w:eastAsia="zh-CN"/>
        </w:rPr>
        <w:t>投标无效</w:t>
      </w:r>
      <w:r>
        <w:rPr>
          <w:rFonts w:hint="eastAsia" w:eastAsia="宋体"/>
          <w:color w:val="auto"/>
          <w:sz w:val="24"/>
          <w:highlight w:val="none"/>
          <w:lang w:val="en-US" w:eastAsia="zh-CN"/>
        </w:rPr>
        <w:t>。中标人就采购项目和分包项目向采购人负责，分包供应商就分包项目承担责任。</w:t>
      </w:r>
      <w:r>
        <w:rPr>
          <w:rFonts w:hint="eastAsia" w:eastAsia="宋体"/>
          <w:b/>
          <w:bCs/>
          <w:color w:val="auto"/>
          <w:sz w:val="24"/>
          <w:highlight w:val="none"/>
          <w:lang w:val="en-US" w:eastAsia="zh-CN"/>
        </w:rPr>
        <w:t>政府采购合同不能转包。</w:t>
      </w:r>
    </w:p>
    <w:p w14:paraId="13D12B87">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4</w:t>
      </w:r>
      <w:r>
        <w:rPr>
          <w:rFonts w:hint="eastAsia" w:eastAsia="宋体"/>
          <w:color w:val="auto"/>
          <w:sz w:val="24"/>
          <w:highlight w:val="none"/>
        </w:rPr>
        <w:t>.</w:t>
      </w:r>
      <w:r>
        <w:rPr>
          <w:rFonts w:hint="eastAsia" w:eastAsia="宋体"/>
          <w:color w:val="auto"/>
          <w:sz w:val="24"/>
          <w:highlight w:val="none"/>
          <w:lang w:val="en-US" w:eastAsia="zh-CN"/>
        </w:rPr>
        <w:t>6</w:t>
      </w:r>
      <w:r>
        <w:rPr>
          <w:rFonts w:hint="eastAsia" w:eastAsia="宋体"/>
          <w:color w:val="auto"/>
          <w:sz w:val="24"/>
          <w:highlight w:val="none"/>
        </w:rPr>
        <w:t>采购合同履行中，采购人需追加与合同标的相同的</w:t>
      </w:r>
      <w:r>
        <w:rPr>
          <w:rFonts w:hint="eastAsia" w:eastAsia="宋体"/>
          <w:color w:val="auto"/>
          <w:sz w:val="24"/>
          <w:highlight w:val="none"/>
          <w:lang w:val="en-US" w:eastAsia="zh-CN"/>
        </w:rPr>
        <w:t>货物、工程或者服务</w:t>
      </w:r>
      <w:r>
        <w:rPr>
          <w:rFonts w:hint="eastAsia" w:eastAsia="宋体"/>
          <w:color w:val="auto"/>
          <w:sz w:val="24"/>
          <w:highlight w:val="none"/>
        </w:rPr>
        <w:t>的，在不改变合同其他条款的前提下，可以与中标人协商签订补充合同，但所有补充合同的采购金额不得超过原合同采购金额的百分之十。</w:t>
      </w:r>
    </w:p>
    <w:p w14:paraId="259D0E8B">
      <w:pPr>
        <w:pStyle w:val="38"/>
        <w:keepNext w:val="0"/>
        <w:keepLines w:val="0"/>
        <w:pageBreakBefore w:val="0"/>
        <w:widowControl w:val="0"/>
        <w:kinsoku/>
        <w:overflowPunct/>
        <w:topLinePunct w:val="0"/>
        <w:autoSpaceDE/>
        <w:autoSpaceDN/>
        <w:bidi w:val="0"/>
        <w:adjustRightInd/>
        <w:textAlignment w:val="auto"/>
        <w:rPr>
          <w:rFonts w:hint="default"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34.7 采购人应于签订合同之日起2个工作日内在政采云平台备案公示。</w:t>
      </w:r>
    </w:p>
    <w:p w14:paraId="12490EB6">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bookmarkStart w:id="217" w:name="_Toc155185881"/>
      <w:bookmarkStart w:id="218" w:name="_Toc140132799"/>
      <w:bookmarkStart w:id="219" w:name="_Toc163492866"/>
      <w:r>
        <w:rPr>
          <w:rFonts w:hint="eastAsia" w:ascii="宋体" w:hAnsi="宋体" w:eastAsia="宋体" w:cs="宋体"/>
          <w:b/>
          <w:bCs/>
          <w:color w:val="auto"/>
          <w:kern w:val="2"/>
          <w:sz w:val="24"/>
          <w:szCs w:val="32"/>
          <w:highlight w:val="none"/>
          <w:lang w:val="en-US" w:eastAsia="zh-CN" w:bidi="ar-SA"/>
        </w:rPr>
        <w:t>（十）质疑和投诉</w:t>
      </w:r>
      <w:bookmarkEnd w:id="217"/>
      <w:bookmarkEnd w:id="218"/>
      <w:bookmarkEnd w:id="219"/>
    </w:p>
    <w:p w14:paraId="23BE6A9F">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20" w:name="_Toc140132800"/>
      <w:bookmarkStart w:id="221" w:name="_Toc163492867"/>
      <w:r>
        <w:rPr>
          <w:rFonts w:hint="eastAsia" w:ascii="宋体" w:hAnsi="宋体" w:eastAsia="宋体" w:cs="宋体"/>
          <w:b/>
          <w:bCs/>
          <w:color w:val="auto"/>
          <w:kern w:val="2"/>
          <w:sz w:val="24"/>
          <w:szCs w:val="28"/>
          <w:highlight w:val="none"/>
          <w:lang w:val="en-US" w:eastAsia="zh-CN" w:bidi="ar-SA"/>
        </w:rPr>
        <w:t>35.质疑</w:t>
      </w:r>
      <w:bookmarkEnd w:id="220"/>
      <w:bookmarkEnd w:id="221"/>
    </w:p>
    <w:p w14:paraId="097AA162">
      <w:pPr>
        <w:pStyle w:val="38"/>
        <w:keepNext w:val="0"/>
        <w:keepLines w:val="0"/>
        <w:pageBreakBefore w:val="0"/>
        <w:widowControl w:val="0"/>
        <w:kinsoku/>
        <w:overflowPunct/>
        <w:topLinePunct w:val="0"/>
        <w:autoSpaceDE/>
        <w:autoSpaceDN/>
        <w:bidi w:val="0"/>
        <w:adjustRightInd/>
        <w:textAlignment w:val="auto"/>
        <w:rPr>
          <w:rFonts w:hint="default" w:eastAsia="宋体"/>
          <w:color w:val="auto"/>
          <w:sz w:val="24"/>
          <w:highlight w:val="none"/>
          <w:lang w:val="en-US" w:eastAsia="zh-CN"/>
        </w:rPr>
      </w:pPr>
      <w:r>
        <w:rPr>
          <w:rFonts w:eastAsia="宋体"/>
          <w:color w:val="auto"/>
          <w:sz w:val="24"/>
          <w:highlight w:val="none"/>
        </w:rPr>
        <w:t>3</w:t>
      </w:r>
      <w:r>
        <w:rPr>
          <w:rFonts w:hint="eastAsia" w:eastAsia="宋体"/>
          <w:color w:val="auto"/>
          <w:sz w:val="24"/>
          <w:highlight w:val="none"/>
          <w:lang w:val="en-US" w:eastAsia="zh-CN"/>
        </w:rPr>
        <w:t>5</w:t>
      </w:r>
      <w:r>
        <w:rPr>
          <w:rFonts w:hint="eastAsia" w:eastAsia="宋体"/>
          <w:color w:val="auto"/>
          <w:sz w:val="24"/>
          <w:highlight w:val="none"/>
        </w:rPr>
        <w:t>.1供应商认为采购文件、采购过程、中标结果使自己的权益受到损害的，可以在知道或者应知其权益受到损害之日起7个工作日内，以书面形式向采购人、采购代理机构提出质疑</w:t>
      </w:r>
      <w:r>
        <w:rPr>
          <w:rFonts w:hint="eastAsia" w:eastAsia="宋体"/>
          <w:color w:val="auto"/>
          <w:sz w:val="24"/>
          <w:highlight w:val="none"/>
          <w:lang w:eastAsia="zh-CN"/>
        </w:rPr>
        <w:t>，</w:t>
      </w:r>
      <w:r>
        <w:rPr>
          <w:rFonts w:hint="eastAsia" w:eastAsia="宋体"/>
          <w:color w:val="auto"/>
          <w:sz w:val="24"/>
          <w:highlight w:val="none"/>
          <w:lang w:val="en-US" w:eastAsia="zh-CN"/>
        </w:rPr>
        <w:t>详见“投标人须知前附表”</w:t>
      </w:r>
      <w:r>
        <w:rPr>
          <w:rFonts w:hint="eastAsia" w:eastAsia="宋体"/>
          <w:color w:val="auto"/>
          <w:sz w:val="24"/>
          <w:highlight w:val="none"/>
        </w:rPr>
        <w:t>。供应商在法定质疑期内一次性提出针对同一采购程序环节的质疑。</w:t>
      </w:r>
    </w:p>
    <w:p w14:paraId="35972B93">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3</w:t>
      </w:r>
      <w:r>
        <w:rPr>
          <w:rFonts w:hint="eastAsia" w:eastAsia="宋体"/>
          <w:color w:val="auto"/>
          <w:sz w:val="24"/>
          <w:highlight w:val="none"/>
          <w:lang w:val="en-US" w:eastAsia="zh-CN"/>
        </w:rPr>
        <w:t>5</w:t>
      </w:r>
      <w:r>
        <w:rPr>
          <w:rFonts w:hint="eastAsia" w:eastAsia="宋体"/>
          <w:color w:val="auto"/>
          <w:sz w:val="24"/>
          <w:highlight w:val="none"/>
        </w:rPr>
        <w:t>.2提出质疑的供应商（以下简称质疑供应商）应当是参与所质疑项目采购活动的供应商。</w:t>
      </w:r>
    </w:p>
    <w:p w14:paraId="6503DC74">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35.3</w:t>
      </w:r>
      <w:r>
        <w:rPr>
          <w:rFonts w:hint="eastAsia" w:eastAsia="宋体"/>
          <w:color w:val="auto"/>
          <w:sz w:val="24"/>
          <w:highlight w:val="none"/>
        </w:rPr>
        <w:t>潜在供应商已依法获取其可质疑的采购文件的，可以对该文件提出质疑。对采购文件提出质疑的，应当在获取采购文件或者采购文件公告期限届满之日起7个工作日内提出。</w:t>
      </w:r>
    </w:p>
    <w:p w14:paraId="7A916D67">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35.4</w:t>
      </w:r>
      <w:r>
        <w:rPr>
          <w:rFonts w:hint="eastAsia" w:eastAsia="宋体"/>
          <w:color w:val="auto"/>
          <w:sz w:val="24"/>
          <w:highlight w:val="none"/>
        </w:rPr>
        <w:t>供应商提出质疑应当提交质疑函和必要的证明材料。质疑函应当包括下列内容：</w:t>
      </w:r>
    </w:p>
    <w:p w14:paraId="57C1F480">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1</w:t>
      </w:r>
      <w:r>
        <w:rPr>
          <w:rFonts w:hint="eastAsia" w:eastAsia="宋体"/>
          <w:color w:val="auto"/>
          <w:sz w:val="24"/>
          <w:highlight w:val="none"/>
        </w:rPr>
        <w:t>）供应商的姓名或者名称、地址、邮编、联系人及联系电话；</w:t>
      </w:r>
    </w:p>
    <w:p w14:paraId="2B1F4E61">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2</w:t>
      </w:r>
      <w:r>
        <w:rPr>
          <w:rFonts w:hint="eastAsia" w:eastAsia="宋体"/>
          <w:color w:val="auto"/>
          <w:sz w:val="24"/>
          <w:highlight w:val="none"/>
        </w:rPr>
        <w:t>）质疑项目的名称、</w:t>
      </w:r>
      <w:r>
        <w:rPr>
          <w:rFonts w:hint="eastAsia" w:eastAsia="宋体"/>
          <w:color w:val="auto"/>
          <w:sz w:val="24"/>
          <w:highlight w:val="none"/>
          <w:lang w:val="en-US" w:eastAsia="zh-CN"/>
        </w:rPr>
        <w:t>项目</w:t>
      </w:r>
      <w:r>
        <w:rPr>
          <w:rFonts w:hint="eastAsia" w:eastAsia="宋体"/>
          <w:color w:val="auto"/>
          <w:sz w:val="24"/>
          <w:highlight w:val="none"/>
        </w:rPr>
        <w:t>编号</w:t>
      </w:r>
      <w:r>
        <w:rPr>
          <w:rFonts w:hint="eastAsia" w:eastAsia="宋体"/>
          <w:color w:val="auto"/>
          <w:sz w:val="24"/>
          <w:highlight w:val="none"/>
          <w:lang w:val="en-US" w:eastAsia="zh-CN"/>
        </w:rPr>
        <w:t>/包号</w:t>
      </w:r>
      <w:r>
        <w:rPr>
          <w:rFonts w:hint="eastAsia" w:eastAsia="宋体"/>
          <w:color w:val="auto"/>
          <w:sz w:val="24"/>
          <w:highlight w:val="none"/>
        </w:rPr>
        <w:t>；</w:t>
      </w:r>
    </w:p>
    <w:p w14:paraId="1AA8BB74">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3</w:t>
      </w:r>
      <w:r>
        <w:rPr>
          <w:rFonts w:hint="eastAsia" w:eastAsia="宋体"/>
          <w:color w:val="auto"/>
          <w:sz w:val="24"/>
          <w:highlight w:val="none"/>
        </w:rPr>
        <w:t>）具体、明确的质疑事项和与质疑事项相关的请求；</w:t>
      </w:r>
    </w:p>
    <w:p w14:paraId="6456E8B1">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4</w:t>
      </w:r>
      <w:r>
        <w:rPr>
          <w:rFonts w:hint="eastAsia" w:eastAsia="宋体"/>
          <w:color w:val="auto"/>
          <w:sz w:val="24"/>
          <w:highlight w:val="none"/>
        </w:rPr>
        <w:t>）事实依据；</w:t>
      </w:r>
    </w:p>
    <w:p w14:paraId="4D032ABB">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5</w:t>
      </w:r>
      <w:r>
        <w:rPr>
          <w:rFonts w:hint="eastAsia" w:eastAsia="宋体"/>
          <w:color w:val="auto"/>
          <w:sz w:val="24"/>
          <w:highlight w:val="none"/>
        </w:rPr>
        <w:t>）必要的法律依据；</w:t>
      </w:r>
    </w:p>
    <w:p w14:paraId="2E14DE4D">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6</w:t>
      </w:r>
      <w:r>
        <w:rPr>
          <w:rFonts w:hint="eastAsia" w:eastAsia="宋体"/>
          <w:color w:val="auto"/>
          <w:sz w:val="24"/>
          <w:highlight w:val="none"/>
        </w:rPr>
        <w:t>）提出质疑的日期。</w:t>
      </w:r>
    </w:p>
    <w:p w14:paraId="553B627B">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供应商为自然人的，应当由本人签字；供应商为法人或者其他组织的，应当由法定代表人、主要负责人，或者其授权代表签字或者盖章，并加盖公章。</w:t>
      </w:r>
    </w:p>
    <w:p w14:paraId="5F1352A8">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3</w:t>
      </w:r>
      <w:r>
        <w:rPr>
          <w:rFonts w:hint="eastAsia" w:eastAsia="宋体"/>
          <w:color w:val="auto"/>
          <w:sz w:val="24"/>
          <w:highlight w:val="none"/>
          <w:lang w:val="en-US" w:eastAsia="zh-CN"/>
        </w:rPr>
        <w:t>5</w:t>
      </w:r>
      <w:r>
        <w:rPr>
          <w:rFonts w:hint="eastAsia" w:eastAsia="宋体"/>
          <w:color w:val="auto"/>
          <w:sz w:val="24"/>
          <w:highlight w:val="none"/>
        </w:rPr>
        <w:t>.5质疑函不符合上述要求的，采购人或代理机构应书面告知具体事项，质疑人应当按要求进行修改或补充，并在质疑有效期限内提交。</w:t>
      </w:r>
    </w:p>
    <w:p w14:paraId="4A4B9243">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r>
        <w:rPr>
          <w:rFonts w:hint="eastAsia" w:eastAsia="宋体"/>
          <w:snapToGrid w:val="0"/>
          <w:color w:val="auto"/>
          <w:sz w:val="24"/>
          <w:highlight w:val="none"/>
        </w:rPr>
        <w:t>3</w:t>
      </w:r>
      <w:r>
        <w:rPr>
          <w:rFonts w:hint="eastAsia" w:eastAsia="宋体"/>
          <w:snapToGrid w:val="0"/>
          <w:color w:val="auto"/>
          <w:sz w:val="24"/>
          <w:highlight w:val="none"/>
          <w:lang w:val="en-US" w:eastAsia="zh-CN"/>
        </w:rPr>
        <w:t>5</w:t>
      </w:r>
      <w:r>
        <w:rPr>
          <w:rFonts w:hint="eastAsia" w:eastAsia="宋体"/>
          <w:snapToGrid w:val="0"/>
          <w:color w:val="auto"/>
          <w:sz w:val="24"/>
          <w:highlight w:val="none"/>
        </w:rPr>
        <w:t>.</w:t>
      </w:r>
      <w:r>
        <w:rPr>
          <w:rFonts w:hint="eastAsia" w:eastAsia="宋体"/>
          <w:snapToGrid w:val="0"/>
          <w:color w:val="auto"/>
          <w:sz w:val="24"/>
          <w:highlight w:val="none"/>
          <w:lang w:val="en-US" w:eastAsia="zh-CN"/>
        </w:rPr>
        <w:t>6</w:t>
      </w:r>
      <w:r>
        <w:rPr>
          <w:rFonts w:hint="eastAsia" w:eastAsia="宋体"/>
          <w:snapToGrid w:val="0"/>
          <w:color w:val="auto"/>
          <w:sz w:val="24"/>
          <w:highlight w:val="none"/>
        </w:rPr>
        <w:t>投标人进行虚假和恶意</w:t>
      </w:r>
      <w:r>
        <w:rPr>
          <w:rFonts w:hint="eastAsia" w:eastAsia="宋体"/>
          <w:snapToGrid w:val="0"/>
          <w:color w:val="auto"/>
          <w:sz w:val="24"/>
          <w:highlight w:val="none"/>
          <w:lang w:val="en-US" w:eastAsia="zh-CN"/>
        </w:rPr>
        <w:t>质疑投诉</w:t>
      </w:r>
      <w:r>
        <w:rPr>
          <w:rFonts w:hint="eastAsia" w:eastAsia="宋体"/>
          <w:snapToGrid w:val="0"/>
          <w:color w:val="auto"/>
          <w:sz w:val="24"/>
          <w:highlight w:val="none"/>
        </w:rPr>
        <w:t>的，采购代理机构将提请有关部门将其列入不良记录名单，在一至三年内禁止参加政府采购活动，并将处理决定在相关政府采购媒体上公布。</w:t>
      </w:r>
    </w:p>
    <w:p w14:paraId="3E72DE8B">
      <w:pPr>
        <w:pStyle w:val="38"/>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35.7</w:t>
      </w:r>
      <w:r>
        <w:rPr>
          <w:rFonts w:hint="eastAsia" w:eastAsia="宋体"/>
          <w:color w:val="auto"/>
          <w:sz w:val="24"/>
          <w:highlight w:val="none"/>
        </w:rPr>
        <w:t>质疑函</w:t>
      </w:r>
      <w:r>
        <w:rPr>
          <w:rFonts w:hint="eastAsia" w:eastAsia="宋体"/>
          <w:color w:val="auto"/>
          <w:sz w:val="24"/>
          <w:highlight w:val="none"/>
          <w:lang w:val="en-US" w:eastAsia="zh-CN"/>
        </w:rPr>
        <w:t>应当使用中文，并采用财政部门制定的范本。</w:t>
      </w:r>
    </w:p>
    <w:p w14:paraId="57BB856E">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22" w:name="_Toc163492868"/>
      <w:bookmarkStart w:id="223" w:name="_Toc140132801"/>
      <w:r>
        <w:rPr>
          <w:rFonts w:hint="eastAsia" w:ascii="宋体" w:hAnsi="宋体" w:eastAsia="宋体" w:cs="宋体"/>
          <w:b/>
          <w:bCs/>
          <w:color w:val="auto"/>
          <w:kern w:val="2"/>
          <w:sz w:val="24"/>
          <w:szCs w:val="28"/>
          <w:highlight w:val="none"/>
          <w:lang w:val="en-US" w:eastAsia="zh-CN" w:bidi="ar-SA"/>
        </w:rPr>
        <w:t>36.质疑答复</w:t>
      </w:r>
      <w:bookmarkEnd w:id="222"/>
      <w:bookmarkEnd w:id="223"/>
    </w:p>
    <w:p w14:paraId="43D7F91D">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3</w:t>
      </w:r>
      <w:r>
        <w:rPr>
          <w:rFonts w:hint="eastAsia" w:eastAsia="宋体"/>
          <w:color w:val="auto"/>
          <w:sz w:val="24"/>
          <w:highlight w:val="none"/>
          <w:lang w:val="en-US" w:eastAsia="zh-CN"/>
        </w:rPr>
        <w:t>6</w:t>
      </w:r>
      <w:r>
        <w:rPr>
          <w:rFonts w:hint="eastAsia" w:eastAsia="宋体"/>
          <w:color w:val="auto"/>
          <w:sz w:val="24"/>
          <w:highlight w:val="none"/>
        </w:rPr>
        <w:t>.1采购人、采购代理机构不得拒收质疑供应商在法定质疑期内发出的质疑函，应当在收到质疑函后7个工作日内作出答复，并以书面形式通知质疑供应商和其他有关供应商。</w:t>
      </w:r>
    </w:p>
    <w:p w14:paraId="6776834F">
      <w:pPr>
        <w:pStyle w:val="38"/>
        <w:keepNext w:val="0"/>
        <w:keepLines w:val="0"/>
        <w:pageBreakBefore w:val="0"/>
        <w:widowControl w:val="0"/>
        <w:kinsoku/>
        <w:overflowPunct/>
        <w:topLinePunct w:val="0"/>
        <w:autoSpaceDE/>
        <w:autoSpaceDN/>
        <w:bidi w:val="0"/>
        <w:adjustRightInd/>
        <w:textAlignment w:val="auto"/>
        <w:rPr>
          <w:rFonts w:hint="default" w:eastAsia="宋体"/>
          <w:color w:val="auto"/>
          <w:sz w:val="24"/>
          <w:highlight w:val="none"/>
          <w:lang w:val="en-US" w:eastAsia="zh-CN"/>
        </w:rPr>
      </w:pPr>
      <w:r>
        <w:rPr>
          <w:rFonts w:hint="eastAsia" w:eastAsia="宋体"/>
          <w:color w:val="auto"/>
          <w:sz w:val="24"/>
          <w:highlight w:val="none"/>
          <w:lang w:val="en-US" w:eastAsia="zh-CN"/>
        </w:rPr>
        <w:t>36.2供应商对评审过程、中标结果提出质疑的，采购人、采购代理机构可以组织原评标委员会协助答复质疑。</w:t>
      </w:r>
    </w:p>
    <w:p w14:paraId="14E02AAA">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bookmarkStart w:id="224" w:name="_Toc140132802"/>
      <w:bookmarkStart w:id="225" w:name="_Toc163492869"/>
      <w:r>
        <w:rPr>
          <w:rFonts w:hint="eastAsia" w:eastAsia="宋体"/>
          <w:color w:val="auto"/>
          <w:sz w:val="24"/>
          <w:highlight w:val="none"/>
          <w:lang w:val="zh-CN" w:eastAsia="zh-CN"/>
        </w:rPr>
        <w:t>质疑答复应当包括下列内容：</w:t>
      </w:r>
    </w:p>
    <w:p w14:paraId="457CAA68">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1</w:t>
      </w:r>
      <w:r>
        <w:rPr>
          <w:rFonts w:hint="eastAsia" w:eastAsia="宋体"/>
          <w:color w:val="auto"/>
          <w:sz w:val="24"/>
          <w:highlight w:val="none"/>
          <w:lang w:val="zh-CN" w:eastAsia="zh-CN"/>
        </w:rPr>
        <w:t>）质疑供应商的姓名或者名称；</w:t>
      </w:r>
    </w:p>
    <w:p w14:paraId="462FCFC0">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2</w:t>
      </w:r>
      <w:r>
        <w:rPr>
          <w:rFonts w:hint="eastAsia" w:eastAsia="宋体"/>
          <w:color w:val="auto"/>
          <w:sz w:val="24"/>
          <w:highlight w:val="none"/>
          <w:lang w:val="zh-CN" w:eastAsia="zh-CN"/>
        </w:rPr>
        <w:t>）收到质疑函的日期、质疑项目名称及</w:t>
      </w:r>
      <w:r>
        <w:rPr>
          <w:rFonts w:hint="eastAsia" w:eastAsia="宋体"/>
          <w:color w:val="auto"/>
          <w:sz w:val="24"/>
          <w:highlight w:val="none"/>
          <w:lang w:val="en-US" w:eastAsia="zh-CN"/>
        </w:rPr>
        <w:t>项目</w:t>
      </w:r>
      <w:r>
        <w:rPr>
          <w:rFonts w:hint="eastAsia" w:eastAsia="宋体"/>
          <w:color w:val="auto"/>
          <w:sz w:val="24"/>
          <w:highlight w:val="none"/>
          <w:lang w:val="zh-CN" w:eastAsia="zh-CN"/>
        </w:rPr>
        <w:t>编号/包号；</w:t>
      </w:r>
    </w:p>
    <w:p w14:paraId="18D72157">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3</w:t>
      </w:r>
      <w:r>
        <w:rPr>
          <w:rFonts w:hint="eastAsia" w:eastAsia="宋体"/>
          <w:color w:val="auto"/>
          <w:sz w:val="24"/>
          <w:highlight w:val="none"/>
          <w:lang w:val="zh-CN" w:eastAsia="zh-CN"/>
        </w:rPr>
        <w:t>）质疑事项、质疑答复的具体内容、事实依据和法律依据；</w:t>
      </w:r>
    </w:p>
    <w:p w14:paraId="416368F5">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4</w:t>
      </w:r>
      <w:r>
        <w:rPr>
          <w:rFonts w:hint="eastAsia" w:eastAsia="宋体"/>
          <w:color w:val="auto"/>
          <w:sz w:val="24"/>
          <w:highlight w:val="none"/>
          <w:lang w:val="zh-CN" w:eastAsia="zh-CN"/>
        </w:rPr>
        <w:t>）告知质疑供应商依法投诉的权利；</w:t>
      </w:r>
    </w:p>
    <w:p w14:paraId="36EE7969">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5</w:t>
      </w:r>
      <w:r>
        <w:rPr>
          <w:rFonts w:hint="eastAsia" w:eastAsia="宋体"/>
          <w:color w:val="auto"/>
          <w:sz w:val="24"/>
          <w:highlight w:val="none"/>
          <w:lang w:val="zh-CN" w:eastAsia="zh-CN"/>
        </w:rPr>
        <w:t>）质疑答复人名称；</w:t>
      </w:r>
    </w:p>
    <w:p w14:paraId="7E632C0C">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6</w:t>
      </w:r>
      <w:r>
        <w:rPr>
          <w:rFonts w:hint="eastAsia" w:eastAsia="宋体"/>
          <w:color w:val="auto"/>
          <w:sz w:val="24"/>
          <w:highlight w:val="none"/>
          <w:lang w:val="zh-CN" w:eastAsia="zh-CN"/>
        </w:rPr>
        <w:t>）答复质疑的日期。</w:t>
      </w:r>
    </w:p>
    <w:p w14:paraId="56A5E1E9">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质疑答复的内容不得涉及商业秘密。</w:t>
      </w:r>
    </w:p>
    <w:p w14:paraId="6D6B407C">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r>
        <w:rPr>
          <w:rFonts w:hint="eastAsia" w:ascii="宋体" w:hAnsi="宋体" w:eastAsia="宋体" w:cs="宋体"/>
          <w:b/>
          <w:bCs/>
          <w:color w:val="auto"/>
          <w:kern w:val="2"/>
          <w:sz w:val="24"/>
          <w:szCs w:val="28"/>
          <w:highlight w:val="none"/>
          <w:lang w:val="en-US" w:eastAsia="zh-CN" w:bidi="ar-SA"/>
        </w:rPr>
        <w:t>37.投诉</w:t>
      </w:r>
      <w:bookmarkEnd w:id="224"/>
      <w:bookmarkEnd w:id="225"/>
    </w:p>
    <w:p w14:paraId="5BD0CD3B">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37.1</w:t>
      </w:r>
      <w:r>
        <w:rPr>
          <w:rFonts w:hint="eastAsia" w:eastAsia="宋体"/>
          <w:color w:val="auto"/>
          <w:sz w:val="24"/>
          <w:highlight w:val="none"/>
        </w:rPr>
        <w:t>质疑供应商对采购人、采购代理机构的答复不满意，或者采购人、采购代理机构未在规定时间内作出答复的，可以在答复期满后15个工作日内向</w:t>
      </w:r>
      <w:r>
        <w:rPr>
          <w:rFonts w:hint="eastAsia" w:eastAsia="宋体"/>
          <w:color w:val="auto"/>
          <w:sz w:val="24"/>
          <w:highlight w:val="none"/>
          <w:lang w:val="en-US" w:eastAsia="zh-CN"/>
        </w:rPr>
        <w:t>同级政府采购监督管理部门</w:t>
      </w:r>
      <w:r>
        <w:rPr>
          <w:rFonts w:hint="eastAsia" w:eastAsia="宋体"/>
          <w:color w:val="auto"/>
          <w:sz w:val="24"/>
          <w:highlight w:val="none"/>
        </w:rPr>
        <w:t>提起投诉。</w:t>
      </w:r>
    </w:p>
    <w:p w14:paraId="348027D2">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37.2</w:t>
      </w:r>
      <w:r>
        <w:rPr>
          <w:rFonts w:hint="eastAsia" w:eastAsia="宋体"/>
          <w:color w:val="auto"/>
          <w:sz w:val="24"/>
          <w:highlight w:val="none"/>
        </w:rPr>
        <w:t>投诉人投诉时,应当提交投诉书和必要的证明材料，并按照被投诉采购人、采购代理机构（以下简称被投诉人）和与投诉事项有关的供应商数量提供投诉书的副本。投诉书应当包括下列内容：</w:t>
      </w:r>
    </w:p>
    <w:p w14:paraId="057A5A91">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1</w:t>
      </w:r>
      <w:r>
        <w:rPr>
          <w:rFonts w:hint="eastAsia" w:eastAsia="宋体"/>
          <w:color w:val="auto"/>
          <w:sz w:val="24"/>
          <w:highlight w:val="none"/>
        </w:rPr>
        <w:t>）投诉人和被投诉人的姓名或者名称、通讯地址、邮编、联系人及联系电话；</w:t>
      </w:r>
    </w:p>
    <w:p w14:paraId="4B753851">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2</w:t>
      </w:r>
      <w:r>
        <w:rPr>
          <w:rFonts w:hint="eastAsia" w:eastAsia="宋体"/>
          <w:color w:val="auto"/>
          <w:sz w:val="24"/>
          <w:highlight w:val="none"/>
        </w:rPr>
        <w:t>）质疑和质疑答复情况说明及相关证明材料；</w:t>
      </w:r>
    </w:p>
    <w:p w14:paraId="086B0607">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3</w:t>
      </w:r>
      <w:r>
        <w:rPr>
          <w:rFonts w:hint="eastAsia" w:eastAsia="宋体"/>
          <w:color w:val="auto"/>
          <w:sz w:val="24"/>
          <w:highlight w:val="none"/>
        </w:rPr>
        <w:t>）具体、明确的投诉事项和与投诉事项相关的投诉请求；</w:t>
      </w:r>
    </w:p>
    <w:p w14:paraId="78BC80FD">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4</w:t>
      </w:r>
      <w:r>
        <w:rPr>
          <w:rFonts w:hint="eastAsia" w:eastAsia="宋体"/>
          <w:color w:val="auto"/>
          <w:sz w:val="24"/>
          <w:highlight w:val="none"/>
        </w:rPr>
        <w:t>）事实依据；</w:t>
      </w:r>
    </w:p>
    <w:p w14:paraId="2AD666C0">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5</w:t>
      </w:r>
      <w:r>
        <w:rPr>
          <w:rFonts w:hint="eastAsia" w:eastAsia="宋体"/>
          <w:color w:val="auto"/>
          <w:sz w:val="24"/>
          <w:highlight w:val="none"/>
        </w:rPr>
        <w:t>）法律依据；</w:t>
      </w:r>
    </w:p>
    <w:p w14:paraId="28B1919B">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6</w:t>
      </w:r>
      <w:r>
        <w:rPr>
          <w:rFonts w:hint="eastAsia" w:eastAsia="宋体"/>
          <w:color w:val="auto"/>
          <w:sz w:val="24"/>
          <w:highlight w:val="none"/>
        </w:rPr>
        <w:t>）提起投诉的日期。</w:t>
      </w:r>
    </w:p>
    <w:p w14:paraId="29B1C185">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投诉人为自然人的，应当由本人签字；投诉人为法人或者其他组织的，应当由法定代表人、主要负责人，或者其授权代表签字或者盖章，并加盖公章。</w:t>
      </w:r>
    </w:p>
    <w:p w14:paraId="2A3BCE0B">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37.3</w:t>
      </w:r>
      <w:r>
        <w:rPr>
          <w:rFonts w:hint="eastAsia" w:eastAsia="宋体"/>
          <w:color w:val="auto"/>
          <w:sz w:val="24"/>
          <w:highlight w:val="none"/>
        </w:rPr>
        <w:t>供应商</w:t>
      </w:r>
      <w:r>
        <w:rPr>
          <w:rFonts w:hint="eastAsia" w:eastAsia="宋体"/>
          <w:color w:val="auto"/>
          <w:sz w:val="24"/>
          <w:highlight w:val="none"/>
          <w:lang w:val="en-US" w:eastAsia="zh-CN"/>
        </w:rPr>
        <w:t>质疑、</w:t>
      </w:r>
      <w:r>
        <w:rPr>
          <w:rFonts w:hint="eastAsia" w:eastAsia="宋体"/>
          <w:color w:val="auto"/>
          <w:sz w:val="24"/>
          <w:highlight w:val="none"/>
        </w:rPr>
        <w:t>投诉</w:t>
      </w:r>
      <w:r>
        <w:rPr>
          <w:rFonts w:hint="eastAsia" w:eastAsia="宋体"/>
          <w:color w:val="auto"/>
          <w:sz w:val="24"/>
          <w:highlight w:val="none"/>
          <w:lang w:val="en-US" w:eastAsia="zh-CN"/>
        </w:rPr>
        <w:t>应当有明确的请求和必要的证明材料</w:t>
      </w:r>
      <w:r>
        <w:rPr>
          <w:rFonts w:hint="eastAsia" w:eastAsia="宋体"/>
          <w:color w:val="auto"/>
          <w:sz w:val="24"/>
          <w:highlight w:val="none"/>
          <w:lang w:eastAsia="zh-CN"/>
        </w:rPr>
        <w:t>。</w:t>
      </w:r>
      <w:r>
        <w:rPr>
          <w:rFonts w:hint="eastAsia" w:eastAsia="宋体"/>
          <w:color w:val="auto"/>
          <w:sz w:val="24"/>
          <w:highlight w:val="none"/>
        </w:rPr>
        <w:t>供应商投诉的事项不得超出</w:t>
      </w:r>
      <w:r>
        <w:rPr>
          <w:rFonts w:hint="eastAsia" w:eastAsia="宋体"/>
          <w:color w:val="auto"/>
          <w:sz w:val="24"/>
          <w:highlight w:val="none"/>
          <w:lang w:val="en-US" w:eastAsia="zh-CN"/>
        </w:rPr>
        <w:t>已</w:t>
      </w:r>
      <w:r>
        <w:rPr>
          <w:rFonts w:hint="eastAsia" w:eastAsia="宋体"/>
          <w:color w:val="auto"/>
          <w:sz w:val="24"/>
          <w:highlight w:val="none"/>
        </w:rPr>
        <w:t>质疑事项的范围，但基于质疑答复内容提出的投诉事项除外。</w:t>
      </w:r>
    </w:p>
    <w:p w14:paraId="4A2CC2E9">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snapToGrid w:val="0"/>
          <w:color w:val="auto"/>
          <w:sz w:val="24"/>
          <w:highlight w:val="none"/>
          <w:lang w:val="en-US" w:eastAsia="zh-CN"/>
        </w:rPr>
        <w:t>37.4</w:t>
      </w:r>
      <w:r>
        <w:rPr>
          <w:rFonts w:hint="eastAsia" w:eastAsia="宋体"/>
          <w:color w:val="auto"/>
          <w:sz w:val="24"/>
          <w:highlight w:val="none"/>
          <w:lang w:val="en-US" w:eastAsia="zh-CN"/>
        </w:rPr>
        <w:t>投诉书应当使用中文，并采用财政部门制定的范本。</w:t>
      </w:r>
    </w:p>
    <w:p w14:paraId="076E00EB">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bookmarkStart w:id="226" w:name="_Toc163492870"/>
      <w:bookmarkStart w:id="227" w:name="_Toc155185882"/>
      <w:bookmarkStart w:id="228" w:name="_Toc140132803"/>
      <w:r>
        <w:rPr>
          <w:rFonts w:hint="eastAsia" w:ascii="宋体" w:hAnsi="宋体" w:eastAsia="宋体" w:cs="宋体"/>
          <w:b/>
          <w:bCs/>
          <w:color w:val="auto"/>
          <w:kern w:val="2"/>
          <w:sz w:val="24"/>
          <w:szCs w:val="32"/>
          <w:highlight w:val="none"/>
          <w:lang w:val="en-US" w:eastAsia="zh-CN" w:bidi="ar-SA"/>
        </w:rPr>
        <w:t>（十一）采购代理服务费</w:t>
      </w:r>
      <w:bookmarkEnd w:id="226"/>
      <w:bookmarkEnd w:id="227"/>
      <w:bookmarkEnd w:id="228"/>
    </w:p>
    <w:p w14:paraId="3EF5B76A">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29" w:name="_Toc140132804"/>
      <w:bookmarkStart w:id="230" w:name="_Toc163492871"/>
      <w:r>
        <w:rPr>
          <w:rFonts w:hint="eastAsia" w:ascii="宋体" w:hAnsi="宋体" w:eastAsia="宋体" w:cs="宋体"/>
          <w:b/>
          <w:bCs/>
          <w:color w:val="auto"/>
          <w:kern w:val="2"/>
          <w:sz w:val="24"/>
          <w:szCs w:val="28"/>
          <w:highlight w:val="none"/>
          <w:lang w:val="en-US" w:eastAsia="zh-CN" w:bidi="ar-SA"/>
        </w:rPr>
        <w:t>38.收取方式和标准</w:t>
      </w:r>
      <w:bookmarkEnd w:id="229"/>
      <w:bookmarkEnd w:id="230"/>
    </w:p>
    <w:p w14:paraId="0FDD9E25">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8</w:t>
      </w:r>
      <w:r>
        <w:rPr>
          <w:rFonts w:hint="eastAsia" w:eastAsia="宋体"/>
          <w:color w:val="auto"/>
          <w:sz w:val="24"/>
          <w:highlight w:val="none"/>
        </w:rPr>
        <w:t>.1采购代理机构按“投标人须知前附表”规定的方式和标准收取采购代理服务费。</w:t>
      </w:r>
    </w:p>
    <w:p w14:paraId="3ED844E1">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bookmarkStart w:id="231" w:name="_Toc155185883"/>
      <w:bookmarkStart w:id="232" w:name="_Toc163492872"/>
      <w:bookmarkStart w:id="233" w:name="_Toc140132805"/>
      <w:r>
        <w:rPr>
          <w:rFonts w:hint="eastAsia" w:ascii="宋体" w:hAnsi="宋体" w:eastAsia="宋体" w:cs="宋体"/>
          <w:b/>
          <w:bCs/>
          <w:color w:val="auto"/>
          <w:kern w:val="2"/>
          <w:sz w:val="24"/>
          <w:szCs w:val="32"/>
          <w:highlight w:val="none"/>
          <w:lang w:val="en-US" w:eastAsia="zh-CN" w:bidi="ar-SA"/>
        </w:rPr>
        <w:t>（十二）无效投标和废标</w:t>
      </w:r>
      <w:bookmarkEnd w:id="231"/>
      <w:bookmarkEnd w:id="232"/>
      <w:bookmarkEnd w:id="233"/>
    </w:p>
    <w:p w14:paraId="25869235">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34" w:name="_Toc140132806"/>
      <w:bookmarkStart w:id="235" w:name="_Toc163492873"/>
      <w:r>
        <w:rPr>
          <w:rFonts w:hint="eastAsia" w:ascii="宋体" w:hAnsi="宋体" w:eastAsia="宋体" w:cs="宋体"/>
          <w:b/>
          <w:bCs/>
          <w:color w:val="auto"/>
          <w:kern w:val="2"/>
          <w:sz w:val="24"/>
          <w:szCs w:val="28"/>
          <w:highlight w:val="none"/>
          <w:lang w:val="en-US" w:eastAsia="zh-CN" w:bidi="ar-SA"/>
        </w:rPr>
        <w:t>39.无效投标</w:t>
      </w:r>
      <w:bookmarkEnd w:id="234"/>
      <w:bookmarkEnd w:id="235"/>
    </w:p>
    <w:p w14:paraId="0EBD1306">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lang w:val="en-US" w:eastAsia="zh-CN"/>
        </w:rPr>
        <w:t>39</w:t>
      </w:r>
      <w:r>
        <w:rPr>
          <w:rFonts w:hint="eastAsia" w:eastAsia="宋体"/>
          <w:color w:val="auto"/>
          <w:sz w:val="24"/>
          <w:highlight w:val="none"/>
        </w:rPr>
        <w:t>.1投标文件存在“第四章</w:t>
      </w:r>
      <w:r>
        <w:rPr>
          <w:rFonts w:hint="eastAsia" w:eastAsia="宋体"/>
          <w:color w:val="auto"/>
          <w:sz w:val="24"/>
          <w:highlight w:val="none"/>
          <w:lang w:val="en-US" w:eastAsia="zh-CN"/>
        </w:rPr>
        <w:t xml:space="preserve"> </w:t>
      </w:r>
      <w:r>
        <w:rPr>
          <w:rFonts w:hint="eastAsia" w:eastAsia="宋体"/>
          <w:color w:val="auto"/>
          <w:sz w:val="24"/>
          <w:highlight w:val="none"/>
        </w:rPr>
        <w:t>资格审查”、“第五章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w:t>
      </w:r>
      <w:r>
        <w:rPr>
          <w:rFonts w:hint="eastAsia" w:eastAsia="宋体"/>
          <w:color w:val="auto"/>
          <w:sz w:val="24"/>
          <w:highlight w:val="none"/>
          <w:lang w:val="en-US" w:eastAsia="zh-CN"/>
        </w:rPr>
        <w:t>及本招标文件</w:t>
      </w:r>
      <w:r>
        <w:rPr>
          <w:rFonts w:hint="eastAsia" w:eastAsia="宋体"/>
          <w:color w:val="auto"/>
          <w:sz w:val="24"/>
          <w:highlight w:val="none"/>
        </w:rPr>
        <w:t>规定的投标无效情形的，其</w:t>
      </w:r>
      <w:r>
        <w:rPr>
          <w:rFonts w:hint="eastAsia" w:eastAsia="宋体"/>
          <w:b/>
          <w:bCs/>
          <w:color w:val="auto"/>
          <w:sz w:val="24"/>
          <w:highlight w:val="none"/>
        </w:rPr>
        <w:t>投标无效</w:t>
      </w:r>
      <w:r>
        <w:rPr>
          <w:rFonts w:hint="eastAsia" w:eastAsia="宋体"/>
          <w:color w:val="auto"/>
          <w:sz w:val="24"/>
          <w:highlight w:val="none"/>
        </w:rPr>
        <w:t>。</w:t>
      </w:r>
    </w:p>
    <w:p w14:paraId="7306E47B">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36" w:name="_Toc163492874"/>
      <w:bookmarkStart w:id="237" w:name="_Toc140132807"/>
      <w:r>
        <w:rPr>
          <w:rFonts w:hint="eastAsia" w:ascii="宋体" w:hAnsi="宋体" w:eastAsia="宋体" w:cs="宋体"/>
          <w:b/>
          <w:bCs/>
          <w:color w:val="auto"/>
          <w:kern w:val="2"/>
          <w:sz w:val="24"/>
          <w:szCs w:val="28"/>
          <w:highlight w:val="none"/>
          <w:lang w:val="en-US" w:eastAsia="zh-CN" w:bidi="ar-SA"/>
        </w:rPr>
        <w:t>40.废标</w:t>
      </w:r>
      <w:bookmarkEnd w:id="236"/>
      <w:bookmarkEnd w:id="237"/>
    </w:p>
    <w:p w14:paraId="5BFCDD79">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eastAsia="zh-CN"/>
        </w:rPr>
      </w:pPr>
      <w:r>
        <w:rPr>
          <w:rFonts w:eastAsia="宋体"/>
          <w:color w:val="auto"/>
          <w:sz w:val="24"/>
          <w:highlight w:val="none"/>
        </w:rPr>
        <w:t>4</w:t>
      </w:r>
      <w:r>
        <w:rPr>
          <w:rFonts w:hint="eastAsia" w:eastAsia="宋体"/>
          <w:color w:val="auto"/>
          <w:sz w:val="24"/>
          <w:highlight w:val="none"/>
          <w:lang w:val="en-US" w:eastAsia="zh-CN"/>
        </w:rPr>
        <w:t>0</w:t>
      </w:r>
      <w:r>
        <w:rPr>
          <w:rFonts w:hint="eastAsia" w:eastAsia="宋体"/>
          <w:color w:val="auto"/>
          <w:sz w:val="24"/>
          <w:highlight w:val="none"/>
        </w:rPr>
        <w:t>.1在招标采购中出现有“第五章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w:t>
      </w:r>
      <w:r>
        <w:rPr>
          <w:rFonts w:hint="eastAsia" w:eastAsia="宋体"/>
          <w:color w:val="auto"/>
          <w:sz w:val="24"/>
          <w:highlight w:val="none"/>
          <w:lang w:val="en-US" w:eastAsia="zh-CN"/>
        </w:rPr>
        <w:t>及本招标文件</w:t>
      </w:r>
      <w:r>
        <w:rPr>
          <w:rFonts w:hint="eastAsia" w:eastAsia="宋体"/>
          <w:color w:val="auto"/>
          <w:sz w:val="24"/>
          <w:highlight w:val="none"/>
        </w:rPr>
        <w:t>规定的废标情形的，应予以</w:t>
      </w:r>
      <w:r>
        <w:rPr>
          <w:rFonts w:hint="eastAsia" w:eastAsia="宋体"/>
          <w:b/>
          <w:bCs/>
          <w:color w:val="auto"/>
          <w:sz w:val="24"/>
          <w:highlight w:val="none"/>
        </w:rPr>
        <w:t>废标</w:t>
      </w:r>
      <w:r>
        <w:rPr>
          <w:rFonts w:hint="eastAsia" w:eastAsia="宋体"/>
          <w:color w:val="auto"/>
          <w:sz w:val="24"/>
          <w:highlight w:val="none"/>
          <w:lang w:eastAsia="zh-CN"/>
        </w:rPr>
        <w:t>。</w:t>
      </w:r>
    </w:p>
    <w:p w14:paraId="0C4DEC92">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bookmarkStart w:id="238" w:name="_Toc163492875"/>
      <w:bookmarkStart w:id="239" w:name="_Toc140132766"/>
      <w:bookmarkStart w:id="240" w:name="_Toc140132808"/>
      <w:bookmarkStart w:id="241" w:name="_Toc155185884"/>
      <w:r>
        <w:rPr>
          <w:rFonts w:hint="eastAsia" w:ascii="宋体" w:hAnsi="宋体" w:eastAsia="宋体" w:cs="宋体"/>
          <w:b/>
          <w:bCs/>
          <w:color w:val="auto"/>
          <w:kern w:val="2"/>
          <w:sz w:val="24"/>
          <w:szCs w:val="32"/>
          <w:highlight w:val="none"/>
          <w:lang w:val="en-US" w:eastAsia="zh-CN" w:bidi="ar-SA"/>
        </w:rPr>
        <w:t>（十三）落实政府采购政策</w:t>
      </w:r>
      <w:bookmarkEnd w:id="238"/>
      <w:bookmarkEnd w:id="239"/>
      <w:r>
        <w:rPr>
          <w:rFonts w:hint="eastAsia" w:ascii="宋体" w:hAnsi="宋体" w:eastAsia="宋体" w:cs="宋体"/>
          <w:b/>
          <w:bCs/>
          <w:color w:val="auto"/>
          <w:kern w:val="2"/>
          <w:sz w:val="24"/>
          <w:szCs w:val="32"/>
          <w:highlight w:val="none"/>
          <w:lang w:val="en-US" w:eastAsia="zh-CN" w:bidi="ar-SA"/>
        </w:rPr>
        <w:t>（包括但不限于下列具体政策要求）</w:t>
      </w:r>
    </w:p>
    <w:p w14:paraId="5800BCE0">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42" w:name="_Toc163492876"/>
      <w:r>
        <w:rPr>
          <w:rFonts w:hint="eastAsia" w:ascii="宋体" w:hAnsi="宋体" w:eastAsia="宋体" w:cs="宋体"/>
          <w:b/>
          <w:bCs/>
          <w:color w:val="auto"/>
          <w:kern w:val="2"/>
          <w:sz w:val="24"/>
          <w:szCs w:val="28"/>
          <w:highlight w:val="none"/>
          <w:lang w:val="en-US" w:eastAsia="zh-CN" w:bidi="ar-SA"/>
        </w:rPr>
        <w:t>41.支持国产和进口产品审批</w:t>
      </w:r>
      <w:bookmarkEnd w:id="242"/>
    </w:p>
    <w:p w14:paraId="26D924DD">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r>
        <w:rPr>
          <w:rFonts w:eastAsia="宋体"/>
          <w:snapToGrid w:val="0"/>
          <w:color w:val="auto"/>
          <w:sz w:val="24"/>
          <w:highlight w:val="none"/>
        </w:rPr>
        <w:t>4</w:t>
      </w:r>
      <w:r>
        <w:rPr>
          <w:rFonts w:hint="eastAsia" w:eastAsia="宋体"/>
          <w:snapToGrid w:val="0"/>
          <w:color w:val="auto"/>
          <w:sz w:val="24"/>
          <w:highlight w:val="none"/>
          <w:lang w:val="en-US" w:eastAsia="zh-CN"/>
        </w:rPr>
        <w:t>1</w:t>
      </w:r>
      <w:r>
        <w:rPr>
          <w:rFonts w:hint="eastAsia" w:eastAsia="宋体"/>
          <w:snapToGrid w:val="0"/>
          <w:color w:val="auto"/>
          <w:sz w:val="24"/>
          <w:highlight w:val="none"/>
        </w:rPr>
        <w:t>.1除“投标人须知前附表”另有规定外，政府采购应当采购本国</w:t>
      </w:r>
      <w:r>
        <w:rPr>
          <w:rFonts w:hint="eastAsia" w:eastAsia="宋体"/>
          <w:snapToGrid w:val="0"/>
          <w:color w:val="auto"/>
          <w:sz w:val="24"/>
          <w:highlight w:val="none"/>
          <w:lang w:val="en-US" w:eastAsia="zh-CN"/>
        </w:rPr>
        <w:t>货物、工程和服务</w:t>
      </w:r>
      <w:r>
        <w:rPr>
          <w:rFonts w:hint="eastAsia" w:eastAsia="宋体"/>
          <w:snapToGrid w:val="0"/>
          <w:color w:val="auto"/>
          <w:sz w:val="24"/>
          <w:highlight w:val="none"/>
        </w:rPr>
        <w:t>，确需采购进口产品的，采购人应当按照</w:t>
      </w:r>
      <w:r>
        <w:rPr>
          <w:rFonts w:hint="eastAsia" w:eastAsia="宋体"/>
          <w:snapToGrid w:val="0"/>
          <w:color w:val="auto"/>
          <w:sz w:val="24"/>
          <w:highlight w:val="none"/>
          <w:lang w:val="en-US" w:eastAsia="zh-CN"/>
        </w:rPr>
        <w:t>《政府采购进口产品管理办法》（财库〔2007〕119 号文）、</w:t>
      </w:r>
      <w:r>
        <w:rPr>
          <w:rFonts w:hint="eastAsia" w:eastAsia="宋体"/>
          <w:snapToGrid w:val="0"/>
          <w:color w:val="auto"/>
          <w:sz w:val="24"/>
          <w:highlight w:val="none"/>
        </w:rPr>
        <w:t>《关于政府采购进口产品管理有关问题的通知》（财办库〔</w:t>
      </w:r>
      <w:r>
        <w:rPr>
          <w:rFonts w:eastAsia="宋体"/>
          <w:snapToGrid w:val="0"/>
          <w:color w:val="auto"/>
          <w:sz w:val="24"/>
          <w:highlight w:val="none"/>
        </w:rPr>
        <w:t>2008〕248号）规定执行（进口产品审批制，科研院所监管部门另有规定的从其规定）。</w:t>
      </w:r>
      <w:r>
        <w:rPr>
          <w:rFonts w:hint="eastAsia" w:eastAsia="宋体"/>
          <w:snapToGrid w:val="0"/>
          <w:color w:val="auto"/>
          <w:sz w:val="24"/>
          <w:highlight w:val="none"/>
        </w:rPr>
        <w:t>项目若涉及采购进口产品的，具体要求详见“第三章</w:t>
      </w:r>
      <w:r>
        <w:rPr>
          <w:rFonts w:eastAsia="宋体"/>
          <w:snapToGrid w:val="0"/>
          <w:color w:val="auto"/>
          <w:sz w:val="24"/>
          <w:highlight w:val="none"/>
        </w:rPr>
        <w:t xml:space="preserve"> 采购需求”</w:t>
      </w:r>
      <w:r>
        <w:rPr>
          <w:rFonts w:hint="eastAsia" w:eastAsia="宋体"/>
          <w:snapToGrid w:val="0"/>
          <w:color w:val="auto"/>
          <w:sz w:val="24"/>
          <w:highlight w:val="none"/>
        </w:rPr>
        <w:t>。</w:t>
      </w:r>
    </w:p>
    <w:p w14:paraId="201F13F9">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41.2进口产品指通过中国海关报关验放进入中国境内且产自关境外的产品，包括已经进入中国境内的进口产品。 </w:t>
      </w:r>
    </w:p>
    <w:p w14:paraId="0C404CE2">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41.3若采购需求中写明允许采购进口产品，投标人应保证所投产品可履行合法报通关手续进入中国关境内。</w:t>
      </w:r>
    </w:p>
    <w:p w14:paraId="50A8DE9A">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41.4若采购需求中未写明允许采购进口产品，如投标人所投产品为进口产品，其投标将被认定为</w:t>
      </w:r>
      <w:r>
        <w:rPr>
          <w:rFonts w:hint="eastAsia" w:eastAsia="宋体"/>
          <w:b/>
          <w:bCs/>
          <w:snapToGrid w:val="0"/>
          <w:color w:val="auto"/>
          <w:sz w:val="24"/>
          <w:highlight w:val="none"/>
          <w:lang w:val="en-US" w:eastAsia="zh-CN"/>
        </w:rPr>
        <w:t>投标无效</w:t>
      </w:r>
      <w:r>
        <w:rPr>
          <w:rFonts w:hint="eastAsia" w:eastAsia="宋体"/>
          <w:snapToGrid w:val="0"/>
          <w:color w:val="auto"/>
          <w:sz w:val="24"/>
          <w:highlight w:val="none"/>
          <w:lang w:val="en-US" w:eastAsia="zh-CN"/>
        </w:rPr>
        <w:t>。</w:t>
      </w:r>
    </w:p>
    <w:p w14:paraId="6764F885">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43" w:name="_Toc163492877"/>
      <w:r>
        <w:rPr>
          <w:rFonts w:hint="eastAsia" w:ascii="宋体" w:hAnsi="宋体" w:eastAsia="宋体" w:cs="宋体"/>
          <w:b/>
          <w:bCs/>
          <w:color w:val="auto"/>
          <w:kern w:val="2"/>
          <w:sz w:val="24"/>
          <w:szCs w:val="28"/>
          <w:highlight w:val="none"/>
          <w:lang w:val="en-US" w:eastAsia="zh-CN" w:bidi="ar-SA"/>
        </w:rPr>
        <w:t>42.中小企业、监狱企业及残疾人福利性单位</w:t>
      </w:r>
      <w:bookmarkEnd w:id="243"/>
    </w:p>
    <w:p w14:paraId="6CF3C244">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eastAsia" w:eastAsia="宋体"/>
          <w:snapToGrid w:val="0"/>
          <w:color w:val="auto"/>
          <w:sz w:val="24"/>
          <w:highlight w:val="none"/>
        </w:rPr>
        <w:t>.</w:t>
      </w:r>
      <w:r>
        <w:rPr>
          <w:rFonts w:hint="eastAsia" w:eastAsia="宋体"/>
          <w:snapToGrid w:val="0"/>
          <w:color w:val="auto"/>
          <w:sz w:val="24"/>
          <w:highlight w:val="none"/>
          <w:lang w:val="en-US" w:eastAsia="zh-CN"/>
        </w:rPr>
        <w:t>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w:t>
      </w:r>
      <w:r>
        <w:rPr>
          <w:rFonts w:hint="default" w:eastAsia="宋体"/>
          <w:snapToGrid w:val="0"/>
          <w:color w:val="auto"/>
          <w:sz w:val="24"/>
          <w:highlight w:val="none"/>
          <w:lang w:val="en-US" w:eastAsia="zh-CN"/>
        </w:rPr>
        <w:t>2022</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19 </w:t>
      </w:r>
      <w:r>
        <w:rPr>
          <w:rFonts w:hint="eastAsia" w:eastAsia="宋体"/>
          <w:snapToGrid w:val="0"/>
          <w:color w:val="auto"/>
          <w:sz w:val="24"/>
          <w:highlight w:val="none"/>
          <w:lang w:val="en-US" w:eastAsia="zh-CN"/>
        </w:rPr>
        <w:t>号）、《政府采购促进中小企业发展管理办法》（财库〔</w:t>
      </w:r>
      <w:r>
        <w:rPr>
          <w:rFonts w:hint="default" w:eastAsia="宋体"/>
          <w:snapToGrid w:val="0"/>
          <w:color w:val="auto"/>
          <w:sz w:val="24"/>
          <w:highlight w:val="none"/>
          <w:lang w:val="en-US" w:eastAsia="zh-CN"/>
        </w:rPr>
        <w:t>2020</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46 </w:t>
      </w:r>
      <w:r>
        <w:rPr>
          <w:rFonts w:hint="eastAsia" w:eastAsia="宋体"/>
          <w:snapToGrid w:val="0"/>
          <w:color w:val="auto"/>
          <w:sz w:val="24"/>
          <w:highlight w:val="none"/>
          <w:lang w:val="en-US" w:eastAsia="zh-CN"/>
        </w:rPr>
        <w:t>号）、《关于印发中小企业划型标准规定的通知》（工信部联企业〔</w:t>
      </w:r>
      <w:r>
        <w:rPr>
          <w:rFonts w:hint="default" w:eastAsia="宋体"/>
          <w:snapToGrid w:val="0"/>
          <w:color w:val="auto"/>
          <w:sz w:val="24"/>
          <w:highlight w:val="none"/>
          <w:lang w:val="en-US" w:eastAsia="zh-CN"/>
        </w:rPr>
        <w:t>2011</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300 </w:t>
      </w:r>
      <w:r>
        <w:rPr>
          <w:rFonts w:hint="eastAsia" w:eastAsia="宋体"/>
          <w:snapToGrid w:val="0"/>
          <w:color w:val="auto"/>
          <w:sz w:val="24"/>
          <w:highlight w:val="none"/>
          <w:lang w:val="en-US" w:eastAsia="zh-CN"/>
        </w:rPr>
        <w:t xml:space="preserve">号）、《金融业企业划型标准规定》（〔2015〕309 号）等国务院批准的中小企业划分标准执行。 </w:t>
      </w:r>
    </w:p>
    <w:p w14:paraId="775C3158">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eastAsia" w:eastAsia="宋体"/>
          <w:snapToGrid w:val="0"/>
          <w:color w:val="auto"/>
          <w:sz w:val="24"/>
          <w:highlight w:val="none"/>
        </w:rPr>
        <w:t>.</w:t>
      </w:r>
      <w:r>
        <w:rPr>
          <w:rFonts w:hint="eastAsia" w:eastAsia="宋体"/>
          <w:snapToGrid w:val="0"/>
          <w:color w:val="auto"/>
          <w:sz w:val="24"/>
          <w:highlight w:val="none"/>
          <w:lang w:val="en-US" w:eastAsia="zh-CN"/>
        </w:rPr>
        <w:t>2</w:t>
      </w:r>
      <w:r>
        <w:rPr>
          <w:rFonts w:hint="eastAsia" w:eastAsia="宋体"/>
          <w:snapToGrid w:val="0"/>
          <w:color w:val="auto"/>
          <w:sz w:val="24"/>
          <w:highlight w:val="none"/>
        </w:rPr>
        <w:t>为促进中小企业发展，依据《关于印发&lt;政府采购促进中小企业发展管理办法&gt;的通知》（财库〔2020〕46号）、《财政部 司法部关于政府采购支持监狱企业发展有关问题的通知》（财库〔2014〕68号）、《关于促进残疾人就业政府采购政策的通知》（财库〔2017〕141号）的规定，本项目供应商如</w:t>
      </w:r>
      <w:r>
        <w:rPr>
          <w:rFonts w:hint="eastAsia" w:eastAsia="宋体"/>
          <w:snapToGrid w:val="0"/>
          <w:color w:val="auto"/>
          <w:sz w:val="24"/>
          <w:highlight w:val="none"/>
          <w:lang w:eastAsia="zh-CN"/>
        </w:rPr>
        <w:t>需享受中小企业相关政策的，且</w:t>
      </w:r>
      <w:r>
        <w:rPr>
          <w:rFonts w:hint="eastAsia" w:eastAsia="宋体"/>
          <w:snapToGrid w:val="0"/>
          <w:color w:val="auto"/>
          <w:sz w:val="24"/>
          <w:highlight w:val="none"/>
        </w:rPr>
        <w:t>符合上述文件规定的，</w:t>
      </w:r>
      <w:r>
        <w:rPr>
          <w:rFonts w:hint="eastAsia" w:eastAsia="宋体"/>
          <w:snapToGrid w:val="0"/>
          <w:color w:val="auto"/>
          <w:sz w:val="24"/>
          <w:highlight w:val="none"/>
          <w:lang w:eastAsia="zh-CN"/>
        </w:rPr>
        <w:t>应按本</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文件规定格式</w:t>
      </w:r>
      <w:r>
        <w:rPr>
          <w:rFonts w:hint="eastAsia" w:eastAsia="宋体"/>
          <w:snapToGrid w:val="0"/>
          <w:color w:val="auto"/>
          <w:sz w:val="24"/>
          <w:highlight w:val="none"/>
        </w:rPr>
        <w:t>提供</w:t>
      </w:r>
      <w:r>
        <w:rPr>
          <w:rFonts w:hint="eastAsia" w:eastAsia="宋体"/>
          <w:snapToGrid w:val="0"/>
          <w:color w:val="auto"/>
          <w:sz w:val="24"/>
          <w:highlight w:val="none"/>
          <w:lang w:eastAsia="zh-CN"/>
        </w:rPr>
        <w:t>“</w:t>
      </w:r>
      <w:r>
        <w:rPr>
          <w:rFonts w:hint="eastAsia" w:eastAsia="宋体"/>
          <w:snapToGrid w:val="0"/>
          <w:color w:val="auto"/>
          <w:sz w:val="24"/>
          <w:highlight w:val="none"/>
        </w:rPr>
        <w:t>中小企业声明函</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rPr>
        <w:t>监狱企业证明文件</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lang w:eastAsia="zh-CN"/>
        </w:rPr>
        <w:t>“</w:t>
      </w:r>
      <w:r>
        <w:rPr>
          <w:rFonts w:hint="eastAsia" w:eastAsia="宋体"/>
          <w:snapToGrid w:val="0"/>
          <w:color w:val="auto"/>
          <w:sz w:val="24"/>
          <w:highlight w:val="none"/>
        </w:rPr>
        <w:t>残疾人福利性单位声明函</w:t>
      </w:r>
      <w:r>
        <w:rPr>
          <w:rFonts w:hint="eastAsia" w:eastAsia="宋体"/>
          <w:snapToGrid w:val="0"/>
          <w:color w:val="auto"/>
          <w:sz w:val="24"/>
          <w:highlight w:val="none"/>
          <w:lang w:eastAsia="zh-CN"/>
        </w:rPr>
        <w:t>”</w:t>
      </w:r>
      <w:r>
        <w:rPr>
          <w:rFonts w:hint="eastAsia" w:eastAsia="宋体"/>
          <w:snapToGrid w:val="0"/>
          <w:color w:val="auto"/>
          <w:sz w:val="24"/>
          <w:highlight w:val="none"/>
        </w:rPr>
        <w:t>，评审时，</w:t>
      </w:r>
      <w:r>
        <w:rPr>
          <w:rFonts w:hint="eastAsia" w:eastAsia="宋体"/>
          <w:snapToGrid w:val="0"/>
          <w:color w:val="auto"/>
          <w:sz w:val="24"/>
          <w:highlight w:val="none"/>
          <w:lang w:val="en-US" w:eastAsia="zh-CN"/>
        </w:rPr>
        <w:t>评标委员会</w:t>
      </w:r>
      <w:r>
        <w:rPr>
          <w:rFonts w:hint="eastAsia" w:eastAsia="宋体"/>
          <w:snapToGrid w:val="0"/>
          <w:color w:val="auto"/>
          <w:sz w:val="24"/>
          <w:highlight w:val="none"/>
        </w:rPr>
        <w:t>将依据</w:t>
      </w:r>
      <w:r>
        <w:rPr>
          <w:rFonts w:hint="eastAsia" w:eastAsia="宋体"/>
          <w:snapToGrid w:val="0"/>
          <w:color w:val="auto"/>
          <w:sz w:val="24"/>
          <w:highlight w:val="none"/>
          <w:lang w:eastAsia="zh-CN"/>
        </w:rPr>
        <w:t>本</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文件</w:t>
      </w:r>
      <w:r>
        <w:rPr>
          <w:rFonts w:hint="eastAsia" w:eastAsia="宋体"/>
          <w:snapToGrid w:val="0"/>
          <w:color w:val="auto"/>
          <w:sz w:val="24"/>
          <w:highlight w:val="none"/>
        </w:rPr>
        <w:t>“</w:t>
      </w:r>
      <w:r>
        <w:rPr>
          <w:rFonts w:hint="eastAsia" w:eastAsia="宋体"/>
          <w:snapToGrid w:val="0"/>
          <w:color w:val="auto"/>
          <w:sz w:val="24"/>
          <w:highlight w:val="none"/>
          <w:lang w:val="en-US" w:eastAsia="zh-CN"/>
        </w:rPr>
        <w:t>投标人</w:t>
      </w:r>
      <w:r>
        <w:rPr>
          <w:rFonts w:hint="eastAsia" w:eastAsia="宋体"/>
          <w:snapToGrid w:val="0"/>
          <w:color w:val="auto"/>
          <w:sz w:val="24"/>
          <w:highlight w:val="none"/>
        </w:rPr>
        <w:t>须知前附表”规定的报价扣除比例，对供应商报价进行价格扣除，用扣除后的价格参与评审</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公告中明确项目专门面向中小企业采购的，“</w:t>
      </w:r>
      <w:r>
        <w:rPr>
          <w:rFonts w:hint="eastAsia" w:eastAsia="宋体"/>
          <w:snapToGrid w:val="0"/>
          <w:color w:val="auto"/>
          <w:sz w:val="24"/>
          <w:highlight w:val="none"/>
        </w:rPr>
        <w:t>中小企业声明函</w:t>
      </w:r>
      <w:r>
        <w:rPr>
          <w:rFonts w:hint="eastAsia" w:eastAsia="宋体"/>
          <w:snapToGrid w:val="0"/>
          <w:color w:val="auto"/>
          <w:sz w:val="24"/>
          <w:highlight w:val="none"/>
          <w:lang w:eastAsia="zh-CN"/>
        </w:rPr>
        <w:t>”为资格要求文件，</w:t>
      </w:r>
      <w:r>
        <w:rPr>
          <w:rFonts w:hint="eastAsia" w:eastAsia="宋体"/>
          <w:snapToGrid w:val="0"/>
          <w:color w:val="auto"/>
          <w:sz w:val="24"/>
          <w:highlight w:val="none"/>
        </w:rPr>
        <w:t>供应商</w:t>
      </w:r>
      <w:r>
        <w:rPr>
          <w:rFonts w:hint="eastAsia" w:eastAsia="宋体"/>
          <w:snapToGrid w:val="0"/>
          <w:color w:val="auto"/>
          <w:sz w:val="24"/>
          <w:highlight w:val="none"/>
          <w:lang w:eastAsia="zh-CN"/>
        </w:rPr>
        <w:t>参与</w:t>
      </w:r>
      <w:r>
        <w:rPr>
          <w:rFonts w:hint="eastAsia" w:eastAsia="宋体"/>
          <w:snapToGrid w:val="0"/>
          <w:color w:val="auto"/>
          <w:sz w:val="24"/>
          <w:highlight w:val="none"/>
          <w:lang w:val="en-US" w:eastAsia="zh-CN"/>
        </w:rPr>
        <w:t>投标</w:t>
      </w:r>
      <w:r>
        <w:rPr>
          <w:rFonts w:hint="eastAsia" w:eastAsia="宋体"/>
          <w:snapToGrid w:val="0"/>
          <w:color w:val="auto"/>
          <w:sz w:val="24"/>
          <w:highlight w:val="none"/>
          <w:lang w:eastAsia="zh-CN"/>
        </w:rPr>
        <w:t>须按本</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文件规定格式</w:t>
      </w:r>
      <w:r>
        <w:rPr>
          <w:rFonts w:hint="eastAsia" w:eastAsia="宋体"/>
          <w:snapToGrid w:val="0"/>
          <w:color w:val="auto"/>
          <w:sz w:val="24"/>
          <w:highlight w:val="none"/>
        </w:rPr>
        <w:t>提供</w:t>
      </w:r>
      <w:r>
        <w:rPr>
          <w:rFonts w:hint="eastAsia" w:eastAsia="宋体"/>
          <w:snapToGrid w:val="0"/>
          <w:color w:val="auto"/>
          <w:sz w:val="24"/>
          <w:highlight w:val="none"/>
          <w:lang w:eastAsia="zh-CN"/>
        </w:rPr>
        <w:t>“</w:t>
      </w:r>
      <w:r>
        <w:rPr>
          <w:rFonts w:hint="eastAsia" w:eastAsia="宋体"/>
          <w:snapToGrid w:val="0"/>
          <w:color w:val="auto"/>
          <w:sz w:val="24"/>
          <w:highlight w:val="none"/>
        </w:rPr>
        <w:t>中小企业声明函</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rPr>
        <w:t>监狱企业证明文件</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lang w:eastAsia="zh-CN"/>
        </w:rPr>
        <w:t>“</w:t>
      </w:r>
      <w:r>
        <w:rPr>
          <w:rFonts w:hint="eastAsia" w:eastAsia="宋体"/>
          <w:snapToGrid w:val="0"/>
          <w:color w:val="auto"/>
          <w:sz w:val="24"/>
          <w:highlight w:val="none"/>
        </w:rPr>
        <w:t>残疾人福利性单位声明函</w:t>
      </w:r>
      <w:r>
        <w:rPr>
          <w:rFonts w:hint="eastAsia" w:eastAsia="宋体"/>
          <w:snapToGrid w:val="0"/>
          <w:color w:val="auto"/>
          <w:sz w:val="24"/>
          <w:highlight w:val="none"/>
          <w:lang w:eastAsia="zh-CN"/>
        </w:rPr>
        <w:t>”等作为资格证明文件。</w:t>
      </w:r>
      <w:r>
        <w:rPr>
          <w:rFonts w:hint="eastAsia" w:eastAsia="宋体"/>
          <w:snapToGrid w:val="0"/>
          <w:color w:val="auto"/>
          <w:sz w:val="24"/>
          <w:highlight w:val="none"/>
          <w:lang w:val="en-US" w:eastAsia="zh-CN"/>
        </w:rPr>
        <w:t xml:space="preserve"> </w:t>
      </w:r>
    </w:p>
    <w:p w14:paraId="743E5E0E">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3</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投标人提供的货物、工程或者服务符合下列情形的，享受中小企业扶持政策： </w:t>
      </w:r>
    </w:p>
    <w:p w14:paraId="07E7A00A">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1</w:t>
      </w:r>
      <w:r>
        <w:rPr>
          <w:rFonts w:hint="eastAsia" w:eastAsia="宋体"/>
          <w:snapToGrid w:val="0"/>
          <w:color w:val="auto"/>
          <w:sz w:val="24"/>
          <w:highlight w:val="none"/>
          <w:lang w:val="en-US" w:eastAsia="zh-CN"/>
        </w:rPr>
        <w:t xml:space="preserve">）在货物采购项目中，货物由中小企业制造，即货物由中小企业生产且使用该中小企业商号或者注册商标； </w:t>
      </w:r>
    </w:p>
    <w:p w14:paraId="128FB5A1">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2</w:t>
      </w:r>
      <w:r>
        <w:rPr>
          <w:rFonts w:hint="eastAsia" w:eastAsia="宋体"/>
          <w:snapToGrid w:val="0"/>
          <w:color w:val="auto"/>
          <w:sz w:val="24"/>
          <w:highlight w:val="none"/>
          <w:lang w:val="en-US" w:eastAsia="zh-CN"/>
        </w:rPr>
        <w:t xml:space="preserve">）在工程采购项目中，工程由中小企业承建，即工程施工单位为中小企业； </w:t>
      </w:r>
    </w:p>
    <w:p w14:paraId="4557B965">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3</w:t>
      </w:r>
      <w:r>
        <w:rPr>
          <w:rFonts w:hint="eastAsia" w:eastAsia="宋体"/>
          <w:snapToGrid w:val="0"/>
          <w:color w:val="auto"/>
          <w:sz w:val="24"/>
          <w:highlight w:val="none"/>
          <w:lang w:val="en-US" w:eastAsia="zh-CN"/>
        </w:rPr>
        <w:t>）在服务采购项目中，服务由中小企业承接，即提供服务的人员为中小企业依照《中华人民共和国劳动合同法》订立劳动合同的从业人员。</w:t>
      </w:r>
    </w:p>
    <w:p w14:paraId="5C38B69F">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eastAsia="宋体"/>
          <w:snapToGrid w:val="0"/>
          <w:color w:val="auto"/>
          <w:sz w:val="24"/>
          <w:highlight w:val="none"/>
          <w:lang w:val="en-US" w:eastAsia="zh-CN"/>
        </w:rPr>
        <w:t>.</w:t>
      </w:r>
      <w:r>
        <w:rPr>
          <w:rFonts w:hint="eastAsia" w:eastAsia="宋体"/>
          <w:snapToGrid w:val="0"/>
          <w:color w:val="auto"/>
          <w:sz w:val="24"/>
          <w:highlight w:val="none"/>
          <w:lang w:val="en-US" w:eastAsia="zh-CN"/>
        </w:rPr>
        <w:t>4</w:t>
      </w:r>
      <w:r>
        <w:rPr>
          <w:rFonts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在货物采购项目中，投标人提供的货物既有中小企业制造货物，也有大型企业制造货物的，不享受中小企业扶持政策。 </w:t>
      </w:r>
    </w:p>
    <w:p w14:paraId="0B6C9A16">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5</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以联合体形式参加政府采购活动，联合体各方均为中小企业的，联合体视同中小企业。其中，联合体各方均为小微企业的，联合体视同小微企业。  </w:t>
      </w:r>
    </w:p>
    <w:p w14:paraId="589A89E3">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6</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1EF9D90B">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在政府采购活动中，残疾人福利性单位视同小型、微型企业，享受预留份额、评审中价格扣除等促进中小企业发展的政府采购政策。残疾人福利性单位定义：享受政府采购支持政策的残疾人福利性单位应当同时满足以下条件： </w:t>
      </w:r>
    </w:p>
    <w:p w14:paraId="2EADF7DB">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.1 </w:t>
      </w:r>
      <w:r>
        <w:rPr>
          <w:rFonts w:hint="eastAsia" w:eastAsia="宋体"/>
          <w:snapToGrid w:val="0"/>
          <w:color w:val="auto"/>
          <w:sz w:val="24"/>
          <w:highlight w:val="none"/>
          <w:lang w:val="en-US" w:eastAsia="zh-CN"/>
        </w:rPr>
        <w:t xml:space="preserve">安置的残疾人占本单位在职职工人数的比例不低于 </w:t>
      </w:r>
      <w:r>
        <w:rPr>
          <w:rFonts w:hint="default" w:eastAsia="宋体"/>
          <w:snapToGrid w:val="0"/>
          <w:color w:val="auto"/>
          <w:sz w:val="24"/>
          <w:highlight w:val="none"/>
          <w:lang w:val="en-US" w:eastAsia="zh-CN"/>
        </w:rPr>
        <w:t xml:space="preserve">25% </w:t>
      </w:r>
      <w:r>
        <w:rPr>
          <w:rFonts w:hint="eastAsia" w:eastAsia="宋体"/>
          <w:snapToGrid w:val="0"/>
          <w:color w:val="auto"/>
          <w:sz w:val="24"/>
          <w:highlight w:val="none"/>
          <w:lang w:val="en-US" w:eastAsia="zh-CN"/>
        </w:rPr>
        <w:t xml:space="preserve">（含 </w:t>
      </w:r>
      <w:r>
        <w:rPr>
          <w:rFonts w:hint="default" w:eastAsia="宋体"/>
          <w:snapToGrid w:val="0"/>
          <w:color w:val="auto"/>
          <w:sz w:val="24"/>
          <w:highlight w:val="none"/>
          <w:lang w:val="en-US" w:eastAsia="zh-CN"/>
        </w:rPr>
        <w:t>25%</w:t>
      </w:r>
      <w:r>
        <w:rPr>
          <w:rFonts w:hint="eastAsia" w:eastAsia="宋体"/>
          <w:snapToGrid w:val="0"/>
          <w:color w:val="auto"/>
          <w:sz w:val="24"/>
          <w:highlight w:val="none"/>
          <w:lang w:val="en-US" w:eastAsia="zh-CN"/>
        </w:rPr>
        <w:t xml:space="preserve">），并且安置的残疾人人数不少于 </w:t>
      </w:r>
      <w:r>
        <w:rPr>
          <w:rFonts w:hint="default" w:eastAsia="宋体"/>
          <w:snapToGrid w:val="0"/>
          <w:color w:val="auto"/>
          <w:sz w:val="24"/>
          <w:highlight w:val="none"/>
          <w:lang w:val="en-US" w:eastAsia="zh-CN"/>
        </w:rPr>
        <w:t xml:space="preserve">10 </w:t>
      </w:r>
      <w:r>
        <w:rPr>
          <w:rFonts w:hint="eastAsia" w:eastAsia="宋体"/>
          <w:snapToGrid w:val="0"/>
          <w:color w:val="auto"/>
          <w:sz w:val="24"/>
          <w:highlight w:val="none"/>
          <w:lang w:val="en-US" w:eastAsia="zh-CN"/>
        </w:rPr>
        <w:t xml:space="preserve">人（含 </w:t>
      </w:r>
      <w:r>
        <w:rPr>
          <w:rFonts w:hint="default" w:eastAsia="宋体"/>
          <w:snapToGrid w:val="0"/>
          <w:color w:val="auto"/>
          <w:sz w:val="24"/>
          <w:highlight w:val="none"/>
          <w:lang w:val="en-US" w:eastAsia="zh-CN"/>
        </w:rPr>
        <w:t>10</w:t>
      </w:r>
      <w:r>
        <w:rPr>
          <w:rFonts w:hint="eastAsia" w:eastAsia="宋体"/>
          <w:snapToGrid w:val="0"/>
          <w:color w:val="auto"/>
          <w:sz w:val="24"/>
          <w:highlight w:val="none"/>
          <w:lang w:val="en-US" w:eastAsia="zh-CN"/>
        </w:rPr>
        <w:t xml:space="preserve">人）； </w:t>
      </w:r>
    </w:p>
    <w:p w14:paraId="5B128E6C">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.2 </w:t>
      </w:r>
      <w:r>
        <w:rPr>
          <w:rFonts w:hint="eastAsia" w:eastAsia="宋体"/>
          <w:snapToGrid w:val="0"/>
          <w:color w:val="auto"/>
          <w:sz w:val="24"/>
          <w:highlight w:val="none"/>
          <w:lang w:val="en-US" w:eastAsia="zh-CN"/>
        </w:rPr>
        <w:t xml:space="preserve">依法与安置的每位残疾人签订了1年以上（含1年）的劳动合同或服务协议； </w:t>
      </w:r>
    </w:p>
    <w:p w14:paraId="750299D4">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.3 </w:t>
      </w:r>
      <w:r>
        <w:rPr>
          <w:rFonts w:hint="eastAsia" w:eastAsia="宋体"/>
          <w:snapToGrid w:val="0"/>
          <w:color w:val="auto"/>
          <w:sz w:val="24"/>
          <w:highlight w:val="none"/>
          <w:lang w:val="en-US" w:eastAsia="zh-CN"/>
        </w:rPr>
        <w:t xml:space="preserve">为安置的每位残疾人按月足额缴纳了基本养老保险、基本医疗保险、失业保险、工伤保险和生育保险等社会保险费； </w:t>
      </w:r>
    </w:p>
    <w:p w14:paraId="5494926D">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.4 </w:t>
      </w:r>
      <w:r>
        <w:rPr>
          <w:rFonts w:hint="eastAsia" w:eastAsia="宋体"/>
          <w:snapToGrid w:val="0"/>
          <w:color w:val="auto"/>
          <w:sz w:val="24"/>
          <w:highlight w:val="none"/>
          <w:lang w:val="en-US" w:eastAsia="zh-CN"/>
        </w:rPr>
        <w:t xml:space="preserve">通过银行等金融机构向安置的每位残疾人，按月支付了不低于单位所在区县适用的经省级人民政府批准的月最低工资标准的工资； </w:t>
      </w:r>
    </w:p>
    <w:p w14:paraId="6AD696D2">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.5 </w:t>
      </w:r>
      <w:r>
        <w:rPr>
          <w:rFonts w:hint="eastAsia" w:eastAsia="宋体"/>
          <w:snapToGrid w:val="0"/>
          <w:color w:val="auto"/>
          <w:sz w:val="24"/>
          <w:highlight w:val="none"/>
          <w:lang w:val="en-US" w:eastAsia="zh-CN"/>
        </w:rPr>
        <w:t xml:space="preserve">提供本单位制造的货物、承担的工程或者服务（以下简称产品），或者提供其他残疾人福利性单位制造的货物（不包括使用非残疾人福利性单位注册商标的货物）； </w:t>
      </w:r>
    </w:p>
    <w:p w14:paraId="6F6930A8">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.6 </w:t>
      </w:r>
      <w:r>
        <w:rPr>
          <w:rFonts w:hint="eastAsia" w:eastAsia="宋体"/>
          <w:snapToGrid w:val="0"/>
          <w:color w:val="auto"/>
          <w:sz w:val="24"/>
          <w:highlight w:val="none"/>
          <w:lang w:val="en-US" w:eastAsia="zh-CN"/>
        </w:rPr>
        <w:t>前款所称残疾人是指法定劳动年龄内，持有《中华人民共和国残疾人证》或者《中华人民共和国残疾军人证（</w:t>
      </w:r>
      <w:r>
        <w:rPr>
          <w:rFonts w:eastAsia="宋体"/>
          <w:snapToGrid w:val="0"/>
          <w:color w:val="auto"/>
          <w:sz w:val="24"/>
          <w:highlight w:val="none"/>
          <w:lang w:val="en-US" w:eastAsia="zh-CN"/>
        </w:rPr>
        <w:t xml:space="preserve">1 </w:t>
      </w:r>
      <w:r>
        <w:rPr>
          <w:rFonts w:hint="eastAsia" w:eastAsia="宋体"/>
          <w:snapToGrid w:val="0"/>
          <w:color w:val="auto"/>
          <w:sz w:val="24"/>
          <w:highlight w:val="none"/>
          <w:lang w:val="en-US" w:eastAsia="zh-CN"/>
        </w:rPr>
        <w:t xml:space="preserve">至 </w:t>
      </w:r>
      <w:r>
        <w:rPr>
          <w:rFonts w:hint="default" w:eastAsia="宋体"/>
          <w:snapToGrid w:val="0"/>
          <w:color w:val="auto"/>
          <w:sz w:val="24"/>
          <w:highlight w:val="none"/>
          <w:lang w:val="en-US" w:eastAsia="zh-CN"/>
        </w:rPr>
        <w:t xml:space="preserve">8 </w:t>
      </w:r>
      <w:r>
        <w:rPr>
          <w:rFonts w:hint="eastAsia" w:eastAsia="宋体"/>
          <w:snapToGrid w:val="0"/>
          <w:color w:val="auto"/>
          <w:sz w:val="24"/>
          <w:highlight w:val="none"/>
          <w:lang w:val="en-US" w:eastAsia="zh-CN"/>
        </w:rPr>
        <w:t xml:space="preserve">级）》的自然人，包括具有劳动条件和劳动意愿的精神残疾人。在职职工人数是指与残疾人福利性单位建立劳动关系并依法签订劳动合同或服务协议的雇员人数。 </w:t>
      </w:r>
    </w:p>
    <w:p w14:paraId="50A69BFA">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8</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本项目是否专门面向中小企业预留采购份额见“第一章 招标公告”。    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9</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采购标的对应的中小企业划分标准所属行业见“投标人须知前附表”。    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10</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小微企业价格评审优惠的政策调整：见“投标人须知前附表”及“第五章 评标方法及标准”。</w:t>
      </w:r>
    </w:p>
    <w:p w14:paraId="17DD5FF7">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44" w:name="_Toc163492878"/>
      <w:r>
        <w:rPr>
          <w:rFonts w:hint="eastAsia" w:ascii="宋体" w:hAnsi="宋体" w:eastAsia="宋体" w:cs="宋体"/>
          <w:b/>
          <w:bCs/>
          <w:color w:val="auto"/>
          <w:kern w:val="2"/>
          <w:sz w:val="24"/>
          <w:szCs w:val="28"/>
          <w:highlight w:val="none"/>
          <w:lang w:val="en-US" w:eastAsia="zh-CN" w:bidi="ar-SA"/>
        </w:rPr>
        <w:t>43.政府采购节能产品、环境标志产品</w:t>
      </w:r>
      <w:bookmarkEnd w:id="244"/>
    </w:p>
    <w:p w14:paraId="741E7E7A">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43</w:t>
      </w:r>
      <w:r>
        <w:rPr>
          <w:rFonts w:eastAsia="宋体"/>
          <w:snapToGrid w:val="0"/>
          <w:color w:val="auto"/>
          <w:sz w:val="24"/>
          <w:highlight w:val="none"/>
          <w:lang w:val="en-US" w:eastAsia="zh-CN"/>
        </w:rPr>
        <w:t xml:space="preserve">.1 </w:t>
      </w:r>
      <w:r>
        <w:rPr>
          <w:rFonts w:hint="eastAsia" w:eastAsia="宋体"/>
          <w:snapToGrid w:val="0"/>
          <w:color w:val="auto"/>
          <w:sz w:val="24"/>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关于政府采购节能产品、环境标志产品的相关规定依据《关于调整优化节能产品、环境标志产品政府采购执行机制的通知》（财库〔</w:t>
      </w:r>
      <w:r>
        <w:rPr>
          <w:rFonts w:hint="default" w:eastAsia="宋体"/>
          <w:snapToGrid w:val="0"/>
          <w:color w:val="auto"/>
          <w:sz w:val="24"/>
          <w:highlight w:val="none"/>
          <w:lang w:val="en-US" w:eastAsia="zh-CN"/>
        </w:rPr>
        <w:t>2019</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9 </w:t>
      </w:r>
      <w:r>
        <w:rPr>
          <w:rFonts w:hint="eastAsia" w:eastAsia="宋体"/>
          <w:snapToGrid w:val="0"/>
          <w:color w:val="auto"/>
          <w:sz w:val="24"/>
          <w:highlight w:val="none"/>
          <w:lang w:val="en-US" w:eastAsia="zh-CN"/>
        </w:rPr>
        <w:t>号）、《关于印发环境标志产品政府采购品目清单的通知》（财库〔2019〕18号）、《关于印发节能产品政府采购品目清单的通知》（财库〔2019〕19号）的规定。</w:t>
      </w:r>
    </w:p>
    <w:p w14:paraId="2EC4C51A">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43</w:t>
      </w:r>
      <w:r>
        <w:rPr>
          <w:rFonts w:hint="default" w:eastAsia="宋体"/>
          <w:snapToGrid w:val="0"/>
          <w:color w:val="auto"/>
          <w:sz w:val="24"/>
          <w:highlight w:val="none"/>
          <w:lang w:val="en-US" w:eastAsia="zh-CN"/>
        </w:rPr>
        <w:t xml:space="preserve">.2 </w:t>
      </w:r>
      <w:r>
        <w:rPr>
          <w:rFonts w:hint="eastAsia" w:eastAsia="宋体"/>
          <w:snapToGrid w:val="0"/>
          <w:color w:val="auto"/>
          <w:sz w:val="24"/>
          <w:highlight w:val="none"/>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 </w:t>
      </w:r>
    </w:p>
    <w:p w14:paraId="25CFE0EE">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43</w:t>
      </w:r>
      <w:r>
        <w:rPr>
          <w:rFonts w:hint="default" w:eastAsia="宋体"/>
          <w:snapToGrid w:val="0"/>
          <w:color w:val="auto"/>
          <w:sz w:val="24"/>
          <w:highlight w:val="none"/>
          <w:lang w:val="en-US" w:eastAsia="zh-CN"/>
        </w:rPr>
        <w:t xml:space="preserve">.3 </w:t>
      </w:r>
      <w:r>
        <w:rPr>
          <w:rFonts w:hint="eastAsia" w:eastAsia="宋体"/>
          <w:snapToGrid w:val="0"/>
          <w:color w:val="auto"/>
          <w:sz w:val="24"/>
          <w:highlight w:val="none"/>
          <w:lang w:val="en-US" w:eastAsia="zh-CN"/>
        </w:rPr>
        <w:t>如本项目采购产品属于实施政府强制采购品目清单范围的节能产品，则投标人所报产品必须获得国家确定的认证机构出具的、处于有效期之内的节能产品认证证书，否则</w:t>
      </w:r>
      <w:r>
        <w:rPr>
          <w:rFonts w:hint="eastAsia" w:eastAsia="宋体"/>
          <w:b/>
          <w:bCs/>
          <w:snapToGrid w:val="0"/>
          <w:color w:val="auto"/>
          <w:sz w:val="24"/>
          <w:highlight w:val="none"/>
          <w:lang w:val="en-US" w:eastAsia="zh-CN"/>
        </w:rPr>
        <w:t>投标无效</w:t>
      </w:r>
      <w:r>
        <w:rPr>
          <w:rFonts w:hint="eastAsia" w:eastAsia="宋体"/>
          <w:snapToGrid w:val="0"/>
          <w:color w:val="auto"/>
          <w:sz w:val="24"/>
          <w:highlight w:val="none"/>
          <w:lang w:val="en-US" w:eastAsia="zh-CN"/>
        </w:rPr>
        <w:t xml:space="preserve">。 </w:t>
      </w:r>
    </w:p>
    <w:p w14:paraId="04E599F1">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43</w:t>
      </w:r>
      <w:r>
        <w:rPr>
          <w:rFonts w:hint="default" w:eastAsia="宋体"/>
          <w:snapToGrid w:val="0"/>
          <w:color w:val="auto"/>
          <w:sz w:val="24"/>
          <w:highlight w:val="none"/>
          <w:lang w:val="en-US" w:eastAsia="zh-CN"/>
        </w:rPr>
        <w:t xml:space="preserve">.4 </w:t>
      </w:r>
      <w:r>
        <w:rPr>
          <w:rFonts w:hint="eastAsia" w:eastAsia="宋体"/>
          <w:snapToGrid w:val="0"/>
          <w:color w:val="auto"/>
          <w:sz w:val="24"/>
          <w:highlight w:val="none"/>
          <w:lang w:val="en-US" w:eastAsia="zh-CN"/>
        </w:rPr>
        <w:t>非政府强制采购的节能产品或环境标志产品，依据品目清单和认证证书实施政府优先采购。优先采购的具体规定见“第五章 评标方法及标准”（如涉及）。</w:t>
      </w:r>
    </w:p>
    <w:p w14:paraId="51B3D928">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snapToGrid w:val="0"/>
          <w:color w:val="auto"/>
          <w:sz w:val="24"/>
          <w:highlight w:val="none"/>
          <w:lang w:val="en-US" w:eastAsia="zh-CN"/>
        </w:rPr>
        <w:t xml:space="preserve">43.5 </w:t>
      </w:r>
      <w:r>
        <w:rPr>
          <w:rFonts w:hint="eastAsia" w:eastAsia="宋体"/>
          <w:snapToGrid w:val="0"/>
          <w:color w:val="auto"/>
          <w:sz w:val="24"/>
          <w:highlight w:val="none"/>
        </w:rPr>
        <w:t>投标人所投产品如属于节能产品政府采购品目清单、环境标志产品政府采购品目清单范围的，须提供国家确定的认证机构出具的、处于有效期内的产品认证证书，认证证书的产品型号与所投产品不一致的，视为未提供。属于政府强制采购产品的，</w:t>
      </w:r>
      <w:r>
        <w:rPr>
          <w:rFonts w:eastAsia="宋体"/>
          <w:snapToGrid w:val="0"/>
          <w:color w:val="auto"/>
          <w:sz w:val="24"/>
          <w:highlight w:val="none"/>
        </w:rPr>
        <w:t>已作为投标时强制性要求不再</w:t>
      </w:r>
      <w:r>
        <w:rPr>
          <w:rFonts w:hint="eastAsia" w:eastAsia="宋体"/>
          <w:snapToGrid w:val="0"/>
          <w:color w:val="auto"/>
          <w:sz w:val="24"/>
          <w:highlight w:val="none"/>
        </w:rPr>
        <w:t>给予</w:t>
      </w:r>
      <w:r>
        <w:rPr>
          <w:rFonts w:hint="eastAsia" w:eastAsia="宋体"/>
          <w:snapToGrid w:val="0"/>
          <w:color w:val="auto"/>
          <w:sz w:val="24"/>
          <w:highlight w:val="none"/>
          <w:lang w:val="en-US" w:eastAsia="zh-CN"/>
        </w:rPr>
        <w:t>评审优惠</w:t>
      </w:r>
      <w:r>
        <w:rPr>
          <w:rFonts w:hint="eastAsia" w:eastAsia="宋体"/>
          <w:snapToGrid w:val="0"/>
          <w:color w:val="auto"/>
          <w:sz w:val="24"/>
          <w:highlight w:val="none"/>
        </w:rPr>
        <w:t>，未提供认证证书的视为</w:t>
      </w:r>
      <w:r>
        <w:rPr>
          <w:rFonts w:hint="eastAsia" w:eastAsia="宋体"/>
          <w:b/>
          <w:bCs/>
          <w:snapToGrid w:val="0"/>
          <w:color w:val="auto"/>
          <w:sz w:val="24"/>
          <w:highlight w:val="none"/>
          <w:lang w:val="en-US" w:eastAsia="zh-CN"/>
        </w:rPr>
        <w:t>投标</w:t>
      </w:r>
      <w:r>
        <w:rPr>
          <w:rFonts w:hint="eastAsia" w:eastAsia="宋体"/>
          <w:b/>
          <w:bCs/>
          <w:snapToGrid w:val="0"/>
          <w:color w:val="auto"/>
          <w:sz w:val="24"/>
          <w:highlight w:val="none"/>
        </w:rPr>
        <w:t>无效</w:t>
      </w:r>
      <w:r>
        <w:rPr>
          <w:rFonts w:hint="eastAsia" w:eastAsia="宋体"/>
          <w:snapToGrid w:val="0"/>
          <w:color w:val="auto"/>
          <w:sz w:val="24"/>
          <w:highlight w:val="none"/>
        </w:rPr>
        <w:t>。属于</w:t>
      </w:r>
      <w:r>
        <w:rPr>
          <w:rFonts w:hint="eastAsia" w:eastAsia="宋体"/>
          <w:snapToGrid w:val="0"/>
          <w:color w:val="auto"/>
          <w:sz w:val="24"/>
          <w:highlight w:val="none"/>
          <w:lang w:val="en-US" w:eastAsia="zh-CN"/>
        </w:rPr>
        <w:t>优先采购</w:t>
      </w:r>
      <w:r>
        <w:rPr>
          <w:rFonts w:hint="eastAsia" w:eastAsia="宋体"/>
          <w:snapToGrid w:val="0"/>
          <w:color w:val="auto"/>
          <w:sz w:val="24"/>
          <w:highlight w:val="none"/>
        </w:rPr>
        <w:t>节能产品政府采购品目清单、环境标志产品政府采购品目清单</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创新产品</w:t>
      </w:r>
      <w:r>
        <w:rPr>
          <w:rFonts w:hint="eastAsia" w:eastAsia="宋体"/>
          <w:snapToGrid w:val="0"/>
          <w:color w:val="auto"/>
          <w:sz w:val="24"/>
          <w:highlight w:val="none"/>
        </w:rPr>
        <w:t>范围的，按照“</w:t>
      </w:r>
      <w:r>
        <w:rPr>
          <w:rFonts w:hint="eastAsia" w:eastAsia="宋体"/>
          <w:color w:val="auto"/>
          <w:sz w:val="24"/>
          <w:highlight w:val="none"/>
          <w:lang w:val="en-US" w:eastAsia="zh-CN"/>
        </w:rPr>
        <w:t>第五章 评标方法及标准</w:t>
      </w:r>
      <w:r>
        <w:rPr>
          <w:rFonts w:hint="eastAsia" w:eastAsia="宋体"/>
          <w:snapToGrid w:val="0"/>
          <w:color w:val="auto"/>
          <w:sz w:val="24"/>
          <w:highlight w:val="none"/>
        </w:rPr>
        <w:t>”中相关规定</w:t>
      </w:r>
      <w:r>
        <w:rPr>
          <w:rFonts w:hint="eastAsia" w:eastAsia="宋体"/>
          <w:color w:val="auto"/>
          <w:sz w:val="24"/>
          <w:highlight w:val="none"/>
          <w:lang w:val="en-US" w:eastAsia="zh-CN"/>
        </w:rPr>
        <w:t>在评审时给予优惠，具体详见</w:t>
      </w:r>
      <w:r>
        <w:rPr>
          <w:rFonts w:hint="eastAsia" w:eastAsia="宋体"/>
          <w:snapToGrid w:val="0"/>
          <w:color w:val="auto"/>
          <w:sz w:val="24"/>
          <w:highlight w:val="none"/>
          <w:lang w:val="en-US" w:eastAsia="zh-CN"/>
        </w:rPr>
        <w:t>“投标人须知前附表”及</w:t>
      </w:r>
      <w:r>
        <w:rPr>
          <w:rFonts w:hint="eastAsia" w:eastAsia="宋体"/>
          <w:color w:val="auto"/>
          <w:sz w:val="24"/>
          <w:highlight w:val="none"/>
          <w:lang w:val="en-US" w:eastAsia="zh-CN"/>
        </w:rPr>
        <w:t>“第五章 评标方法及标准”</w:t>
      </w:r>
      <w:r>
        <w:rPr>
          <w:rFonts w:hint="eastAsia" w:eastAsia="宋体"/>
          <w:color w:val="auto"/>
          <w:sz w:val="24"/>
          <w:highlight w:val="none"/>
        </w:rPr>
        <w:t>。</w:t>
      </w:r>
    </w:p>
    <w:p w14:paraId="5F04C72A">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245" w:name="_Toc163492879"/>
      <w:r>
        <w:rPr>
          <w:rFonts w:hint="eastAsia" w:ascii="宋体" w:hAnsi="宋体" w:eastAsia="宋体" w:cs="宋体"/>
          <w:b/>
          <w:bCs/>
          <w:color w:val="auto"/>
          <w:kern w:val="2"/>
          <w:sz w:val="24"/>
          <w:szCs w:val="28"/>
          <w:highlight w:val="none"/>
          <w:lang w:val="en-US" w:eastAsia="zh-CN" w:bidi="ar-SA"/>
        </w:rPr>
        <w:t xml:space="preserve">44.正版软件  </w:t>
      </w:r>
    </w:p>
    <w:p w14:paraId="415973C1">
      <w:pPr>
        <w:pStyle w:val="38"/>
        <w:keepNext w:val="0"/>
        <w:keepLines w:val="0"/>
        <w:pageBreakBefore w:val="0"/>
        <w:widowControl w:val="0"/>
        <w:kinsoku/>
        <w:overflowPunct/>
        <w:topLinePunct w:val="0"/>
        <w:autoSpaceDE/>
        <w:autoSpaceDN/>
        <w:bidi w:val="0"/>
        <w:adjustRightInd/>
        <w:snapToGri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44.1 依据《财政部 国家发展改革委 信息产业部关于印发无线局域网产品政府采购实施意见的通知》（财库〔</w:t>
      </w:r>
      <w:r>
        <w:rPr>
          <w:rFonts w:hint="default" w:eastAsia="宋体"/>
          <w:snapToGrid w:val="0"/>
          <w:color w:val="auto"/>
          <w:sz w:val="24"/>
          <w:highlight w:val="none"/>
          <w:lang w:val="en-US" w:eastAsia="zh-CN"/>
        </w:rPr>
        <w:t>2005</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366 </w:t>
      </w:r>
      <w:r>
        <w:rPr>
          <w:rFonts w:hint="eastAsia" w:eastAsia="宋体"/>
          <w:snapToGrid w:val="0"/>
          <w:color w:val="auto"/>
          <w:sz w:val="24"/>
          <w:highlight w:val="none"/>
          <w:lang w:val="en-US" w:eastAsia="zh-CN"/>
        </w:rPr>
        <w:t>号），采购无线局域网产品和含有无线局域网功能的计算机、通信设备、打印机、复印机、投影仪等产品的，优先采购符合国家无线局域网安全标准（GB 15629.11/1102）并通过国家产品认证的产品。其中，国家有特殊信息安全要求的项目必须采购认证产品，否则</w:t>
      </w:r>
      <w:r>
        <w:rPr>
          <w:rFonts w:hint="eastAsia" w:eastAsia="宋体"/>
          <w:b/>
          <w:bCs/>
          <w:snapToGrid w:val="0"/>
          <w:color w:val="auto"/>
          <w:sz w:val="24"/>
          <w:highlight w:val="none"/>
          <w:lang w:val="en-US" w:eastAsia="zh-CN"/>
        </w:rPr>
        <w:t>投标无效</w:t>
      </w:r>
      <w:r>
        <w:rPr>
          <w:rFonts w:hint="eastAsia" w:eastAsia="宋体"/>
          <w:snapToGrid w:val="0"/>
          <w:color w:val="auto"/>
          <w:sz w:val="24"/>
          <w:highlight w:val="none"/>
          <w:lang w:val="en-US" w:eastAsia="zh-CN"/>
        </w:rPr>
        <w:t xml:space="preserve">。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 </w:t>
      </w:r>
    </w:p>
    <w:p w14:paraId="7504E407">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44.2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号）、《国务院办公厅关于印发政府机关使用正版软件管理办法的通知》国办发〔2013〕88号。</w:t>
      </w:r>
    </w:p>
    <w:p w14:paraId="139B1CB1">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r>
        <w:rPr>
          <w:rFonts w:hint="eastAsia" w:ascii="宋体" w:hAnsi="宋体" w:eastAsia="宋体" w:cs="宋体"/>
          <w:b/>
          <w:bCs/>
          <w:color w:val="auto"/>
          <w:kern w:val="2"/>
          <w:sz w:val="24"/>
          <w:szCs w:val="28"/>
          <w:highlight w:val="none"/>
          <w:lang w:val="en-US" w:eastAsia="zh-CN" w:bidi="ar-SA"/>
        </w:rPr>
        <w:t xml:space="preserve">45.网络安全专用产品   </w:t>
      </w:r>
    </w:p>
    <w:p w14:paraId="13C08773">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45.1本项目中如涉及网络关键设备或网络安全专用产品的，应严格执行国家互联网信息办公室、工业和信息化部、公安部、财政部和国家认证认可监督管理委员会 2023年第 1 号《关于调整网络安全专用产品安全管理有关事项的公告》及国家互联网信息办公室、工业和信息化部、公安部和国家认证认可监督管理委员会 2023 年第 2号《关于调整&lt;网络关键设备和网络安全专用产品目录&gt;的公告》等相关文件要求，所投标（响应）设备或产品至少符合以下条件之一：一是已由具备资格的机构安全认证合格或安全检测符合要求；二是已获得《计算机信息系统安全专用产品销售许可证》，且在有效期内。采购人、中标(成交)人双方签订合同及验收环节，应包含上述网络安全要求的条款。</w:t>
      </w:r>
    </w:p>
    <w:p w14:paraId="575DAF11">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45.2本项目中如涉及国家强制性产品认证证书（CCC 认证证书）、电信设备进网许可证、无线电发射设备核准证等市场准入类资质的，应严格执行国家相关法律法规的要求。采购人、中标(成交)人双方签订合同及验收环节，应包含上述市场准入类资质要求的条款。 </w:t>
      </w:r>
    </w:p>
    <w:p w14:paraId="567E703D">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r>
        <w:rPr>
          <w:rFonts w:hint="eastAsia" w:ascii="宋体" w:hAnsi="宋体" w:eastAsia="宋体" w:cs="宋体"/>
          <w:b/>
          <w:bCs/>
          <w:color w:val="auto"/>
          <w:kern w:val="2"/>
          <w:sz w:val="24"/>
          <w:szCs w:val="28"/>
          <w:highlight w:val="none"/>
          <w:lang w:val="en-US" w:eastAsia="zh-CN" w:bidi="ar-SA"/>
        </w:rPr>
        <w:t xml:space="preserve">46.采购需求标准   </w:t>
      </w:r>
    </w:p>
    <w:p w14:paraId="77C63652">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46.1 商品包装、快递包装政府采购需求标准（试行） </w:t>
      </w:r>
    </w:p>
    <w:p w14:paraId="3DA94789">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为助力打好污染防治攻坚战，推广使用绿色包装，根据财政部关于印发《商品包装政府采购需求标准（试行）》、《快递包装政府采购需求标准（试行）》的通知（财办库〔2020〕123 号），本项目如涉及商品包装和快递包装的，则其具体要求见第三章《采购需求》。 </w:t>
      </w:r>
    </w:p>
    <w:p w14:paraId="27B020C7">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46.2 绿色数据中心政府采购需求标准（试行） </w:t>
      </w:r>
    </w:p>
    <w:p w14:paraId="16173830">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为加快数据中心绿色转型，根据财政部 生态环境部 工业和信息化部关于印发《绿色数据中心政府采购需求标准（试行）》的通知（财库〔2023〕7 号），本项目如涉及绿色数据中心，则具体要求见第三章《采购需求》。 </w:t>
      </w:r>
    </w:p>
    <w:p w14:paraId="752FA939">
      <w:pPr>
        <w:pStyle w:val="38"/>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46.3台式计算机政府采购需求标准</w:t>
      </w:r>
    </w:p>
    <w:p w14:paraId="3830872B">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为提高台式计算机政府采购需求管理的科学化、规范化水平，进一步落实政府采购公平竞争原则，优化营商环境，营造良好的产业生态，财政部 工业和信息化部关于印发《台式计算机政府采购需求标准（2023年版）》的通知（财库〔2023〕29号），本项目如涉及台式计算机采购，则具体要求见第三章《采购需求》。</w:t>
      </w:r>
    </w:p>
    <w:p w14:paraId="3E8B3153">
      <w:pPr>
        <w:pStyle w:val="38"/>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46.4便携式计算机政府采购需求标准</w:t>
      </w:r>
    </w:p>
    <w:p w14:paraId="2DDABA79">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为提高便携式计算机政府采购需求管理的科学化、规范化水平，进一步落实政府采购公平竞争原则，优化营商环境，营造良好的产业生态，财政部 工业和信息化部关于印发《便携式计算机政府采购需求标准（2023年版）》的通知（财库〔2023〕30号），本项目如涉及便携式计算机采购，则具体要求见第三章《采购需求》。</w:t>
      </w:r>
    </w:p>
    <w:p w14:paraId="385FE90A">
      <w:pPr>
        <w:pStyle w:val="38"/>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46.5一体式计算机政府采购需求标准</w:t>
      </w:r>
    </w:p>
    <w:p w14:paraId="30E81396">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为提高一体式计算机政府采购需求管理的科学化、规范化水平，进一步落实政府采购公平竞争原则，优化营商环境，营造良好的产业生态，财政部 工业和信息化部关于印发《一体式计算机政府采购需求标准（2023年版）》的通知（财库〔2023〕31号），本项目如涉及一体式计算机采购，则具体要求见第三章《采购需求》。</w:t>
      </w:r>
    </w:p>
    <w:p w14:paraId="07FD3B31">
      <w:pPr>
        <w:pStyle w:val="38"/>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46.6工作站政府采购需求标准</w:t>
      </w:r>
    </w:p>
    <w:p w14:paraId="23F8A15A">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为提高工作站政府采购需求管理的科学化、规范化水平，进一步落实政府采购公平竞争原则，优化营商环境，营造良好的产业生态，财政部 工业和信息化部关于印发《工作站政府采购需求标准（2023年版）》的通知（财库〔2023〕32号），本项目如涉及工作站采购，则具体要求见第三章《采购需求》。</w:t>
      </w:r>
    </w:p>
    <w:p w14:paraId="6FE6E6D6">
      <w:pPr>
        <w:pStyle w:val="38"/>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46.7通用服务器政府采购需求标准</w:t>
      </w:r>
    </w:p>
    <w:p w14:paraId="2DC5EFFC">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为提高通用服务器政府采购需求管理的科学化、规范化水平，进一步落实政府采购公平竞争原则，优化营商环境，营造良好的产业生态，财政部 工业和信息化部关于印发《通用服务器政府采购需求标准（2023年版）》的通知（财库〔2023〕33号），本项目如涉及通用服务器采购，则具体要求见第三章《采购需求》。</w:t>
      </w:r>
    </w:p>
    <w:p w14:paraId="5822E475">
      <w:pPr>
        <w:pStyle w:val="38"/>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46.8操作系统政府采购需求标准</w:t>
      </w:r>
    </w:p>
    <w:p w14:paraId="0C0F87EE">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为提高操作系统政府采购需求管理的科学化、规范化水平，进一步落实政府采购公平竞争原则，优化营商环境，营造良好的产业生态，财政部 工业和信息化部关于印发《操作系统政府采购需求标准（2023年版）》的通知（财库〔2023〕34号），本项目如涉及操作系统采购，则具体要求见第三章《采购需求》。</w:t>
      </w:r>
    </w:p>
    <w:p w14:paraId="1177BDB0">
      <w:pPr>
        <w:pStyle w:val="38"/>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46.9数据库政府采购需求标准</w:t>
      </w:r>
    </w:p>
    <w:p w14:paraId="45BE4E61">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为提高数据库政府采购需求管理的科学化、规范化水平，进一步落实政府采购公平竞争原则，优化营商环境，营造良好的产业生态，财政部 工业和信息化部关于印发《数据库政府采购需求标准（2023年版）》的通知（财库〔2023〕35号），本项目如涉及数据库采购，则具体要求见第三章《采购需求》。</w:t>
      </w:r>
    </w:p>
    <w:p w14:paraId="116745F5">
      <w:pPr>
        <w:pStyle w:val="38"/>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46.10物业管理服务政府采购需求标准（办公场所类）（试行）</w:t>
      </w:r>
    </w:p>
    <w:p w14:paraId="0169F247">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贯彻落实中央全面深化改革委员会审议通过的《深化政府采购制度改革方案》有关要求，推动政府采购需求标准建设，财政部办公厅关于印发《物业管理服务政府采购需求标准（办公场所类）（试行）》的通知（财办库〔2024〕113号），本项目如涉及物业管理服务采购，则具体要求见第三章《采购需求》。</w:t>
      </w:r>
    </w:p>
    <w:p w14:paraId="07C1DA2C">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r>
        <w:rPr>
          <w:rFonts w:hint="eastAsia" w:ascii="宋体" w:hAnsi="宋体" w:eastAsia="宋体" w:cs="宋体"/>
          <w:b/>
          <w:bCs/>
          <w:color w:val="auto"/>
          <w:kern w:val="2"/>
          <w:sz w:val="24"/>
          <w:szCs w:val="32"/>
          <w:highlight w:val="none"/>
          <w:lang w:val="en-US" w:eastAsia="zh-CN" w:bidi="ar-SA"/>
        </w:rPr>
        <w:t>（十四）政府采购合同融资政策</w:t>
      </w:r>
      <w:bookmarkEnd w:id="240"/>
      <w:bookmarkEnd w:id="241"/>
      <w:bookmarkEnd w:id="245"/>
    </w:p>
    <w:p w14:paraId="7CF32745">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46" w:name="_Toc163492880"/>
      <w:r>
        <w:rPr>
          <w:rFonts w:hint="eastAsia" w:ascii="宋体" w:hAnsi="宋体" w:eastAsia="宋体" w:cs="宋体"/>
          <w:b/>
          <w:bCs/>
          <w:color w:val="auto"/>
          <w:kern w:val="2"/>
          <w:sz w:val="24"/>
          <w:szCs w:val="28"/>
          <w:highlight w:val="none"/>
          <w:lang w:val="en-US" w:eastAsia="zh-CN" w:bidi="ar-SA"/>
        </w:rPr>
        <w:t>47.政府采购合同融资政策</w:t>
      </w:r>
      <w:bookmarkEnd w:id="246"/>
    </w:p>
    <w:p w14:paraId="2F908697">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4</w:t>
      </w:r>
      <w:r>
        <w:rPr>
          <w:rFonts w:hint="eastAsia" w:eastAsia="宋体"/>
          <w:color w:val="auto"/>
          <w:sz w:val="24"/>
          <w:highlight w:val="none"/>
          <w:lang w:val="en-US" w:eastAsia="zh-CN"/>
        </w:rPr>
        <w:t>7</w:t>
      </w:r>
      <w:r>
        <w:rPr>
          <w:rFonts w:eastAsia="宋体"/>
          <w:color w:val="auto"/>
          <w:sz w:val="24"/>
          <w:highlight w:val="none"/>
        </w:rPr>
        <w:t>.</w:t>
      </w:r>
      <w:r>
        <w:rPr>
          <w:rFonts w:hint="eastAsia" w:eastAsia="宋体"/>
          <w:color w:val="auto"/>
          <w:sz w:val="24"/>
          <w:highlight w:val="none"/>
        </w:rPr>
        <w:t>1政府采购合同融资政策：见投标人须知前附表。</w:t>
      </w:r>
    </w:p>
    <w:p w14:paraId="198FC626">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bookmarkStart w:id="247" w:name="_Toc163492881"/>
      <w:r>
        <w:rPr>
          <w:rFonts w:hint="eastAsia" w:ascii="宋体" w:hAnsi="宋体" w:eastAsia="宋体" w:cs="宋体"/>
          <w:b/>
          <w:bCs/>
          <w:color w:val="auto"/>
          <w:kern w:val="2"/>
          <w:sz w:val="24"/>
          <w:szCs w:val="32"/>
          <w:highlight w:val="none"/>
          <w:lang w:val="en-US" w:eastAsia="zh-CN" w:bidi="ar-SA"/>
        </w:rPr>
        <w:t>（十五）其他</w:t>
      </w:r>
      <w:bookmarkEnd w:id="247"/>
    </w:p>
    <w:p w14:paraId="370F802C">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48" w:name="_Toc163492882"/>
      <w:r>
        <w:rPr>
          <w:rFonts w:hint="eastAsia" w:ascii="宋体" w:hAnsi="宋体" w:eastAsia="宋体" w:cs="宋体"/>
          <w:b/>
          <w:bCs/>
          <w:color w:val="auto"/>
          <w:kern w:val="2"/>
          <w:sz w:val="24"/>
          <w:szCs w:val="28"/>
          <w:highlight w:val="none"/>
          <w:lang w:val="en-US" w:eastAsia="zh-CN" w:bidi="ar-SA"/>
        </w:rPr>
        <w:t>48.需要补充的其他内容</w:t>
      </w:r>
      <w:bookmarkEnd w:id="248"/>
    </w:p>
    <w:p w14:paraId="32516407">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4</w:t>
      </w:r>
      <w:r>
        <w:rPr>
          <w:rFonts w:hint="eastAsia" w:eastAsia="宋体"/>
          <w:color w:val="auto"/>
          <w:sz w:val="24"/>
          <w:highlight w:val="none"/>
          <w:lang w:val="en-US" w:eastAsia="zh-CN"/>
        </w:rPr>
        <w:t>8</w:t>
      </w:r>
      <w:r>
        <w:rPr>
          <w:rFonts w:eastAsia="宋体"/>
          <w:color w:val="auto"/>
          <w:sz w:val="24"/>
          <w:highlight w:val="none"/>
        </w:rPr>
        <w:t>.1</w:t>
      </w:r>
      <w:r>
        <w:rPr>
          <w:rFonts w:hint="eastAsia" w:eastAsia="宋体"/>
          <w:color w:val="auto"/>
          <w:sz w:val="24"/>
          <w:highlight w:val="none"/>
        </w:rPr>
        <w:t>需要补充的其他内容：见投标人须知前附表。</w:t>
      </w:r>
    </w:p>
    <w:p w14:paraId="1BD29CBA">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49" w:name="_Toc140132810"/>
      <w:bookmarkStart w:id="250" w:name="_Toc163492883"/>
      <w:bookmarkStart w:id="251" w:name="_Toc155185886"/>
      <w:r>
        <w:rPr>
          <w:rFonts w:hint="eastAsia" w:ascii="宋体" w:hAnsi="宋体" w:eastAsia="宋体" w:cs="宋体"/>
          <w:b/>
          <w:bCs/>
          <w:color w:val="auto"/>
          <w:kern w:val="2"/>
          <w:sz w:val="24"/>
          <w:szCs w:val="28"/>
          <w:highlight w:val="none"/>
          <w:lang w:val="en-US" w:eastAsia="zh-CN" w:bidi="ar-SA"/>
        </w:rPr>
        <w:t>49.适用法律</w:t>
      </w:r>
      <w:bookmarkEnd w:id="249"/>
      <w:bookmarkEnd w:id="250"/>
      <w:bookmarkEnd w:id="251"/>
    </w:p>
    <w:p w14:paraId="0953B8AD">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49</w:t>
      </w:r>
      <w:r>
        <w:rPr>
          <w:rFonts w:eastAsia="宋体"/>
          <w:snapToGrid w:val="0"/>
          <w:color w:val="auto"/>
          <w:sz w:val="24"/>
          <w:highlight w:val="none"/>
        </w:rPr>
        <w:t>.1</w:t>
      </w:r>
      <w:r>
        <w:rPr>
          <w:rFonts w:hint="eastAsia" w:eastAsia="宋体"/>
          <w:snapToGrid w:val="0"/>
          <w:color w:val="auto"/>
          <w:sz w:val="24"/>
          <w:highlight w:val="none"/>
        </w:rPr>
        <w:t>采购人、采购代理机构及投标人的一切采购活动均适用《中华人民共和国政府采购法》、《中华人民共和国政府采购法实施条例》、《政府采购货物和服务招标投标管理办法》（财政部令第87号）及相关法律法规。</w:t>
      </w:r>
    </w:p>
    <w:p w14:paraId="6AD32247">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snapToGrid w:val="0"/>
          <w:color w:val="auto"/>
          <w:sz w:val="24"/>
          <w:highlight w:val="none"/>
          <w:lang w:val="en-US" w:eastAsia="zh-CN"/>
        </w:rPr>
        <w:t>49</w:t>
      </w:r>
      <w:r>
        <w:rPr>
          <w:rFonts w:eastAsia="宋体"/>
          <w:snapToGrid w:val="0"/>
          <w:color w:val="auto"/>
          <w:sz w:val="24"/>
          <w:highlight w:val="none"/>
        </w:rPr>
        <w:t>.2</w:t>
      </w:r>
      <w:r>
        <w:rPr>
          <w:rFonts w:hint="eastAsia" w:eastAsia="宋体"/>
          <w:snapToGrid w:val="0"/>
          <w:color w:val="auto"/>
          <w:sz w:val="24"/>
          <w:highlight w:val="none"/>
        </w:rPr>
        <w:t>政府采购合同的履行、违约责任和解决争议的方法等适用《中华人民共和国民法典》。</w:t>
      </w:r>
    </w:p>
    <w:p w14:paraId="468836B9">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52" w:name="_Toc155185887"/>
      <w:bookmarkStart w:id="253" w:name="_Toc163492884"/>
      <w:r>
        <w:rPr>
          <w:rFonts w:hint="eastAsia" w:ascii="宋体" w:hAnsi="宋体" w:eastAsia="宋体" w:cs="宋体"/>
          <w:b/>
          <w:bCs/>
          <w:color w:val="auto"/>
          <w:kern w:val="2"/>
          <w:sz w:val="24"/>
          <w:szCs w:val="28"/>
          <w:highlight w:val="none"/>
          <w:lang w:val="en-US" w:eastAsia="zh-CN" w:bidi="ar-SA"/>
        </w:rPr>
        <w:t>50.解释权</w:t>
      </w:r>
      <w:bookmarkEnd w:id="252"/>
      <w:bookmarkEnd w:id="253"/>
    </w:p>
    <w:p w14:paraId="5C6D27F8">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r>
        <w:rPr>
          <w:rFonts w:hint="eastAsia" w:eastAsia="宋体"/>
          <w:snapToGrid w:val="0"/>
          <w:color w:val="auto"/>
          <w:sz w:val="24"/>
          <w:highlight w:val="none"/>
          <w:lang w:val="en-US" w:eastAsia="zh-CN"/>
        </w:rPr>
        <w:t>50</w:t>
      </w:r>
      <w:r>
        <w:rPr>
          <w:rFonts w:eastAsia="宋体"/>
          <w:snapToGrid w:val="0"/>
          <w:color w:val="auto"/>
          <w:sz w:val="24"/>
          <w:highlight w:val="none"/>
        </w:rPr>
        <w:t>.</w:t>
      </w:r>
      <w:r>
        <w:rPr>
          <w:rFonts w:hint="eastAsia" w:eastAsia="宋体"/>
          <w:snapToGrid w:val="0"/>
          <w:color w:val="auto"/>
          <w:sz w:val="24"/>
          <w:highlight w:val="none"/>
        </w:rPr>
        <w:t>1本招标文件最终解释权归采购人或采购代理机构所有。</w:t>
      </w:r>
    </w:p>
    <w:p w14:paraId="57F4529F">
      <w:pPr>
        <w:pStyle w:val="2"/>
        <w:keepNext w:val="0"/>
        <w:keepLines w:val="0"/>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254" w:name="_Toc163492885"/>
      <w:bookmarkStart w:id="255" w:name="_Toc155185888"/>
    </w:p>
    <w:p w14:paraId="60B802FB">
      <w:pPr>
        <w:rPr>
          <w:rFonts w:hint="eastAsia" w:ascii="宋体" w:hAnsi="宋体" w:eastAsia="宋体" w:cs="宋体"/>
          <w:b/>
          <w:bCs/>
          <w:color w:val="auto"/>
          <w:kern w:val="44"/>
          <w:sz w:val="36"/>
          <w:szCs w:val="36"/>
          <w:highlight w:val="none"/>
          <w:lang w:val="en-US" w:eastAsia="zh-CN" w:bidi="ar-SA"/>
        </w:rPr>
      </w:pPr>
    </w:p>
    <w:p w14:paraId="15397B51">
      <w:pPr>
        <w:pStyle w:val="13"/>
        <w:rPr>
          <w:rFonts w:hint="eastAsia"/>
          <w:lang w:val="en-US" w:eastAsia="zh-CN"/>
        </w:rPr>
      </w:pPr>
    </w:p>
    <w:p w14:paraId="70704BD1">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256" w:name="_Toc22090"/>
      <w:r>
        <w:rPr>
          <w:rFonts w:hint="eastAsia" w:ascii="宋体" w:hAnsi="宋体" w:eastAsia="宋体" w:cs="宋体"/>
          <w:b/>
          <w:bCs/>
          <w:color w:val="auto"/>
          <w:kern w:val="44"/>
          <w:sz w:val="36"/>
          <w:szCs w:val="36"/>
          <w:highlight w:val="none"/>
          <w:lang w:val="en-US" w:eastAsia="zh-CN" w:bidi="ar-SA"/>
        </w:rPr>
        <w:t>第三章 采购需求</w:t>
      </w:r>
      <w:bookmarkEnd w:id="254"/>
      <w:bookmarkEnd w:id="255"/>
      <w:bookmarkEnd w:id="256"/>
    </w:p>
    <w:p w14:paraId="2C43F922">
      <w:pPr>
        <w:pStyle w:val="38"/>
        <w:keepNext w:val="0"/>
        <w:keepLines w:val="0"/>
        <w:pageBreakBefore w:val="0"/>
        <w:widowControl w:val="0"/>
        <w:kinsoku/>
        <w:overflowPunct/>
        <w:topLinePunct w:val="0"/>
        <w:autoSpaceDE/>
        <w:autoSpaceDN/>
        <w:bidi w:val="0"/>
        <w:adjustRightInd/>
        <w:textAlignment w:val="auto"/>
        <w:rPr>
          <w:rFonts w:hint="eastAsia"/>
          <w:b/>
          <w:bCs/>
          <w:snapToGrid w:val="0"/>
          <w:color w:val="auto"/>
          <w:sz w:val="24"/>
          <w:szCs w:val="24"/>
          <w:highlight w:val="none"/>
          <w:lang w:val="en-US" w:eastAsia="zh-CN"/>
        </w:rPr>
      </w:pPr>
      <w:bookmarkStart w:id="257" w:name="_Toc155185889"/>
      <w:bookmarkStart w:id="258" w:name="_Toc163492886"/>
      <w:bookmarkStart w:id="259" w:name="_Toc140132812"/>
      <w:r>
        <w:rPr>
          <w:rFonts w:hint="eastAsia"/>
          <w:b/>
          <w:bCs/>
          <w:snapToGrid w:val="0"/>
          <w:color w:val="auto"/>
          <w:sz w:val="24"/>
          <w:szCs w:val="24"/>
          <w:highlight w:val="none"/>
          <w:lang w:val="en-US" w:eastAsia="zh-CN"/>
        </w:rPr>
        <w:t xml:space="preserve">说明： </w:t>
      </w:r>
    </w:p>
    <w:p w14:paraId="04A97FB9">
      <w:pPr>
        <w:pStyle w:val="38"/>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1. 当采购项目涉及数据中心相关设备、运维服务时，采购需求应当符合《绿色数据中心政府采购需求标准（试行）》（财库〔</w:t>
      </w:r>
      <w:r>
        <w:rPr>
          <w:rFonts w:hint="default"/>
          <w:snapToGrid w:val="0"/>
          <w:color w:val="auto"/>
          <w:sz w:val="24"/>
          <w:szCs w:val="24"/>
          <w:highlight w:val="none"/>
          <w:lang w:val="en-US" w:eastAsia="zh-CN"/>
        </w:rPr>
        <w:t>2023</w:t>
      </w:r>
      <w:r>
        <w:rPr>
          <w:rFonts w:hint="eastAsia"/>
          <w:snapToGrid w:val="0"/>
          <w:color w:val="auto"/>
          <w:sz w:val="24"/>
          <w:szCs w:val="24"/>
          <w:highlight w:val="none"/>
          <w:lang w:val="en-US" w:eastAsia="zh-CN"/>
        </w:rPr>
        <w:t>〕</w:t>
      </w:r>
      <w:r>
        <w:rPr>
          <w:rFonts w:hint="default"/>
          <w:snapToGrid w:val="0"/>
          <w:color w:val="auto"/>
          <w:sz w:val="24"/>
          <w:szCs w:val="24"/>
          <w:highlight w:val="none"/>
          <w:lang w:val="en-US" w:eastAsia="zh-CN"/>
        </w:rPr>
        <w:t xml:space="preserve">7 </w:t>
      </w:r>
      <w:r>
        <w:rPr>
          <w:rFonts w:hint="eastAsia"/>
          <w:snapToGrid w:val="0"/>
          <w:color w:val="auto"/>
          <w:sz w:val="24"/>
          <w:szCs w:val="24"/>
          <w:highlight w:val="none"/>
          <w:lang w:val="en-US" w:eastAsia="zh-CN"/>
        </w:rPr>
        <w:t xml:space="preserve">号）的有关要求。 </w:t>
      </w:r>
    </w:p>
    <w:p w14:paraId="19609329">
      <w:pPr>
        <w:pStyle w:val="38"/>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default"/>
          <w:snapToGrid w:val="0"/>
          <w:color w:val="auto"/>
          <w:sz w:val="24"/>
          <w:szCs w:val="24"/>
          <w:highlight w:val="none"/>
          <w:lang w:val="en-US" w:eastAsia="zh-CN"/>
        </w:rPr>
        <w:t xml:space="preserve">2. </w:t>
      </w:r>
      <w:r>
        <w:rPr>
          <w:rFonts w:hint="eastAsia"/>
          <w:snapToGrid w:val="0"/>
          <w:color w:val="auto"/>
          <w:sz w:val="24"/>
          <w:szCs w:val="24"/>
          <w:highlight w:val="none"/>
          <w:lang w:val="en-US" w:eastAsia="zh-CN"/>
        </w:rPr>
        <w:t>当采购项目涉及政务信息系统时，采购需求应当符合《政务信息系统政府采购管理暂行办法》（财库〔</w:t>
      </w:r>
      <w:r>
        <w:rPr>
          <w:rFonts w:hint="default"/>
          <w:snapToGrid w:val="0"/>
          <w:color w:val="auto"/>
          <w:sz w:val="24"/>
          <w:szCs w:val="24"/>
          <w:highlight w:val="none"/>
          <w:lang w:val="en-US" w:eastAsia="zh-CN"/>
        </w:rPr>
        <w:t>2017</w:t>
      </w:r>
      <w:r>
        <w:rPr>
          <w:rFonts w:hint="eastAsia"/>
          <w:snapToGrid w:val="0"/>
          <w:color w:val="auto"/>
          <w:sz w:val="24"/>
          <w:szCs w:val="24"/>
          <w:highlight w:val="none"/>
          <w:lang w:val="en-US" w:eastAsia="zh-CN"/>
        </w:rPr>
        <w:t>〕</w:t>
      </w:r>
      <w:r>
        <w:rPr>
          <w:rFonts w:hint="default"/>
          <w:snapToGrid w:val="0"/>
          <w:color w:val="auto"/>
          <w:sz w:val="24"/>
          <w:szCs w:val="24"/>
          <w:highlight w:val="none"/>
          <w:lang w:val="en-US" w:eastAsia="zh-CN"/>
        </w:rPr>
        <w:t xml:space="preserve">210 </w:t>
      </w:r>
      <w:r>
        <w:rPr>
          <w:rFonts w:hint="eastAsia"/>
          <w:snapToGrid w:val="0"/>
          <w:color w:val="auto"/>
          <w:sz w:val="24"/>
          <w:szCs w:val="24"/>
          <w:highlight w:val="none"/>
          <w:lang w:val="en-US" w:eastAsia="zh-CN"/>
        </w:rPr>
        <w:t xml:space="preserve">号）的相关要求。 </w:t>
      </w:r>
    </w:p>
    <w:p w14:paraId="74BCECBF">
      <w:pPr>
        <w:pStyle w:val="38"/>
        <w:keepNext w:val="0"/>
        <w:keepLines w:val="0"/>
        <w:pageBreakBefore w:val="0"/>
        <w:widowControl w:val="0"/>
        <w:kinsoku/>
        <w:wordWrap w:val="0"/>
        <w:overflowPunct/>
        <w:topLinePunct w:val="0"/>
        <w:autoSpaceDE/>
        <w:autoSpaceDN/>
        <w:bidi w:val="0"/>
        <w:adjustRightInd/>
        <w:snapToGrid/>
        <w:spacing w:before="157" w:beforeLines="50" w:after="157" w:afterLines="50"/>
        <w:ind w:firstLine="482"/>
        <w:textAlignment w:val="auto"/>
        <w:rPr>
          <w:rFonts w:hint="eastAsia"/>
          <w:b/>
          <w:bCs/>
          <w:snapToGrid w:val="0"/>
          <w:color w:val="auto"/>
          <w:sz w:val="24"/>
          <w:szCs w:val="24"/>
          <w:highlight w:val="none"/>
          <w:lang w:val="en-US" w:eastAsia="zh-CN"/>
        </w:rPr>
      </w:pPr>
      <w:r>
        <w:rPr>
          <w:rFonts w:hint="eastAsia"/>
          <w:b/>
          <w:bCs/>
          <w:snapToGrid w:val="0"/>
          <w:color w:val="auto"/>
          <w:sz w:val="24"/>
          <w:szCs w:val="24"/>
          <w:highlight w:val="none"/>
          <w:lang w:val="en-US" w:eastAsia="zh-CN"/>
        </w:rPr>
        <w:t xml:space="preserve">一、采购标的 </w:t>
      </w:r>
    </w:p>
    <w:p w14:paraId="3E57EDE4">
      <w:pPr>
        <w:pStyle w:val="38"/>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default"/>
          <w:snapToGrid w:val="0"/>
          <w:color w:val="auto"/>
          <w:sz w:val="24"/>
          <w:szCs w:val="24"/>
          <w:highlight w:val="none"/>
          <w:lang w:val="en-US" w:eastAsia="zh-CN"/>
        </w:rPr>
        <w:t xml:space="preserve">1. </w:t>
      </w:r>
      <w:r>
        <w:rPr>
          <w:rFonts w:hint="eastAsia"/>
          <w:snapToGrid w:val="0"/>
          <w:color w:val="auto"/>
          <w:sz w:val="24"/>
          <w:szCs w:val="24"/>
          <w:highlight w:val="none"/>
          <w:lang w:val="en-US" w:eastAsia="zh-CN"/>
        </w:rPr>
        <w:t xml:space="preserve">采购标的（货物需求一览表或简要服务内容及数量） </w:t>
      </w:r>
    </w:p>
    <w:p w14:paraId="700BA3D0">
      <w:pPr>
        <w:pStyle w:val="38"/>
        <w:keepNext w:val="0"/>
        <w:keepLines w:val="0"/>
        <w:pageBreakBefore w:val="0"/>
        <w:widowControl w:val="0"/>
        <w:kinsoku/>
        <w:overflowPunct/>
        <w:topLinePunct w:val="0"/>
        <w:autoSpaceDE/>
        <w:autoSpaceDN/>
        <w:bidi w:val="0"/>
        <w:adjustRightInd/>
        <w:ind w:left="480" w:leftChars="200" w:firstLine="0" w:firstLineChars="0"/>
        <w:textAlignment w:val="auto"/>
        <w:rPr>
          <w:rFonts w:hint="eastAsia"/>
          <w:snapToGrid w:val="0"/>
          <w:color w:val="auto"/>
          <w:sz w:val="24"/>
          <w:szCs w:val="24"/>
          <w:highlight w:val="none"/>
          <w:lang w:val="en-US" w:eastAsia="zh-CN"/>
        </w:rPr>
      </w:pPr>
      <w:r>
        <w:rPr>
          <w:rFonts w:hint="eastAsia" w:ascii="宋体" w:hAnsi="宋体" w:eastAsia="宋体"/>
          <w:snapToGrid w:val="0"/>
          <w:color w:val="auto"/>
          <w:sz w:val="24"/>
          <w:szCs w:val="24"/>
          <w:highlight w:val="none"/>
          <w:lang w:val="en-US" w:eastAsia="zh-CN"/>
        </w:rPr>
        <w:t>采购需求名称：大型树屋攀爬游乐设施定制及安装</w:t>
      </w:r>
      <w:r>
        <w:rPr>
          <w:rFonts w:hint="eastAsia" w:ascii="宋体" w:hAnsi="宋体" w:eastAsia="宋体"/>
          <w:snapToGrid w:val="0"/>
          <w:color w:val="auto"/>
          <w:sz w:val="24"/>
          <w:szCs w:val="24"/>
          <w:highlight w:val="none"/>
          <w:lang w:val="en-US" w:eastAsia="zh-CN"/>
        </w:rPr>
        <w:br w:type="textWrapping"/>
      </w:r>
      <w:r>
        <w:rPr>
          <w:rFonts w:hint="eastAsia" w:ascii="宋体" w:hAnsi="宋体" w:eastAsia="宋体"/>
          <w:snapToGrid w:val="0"/>
          <w:color w:val="auto"/>
          <w:sz w:val="24"/>
          <w:szCs w:val="24"/>
          <w:highlight w:val="none"/>
          <w:lang w:val="en-US" w:eastAsia="zh-CN"/>
        </w:rPr>
        <w:t>采购需求数量：1项</w:t>
      </w:r>
      <w:r>
        <w:rPr>
          <w:rFonts w:hint="eastAsia" w:ascii="宋体" w:hAnsi="宋体" w:eastAsia="宋体"/>
          <w:snapToGrid w:val="0"/>
          <w:color w:val="auto"/>
          <w:sz w:val="24"/>
          <w:szCs w:val="24"/>
          <w:highlight w:val="none"/>
          <w:lang w:val="en-US" w:eastAsia="zh-CN"/>
        </w:rPr>
        <w:br w:type="textWrapping"/>
      </w:r>
      <w:r>
        <w:rPr>
          <w:rFonts w:hint="eastAsia" w:ascii="宋体" w:hAnsi="宋体" w:eastAsia="宋体"/>
          <w:snapToGrid w:val="0"/>
          <w:color w:val="auto"/>
          <w:sz w:val="24"/>
          <w:szCs w:val="24"/>
          <w:highlight w:val="none"/>
          <w:lang w:val="en-US" w:eastAsia="zh-CN"/>
        </w:rPr>
        <w:t>采购需求功能或目标：定制及安装的大型树屋、攀爬游乐设施需符合幼儿人体工学，尺寸适配幼儿身高与活动幅度。</w:t>
      </w:r>
      <w:r>
        <w:rPr>
          <w:rFonts w:hint="eastAsia" w:ascii="宋体" w:hAnsi="宋体" w:eastAsia="宋体"/>
          <w:snapToGrid w:val="0"/>
          <w:color w:val="auto"/>
          <w:sz w:val="24"/>
          <w:szCs w:val="24"/>
          <w:highlight w:val="none"/>
          <w:lang w:val="en-US" w:eastAsia="zh-CN"/>
        </w:rPr>
        <w:br w:type="textWrapping"/>
      </w:r>
      <w:r>
        <w:rPr>
          <w:rFonts w:hint="eastAsia" w:ascii="宋体" w:hAnsi="宋体" w:eastAsia="宋体"/>
          <w:snapToGrid w:val="0"/>
          <w:color w:val="auto"/>
          <w:sz w:val="24"/>
          <w:szCs w:val="24"/>
          <w:highlight w:val="none"/>
          <w:lang w:val="en-US" w:eastAsia="zh-CN"/>
        </w:rPr>
        <w:t>需满足的要求：（1）设施所有部件需无尖角毛刺，采用环保无毒材质，稳固性与承重性满足幼儿集体活动需求。</w:t>
      </w:r>
      <w:r>
        <w:rPr>
          <w:rFonts w:hint="eastAsia" w:ascii="宋体" w:hAnsi="宋体" w:eastAsia="宋体"/>
          <w:snapToGrid w:val="0"/>
          <w:color w:val="auto"/>
          <w:sz w:val="24"/>
          <w:szCs w:val="24"/>
          <w:highlight w:val="none"/>
          <w:lang w:val="en-US" w:eastAsia="zh-CN"/>
        </w:rPr>
        <w:br w:type="textWrapping"/>
      </w:r>
      <w:r>
        <w:rPr>
          <w:rFonts w:hint="eastAsia" w:ascii="宋体" w:hAnsi="宋体" w:eastAsia="宋体"/>
          <w:snapToGrid w:val="0"/>
          <w:color w:val="auto"/>
          <w:sz w:val="24"/>
          <w:szCs w:val="24"/>
          <w:highlight w:val="none"/>
          <w:lang w:val="en-US" w:eastAsia="zh-CN"/>
        </w:rPr>
        <w:t>（2） 设施设计及安装需契合幼儿园活动场景，兼顾安全性、趣味性与益智性，便于日常管理维护。</w:t>
      </w:r>
      <w:r>
        <w:rPr>
          <w:rFonts w:hint="eastAsia"/>
          <w:snapToGrid w:val="0"/>
          <w:color w:val="auto"/>
          <w:sz w:val="24"/>
          <w:szCs w:val="24"/>
          <w:highlight w:val="none"/>
          <w:lang w:val="en-US" w:eastAsia="zh-CN"/>
        </w:rPr>
        <w:t xml:space="preserve"> </w:t>
      </w:r>
    </w:p>
    <w:p w14:paraId="6D523F8D">
      <w:pPr>
        <w:pStyle w:val="38"/>
        <w:keepNext w:val="0"/>
        <w:keepLines w:val="0"/>
        <w:pageBreakBefore w:val="0"/>
        <w:widowControl w:val="0"/>
        <w:kinsoku/>
        <w:wordWrap w:val="0"/>
        <w:overflowPunct/>
        <w:topLinePunct w:val="0"/>
        <w:autoSpaceDE/>
        <w:autoSpaceDN/>
        <w:bidi w:val="0"/>
        <w:adjustRightInd/>
        <w:snapToGrid/>
        <w:spacing w:before="157" w:beforeLines="50" w:after="157" w:afterLines="50"/>
        <w:ind w:firstLine="482"/>
        <w:textAlignment w:val="auto"/>
        <w:rPr>
          <w:rFonts w:hint="eastAsia"/>
          <w:b/>
          <w:bCs/>
          <w:snapToGrid w:val="0"/>
          <w:color w:val="auto"/>
          <w:sz w:val="24"/>
          <w:szCs w:val="24"/>
          <w:highlight w:val="none"/>
          <w:lang w:val="en-US" w:eastAsia="zh-CN"/>
        </w:rPr>
      </w:pPr>
      <w:r>
        <w:rPr>
          <w:rFonts w:hint="eastAsia"/>
          <w:b/>
          <w:bCs/>
          <w:snapToGrid w:val="0"/>
          <w:color w:val="auto"/>
          <w:sz w:val="24"/>
          <w:szCs w:val="24"/>
          <w:highlight w:val="none"/>
          <w:lang w:val="en-US" w:eastAsia="zh-CN"/>
        </w:rPr>
        <w:t>二、商务要求</w:t>
      </w:r>
      <w:r>
        <w:rPr>
          <w:rFonts w:hint="eastAsia"/>
          <w:b/>
          <w:bCs/>
          <w:i w:val="0"/>
          <w:iCs w:val="0"/>
          <w:snapToGrid w:val="0"/>
          <w:color w:val="auto"/>
          <w:sz w:val="24"/>
          <w:szCs w:val="24"/>
          <w:highlight w:val="none"/>
          <w:lang w:val="en-US" w:eastAsia="zh-CN"/>
        </w:rPr>
        <w:t>【根据项目实际需求调整，如有实质性响应条款要求的，以“★”号作醒目标识</w:t>
      </w:r>
      <w:r>
        <w:rPr>
          <w:rFonts w:hint="eastAsia" w:ascii="宋体" w:hAnsi="宋体" w:eastAsia="宋体"/>
          <w:b/>
          <w:bCs/>
          <w:i w:val="0"/>
          <w:iCs w:val="0"/>
          <w:snapToGrid w:val="0"/>
          <w:color w:val="auto"/>
          <w:sz w:val="24"/>
          <w:szCs w:val="24"/>
          <w:highlight w:val="none"/>
          <w:lang w:val="en-US" w:eastAsia="zh-CN"/>
        </w:rPr>
        <w:t>，其他非实质性条款明确是否允许负偏离，允许几项负偏离</w:t>
      </w:r>
      <w:r>
        <w:rPr>
          <w:rFonts w:hint="eastAsia"/>
          <w:b/>
          <w:bCs/>
          <w:i w:val="0"/>
          <w:iCs w:val="0"/>
          <w:snapToGrid w:val="0"/>
          <w:color w:val="auto"/>
          <w:sz w:val="24"/>
          <w:szCs w:val="24"/>
          <w:highlight w:val="none"/>
          <w:lang w:val="en-US" w:eastAsia="zh-CN"/>
        </w:rPr>
        <w:t>】</w:t>
      </w:r>
      <w:r>
        <w:rPr>
          <w:rFonts w:hint="eastAsia"/>
          <w:b/>
          <w:bCs/>
          <w:i/>
          <w:iCs/>
          <w:snapToGrid w:val="0"/>
          <w:color w:val="auto"/>
          <w:sz w:val="24"/>
          <w:szCs w:val="24"/>
          <w:highlight w:val="none"/>
          <w:lang w:val="en-US" w:eastAsia="zh-CN"/>
        </w:rPr>
        <w:t xml:space="preserve"> </w:t>
      </w:r>
    </w:p>
    <w:p w14:paraId="0BA73EE6">
      <w:pPr>
        <w:pStyle w:val="38"/>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default"/>
          <w:snapToGrid w:val="0"/>
          <w:color w:val="auto"/>
          <w:sz w:val="24"/>
          <w:szCs w:val="24"/>
          <w:highlight w:val="none"/>
          <w:lang w:val="en-US" w:eastAsia="zh-CN"/>
        </w:rPr>
        <w:t xml:space="preserve">1. </w:t>
      </w:r>
      <w:r>
        <w:rPr>
          <w:rFonts w:hint="eastAsia"/>
          <w:snapToGrid w:val="0"/>
          <w:color w:val="auto"/>
          <w:sz w:val="24"/>
          <w:szCs w:val="24"/>
          <w:highlight w:val="none"/>
          <w:lang w:val="en-US" w:eastAsia="zh-CN"/>
        </w:rPr>
        <w:t xml:space="preserve">交付（实施）的时间（期限）和地点（范围） </w:t>
      </w:r>
    </w:p>
    <w:p w14:paraId="395092DD">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snapToGrid w:val="0"/>
          <w:color w:val="auto"/>
          <w:sz w:val="24"/>
          <w:szCs w:val="24"/>
          <w:highlight w:val="none"/>
          <w:lang w:val="en-US" w:eastAsia="zh-CN"/>
        </w:rPr>
      </w:pPr>
      <w:r>
        <w:rPr>
          <w:rFonts w:hint="eastAsia"/>
          <w:snapToGrid w:val="0"/>
          <w:color w:val="auto"/>
          <w:sz w:val="24"/>
          <w:szCs w:val="24"/>
          <w:highlight w:val="none"/>
          <w:lang w:val="en-US" w:eastAsia="zh-CN"/>
        </w:rPr>
        <w:t>（1）交付（实施）的时间（期限）：</w:t>
      </w:r>
      <w:r>
        <w:rPr>
          <w:rFonts w:hint="eastAsia" w:ascii="宋体" w:hAnsi="宋体" w:eastAsia="宋体"/>
          <w:snapToGrid w:val="0"/>
          <w:color w:val="auto"/>
          <w:sz w:val="24"/>
          <w:szCs w:val="24"/>
          <w:highlight w:val="none"/>
          <w:lang w:val="en-US" w:eastAsia="zh-CN"/>
        </w:rPr>
        <w:t>合同服务履行期限：45日（合同签订后货到现场至安装验收完成）</w:t>
      </w:r>
    </w:p>
    <w:p w14:paraId="3411A260">
      <w:pPr>
        <w:pStyle w:val="38"/>
        <w:keepNext w:val="0"/>
        <w:keepLines w:val="0"/>
        <w:pageBreakBefore w:val="0"/>
        <w:widowControl w:val="0"/>
        <w:kinsoku/>
        <w:overflowPunct/>
        <w:topLinePunct w:val="0"/>
        <w:autoSpaceDE/>
        <w:autoSpaceDN/>
        <w:bidi w:val="0"/>
        <w:adjustRightInd/>
        <w:textAlignment w:val="auto"/>
        <w:rPr>
          <w:rFonts w:hint="default" w:ascii="宋体" w:hAnsi="宋体" w:eastAsia="宋体"/>
          <w:snapToGrid w:val="0"/>
          <w:color w:val="auto"/>
          <w:sz w:val="24"/>
          <w:szCs w:val="24"/>
          <w:highlight w:val="none"/>
          <w:lang w:val="en-US" w:eastAsia="zh-CN"/>
        </w:rPr>
      </w:pPr>
      <w:r>
        <w:rPr>
          <w:rFonts w:hint="eastAsia" w:ascii="宋体" w:hAnsi="宋体" w:eastAsia="宋体"/>
          <w:snapToGrid w:val="0"/>
          <w:color w:val="auto"/>
          <w:sz w:val="24"/>
          <w:szCs w:val="24"/>
          <w:highlight w:val="none"/>
          <w:lang w:val="en-US" w:eastAsia="zh-CN"/>
        </w:rPr>
        <w:t>（2）</w:t>
      </w:r>
      <w:r>
        <w:rPr>
          <w:rFonts w:hint="eastAsia"/>
          <w:snapToGrid w:val="0"/>
          <w:color w:val="auto"/>
          <w:sz w:val="24"/>
          <w:szCs w:val="24"/>
          <w:highlight w:val="none"/>
          <w:lang w:val="en-US" w:eastAsia="zh-CN"/>
        </w:rPr>
        <w:t>交付（实施）地点（范围）：采购</w:t>
      </w:r>
      <w:r>
        <w:rPr>
          <w:rFonts w:hint="eastAsia" w:ascii="宋体" w:hAnsi="宋体" w:eastAsia="宋体" w:cs="Times New Roman"/>
          <w:color w:val="auto"/>
          <w:sz w:val="24"/>
          <w:szCs w:val="24"/>
          <w:highlight w:val="none"/>
          <w:lang w:val="en-US" w:eastAsia="zh-CN"/>
        </w:rPr>
        <w:t>人指定地点</w:t>
      </w:r>
      <w:r>
        <w:rPr>
          <w:rFonts w:hint="eastAsia" w:ascii="宋体" w:hAnsi="宋体" w:eastAsia="宋体" w:cs="Times New Roman"/>
          <w:color w:val="auto"/>
          <w:sz w:val="24"/>
          <w:szCs w:val="24"/>
          <w:highlight w:val="none"/>
        </w:rPr>
        <w:t>（</w:t>
      </w:r>
      <w:r>
        <w:rPr>
          <w:rFonts w:hint="eastAsia" w:cs="Times New Roman"/>
          <w:color w:val="auto"/>
          <w:sz w:val="24"/>
          <w:szCs w:val="24"/>
          <w:highlight w:val="none"/>
          <w:lang w:val="en-US" w:eastAsia="zh-CN"/>
        </w:rPr>
        <w:t>搬</w:t>
      </w:r>
      <w:r>
        <w:rPr>
          <w:rFonts w:hint="eastAsia" w:ascii="宋体" w:hAnsi="宋体" w:eastAsia="宋体" w:cs="Times New Roman"/>
          <w:color w:val="auto"/>
          <w:sz w:val="24"/>
          <w:szCs w:val="24"/>
          <w:highlight w:val="none"/>
        </w:rPr>
        <w:t>运费由</w:t>
      </w:r>
      <w:r>
        <w:rPr>
          <w:rFonts w:hint="eastAsia" w:cs="Times New Roman"/>
          <w:color w:val="auto"/>
          <w:sz w:val="24"/>
          <w:szCs w:val="24"/>
          <w:highlight w:val="none"/>
          <w:lang w:val="en-US" w:eastAsia="zh-CN"/>
        </w:rPr>
        <w:t>投标人</w:t>
      </w:r>
      <w:r>
        <w:rPr>
          <w:rFonts w:hint="eastAsia" w:ascii="宋体" w:hAnsi="宋体" w:eastAsia="宋体" w:cs="Times New Roman"/>
          <w:color w:val="auto"/>
          <w:sz w:val="24"/>
          <w:szCs w:val="24"/>
          <w:highlight w:val="none"/>
        </w:rPr>
        <w:t>承担）</w:t>
      </w:r>
    </w:p>
    <w:p w14:paraId="2017E928">
      <w:pPr>
        <w:pStyle w:val="38"/>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default"/>
          <w:snapToGrid w:val="0"/>
          <w:color w:val="auto"/>
          <w:sz w:val="24"/>
          <w:szCs w:val="24"/>
          <w:highlight w:val="none"/>
          <w:lang w:val="en-US" w:eastAsia="zh-CN"/>
        </w:rPr>
        <w:t xml:space="preserve">2. </w:t>
      </w:r>
      <w:r>
        <w:rPr>
          <w:rFonts w:hint="eastAsia"/>
          <w:snapToGrid w:val="0"/>
          <w:color w:val="auto"/>
          <w:sz w:val="24"/>
          <w:szCs w:val="24"/>
          <w:highlight w:val="none"/>
          <w:lang w:val="en-US" w:eastAsia="zh-CN"/>
        </w:rPr>
        <w:t xml:space="preserve">付款条件（进度和方式） </w:t>
      </w:r>
    </w:p>
    <w:p w14:paraId="053D4F60">
      <w:pPr>
        <w:pStyle w:val="38"/>
        <w:keepNext w:val="0"/>
        <w:keepLines w:val="0"/>
        <w:pageBreakBefore w:val="0"/>
        <w:widowControl w:val="0"/>
        <w:kinsoku/>
        <w:overflowPunct/>
        <w:topLinePunct w:val="0"/>
        <w:autoSpaceDE/>
        <w:autoSpaceDN/>
        <w:bidi w:val="0"/>
        <w:adjustRightInd/>
        <w:textAlignment w:val="auto"/>
        <w:rPr>
          <w:rFonts w:hint="default" w:ascii="宋体" w:hAnsi="宋体" w:eastAsia="宋体"/>
          <w:snapToGrid w:val="0"/>
          <w:color w:val="auto"/>
          <w:sz w:val="24"/>
          <w:szCs w:val="24"/>
          <w:highlight w:val="none"/>
          <w:lang w:val="en-US" w:eastAsia="zh-CN"/>
        </w:rPr>
      </w:pPr>
      <w:r>
        <w:rPr>
          <w:rFonts w:hint="eastAsia" w:ascii="宋体" w:hAnsi="宋体" w:eastAsia="宋体"/>
          <w:snapToGrid w:val="0"/>
          <w:color w:val="auto"/>
          <w:sz w:val="24"/>
          <w:szCs w:val="24"/>
          <w:highlight w:val="none"/>
          <w:lang w:val="en-US" w:eastAsia="zh-CN"/>
        </w:rPr>
        <w:t>合同签定后支付合同总价款50%预付款。货到甲方指定现场安装、调试、验收合格并交付使用，根据审计价支付支付剩余合同总价款的50%。（具体以签订合同为准）。</w:t>
      </w:r>
    </w:p>
    <w:p w14:paraId="25B90F3B">
      <w:pPr>
        <w:pStyle w:val="38"/>
        <w:keepNext w:val="0"/>
        <w:keepLines w:val="0"/>
        <w:pageBreakBefore w:val="0"/>
        <w:widowControl w:val="0"/>
        <w:kinsoku/>
        <w:overflowPunct/>
        <w:topLinePunct w:val="0"/>
        <w:autoSpaceDE/>
        <w:autoSpaceDN/>
        <w:bidi w:val="0"/>
        <w:adjustRightInd/>
        <w:textAlignment w:val="auto"/>
        <w:rPr>
          <w:rFonts w:hint="default"/>
          <w:snapToGrid w:val="0"/>
          <w:color w:val="auto"/>
          <w:sz w:val="24"/>
          <w:szCs w:val="24"/>
          <w:highlight w:val="none"/>
          <w:lang w:val="en-US" w:eastAsia="zh-CN"/>
        </w:rPr>
      </w:pPr>
      <w:r>
        <w:rPr>
          <w:rFonts w:hint="default"/>
          <w:snapToGrid w:val="0"/>
          <w:color w:val="auto"/>
          <w:sz w:val="24"/>
          <w:szCs w:val="24"/>
          <w:highlight w:val="none"/>
          <w:lang w:val="en-US" w:eastAsia="zh-CN"/>
        </w:rPr>
        <w:t xml:space="preserve">3. </w:t>
      </w:r>
      <w:r>
        <w:rPr>
          <w:rFonts w:hint="eastAsia"/>
          <w:snapToGrid w:val="0"/>
          <w:color w:val="auto"/>
          <w:sz w:val="24"/>
          <w:szCs w:val="24"/>
          <w:highlight w:val="none"/>
          <w:lang w:val="en-US" w:eastAsia="zh-CN"/>
        </w:rPr>
        <w:t>包装和运输（如适用，须满足《关于印发〈商品包装政府采购需求标准（试行）〉、〈快递包装政府采购需求标准（试行）〉的通知》（财办库﹝</w:t>
      </w:r>
      <w:r>
        <w:rPr>
          <w:rFonts w:hint="default"/>
          <w:snapToGrid w:val="0"/>
          <w:color w:val="auto"/>
          <w:sz w:val="24"/>
          <w:szCs w:val="24"/>
          <w:highlight w:val="none"/>
          <w:lang w:val="en-US" w:eastAsia="zh-CN"/>
        </w:rPr>
        <w:t>2020</w:t>
      </w:r>
      <w:r>
        <w:rPr>
          <w:rFonts w:hint="eastAsia"/>
          <w:snapToGrid w:val="0"/>
          <w:color w:val="auto"/>
          <w:sz w:val="24"/>
          <w:szCs w:val="24"/>
          <w:highlight w:val="none"/>
          <w:lang w:val="en-US" w:eastAsia="zh-CN"/>
        </w:rPr>
        <w:t>﹞</w:t>
      </w:r>
      <w:r>
        <w:rPr>
          <w:rFonts w:hint="default"/>
          <w:snapToGrid w:val="0"/>
          <w:color w:val="auto"/>
          <w:sz w:val="24"/>
          <w:szCs w:val="24"/>
          <w:highlight w:val="none"/>
          <w:lang w:val="en-US" w:eastAsia="zh-CN"/>
        </w:rPr>
        <w:t xml:space="preserve">123 </w:t>
      </w:r>
      <w:r>
        <w:rPr>
          <w:rFonts w:hint="eastAsia"/>
          <w:snapToGrid w:val="0"/>
          <w:color w:val="auto"/>
          <w:sz w:val="24"/>
          <w:szCs w:val="24"/>
          <w:highlight w:val="none"/>
          <w:lang w:val="en-US" w:eastAsia="zh-CN"/>
        </w:rPr>
        <w:t xml:space="preserve">号）） </w:t>
      </w:r>
    </w:p>
    <w:p w14:paraId="661F1086">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snapToGrid w:val="0"/>
          <w:color w:val="auto"/>
          <w:sz w:val="24"/>
          <w:szCs w:val="24"/>
          <w:highlight w:val="none"/>
          <w:lang w:val="en-US" w:eastAsia="zh-CN"/>
        </w:rPr>
      </w:pPr>
      <w:r>
        <w:rPr>
          <w:rFonts w:hint="default"/>
          <w:snapToGrid w:val="0"/>
          <w:color w:val="auto"/>
          <w:sz w:val="24"/>
          <w:szCs w:val="24"/>
          <w:highlight w:val="none"/>
          <w:lang w:val="en-US" w:eastAsia="zh-CN"/>
        </w:rPr>
        <w:t xml:space="preserve">4. </w:t>
      </w:r>
      <w:r>
        <w:rPr>
          <w:rFonts w:hint="eastAsia"/>
          <w:snapToGrid w:val="0"/>
          <w:color w:val="auto"/>
          <w:sz w:val="24"/>
          <w:szCs w:val="24"/>
          <w:highlight w:val="none"/>
          <w:lang w:val="en-US" w:eastAsia="zh-CN"/>
        </w:rPr>
        <w:t>售后服务（质保期）：3年</w:t>
      </w:r>
    </w:p>
    <w:p w14:paraId="11C5FBCE">
      <w:pPr>
        <w:pStyle w:val="38"/>
        <w:keepNext w:val="0"/>
        <w:keepLines w:val="0"/>
        <w:pageBreakBefore w:val="0"/>
        <w:widowControl w:val="0"/>
        <w:kinsoku/>
        <w:wordWrap w:val="0"/>
        <w:overflowPunct/>
        <w:topLinePunct w:val="0"/>
        <w:autoSpaceDE/>
        <w:autoSpaceDN/>
        <w:bidi w:val="0"/>
        <w:adjustRightInd/>
        <w:snapToGrid/>
        <w:spacing w:before="157" w:beforeLines="50" w:after="157" w:afterLines="50"/>
        <w:ind w:firstLine="482"/>
        <w:textAlignment w:val="auto"/>
        <w:rPr>
          <w:rFonts w:hint="eastAsia"/>
          <w:b/>
          <w:bCs/>
          <w:snapToGrid w:val="0"/>
          <w:color w:val="auto"/>
          <w:sz w:val="24"/>
          <w:szCs w:val="24"/>
          <w:highlight w:val="none"/>
          <w:lang w:val="en-US" w:eastAsia="zh-CN"/>
        </w:rPr>
      </w:pPr>
      <w:r>
        <w:rPr>
          <w:rFonts w:hint="eastAsia"/>
          <w:b/>
          <w:bCs/>
          <w:snapToGrid w:val="0"/>
          <w:color w:val="auto"/>
          <w:sz w:val="24"/>
          <w:szCs w:val="24"/>
          <w:highlight w:val="none"/>
          <w:lang w:val="en-US" w:eastAsia="zh-CN"/>
        </w:rPr>
        <w:t>三、技术要求：</w:t>
      </w:r>
    </w:p>
    <w:p w14:paraId="64474083">
      <w:pPr>
        <w:pStyle w:val="38"/>
        <w:keepNext w:val="0"/>
        <w:keepLines w:val="0"/>
        <w:pageBreakBefore w:val="0"/>
        <w:widowControl w:val="0"/>
        <w:kinsoku/>
        <w:wordWrap w:val="0"/>
        <w:overflowPunct/>
        <w:topLinePunct w:val="0"/>
        <w:autoSpaceDE/>
        <w:autoSpaceDN/>
        <w:bidi w:val="0"/>
        <w:adjustRightInd/>
        <w:snapToGrid/>
        <w:spacing w:before="157" w:beforeLines="50" w:after="157" w:afterLines="50"/>
        <w:ind w:firstLine="482"/>
        <w:textAlignment w:val="auto"/>
        <w:rPr>
          <w:rFonts w:hint="default"/>
          <w:snapToGrid w:val="0"/>
          <w:color w:val="auto"/>
          <w:sz w:val="24"/>
          <w:szCs w:val="24"/>
          <w:highlight w:val="none"/>
          <w:lang w:val="en-US" w:eastAsia="zh-CN"/>
        </w:rPr>
      </w:pPr>
      <w:r>
        <w:rPr>
          <w:rFonts w:hint="eastAsia"/>
          <w:b/>
          <w:bCs/>
          <w:snapToGrid w:val="0"/>
          <w:color w:val="auto"/>
          <w:sz w:val="24"/>
          <w:szCs w:val="24"/>
          <w:highlight w:val="none"/>
          <w:lang w:val="en-US" w:eastAsia="zh-CN"/>
        </w:rPr>
        <w:t>以“★”号作醒目标识</w:t>
      </w:r>
      <w:r>
        <w:rPr>
          <w:rFonts w:hint="eastAsia"/>
          <w:b/>
          <w:bCs/>
          <w:i w:val="0"/>
          <w:iCs w:val="0"/>
          <w:snapToGrid w:val="0"/>
          <w:color w:val="auto"/>
          <w:sz w:val="24"/>
          <w:szCs w:val="24"/>
          <w:highlight w:val="none"/>
          <w:lang w:val="en-US" w:eastAsia="zh-CN"/>
        </w:rPr>
        <w:t>的为</w:t>
      </w:r>
      <w:r>
        <w:rPr>
          <w:rFonts w:hint="eastAsia"/>
          <w:b/>
          <w:bCs/>
          <w:snapToGrid w:val="0"/>
          <w:color w:val="auto"/>
          <w:sz w:val="24"/>
          <w:szCs w:val="24"/>
          <w:highlight w:val="none"/>
          <w:lang w:val="en-US" w:eastAsia="zh-CN"/>
        </w:rPr>
        <w:t>实质性响应条款要求</w:t>
      </w:r>
    </w:p>
    <w:p w14:paraId="05C4C5BE">
      <w:pPr>
        <w:pStyle w:val="36"/>
        <w:rPr>
          <w:rFonts w:hint="eastAsia" w:ascii="宋体" w:hAnsi="宋体" w:eastAsia="宋体" w:cstheme="minorBidi"/>
          <w:b/>
          <w:bCs/>
          <w:iCs/>
          <w:snapToGrid w:val="0"/>
          <w:color w:val="auto"/>
          <w:kern w:val="2"/>
          <w:sz w:val="24"/>
          <w:szCs w:val="24"/>
          <w:highlight w:val="none"/>
          <w:shd w:val="clear" w:color="auto" w:fill="FFFFFF" w:themeFill="background1"/>
          <w:lang w:val="en-US" w:eastAsia="zh-CN" w:bidi="ar-SA"/>
        </w:rPr>
      </w:pPr>
    </w:p>
    <w:p w14:paraId="2906238E">
      <w:pPr>
        <w:pStyle w:val="36"/>
        <w:rPr>
          <w:rFonts w:hint="eastAsia" w:ascii="宋体" w:hAnsi="宋体" w:eastAsia="宋体" w:cstheme="minorBidi"/>
          <w:b/>
          <w:bCs/>
          <w:iCs/>
          <w:snapToGrid w:val="0"/>
          <w:color w:val="auto"/>
          <w:kern w:val="2"/>
          <w:sz w:val="24"/>
          <w:szCs w:val="24"/>
          <w:highlight w:val="none"/>
          <w:shd w:val="clear" w:color="auto" w:fill="FFFFFF" w:themeFill="background1"/>
          <w:lang w:val="en-US" w:eastAsia="zh-CN" w:bidi="ar-SA"/>
        </w:rPr>
      </w:pPr>
    </w:p>
    <w:p w14:paraId="76C2D8E5">
      <w:pPr>
        <w:pStyle w:val="36"/>
        <w:rPr>
          <w:rFonts w:hint="eastAsia" w:ascii="宋体" w:hAnsi="宋体" w:eastAsia="宋体" w:cstheme="minorBidi"/>
          <w:b/>
          <w:bCs/>
          <w:iCs/>
          <w:snapToGrid w:val="0"/>
          <w:color w:val="auto"/>
          <w:kern w:val="2"/>
          <w:sz w:val="24"/>
          <w:szCs w:val="24"/>
          <w:highlight w:val="none"/>
          <w:shd w:val="clear" w:color="auto" w:fill="FFFFFF" w:themeFill="background1"/>
          <w:lang w:val="en-US" w:eastAsia="zh-CN" w:bidi="ar-SA"/>
        </w:rPr>
      </w:pPr>
    </w:p>
    <w:p w14:paraId="39176813">
      <w:pPr>
        <w:pStyle w:val="36"/>
        <w:rPr>
          <w:rFonts w:hint="eastAsia" w:ascii="宋体" w:hAnsi="宋体" w:eastAsia="宋体" w:cstheme="minorBidi"/>
          <w:b/>
          <w:bCs/>
          <w:iCs/>
          <w:snapToGrid w:val="0"/>
          <w:color w:val="auto"/>
          <w:kern w:val="2"/>
          <w:sz w:val="24"/>
          <w:szCs w:val="24"/>
          <w:highlight w:val="none"/>
          <w:shd w:val="clear" w:color="auto" w:fill="FFFFFF" w:themeFill="background1"/>
          <w:lang w:val="en-US" w:eastAsia="zh-CN" w:bidi="ar-SA"/>
        </w:rPr>
      </w:pPr>
    </w:p>
    <w:p w14:paraId="65D7A633">
      <w:pPr>
        <w:pStyle w:val="36"/>
        <w:rPr>
          <w:rFonts w:hint="eastAsia" w:ascii="宋体" w:hAnsi="宋体" w:eastAsia="宋体" w:cstheme="minorBidi"/>
          <w:b/>
          <w:bCs/>
          <w:iCs/>
          <w:snapToGrid w:val="0"/>
          <w:color w:val="auto"/>
          <w:kern w:val="2"/>
          <w:sz w:val="24"/>
          <w:szCs w:val="24"/>
          <w:highlight w:val="none"/>
          <w:shd w:val="clear" w:color="auto" w:fill="FFFFFF" w:themeFill="background1"/>
          <w:lang w:val="en-US" w:eastAsia="zh-CN" w:bidi="ar-SA"/>
        </w:rPr>
      </w:pPr>
    </w:p>
    <w:p w14:paraId="0B7B311A">
      <w:pPr>
        <w:pStyle w:val="36"/>
        <w:rPr>
          <w:rFonts w:hint="eastAsia" w:ascii="宋体" w:hAnsi="宋体" w:eastAsia="宋体" w:cstheme="minorBidi"/>
          <w:b/>
          <w:bCs/>
          <w:iCs/>
          <w:snapToGrid w:val="0"/>
          <w:color w:val="auto"/>
          <w:kern w:val="2"/>
          <w:sz w:val="24"/>
          <w:szCs w:val="24"/>
          <w:highlight w:val="none"/>
          <w:shd w:val="clear" w:color="auto" w:fill="FFFFFF" w:themeFill="background1"/>
          <w:lang w:val="en-US" w:eastAsia="zh-CN" w:bidi="ar-SA"/>
        </w:rPr>
      </w:pPr>
    </w:p>
    <w:p w14:paraId="1BE96B64">
      <w:pPr>
        <w:pStyle w:val="36"/>
        <w:rPr>
          <w:rFonts w:hint="eastAsia" w:ascii="宋体" w:hAnsi="宋体" w:eastAsia="宋体" w:cstheme="minorBidi"/>
          <w:b/>
          <w:bCs/>
          <w:iCs/>
          <w:snapToGrid w:val="0"/>
          <w:color w:val="auto"/>
          <w:kern w:val="2"/>
          <w:sz w:val="24"/>
          <w:szCs w:val="24"/>
          <w:highlight w:val="none"/>
          <w:shd w:val="clear" w:color="auto" w:fill="FFFFFF" w:themeFill="background1"/>
          <w:lang w:val="en-US" w:eastAsia="zh-CN" w:bidi="ar-SA"/>
        </w:rPr>
      </w:pPr>
    </w:p>
    <w:p w14:paraId="25550A16">
      <w:pPr>
        <w:pStyle w:val="36"/>
        <w:rPr>
          <w:rFonts w:hint="eastAsia" w:ascii="宋体" w:hAnsi="宋体" w:eastAsia="宋体" w:cstheme="minorBidi"/>
          <w:b/>
          <w:bCs/>
          <w:iCs/>
          <w:snapToGrid w:val="0"/>
          <w:color w:val="auto"/>
          <w:kern w:val="2"/>
          <w:sz w:val="24"/>
          <w:szCs w:val="24"/>
          <w:highlight w:val="none"/>
          <w:shd w:val="clear" w:color="auto" w:fill="FFFFFF" w:themeFill="background1"/>
          <w:lang w:val="en-US" w:eastAsia="zh-CN" w:bidi="ar-SA"/>
        </w:rPr>
      </w:pPr>
    </w:p>
    <w:p w14:paraId="22597348">
      <w:pPr>
        <w:pStyle w:val="36"/>
        <w:rPr>
          <w:rFonts w:hint="eastAsia" w:ascii="宋体" w:hAnsi="宋体" w:eastAsia="宋体" w:cstheme="minorBidi"/>
          <w:b/>
          <w:bCs/>
          <w:iCs/>
          <w:snapToGrid w:val="0"/>
          <w:color w:val="auto"/>
          <w:kern w:val="2"/>
          <w:sz w:val="24"/>
          <w:szCs w:val="24"/>
          <w:highlight w:val="none"/>
          <w:shd w:val="clear" w:color="auto" w:fill="FFFFFF" w:themeFill="background1"/>
          <w:lang w:val="en-US" w:eastAsia="zh-CN" w:bidi="ar-SA"/>
        </w:rPr>
      </w:pPr>
    </w:p>
    <w:p w14:paraId="38A71792">
      <w:pPr>
        <w:pStyle w:val="36"/>
        <w:rPr>
          <w:rFonts w:hint="eastAsia" w:ascii="宋体" w:hAnsi="宋体" w:eastAsia="宋体" w:cstheme="minorBidi"/>
          <w:b/>
          <w:bCs/>
          <w:iCs/>
          <w:snapToGrid w:val="0"/>
          <w:color w:val="auto"/>
          <w:kern w:val="2"/>
          <w:sz w:val="24"/>
          <w:szCs w:val="24"/>
          <w:highlight w:val="none"/>
          <w:shd w:val="clear" w:color="auto" w:fill="FFFFFF" w:themeFill="background1"/>
          <w:lang w:val="en-US" w:eastAsia="zh-CN" w:bidi="ar-SA"/>
        </w:rPr>
      </w:pPr>
    </w:p>
    <w:p w14:paraId="2AAD0145">
      <w:pPr>
        <w:pStyle w:val="36"/>
        <w:rPr>
          <w:rFonts w:hint="eastAsia" w:ascii="宋体" w:hAnsi="宋体" w:eastAsia="宋体" w:cstheme="minorBidi"/>
          <w:b/>
          <w:bCs/>
          <w:iCs/>
          <w:snapToGrid w:val="0"/>
          <w:color w:val="auto"/>
          <w:kern w:val="2"/>
          <w:sz w:val="24"/>
          <w:szCs w:val="24"/>
          <w:highlight w:val="none"/>
          <w:shd w:val="clear" w:color="auto" w:fill="FFFFFF" w:themeFill="background1"/>
          <w:lang w:val="en-US" w:eastAsia="zh-CN" w:bidi="ar-SA"/>
        </w:rPr>
      </w:pPr>
    </w:p>
    <w:p w14:paraId="7920F5B1">
      <w:pPr>
        <w:pStyle w:val="36"/>
        <w:rPr>
          <w:rFonts w:hint="eastAsia" w:ascii="宋体" w:hAnsi="宋体" w:eastAsia="宋体" w:cstheme="minorBidi"/>
          <w:b/>
          <w:bCs/>
          <w:iCs/>
          <w:snapToGrid w:val="0"/>
          <w:color w:val="auto"/>
          <w:kern w:val="2"/>
          <w:sz w:val="24"/>
          <w:szCs w:val="24"/>
          <w:highlight w:val="none"/>
          <w:shd w:val="clear" w:color="auto" w:fill="FFFFFF" w:themeFill="background1"/>
          <w:lang w:val="en-US" w:eastAsia="zh-CN" w:bidi="ar-SA"/>
        </w:rPr>
      </w:pPr>
    </w:p>
    <w:p w14:paraId="0DE4BFDC">
      <w:pPr>
        <w:pStyle w:val="36"/>
        <w:rPr>
          <w:rFonts w:hint="eastAsia" w:ascii="宋体" w:hAnsi="宋体" w:eastAsia="宋体" w:cstheme="minorBidi"/>
          <w:b/>
          <w:bCs/>
          <w:iCs/>
          <w:snapToGrid w:val="0"/>
          <w:color w:val="auto"/>
          <w:kern w:val="2"/>
          <w:sz w:val="24"/>
          <w:szCs w:val="24"/>
          <w:highlight w:val="none"/>
          <w:shd w:val="clear" w:color="auto" w:fill="FFFFFF" w:themeFill="background1"/>
          <w:lang w:val="en-US" w:eastAsia="zh-CN" w:bidi="ar-SA"/>
        </w:rPr>
      </w:pPr>
    </w:p>
    <w:p w14:paraId="6825D72F">
      <w:pPr>
        <w:pStyle w:val="36"/>
        <w:rPr>
          <w:rFonts w:hint="eastAsia" w:ascii="宋体" w:hAnsi="宋体" w:eastAsia="宋体" w:cstheme="minorBidi"/>
          <w:b/>
          <w:bCs/>
          <w:iCs/>
          <w:snapToGrid w:val="0"/>
          <w:color w:val="auto"/>
          <w:kern w:val="2"/>
          <w:sz w:val="24"/>
          <w:szCs w:val="24"/>
          <w:highlight w:val="none"/>
          <w:shd w:val="clear" w:color="auto" w:fill="FFFFFF" w:themeFill="background1"/>
          <w:lang w:val="en-US" w:eastAsia="zh-CN" w:bidi="ar-SA"/>
        </w:rPr>
      </w:pPr>
    </w:p>
    <w:p w14:paraId="538E8BCC">
      <w:pPr>
        <w:pStyle w:val="36"/>
        <w:rPr>
          <w:rFonts w:hint="eastAsia" w:ascii="宋体" w:hAnsi="宋体" w:eastAsia="宋体" w:cstheme="minorBidi"/>
          <w:b/>
          <w:bCs/>
          <w:iCs/>
          <w:snapToGrid w:val="0"/>
          <w:color w:val="auto"/>
          <w:kern w:val="2"/>
          <w:sz w:val="24"/>
          <w:szCs w:val="24"/>
          <w:highlight w:val="none"/>
          <w:shd w:val="clear" w:color="auto" w:fill="FFFFFF" w:themeFill="background1"/>
          <w:lang w:val="en-US" w:eastAsia="zh-CN" w:bidi="ar-SA"/>
        </w:rPr>
      </w:pPr>
    </w:p>
    <w:p w14:paraId="191B7621">
      <w:pPr>
        <w:pStyle w:val="36"/>
        <w:rPr>
          <w:rFonts w:hint="eastAsia" w:ascii="宋体" w:hAnsi="宋体" w:eastAsia="宋体" w:cstheme="minorBidi"/>
          <w:b/>
          <w:bCs/>
          <w:iCs/>
          <w:snapToGrid w:val="0"/>
          <w:color w:val="auto"/>
          <w:kern w:val="2"/>
          <w:sz w:val="24"/>
          <w:szCs w:val="24"/>
          <w:highlight w:val="none"/>
          <w:shd w:val="clear" w:color="auto" w:fill="FFFFFF" w:themeFill="background1"/>
          <w:lang w:val="en-US" w:eastAsia="zh-CN" w:bidi="ar-SA"/>
        </w:rPr>
      </w:pPr>
    </w:p>
    <w:p w14:paraId="49C5B335">
      <w:pPr>
        <w:pStyle w:val="36"/>
        <w:rPr>
          <w:rFonts w:hint="eastAsia" w:ascii="宋体" w:hAnsi="宋体" w:eastAsia="宋体" w:cstheme="minorBidi"/>
          <w:b/>
          <w:bCs/>
          <w:iCs/>
          <w:snapToGrid w:val="0"/>
          <w:color w:val="auto"/>
          <w:kern w:val="2"/>
          <w:sz w:val="24"/>
          <w:szCs w:val="24"/>
          <w:highlight w:val="none"/>
          <w:shd w:val="clear" w:color="auto" w:fill="FFFFFF" w:themeFill="background1"/>
          <w:lang w:val="en-US" w:eastAsia="zh-CN" w:bidi="ar-SA"/>
        </w:rPr>
      </w:pPr>
    </w:p>
    <w:p w14:paraId="0D2B99AE">
      <w:pPr>
        <w:pStyle w:val="36"/>
        <w:rPr>
          <w:rFonts w:hint="eastAsia" w:ascii="宋体" w:hAnsi="宋体" w:eastAsia="宋体" w:cstheme="minorBidi"/>
          <w:b/>
          <w:bCs/>
          <w:iCs/>
          <w:snapToGrid w:val="0"/>
          <w:color w:val="auto"/>
          <w:kern w:val="2"/>
          <w:sz w:val="24"/>
          <w:szCs w:val="24"/>
          <w:highlight w:val="none"/>
          <w:shd w:val="clear" w:color="auto" w:fill="FFFFFF" w:themeFill="background1"/>
          <w:lang w:val="en-US" w:eastAsia="zh-CN" w:bidi="ar-SA"/>
        </w:rPr>
      </w:pPr>
    </w:p>
    <w:p w14:paraId="5D93BFAA">
      <w:pPr>
        <w:pStyle w:val="36"/>
        <w:rPr>
          <w:rFonts w:hint="eastAsia" w:ascii="宋体" w:hAnsi="宋体" w:eastAsia="宋体" w:cstheme="minorBidi"/>
          <w:b/>
          <w:bCs/>
          <w:iCs/>
          <w:snapToGrid w:val="0"/>
          <w:color w:val="auto"/>
          <w:kern w:val="2"/>
          <w:sz w:val="24"/>
          <w:szCs w:val="24"/>
          <w:highlight w:val="none"/>
          <w:shd w:val="clear" w:color="auto" w:fill="FFFFFF" w:themeFill="background1"/>
          <w:lang w:val="en-US" w:eastAsia="zh-CN" w:bidi="ar-SA"/>
        </w:rPr>
      </w:pPr>
    </w:p>
    <w:p w14:paraId="22477A58">
      <w:pPr>
        <w:pStyle w:val="36"/>
        <w:rPr>
          <w:rFonts w:hint="eastAsia" w:ascii="宋体" w:hAnsi="宋体" w:eastAsia="宋体" w:cstheme="minorBidi"/>
          <w:b/>
          <w:bCs/>
          <w:iCs/>
          <w:snapToGrid w:val="0"/>
          <w:color w:val="auto"/>
          <w:kern w:val="2"/>
          <w:sz w:val="24"/>
          <w:szCs w:val="24"/>
          <w:highlight w:val="none"/>
          <w:shd w:val="clear" w:color="auto" w:fill="FFFFFF" w:themeFill="background1"/>
          <w:lang w:val="en-US" w:eastAsia="zh-CN" w:bidi="ar-SA"/>
        </w:rPr>
      </w:pPr>
    </w:p>
    <w:p w14:paraId="02481CFD">
      <w:pPr>
        <w:pStyle w:val="36"/>
        <w:rPr>
          <w:rFonts w:hint="eastAsia" w:ascii="宋体" w:hAnsi="宋体" w:eastAsia="宋体" w:cstheme="minorBidi"/>
          <w:b/>
          <w:bCs/>
          <w:iCs/>
          <w:snapToGrid w:val="0"/>
          <w:color w:val="auto"/>
          <w:kern w:val="2"/>
          <w:sz w:val="24"/>
          <w:szCs w:val="24"/>
          <w:highlight w:val="none"/>
          <w:shd w:val="clear" w:color="auto" w:fill="FFFFFF" w:themeFill="background1"/>
          <w:lang w:val="en-US" w:eastAsia="zh-CN" w:bidi="ar-SA"/>
        </w:rPr>
      </w:pPr>
    </w:p>
    <w:p w14:paraId="4598CE8B">
      <w:pPr>
        <w:pStyle w:val="36"/>
        <w:rPr>
          <w:rFonts w:hint="eastAsia" w:ascii="宋体" w:hAnsi="宋体" w:eastAsia="宋体" w:cstheme="minorBidi"/>
          <w:b/>
          <w:bCs/>
          <w:iCs/>
          <w:snapToGrid w:val="0"/>
          <w:color w:val="auto"/>
          <w:kern w:val="2"/>
          <w:sz w:val="24"/>
          <w:szCs w:val="24"/>
          <w:highlight w:val="none"/>
          <w:shd w:val="clear" w:color="auto" w:fill="FFFFFF" w:themeFill="background1"/>
          <w:lang w:val="en-US" w:eastAsia="zh-CN" w:bidi="ar-SA"/>
        </w:rPr>
      </w:pPr>
    </w:p>
    <w:p w14:paraId="30F010CD">
      <w:pPr>
        <w:pStyle w:val="36"/>
        <w:rPr>
          <w:rFonts w:hint="eastAsia" w:ascii="宋体" w:hAnsi="宋体" w:eastAsia="宋体" w:cstheme="minorBidi"/>
          <w:b/>
          <w:bCs/>
          <w:iCs/>
          <w:snapToGrid w:val="0"/>
          <w:color w:val="auto"/>
          <w:kern w:val="2"/>
          <w:sz w:val="24"/>
          <w:szCs w:val="24"/>
          <w:highlight w:val="none"/>
          <w:shd w:val="clear" w:color="auto" w:fill="FFFFFF" w:themeFill="background1"/>
          <w:lang w:val="en-US" w:eastAsia="zh-CN" w:bidi="ar-SA"/>
        </w:rPr>
      </w:pPr>
    </w:p>
    <w:p w14:paraId="19E572E0">
      <w:pPr>
        <w:pStyle w:val="36"/>
        <w:rPr>
          <w:rFonts w:hint="eastAsia" w:ascii="宋体" w:hAnsi="宋体" w:eastAsia="宋体" w:cstheme="minorBidi"/>
          <w:b/>
          <w:bCs/>
          <w:iCs/>
          <w:snapToGrid w:val="0"/>
          <w:color w:val="auto"/>
          <w:kern w:val="2"/>
          <w:sz w:val="24"/>
          <w:szCs w:val="24"/>
          <w:highlight w:val="none"/>
          <w:shd w:val="clear" w:color="auto" w:fill="FFFFFF" w:themeFill="background1"/>
          <w:lang w:val="en-US" w:eastAsia="zh-CN" w:bidi="ar-SA"/>
        </w:rPr>
      </w:pPr>
    </w:p>
    <w:p w14:paraId="533B600C">
      <w:pPr>
        <w:pStyle w:val="36"/>
        <w:rPr>
          <w:rFonts w:hint="eastAsia" w:ascii="宋体" w:hAnsi="宋体" w:eastAsia="宋体" w:cstheme="minorBidi"/>
          <w:b/>
          <w:bCs/>
          <w:iCs/>
          <w:snapToGrid w:val="0"/>
          <w:color w:val="auto"/>
          <w:kern w:val="2"/>
          <w:sz w:val="24"/>
          <w:szCs w:val="24"/>
          <w:highlight w:val="none"/>
          <w:shd w:val="clear" w:color="auto" w:fill="FFFFFF" w:themeFill="background1"/>
          <w:lang w:val="en-US" w:eastAsia="zh-CN" w:bidi="ar-SA"/>
        </w:rPr>
      </w:pPr>
    </w:p>
    <w:p w14:paraId="2B81179A">
      <w:pPr>
        <w:pStyle w:val="36"/>
        <w:rPr>
          <w:rFonts w:hint="eastAsia" w:ascii="宋体" w:hAnsi="宋体" w:eastAsia="宋体" w:cstheme="minorBidi"/>
          <w:b/>
          <w:bCs/>
          <w:iCs/>
          <w:snapToGrid w:val="0"/>
          <w:color w:val="auto"/>
          <w:kern w:val="2"/>
          <w:sz w:val="24"/>
          <w:szCs w:val="24"/>
          <w:highlight w:val="none"/>
          <w:shd w:val="clear" w:color="auto" w:fill="FFFFFF" w:themeFill="background1"/>
          <w:lang w:val="en-US" w:eastAsia="zh-CN" w:bidi="ar-SA"/>
        </w:rPr>
      </w:pPr>
    </w:p>
    <w:p w14:paraId="64A32F99">
      <w:pPr>
        <w:pStyle w:val="36"/>
        <w:rPr>
          <w:rFonts w:hint="eastAsia" w:ascii="宋体" w:hAnsi="宋体" w:eastAsia="宋体" w:cstheme="minorBidi"/>
          <w:b/>
          <w:bCs/>
          <w:iCs/>
          <w:snapToGrid w:val="0"/>
          <w:color w:val="auto"/>
          <w:kern w:val="2"/>
          <w:sz w:val="24"/>
          <w:szCs w:val="24"/>
          <w:highlight w:val="none"/>
          <w:shd w:val="clear" w:color="auto" w:fill="FFFFFF" w:themeFill="background1"/>
          <w:lang w:val="en-US" w:eastAsia="zh-CN" w:bidi="ar-SA"/>
        </w:rPr>
      </w:pPr>
    </w:p>
    <w:p w14:paraId="12F81C63">
      <w:pPr>
        <w:pStyle w:val="36"/>
        <w:rPr>
          <w:rFonts w:hint="eastAsia" w:ascii="宋体" w:hAnsi="宋体" w:eastAsia="宋体" w:cstheme="minorBidi"/>
          <w:b/>
          <w:bCs/>
          <w:iCs/>
          <w:snapToGrid w:val="0"/>
          <w:color w:val="auto"/>
          <w:kern w:val="2"/>
          <w:sz w:val="24"/>
          <w:szCs w:val="24"/>
          <w:highlight w:val="none"/>
          <w:shd w:val="clear" w:color="auto" w:fill="FFFFFF" w:themeFill="background1"/>
          <w:lang w:val="en-US" w:eastAsia="zh-CN" w:bidi="ar-SA"/>
        </w:rPr>
      </w:pPr>
    </w:p>
    <w:p w14:paraId="3492A750">
      <w:pPr>
        <w:pStyle w:val="36"/>
        <w:rPr>
          <w:rFonts w:hint="eastAsia" w:ascii="宋体" w:hAnsi="宋体" w:eastAsia="宋体" w:cstheme="minorBidi"/>
          <w:b/>
          <w:bCs/>
          <w:iCs/>
          <w:snapToGrid w:val="0"/>
          <w:color w:val="auto"/>
          <w:kern w:val="2"/>
          <w:sz w:val="24"/>
          <w:szCs w:val="24"/>
          <w:highlight w:val="none"/>
          <w:shd w:val="clear" w:color="auto" w:fill="FFFFFF" w:themeFill="background1"/>
          <w:lang w:val="en-US" w:eastAsia="zh-CN" w:bidi="ar-SA"/>
        </w:rPr>
      </w:pPr>
    </w:p>
    <w:p w14:paraId="596C50BA">
      <w:pPr>
        <w:pStyle w:val="36"/>
        <w:rPr>
          <w:rFonts w:hint="eastAsia" w:ascii="宋体" w:hAnsi="宋体" w:eastAsia="宋体" w:cstheme="minorBidi"/>
          <w:b/>
          <w:bCs/>
          <w:iCs/>
          <w:snapToGrid w:val="0"/>
          <w:color w:val="auto"/>
          <w:kern w:val="2"/>
          <w:sz w:val="24"/>
          <w:szCs w:val="24"/>
          <w:highlight w:val="none"/>
          <w:shd w:val="clear" w:color="auto" w:fill="FFFFFF" w:themeFill="background1"/>
          <w:lang w:val="en-US" w:eastAsia="zh-CN" w:bidi="ar-SA"/>
        </w:rPr>
      </w:pPr>
    </w:p>
    <w:p w14:paraId="3F8ECDE0">
      <w:pPr>
        <w:pStyle w:val="36"/>
        <w:rPr>
          <w:rFonts w:hint="eastAsia" w:ascii="宋体" w:hAnsi="宋体" w:eastAsia="宋体" w:cstheme="minorBidi"/>
          <w:b/>
          <w:bCs/>
          <w:iCs/>
          <w:snapToGrid w:val="0"/>
          <w:color w:val="auto"/>
          <w:kern w:val="2"/>
          <w:sz w:val="24"/>
          <w:szCs w:val="24"/>
          <w:highlight w:val="none"/>
          <w:shd w:val="clear" w:color="auto" w:fill="FFFFFF" w:themeFill="background1"/>
          <w:lang w:val="en-US" w:eastAsia="zh-CN" w:bidi="ar-SA"/>
        </w:rPr>
        <w:sectPr>
          <w:headerReference r:id="rId7" w:type="default"/>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660C5F11">
      <w:pPr>
        <w:jc w:val="center"/>
        <w:rPr>
          <w:rFonts w:hint="eastAsia"/>
          <w:b/>
          <w:bCs/>
        </w:rPr>
      </w:pPr>
      <w:r>
        <w:rPr>
          <w:rFonts w:hint="eastAsia"/>
          <w:b/>
          <w:bCs/>
        </w:rPr>
        <w:t>大型游乐设施主体框架</w:t>
      </w:r>
      <w:r>
        <w:rPr>
          <w:rFonts w:hint="eastAsia"/>
          <w:b/>
          <w:bCs/>
          <w:snapToGrid w:val="0"/>
          <w:color w:val="auto"/>
          <w:sz w:val="24"/>
          <w:szCs w:val="24"/>
          <w:highlight w:val="none"/>
          <w:lang w:val="en-US" w:eastAsia="zh-CN"/>
        </w:rPr>
        <w:t>“★”</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1320"/>
        <w:gridCol w:w="10470"/>
        <w:gridCol w:w="795"/>
        <w:gridCol w:w="794"/>
      </w:tblGrid>
      <w:tr w14:paraId="21932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tcPr>
          <w:p w14:paraId="142B6C49">
            <w:pPr>
              <w:jc w:val="center"/>
              <w:rPr>
                <w:rFonts w:hint="eastAsia"/>
                <w:vertAlign w:val="baseline"/>
              </w:rPr>
            </w:pPr>
            <w:r>
              <w:rPr>
                <w:rFonts w:hint="eastAsia"/>
                <w:vertAlign w:val="baseline"/>
              </w:rPr>
              <w:t>序号</w:t>
            </w:r>
          </w:p>
        </w:tc>
        <w:tc>
          <w:tcPr>
            <w:tcW w:w="1320" w:type="dxa"/>
          </w:tcPr>
          <w:p w14:paraId="2255A113">
            <w:pPr>
              <w:jc w:val="center"/>
              <w:rPr>
                <w:rFonts w:hint="eastAsia"/>
                <w:vertAlign w:val="baseline"/>
              </w:rPr>
            </w:pPr>
            <w:r>
              <w:rPr>
                <w:rFonts w:hint="eastAsia"/>
                <w:vertAlign w:val="baseline"/>
              </w:rPr>
              <w:t>产品名称</w:t>
            </w:r>
          </w:p>
        </w:tc>
        <w:tc>
          <w:tcPr>
            <w:tcW w:w="10470" w:type="dxa"/>
          </w:tcPr>
          <w:p w14:paraId="5EE203A5">
            <w:pPr>
              <w:jc w:val="center"/>
              <w:rPr>
                <w:rFonts w:hint="eastAsia"/>
                <w:vertAlign w:val="baseline"/>
              </w:rPr>
            </w:pPr>
            <w:r>
              <w:rPr>
                <w:rFonts w:hint="eastAsia"/>
                <w:vertAlign w:val="baseline"/>
              </w:rPr>
              <w:t>备注</w:t>
            </w:r>
          </w:p>
        </w:tc>
        <w:tc>
          <w:tcPr>
            <w:tcW w:w="795" w:type="dxa"/>
          </w:tcPr>
          <w:p w14:paraId="6F8BC27D">
            <w:pPr>
              <w:jc w:val="center"/>
              <w:rPr>
                <w:rFonts w:hint="eastAsia"/>
                <w:vertAlign w:val="baseline"/>
              </w:rPr>
            </w:pPr>
            <w:r>
              <w:rPr>
                <w:rFonts w:hint="eastAsia"/>
                <w:vertAlign w:val="baseline"/>
              </w:rPr>
              <w:t>单位</w:t>
            </w:r>
          </w:p>
        </w:tc>
        <w:tc>
          <w:tcPr>
            <w:tcW w:w="794" w:type="dxa"/>
          </w:tcPr>
          <w:p w14:paraId="61ABACF9">
            <w:pPr>
              <w:jc w:val="center"/>
              <w:rPr>
                <w:rFonts w:hint="eastAsia"/>
                <w:vertAlign w:val="baseline"/>
              </w:rPr>
            </w:pPr>
            <w:r>
              <w:rPr>
                <w:rFonts w:hint="eastAsia"/>
                <w:vertAlign w:val="baseline"/>
              </w:rPr>
              <w:t>数量</w:t>
            </w:r>
          </w:p>
        </w:tc>
      </w:tr>
      <w:tr w14:paraId="0A915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795" w:type="dxa"/>
          </w:tcPr>
          <w:p w14:paraId="44B569D6">
            <w:pPr>
              <w:jc w:val="center"/>
              <w:rPr>
                <w:rFonts w:hint="eastAsia" w:eastAsiaTheme="minorEastAsia"/>
                <w:vertAlign w:val="baseline"/>
                <w:lang w:val="en-US" w:eastAsia="zh-CN"/>
              </w:rPr>
            </w:pPr>
            <w:r>
              <w:rPr>
                <w:rFonts w:hint="eastAsia"/>
                <w:vertAlign w:val="baseline"/>
                <w:lang w:val="en-US" w:eastAsia="zh-CN"/>
              </w:rPr>
              <w:t>1</w:t>
            </w:r>
          </w:p>
        </w:tc>
        <w:tc>
          <w:tcPr>
            <w:tcW w:w="1320" w:type="dxa"/>
          </w:tcPr>
          <w:p w14:paraId="704CBBE1">
            <w:pPr>
              <w:jc w:val="center"/>
              <w:rPr>
                <w:rFonts w:hint="eastAsia"/>
                <w:vertAlign w:val="baseline"/>
              </w:rPr>
            </w:pPr>
            <w:r>
              <w:rPr>
                <w:rFonts w:hint="eastAsia"/>
                <w:vertAlign w:val="baseline"/>
              </w:rPr>
              <w:t>科技主体幼儿园主体框架</w:t>
            </w:r>
          </w:p>
        </w:tc>
        <w:tc>
          <w:tcPr>
            <w:tcW w:w="10470" w:type="dxa"/>
          </w:tcPr>
          <w:p w14:paraId="13022D40">
            <w:pPr>
              <w:spacing w:line="240" w:lineRule="auto"/>
              <w:jc w:val="left"/>
              <w:rPr>
                <w:rFonts w:hint="eastAsia"/>
                <w:sz w:val="18"/>
                <w:szCs w:val="21"/>
                <w:vertAlign w:val="baseline"/>
              </w:rPr>
            </w:pPr>
            <w:r>
              <w:rPr>
                <w:rFonts w:hint="eastAsia"/>
                <w:sz w:val="18"/>
                <w:szCs w:val="21"/>
                <w:vertAlign w:val="baseline"/>
              </w:rPr>
              <w:t>1、主体占地面积约190平方</w:t>
            </w:r>
          </w:p>
          <w:p w14:paraId="44C16940">
            <w:pPr>
              <w:spacing w:line="240" w:lineRule="auto"/>
              <w:jc w:val="left"/>
              <w:rPr>
                <w:rFonts w:hint="eastAsia"/>
                <w:sz w:val="18"/>
                <w:szCs w:val="21"/>
                <w:vertAlign w:val="baseline"/>
              </w:rPr>
            </w:pPr>
            <w:r>
              <w:rPr>
                <w:rFonts w:hint="eastAsia"/>
                <w:sz w:val="18"/>
                <w:szCs w:val="21"/>
                <w:vertAlign w:val="baseline"/>
              </w:rPr>
              <w:t>2、主体框架采用≥50*100mm，厚度≥2.5mm镀锌钢管定制，立柱部分使用≥114mm厚度2.5mm镀锌钢管，辅助管材≥40*60mm厚度≥2.2mm镀锌矩形管，栏杆≥φ38*2.0mm，热镀锌钢管和扣件连接工艺，产品铁件经整体加工成型后经除油、除锈、中和、磷化、钝化、抛丸等前处理,表面平滑，不易生锈。表面喷涂户外环保聚酯粉末涂料，抗紫外线，色泽艳丽，不易脱落，日久弥新；喷涂设备采用计算机控制的静电粉末喷涂装置，粉末回收采用小旋风和进口滤心，高效率、无污染。</w:t>
            </w:r>
          </w:p>
          <w:p w14:paraId="7EDAC7E0">
            <w:pPr>
              <w:spacing w:line="240" w:lineRule="auto"/>
              <w:jc w:val="left"/>
              <w:rPr>
                <w:rFonts w:hint="eastAsia"/>
                <w:sz w:val="18"/>
                <w:szCs w:val="21"/>
                <w:vertAlign w:val="baseline"/>
              </w:rPr>
            </w:pPr>
            <w:r>
              <w:rPr>
                <w:rFonts w:hint="eastAsia"/>
                <w:sz w:val="18"/>
                <w:szCs w:val="21"/>
                <w:vertAlign w:val="baseline"/>
              </w:rPr>
              <w:t>3、平台铺设厚度≥23mm共挤实心塑木板。塑木的特点：防水、防潮、耐候——根本上解决了木制产品在潮湿多水环境中易腐烂和膨胀变形的问题，用于室外耐候性良好。防虫、防白蚁——有效杜绝虫类骚扰。产品使用寿命长，可重复使用多次。</w:t>
            </w:r>
          </w:p>
          <w:p w14:paraId="7CB302E1">
            <w:pPr>
              <w:spacing w:line="240" w:lineRule="auto"/>
              <w:jc w:val="left"/>
              <w:rPr>
                <w:rFonts w:hint="eastAsia"/>
                <w:sz w:val="18"/>
                <w:szCs w:val="21"/>
                <w:vertAlign w:val="baseline"/>
              </w:rPr>
            </w:pPr>
            <w:r>
              <w:rPr>
                <w:rFonts w:hint="eastAsia"/>
                <w:sz w:val="18"/>
                <w:szCs w:val="21"/>
                <w:vertAlign w:val="baseline"/>
              </w:rPr>
              <w:t>整体无毒无味，增加趣味性；打造创意、冒险、趣味游玩栈道，在游戏中探索、发现、计划、思考，带来人间乐园般的享受；</w:t>
            </w:r>
          </w:p>
          <w:p w14:paraId="4B905AD4">
            <w:pPr>
              <w:spacing w:line="240" w:lineRule="auto"/>
              <w:jc w:val="left"/>
              <w:rPr>
                <w:rFonts w:hint="eastAsia"/>
                <w:sz w:val="18"/>
                <w:szCs w:val="21"/>
                <w:vertAlign w:val="baseline"/>
              </w:rPr>
            </w:pPr>
            <w:r>
              <w:rPr>
                <w:rFonts w:hint="eastAsia"/>
                <w:sz w:val="18"/>
                <w:szCs w:val="21"/>
                <w:vertAlign w:val="baseline"/>
              </w:rPr>
              <w:t>（1）检测标准应依照：GB/T11253-2019《碳素结构钢冷轧钢板及钢带》要求检测，检测内容至少包含：1.化学成分：①碳C≤0.12%、②硅Si≤0.30%、③锰Mn≤0.035%、④磷P≤0.035%、⑤硫S≤0.035%、⑥镍Ni≤0.30%、⑦铜Cu≤0.30%、⑧铬Cr≤0.30%；2.力学性能：①下屈服强度ReL≥235MPa、②抗拉强度370-500MPa、③断后伸长率≧20%，检测项目均应为合格。</w:t>
            </w:r>
          </w:p>
          <w:p w14:paraId="26A79A44">
            <w:pPr>
              <w:spacing w:line="240" w:lineRule="auto"/>
              <w:jc w:val="left"/>
              <w:rPr>
                <w:rFonts w:hint="eastAsia"/>
                <w:sz w:val="18"/>
                <w:szCs w:val="21"/>
                <w:vertAlign w:val="baseline"/>
              </w:rPr>
            </w:pPr>
            <w:r>
              <w:rPr>
                <w:rFonts w:hint="eastAsia"/>
                <w:sz w:val="18"/>
                <w:szCs w:val="21"/>
                <w:vertAlign w:val="baseline"/>
              </w:rPr>
              <w:t>（2）检测标准应依照：GB/T1865-2009《色漆和清漆 人工气候老化和人工辐射曝露 滤过的氙弧辐射》、GB/T1766-2008《色漆和清漆 涂层老化的评级方法》 要求检测，检测内容应包含：耐人工气候老化性360h，（①起泡等级达到0级，②生锈等级达到0级，③开裂等级达到0级，④剥落等级达到O级）。</w:t>
            </w:r>
          </w:p>
          <w:p w14:paraId="687C8D9D">
            <w:pPr>
              <w:spacing w:line="240" w:lineRule="auto"/>
              <w:jc w:val="left"/>
              <w:rPr>
                <w:rFonts w:hint="eastAsia"/>
                <w:sz w:val="18"/>
                <w:szCs w:val="21"/>
                <w:vertAlign w:val="baseline"/>
              </w:rPr>
            </w:pPr>
            <w:r>
              <w:rPr>
                <w:rFonts w:hint="eastAsia"/>
                <w:sz w:val="18"/>
                <w:szCs w:val="21"/>
                <w:vertAlign w:val="baseline"/>
              </w:rPr>
              <w:t>（3）检测标准应依照：GB/T10125-2021《人造气氛腐蚀试验 盐雾试验》要求检测，检测内容应包含：中性盐雾试验，8000h，要求至少满足如下：试验溶液NaC150g/1、喷雾箱温度35℃、饱和压力桶温度47℃、盐雾沉降量1.28mL/80cm2/h、PH值7.0、连续喷雾、样品与垂直方向呈20°角，试验时间8000h,测试后，表面应无严重分化现象，10级。</w:t>
            </w:r>
          </w:p>
          <w:p w14:paraId="3C20B261">
            <w:pPr>
              <w:spacing w:line="240" w:lineRule="auto"/>
              <w:jc w:val="left"/>
              <w:rPr>
                <w:rFonts w:hint="eastAsia"/>
                <w:sz w:val="18"/>
                <w:szCs w:val="21"/>
                <w:vertAlign w:val="baseline"/>
              </w:rPr>
            </w:pPr>
            <w:r>
              <w:rPr>
                <w:rFonts w:hint="eastAsia"/>
                <w:sz w:val="18"/>
                <w:szCs w:val="21"/>
                <w:vertAlign w:val="baseline"/>
              </w:rPr>
              <w:t>（4）检测标准应依照：GB/T13298-2015《金属显微组织检验方法》要求检测，检测内容应包含：金属显微组织，要求至少满足如下：单相黄铜组织，为锌溶于铜中的a固溶体等轴组织，有的晶粒含有孪晶。</w:t>
            </w:r>
          </w:p>
          <w:p w14:paraId="30B2C76F">
            <w:pPr>
              <w:spacing w:line="240" w:lineRule="auto"/>
              <w:jc w:val="left"/>
              <w:rPr>
                <w:rFonts w:hint="eastAsia"/>
                <w:vertAlign w:val="baseline"/>
              </w:rPr>
            </w:pPr>
            <w:r>
              <w:rPr>
                <w:rFonts w:hint="eastAsia"/>
                <w:sz w:val="18"/>
                <w:szCs w:val="21"/>
                <w:vertAlign w:val="baseline"/>
              </w:rPr>
              <w:t>▲投标时提供带CMA或CNAS标识的第三方检测机构出具的检测报告扫描件佐证“镀锌管技术参数要求中符合（1）-（4）项内容要求”，检测报告需支持座机电话或400电话查询，并提供检测机构网址查询及截图。</w:t>
            </w:r>
          </w:p>
        </w:tc>
        <w:tc>
          <w:tcPr>
            <w:tcW w:w="795" w:type="dxa"/>
          </w:tcPr>
          <w:p w14:paraId="5F171CCC">
            <w:pPr>
              <w:jc w:val="center"/>
              <w:rPr>
                <w:rFonts w:hint="eastAsia"/>
                <w:vertAlign w:val="baseline"/>
              </w:rPr>
            </w:pPr>
            <w:r>
              <w:rPr>
                <w:rFonts w:hint="eastAsia"/>
                <w:vertAlign w:val="baseline"/>
              </w:rPr>
              <w:t>平方</w:t>
            </w:r>
          </w:p>
        </w:tc>
        <w:tc>
          <w:tcPr>
            <w:tcW w:w="794" w:type="dxa"/>
          </w:tcPr>
          <w:p w14:paraId="5155D497">
            <w:pPr>
              <w:jc w:val="center"/>
              <w:rPr>
                <w:rFonts w:hint="eastAsia"/>
                <w:vertAlign w:val="baseline"/>
              </w:rPr>
            </w:pPr>
            <w:r>
              <w:rPr>
                <w:rFonts w:hint="eastAsia"/>
                <w:vertAlign w:val="baseline"/>
              </w:rPr>
              <w:t>190</w:t>
            </w:r>
          </w:p>
        </w:tc>
      </w:tr>
      <w:tr w14:paraId="1CC52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4174" w:type="dxa"/>
            <w:gridSpan w:val="5"/>
          </w:tcPr>
          <w:p w14:paraId="4BCF166B">
            <w:pPr>
              <w:rPr>
                <w:rFonts w:hint="eastAsia"/>
                <w:vertAlign w:val="baseline"/>
              </w:rPr>
            </w:pPr>
            <w:r>
              <w:rPr>
                <w:rFonts w:hint="eastAsia"/>
                <w:vertAlign w:val="baseline"/>
              </w:rPr>
              <w:t>注：1.木工坊位置处约有92.5平方米绿化地面需要硬化后并进行软化，移水井一个，5个洗手池，商家自己计算工程量。</w:t>
            </w:r>
          </w:p>
        </w:tc>
      </w:tr>
      <w:tr w14:paraId="196B8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2" w:hRule="atLeast"/>
        </w:trPr>
        <w:tc>
          <w:tcPr>
            <w:tcW w:w="14174" w:type="dxa"/>
            <w:gridSpan w:val="5"/>
          </w:tcPr>
          <w:p w14:paraId="489DB4DC">
            <w:pPr>
              <w:rPr>
                <w:rFonts w:hint="eastAsia"/>
                <w:vertAlign w:val="baseline"/>
              </w:rPr>
            </w:pPr>
            <w:r>
              <w:rPr>
                <w:rFonts w:hint="eastAsia" w:eastAsiaTheme="minorEastAsia"/>
                <w:vertAlign w:val="baseline"/>
                <w:lang w:eastAsia="zh-CN"/>
              </w:rPr>
              <w:drawing>
                <wp:anchor distT="0" distB="0" distL="114300" distR="114300" simplePos="0" relativeHeight="251659264" behindDoc="1" locked="0" layoutInCell="1" allowOverlap="1">
                  <wp:simplePos x="0" y="0"/>
                  <wp:positionH relativeFrom="column">
                    <wp:posOffset>161925</wp:posOffset>
                  </wp:positionH>
                  <wp:positionV relativeFrom="paragraph">
                    <wp:posOffset>167640</wp:posOffset>
                  </wp:positionV>
                  <wp:extent cx="8595360" cy="4855845"/>
                  <wp:effectExtent l="0" t="0" r="15240" b="1905"/>
                  <wp:wrapNone/>
                  <wp:docPr id="9" name="图片 9" descr="bf9e54f8-df78-4f98-bd24-5b673395ec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f9e54f8-df78-4f98-bd24-5b673395eca8"/>
                          <pic:cNvPicPr>
                            <a:picLocks noChangeAspect="1"/>
                          </pic:cNvPicPr>
                        </pic:nvPicPr>
                        <pic:blipFill>
                          <a:blip r:embed="rId11"/>
                          <a:stretch>
                            <a:fillRect/>
                          </a:stretch>
                        </pic:blipFill>
                        <pic:spPr>
                          <a:xfrm>
                            <a:off x="0" y="0"/>
                            <a:ext cx="8595360" cy="4855845"/>
                          </a:xfrm>
                          <a:prstGeom prst="rect">
                            <a:avLst/>
                          </a:prstGeom>
                        </pic:spPr>
                      </pic:pic>
                    </a:graphicData>
                  </a:graphic>
                </wp:anchor>
              </w:drawing>
            </w:r>
          </w:p>
          <w:p w14:paraId="5A7847F2">
            <w:pPr>
              <w:rPr>
                <w:rFonts w:hint="eastAsia" w:eastAsiaTheme="minorEastAsia"/>
                <w:vertAlign w:val="baseline"/>
                <w:lang w:eastAsia="zh-CN"/>
              </w:rPr>
            </w:pPr>
          </w:p>
        </w:tc>
      </w:tr>
    </w:tbl>
    <w:p w14:paraId="7EEB39FB">
      <w:pPr>
        <w:jc w:val="center"/>
        <w:rPr>
          <w:rFonts w:hint="eastAsia"/>
        </w:rPr>
      </w:pPr>
      <w:r>
        <w:rPr>
          <w:rFonts w:hint="eastAsia"/>
          <w:b/>
          <w:bCs/>
        </w:rPr>
        <w:t>大型游乐设施明细清单</w:t>
      </w:r>
      <w:r>
        <w:rPr>
          <w:rFonts w:hint="eastAsia"/>
          <w:b/>
          <w:bCs/>
          <w:snapToGrid w:val="0"/>
          <w:color w:val="auto"/>
          <w:sz w:val="24"/>
          <w:szCs w:val="24"/>
          <w:highlight w:val="none"/>
          <w:lang w:val="en-US" w:eastAsia="zh-CN"/>
        </w:rPr>
        <w:t>“★”</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1275"/>
        <w:gridCol w:w="10470"/>
        <w:gridCol w:w="795"/>
        <w:gridCol w:w="794"/>
      </w:tblGrid>
      <w:tr w14:paraId="301B6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tcPr>
          <w:p w14:paraId="73DFE81A">
            <w:pPr>
              <w:jc w:val="center"/>
              <w:rPr>
                <w:rFonts w:hint="eastAsia"/>
                <w:vertAlign w:val="baseline"/>
              </w:rPr>
            </w:pPr>
            <w:r>
              <w:rPr>
                <w:rFonts w:hint="eastAsia"/>
                <w:vertAlign w:val="baseline"/>
              </w:rPr>
              <w:t>序号</w:t>
            </w:r>
          </w:p>
        </w:tc>
        <w:tc>
          <w:tcPr>
            <w:tcW w:w="1275" w:type="dxa"/>
          </w:tcPr>
          <w:p w14:paraId="665DA468">
            <w:pPr>
              <w:jc w:val="center"/>
              <w:rPr>
                <w:rFonts w:hint="eastAsia"/>
                <w:vertAlign w:val="baseline"/>
              </w:rPr>
            </w:pPr>
            <w:r>
              <w:rPr>
                <w:rFonts w:hint="eastAsia"/>
                <w:vertAlign w:val="baseline"/>
              </w:rPr>
              <w:t>产品名称</w:t>
            </w:r>
          </w:p>
        </w:tc>
        <w:tc>
          <w:tcPr>
            <w:tcW w:w="10470" w:type="dxa"/>
          </w:tcPr>
          <w:p w14:paraId="77DEF2E0">
            <w:pPr>
              <w:jc w:val="center"/>
              <w:rPr>
                <w:rFonts w:hint="eastAsia"/>
                <w:vertAlign w:val="baseline"/>
              </w:rPr>
            </w:pPr>
            <w:r>
              <w:rPr>
                <w:rFonts w:hint="eastAsia"/>
                <w:vertAlign w:val="baseline"/>
              </w:rPr>
              <w:t>备注</w:t>
            </w:r>
          </w:p>
        </w:tc>
        <w:tc>
          <w:tcPr>
            <w:tcW w:w="795" w:type="dxa"/>
          </w:tcPr>
          <w:p w14:paraId="1F4F3423">
            <w:pPr>
              <w:jc w:val="center"/>
              <w:rPr>
                <w:rFonts w:hint="eastAsia"/>
                <w:vertAlign w:val="baseline"/>
              </w:rPr>
            </w:pPr>
            <w:r>
              <w:rPr>
                <w:rFonts w:hint="eastAsia"/>
                <w:vertAlign w:val="baseline"/>
              </w:rPr>
              <w:t>单位</w:t>
            </w:r>
          </w:p>
        </w:tc>
        <w:tc>
          <w:tcPr>
            <w:tcW w:w="794" w:type="dxa"/>
          </w:tcPr>
          <w:p w14:paraId="6980299A">
            <w:pPr>
              <w:jc w:val="center"/>
              <w:rPr>
                <w:rFonts w:hint="eastAsia"/>
                <w:vertAlign w:val="baseline"/>
              </w:rPr>
            </w:pPr>
            <w:r>
              <w:rPr>
                <w:rFonts w:hint="eastAsia"/>
                <w:vertAlign w:val="baseline"/>
              </w:rPr>
              <w:t>数量</w:t>
            </w:r>
          </w:p>
        </w:tc>
      </w:tr>
      <w:tr w14:paraId="127E1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40" w:type="dxa"/>
          </w:tcPr>
          <w:p w14:paraId="2EC9ED39">
            <w:pPr>
              <w:jc w:val="center"/>
              <w:rPr>
                <w:rFonts w:hint="eastAsia" w:eastAsiaTheme="minorEastAsia"/>
                <w:vertAlign w:val="baseline"/>
                <w:lang w:val="en-US" w:eastAsia="zh-CN"/>
              </w:rPr>
            </w:pPr>
            <w:r>
              <w:rPr>
                <w:rFonts w:hint="eastAsia"/>
                <w:vertAlign w:val="baseline"/>
                <w:lang w:val="en-US" w:eastAsia="zh-CN"/>
              </w:rPr>
              <w:t>1</w:t>
            </w:r>
          </w:p>
        </w:tc>
        <w:tc>
          <w:tcPr>
            <w:tcW w:w="1275" w:type="dxa"/>
          </w:tcPr>
          <w:p w14:paraId="3DC91E57">
            <w:pPr>
              <w:jc w:val="center"/>
              <w:rPr>
                <w:rFonts w:hint="eastAsia"/>
                <w:vertAlign w:val="baseline"/>
              </w:rPr>
            </w:pPr>
            <w:r>
              <w:rPr>
                <w:rFonts w:hint="eastAsia"/>
                <w:vertAlign w:val="baseline"/>
              </w:rPr>
              <w:t>入口小房子造型</w:t>
            </w:r>
          </w:p>
        </w:tc>
        <w:tc>
          <w:tcPr>
            <w:tcW w:w="10470" w:type="dxa"/>
          </w:tcPr>
          <w:p w14:paraId="12DD7425">
            <w:pPr>
              <w:spacing w:line="240" w:lineRule="auto"/>
              <w:jc w:val="left"/>
              <w:rPr>
                <w:rFonts w:hint="eastAsia"/>
                <w:sz w:val="18"/>
                <w:szCs w:val="21"/>
                <w:vertAlign w:val="baseline"/>
              </w:rPr>
            </w:pPr>
            <w:r>
              <w:rPr>
                <w:rFonts w:hint="eastAsia"/>
                <w:sz w:val="18"/>
                <w:szCs w:val="21"/>
                <w:vertAlign w:val="baseline"/>
              </w:rPr>
              <w:t>1、主体尺寸300*180*180CM</w:t>
            </w:r>
          </w:p>
          <w:p w14:paraId="6BFA5235">
            <w:pPr>
              <w:spacing w:line="240" w:lineRule="auto"/>
              <w:jc w:val="left"/>
              <w:rPr>
                <w:rFonts w:hint="eastAsia"/>
                <w:sz w:val="18"/>
                <w:szCs w:val="21"/>
                <w:vertAlign w:val="baseline"/>
              </w:rPr>
            </w:pPr>
            <w:r>
              <w:rPr>
                <w:rFonts w:hint="eastAsia"/>
                <w:sz w:val="18"/>
                <w:szCs w:val="21"/>
                <w:vertAlign w:val="baseline"/>
              </w:rPr>
              <w:t>2、主要材料≥80*60*1.8mm镀锌钢管，管弯折焊接而成，热镀锌钢管和扣件连接工艺，产品铁件经整体加工成型后经除油、除锈、中和、磷化、钝化、抛丸等前处理,表面平滑，不易生锈。表面喷涂户外环保聚酯粉末涂料，抗紫外线，色泽艳丽，不易脱落，日久弥新；喷涂设备采用计算机控制的静电粉末喷涂装置，粉末回收采用小旋风和进口滤心，高效率、无污染。</w:t>
            </w:r>
          </w:p>
          <w:p w14:paraId="22661E00">
            <w:pPr>
              <w:spacing w:line="240" w:lineRule="auto"/>
              <w:jc w:val="left"/>
              <w:rPr>
                <w:rFonts w:hint="eastAsia"/>
                <w:sz w:val="18"/>
                <w:szCs w:val="21"/>
                <w:vertAlign w:val="baseline"/>
              </w:rPr>
            </w:pPr>
            <w:r>
              <w:rPr>
                <w:rFonts w:hint="eastAsia"/>
                <w:sz w:val="18"/>
                <w:szCs w:val="21"/>
                <w:vertAlign w:val="baseline"/>
              </w:rPr>
              <w:t>3、外表面铺设厚度≥18MM防腐木，表面处理：进行压、刨、铣、冲等处理后，表面刷面饰木纹漆进行防腐、防蛀处理。</w:t>
            </w:r>
          </w:p>
          <w:p w14:paraId="51454A44">
            <w:pPr>
              <w:spacing w:line="240" w:lineRule="auto"/>
              <w:jc w:val="left"/>
              <w:rPr>
                <w:rFonts w:hint="eastAsia"/>
                <w:sz w:val="18"/>
                <w:szCs w:val="21"/>
                <w:vertAlign w:val="baseline"/>
              </w:rPr>
            </w:pPr>
            <w:r>
              <w:rPr>
                <w:rFonts w:hint="eastAsia"/>
                <w:sz w:val="18"/>
                <w:szCs w:val="21"/>
                <w:vertAlign w:val="baseline"/>
              </w:rPr>
              <w:t>4、螺丝均采用不锈钢304#材质防盗螺丝，并采用螺栓连接，牢固可靠，不易松动脱落及变形和损坏。</w:t>
            </w:r>
          </w:p>
          <w:p w14:paraId="491A882C">
            <w:pPr>
              <w:spacing w:line="240" w:lineRule="auto"/>
              <w:jc w:val="left"/>
              <w:rPr>
                <w:rFonts w:hint="eastAsia"/>
                <w:sz w:val="18"/>
                <w:szCs w:val="21"/>
                <w:vertAlign w:val="baseline"/>
              </w:rPr>
            </w:pPr>
            <w:r>
              <w:rPr>
                <w:rFonts w:hint="eastAsia"/>
                <w:sz w:val="18"/>
                <w:szCs w:val="21"/>
                <w:vertAlign w:val="baseline"/>
              </w:rPr>
              <w:t>5、产品外表和内表以及儿童手指可触及处无毛刺及尖锐的棱角，油漆采用户外哑光漆 。</w:t>
            </w:r>
          </w:p>
          <w:p w14:paraId="3C0408B8">
            <w:pPr>
              <w:spacing w:line="240" w:lineRule="auto"/>
              <w:jc w:val="left"/>
              <w:rPr>
                <w:rFonts w:hint="eastAsia"/>
                <w:sz w:val="18"/>
                <w:szCs w:val="21"/>
                <w:vertAlign w:val="baseline"/>
              </w:rPr>
            </w:pPr>
            <w:r>
              <w:rPr>
                <w:rFonts w:hint="eastAsia"/>
                <w:sz w:val="18"/>
                <w:szCs w:val="21"/>
                <w:vertAlign w:val="baseline"/>
              </w:rPr>
              <w:t>（1）检测标准应依照：GB 6675.4-2014《玩具安全第4部分：特定元素的迁移》要求检测，检测内容应包含：锑(Sb)≤60mg/kg、砷(As)≤25mg/kg、钡(Ba)≤1000mg/kg、镉(Cd)≤75mg/kg、铬(Cr)≤60mg/kg、铅(Pb)≤90mg/kg、汞(Hg)≤60mg/kg、硒(Se)≤500mg/kg。</w:t>
            </w:r>
          </w:p>
          <w:p w14:paraId="7AB48D62">
            <w:pPr>
              <w:spacing w:line="240" w:lineRule="auto"/>
              <w:jc w:val="left"/>
              <w:rPr>
                <w:rFonts w:hint="eastAsia"/>
                <w:sz w:val="18"/>
                <w:szCs w:val="21"/>
                <w:vertAlign w:val="baseline"/>
              </w:rPr>
            </w:pPr>
            <w:r>
              <w:rPr>
                <w:rFonts w:hint="eastAsia"/>
                <w:sz w:val="18"/>
                <w:szCs w:val="21"/>
                <w:vertAlign w:val="baseline"/>
              </w:rPr>
              <w:t>（2）检测标准应依照：GB/T1927.4-2021《无疵小试样木材物理力学性质试验方法第4部分：含水率测定》要求检测，检测内容应包含：含水率(%)&lt;12% 。</w:t>
            </w:r>
          </w:p>
          <w:p w14:paraId="54FCB23E">
            <w:pPr>
              <w:spacing w:line="240" w:lineRule="auto"/>
              <w:jc w:val="left"/>
              <w:rPr>
                <w:rFonts w:hint="eastAsia"/>
                <w:sz w:val="18"/>
                <w:szCs w:val="21"/>
                <w:vertAlign w:val="baseline"/>
              </w:rPr>
            </w:pPr>
            <w:r>
              <w:rPr>
                <w:rFonts w:hint="eastAsia"/>
                <w:sz w:val="18"/>
                <w:szCs w:val="21"/>
                <w:vertAlign w:val="baseline"/>
              </w:rPr>
              <w:t>（3）检测标准应依照：GB/T35241-2017《木质制品用紫外光固化涂料挥发物含量的检测方法》要求检测，检测内容应包含：UV紫外老化：测试后，样品表面应无明显的变 色、开裂、变形等现象。</w:t>
            </w:r>
          </w:p>
          <w:p w14:paraId="699B217D">
            <w:pPr>
              <w:spacing w:line="240" w:lineRule="auto"/>
              <w:jc w:val="left"/>
              <w:rPr>
                <w:rFonts w:hint="eastAsia"/>
                <w:sz w:val="18"/>
                <w:szCs w:val="21"/>
                <w:vertAlign w:val="baseline"/>
              </w:rPr>
            </w:pPr>
            <w:r>
              <w:rPr>
                <w:rFonts w:hint="eastAsia"/>
                <w:sz w:val="18"/>
                <w:szCs w:val="21"/>
                <w:vertAlign w:val="baseline"/>
              </w:rPr>
              <w:t>（4）检测标准应依照：GB/T36797-2018《装修防开裂用环氧树脂接缝胶》要求检测，检测内容应包含：防开裂：达到0级，应无明显可见开裂。</w:t>
            </w:r>
          </w:p>
          <w:p w14:paraId="641A41BB">
            <w:pPr>
              <w:spacing w:line="240" w:lineRule="auto"/>
              <w:jc w:val="left"/>
              <w:rPr>
                <w:rFonts w:hint="eastAsia"/>
                <w:sz w:val="18"/>
                <w:szCs w:val="21"/>
                <w:vertAlign w:val="baseline"/>
              </w:rPr>
            </w:pPr>
            <w:r>
              <w:rPr>
                <w:rFonts w:hint="eastAsia"/>
                <w:sz w:val="18"/>
                <w:szCs w:val="21"/>
                <w:vertAlign w:val="baseline"/>
              </w:rPr>
              <w:t>（5）检测标准应依照：GB/T2423.51-2020《环境试验 第2部分：试验方法 试验Ke：流动混合气体腐蚀试验》要求检测，检测内容应包含：流动混合气体腐蚀：温度25℃，湿度75%，气体浓度(ppb):Cl2:10、NO2:200、H2S:10、SO2:200，气体每小时体积更换数：8测试周期：24h，外观无可见变化，质量变化&lt;2g。</w:t>
            </w:r>
          </w:p>
          <w:p w14:paraId="55BC790F">
            <w:pPr>
              <w:spacing w:line="240" w:lineRule="auto"/>
              <w:jc w:val="left"/>
              <w:rPr>
                <w:rFonts w:hint="eastAsia"/>
                <w:sz w:val="18"/>
                <w:szCs w:val="21"/>
                <w:vertAlign w:val="baseline"/>
              </w:rPr>
            </w:pPr>
            <w:r>
              <w:rPr>
                <w:rFonts w:hint="eastAsia"/>
                <w:sz w:val="18"/>
                <w:szCs w:val="21"/>
                <w:vertAlign w:val="baseline"/>
              </w:rPr>
              <w:t>（6）检测标准应依照：JC/T2039-2010《抗菌防霉木质装饰板》要求检测，检测内容应包含：抗菌性能：抗细菌率要求，宋氏志贺氏菌≥90.00%、白色葡萄球菌≥90.00%、类肠球菌≥90.00%、耐甲氧西林金黄色葡萄球菌≥90.00%、单核细胞增生李斯特氏菌≥90.00%、变异库克菌≥90.00%、溶血性链球菌≥90.00%、大肠杆菌≥90.00%、肺炎克雷伯氏菌≥90.00%、鼠伤寒沙门氏菌≥90.00%、铜绿假单胞菌≥90.00%、金黄色葡萄球菌≥90.00%、表皮葡萄球菌≥90.00%、白色念珠菌≥90.00%、产气肠杆菌≥90.00%、大肠埃希菌≥90.00%，防霉性能：防霉质量等级，黑曲霉、土曲霉、宛氏拟青霉、绳状青霉、出芽短梗霉、球毛壳、桔青霉、黄曲霉、绿色木霉、杂色曲霉、要求符合：0级。</w:t>
            </w:r>
          </w:p>
          <w:p w14:paraId="749E2165">
            <w:pPr>
              <w:spacing w:line="240" w:lineRule="auto"/>
              <w:jc w:val="left"/>
              <w:rPr>
                <w:rFonts w:hint="eastAsia"/>
                <w:sz w:val="18"/>
                <w:szCs w:val="21"/>
                <w:vertAlign w:val="baseline"/>
              </w:rPr>
            </w:pPr>
            <w:r>
              <w:rPr>
                <w:rFonts w:hint="eastAsia"/>
                <w:sz w:val="18"/>
                <w:szCs w:val="21"/>
                <w:vertAlign w:val="baseline"/>
              </w:rPr>
              <w:t>（7）检测标准应依照：GB/T22102-2008《防腐木材》要求检测，检测内容应包含：防腐等级≥cl级</w:t>
            </w:r>
          </w:p>
          <w:p w14:paraId="62963419">
            <w:pPr>
              <w:spacing w:line="240" w:lineRule="auto"/>
              <w:jc w:val="left"/>
              <w:rPr>
                <w:rFonts w:hint="eastAsia"/>
                <w:sz w:val="18"/>
                <w:szCs w:val="21"/>
                <w:vertAlign w:val="baseline"/>
              </w:rPr>
            </w:pPr>
            <w:r>
              <w:rPr>
                <w:rFonts w:hint="eastAsia"/>
                <w:sz w:val="18"/>
                <w:szCs w:val="21"/>
                <w:vertAlign w:val="baseline"/>
              </w:rPr>
              <w:t>（8）检测标准应依照：GB/T1768-2006《色漆和清漆耐磨性的测定 旋转橡胶砂轮法》要求检测，检测内容应包含：手动摩擦测试、测试条件：行程：40mm 摩擦速度：60mm/s、摩头外圈直径：020mm、摩擦介质：ABR-2050-01E、负载：1N、摩擦、重量损失(mg)≤0.5g，耐旋转磨耗。</w:t>
            </w:r>
          </w:p>
          <w:p w14:paraId="4F516217">
            <w:pPr>
              <w:spacing w:line="240" w:lineRule="auto"/>
              <w:jc w:val="left"/>
              <w:rPr>
                <w:rFonts w:hint="eastAsia"/>
                <w:sz w:val="18"/>
                <w:szCs w:val="21"/>
                <w:vertAlign w:val="baseline"/>
              </w:rPr>
            </w:pPr>
            <w:r>
              <w:rPr>
                <w:rFonts w:hint="eastAsia"/>
                <w:sz w:val="18"/>
                <w:szCs w:val="21"/>
                <w:vertAlign w:val="baseline"/>
              </w:rPr>
              <w:t>★投标时提供带CMA或CNAS标识的第三方检测机构出具的检测报告扫描件佐证“防腐木技术参数要求中符合（1）-（9）项内容要求”，检测报告需支持座机电话或400电话查询，并提供检测机构网址查询及截图。</w:t>
            </w:r>
          </w:p>
          <w:p w14:paraId="1D0A594D">
            <w:pPr>
              <w:spacing w:line="240" w:lineRule="auto"/>
              <w:jc w:val="left"/>
              <w:rPr>
                <w:rFonts w:hint="eastAsia"/>
                <w:sz w:val="18"/>
                <w:szCs w:val="21"/>
                <w:vertAlign w:val="baseline"/>
              </w:rPr>
            </w:pPr>
            <w:r>
              <w:rPr>
                <w:rFonts w:hint="eastAsia"/>
                <w:sz w:val="18"/>
                <w:szCs w:val="21"/>
                <w:vertAlign w:val="baseline"/>
              </w:rPr>
              <w:t>6、配套玩具：</w:t>
            </w:r>
          </w:p>
          <w:p w14:paraId="41D38435">
            <w:pPr>
              <w:spacing w:line="240" w:lineRule="auto"/>
              <w:jc w:val="left"/>
              <w:rPr>
                <w:rFonts w:hint="eastAsia"/>
                <w:sz w:val="18"/>
                <w:szCs w:val="21"/>
                <w:vertAlign w:val="baseline"/>
              </w:rPr>
            </w:pPr>
            <w:r>
              <w:rPr>
                <w:rFonts w:hint="eastAsia"/>
                <w:sz w:val="18"/>
                <w:szCs w:val="21"/>
                <w:vertAlign w:val="baseline"/>
              </w:rPr>
              <w:t>A、举重器*1套</w:t>
            </w:r>
          </w:p>
          <w:p w14:paraId="7F19B9BE">
            <w:pPr>
              <w:spacing w:line="240" w:lineRule="auto"/>
              <w:jc w:val="left"/>
              <w:rPr>
                <w:rFonts w:hint="eastAsia"/>
                <w:sz w:val="18"/>
                <w:szCs w:val="21"/>
                <w:vertAlign w:val="baseline"/>
              </w:rPr>
            </w:pPr>
            <w:r>
              <w:rPr>
                <w:rFonts w:hint="eastAsia"/>
                <w:sz w:val="18"/>
                <w:szCs w:val="21"/>
                <w:vertAlign w:val="baseline"/>
              </w:rPr>
              <w:t>1、规格（允许偏离值±5%）：直径30*9cm；</w:t>
            </w:r>
          </w:p>
          <w:p w14:paraId="5646E1B3">
            <w:pPr>
              <w:spacing w:line="240" w:lineRule="auto"/>
              <w:jc w:val="left"/>
              <w:rPr>
                <w:rFonts w:hint="eastAsia"/>
                <w:sz w:val="18"/>
                <w:szCs w:val="21"/>
                <w:vertAlign w:val="baseline"/>
              </w:rPr>
            </w:pPr>
            <w:r>
              <w:rPr>
                <w:rFonts w:hint="eastAsia"/>
                <w:sz w:val="18"/>
                <w:szCs w:val="21"/>
                <w:vertAlign w:val="baseline"/>
              </w:rPr>
              <w:t>2、重量约200克；</w:t>
            </w:r>
          </w:p>
          <w:p w14:paraId="5F0F0488">
            <w:pPr>
              <w:spacing w:line="240" w:lineRule="auto"/>
              <w:jc w:val="left"/>
              <w:rPr>
                <w:rFonts w:hint="eastAsia"/>
                <w:sz w:val="18"/>
                <w:szCs w:val="21"/>
                <w:vertAlign w:val="baseline"/>
              </w:rPr>
            </w:pPr>
            <w:r>
              <w:rPr>
                <w:rFonts w:hint="eastAsia"/>
                <w:sz w:val="18"/>
                <w:szCs w:val="21"/>
                <w:vertAlign w:val="baseline"/>
              </w:rPr>
              <w:t xml:space="preserve">3、材质：采用工程塑料，滚塑成型，结实耐用，此产品可以在室内或室外使用，适用年龄建议在 2-8岁儿童使用,颜色搭配方面比较靓，款形新颖耐用，应符合：GB6675.1-2014《玩具安全 第1部分：基本规范》、GB6675.2-2014《玩具安全 第2部分：机械与物理性能》、GB6675.3-2014《玩具安全 第3部分：易燃性能》、GB6675.4-2014《玩具安全 第4部分：特定元素的迁移》要求。 </w:t>
            </w:r>
          </w:p>
          <w:p w14:paraId="677575F8">
            <w:pPr>
              <w:spacing w:line="240" w:lineRule="auto"/>
              <w:jc w:val="left"/>
              <w:rPr>
                <w:rFonts w:hint="eastAsia"/>
                <w:sz w:val="18"/>
                <w:szCs w:val="21"/>
                <w:vertAlign w:val="baseline"/>
              </w:rPr>
            </w:pPr>
            <w:r>
              <w:rPr>
                <w:rFonts w:hint="eastAsia"/>
                <w:sz w:val="18"/>
                <w:szCs w:val="21"/>
                <w:vertAlign w:val="baseline"/>
              </w:rPr>
              <w:t>★产品应通过国家强制性产品认证，投标时提供证书扫描件佐证并加盖电子公章及证书网页查询材料，证书规范性应符合《强制性产品认证管理规定》第二十一条的相关规定。</w:t>
            </w:r>
          </w:p>
          <w:p w14:paraId="34E2858C">
            <w:pPr>
              <w:spacing w:line="240" w:lineRule="auto"/>
              <w:jc w:val="left"/>
              <w:rPr>
                <w:rFonts w:hint="eastAsia"/>
                <w:sz w:val="18"/>
                <w:szCs w:val="21"/>
                <w:vertAlign w:val="baseline"/>
              </w:rPr>
            </w:pPr>
            <w:r>
              <w:rPr>
                <w:rFonts w:hint="eastAsia"/>
                <w:sz w:val="18"/>
                <w:szCs w:val="21"/>
                <w:vertAlign w:val="baseline"/>
              </w:rPr>
              <w:t>B、健身哑铃*1套</w:t>
            </w:r>
          </w:p>
          <w:p w14:paraId="6C1CC5E1">
            <w:pPr>
              <w:spacing w:line="240" w:lineRule="auto"/>
              <w:jc w:val="left"/>
              <w:rPr>
                <w:rFonts w:hint="eastAsia"/>
                <w:sz w:val="18"/>
                <w:szCs w:val="21"/>
                <w:vertAlign w:val="baseline"/>
              </w:rPr>
            </w:pPr>
            <w:r>
              <w:rPr>
                <w:rFonts w:hint="eastAsia"/>
                <w:sz w:val="18"/>
                <w:szCs w:val="21"/>
                <w:vertAlign w:val="baseline"/>
              </w:rPr>
              <w:t>1、规格（允许偏离值±5%）：直径规格分别12cm、24cm、36cm，3种规格为一套。</w:t>
            </w:r>
          </w:p>
          <w:p w14:paraId="5D3B2B7E">
            <w:pPr>
              <w:spacing w:line="240" w:lineRule="auto"/>
              <w:jc w:val="left"/>
              <w:rPr>
                <w:rFonts w:hint="eastAsia"/>
                <w:sz w:val="18"/>
                <w:szCs w:val="21"/>
                <w:vertAlign w:val="baseline"/>
              </w:rPr>
            </w:pPr>
            <w:r>
              <w:rPr>
                <w:rFonts w:hint="eastAsia"/>
                <w:sz w:val="18"/>
                <w:szCs w:val="21"/>
                <w:vertAlign w:val="baseline"/>
              </w:rPr>
              <w:t>2、材质：全新塑料滚塑一次成型，每套三个规格三种颜色组成，应符合：GB6675.1-2014《玩具安全 第1部分：基本规范》、GB6675.2-2014《玩具安全 第2部分：机械与物理性能》、GB6675.3-2014《玩具安全 第3部分：易燃性能》、GB6675.4-2014《玩具安全 第4部分：特定元素的迁移》要求。</w:t>
            </w:r>
          </w:p>
          <w:p w14:paraId="25F77BEE">
            <w:pPr>
              <w:spacing w:line="240" w:lineRule="auto"/>
              <w:jc w:val="left"/>
              <w:rPr>
                <w:rFonts w:hint="eastAsia"/>
                <w:vertAlign w:val="baseline"/>
              </w:rPr>
            </w:pPr>
            <w:r>
              <w:rPr>
                <w:rFonts w:hint="eastAsia"/>
                <w:sz w:val="18"/>
                <w:szCs w:val="21"/>
                <w:vertAlign w:val="baseline"/>
              </w:rPr>
              <w:t>★产品应通过国家强制性产品认证，投标时提供证书扫描件佐证并加盖电子公章及证书网页查询材料，证书规范性应符合《强制性产品认证管理规定》第二十一条的相关规定。</w:t>
            </w:r>
          </w:p>
        </w:tc>
        <w:tc>
          <w:tcPr>
            <w:tcW w:w="795" w:type="dxa"/>
          </w:tcPr>
          <w:p w14:paraId="2F202B47">
            <w:pPr>
              <w:jc w:val="center"/>
              <w:rPr>
                <w:rFonts w:hint="eastAsia" w:eastAsiaTheme="minorEastAsia"/>
                <w:vertAlign w:val="baseline"/>
                <w:lang w:eastAsia="zh-CN"/>
              </w:rPr>
            </w:pPr>
            <w:r>
              <w:rPr>
                <w:rFonts w:hint="eastAsia"/>
                <w:vertAlign w:val="baseline"/>
                <w:lang w:val="en-US" w:eastAsia="zh-CN"/>
              </w:rPr>
              <w:t>个</w:t>
            </w:r>
          </w:p>
        </w:tc>
        <w:tc>
          <w:tcPr>
            <w:tcW w:w="794" w:type="dxa"/>
          </w:tcPr>
          <w:p w14:paraId="795A3FA5">
            <w:pPr>
              <w:jc w:val="center"/>
              <w:rPr>
                <w:rFonts w:hint="eastAsia" w:eastAsiaTheme="minorEastAsia"/>
                <w:vertAlign w:val="baseline"/>
                <w:lang w:eastAsia="zh-CN"/>
              </w:rPr>
            </w:pPr>
            <w:r>
              <w:rPr>
                <w:rFonts w:hint="eastAsia"/>
                <w:vertAlign w:val="baseline"/>
                <w:lang w:val="en-US" w:eastAsia="zh-CN"/>
              </w:rPr>
              <w:t>1</w:t>
            </w:r>
          </w:p>
        </w:tc>
      </w:tr>
      <w:tr w14:paraId="4B894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2" w:hRule="atLeast"/>
        </w:trPr>
        <w:tc>
          <w:tcPr>
            <w:tcW w:w="14174" w:type="dxa"/>
            <w:gridSpan w:val="5"/>
          </w:tcPr>
          <w:p w14:paraId="318CA57D">
            <w:pPr>
              <w:jc w:val="center"/>
              <w:rPr>
                <w:rFonts w:hint="eastAsia"/>
                <w:vertAlign w:val="baseline"/>
                <w:lang w:val="en-US" w:eastAsia="zh-CN"/>
              </w:rPr>
            </w:pPr>
            <w:r>
              <w:rPr>
                <w:rFonts w:hint="eastAsia"/>
                <w:vertAlign w:val="baseline"/>
                <w:lang w:val="en-US" w:eastAsia="zh-CN"/>
              </w:rPr>
              <w:drawing>
                <wp:anchor distT="0" distB="0" distL="114300" distR="114300" simplePos="0" relativeHeight="251660288" behindDoc="1" locked="0" layoutInCell="1" allowOverlap="1">
                  <wp:simplePos x="0" y="0"/>
                  <wp:positionH relativeFrom="column">
                    <wp:posOffset>1993265</wp:posOffset>
                  </wp:positionH>
                  <wp:positionV relativeFrom="paragraph">
                    <wp:posOffset>354330</wp:posOffset>
                  </wp:positionV>
                  <wp:extent cx="5257165" cy="4301490"/>
                  <wp:effectExtent l="0" t="0" r="635" b="3810"/>
                  <wp:wrapNone/>
                  <wp:docPr id="2" name="图片 2" descr="6f6f11e3-6544-42a3-a2d0-005c683df2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f6f11e3-6544-42a3-a2d0-005c683df2b4"/>
                          <pic:cNvPicPr>
                            <a:picLocks noChangeAspect="1"/>
                          </pic:cNvPicPr>
                        </pic:nvPicPr>
                        <pic:blipFill>
                          <a:blip r:embed="rId12"/>
                          <a:stretch>
                            <a:fillRect/>
                          </a:stretch>
                        </pic:blipFill>
                        <pic:spPr>
                          <a:xfrm>
                            <a:off x="0" y="0"/>
                            <a:ext cx="5257165" cy="4301490"/>
                          </a:xfrm>
                          <a:prstGeom prst="rect">
                            <a:avLst/>
                          </a:prstGeom>
                        </pic:spPr>
                      </pic:pic>
                    </a:graphicData>
                  </a:graphic>
                </wp:anchor>
              </w:drawing>
            </w:r>
          </w:p>
        </w:tc>
      </w:tr>
      <w:tr w14:paraId="654E3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tcPr>
          <w:p w14:paraId="482C4721">
            <w:pPr>
              <w:jc w:val="center"/>
              <w:rPr>
                <w:rFonts w:hint="eastAsia"/>
                <w:vertAlign w:val="baseline"/>
              </w:rPr>
            </w:pPr>
            <w:r>
              <w:rPr>
                <w:rFonts w:hint="eastAsia"/>
                <w:vertAlign w:val="baseline"/>
              </w:rPr>
              <w:t>序号</w:t>
            </w:r>
          </w:p>
        </w:tc>
        <w:tc>
          <w:tcPr>
            <w:tcW w:w="1275" w:type="dxa"/>
          </w:tcPr>
          <w:p w14:paraId="5A052988">
            <w:pPr>
              <w:jc w:val="center"/>
              <w:rPr>
                <w:rFonts w:hint="eastAsia"/>
                <w:vertAlign w:val="baseline"/>
              </w:rPr>
            </w:pPr>
            <w:r>
              <w:rPr>
                <w:rFonts w:hint="eastAsia"/>
                <w:vertAlign w:val="baseline"/>
              </w:rPr>
              <w:t>产品名称</w:t>
            </w:r>
          </w:p>
        </w:tc>
        <w:tc>
          <w:tcPr>
            <w:tcW w:w="10470" w:type="dxa"/>
          </w:tcPr>
          <w:p w14:paraId="6464025E">
            <w:pPr>
              <w:jc w:val="center"/>
              <w:rPr>
                <w:rFonts w:hint="eastAsia"/>
                <w:vertAlign w:val="baseline"/>
              </w:rPr>
            </w:pPr>
            <w:r>
              <w:rPr>
                <w:rFonts w:hint="eastAsia"/>
                <w:vertAlign w:val="baseline"/>
              </w:rPr>
              <w:t>备注</w:t>
            </w:r>
          </w:p>
        </w:tc>
        <w:tc>
          <w:tcPr>
            <w:tcW w:w="795" w:type="dxa"/>
          </w:tcPr>
          <w:p w14:paraId="4AD83A17">
            <w:pPr>
              <w:jc w:val="center"/>
              <w:rPr>
                <w:rFonts w:hint="eastAsia"/>
                <w:vertAlign w:val="baseline"/>
              </w:rPr>
            </w:pPr>
            <w:r>
              <w:rPr>
                <w:rFonts w:hint="eastAsia"/>
                <w:vertAlign w:val="baseline"/>
              </w:rPr>
              <w:t>单位</w:t>
            </w:r>
          </w:p>
        </w:tc>
        <w:tc>
          <w:tcPr>
            <w:tcW w:w="794" w:type="dxa"/>
          </w:tcPr>
          <w:p w14:paraId="3C500D89">
            <w:pPr>
              <w:jc w:val="center"/>
              <w:rPr>
                <w:rFonts w:hint="eastAsia"/>
                <w:vertAlign w:val="baseline"/>
              </w:rPr>
            </w:pPr>
            <w:r>
              <w:rPr>
                <w:rFonts w:hint="eastAsia"/>
                <w:vertAlign w:val="baseline"/>
              </w:rPr>
              <w:t>数量</w:t>
            </w:r>
          </w:p>
        </w:tc>
      </w:tr>
      <w:tr w14:paraId="04704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40" w:type="dxa"/>
          </w:tcPr>
          <w:p w14:paraId="1146CBF6">
            <w:pPr>
              <w:jc w:val="center"/>
              <w:rPr>
                <w:rFonts w:hint="eastAsia" w:eastAsiaTheme="minorEastAsia"/>
                <w:vertAlign w:val="baseline"/>
                <w:lang w:val="en-US" w:eastAsia="zh-CN"/>
              </w:rPr>
            </w:pPr>
            <w:r>
              <w:rPr>
                <w:rFonts w:hint="eastAsia"/>
                <w:vertAlign w:val="baseline"/>
                <w:lang w:val="en-US" w:eastAsia="zh-CN"/>
              </w:rPr>
              <w:t>2</w:t>
            </w:r>
          </w:p>
        </w:tc>
        <w:tc>
          <w:tcPr>
            <w:tcW w:w="1275" w:type="dxa"/>
          </w:tcPr>
          <w:p w14:paraId="42985F4B">
            <w:pPr>
              <w:jc w:val="center"/>
              <w:rPr>
                <w:rFonts w:hint="eastAsia"/>
                <w:vertAlign w:val="baseline"/>
              </w:rPr>
            </w:pPr>
            <w:r>
              <w:rPr>
                <w:rFonts w:hint="eastAsia"/>
                <w:vertAlign w:val="baseline"/>
              </w:rPr>
              <w:t>造型小潜艇</w:t>
            </w:r>
          </w:p>
        </w:tc>
        <w:tc>
          <w:tcPr>
            <w:tcW w:w="10470" w:type="dxa"/>
          </w:tcPr>
          <w:p w14:paraId="4FB6B41F">
            <w:pPr>
              <w:spacing w:line="240" w:lineRule="auto"/>
              <w:jc w:val="left"/>
              <w:rPr>
                <w:rFonts w:hint="eastAsia"/>
                <w:sz w:val="18"/>
                <w:szCs w:val="21"/>
                <w:vertAlign w:val="baseline"/>
              </w:rPr>
            </w:pPr>
            <w:r>
              <w:rPr>
                <w:rFonts w:hint="eastAsia"/>
                <w:sz w:val="18"/>
                <w:szCs w:val="21"/>
                <w:vertAlign w:val="baseline"/>
              </w:rPr>
              <w:t>1、主体尺寸200*200*200CM</w:t>
            </w:r>
          </w:p>
          <w:p w14:paraId="4E65F267">
            <w:pPr>
              <w:spacing w:line="240" w:lineRule="auto"/>
              <w:jc w:val="left"/>
              <w:rPr>
                <w:rFonts w:hint="eastAsia"/>
                <w:sz w:val="18"/>
                <w:szCs w:val="21"/>
                <w:vertAlign w:val="baseline"/>
              </w:rPr>
            </w:pPr>
            <w:r>
              <w:rPr>
                <w:rFonts w:hint="eastAsia"/>
                <w:sz w:val="18"/>
                <w:szCs w:val="21"/>
                <w:vertAlign w:val="baseline"/>
              </w:rPr>
              <w:t>2、主框架采用≥40*60*1.8mm镀锌钢管，内部支管≥40*40*2.2MM，窗户采用≥45*45*4.5mm，碰焊网焊接，热镀锌钢管和扣件连接工艺，产品铁件经整体加工成型后经除油、除锈、中和、磷化、钝化、抛丸等前处理,表面平滑，不易生锈。表面喷涂户外环保聚酯粉末涂料，抗紫外线，色泽艳丽，不易脱落，日久弥新；喷涂设备采用计算机控制的静电粉末喷涂装置，粉末回收采用小旋风和进口滤心，高效率、无污染。</w:t>
            </w:r>
          </w:p>
          <w:p w14:paraId="013061D6">
            <w:pPr>
              <w:spacing w:line="240" w:lineRule="auto"/>
              <w:jc w:val="left"/>
              <w:rPr>
                <w:rFonts w:hint="eastAsia"/>
                <w:sz w:val="18"/>
                <w:szCs w:val="21"/>
                <w:vertAlign w:val="baseline"/>
              </w:rPr>
            </w:pPr>
            <w:r>
              <w:rPr>
                <w:rFonts w:hint="eastAsia"/>
                <w:sz w:val="18"/>
                <w:szCs w:val="21"/>
                <w:vertAlign w:val="baseline"/>
              </w:rPr>
              <w:t>3、外表面铺设厚度≥18MM防腐木，表面处理：进行压、刨、铣、冲等处理后，表面刷面饰木纹漆进行防腐、防蛀处理。顶部和装饰部分雕刻采用厚度≥15mmPE板，通过激光切割造型，边缘光滑无毛刺，色泽靓丽，图样清晰，异形造型部分应平整、牢固，所用材料应符合相关标准，不得有脱胶、脱钉。</w:t>
            </w:r>
          </w:p>
          <w:p w14:paraId="78FBFACE">
            <w:pPr>
              <w:spacing w:line="240" w:lineRule="auto"/>
              <w:jc w:val="left"/>
              <w:rPr>
                <w:rFonts w:hint="eastAsia"/>
                <w:sz w:val="18"/>
                <w:szCs w:val="21"/>
                <w:vertAlign w:val="baseline"/>
              </w:rPr>
            </w:pPr>
            <w:r>
              <w:rPr>
                <w:rFonts w:hint="eastAsia"/>
                <w:sz w:val="18"/>
                <w:szCs w:val="21"/>
                <w:vertAlign w:val="baseline"/>
              </w:rPr>
              <w:t>4、螺丝均采用不锈钢304#材质防盗螺丝，并采用螺栓连接，牢固可靠，不易松动脱落及变形和损坏。</w:t>
            </w:r>
          </w:p>
          <w:p w14:paraId="01C9FFFC">
            <w:pPr>
              <w:spacing w:line="240" w:lineRule="auto"/>
              <w:jc w:val="left"/>
              <w:rPr>
                <w:rFonts w:hint="eastAsia"/>
                <w:sz w:val="18"/>
                <w:szCs w:val="21"/>
                <w:vertAlign w:val="baseline"/>
              </w:rPr>
            </w:pPr>
            <w:r>
              <w:rPr>
                <w:rFonts w:hint="eastAsia"/>
                <w:sz w:val="18"/>
                <w:szCs w:val="21"/>
                <w:vertAlign w:val="baseline"/>
              </w:rPr>
              <w:t>5、产品外表和内表以及儿童手指可触及处无毛刺及尖锐的棱角，油漆采用户外哑光漆 。</w:t>
            </w:r>
          </w:p>
          <w:p w14:paraId="42B915AC">
            <w:pPr>
              <w:spacing w:line="240" w:lineRule="auto"/>
              <w:jc w:val="left"/>
              <w:rPr>
                <w:rFonts w:hint="eastAsia"/>
                <w:sz w:val="18"/>
                <w:szCs w:val="21"/>
                <w:vertAlign w:val="baseline"/>
              </w:rPr>
            </w:pPr>
            <w:r>
              <w:rPr>
                <w:rFonts w:hint="eastAsia"/>
                <w:sz w:val="18"/>
                <w:szCs w:val="21"/>
                <w:vertAlign w:val="baseline"/>
              </w:rPr>
              <w:t>（1）检测标准应依照 GB/T6739-2022《色漆和清漆铅笔法测定漆膜硬度》要求检测，检测内容应包含：漆膜硬度≥2H；</w:t>
            </w:r>
          </w:p>
          <w:p w14:paraId="7428884A">
            <w:pPr>
              <w:spacing w:line="240" w:lineRule="auto"/>
              <w:jc w:val="left"/>
              <w:rPr>
                <w:rFonts w:hint="eastAsia"/>
                <w:sz w:val="18"/>
                <w:szCs w:val="21"/>
                <w:vertAlign w:val="baseline"/>
              </w:rPr>
            </w:pPr>
            <w:r>
              <w:rPr>
                <w:rFonts w:hint="eastAsia"/>
                <w:sz w:val="18"/>
                <w:szCs w:val="21"/>
                <w:vertAlign w:val="baseline"/>
              </w:rPr>
              <w:t>（2）检测标准应依照 GB/T1741-2020《漆膜耐霉菌性测定法》要求检测，检测耐霉菌性等级均为0级，其中菌类至少包含如下：1.黑曲霉；2.土曲霉；3.黄曲霉；4.宛氏拟青霉；5.桔青霉；6.绳状青霉；7.球毛壳；8.绿色木霉；9.出芽短梗霉；10.杂色曲霉；11.链格孢；12.蜡(腊)叶芽枝霉。</w:t>
            </w:r>
          </w:p>
          <w:p w14:paraId="48DEA696">
            <w:pPr>
              <w:spacing w:line="240" w:lineRule="auto"/>
              <w:jc w:val="left"/>
              <w:rPr>
                <w:rFonts w:hint="eastAsia"/>
                <w:sz w:val="18"/>
                <w:szCs w:val="21"/>
                <w:vertAlign w:val="baseline"/>
              </w:rPr>
            </w:pPr>
            <w:r>
              <w:rPr>
                <w:rFonts w:hint="eastAsia"/>
                <w:sz w:val="18"/>
                <w:szCs w:val="21"/>
                <w:vertAlign w:val="baseline"/>
              </w:rPr>
              <w:t>（3）检测标准应依照：QB/T3826-1999《轻工产品金属镀层和化学处理层的耐腐蚀试验方法中性盐雾试验(NSS)法》、QB/T3832-1999《轻工产品金属镀层腐蚀试验结果的评价》要求检测，检测内容应包含：中性盐雾试验(NSS)，连续喷雾500h，镀(涂)层本身的耐腐蚀等级要求10级。</w:t>
            </w:r>
          </w:p>
          <w:p w14:paraId="73BA2F5B">
            <w:pPr>
              <w:spacing w:line="240" w:lineRule="auto"/>
              <w:jc w:val="left"/>
              <w:rPr>
                <w:rFonts w:hint="eastAsia"/>
                <w:sz w:val="18"/>
                <w:szCs w:val="21"/>
                <w:vertAlign w:val="baseline"/>
              </w:rPr>
            </w:pPr>
            <w:r>
              <w:rPr>
                <w:rFonts w:hint="eastAsia"/>
                <w:sz w:val="18"/>
                <w:szCs w:val="21"/>
                <w:vertAlign w:val="baseline"/>
              </w:rPr>
              <w:t>▲投标时提供带CMA或CNAS标识的第三方检测机构出具的检测报告扫描件佐证“面饰木纹漆技术参数要求中符合（1）-（3）项内容要求”，检测报告需支持座机电话或400电话查询，并提供检测机构网址查询及截图。</w:t>
            </w:r>
          </w:p>
          <w:p w14:paraId="164A118D">
            <w:pPr>
              <w:spacing w:line="240" w:lineRule="auto"/>
              <w:jc w:val="left"/>
              <w:rPr>
                <w:rFonts w:hint="eastAsia"/>
                <w:sz w:val="18"/>
                <w:szCs w:val="21"/>
                <w:vertAlign w:val="baseline"/>
              </w:rPr>
            </w:pPr>
            <w:r>
              <w:rPr>
                <w:rFonts w:hint="eastAsia"/>
                <w:sz w:val="18"/>
                <w:szCs w:val="21"/>
                <w:vertAlign w:val="baseline"/>
              </w:rPr>
              <w:t>6、配套玩具：</w:t>
            </w:r>
          </w:p>
          <w:p w14:paraId="6E9D4F84">
            <w:pPr>
              <w:spacing w:line="240" w:lineRule="auto"/>
              <w:jc w:val="left"/>
              <w:rPr>
                <w:rFonts w:hint="eastAsia"/>
                <w:sz w:val="18"/>
                <w:szCs w:val="21"/>
                <w:vertAlign w:val="baseline"/>
              </w:rPr>
            </w:pPr>
            <w:r>
              <w:rPr>
                <w:rFonts w:hint="eastAsia"/>
                <w:sz w:val="18"/>
                <w:szCs w:val="21"/>
                <w:vertAlign w:val="baseline"/>
              </w:rPr>
              <w:t>A、弹射篮球机*1套</w:t>
            </w:r>
          </w:p>
          <w:p w14:paraId="0152A5C7">
            <w:pPr>
              <w:spacing w:line="240" w:lineRule="auto"/>
              <w:jc w:val="left"/>
              <w:rPr>
                <w:rFonts w:hint="eastAsia"/>
                <w:sz w:val="18"/>
                <w:szCs w:val="21"/>
                <w:vertAlign w:val="baseline"/>
              </w:rPr>
            </w:pPr>
            <w:r>
              <w:rPr>
                <w:rFonts w:hint="eastAsia"/>
                <w:sz w:val="18"/>
                <w:szCs w:val="21"/>
                <w:vertAlign w:val="baseline"/>
              </w:rPr>
              <w:t>1、尺寸：35*16*18cm；（允许误差±5%）</w:t>
            </w:r>
          </w:p>
          <w:p w14:paraId="3CCBAB22">
            <w:pPr>
              <w:spacing w:line="240" w:lineRule="auto"/>
              <w:jc w:val="left"/>
              <w:rPr>
                <w:rFonts w:hint="eastAsia"/>
                <w:sz w:val="18"/>
                <w:szCs w:val="21"/>
                <w:vertAlign w:val="baseline"/>
              </w:rPr>
            </w:pPr>
            <w:r>
              <w:rPr>
                <w:rFonts w:hint="eastAsia"/>
                <w:sz w:val="18"/>
                <w:szCs w:val="21"/>
                <w:vertAlign w:val="baseline"/>
              </w:rPr>
              <w:t>2、配套球框4个，小篮球36个，投篮机1个等，重量不低于1kg；</w:t>
            </w:r>
          </w:p>
          <w:p w14:paraId="6D120AAF">
            <w:pPr>
              <w:spacing w:line="240" w:lineRule="auto"/>
              <w:jc w:val="left"/>
              <w:rPr>
                <w:rFonts w:hint="eastAsia"/>
                <w:sz w:val="18"/>
                <w:szCs w:val="21"/>
                <w:vertAlign w:val="baseline"/>
              </w:rPr>
            </w:pPr>
            <w:r>
              <w:rPr>
                <w:rFonts w:hint="eastAsia"/>
                <w:sz w:val="18"/>
                <w:szCs w:val="21"/>
                <w:vertAlign w:val="baseline"/>
              </w:rPr>
              <w:t>3、材质：环保食品级塑料，颜色鲜艳、造型逼真、无毒无味、安全环保，耐候性好，强度高，应符合：GB6675.1-2014《玩具安全 第1部分：基本规范》、GB6675.2-2014《玩具安全 第2部分：机械与物理性能》、GB6675.3-2014《玩具安全 第3部分：易燃性能》、GB6675.4-2014《玩具安全 第4部分：特定元素的迁移》要求。</w:t>
            </w:r>
          </w:p>
          <w:p w14:paraId="6340092C">
            <w:pPr>
              <w:spacing w:line="240" w:lineRule="auto"/>
              <w:jc w:val="left"/>
              <w:rPr>
                <w:rFonts w:hint="eastAsia"/>
                <w:sz w:val="18"/>
                <w:szCs w:val="21"/>
                <w:vertAlign w:val="baseline"/>
              </w:rPr>
            </w:pPr>
            <w:r>
              <w:rPr>
                <w:rFonts w:hint="eastAsia"/>
                <w:sz w:val="18"/>
                <w:szCs w:val="21"/>
                <w:vertAlign w:val="baseline"/>
              </w:rPr>
              <w:t>★产品应通过国家强制性产品认证，投标时提供证书扫描件佐证并加盖电子公章及证书网页查询材料，证书规范性应符合《强制性产品认证管理规定》第二十一条的相关规定。</w:t>
            </w:r>
          </w:p>
          <w:p w14:paraId="6A9B0AF1">
            <w:pPr>
              <w:spacing w:line="240" w:lineRule="auto"/>
              <w:jc w:val="left"/>
              <w:rPr>
                <w:rFonts w:hint="eastAsia"/>
                <w:sz w:val="18"/>
                <w:szCs w:val="21"/>
                <w:vertAlign w:val="baseline"/>
              </w:rPr>
            </w:pPr>
            <w:r>
              <w:rPr>
                <w:rFonts w:hint="eastAsia"/>
                <w:sz w:val="18"/>
                <w:szCs w:val="21"/>
                <w:vertAlign w:val="baseline"/>
              </w:rPr>
              <w:t>B、青蛙吃球游戏*1套</w:t>
            </w:r>
          </w:p>
          <w:p w14:paraId="76C02769">
            <w:pPr>
              <w:spacing w:line="240" w:lineRule="auto"/>
              <w:jc w:val="left"/>
              <w:rPr>
                <w:rFonts w:hint="eastAsia"/>
                <w:sz w:val="18"/>
                <w:szCs w:val="21"/>
                <w:vertAlign w:val="baseline"/>
              </w:rPr>
            </w:pPr>
            <w:r>
              <w:rPr>
                <w:rFonts w:hint="eastAsia"/>
                <w:sz w:val="18"/>
                <w:szCs w:val="21"/>
                <w:vertAlign w:val="baseline"/>
              </w:rPr>
              <w:t>1、尺寸：约28*28*6cm；（允许误差±5%）</w:t>
            </w:r>
          </w:p>
          <w:p w14:paraId="4C614DA3">
            <w:pPr>
              <w:spacing w:line="240" w:lineRule="auto"/>
              <w:jc w:val="left"/>
              <w:rPr>
                <w:rFonts w:hint="eastAsia"/>
                <w:sz w:val="18"/>
                <w:szCs w:val="21"/>
                <w:vertAlign w:val="baseline"/>
              </w:rPr>
            </w:pPr>
            <w:r>
              <w:rPr>
                <w:rFonts w:hint="eastAsia"/>
                <w:sz w:val="18"/>
                <w:szCs w:val="21"/>
                <w:vertAlign w:val="baseline"/>
              </w:rPr>
              <w:t>2、配190克游戏球，四个游戏弹射按钮，最多可容纳4个小朋友共同游戏，重量不低于1kg</w:t>
            </w:r>
          </w:p>
          <w:p w14:paraId="6A7D44F1">
            <w:pPr>
              <w:spacing w:line="240" w:lineRule="auto"/>
              <w:jc w:val="left"/>
              <w:rPr>
                <w:rFonts w:hint="eastAsia"/>
                <w:sz w:val="18"/>
                <w:szCs w:val="21"/>
                <w:vertAlign w:val="baseline"/>
              </w:rPr>
            </w:pPr>
            <w:r>
              <w:rPr>
                <w:rFonts w:hint="eastAsia"/>
                <w:sz w:val="18"/>
                <w:szCs w:val="21"/>
                <w:vertAlign w:val="baseline"/>
              </w:rPr>
              <w:t>3、材质：环保食品级塑料，颜色鲜艳、造型逼真、无毒无味、安全环保，耐候性好，强度高，应符合：GB6675.1-2014《玩具安全 第1部分：基本规范》、GB6675.2-2014《玩具安全 第2部分：机械与物理性能》、GB6675.3-2014《玩具安全 第3部分：易燃性能》、GB6675.4-2014《玩具安全 第4部分：特定元素的迁移》要求。</w:t>
            </w:r>
          </w:p>
          <w:p w14:paraId="6DD93158">
            <w:pPr>
              <w:spacing w:line="240" w:lineRule="auto"/>
              <w:jc w:val="left"/>
              <w:rPr>
                <w:rFonts w:hint="eastAsia"/>
                <w:vertAlign w:val="baseline"/>
              </w:rPr>
            </w:pPr>
            <w:r>
              <w:rPr>
                <w:rFonts w:hint="eastAsia"/>
                <w:sz w:val="18"/>
                <w:szCs w:val="21"/>
                <w:vertAlign w:val="baseline"/>
              </w:rPr>
              <w:t>★产品应通过国家强制性产品认证，投标时提供证书扫描件佐证并加盖电子公章及证书网页查询材料，证书规范性应符合《强制性产品认证管理规定》第二十一条的相关规定。</w:t>
            </w:r>
          </w:p>
        </w:tc>
        <w:tc>
          <w:tcPr>
            <w:tcW w:w="795" w:type="dxa"/>
          </w:tcPr>
          <w:p w14:paraId="295DC901">
            <w:pPr>
              <w:jc w:val="center"/>
              <w:rPr>
                <w:rFonts w:hint="eastAsia" w:eastAsiaTheme="minorEastAsia"/>
                <w:vertAlign w:val="baseline"/>
                <w:lang w:eastAsia="zh-CN"/>
              </w:rPr>
            </w:pPr>
            <w:r>
              <w:rPr>
                <w:rFonts w:hint="eastAsia"/>
                <w:vertAlign w:val="baseline"/>
                <w:lang w:val="en-US" w:eastAsia="zh-CN"/>
              </w:rPr>
              <w:t>套</w:t>
            </w:r>
          </w:p>
        </w:tc>
        <w:tc>
          <w:tcPr>
            <w:tcW w:w="794" w:type="dxa"/>
          </w:tcPr>
          <w:p w14:paraId="5781B3C6">
            <w:pPr>
              <w:jc w:val="center"/>
              <w:rPr>
                <w:rFonts w:hint="eastAsia" w:eastAsiaTheme="minorEastAsia"/>
                <w:vertAlign w:val="baseline"/>
                <w:lang w:eastAsia="zh-CN"/>
              </w:rPr>
            </w:pPr>
            <w:r>
              <w:rPr>
                <w:rFonts w:hint="eastAsia"/>
                <w:vertAlign w:val="baseline"/>
                <w:lang w:val="en-US" w:eastAsia="zh-CN"/>
              </w:rPr>
              <w:t>1</w:t>
            </w:r>
          </w:p>
        </w:tc>
      </w:tr>
      <w:tr w14:paraId="69F13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2" w:hRule="atLeast"/>
        </w:trPr>
        <w:tc>
          <w:tcPr>
            <w:tcW w:w="14174" w:type="dxa"/>
            <w:gridSpan w:val="5"/>
          </w:tcPr>
          <w:p w14:paraId="016FA7E3">
            <w:pPr>
              <w:jc w:val="center"/>
              <w:rPr>
                <w:rFonts w:hint="eastAsia"/>
                <w:vertAlign w:val="baseline"/>
                <w:lang w:val="en-US" w:eastAsia="zh-CN"/>
              </w:rPr>
            </w:pPr>
            <w:r>
              <w:rPr>
                <w:rFonts w:hint="eastAsia"/>
                <w:vertAlign w:val="baseline"/>
                <w:lang w:val="en-US" w:eastAsia="zh-CN"/>
              </w:rPr>
              <w:drawing>
                <wp:inline distT="0" distB="0" distL="114300" distR="114300">
                  <wp:extent cx="2695575" cy="2695575"/>
                  <wp:effectExtent l="0" t="0" r="9525" b="9525"/>
                  <wp:docPr id="3" name="图片 3" descr="2c03cbaa-dae8-43ce-87c1-ddf0e0ab9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c03cbaa-dae8-43ce-87c1-ddf0e0ab9462"/>
                          <pic:cNvPicPr>
                            <a:picLocks noChangeAspect="1"/>
                          </pic:cNvPicPr>
                        </pic:nvPicPr>
                        <pic:blipFill>
                          <a:blip r:embed="rId13"/>
                          <a:stretch>
                            <a:fillRect/>
                          </a:stretch>
                        </pic:blipFill>
                        <pic:spPr>
                          <a:xfrm>
                            <a:off x="0" y="0"/>
                            <a:ext cx="2695575" cy="2695575"/>
                          </a:xfrm>
                          <a:prstGeom prst="rect">
                            <a:avLst/>
                          </a:prstGeom>
                        </pic:spPr>
                      </pic:pic>
                    </a:graphicData>
                  </a:graphic>
                </wp:inline>
              </w:drawing>
            </w:r>
          </w:p>
        </w:tc>
      </w:tr>
    </w:tbl>
    <w:p w14:paraId="1FC9137B">
      <w:pPr>
        <w:rPr>
          <w:rFonts w:hint="eastAsia"/>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1275"/>
        <w:gridCol w:w="10470"/>
        <w:gridCol w:w="795"/>
        <w:gridCol w:w="794"/>
      </w:tblGrid>
      <w:tr w14:paraId="1562F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840" w:type="dxa"/>
          </w:tcPr>
          <w:p w14:paraId="478937F7">
            <w:pPr>
              <w:jc w:val="center"/>
              <w:rPr>
                <w:rFonts w:hint="eastAsia"/>
                <w:vertAlign w:val="baseline"/>
              </w:rPr>
            </w:pPr>
            <w:r>
              <w:rPr>
                <w:rFonts w:hint="eastAsia"/>
                <w:vertAlign w:val="baseline"/>
              </w:rPr>
              <w:t>序号</w:t>
            </w:r>
          </w:p>
        </w:tc>
        <w:tc>
          <w:tcPr>
            <w:tcW w:w="1275" w:type="dxa"/>
          </w:tcPr>
          <w:p w14:paraId="3B62AD3B">
            <w:pPr>
              <w:jc w:val="center"/>
              <w:rPr>
                <w:rFonts w:hint="eastAsia"/>
                <w:vertAlign w:val="baseline"/>
              </w:rPr>
            </w:pPr>
            <w:r>
              <w:rPr>
                <w:rFonts w:hint="eastAsia"/>
                <w:vertAlign w:val="baseline"/>
              </w:rPr>
              <w:t>产品名称</w:t>
            </w:r>
          </w:p>
        </w:tc>
        <w:tc>
          <w:tcPr>
            <w:tcW w:w="10470" w:type="dxa"/>
          </w:tcPr>
          <w:p w14:paraId="21B7F4E4">
            <w:pPr>
              <w:jc w:val="center"/>
              <w:rPr>
                <w:rFonts w:hint="eastAsia"/>
                <w:vertAlign w:val="baseline"/>
              </w:rPr>
            </w:pPr>
            <w:r>
              <w:rPr>
                <w:rFonts w:hint="eastAsia"/>
                <w:vertAlign w:val="baseline"/>
              </w:rPr>
              <w:t>备注</w:t>
            </w:r>
          </w:p>
        </w:tc>
        <w:tc>
          <w:tcPr>
            <w:tcW w:w="795" w:type="dxa"/>
          </w:tcPr>
          <w:p w14:paraId="5BA78A3F">
            <w:pPr>
              <w:jc w:val="center"/>
              <w:rPr>
                <w:rFonts w:hint="eastAsia"/>
                <w:vertAlign w:val="baseline"/>
              </w:rPr>
            </w:pPr>
            <w:r>
              <w:rPr>
                <w:rFonts w:hint="eastAsia"/>
                <w:vertAlign w:val="baseline"/>
              </w:rPr>
              <w:t>单位</w:t>
            </w:r>
          </w:p>
        </w:tc>
        <w:tc>
          <w:tcPr>
            <w:tcW w:w="794" w:type="dxa"/>
          </w:tcPr>
          <w:p w14:paraId="5D00CE9C">
            <w:pPr>
              <w:jc w:val="center"/>
              <w:rPr>
                <w:rFonts w:hint="eastAsia"/>
                <w:vertAlign w:val="baseline"/>
              </w:rPr>
            </w:pPr>
            <w:r>
              <w:rPr>
                <w:rFonts w:hint="eastAsia"/>
                <w:vertAlign w:val="baseline"/>
              </w:rPr>
              <w:t>数量</w:t>
            </w:r>
          </w:p>
        </w:tc>
      </w:tr>
      <w:tr w14:paraId="37C9F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40" w:type="dxa"/>
          </w:tcPr>
          <w:p w14:paraId="743A0568">
            <w:pPr>
              <w:jc w:val="center"/>
              <w:rPr>
                <w:rFonts w:hint="eastAsia" w:eastAsiaTheme="minorEastAsia"/>
                <w:vertAlign w:val="baseline"/>
                <w:lang w:val="en-US" w:eastAsia="zh-CN"/>
              </w:rPr>
            </w:pPr>
            <w:r>
              <w:rPr>
                <w:rFonts w:hint="eastAsia"/>
                <w:vertAlign w:val="baseline"/>
                <w:lang w:val="en-US" w:eastAsia="zh-CN"/>
              </w:rPr>
              <w:t>3</w:t>
            </w:r>
          </w:p>
        </w:tc>
        <w:tc>
          <w:tcPr>
            <w:tcW w:w="1275" w:type="dxa"/>
          </w:tcPr>
          <w:p w14:paraId="6BC24D38">
            <w:pPr>
              <w:jc w:val="center"/>
              <w:rPr>
                <w:rFonts w:hint="eastAsia"/>
                <w:vertAlign w:val="baseline"/>
              </w:rPr>
            </w:pPr>
            <w:r>
              <w:rPr>
                <w:rFonts w:hint="eastAsia"/>
                <w:vertAlign w:val="baseline"/>
              </w:rPr>
              <w:t>上人阶梯</w:t>
            </w:r>
          </w:p>
        </w:tc>
        <w:tc>
          <w:tcPr>
            <w:tcW w:w="10470" w:type="dxa"/>
          </w:tcPr>
          <w:p w14:paraId="212A6D99">
            <w:pPr>
              <w:spacing w:line="240" w:lineRule="auto"/>
              <w:jc w:val="left"/>
              <w:rPr>
                <w:rFonts w:hint="eastAsia"/>
                <w:sz w:val="18"/>
                <w:szCs w:val="21"/>
                <w:vertAlign w:val="baseline"/>
              </w:rPr>
            </w:pPr>
            <w:r>
              <w:rPr>
                <w:rFonts w:hint="eastAsia"/>
                <w:sz w:val="18"/>
                <w:szCs w:val="21"/>
                <w:vertAlign w:val="baseline"/>
              </w:rPr>
              <w:t>1、结构立柱采用≥100mm*100mm*2.2mm镀锌管定制漆；上人阶梯、活动栈道采用≥100mm*100mm*2mm镀锌管、≥50mm*50mm*2mm镀锌管、≥23mm厚塑木定制；；安全护栏高≥1300mm，扶手采用DN40镀锌管定制，立柱采用DN25镀锌管定制，面饰氟碳漆；</w:t>
            </w:r>
          </w:p>
          <w:p w14:paraId="0C50A167">
            <w:pPr>
              <w:spacing w:line="240" w:lineRule="auto"/>
              <w:jc w:val="left"/>
              <w:rPr>
                <w:rFonts w:hint="eastAsia"/>
                <w:vertAlign w:val="baseline"/>
              </w:rPr>
            </w:pPr>
            <w:r>
              <w:rPr>
                <w:rFonts w:hint="eastAsia"/>
                <w:sz w:val="18"/>
                <w:szCs w:val="21"/>
                <w:vertAlign w:val="baseline"/>
              </w:rPr>
              <w:t>2、门头采用厚度≥4mm厚度PC阳光板铺设而成，通过激光切割造型，边缘光滑无毛刺，色泽靓丽，图样清晰，异形造型部分应平整、牢固，所用材料应符合相关标准，不得有脱胶、脱钉。具备紫外线UV图层能够阻挡紫外线的辐射，降低室内温度，减少空调负荷，防火阻燃，耐高温性能。</w:t>
            </w:r>
          </w:p>
        </w:tc>
        <w:tc>
          <w:tcPr>
            <w:tcW w:w="795" w:type="dxa"/>
          </w:tcPr>
          <w:p w14:paraId="5E525544">
            <w:pPr>
              <w:jc w:val="center"/>
              <w:rPr>
                <w:rFonts w:hint="eastAsia" w:eastAsiaTheme="minorEastAsia"/>
                <w:vertAlign w:val="baseline"/>
                <w:lang w:eastAsia="zh-CN"/>
              </w:rPr>
            </w:pPr>
            <w:r>
              <w:rPr>
                <w:rFonts w:hint="eastAsia"/>
                <w:vertAlign w:val="baseline"/>
                <w:lang w:val="en-US" w:eastAsia="zh-CN"/>
              </w:rPr>
              <w:t>套</w:t>
            </w:r>
          </w:p>
        </w:tc>
        <w:tc>
          <w:tcPr>
            <w:tcW w:w="794" w:type="dxa"/>
          </w:tcPr>
          <w:p w14:paraId="65B26D9C">
            <w:pPr>
              <w:jc w:val="center"/>
              <w:rPr>
                <w:rFonts w:hint="eastAsia" w:eastAsiaTheme="minorEastAsia"/>
                <w:vertAlign w:val="baseline"/>
                <w:lang w:eastAsia="zh-CN"/>
              </w:rPr>
            </w:pPr>
            <w:r>
              <w:rPr>
                <w:rFonts w:hint="eastAsia"/>
                <w:vertAlign w:val="baseline"/>
                <w:lang w:val="en-US" w:eastAsia="zh-CN"/>
              </w:rPr>
              <w:t>1</w:t>
            </w:r>
          </w:p>
        </w:tc>
      </w:tr>
      <w:tr w14:paraId="23806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2" w:hRule="atLeast"/>
        </w:trPr>
        <w:tc>
          <w:tcPr>
            <w:tcW w:w="14174" w:type="dxa"/>
            <w:gridSpan w:val="5"/>
          </w:tcPr>
          <w:p w14:paraId="62297EE8">
            <w:pPr>
              <w:jc w:val="center"/>
              <w:rPr>
                <w:rFonts w:hint="eastAsia"/>
                <w:vertAlign w:val="baseline"/>
                <w:lang w:val="en-US" w:eastAsia="zh-CN"/>
              </w:rPr>
            </w:pPr>
            <w:r>
              <w:rPr>
                <w:rFonts w:hint="eastAsia"/>
                <w:vertAlign w:val="baseline"/>
                <w:lang w:val="en-US" w:eastAsia="zh-CN"/>
              </w:rPr>
              <w:drawing>
                <wp:anchor distT="0" distB="0" distL="114300" distR="114300" simplePos="0" relativeHeight="251661312" behindDoc="1" locked="0" layoutInCell="1" allowOverlap="1">
                  <wp:simplePos x="0" y="0"/>
                  <wp:positionH relativeFrom="column">
                    <wp:posOffset>3260090</wp:posOffset>
                  </wp:positionH>
                  <wp:positionV relativeFrom="paragraph">
                    <wp:posOffset>203835</wp:posOffset>
                  </wp:positionV>
                  <wp:extent cx="2341245" cy="3161665"/>
                  <wp:effectExtent l="0" t="0" r="1905" b="635"/>
                  <wp:wrapNone/>
                  <wp:docPr id="10" name="图片 10" descr="99af5045-90b8-469b-bd38-0542d8a1de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9af5045-90b8-469b-bd38-0542d8a1dea0"/>
                          <pic:cNvPicPr>
                            <a:picLocks noChangeAspect="1"/>
                          </pic:cNvPicPr>
                        </pic:nvPicPr>
                        <pic:blipFill>
                          <a:blip r:embed="rId14"/>
                          <a:stretch>
                            <a:fillRect/>
                          </a:stretch>
                        </pic:blipFill>
                        <pic:spPr>
                          <a:xfrm>
                            <a:off x="0" y="0"/>
                            <a:ext cx="2341245" cy="3161665"/>
                          </a:xfrm>
                          <a:prstGeom prst="rect">
                            <a:avLst/>
                          </a:prstGeom>
                        </pic:spPr>
                      </pic:pic>
                    </a:graphicData>
                  </a:graphic>
                </wp:anchor>
              </w:drawing>
            </w:r>
          </w:p>
        </w:tc>
      </w:tr>
      <w:tr w14:paraId="7456F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0" w:type="dxa"/>
          </w:tcPr>
          <w:p w14:paraId="7B08FC42">
            <w:pPr>
              <w:jc w:val="center"/>
              <w:rPr>
                <w:rFonts w:hint="eastAsia"/>
                <w:vertAlign w:val="baseline"/>
              </w:rPr>
            </w:pPr>
            <w:r>
              <w:rPr>
                <w:rFonts w:hint="eastAsia"/>
                <w:vertAlign w:val="baseline"/>
              </w:rPr>
              <w:t>序号</w:t>
            </w:r>
          </w:p>
        </w:tc>
        <w:tc>
          <w:tcPr>
            <w:tcW w:w="1275" w:type="dxa"/>
          </w:tcPr>
          <w:p w14:paraId="1F1E598E">
            <w:pPr>
              <w:jc w:val="center"/>
              <w:rPr>
                <w:rFonts w:hint="eastAsia"/>
                <w:vertAlign w:val="baseline"/>
              </w:rPr>
            </w:pPr>
            <w:r>
              <w:rPr>
                <w:rFonts w:hint="eastAsia"/>
                <w:vertAlign w:val="baseline"/>
              </w:rPr>
              <w:t>产品名称</w:t>
            </w:r>
          </w:p>
        </w:tc>
        <w:tc>
          <w:tcPr>
            <w:tcW w:w="10470" w:type="dxa"/>
          </w:tcPr>
          <w:p w14:paraId="76ABADDC">
            <w:pPr>
              <w:jc w:val="center"/>
              <w:rPr>
                <w:rFonts w:hint="eastAsia"/>
                <w:vertAlign w:val="baseline"/>
              </w:rPr>
            </w:pPr>
            <w:r>
              <w:rPr>
                <w:rFonts w:hint="eastAsia"/>
                <w:vertAlign w:val="baseline"/>
              </w:rPr>
              <w:t>备注</w:t>
            </w:r>
          </w:p>
        </w:tc>
        <w:tc>
          <w:tcPr>
            <w:tcW w:w="795" w:type="dxa"/>
          </w:tcPr>
          <w:p w14:paraId="71A6B643">
            <w:pPr>
              <w:jc w:val="center"/>
              <w:rPr>
                <w:rFonts w:hint="eastAsia"/>
                <w:vertAlign w:val="baseline"/>
              </w:rPr>
            </w:pPr>
            <w:r>
              <w:rPr>
                <w:rFonts w:hint="eastAsia"/>
                <w:vertAlign w:val="baseline"/>
              </w:rPr>
              <w:t>单位</w:t>
            </w:r>
          </w:p>
        </w:tc>
        <w:tc>
          <w:tcPr>
            <w:tcW w:w="794" w:type="dxa"/>
          </w:tcPr>
          <w:p w14:paraId="7EEBC497">
            <w:pPr>
              <w:jc w:val="center"/>
              <w:rPr>
                <w:rFonts w:hint="eastAsia"/>
                <w:vertAlign w:val="baseline"/>
              </w:rPr>
            </w:pPr>
            <w:r>
              <w:rPr>
                <w:rFonts w:hint="eastAsia"/>
                <w:vertAlign w:val="baseline"/>
              </w:rPr>
              <w:t>数量</w:t>
            </w:r>
          </w:p>
        </w:tc>
      </w:tr>
      <w:tr w14:paraId="4E664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40" w:type="dxa"/>
          </w:tcPr>
          <w:p w14:paraId="2D519AE0">
            <w:pPr>
              <w:jc w:val="center"/>
              <w:rPr>
                <w:rFonts w:hint="eastAsia" w:eastAsiaTheme="minorEastAsia"/>
                <w:vertAlign w:val="baseline"/>
                <w:lang w:val="en-US" w:eastAsia="zh-CN"/>
              </w:rPr>
            </w:pPr>
            <w:r>
              <w:rPr>
                <w:rFonts w:hint="eastAsia"/>
                <w:vertAlign w:val="baseline"/>
                <w:lang w:val="en-US" w:eastAsia="zh-CN"/>
              </w:rPr>
              <w:t>4</w:t>
            </w:r>
          </w:p>
        </w:tc>
        <w:tc>
          <w:tcPr>
            <w:tcW w:w="1275" w:type="dxa"/>
          </w:tcPr>
          <w:p w14:paraId="5233AAE5">
            <w:pPr>
              <w:jc w:val="center"/>
              <w:rPr>
                <w:rFonts w:hint="eastAsia"/>
                <w:vertAlign w:val="baseline"/>
              </w:rPr>
            </w:pPr>
            <w:r>
              <w:rPr>
                <w:rFonts w:hint="eastAsia"/>
                <w:vertAlign w:val="baseline"/>
              </w:rPr>
              <w:t>彩色阳光圆顶</w:t>
            </w:r>
          </w:p>
        </w:tc>
        <w:tc>
          <w:tcPr>
            <w:tcW w:w="10470" w:type="dxa"/>
          </w:tcPr>
          <w:p w14:paraId="38F3977D">
            <w:pPr>
              <w:spacing w:line="240" w:lineRule="auto"/>
              <w:jc w:val="left"/>
              <w:rPr>
                <w:rFonts w:hint="eastAsia"/>
                <w:sz w:val="18"/>
                <w:szCs w:val="21"/>
                <w:vertAlign w:val="baseline"/>
              </w:rPr>
            </w:pPr>
            <w:r>
              <w:rPr>
                <w:rFonts w:hint="eastAsia"/>
                <w:sz w:val="18"/>
                <w:szCs w:val="21"/>
                <w:vertAlign w:val="baseline"/>
              </w:rPr>
              <w:t>1、尺寸直径≥100CM</w:t>
            </w:r>
          </w:p>
          <w:p w14:paraId="27D69C7F">
            <w:pPr>
              <w:spacing w:line="240" w:lineRule="auto"/>
              <w:jc w:val="left"/>
              <w:rPr>
                <w:rFonts w:hint="eastAsia"/>
                <w:sz w:val="18"/>
                <w:szCs w:val="21"/>
                <w:vertAlign w:val="baseline"/>
              </w:rPr>
            </w:pPr>
            <w:r>
              <w:rPr>
                <w:rFonts w:hint="eastAsia"/>
                <w:sz w:val="18"/>
                <w:szCs w:val="21"/>
                <w:vertAlign w:val="baseline"/>
              </w:rPr>
              <w:t>2、边框由φ48X2滚圆焊接，中间齿能材质2.3MM钢板激光切割加工焊接。</w:t>
            </w:r>
          </w:p>
          <w:p w14:paraId="07735FEF">
            <w:pPr>
              <w:spacing w:line="240" w:lineRule="auto"/>
              <w:jc w:val="left"/>
              <w:rPr>
                <w:rFonts w:hint="eastAsia"/>
                <w:vertAlign w:val="baseline"/>
              </w:rPr>
            </w:pPr>
            <w:r>
              <w:rPr>
                <w:rFonts w:hint="eastAsia"/>
                <w:sz w:val="18"/>
                <w:szCs w:val="21"/>
                <w:vertAlign w:val="baseline"/>
              </w:rPr>
              <w:t>3、顶多彩PC板厚度大于4MM。</w:t>
            </w:r>
          </w:p>
        </w:tc>
        <w:tc>
          <w:tcPr>
            <w:tcW w:w="795" w:type="dxa"/>
          </w:tcPr>
          <w:p w14:paraId="7675CDC5">
            <w:pPr>
              <w:jc w:val="center"/>
              <w:rPr>
                <w:rFonts w:hint="eastAsia" w:eastAsiaTheme="minorEastAsia"/>
                <w:vertAlign w:val="baseline"/>
                <w:lang w:eastAsia="zh-CN"/>
              </w:rPr>
            </w:pPr>
            <w:r>
              <w:rPr>
                <w:rFonts w:hint="eastAsia"/>
                <w:vertAlign w:val="baseline"/>
                <w:lang w:val="en-US" w:eastAsia="zh-CN"/>
              </w:rPr>
              <w:t>个</w:t>
            </w:r>
          </w:p>
        </w:tc>
        <w:tc>
          <w:tcPr>
            <w:tcW w:w="794" w:type="dxa"/>
          </w:tcPr>
          <w:p w14:paraId="5F45A7EB">
            <w:pPr>
              <w:jc w:val="center"/>
              <w:rPr>
                <w:rFonts w:hint="eastAsia" w:eastAsiaTheme="minorEastAsia"/>
                <w:vertAlign w:val="baseline"/>
                <w:lang w:eastAsia="zh-CN"/>
              </w:rPr>
            </w:pPr>
            <w:r>
              <w:rPr>
                <w:rFonts w:hint="eastAsia"/>
                <w:vertAlign w:val="baseline"/>
                <w:lang w:val="en-US" w:eastAsia="zh-CN"/>
              </w:rPr>
              <w:t>4</w:t>
            </w:r>
          </w:p>
        </w:tc>
      </w:tr>
      <w:tr w14:paraId="0209E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2" w:hRule="atLeast"/>
        </w:trPr>
        <w:tc>
          <w:tcPr>
            <w:tcW w:w="14174" w:type="dxa"/>
            <w:gridSpan w:val="5"/>
          </w:tcPr>
          <w:p w14:paraId="420F1AF9">
            <w:pPr>
              <w:jc w:val="center"/>
              <w:rPr>
                <w:rFonts w:hint="eastAsia"/>
                <w:vertAlign w:val="baseline"/>
                <w:lang w:val="en-US" w:eastAsia="zh-CN"/>
              </w:rPr>
            </w:pPr>
            <w:r>
              <w:rPr>
                <w:rFonts w:hint="eastAsia"/>
                <w:vertAlign w:val="baseline"/>
                <w:lang w:val="en-US" w:eastAsia="zh-CN"/>
              </w:rPr>
              <w:drawing>
                <wp:anchor distT="0" distB="0" distL="114300" distR="114300" simplePos="0" relativeHeight="251662336" behindDoc="1" locked="0" layoutInCell="1" allowOverlap="1">
                  <wp:simplePos x="0" y="0"/>
                  <wp:positionH relativeFrom="column">
                    <wp:posOffset>1936115</wp:posOffset>
                  </wp:positionH>
                  <wp:positionV relativeFrom="paragraph">
                    <wp:posOffset>201930</wp:posOffset>
                  </wp:positionV>
                  <wp:extent cx="5266690" cy="3419475"/>
                  <wp:effectExtent l="0" t="0" r="10160" b="9525"/>
                  <wp:wrapNone/>
                  <wp:docPr id="11" name="图片 11" descr="a99d4a13-6d1c-4587-9b36-3342dda262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99d4a13-6d1c-4587-9b36-3342dda2622f"/>
                          <pic:cNvPicPr>
                            <a:picLocks noChangeAspect="1"/>
                          </pic:cNvPicPr>
                        </pic:nvPicPr>
                        <pic:blipFill>
                          <a:blip r:embed="rId15"/>
                          <a:stretch>
                            <a:fillRect/>
                          </a:stretch>
                        </pic:blipFill>
                        <pic:spPr>
                          <a:xfrm>
                            <a:off x="0" y="0"/>
                            <a:ext cx="5266690" cy="3419475"/>
                          </a:xfrm>
                          <a:prstGeom prst="rect">
                            <a:avLst/>
                          </a:prstGeom>
                        </pic:spPr>
                      </pic:pic>
                    </a:graphicData>
                  </a:graphic>
                </wp:anchor>
              </w:drawing>
            </w:r>
          </w:p>
        </w:tc>
      </w:tr>
    </w:tbl>
    <w:p w14:paraId="0DD380FE">
      <w:pPr>
        <w:rPr>
          <w:rFonts w:hint="eastAsia"/>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1290"/>
        <w:gridCol w:w="10470"/>
        <w:gridCol w:w="795"/>
        <w:gridCol w:w="794"/>
      </w:tblGrid>
      <w:tr w14:paraId="0D165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825" w:type="dxa"/>
          </w:tcPr>
          <w:p w14:paraId="7452F835">
            <w:pPr>
              <w:jc w:val="center"/>
              <w:rPr>
                <w:rFonts w:hint="eastAsia"/>
                <w:vertAlign w:val="baseline"/>
              </w:rPr>
            </w:pPr>
            <w:r>
              <w:rPr>
                <w:rFonts w:hint="eastAsia"/>
                <w:vertAlign w:val="baseline"/>
              </w:rPr>
              <w:t>序号</w:t>
            </w:r>
          </w:p>
        </w:tc>
        <w:tc>
          <w:tcPr>
            <w:tcW w:w="1290" w:type="dxa"/>
          </w:tcPr>
          <w:p w14:paraId="1C5311FE">
            <w:pPr>
              <w:jc w:val="center"/>
              <w:rPr>
                <w:rFonts w:hint="eastAsia"/>
                <w:vertAlign w:val="baseline"/>
              </w:rPr>
            </w:pPr>
            <w:r>
              <w:rPr>
                <w:rFonts w:hint="eastAsia"/>
                <w:vertAlign w:val="baseline"/>
              </w:rPr>
              <w:t>产品名称</w:t>
            </w:r>
          </w:p>
        </w:tc>
        <w:tc>
          <w:tcPr>
            <w:tcW w:w="10470" w:type="dxa"/>
          </w:tcPr>
          <w:p w14:paraId="40D014AF">
            <w:pPr>
              <w:jc w:val="center"/>
              <w:rPr>
                <w:rFonts w:hint="eastAsia"/>
                <w:vertAlign w:val="baseline"/>
              </w:rPr>
            </w:pPr>
            <w:r>
              <w:rPr>
                <w:rFonts w:hint="eastAsia"/>
                <w:vertAlign w:val="baseline"/>
              </w:rPr>
              <w:t>备注</w:t>
            </w:r>
          </w:p>
        </w:tc>
        <w:tc>
          <w:tcPr>
            <w:tcW w:w="795" w:type="dxa"/>
          </w:tcPr>
          <w:p w14:paraId="08482535">
            <w:pPr>
              <w:jc w:val="center"/>
              <w:rPr>
                <w:rFonts w:hint="eastAsia"/>
                <w:vertAlign w:val="baseline"/>
              </w:rPr>
            </w:pPr>
            <w:r>
              <w:rPr>
                <w:rFonts w:hint="eastAsia"/>
                <w:vertAlign w:val="baseline"/>
              </w:rPr>
              <w:t>单位</w:t>
            </w:r>
          </w:p>
        </w:tc>
        <w:tc>
          <w:tcPr>
            <w:tcW w:w="794" w:type="dxa"/>
          </w:tcPr>
          <w:p w14:paraId="34E1F6D5">
            <w:pPr>
              <w:jc w:val="center"/>
              <w:rPr>
                <w:rFonts w:hint="eastAsia"/>
                <w:vertAlign w:val="baseline"/>
              </w:rPr>
            </w:pPr>
            <w:r>
              <w:rPr>
                <w:rFonts w:hint="eastAsia"/>
                <w:vertAlign w:val="baseline"/>
              </w:rPr>
              <w:t>数量</w:t>
            </w:r>
          </w:p>
        </w:tc>
      </w:tr>
      <w:tr w14:paraId="5D5B0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25" w:type="dxa"/>
          </w:tcPr>
          <w:p w14:paraId="32A294B2">
            <w:pPr>
              <w:jc w:val="center"/>
              <w:rPr>
                <w:rFonts w:hint="eastAsia" w:eastAsiaTheme="minorEastAsia"/>
                <w:vertAlign w:val="baseline"/>
                <w:lang w:val="en-US" w:eastAsia="zh-CN"/>
              </w:rPr>
            </w:pPr>
            <w:r>
              <w:rPr>
                <w:rFonts w:hint="eastAsia"/>
                <w:vertAlign w:val="baseline"/>
                <w:lang w:val="en-US" w:eastAsia="zh-CN"/>
              </w:rPr>
              <w:t>5</w:t>
            </w:r>
          </w:p>
        </w:tc>
        <w:tc>
          <w:tcPr>
            <w:tcW w:w="1290" w:type="dxa"/>
          </w:tcPr>
          <w:p w14:paraId="5A571070">
            <w:pPr>
              <w:jc w:val="center"/>
              <w:rPr>
                <w:rFonts w:hint="eastAsia"/>
                <w:vertAlign w:val="baseline"/>
              </w:rPr>
            </w:pPr>
            <w:r>
              <w:rPr>
                <w:rFonts w:hint="eastAsia"/>
                <w:vertAlign w:val="baseline"/>
              </w:rPr>
              <w:t>定制长笼</w:t>
            </w:r>
          </w:p>
        </w:tc>
        <w:tc>
          <w:tcPr>
            <w:tcW w:w="10470" w:type="dxa"/>
          </w:tcPr>
          <w:p w14:paraId="49770B7C">
            <w:pPr>
              <w:spacing w:line="240" w:lineRule="auto"/>
              <w:jc w:val="left"/>
              <w:rPr>
                <w:rFonts w:hint="eastAsia"/>
                <w:sz w:val="18"/>
                <w:szCs w:val="21"/>
                <w:vertAlign w:val="baseline"/>
              </w:rPr>
            </w:pPr>
            <w:r>
              <w:rPr>
                <w:rFonts w:hint="eastAsia"/>
                <w:sz w:val="18"/>
                <w:szCs w:val="21"/>
                <w:vertAlign w:val="baseline"/>
              </w:rPr>
              <w:t>钢结构框架采用DN50镀锌圆管定制，面饰氟碳漆，攀爬绳网采用直径18mm锦纶钢丝绳缆定制；安全结构支撑架采用DN100镀锌圆管定制，面饰氟碳漆，增加稳定性，保证玩耍安全；</w:t>
            </w:r>
          </w:p>
          <w:p w14:paraId="023E429E">
            <w:pPr>
              <w:spacing w:line="240" w:lineRule="auto"/>
              <w:jc w:val="left"/>
              <w:rPr>
                <w:rFonts w:hint="eastAsia"/>
                <w:sz w:val="18"/>
                <w:szCs w:val="21"/>
                <w:vertAlign w:val="baseline"/>
              </w:rPr>
            </w:pPr>
            <w:r>
              <w:rPr>
                <w:rFonts w:hint="eastAsia"/>
                <w:sz w:val="18"/>
                <w:szCs w:val="21"/>
                <w:vertAlign w:val="baseline"/>
              </w:rPr>
              <w:t>（1）检测标准应依照：GB 8624-2012《建筑材料及制品燃烧性能分级》要求检测，检测内容应包含：燃烧性能（B1级），检测要求为：①燃烧增长速率指数≤250W/s、②600s内总放热量≤15MJ、③火焰横向蔓延长度应未达到试样边缘、④60s内焰尖高度≤150mm、⑤60s内无燃烧滴落物引燃滤纸现象；检测结果为：B1(C)级。</w:t>
            </w:r>
          </w:p>
          <w:p w14:paraId="48FB2804">
            <w:pPr>
              <w:spacing w:line="240" w:lineRule="auto"/>
              <w:jc w:val="left"/>
              <w:rPr>
                <w:rFonts w:hint="eastAsia"/>
                <w:sz w:val="18"/>
                <w:szCs w:val="21"/>
                <w:vertAlign w:val="baseline"/>
              </w:rPr>
            </w:pPr>
            <w:r>
              <w:rPr>
                <w:rFonts w:hint="eastAsia"/>
                <w:sz w:val="18"/>
                <w:szCs w:val="21"/>
                <w:vertAlign w:val="baseline"/>
              </w:rPr>
              <w:t>（2）检测标准应依照：GB 20286-2006《公共场所阻燃制品及组件燃烧性能要求和标识》要求检测，检测内容应包含：阻燃性能，检测要求为：①热释放速率峰值≤150kW、②5min内放出的总能盘≤30MJ、③最大烟密度&lt;75%、④无有焰燃烧引燃或阴燃引燃现象；检测结果为：阻燃1级。</w:t>
            </w:r>
          </w:p>
          <w:p w14:paraId="32D6E85A">
            <w:pPr>
              <w:spacing w:line="240" w:lineRule="auto"/>
              <w:jc w:val="left"/>
              <w:rPr>
                <w:rFonts w:hint="eastAsia"/>
                <w:sz w:val="18"/>
                <w:szCs w:val="21"/>
                <w:vertAlign w:val="baseline"/>
              </w:rPr>
            </w:pPr>
            <w:r>
              <w:rPr>
                <w:rFonts w:hint="eastAsia"/>
                <w:sz w:val="18"/>
                <w:szCs w:val="21"/>
                <w:vertAlign w:val="baseline"/>
              </w:rPr>
              <w:t>（3）检测标准应依照：GB/T1741-2020《漆膜耐霉菌性测定法》要求检测，检测内容应包含：耐霉菌性等级，菌类至少包含如下：黑曲霉、土曲霉、黄曲霉、宛氏拟青霉、桔青霉、绳状青霉、球毛壳、绿色木霉、出芽短梗霉、杂色曲霉，其检测要求如下：0级：不长，即肉眼观察未见生长；1级：痕迹生长，即肉眼可见生长但生长覆盖面积小于试验样品总面积的10%；2级：轻微生长，霉菌的菌落断续蔓延或松散分布于基质表面，霉菌生长占总面积30%以下；3级：中量生长，霉菌较大量生长和繁殖，占总面积70%以下；4级：严重生长，霉菌大量生长繁殖，占总面积70%以上；其菌类检测结果应为0级。</w:t>
            </w:r>
          </w:p>
          <w:p w14:paraId="6FB87225">
            <w:pPr>
              <w:spacing w:line="240" w:lineRule="auto"/>
              <w:jc w:val="left"/>
              <w:rPr>
                <w:rFonts w:hint="eastAsia"/>
                <w:vertAlign w:val="baseline"/>
              </w:rPr>
            </w:pPr>
            <w:r>
              <w:rPr>
                <w:rFonts w:hint="eastAsia"/>
                <w:sz w:val="18"/>
                <w:szCs w:val="21"/>
                <w:vertAlign w:val="baseline"/>
              </w:rPr>
              <w:t>★投标时提供带CMA或CNAS标识的第三方检测机构出具的检测报告扫描件佐证“锦纶钢丝绳缆技术参数要求中符合（1）-（3）项内容要求”，检测报告需支持座机电话或400电话查询，并提供检测机构网址查询及截图。</w:t>
            </w:r>
          </w:p>
        </w:tc>
        <w:tc>
          <w:tcPr>
            <w:tcW w:w="795" w:type="dxa"/>
          </w:tcPr>
          <w:p w14:paraId="6F9B4E5E">
            <w:pPr>
              <w:jc w:val="center"/>
              <w:rPr>
                <w:rFonts w:hint="eastAsia" w:eastAsiaTheme="minorEastAsia"/>
                <w:vertAlign w:val="baseline"/>
                <w:lang w:eastAsia="zh-CN"/>
              </w:rPr>
            </w:pPr>
            <w:r>
              <w:rPr>
                <w:rFonts w:hint="eastAsia"/>
                <w:vertAlign w:val="baseline"/>
                <w:lang w:val="en-US" w:eastAsia="zh-CN"/>
              </w:rPr>
              <w:t>套</w:t>
            </w:r>
          </w:p>
        </w:tc>
        <w:tc>
          <w:tcPr>
            <w:tcW w:w="794" w:type="dxa"/>
          </w:tcPr>
          <w:p w14:paraId="74D358D5">
            <w:pPr>
              <w:jc w:val="center"/>
              <w:rPr>
                <w:rFonts w:hint="eastAsia" w:eastAsiaTheme="minorEastAsia"/>
                <w:vertAlign w:val="baseline"/>
                <w:lang w:eastAsia="zh-CN"/>
              </w:rPr>
            </w:pPr>
            <w:r>
              <w:rPr>
                <w:rFonts w:hint="eastAsia"/>
                <w:vertAlign w:val="baseline"/>
                <w:lang w:val="en-US" w:eastAsia="zh-CN"/>
              </w:rPr>
              <w:t>1</w:t>
            </w:r>
          </w:p>
        </w:tc>
      </w:tr>
      <w:tr w14:paraId="40F41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3" w:hRule="atLeast"/>
        </w:trPr>
        <w:tc>
          <w:tcPr>
            <w:tcW w:w="14174" w:type="dxa"/>
            <w:gridSpan w:val="5"/>
          </w:tcPr>
          <w:p w14:paraId="030005FC">
            <w:pPr>
              <w:jc w:val="center"/>
              <w:rPr>
                <w:rFonts w:hint="eastAsia"/>
                <w:vertAlign w:val="baseline"/>
                <w:lang w:val="en-US" w:eastAsia="zh-CN"/>
              </w:rPr>
            </w:pPr>
            <w:r>
              <w:rPr>
                <w:rFonts w:hint="eastAsia"/>
                <w:vertAlign w:val="baseline"/>
                <w:lang w:val="en-US" w:eastAsia="zh-CN"/>
              </w:rPr>
              <w:drawing>
                <wp:inline distT="0" distB="0" distL="114300" distR="114300">
                  <wp:extent cx="2638425" cy="1438275"/>
                  <wp:effectExtent l="0" t="0" r="9525" b="9525"/>
                  <wp:docPr id="19" name="图片 19" descr="e9df4550-38b4-455a-9c5a-6b37b8fae2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9df4550-38b4-455a-9c5a-6b37b8fae26e"/>
                          <pic:cNvPicPr>
                            <a:picLocks noChangeAspect="1"/>
                          </pic:cNvPicPr>
                        </pic:nvPicPr>
                        <pic:blipFill>
                          <a:blip r:embed="rId16"/>
                          <a:stretch>
                            <a:fillRect/>
                          </a:stretch>
                        </pic:blipFill>
                        <pic:spPr>
                          <a:xfrm>
                            <a:off x="0" y="0"/>
                            <a:ext cx="2638425" cy="1438275"/>
                          </a:xfrm>
                          <a:prstGeom prst="rect">
                            <a:avLst/>
                          </a:prstGeom>
                        </pic:spPr>
                      </pic:pic>
                    </a:graphicData>
                  </a:graphic>
                </wp:inline>
              </w:drawing>
            </w:r>
          </w:p>
        </w:tc>
      </w:tr>
      <w:tr w14:paraId="13A63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825" w:type="dxa"/>
          </w:tcPr>
          <w:p w14:paraId="4AFBF138">
            <w:pPr>
              <w:jc w:val="center"/>
              <w:rPr>
                <w:rFonts w:hint="eastAsia"/>
                <w:vertAlign w:val="baseline"/>
              </w:rPr>
            </w:pPr>
            <w:r>
              <w:rPr>
                <w:rFonts w:hint="eastAsia"/>
                <w:vertAlign w:val="baseline"/>
              </w:rPr>
              <w:t>序号</w:t>
            </w:r>
          </w:p>
        </w:tc>
        <w:tc>
          <w:tcPr>
            <w:tcW w:w="1290" w:type="dxa"/>
          </w:tcPr>
          <w:p w14:paraId="59EA9835">
            <w:pPr>
              <w:jc w:val="center"/>
              <w:rPr>
                <w:rFonts w:hint="eastAsia"/>
                <w:vertAlign w:val="baseline"/>
              </w:rPr>
            </w:pPr>
            <w:r>
              <w:rPr>
                <w:rFonts w:hint="eastAsia"/>
                <w:vertAlign w:val="baseline"/>
              </w:rPr>
              <w:t>产品名称</w:t>
            </w:r>
          </w:p>
        </w:tc>
        <w:tc>
          <w:tcPr>
            <w:tcW w:w="10470" w:type="dxa"/>
          </w:tcPr>
          <w:p w14:paraId="5F763A3F">
            <w:pPr>
              <w:jc w:val="center"/>
              <w:rPr>
                <w:rFonts w:hint="eastAsia"/>
                <w:vertAlign w:val="baseline"/>
              </w:rPr>
            </w:pPr>
            <w:r>
              <w:rPr>
                <w:rFonts w:hint="eastAsia"/>
                <w:vertAlign w:val="baseline"/>
              </w:rPr>
              <w:t>备注</w:t>
            </w:r>
          </w:p>
        </w:tc>
        <w:tc>
          <w:tcPr>
            <w:tcW w:w="795" w:type="dxa"/>
          </w:tcPr>
          <w:p w14:paraId="17BA71C2">
            <w:pPr>
              <w:jc w:val="center"/>
              <w:rPr>
                <w:rFonts w:hint="eastAsia"/>
                <w:vertAlign w:val="baseline"/>
              </w:rPr>
            </w:pPr>
            <w:r>
              <w:rPr>
                <w:rFonts w:hint="eastAsia"/>
                <w:vertAlign w:val="baseline"/>
              </w:rPr>
              <w:t>单位</w:t>
            </w:r>
          </w:p>
        </w:tc>
        <w:tc>
          <w:tcPr>
            <w:tcW w:w="794" w:type="dxa"/>
          </w:tcPr>
          <w:p w14:paraId="40466937">
            <w:pPr>
              <w:jc w:val="center"/>
              <w:rPr>
                <w:rFonts w:hint="eastAsia"/>
                <w:vertAlign w:val="baseline"/>
              </w:rPr>
            </w:pPr>
            <w:r>
              <w:rPr>
                <w:rFonts w:hint="eastAsia"/>
                <w:vertAlign w:val="baseline"/>
              </w:rPr>
              <w:t>数量</w:t>
            </w:r>
          </w:p>
        </w:tc>
      </w:tr>
      <w:tr w14:paraId="55AAA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25" w:type="dxa"/>
          </w:tcPr>
          <w:p w14:paraId="2F8EA07F">
            <w:pPr>
              <w:jc w:val="center"/>
              <w:rPr>
                <w:rFonts w:hint="eastAsia" w:eastAsiaTheme="minorEastAsia"/>
                <w:vertAlign w:val="baseline"/>
                <w:lang w:val="en-US" w:eastAsia="zh-CN"/>
              </w:rPr>
            </w:pPr>
            <w:r>
              <w:rPr>
                <w:rFonts w:hint="eastAsia"/>
                <w:vertAlign w:val="baseline"/>
                <w:lang w:val="en-US" w:eastAsia="zh-CN"/>
              </w:rPr>
              <w:t>6</w:t>
            </w:r>
          </w:p>
        </w:tc>
        <w:tc>
          <w:tcPr>
            <w:tcW w:w="1290" w:type="dxa"/>
          </w:tcPr>
          <w:p w14:paraId="35639F73">
            <w:pPr>
              <w:jc w:val="center"/>
              <w:rPr>
                <w:rFonts w:hint="eastAsia"/>
                <w:vertAlign w:val="baseline"/>
              </w:rPr>
            </w:pPr>
            <w:r>
              <w:rPr>
                <w:rFonts w:hint="eastAsia"/>
                <w:vertAlign w:val="baseline"/>
              </w:rPr>
              <w:t>木工坊坡道组合</w:t>
            </w:r>
          </w:p>
        </w:tc>
        <w:tc>
          <w:tcPr>
            <w:tcW w:w="10470" w:type="dxa"/>
          </w:tcPr>
          <w:p w14:paraId="489FB4A6">
            <w:pPr>
              <w:spacing w:line="240" w:lineRule="auto"/>
              <w:jc w:val="left"/>
              <w:rPr>
                <w:rFonts w:hint="eastAsia"/>
                <w:sz w:val="18"/>
                <w:szCs w:val="21"/>
                <w:vertAlign w:val="baseline"/>
              </w:rPr>
            </w:pPr>
            <w:r>
              <w:rPr>
                <w:rFonts w:hint="eastAsia"/>
                <w:sz w:val="18"/>
                <w:szCs w:val="21"/>
                <w:vertAlign w:val="baseline"/>
              </w:rPr>
              <w:t>1、整体占地面积≥14000*6600*2700mm</w:t>
            </w:r>
          </w:p>
          <w:p w14:paraId="75311B6F">
            <w:pPr>
              <w:spacing w:line="240" w:lineRule="auto"/>
              <w:jc w:val="left"/>
              <w:rPr>
                <w:rFonts w:hint="eastAsia"/>
                <w:sz w:val="18"/>
                <w:szCs w:val="21"/>
                <w:vertAlign w:val="baseline"/>
              </w:rPr>
            </w:pPr>
            <w:r>
              <w:rPr>
                <w:rFonts w:hint="eastAsia"/>
                <w:sz w:val="18"/>
                <w:szCs w:val="21"/>
                <w:vertAlign w:val="baseline"/>
              </w:rPr>
              <w:t>2、结构立柱采用100mm*100mm*3mm镀锌管定制，面饰氟碳漆；活动平台采用100mm*100mm*3mm镀锌管边框、50mm*50mm*3mm镀锌管龙骨、上层铺设厚度≥1.5mm镀锌钢板，热镀锌钢管和扣件连接工艺，产品铁件经整体加工成型后经除油、除锈、中和、磷化、钝化、抛丸等前处理,表面平滑，不易生锈。表面喷涂户外环保聚酯粉末涂料，抗紫外线，色泽艳丽，不易脱落，日久弥新；喷涂设备采用计算机控制的静电粉末喷涂装置，粉末回收采用小旋风和进口滤心，高效率、无污染。</w:t>
            </w:r>
          </w:p>
          <w:p w14:paraId="4DF5AEC7">
            <w:pPr>
              <w:spacing w:line="240" w:lineRule="auto"/>
              <w:jc w:val="left"/>
              <w:rPr>
                <w:rFonts w:hint="eastAsia"/>
                <w:sz w:val="18"/>
                <w:szCs w:val="21"/>
                <w:vertAlign w:val="baseline"/>
              </w:rPr>
            </w:pPr>
            <w:r>
              <w:rPr>
                <w:rFonts w:hint="eastAsia"/>
                <w:sz w:val="18"/>
                <w:szCs w:val="21"/>
                <w:vertAlign w:val="baseline"/>
              </w:rPr>
              <w:t xml:space="preserve">3、上层活动区域铺设人造草：三色草   簇密度：16800针/㎡  纤度：8800   材质：PP+PE(加筋直丝+曲丝)   草高：25mm  草纤维宽度：≥1mm  草纤维厚度：≥120μm  针距：3/8  颜色：三色草  卷幅：4m  卷 长：25m(可根据场地尺寸订制）     抗静电性：C级   底 布：单底布+网格  表面电阻率： ≥10¹²Ω，  渗水性：：≥67 L/min/㎡   色牢度：DIN54004    7级U/V指标：DIN53387≥3000hr   编织方式（DIN6115标准）：簇状   底布背胶：进口羧基丁苯胶乳混合物   涂胶方式：喷涂工艺  底布材质  底布重量（g/㎡）：135g单底布加网格  草底透气孔孔径（mm): 3-5 ±1mm草底透气孔数量(个/㎡）：30～90（根据客户要求）  草坪总重（g/㎡）：2850  ±5%   应用范围：幼儿园、庭院、绿化等                                          </w:t>
            </w:r>
          </w:p>
          <w:p w14:paraId="5E7552A5">
            <w:pPr>
              <w:spacing w:line="240" w:lineRule="auto"/>
              <w:jc w:val="left"/>
              <w:rPr>
                <w:rFonts w:hint="eastAsia"/>
                <w:sz w:val="18"/>
                <w:szCs w:val="21"/>
                <w:vertAlign w:val="baseline"/>
              </w:rPr>
            </w:pPr>
            <w:r>
              <w:rPr>
                <w:rFonts w:hint="eastAsia"/>
                <w:sz w:val="18"/>
                <w:szCs w:val="21"/>
                <w:vertAlign w:val="baseline"/>
              </w:rPr>
              <w:t>▲1、所投人造草坪产品需提供至少210项高度关注有害有毒化学物质的检测报告。</w:t>
            </w:r>
          </w:p>
          <w:p w14:paraId="2CEA0F2E">
            <w:pPr>
              <w:spacing w:line="240" w:lineRule="auto"/>
              <w:jc w:val="left"/>
              <w:rPr>
                <w:rFonts w:hint="eastAsia"/>
                <w:sz w:val="18"/>
                <w:szCs w:val="21"/>
                <w:vertAlign w:val="baseline"/>
              </w:rPr>
            </w:pPr>
            <w:r>
              <w:rPr>
                <w:rFonts w:hint="eastAsia"/>
                <w:sz w:val="18"/>
                <w:szCs w:val="21"/>
                <w:vertAlign w:val="baseline"/>
              </w:rPr>
              <w:t>▲2、所投人造草坪产品需提供抗老化检测，检测时长为3000小时的检测报告。</w:t>
            </w:r>
          </w:p>
          <w:p w14:paraId="46E2C417">
            <w:pPr>
              <w:spacing w:line="240" w:lineRule="auto"/>
              <w:jc w:val="left"/>
              <w:rPr>
                <w:rFonts w:hint="eastAsia"/>
                <w:sz w:val="18"/>
                <w:szCs w:val="21"/>
                <w:vertAlign w:val="baseline"/>
              </w:rPr>
            </w:pPr>
            <w:r>
              <w:rPr>
                <w:rFonts w:hint="eastAsia"/>
                <w:sz w:val="18"/>
                <w:szCs w:val="21"/>
                <w:vertAlign w:val="baseline"/>
              </w:rPr>
              <w:t>▲3、所投人造草坪产品需提供灰度（ EN 20105-A02） 灰度(1-5)≥3级检测报告。</w:t>
            </w:r>
          </w:p>
          <w:p w14:paraId="65AE292D">
            <w:pPr>
              <w:spacing w:line="240" w:lineRule="auto"/>
              <w:jc w:val="left"/>
              <w:rPr>
                <w:rFonts w:hint="eastAsia"/>
                <w:sz w:val="18"/>
                <w:szCs w:val="21"/>
                <w:vertAlign w:val="baseline"/>
              </w:rPr>
            </w:pPr>
            <w:r>
              <w:rPr>
                <w:rFonts w:hint="eastAsia"/>
                <w:sz w:val="18"/>
                <w:szCs w:val="21"/>
                <w:vertAlign w:val="baseline"/>
              </w:rPr>
              <w:t>▲4、所投人造草坪产品需提供具有总挥发性有机物TVOC 24小时释放量的检测报告。</w:t>
            </w:r>
          </w:p>
          <w:p w14:paraId="1710547C">
            <w:pPr>
              <w:spacing w:line="240" w:lineRule="auto"/>
              <w:jc w:val="left"/>
              <w:rPr>
                <w:rFonts w:hint="eastAsia"/>
                <w:sz w:val="18"/>
                <w:szCs w:val="21"/>
                <w:vertAlign w:val="baseline"/>
              </w:rPr>
            </w:pPr>
            <w:r>
              <w:rPr>
                <w:rFonts w:hint="eastAsia"/>
                <w:sz w:val="18"/>
                <w:szCs w:val="21"/>
                <w:vertAlign w:val="baseline"/>
              </w:rPr>
              <w:t>▲5、所投人造草坪产品需提供合成高分子材料防霉性的测定。</w:t>
            </w:r>
          </w:p>
          <w:p w14:paraId="68DAAF3E">
            <w:pPr>
              <w:spacing w:line="240" w:lineRule="auto"/>
              <w:jc w:val="left"/>
              <w:rPr>
                <w:rFonts w:hint="eastAsia"/>
                <w:sz w:val="18"/>
                <w:szCs w:val="21"/>
                <w:vertAlign w:val="baseline"/>
              </w:rPr>
            </w:pPr>
            <w:r>
              <w:rPr>
                <w:rFonts w:hint="eastAsia"/>
                <w:sz w:val="18"/>
                <w:szCs w:val="21"/>
                <w:vertAlign w:val="baseline"/>
              </w:rPr>
              <w:t>4、活动区域：障碍围墙*4，攀岩石、攀岩梯、攀岩绳及攀岩轮胎等，起伏区定制攀岩石，环保树脂材质，无毒无味，增加趣味性；打造创意、冒险、趣味游玩栈道，在游戏中探索、发现、计划、思考；</w:t>
            </w:r>
          </w:p>
          <w:p w14:paraId="3AEB4094">
            <w:pPr>
              <w:spacing w:line="240" w:lineRule="auto"/>
              <w:jc w:val="left"/>
              <w:rPr>
                <w:rFonts w:hint="eastAsia"/>
                <w:vertAlign w:val="baseline"/>
              </w:rPr>
            </w:pPr>
            <w:r>
              <w:rPr>
                <w:rFonts w:hint="eastAsia"/>
                <w:sz w:val="18"/>
                <w:szCs w:val="21"/>
                <w:vertAlign w:val="baseline"/>
              </w:rPr>
              <w:t>5、下层设置木工坊，结构立柱采用100mm*100mm*3mm镀锌管定制，面饰氟碳漆，外表面铺设厚度≥18MM防腐木，表面处理：进行压、刨、铣、冲等处理后，表面刷面饰木纹漆进行防腐、防蛀处理。</w:t>
            </w:r>
          </w:p>
        </w:tc>
        <w:tc>
          <w:tcPr>
            <w:tcW w:w="795" w:type="dxa"/>
          </w:tcPr>
          <w:p w14:paraId="541CE767">
            <w:pPr>
              <w:jc w:val="center"/>
              <w:rPr>
                <w:rFonts w:hint="eastAsia" w:eastAsiaTheme="minorEastAsia"/>
                <w:vertAlign w:val="baseline"/>
                <w:lang w:eastAsia="zh-CN"/>
              </w:rPr>
            </w:pPr>
            <w:r>
              <w:rPr>
                <w:rFonts w:hint="eastAsia"/>
                <w:vertAlign w:val="baseline"/>
                <w:lang w:val="en-US" w:eastAsia="zh-CN"/>
              </w:rPr>
              <w:t>套</w:t>
            </w:r>
          </w:p>
        </w:tc>
        <w:tc>
          <w:tcPr>
            <w:tcW w:w="794" w:type="dxa"/>
          </w:tcPr>
          <w:p w14:paraId="1868B84A">
            <w:pPr>
              <w:jc w:val="center"/>
              <w:rPr>
                <w:rFonts w:hint="eastAsia" w:eastAsiaTheme="minorEastAsia"/>
                <w:vertAlign w:val="baseline"/>
                <w:lang w:eastAsia="zh-CN"/>
              </w:rPr>
            </w:pPr>
            <w:r>
              <w:rPr>
                <w:rFonts w:hint="eastAsia"/>
                <w:vertAlign w:val="baseline"/>
                <w:lang w:val="en-US" w:eastAsia="zh-CN"/>
              </w:rPr>
              <w:t>1</w:t>
            </w:r>
          </w:p>
        </w:tc>
      </w:tr>
      <w:tr w14:paraId="02152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2" w:hRule="atLeast"/>
        </w:trPr>
        <w:tc>
          <w:tcPr>
            <w:tcW w:w="14174" w:type="dxa"/>
            <w:gridSpan w:val="5"/>
          </w:tcPr>
          <w:p w14:paraId="0B5754E5">
            <w:pPr>
              <w:jc w:val="center"/>
              <w:rPr>
                <w:rFonts w:hint="eastAsia"/>
                <w:vertAlign w:val="baseline"/>
                <w:lang w:val="en-US" w:eastAsia="zh-CN"/>
              </w:rPr>
            </w:pPr>
            <w:r>
              <w:rPr>
                <w:rFonts w:hint="eastAsia"/>
                <w:vertAlign w:val="baseline"/>
                <w:lang w:val="en-US" w:eastAsia="zh-CN"/>
              </w:rPr>
              <w:drawing>
                <wp:anchor distT="0" distB="0" distL="114300" distR="114300" simplePos="0" relativeHeight="251663360" behindDoc="1" locked="0" layoutInCell="1" allowOverlap="1">
                  <wp:simplePos x="0" y="0"/>
                  <wp:positionH relativeFrom="column">
                    <wp:posOffset>707390</wp:posOffset>
                  </wp:positionH>
                  <wp:positionV relativeFrom="paragraph">
                    <wp:posOffset>381000</wp:posOffset>
                  </wp:positionV>
                  <wp:extent cx="7581265" cy="4258945"/>
                  <wp:effectExtent l="0" t="0" r="635" b="8255"/>
                  <wp:wrapNone/>
                  <wp:docPr id="7" name="图片 7" descr="95df2fb3-6fd9-4e32-ab4a-97de990de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5df2fb3-6fd9-4e32-ab4a-97de990de553"/>
                          <pic:cNvPicPr>
                            <a:picLocks noChangeAspect="1"/>
                          </pic:cNvPicPr>
                        </pic:nvPicPr>
                        <pic:blipFill>
                          <a:blip r:embed="rId17"/>
                          <a:stretch>
                            <a:fillRect/>
                          </a:stretch>
                        </pic:blipFill>
                        <pic:spPr>
                          <a:xfrm>
                            <a:off x="0" y="0"/>
                            <a:ext cx="7581265" cy="4258945"/>
                          </a:xfrm>
                          <a:prstGeom prst="rect">
                            <a:avLst/>
                          </a:prstGeom>
                        </pic:spPr>
                      </pic:pic>
                    </a:graphicData>
                  </a:graphic>
                </wp:anchor>
              </w:drawing>
            </w:r>
          </w:p>
        </w:tc>
      </w:tr>
    </w:tbl>
    <w:p w14:paraId="77F287CD">
      <w:pPr>
        <w:pStyle w:val="36"/>
        <w:rPr>
          <w:rFonts w:hint="default" w:ascii="宋体" w:hAnsi="宋体" w:eastAsia="宋体" w:cstheme="minorBidi"/>
          <w:b/>
          <w:bCs/>
          <w:iCs/>
          <w:snapToGrid w:val="0"/>
          <w:color w:val="auto"/>
          <w:kern w:val="2"/>
          <w:sz w:val="24"/>
          <w:szCs w:val="24"/>
          <w:highlight w:val="none"/>
          <w:shd w:val="clear" w:color="auto" w:fill="FFFFFF" w:themeFill="background1"/>
          <w:lang w:val="en-US" w:eastAsia="zh-CN" w:bidi="ar-SA"/>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3686EE23">
      <w:pPr>
        <w:pStyle w:val="36"/>
        <w:rPr>
          <w:rFonts w:hint="default" w:ascii="宋体" w:hAnsi="宋体" w:eastAsia="宋体" w:cstheme="minorBidi"/>
          <w:b/>
          <w:bCs/>
          <w:iCs/>
          <w:snapToGrid w:val="0"/>
          <w:color w:val="auto"/>
          <w:kern w:val="2"/>
          <w:sz w:val="24"/>
          <w:szCs w:val="24"/>
          <w:highlight w:val="none"/>
          <w:shd w:val="clear" w:color="auto" w:fill="FFFFFF" w:themeFill="background1"/>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eastAsia"/>
          <w:b/>
          <w:bCs/>
          <w:snapToGrid w:val="0"/>
          <w:color w:val="auto"/>
          <w:sz w:val="24"/>
          <w:szCs w:val="24"/>
          <w:highlight w:val="none"/>
          <w:lang w:val="en-US" w:eastAsia="zh-CN"/>
        </w:rPr>
        <w:t>以“★”号作醒目标识</w:t>
      </w:r>
      <w:r>
        <w:rPr>
          <w:rFonts w:hint="eastAsia"/>
          <w:b/>
          <w:bCs/>
          <w:i w:val="0"/>
          <w:iCs w:val="0"/>
          <w:snapToGrid w:val="0"/>
          <w:color w:val="auto"/>
          <w:sz w:val="24"/>
          <w:szCs w:val="24"/>
          <w:highlight w:val="none"/>
          <w:lang w:val="en-US" w:eastAsia="zh-CN"/>
        </w:rPr>
        <w:t>的为</w:t>
      </w:r>
      <w:r>
        <w:rPr>
          <w:rFonts w:hint="eastAsia"/>
          <w:b/>
          <w:bCs/>
          <w:snapToGrid w:val="0"/>
          <w:color w:val="auto"/>
          <w:sz w:val="24"/>
          <w:szCs w:val="24"/>
          <w:highlight w:val="none"/>
          <w:lang w:val="en-US" w:eastAsia="zh-CN"/>
        </w:rPr>
        <w:t>实质性响应条款要求，以上清单技术参数需全部响应。</w:t>
      </w:r>
    </w:p>
    <w:bookmarkEnd w:id="257"/>
    <w:bookmarkEnd w:id="258"/>
    <w:bookmarkEnd w:id="259"/>
    <w:p w14:paraId="11B227F7">
      <w:pPr>
        <w:pStyle w:val="2"/>
        <w:keepNext/>
        <w:keepLines/>
        <w:pageBreakBefore w:val="0"/>
        <w:widowControl w:val="0"/>
        <w:numPr>
          <w:ilvl w:val="0"/>
          <w:numId w:val="0"/>
        </w:numPr>
        <w:kinsoku/>
        <w:wordWrap/>
        <w:overflowPunct/>
        <w:topLinePunct w:val="0"/>
        <w:autoSpaceDE/>
        <w:autoSpaceDN/>
        <w:bidi w:val="0"/>
        <w:adjustRightInd/>
        <w:snapToGrid/>
        <w:spacing w:before="100" w:after="100" w:line="480" w:lineRule="auto"/>
        <w:jc w:val="center"/>
        <w:textAlignment w:val="auto"/>
        <w:rPr>
          <w:rFonts w:hint="eastAsia" w:ascii="宋体" w:hAnsi="宋体" w:eastAsia="宋体" w:cs="宋体"/>
          <w:b/>
          <w:bCs/>
          <w:color w:val="auto"/>
          <w:kern w:val="44"/>
          <w:sz w:val="36"/>
          <w:szCs w:val="36"/>
          <w:highlight w:val="none"/>
          <w:lang w:val="en-US" w:eastAsia="zh-CN" w:bidi="ar-SA"/>
        </w:rPr>
      </w:pPr>
      <w:bookmarkStart w:id="260" w:name="_Toc155185895"/>
      <w:bookmarkStart w:id="261" w:name="_Toc12252"/>
      <w:bookmarkStart w:id="262" w:name="_Toc163492892"/>
      <w:r>
        <w:rPr>
          <w:rFonts w:hint="eastAsia" w:ascii="宋体" w:hAnsi="宋体" w:eastAsia="宋体" w:cs="宋体"/>
          <w:b/>
          <w:bCs/>
          <w:color w:val="auto"/>
          <w:kern w:val="44"/>
          <w:sz w:val="36"/>
          <w:szCs w:val="36"/>
          <w:highlight w:val="none"/>
          <w:lang w:val="en-US" w:eastAsia="zh-CN" w:bidi="ar-SA"/>
        </w:rPr>
        <w:t>第四章 资格审查</w:t>
      </w:r>
      <w:bookmarkEnd w:id="260"/>
      <w:bookmarkEnd w:id="261"/>
      <w:bookmarkEnd w:id="262"/>
    </w:p>
    <w:p w14:paraId="2133133E">
      <w:pPr>
        <w:pStyle w:val="3"/>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color w:val="auto"/>
          <w:sz w:val="28"/>
          <w:szCs w:val="28"/>
          <w:highlight w:val="none"/>
          <w:lang w:val="zh-CN" w:eastAsia="zh-CN"/>
        </w:rPr>
      </w:pPr>
      <w:bookmarkStart w:id="263" w:name="_Toc17619"/>
      <w:r>
        <w:rPr>
          <w:rFonts w:hint="eastAsia"/>
          <w:color w:val="auto"/>
          <w:sz w:val="28"/>
          <w:szCs w:val="28"/>
          <w:highlight w:val="none"/>
          <w:lang w:val="en-US" w:eastAsia="zh-CN"/>
        </w:rPr>
        <w:t>一、资格审查程序</w:t>
      </w:r>
      <w:bookmarkEnd w:id="263"/>
      <w:r>
        <w:rPr>
          <w:rFonts w:hint="eastAsia"/>
          <w:color w:val="auto"/>
          <w:sz w:val="28"/>
          <w:szCs w:val="28"/>
          <w:highlight w:val="none"/>
          <w:lang w:val="en-US" w:eastAsia="zh-CN"/>
        </w:rPr>
        <w:t xml:space="preserve"> </w:t>
      </w:r>
    </w:p>
    <w:p w14:paraId="4E4090D3">
      <w:pPr>
        <w:pStyle w:val="38"/>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1 开标结束后，采购人或采购代理机构将根据《资格审查要求》中的规定，对投标人进行资格审查，并形成资格审查结果。 </w:t>
      </w:r>
    </w:p>
    <w:p w14:paraId="62799CDE">
      <w:pPr>
        <w:pStyle w:val="38"/>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 投标人《资格证明文件》有任何一项不符合《资格审查要求》的，资格审查不合格，其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 xml:space="preserve">。 </w:t>
      </w:r>
    </w:p>
    <w:p w14:paraId="37E914D8">
      <w:pPr>
        <w:pStyle w:val="38"/>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3 资格审查合格的投标人不足 3 家的，不进行评标。 </w:t>
      </w:r>
    </w:p>
    <w:p w14:paraId="1720E868">
      <w:pPr>
        <w:pStyle w:val="3"/>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color w:val="auto"/>
          <w:sz w:val="28"/>
          <w:szCs w:val="28"/>
          <w:highlight w:val="none"/>
          <w:lang w:val="en-US" w:eastAsia="zh-CN"/>
        </w:rPr>
      </w:pPr>
      <w:bookmarkStart w:id="264" w:name="_Toc5337"/>
      <w:r>
        <w:rPr>
          <w:rFonts w:hint="eastAsia"/>
          <w:color w:val="auto"/>
          <w:sz w:val="28"/>
          <w:szCs w:val="28"/>
          <w:highlight w:val="none"/>
          <w:lang w:val="en-US" w:eastAsia="zh-CN"/>
        </w:rPr>
        <w:t>二、资格审查要求</w:t>
      </w:r>
      <w:bookmarkEnd w:id="264"/>
      <w:r>
        <w:rPr>
          <w:rFonts w:hint="eastAsia"/>
          <w:color w:val="auto"/>
          <w:sz w:val="28"/>
          <w:szCs w:val="28"/>
          <w:highlight w:val="none"/>
          <w:lang w:val="en-US" w:eastAsia="zh-CN"/>
        </w:rPr>
        <w:t xml:space="preserve"> </w:t>
      </w:r>
    </w:p>
    <w:tbl>
      <w:tblPr>
        <w:tblStyle w:val="30"/>
        <w:tblW w:w="54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822"/>
        <w:gridCol w:w="1872"/>
        <w:gridCol w:w="5165"/>
        <w:gridCol w:w="1500"/>
      </w:tblGrid>
      <w:tr w14:paraId="4C40C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439" w:type="pct"/>
            <w:shd w:val="clear" w:color="auto" w:fill="D8D8D8" w:themeFill="background1" w:themeFillShade="D9"/>
            <w:vAlign w:val="center"/>
          </w:tcPr>
          <w:p w14:paraId="31F150F3">
            <w:pPr>
              <w:pStyle w:val="50"/>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1000" w:type="pct"/>
            <w:shd w:val="clear" w:color="auto" w:fill="D8D8D8" w:themeFill="background1" w:themeFillShade="D9"/>
            <w:vAlign w:val="center"/>
          </w:tcPr>
          <w:p w14:paraId="29694278">
            <w:pPr>
              <w:pStyle w:val="50"/>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审查因素</w:t>
            </w:r>
          </w:p>
        </w:tc>
        <w:tc>
          <w:tcPr>
            <w:tcW w:w="2759" w:type="pct"/>
            <w:shd w:val="clear" w:color="auto" w:fill="D8D8D8" w:themeFill="background1" w:themeFillShade="D9"/>
            <w:vAlign w:val="center"/>
          </w:tcPr>
          <w:p w14:paraId="635BC09B">
            <w:pPr>
              <w:pStyle w:val="50"/>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审查内容</w:t>
            </w:r>
          </w:p>
        </w:tc>
        <w:tc>
          <w:tcPr>
            <w:tcW w:w="801" w:type="pct"/>
            <w:shd w:val="clear" w:color="auto" w:fill="D8D8D8" w:themeFill="background1" w:themeFillShade="D9"/>
            <w:vAlign w:val="center"/>
          </w:tcPr>
          <w:p w14:paraId="6075A15A">
            <w:pPr>
              <w:pStyle w:val="50"/>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格式要求</w:t>
            </w:r>
          </w:p>
        </w:tc>
      </w:tr>
      <w:tr w14:paraId="26E76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439" w:type="pct"/>
            <w:shd w:val="clear" w:color="auto" w:fill="FFFFFF" w:themeFill="background1"/>
            <w:vAlign w:val="center"/>
          </w:tcPr>
          <w:p w14:paraId="1AF8CF7F">
            <w:pPr>
              <w:pStyle w:val="50"/>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lang w:val="en-US" w:eastAsia="zh-CN"/>
              </w:rPr>
            </w:pPr>
            <w:r>
              <w:rPr>
                <w:rFonts w:hint="eastAsia" w:cs="宋体"/>
                <w:b/>
                <w:bCs/>
                <w:color w:val="auto"/>
                <w:sz w:val="24"/>
                <w:szCs w:val="24"/>
                <w:highlight w:val="none"/>
                <w:lang w:val="en-US" w:eastAsia="zh-CN"/>
              </w:rPr>
              <w:t>1</w:t>
            </w:r>
          </w:p>
        </w:tc>
        <w:tc>
          <w:tcPr>
            <w:tcW w:w="1000" w:type="pct"/>
            <w:shd w:val="clear" w:color="auto" w:fill="FFFFFF" w:themeFill="background1"/>
            <w:vAlign w:val="center"/>
          </w:tcPr>
          <w:p w14:paraId="055CD5DC">
            <w:pPr>
              <w:pStyle w:val="50"/>
              <w:keepNext w:val="0"/>
              <w:keepLines w:val="0"/>
              <w:pageBreakBefore w:val="0"/>
              <w:kinsoku/>
              <w:wordWrap/>
              <w:overflowPunct/>
              <w:topLinePunct w:val="0"/>
              <w:autoSpaceDE/>
              <w:autoSpaceDN/>
              <w:bidi w:val="0"/>
              <w:adjustRightInd/>
              <w:snapToGrid/>
              <w:spacing w:line="28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营业执照等证明文件</w:t>
            </w:r>
          </w:p>
        </w:tc>
        <w:tc>
          <w:tcPr>
            <w:tcW w:w="2759" w:type="pct"/>
            <w:shd w:val="clear" w:color="auto" w:fill="FFFFFF" w:themeFill="background1"/>
            <w:vAlign w:val="center"/>
          </w:tcPr>
          <w:p w14:paraId="3CB6034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auto"/>
              <w:rPr>
                <w:rFonts w:hint="eastAsia" w:ascii="宋体" w:hAnsi="宋体" w:eastAsia="宋体" w:cs="宋体"/>
                <w:color w:val="auto"/>
                <w:spacing w:val="-6"/>
                <w:sz w:val="24"/>
                <w:szCs w:val="24"/>
                <w:highlight w:val="none"/>
                <w:lang w:val="en-US" w:eastAsia="zh-CN"/>
              </w:rPr>
            </w:pPr>
            <w:r>
              <w:rPr>
                <w:rFonts w:hint="eastAsia" w:ascii="宋体" w:hAnsi="宋体" w:eastAsia="宋体" w:cs="宋体"/>
                <w:color w:val="auto"/>
                <w:spacing w:val="-6"/>
                <w:kern w:val="0"/>
                <w:sz w:val="24"/>
                <w:szCs w:val="24"/>
                <w:highlight w:val="none"/>
                <w:lang w:val="en-US" w:eastAsia="zh-CN" w:bidi="ar"/>
              </w:rPr>
              <w:t>应提供有效的“营业执照”</w:t>
            </w:r>
          </w:p>
        </w:tc>
        <w:tc>
          <w:tcPr>
            <w:tcW w:w="801" w:type="pct"/>
            <w:shd w:val="clear" w:color="auto" w:fill="FFFFFF" w:themeFill="background1"/>
            <w:vAlign w:val="center"/>
          </w:tcPr>
          <w:p w14:paraId="60CD4B8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提供证明文件的电子件或电子证照</w:t>
            </w:r>
          </w:p>
        </w:tc>
      </w:tr>
      <w:tr w14:paraId="5486F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764" w:hRule="atLeast"/>
          <w:jc w:val="center"/>
        </w:trPr>
        <w:tc>
          <w:tcPr>
            <w:tcW w:w="439" w:type="pct"/>
            <w:shd w:val="clear" w:color="auto" w:fill="FFFFFF" w:themeFill="background1"/>
            <w:vAlign w:val="center"/>
          </w:tcPr>
          <w:p w14:paraId="1B6B10C6">
            <w:pPr>
              <w:pStyle w:val="50"/>
              <w:keepNext w:val="0"/>
              <w:keepLines w:val="0"/>
              <w:pageBreakBefore w:val="0"/>
              <w:kinsoku/>
              <w:wordWrap/>
              <w:overflowPunct/>
              <w:topLinePunct w:val="0"/>
              <w:autoSpaceDE/>
              <w:autoSpaceDN/>
              <w:bidi w:val="0"/>
              <w:adjustRightInd/>
              <w:snapToGrid/>
              <w:jc w:val="center"/>
              <w:textAlignment w:val="auto"/>
              <w:rPr>
                <w:rFonts w:hint="default" w:ascii="宋体" w:hAnsi="宋体" w:eastAsia="宋体" w:cs="宋体"/>
                <w:b/>
                <w:bCs/>
                <w:color w:val="auto"/>
                <w:sz w:val="24"/>
                <w:szCs w:val="24"/>
                <w:highlight w:val="none"/>
                <w:lang w:val="en-US" w:eastAsia="zh-CN"/>
              </w:rPr>
            </w:pPr>
            <w:r>
              <w:rPr>
                <w:rFonts w:hint="eastAsia" w:cs="宋体"/>
                <w:b/>
                <w:bCs/>
                <w:color w:val="auto"/>
                <w:sz w:val="24"/>
                <w:szCs w:val="24"/>
                <w:highlight w:val="none"/>
                <w:lang w:val="en-US" w:eastAsia="zh-CN"/>
              </w:rPr>
              <w:t>2</w:t>
            </w:r>
          </w:p>
        </w:tc>
        <w:tc>
          <w:tcPr>
            <w:tcW w:w="1000" w:type="pct"/>
            <w:shd w:val="clear" w:color="auto" w:fill="FFFFFF" w:themeFill="background1"/>
            <w:vAlign w:val="center"/>
          </w:tcPr>
          <w:p w14:paraId="1BD0E12D">
            <w:pPr>
              <w:pStyle w:val="50"/>
              <w:keepNext w:val="0"/>
              <w:keepLines w:val="0"/>
              <w:pageBreakBefore w:val="0"/>
              <w:kinsoku/>
              <w:wordWrap/>
              <w:overflowPunct/>
              <w:topLinePunct w:val="0"/>
              <w:autoSpaceDE/>
              <w:autoSpaceDN/>
              <w:bidi w:val="0"/>
              <w:adjustRightInd/>
              <w:snapToGrid/>
              <w:spacing w:line="28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投标人信用承诺函</w:t>
            </w:r>
          </w:p>
        </w:tc>
        <w:tc>
          <w:tcPr>
            <w:tcW w:w="2759" w:type="pct"/>
            <w:shd w:val="clear" w:color="auto" w:fill="FFFFFF" w:themeFill="background1"/>
            <w:vAlign w:val="center"/>
          </w:tcPr>
          <w:p w14:paraId="041E784F">
            <w:pPr>
              <w:pStyle w:val="50"/>
              <w:keepNext w:val="0"/>
              <w:keepLines w:val="0"/>
              <w:pageBreakBefore w:val="0"/>
              <w:kinsoku/>
              <w:wordWrap/>
              <w:overflowPunct/>
              <w:topLinePunct w:val="0"/>
              <w:autoSpaceDE/>
              <w:autoSpaceDN/>
              <w:bidi w:val="0"/>
              <w:adjustRightInd/>
              <w:snapToGrid/>
              <w:spacing w:line="28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提供了符合招标文件要求的《政府采购供应商信用承诺函》。</w:t>
            </w:r>
          </w:p>
        </w:tc>
        <w:tc>
          <w:tcPr>
            <w:tcW w:w="801" w:type="pct"/>
            <w:shd w:val="clear" w:color="auto" w:fill="FFFFFF" w:themeFill="background1"/>
            <w:vAlign w:val="center"/>
          </w:tcPr>
          <w:p w14:paraId="1422A2B6">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格式见《第七章 投标文件格式》</w:t>
            </w:r>
          </w:p>
        </w:tc>
      </w:tr>
      <w:tr w14:paraId="0881D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80" w:hRule="atLeast"/>
          <w:jc w:val="center"/>
        </w:trPr>
        <w:tc>
          <w:tcPr>
            <w:tcW w:w="439" w:type="pct"/>
            <w:shd w:val="clear" w:color="auto" w:fill="FFFFFF" w:themeFill="background1"/>
            <w:vAlign w:val="center"/>
          </w:tcPr>
          <w:p w14:paraId="0A4E48AD">
            <w:pPr>
              <w:pStyle w:val="50"/>
              <w:keepNext w:val="0"/>
              <w:keepLines w:val="0"/>
              <w:pageBreakBefore w:val="0"/>
              <w:kinsoku/>
              <w:wordWrap/>
              <w:overflowPunct/>
              <w:topLinePunct w:val="0"/>
              <w:autoSpaceDE/>
              <w:autoSpaceDN/>
              <w:bidi w:val="0"/>
              <w:adjustRightInd/>
              <w:snapToGrid/>
              <w:jc w:val="center"/>
              <w:textAlignment w:val="auto"/>
              <w:rPr>
                <w:rFonts w:hint="default" w:ascii="宋体" w:hAnsi="宋体" w:eastAsia="宋体" w:cs="宋体"/>
                <w:b/>
                <w:bCs/>
                <w:color w:val="auto"/>
                <w:sz w:val="24"/>
                <w:szCs w:val="24"/>
                <w:highlight w:val="none"/>
                <w:lang w:val="en-US" w:eastAsia="zh-CN"/>
              </w:rPr>
            </w:pPr>
            <w:r>
              <w:rPr>
                <w:rFonts w:hint="eastAsia" w:cs="宋体"/>
                <w:b/>
                <w:bCs/>
                <w:color w:val="auto"/>
                <w:sz w:val="24"/>
                <w:szCs w:val="24"/>
                <w:highlight w:val="none"/>
                <w:lang w:val="en-US" w:eastAsia="zh-CN"/>
              </w:rPr>
              <w:t>3</w:t>
            </w:r>
          </w:p>
        </w:tc>
        <w:tc>
          <w:tcPr>
            <w:tcW w:w="1000" w:type="pct"/>
            <w:shd w:val="clear" w:color="auto" w:fill="FFFFFF" w:themeFill="background1"/>
            <w:vAlign w:val="center"/>
          </w:tcPr>
          <w:p w14:paraId="6F347850">
            <w:pPr>
              <w:pStyle w:val="50"/>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投标人信用记录</w:t>
            </w:r>
          </w:p>
        </w:tc>
        <w:tc>
          <w:tcPr>
            <w:tcW w:w="2759" w:type="pct"/>
            <w:shd w:val="clear" w:color="auto" w:fill="FFFFFF" w:themeFill="background1"/>
            <w:vAlign w:val="center"/>
          </w:tcPr>
          <w:p w14:paraId="747BCCCD">
            <w:pPr>
              <w:pStyle w:val="50"/>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pacing w:val="-6"/>
                <w:sz w:val="24"/>
                <w:szCs w:val="24"/>
                <w:highlight w:val="none"/>
                <w:lang w:val="en-US" w:eastAsia="zh-CN"/>
              </w:rPr>
            </w:pPr>
            <w:r>
              <w:rPr>
                <w:rFonts w:hint="eastAsia" w:ascii="宋体" w:hAnsi="宋体" w:eastAsia="宋体" w:cs="宋体"/>
                <w:color w:val="auto"/>
                <w:spacing w:val="-6"/>
                <w:sz w:val="24"/>
                <w:szCs w:val="24"/>
                <w:highlight w:val="none"/>
                <w:lang w:val="en-US" w:eastAsia="zh-CN"/>
              </w:rPr>
              <w:t xml:space="preserve">查询渠道：信用中国网站和中国政府采购网（ </w:t>
            </w:r>
          </w:p>
          <w:p w14:paraId="4D80C076">
            <w:pPr>
              <w:pStyle w:val="50"/>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6"/>
                <w:sz w:val="24"/>
                <w:szCs w:val="24"/>
                <w:highlight w:val="none"/>
                <w:lang w:val="en-US" w:eastAsia="zh-CN"/>
              </w:rPr>
              <w:t>www.creditchina.gov.cn 、www.ccgp.gov.cn）；</w:t>
            </w:r>
            <w:r>
              <w:rPr>
                <w:rFonts w:hint="eastAsia" w:ascii="宋体" w:hAnsi="宋体" w:eastAsia="宋体" w:cs="宋体"/>
                <w:color w:val="auto"/>
                <w:sz w:val="24"/>
                <w:szCs w:val="24"/>
                <w:highlight w:val="none"/>
                <w:lang w:val="en-US" w:eastAsia="zh-CN"/>
              </w:rPr>
              <w:t xml:space="preserve"> </w:t>
            </w:r>
          </w:p>
          <w:p w14:paraId="496D1252">
            <w:pPr>
              <w:pStyle w:val="50"/>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截止时点：投标截止时间以后、资格审查阶段采购人或采购代理机构的实际查询时间； </w:t>
            </w:r>
          </w:p>
          <w:p w14:paraId="2F28F46E">
            <w:pPr>
              <w:pStyle w:val="50"/>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信用信息查询记录和证据留存具体方式：查询结果网页打印页作为查询记录和证据，与其他采购文件一并保存； </w:t>
            </w:r>
          </w:p>
          <w:p w14:paraId="1A0058F5">
            <w:pPr>
              <w:pStyle w:val="50"/>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6"/>
                <w:sz w:val="24"/>
                <w:szCs w:val="24"/>
                <w:highlight w:val="none"/>
                <w:lang w:val="en-US" w:eastAsia="zh-CN"/>
              </w:rPr>
              <w:t>信用信息的使用原则：经认定的被列入失信被执行人、重大税收违法失信主体、政府采购严重违法失信行为记录名单的投标人，其</w:t>
            </w:r>
            <w:r>
              <w:rPr>
                <w:rFonts w:hint="eastAsia" w:ascii="宋体" w:hAnsi="宋体" w:eastAsia="宋体" w:cs="宋体"/>
                <w:b/>
                <w:bCs/>
                <w:color w:val="auto"/>
                <w:spacing w:val="-6"/>
                <w:sz w:val="24"/>
                <w:szCs w:val="24"/>
                <w:highlight w:val="none"/>
                <w:lang w:val="en-US" w:eastAsia="zh-CN"/>
              </w:rPr>
              <w:t>投标无效</w:t>
            </w:r>
            <w:r>
              <w:rPr>
                <w:rFonts w:hint="eastAsia" w:ascii="宋体" w:hAnsi="宋体" w:eastAsia="宋体" w:cs="宋体"/>
                <w:color w:val="auto"/>
                <w:spacing w:val="-6"/>
                <w:sz w:val="24"/>
                <w:szCs w:val="24"/>
                <w:highlight w:val="none"/>
                <w:lang w:val="en-US" w:eastAsia="zh-CN"/>
              </w:rPr>
              <w:t>。联合体形式投标的，联合体成员存在不良信用记录，视同联合体存在不良信用记录。</w:t>
            </w:r>
          </w:p>
        </w:tc>
        <w:tc>
          <w:tcPr>
            <w:tcW w:w="801" w:type="pct"/>
            <w:shd w:val="clear" w:color="auto" w:fill="FFFFFF" w:themeFill="background1"/>
            <w:vAlign w:val="center"/>
          </w:tcPr>
          <w:p w14:paraId="41CEE03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无须投标人提供，由采购人或采购代理机构查询。</w:t>
            </w:r>
          </w:p>
          <w:p w14:paraId="0D14032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bidi="ar"/>
              </w:rPr>
            </w:pPr>
          </w:p>
        </w:tc>
      </w:tr>
      <w:tr w14:paraId="37532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439" w:type="pct"/>
            <w:shd w:val="clear" w:color="auto" w:fill="FFFFFF" w:themeFill="background1"/>
            <w:vAlign w:val="center"/>
          </w:tcPr>
          <w:p w14:paraId="35001BC1">
            <w:pPr>
              <w:pStyle w:val="50"/>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lang w:val="en-US" w:eastAsia="zh-CN"/>
              </w:rPr>
            </w:pPr>
            <w:r>
              <w:rPr>
                <w:rFonts w:hint="eastAsia" w:cs="宋体"/>
                <w:b/>
                <w:bCs/>
                <w:color w:val="auto"/>
                <w:sz w:val="24"/>
                <w:szCs w:val="24"/>
                <w:highlight w:val="none"/>
                <w:lang w:val="en-US" w:eastAsia="zh-CN"/>
              </w:rPr>
              <w:t>4</w:t>
            </w:r>
          </w:p>
        </w:tc>
        <w:tc>
          <w:tcPr>
            <w:tcW w:w="1000" w:type="pct"/>
            <w:shd w:val="clear" w:color="auto" w:fill="FFFFFF" w:themeFill="background1"/>
            <w:vAlign w:val="center"/>
          </w:tcPr>
          <w:p w14:paraId="33B8D761">
            <w:pPr>
              <w:pStyle w:val="50"/>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中小企业证明文件</w:t>
            </w:r>
          </w:p>
        </w:tc>
        <w:tc>
          <w:tcPr>
            <w:tcW w:w="2759" w:type="pct"/>
            <w:shd w:val="clear" w:color="auto" w:fill="FFFFFF" w:themeFill="background1"/>
            <w:vAlign w:val="center"/>
          </w:tcPr>
          <w:p w14:paraId="0E14C7FF">
            <w:pPr>
              <w:pStyle w:val="50"/>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当本项目（包）涉及预留份额专门面向中小企业采购，此时建议在《资格证明文件》中提供。</w:t>
            </w:r>
          </w:p>
          <w:p w14:paraId="48EEE38E">
            <w:pPr>
              <w:pStyle w:val="50"/>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1、投标人单独投标的，应提供“中小企业声明函”</w:t>
            </w:r>
          </w:p>
        </w:tc>
        <w:tc>
          <w:tcPr>
            <w:tcW w:w="801" w:type="pct"/>
            <w:shd w:val="clear" w:color="auto" w:fill="FFFFFF" w:themeFill="background1"/>
            <w:vAlign w:val="center"/>
          </w:tcPr>
          <w:p w14:paraId="0DDB66C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格式见《第七章 投标文件格式》</w:t>
            </w:r>
          </w:p>
        </w:tc>
      </w:tr>
    </w:tbl>
    <w:p w14:paraId="75823E1B">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 </w:t>
      </w:r>
    </w:p>
    <w:p w14:paraId="3CB9CD2F">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 </w:t>
      </w:r>
    </w:p>
    <w:p w14:paraId="07FBDA93">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w:t>
      </w:r>
    </w:p>
    <w:p w14:paraId="21B53EAD">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265" w:name="_Toc155185903"/>
      <w:bookmarkStart w:id="266" w:name="_Toc163492899"/>
      <w:bookmarkStart w:id="267" w:name="_Toc23606"/>
      <w:r>
        <w:rPr>
          <w:rFonts w:hint="eastAsia" w:ascii="宋体" w:hAnsi="宋体" w:eastAsia="宋体" w:cs="宋体"/>
          <w:b/>
          <w:bCs/>
          <w:color w:val="auto"/>
          <w:kern w:val="44"/>
          <w:sz w:val="36"/>
          <w:szCs w:val="36"/>
          <w:highlight w:val="none"/>
          <w:lang w:val="en-US" w:eastAsia="zh-CN" w:bidi="ar-SA"/>
        </w:rPr>
        <w:t>第五章 评标方法</w:t>
      </w:r>
      <w:bookmarkEnd w:id="265"/>
      <w:r>
        <w:rPr>
          <w:rFonts w:hint="eastAsia" w:ascii="宋体" w:hAnsi="宋体" w:eastAsia="宋体" w:cs="宋体"/>
          <w:b/>
          <w:bCs/>
          <w:color w:val="auto"/>
          <w:kern w:val="44"/>
          <w:sz w:val="36"/>
          <w:szCs w:val="36"/>
          <w:highlight w:val="none"/>
          <w:lang w:val="en-US" w:eastAsia="zh-CN" w:bidi="ar-SA"/>
        </w:rPr>
        <w:t>及标准</w:t>
      </w:r>
      <w:bookmarkEnd w:id="266"/>
      <w:r>
        <w:rPr>
          <w:rFonts w:hint="eastAsia" w:ascii="宋体" w:hAnsi="宋体" w:eastAsia="宋体" w:cs="宋体"/>
          <w:b/>
          <w:bCs/>
          <w:color w:val="auto"/>
          <w:kern w:val="44"/>
          <w:sz w:val="36"/>
          <w:szCs w:val="36"/>
          <w:highlight w:val="none"/>
          <w:lang w:val="en-US" w:eastAsia="zh-CN" w:bidi="ar-SA"/>
        </w:rPr>
        <w:t>(综合评分法)</w:t>
      </w:r>
      <w:bookmarkEnd w:id="267"/>
    </w:p>
    <w:p w14:paraId="2BB6F8A4">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根据《中华人民共和国政府采购法》及其实施条例、《政府采购货物和服务招标投标管理办法》</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相关法律法规确定以下评标</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rPr>
        <w:t>法及标准。</w:t>
      </w:r>
    </w:p>
    <w:p w14:paraId="040C2DF7">
      <w:pPr>
        <w:pStyle w:val="3"/>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zh-CN" w:eastAsia="zh-CN"/>
        </w:rPr>
      </w:pPr>
      <w:bookmarkStart w:id="268" w:name="_Toc29507"/>
      <w:bookmarkStart w:id="269" w:name="_Toc163492900"/>
      <w:bookmarkStart w:id="270" w:name="_Toc278891606"/>
      <w:bookmarkStart w:id="271" w:name="_Toc511894518"/>
      <w:bookmarkStart w:id="272" w:name="_Toc155185905"/>
      <w:bookmarkStart w:id="273" w:name="_Toc272247709"/>
      <w:bookmarkStart w:id="274" w:name="_Toc494561962"/>
      <w:bookmarkStart w:id="275" w:name="_Toc109900322"/>
      <w:bookmarkStart w:id="276" w:name="_Toc109899903"/>
      <w:bookmarkStart w:id="277" w:name="_Toc140132826"/>
      <w:bookmarkStart w:id="278" w:name="_Toc61280402"/>
      <w:bookmarkStart w:id="279" w:name="_Toc109899484"/>
      <w:r>
        <w:rPr>
          <w:rFonts w:hint="eastAsia" w:ascii="宋体" w:hAnsi="宋体" w:eastAsia="宋体" w:cs="宋体"/>
          <w:color w:val="auto"/>
          <w:sz w:val="28"/>
          <w:szCs w:val="28"/>
          <w:highlight w:val="none"/>
          <w:lang w:val="zh-CN" w:eastAsia="zh-CN"/>
        </w:rPr>
        <w:t>一、评标</w:t>
      </w:r>
      <w:r>
        <w:rPr>
          <w:rFonts w:hint="eastAsia" w:ascii="宋体" w:hAnsi="宋体" w:eastAsia="宋体" w:cs="宋体"/>
          <w:color w:val="auto"/>
          <w:sz w:val="28"/>
          <w:szCs w:val="28"/>
          <w:highlight w:val="none"/>
          <w:lang w:val="en-US" w:eastAsia="zh-CN"/>
        </w:rPr>
        <w:t>方</w:t>
      </w:r>
      <w:r>
        <w:rPr>
          <w:rFonts w:hint="eastAsia" w:ascii="宋体" w:hAnsi="宋体" w:eastAsia="宋体" w:cs="宋体"/>
          <w:color w:val="auto"/>
          <w:sz w:val="28"/>
          <w:szCs w:val="28"/>
          <w:highlight w:val="none"/>
          <w:lang w:val="zh-CN" w:eastAsia="zh-CN"/>
        </w:rPr>
        <w:t>法</w:t>
      </w:r>
      <w:bookmarkEnd w:id="268"/>
      <w:bookmarkEnd w:id="269"/>
    </w:p>
    <w:p w14:paraId="40F9AE81">
      <w:pPr>
        <w:pStyle w:val="38"/>
        <w:rPr>
          <w:color w:val="auto"/>
          <w:highlight w:val="none"/>
        </w:rPr>
      </w:pPr>
      <w:r>
        <w:rPr>
          <w:rFonts w:hint="eastAsia"/>
          <w:color w:val="auto"/>
          <w:highlight w:val="none"/>
        </w:rPr>
        <w:t>1.</w:t>
      </w:r>
      <w:r>
        <w:rPr>
          <w:rFonts w:hint="eastAsia"/>
          <w:b/>
          <w:bCs/>
          <w:color w:val="auto"/>
          <w:highlight w:val="none"/>
        </w:rPr>
        <w:t>本项目采用综合评分法</w:t>
      </w:r>
      <w:r>
        <w:rPr>
          <w:rFonts w:hint="eastAsia"/>
          <w:color w:val="auto"/>
          <w:highlight w:val="none"/>
        </w:rPr>
        <w:t>。综合评分法，是指投标文件满足招标文件全部实质性要求，且按照评审因素的量化指标评审得分最高的投标人为中标候选人的评标方法。</w:t>
      </w:r>
    </w:p>
    <w:p w14:paraId="5EC2DCA1">
      <w:pPr>
        <w:pStyle w:val="3"/>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zh-CN" w:eastAsia="zh-CN"/>
        </w:rPr>
      </w:pPr>
      <w:bookmarkStart w:id="280" w:name="_Toc27741"/>
      <w:r>
        <w:rPr>
          <w:rFonts w:hint="eastAsia" w:ascii="宋体" w:hAnsi="宋体" w:eastAsia="宋体" w:cs="宋体"/>
          <w:color w:val="auto"/>
          <w:sz w:val="28"/>
          <w:szCs w:val="28"/>
          <w:highlight w:val="none"/>
          <w:lang w:val="en-US" w:eastAsia="zh-CN"/>
        </w:rPr>
        <w:t>二</w:t>
      </w:r>
      <w:r>
        <w:rPr>
          <w:rFonts w:hint="eastAsia" w:ascii="宋体" w:hAnsi="宋体" w:eastAsia="宋体" w:cs="宋体"/>
          <w:color w:val="auto"/>
          <w:sz w:val="28"/>
          <w:szCs w:val="28"/>
          <w:highlight w:val="none"/>
          <w:lang w:val="zh-CN" w:eastAsia="zh-CN"/>
        </w:rPr>
        <w:t>、评标程序</w:t>
      </w:r>
      <w:bookmarkEnd w:id="280"/>
    </w:p>
    <w:p w14:paraId="2CEA851A">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b/>
          <w:bCs/>
          <w:color w:val="auto"/>
          <w:kern w:val="2"/>
          <w:sz w:val="24"/>
          <w:szCs w:val="24"/>
          <w:highlight w:val="none"/>
          <w:lang w:val="zh-CN" w:eastAsia="zh-CN" w:bidi="ar-SA"/>
        </w:rPr>
        <w:t>（一）符合性审查</w:t>
      </w:r>
    </w:p>
    <w:p w14:paraId="0D55CFD2">
      <w:pPr>
        <w:pStyle w:val="38"/>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评标委员会应当对</w:t>
      </w:r>
      <w:r>
        <w:rPr>
          <w:rFonts w:hint="eastAsia" w:ascii="宋体" w:hAnsi="宋体" w:eastAsia="宋体" w:cs="宋体"/>
          <w:color w:val="auto"/>
          <w:sz w:val="24"/>
          <w:szCs w:val="24"/>
          <w:highlight w:val="none"/>
          <w:lang w:val="en-US" w:eastAsia="zh-CN"/>
        </w:rPr>
        <w:t>通过</w:t>
      </w:r>
      <w:r>
        <w:rPr>
          <w:rFonts w:hint="eastAsia" w:ascii="宋体" w:hAnsi="宋体" w:eastAsia="宋体" w:cs="宋体"/>
          <w:color w:val="auto"/>
          <w:sz w:val="24"/>
          <w:szCs w:val="24"/>
          <w:highlight w:val="none"/>
        </w:rPr>
        <w:t>资格</w:t>
      </w:r>
      <w:r>
        <w:rPr>
          <w:rFonts w:hint="eastAsia" w:ascii="宋体" w:hAnsi="宋体" w:eastAsia="宋体" w:cs="宋体"/>
          <w:color w:val="auto"/>
          <w:sz w:val="24"/>
          <w:szCs w:val="24"/>
          <w:highlight w:val="none"/>
          <w:lang w:val="en-US" w:eastAsia="zh-CN"/>
        </w:rPr>
        <w:t>审查</w:t>
      </w:r>
      <w:r>
        <w:rPr>
          <w:rFonts w:hint="eastAsia" w:ascii="宋体" w:hAnsi="宋体" w:eastAsia="宋体" w:cs="宋体"/>
          <w:color w:val="auto"/>
          <w:sz w:val="24"/>
          <w:szCs w:val="24"/>
          <w:highlight w:val="none"/>
        </w:rPr>
        <w:t>的投标人的投标文件进行符合性审查，以确定其是否满足招标文件的实质性要求。投标人必须通过符合性审查的全部评审指标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不满足招标文件的实质性要求的，</w:t>
      </w:r>
      <w:r>
        <w:rPr>
          <w:rFonts w:hint="eastAsia" w:ascii="宋体" w:hAnsi="宋体" w:eastAsia="宋体" w:cs="宋体"/>
          <w:color w:val="auto"/>
          <w:sz w:val="24"/>
          <w:szCs w:val="24"/>
          <w:highlight w:val="none"/>
          <w:lang w:val="en-US" w:eastAsia="zh-CN"/>
        </w:rPr>
        <w:t>其</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具体内容详</w:t>
      </w:r>
      <w:r>
        <w:rPr>
          <w:rFonts w:hint="eastAsia" w:ascii="宋体" w:hAnsi="宋体" w:eastAsia="宋体" w:cs="宋体"/>
          <w:color w:val="auto"/>
          <w:sz w:val="24"/>
          <w:szCs w:val="24"/>
          <w:highlight w:val="none"/>
          <w:lang w:val="zh-CN"/>
        </w:rPr>
        <w:t>本章“</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lang w:val="zh-CN"/>
        </w:rPr>
        <w:t>、评标标准”中</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val="zh-CN"/>
        </w:rPr>
        <w:t>“（一）符合性审查”。</w:t>
      </w:r>
    </w:p>
    <w:p w14:paraId="4E726315">
      <w:pPr>
        <w:pStyle w:val="38"/>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通过</w:t>
      </w:r>
      <w:r>
        <w:rPr>
          <w:rFonts w:hint="eastAsia" w:ascii="宋体" w:hAnsi="宋体" w:eastAsia="宋体" w:cs="宋体"/>
          <w:color w:val="auto"/>
          <w:sz w:val="24"/>
          <w:szCs w:val="24"/>
          <w:highlight w:val="none"/>
        </w:rPr>
        <w:t>符合性审查</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有效</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不足3家的应当终止采购活动，发布项目终止公告并说明原因，重新开展采购活动。</w:t>
      </w:r>
    </w:p>
    <w:p w14:paraId="34580356">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281" w:name="_Toc102119879"/>
      <w:bookmarkStart w:id="282" w:name="_Toc155185907"/>
      <w:bookmarkStart w:id="283" w:name="_Toc102116178"/>
      <w:bookmarkStart w:id="284" w:name="_Toc102056244"/>
      <w:bookmarkStart w:id="285" w:name="_Toc102116048"/>
      <w:bookmarkStart w:id="286" w:name="_Toc102114946"/>
      <w:bookmarkStart w:id="287" w:name="_Toc102057744"/>
      <w:bookmarkStart w:id="288" w:name="_Toc163492903"/>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二</w:t>
      </w:r>
      <w:r>
        <w:rPr>
          <w:rFonts w:hint="eastAsia" w:ascii="宋体" w:hAnsi="宋体" w:eastAsia="宋体" w:cs="宋体"/>
          <w:b/>
          <w:bCs/>
          <w:color w:val="auto"/>
          <w:kern w:val="2"/>
          <w:sz w:val="24"/>
          <w:szCs w:val="24"/>
          <w:highlight w:val="none"/>
          <w:lang w:val="zh-CN" w:eastAsia="zh-CN" w:bidi="ar-SA"/>
        </w:rPr>
        <w:t>）投标文件澄清</w:t>
      </w:r>
      <w:bookmarkEnd w:id="281"/>
      <w:bookmarkEnd w:id="282"/>
      <w:bookmarkEnd w:id="283"/>
      <w:bookmarkEnd w:id="284"/>
      <w:bookmarkEnd w:id="285"/>
      <w:bookmarkEnd w:id="286"/>
      <w:bookmarkEnd w:id="287"/>
      <w:r>
        <w:rPr>
          <w:rFonts w:hint="eastAsia" w:ascii="宋体" w:hAnsi="宋体" w:eastAsia="宋体" w:cs="宋体"/>
          <w:b/>
          <w:bCs/>
          <w:color w:val="auto"/>
          <w:kern w:val="2"/>
          <w:sz w:val="24"/>
          <w:szCs w:val="24"/>
          <w:highlight w:val="none"/>
          <w:lang w:val="zh-CN" w:eastAsia="zh-CN" w:bidi="ar-SA"/>
        </w:rPr>
        <w:t>及修正</w:t>
      </w:r>
      <w:bookmarkEnd w:id="288"/>
    </w:p>
    <w:p w14:paraId="0EC9197C">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.评标期间，对于投标文件中含义不明确、同类问题表述不一致或者有明显文字和计算错误的内容需要投标人作出必要的澄清、说明或者补正的，评标委员会应当在</w:t>
      </w:r>
      <w:r>
        <w:rPr>
          <w:rFonts w:hint="eastAsia" w:ascii="宋体" w:hAnsi="宋体" w:eastAsia="宋体" w:cs="宋体"/>
          <w:color w:val="auto"/>
          <w:sz w:val="24"/>
          <w:szCs w:val="24"/>
          <w:highlight w:val="none"/>
          <w:lang w:val="en-US" w:eastAsia="zh-CN"/>
        </w:rPr>
        <w:t>政采云平台评标</w:t>
      </w:r>
      <w:r>
        <w:rPr>
          <w:rFonts w:hint="eastAsia" w:ascii="宋体" w:hAnsi="宋体" w:eastAsia="宋体" w:cs="宋体"/>
          <w:color w:val="auto"/>
          <w:sz w:val="24"/>
          <w:szCs w:val="24"/>
          <w:highlight w:val="none"/>
        </w:rPr>
        <w:t>系统中以书面形式要求投标人作出必要的澄清、说明或者补正。</w:t>
      </w:r>
    </w:p>
    <w:p w14:paraId="079329DA">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.投标人应按照评标委员会要求在规定时间内作出澄清、说明或者补正，澄清、说明或者补正不得超出投标文件的范围或者改变投标文件的实质性内容。</w:t>
      </w:r>
    </w:p>
    <w:p w14:paraId="591A6455">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.投标人的澄清、说明或者补正是其投标文件的有效组成部分，澄清、说明或者补正应当在</w:t>
      </w:r>
      <w:r>
        <w:rPr>
          <w:rFonts w:hint="eastAsia" w:ascii="宋体" w:hAnsi="宋体" w:eastAsia="宋体" w:cs="宋体"/>
          <w:color w:val="auto"/>
          <w:sz w:val="24"/>
          <w:szCs w:val="24"/>
          <w:highlight w:val="none"/>
          <w:lang w:val="en-US" w:eastAsia="zh-CN"/>
        </w:rPr>
        <w:t>政采云平台评标</w:t>
      </w:r>
      <w:r>
        <w:rPr>
          <w:rFonts w:hint="eastAsia" w:ascii="宋体" w:hAnsi="宋体" w:eastAsia="宋体" w:cs="宋体"/>
          <w:color w:val="auto"/>
          <w:sz w:val="24"/>
          <w:szCs w:val="24"/>
          <w:highlight w:val="none"/>
        </w:rPr>
        <w:t>系统中加盖电子印章后提交。</w:t>
      </w:r>
    </w:p>
    <w:p w14:paraId="3B466024">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.报价合理性说明：评标委员会认为投标人的报价明显低于其他通过符合性审查投标人的报价，有可能影响</w:t>
      </w: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质量或者不能诚信履约的，</w:t>
      </w:r>
      <w:r>
        <w:rPr>
          <w:rFonts w:hint="eastAsia" w:ascii="宋体" w:hAnsi="宋体" w:eastAsia="宋体" w:cs="宋体"/>
          <w:color w:val="auto"/>
          <w:sz w:val="24"/>
          <w:szCs w:val="24"/>
          <w:highlight w:val="none"/>
          <w:lang w:val="en-US" w:eastAsia="zh-CN"/>
        </w:rPr>
        <w:t>应当</w:t>
      </w:r>
      <w:r>
        <w:rPr>
          <w:rFonts w:hint="eastAsia" w:ascii="宋体" w:hAnsi="宋体" w:eastAsia="宋体" w:cs="宋体"/>
          <w:color w:val="auto"/>
          <w:sz w:val="24"/>
          <w:szCs w:val="24"/>
          <w:highlight w:val="none"/>
        </w:rPr>
        <w:t>要求</w:t>
      </w:r>
      <w:r>
        <w:rPr>
          <w:rFonts w:hint="eastAsia" w:ascii="宋体" w:hAnsi="宋体" w:eastAsia="宋体" w:cs="宋体"/>
          <w:color w:val="auto"/>
          <w:sz w:val="24"/>
          <w:szCs w:val="24"/>
          <w:highlight w:val="none"/>
          <w:lang w:val="en-US" w:eastAsia="zh-CN"/>
        </w:rPr>
        <w:t>该投标人</w:t>
      </w:r>
      <w:r>
        <w:rPr>
          <w:rFonts w:hint="eastAsia" w:ascii="宋体" w:hAnsi="宋体" w:eastAsia="宋体" w:cs="宋体"/>
          <w:color w:val="auto"/>
          <w:sz w:val="24"/>
          <w:szCs w:val="24"/>
          <w:highlight w:val="none"/>
        </w:rPr>
        <w:t>在合理的时间内提供说明，必要时提交相关证明材料；</w:t>
      </w:r>
      <w:r>
        <w:rPr>
          <w:rFonts w:hint="eastAsia" w:ascii="宋体" w:hAnsi="宋体" w:eastAsia="宋体" w:cs="宋体"/>
          <w:color w:val="auto"/>
          <w:sz w:val="24"/>
          <w:szCs w:val="24"/>
          <w:highlight w:val="none"/>
          <w:lang w:val="en-US" w:eastAsia="zh-CN"/>
        </w:rPr>
        <w:t>若</w:t>
      </w:r>
      <w:r>
        <w:rPr>
          <w:rFonts w:hint="eastAsia" w:ascii="宋体" w:hAnsi="宋体" w:eastAsia="宋体" w:cs="宋体"/>
          <w:color w:val="auto"/>
          <w:sz w:val="24"/>
          <w:szCs w:val="24"/>
          <w:highlight w:val="none"/>
        </w:rPr>
        <w:t>投标人不能证明其报价合理性的，评标委员</w:t>
      </w:r>
      <w:r>
        <w:rPr>
          <w:rFonts w:hint="eastAsia" w:ascii="宋体" w:hAnsi="宋体" w:eastAsia="宋体" w:cs="宋体"/>
          <w:color w:val="auto"/>
          <w:sz w:val="24"/>
          <w:szCs w:val="24"/>
          <w:highlight w:val="none"/>
          <w:lang w:val="en-US" w:eastAsia="zh-CN"/>
        </w:rPr>
        <w:t>会应当</w:t>
      </w:r>
      <w:r>
        <w:rPr>
          <w:rFonts w:hint="eastAsia" w:ascii="宋体" w:hAnsi="宋体" w:eastAsia="宋体" w:cs="宋体"/>
          <w:color w:val="auto"/>
          <w:sz w:val="24"/>
          <w:szCs w:val="24"/>
          <w:highlight w:val="none"/>
        </w:rPr>
        <w:t>将其作</w:t>
      </w:r>
      <w:r>
        <w:rPr>
          <w:rFonts w:hint="eastAsia" w:ascii="宋体" w:hAnsi="宋体" w:eastAsia="宋体" w:cs="宋体"/>
          <w:b/>
          <w:bCs/>
          <w:color w:val="auto"/>
          <w:sz w:val="24"/>
          <w:szCs w:val="24"/>
          <w:highlight w:val="none"/>
        </w:rPr>
        <w:t>无效投标</w:t>
      </w:r>
      <w:r>
        <w:rPr>
          <w:rFonts w:hint="eastAsia" w:ascii="宋体" w:hAnsi="宋体" w:eastAsia="宋体" w:cs="宋体"/>
          <w:color w:val="auto"/>
          <w:sz w:val="24"/>
          <w:szCs w:val="24"/>
          <w:highlight w:val="none"/>
        </w:rPr>
        <w:t>处理。</w:t>
      </w:r>
    </w:p>
    <w:p w14:paraId="4FD6345C">
      <w:pPr>
        <w:pStyle w:val="38"/>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015D7E7F">
      <w:pPr>
        <w:pStyle w:val="38"/>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8.投标文件报价出现前后不一致的，除招标文件另有规定外，按照下列规定修正：</w:t>
      </w:r>
    </w:p>
    <w:p w14:paraId="4D967018">
      <w:pPr>
        <w:pStyle w:val="38"/>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8.1投标文件中开标一览表（报价表）内容与投标文件中相应内容不一致的，以开标一览表（报价表）为准；</w:t>
      </w:r>
    </w:p>
    <w:p w14:paraId="657B9F51">
      <w:pPr>
        <w:pStyle w:val="38"/>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8.2大写金额和小写金额不一致的，以大写金额为准；</w:t>
      </w:r>
    </w:p>
    <w:p w14:paraId="628E9D79">
      <w:pPr>
        <w:pStyle w:val="38"/>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8.3单价金额小数点或者百分比有明显错位的，以开标一览表的总价为准，并修改单价；</w:t>
      </w:r>
    </w:p>
    <w:p w14:paraId="3D45997F">
      <w:pPr>
        <w:pStyle w:val="38"/>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8.4总价金额与按单价汇总金额不一致的，以单价金额计算结果为准。</w:t>
      </w:r>
    </w:p>
    <w:p w14:paraId="4E5FFFFF">
      <w:pPr>
        <w:pStyle w:val="38"/>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同时出现两种以上不一致的，按照8.1—8.4的顺序修正。修正后的报价采用书面形式，并加盖公章，或者由法定代表人或其授权的代表签字，经投标人确认后产生约束力，投标人不确认的，其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33748C4F">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kern w:val="2"/>
          <w:sz w:val="24"/>
          <w:szCs w:val="24"/>
          <w:highlight w:val="none"/>
          <w:lang w:val="zh-CN" w:eastAsia="zh-CN" w:bidi="ar-SA"/>
        </w:rPr>
        <w:t>）比较与评价</w:t>
      </w:r>
    </w:p>
    <w:p w14:paraId="2BE6ECB2">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评标委员会应当按照招标文件中规定的评标方法和标准，对符合性审查合格的投标文件进行商务和技术评</w:t>
      </w:r>
      <w:r>
        <w:rPr>
          <w:rFonts w:hint="eastAsia" w:ascii="宋体" w:hAnsi="宋体" w:eastAsia="宋体" w:cs="宋体"/>
          <w:color w:val="auto"/>
          <w:sz w:val="24"/>
          <w:szCs w:val="24"/>
          <w:highlight w:val="none"/>
          <w:lang w:val="en-US" w:eastAsia="zh-CN"/>
        </w:rPr>
        <w:t>估</w:t>
      </w:r>
      <w:r>
        <w:rPr>
          <w:rFonts w:hint="eastAsia" w:ascii="宋体" w:hAnsi="宋体" w:eastAsia="宋体" w:cs="宋体"/>
          <w:color w:val="auto"/>
          <w:sz w:val="24"/>
          <w:szCs w:val="24"/>
          <w:highlight w:val="none"/>
        </w:rPr>
        <w:t>，综合比较与评价</w:t>
      </w:r>
      <w:r>
        <w:rPr>
          <w:rFonts w:hint="eastAsia" w:ascii="宋体" w:hAnsi="宋体" w:eastAsia="宋体" w:cs="宋体"/>
          <w:color w:val="auto"/>
          <w:sz w:val="24"/>
          <w:szCs w:val="24"/>
          <w:highlight w:val="none"/>
          <w:lang w:val="en-US" w:eastAsia="zh-CN"/>
        </w:rPr>
        <w:t>；未通过符合性审查的投标文件不得进入比较与评价</w:t>
      </w:r>
      <w:r>
        <w:rPr>
          <w:rFonts w:hint="eastAsia" w:ascii="宋体" w:hAnsi="宋体" w:eastAsia="宋体" w:cs="宋体"/>
          <w:color w:val="auto"/>
          <w:sz w:val="24"/>
          <w:szCs w:val="24"/>
          <w:highlight w:val="none"/>
        </w:rPr>
        <w:t>。评审因素包括投标报价、商务技术以及落实政府采购政策。评审因素及标准见本章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评</w:t>
      </w:r>
      <w:r>
        <w:rPr>
          <w:rFonts w:hint="eastAsia" w:ascii="宋体" w:hAnsi="宋体" w:eastAsia="宋体" w:cs="宋体"/>
          <w:color w:val="auto"/>
          <w:sz w:val="24"/>
          <w:szCs w:val="24"/>
          <w:highlight w:val="none"/>
          <w:lang w:val="en-US" w:eastAsia="zh-CN"/>
        </w:rPr>
        <w:t>标</w:t>
      </w:r>
      <w:r>
        <w:rPr>
          <w:rFonts w:hint="eastAsia" w:ascii="宋体" w:hAnsi="宋体" w:eastAsia="宋体" w:cs="宋体"/>
          <w:color w:val="auto"/>
          <w:sz w:val="24"/>
          <w:szCs w:val="24"/>
          <w:highlight w:val="none"/>
        </w:rPr>
        <w:t>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635A5086">
      <w:pPr>
        <w:pStyle w:val="38"/>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10.相同品牌处理原则</w:t>
      </w:r>
    </w:p>
    <w:p w14:paraId="7EDACD8A">
      <w:pPr>
        <w:pStyle w:val="38"/>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.1单一产品采购（或非单一产品采购中的核心产品），提供相同品牌产品且通过资格审查、符合性审查的不同投标人参加同一合同项下投标的，按一家投标人计算。</w:t>
      </w:r>
    </w:p>
    <w:p w14:paraId="6B4B1667">
      <w:pPr>
        <w:pStyle w:val="38"/>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.2非单一产品采购项目，采购人应当根据采购项目技术构成、产品价格比重等合理确定</w:t>
      </w:r>
      <w:r>
        <w:rPr>
          <w:rFonts w:hint="eastAsia" w:ascii="宋体" w:hAnsi="宋体" w:eastAsia="宋体" w:cs="宋体"/>
          <w:color w:val="auto"/>
          <w:sz w:val="24"/>
          <w:szCs w:val="24"/>
          <w:highlight w:val="none"/>
          <w:lang w:eastAsia="zh-CN"/>
        </w:rPr>
        <w:t>核心产品</w:t>
      </w:r>
      <w:r>
        <w:rPr>
          <w:rFonts w:hint="eastAsia" w:ascii="宋体" w:hAnsi="宋体" w:eastAsia="宋体" w:cs="宋体"/>
          <w:color w:val="auto"/>
          <w:sz w:val="24"/>
          <w:szCs w:val="24"/>
          <w:highlight w:val="none"/>
        </w:rPr>
        <w:t>（采购清单中作“与核心产品相同〈或同一〉品牌”实质性要求的产品，视为</w:t>
      </w:r>
      <w:r>
        <w:rPr>
          <w:rFonts w:hint="eastAsia" w:ascii="宋体" w:hAnsi="宋体" w:eastAsia="宋体" w:cs="宋体"/>
          <w:color w:val="auto"/>
          <w:sz w:val="24"/>
          <w:szCs w:val="24"/>
          <w:highlight w:val="none"/>
          <w:lang w:eastAsia="zh-CN"/>
        </w:rPr>
        <w:t>核心产品</w:t>
      </w:r>
      <w:r>
        <w:rPr>
          <w:rFonts w:hint="eastAsia" w:ascii="宋体" w:hAnsi="宋体" w:eastAsia="宋体" w:cs="宋体"/>
          <w:color w:val="auto"/>
          <w:sz w:val="24"/>
          <w:szCs w:val="24"/>
          <w:highlight w:val="none"/>
        </w:rPr>
        <w:t>），并以“核心产品”在“投标人须知前附表”中载明，评审时按前款规定处理。</w:t>
      </w:r>
    </w:p>
    <w:p w14:paraId="384D833B">
      <w:pPr>
        <w:pStyle w:val="38"/>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.3有效投标品牌不足3家的应按</w:t>
      </w:r>
      <w:r>
        <w:rPr>
          <w:rFonts w:hint="eastAsia" w:ascii="宋体" w:hAnsi="宋体" w:eastAsia="宋体" w:cs="宋体"/>
          <w:b/>
          <w:bCs/>
          <w:color w:val="auto"/>
          <w:sz w:val="24"/>
          <w:szCs w:val="24"/>
          <w:highlight w:val="none"/>
        </w:rPr>
        <w:t>废标</w:t>
      </w:r>
      <w:r>
        <w:rPr>
          <w:rFonts w:hint="eastAsia" w:ascii="宋体" w:hAnsi="宋体" w:eastAsia="宋体" w:cs="宋体"/>
          <w:color w:val="auto"/>
          <w:sz w:val="24"/>
          <w:szCs w:val="24"/>
          <w:highlight w:val="none"/>
        </w:rPr>
        <w:t>处理。</w:t>
      </w:r>
    </w:p>
    <w:p w14:paraId="7C54BD9F">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四</w:t>
      </w:r>
      <w:r>
        <w:rPr>
          <w:rFonts w:hint="eastAsia" w:ascii="宋体" w:hAnsi="宋体" w:eastAsia="宋体" w:cs="宋体"/>
          <w:b/>
          <w:bCs/>
          <w:color w:val="auto"/>
          <w:kern w:val="2"/>
          <w:sz w:val="24"/>
          <w:szCs w:val="24"/>
          <w:highlight w:val="none"/>
          <w:lang w:val="zh-CN" w:eastAsia="zh-CN" w:bidi="ar-SA"/>
        </w:rPr>
        <w:t>）报价评审</w:t>
      </w:r>
    </w:p>
    <w:p w14:paraId="21874171">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投标报价评审</w:t>
      </w:r>
    </w:p>
    <w:p w14:paraId="266BD854">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货物项目的价格分值占总分值的比重不得低于30%。执行国家统一定价标准和采用固定价格采购的项目，其价格不列为评审因素。</w:t>
      </w:r>
      <w:r>
        <w:rPr>
          <w:rFonts w:hint="eastAsia" w:ascii="宋体" w:hAnsi="宋体" w:eastAsia="宋体" w:cs="宋体"/>
          <w:color w:val="auto"/>
          <w:sz w:val="24"/>
          <w:szCs w:val="24"/>
          <w:highlight w:val="none"/>
        </w:rPr>
        <w:t>价格分应当采用低价优先法计算，即满足招标文件要求且投标价格最低的投标报价为评标基准价，其价格分为满分。其他投标人的价格分统一按照下列公式计算：</w:t>
      </w:r>
    </w:p>
    <w:p w14:paraId="2D86B7AD">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投标报价得分=(评标基准价／投标报价)×价格分值</w:t>
      </w:r>
    </w:p>
    <w:p w14:paraId="0CCB2E48">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评标过程中，不得去掉报价中的最高报价和最低报价。</w:t>
      </w:r>
    </w:p>
    <w:p w14:paraId="14E623B0">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2</w:t>
      </w:r>
      <w:r>
        <w:rPr>
          <w:rFonts w:hint="eastAsia" w:ascii="宋体" w:hAnsi="宋体" w:eastAsia="宋体" w:cs="宋体"/>
          <w:iCs/>
          <w:color w:val="auto"/>
          <w:spacing w:val="-6"/>
          <w:sz w:val="24"/>
          <w:szCs w:val="24"/>
          <w:highlight w:val="none"/>
        </w:rPr>
        <w:t>除算术修正和落实政府采购政策的价格扣除外，不对投标报价进行调整；</w:t>
      </w:r>
    </w:p>
    <w:p w14:paraId="6DDDADCE">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3价格</w:t>
      </w:r>
      <w:r>
        <w:rPr>
          <w:rFonts w:hint="eastAsia" w:ascii="宋体" w:hAnsi="宋体" w:eastAsia="宋体" w:cs="宋体"/>
          <w:color w:val="auto"/>
          <w:sz w:val="24"/>
          <w:szCs w:val="24"/>
          <w:highlight w:val="none"/>
          <w:lang w:eastAsia="zh-CN"/>
        </w:rPr>
        <w:t>分值</w:t>
      </w:r>
      <w:r>
        <w:rPr>
          <w:rFonts w:hint="eastAsia" w:ascii="宋体" w:hAnsi="宋体" w:eastAsia="宋体" w:cs="宋体"/>
          <w:color w:val="auto"/>
          <w:sz w:val="24"/>
          <w:szCs w:val="24"/>
          <w:highlight w:val="none"/>
        </w:rPr>
        <w:t>见本章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评</w:t>
      </w:r>
      <w:r>
        <w:rPr>
          <w:rFonts w:hint="eastAsia" w:ascii="宋体" w:hAnsi="宋体" w:eastAsia="宋体" w:cs="宋体"/>
          <w:color w:val="auto"/>
          <w:sz w:val="24"/>
          <w:szCs w:val="24"/>
          <w:highlight w:val="none"/>
          <w:lang w:val="en-US" w:eastAsia="zh-CN"/>
        </w:rPr>
        <w:t>标</w:t>
      </w:r>
      <w:r>
        <w:rPr>
          <w:rFonts w:hint="eastAsia" w:ascii="宋体" w:hAnsi="宋体" w:eastAsia="宋体" w:cs="宋体"/>
          <w:color w:val="auto"/>
          <w:sz w:val="24"/>
          <w:szCs w:val="24"/>
          <w:highlight w:val="none"/>
        </w:rPr>
        <w:t>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30866637">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.政府采购政策评审</w:t>
      </w:r>
    </w:p>
    <w:p w14:paraId="7D57744F">
      <w:pPr>
        <w:pStyle w:val="38"/>
        <w:numPr>
          <w:ilvl w:val="0"/>
          <w:numId w:val="0"/>
        </w:numPr>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.1非专门面向中小企业的采购项目或采购包，对符合规定的小微企业（</w:t>
      </w:r>
      <w:r>
        <w:rPr>
          <w:rFonts w:hint="eastAsia" w:ascii="宋体" w:hAnsi="宋体" w:eastAsia="宋体" w:cs="宋体"/>
          <w:color w:val="auto"/>
          <w:sz w:val="24"/>
          <w:szCs w:val="24"/>
          <w:highlight w:val="none"/>
          <w:lang w:val="en-US" w:eastAsia="zh-CN"/>
        </w:rPr>
        <w:t>含</w:t>
      </w:r>
      <w:r>
        <w:rPr>
          <w:rFonts w:hint="eastAsia" w:ascii="宋体" w:hAnsi="宋体" w:eastAsia="宋体" w:cs="宋体"/>
          <w:color w:val="auto"/>
          <w:sz w:val="24"/>
          <w:szCs w:val="24"/>
          <w:highlight w:val="none"/>
        </w:rPr>
        <w:t>监狱企业、残疾人福利性单位、联合体各方均为小微企业的联合体、符合小微企业划分标准的个体工商户视同小微企业）报价按照本招标文件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投标人须知前附表”中的规定扣除，对小微企业中的监狱企业、残疾人福利性单位的报价按照本</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须知前附表”中的规定扣除，用扣除后的价格</w:t>
      </w:r>
      <w:r>
        <w:rPr>
          <w:rFonts w:hint="eastAsia" w:cs="宋体"/>
          <w:color w:val="auto"/>
          <w:sz w:val="24"/>
          <w:szCs w:val="24"/>
          <w:highlight w:val="none"/>
          <w:lang w:val="en-US" w:eastAsia="zh-CN"/>
        </w:rPr>
        <w:t>参与</w:t>
      </w:r>
      <w:r>
        <w:rPr>
          <w:rFonts w:hint="eastAsia" w:ascii="宋体" w:hAnsi="宋体" w:eastAsia="宋体" w:cs="宋体"/>
          <w:color w:val="auto"/>
          <w:sz w:val="24"/>
          <w:szCs w:val="24"/>
          <w:highlight w:val="none"/>
        </w:rPr>
        <w:t>评审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采购产品纳入创新产品应用示范推荐目录内企业、采购产品获得节能产品或环境标志产品认证证书</w:t>
      </w:r>
      <w:r>
        <w:rPr>
          <w:rFonts w:hint="eastAsia" w:cs="宋体"/>
          <w:color w:val="auto"/>
          <w:sz w:val="24"/>
          <w:szCs w:val="24"/>
          <w:highlight w:val="none"/>
          <w:lang w:val="en-US" w:eastAsia="zh-CN"/>
        </w:rPr>
        <w:t>的投标人</w:t>
      </w:r>
      <w:r>
        <w:rPr>
          <w:rFonts w:hint="eastAsia" w:ascii="宋体" w:hAnsi="宋体" w:eastAsia="宋体" w:cs="宋体"/>
          <w:color w:val="auto"/>
          <w:sz w:val="24"/>
          <w:szCs w:val="24"/>
          <w:highlight w:val="none"/>
        </w:rPr>
        <w:t>按照本</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须知前附表”中的规定</w:t>
      </w:r>
      <w:r>
        <w:rPr>
          <w:rFonts w:hint="eastAsia" w:cs="宋体"/>
          <w:color w:val="auto"/>
          <w:sz w:val="24"/>
          <w:szCs w:val="24"/>
          <w:highlight w:val="none"/>
          <w:lang w:val="en-US" w:eastAsia="zh-CN"/>
        </w:rPr>
        <w:t>给予评审优惠</w:t>
      </w:r>
      <w:r>
        <w:rPr>
          <w:rFonts w:hint="eastAsia" w:ascii="宋体" w:hAnsi="宋体" w:eastAsia="宋体" w:cs="宋体"/>
          <w:color w:val="auto"/>
          <w:sz w:val="24"/>
          <w:szCs w:val="24"/>
          <w:highlight w:val="none"/>
          <w:lang w:eastAsia="zh-CN"/>
        </w:rPr>
        <w:t>。</w:t>
      </w:r>
    </w:p>
    <w:p w14:paraId="1E5F4E03">
      <w:pPr>
        <w:pStyle w:val="38"/>
        <w:numPr>
          <w:ilvl w:val="0"/>
          <w:numId w:val="0"/>
        </w:num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lang w:val="zh-CN" w:eastAsia="zh-CN"/>
        </w:rPr>
        <w:t>2</w:t>
      </w:r>
      <w:r>
        <w:rPr>
          <w:rFonts w:hint="eastAsia" w:ascii="宋体" w:hAnsi="宋体" w:eastAsia="宋体" w:cs="宋体"/>
          <w:color w:val="auto"/>
          <w:sz w:val="24"/>
          <w:szCs w:val="24"/>
          <w:highlight w:val="none"/>
        </w:rPr>
        <w:t>参加政府采购活动的小微企业（含节能环保、创新产品企业）未提供“中小企业声明函”的；监狱企业未提供“监狱企业证明文件”的；残疾人福利性单位未提供“残疾人福利性单位声明函”的；不得享受相应的价格扣除优惠。组成联合体或者接受分包的小微企业与联合体内其他企业、分包企业之间存在直接控股、管理关系的，不得享受价格扣除优惠。</w:t>
      </w:r>
      <w:r>
        <w:rPr>
          <w:rFonts w:hint="eastAsia" w:ascii="宋体" w:hAnsi="宋体" w:eastAsia="宋体" w:cs="宋体"/>
          <w:color w:val="auto"/>
          <w:sz w:val="24"/>
          <w:szCs w:val="24"/>
          <w:highlight w:val="none"/>
          <w:lang w:val="en-US" w:eastAsia="zh-CN"/>
        </w:rPr>
        <w:t>若供应商同时属于小型或微型企业、监狱企业、残疾人福利性单位 中的两种及以上，将不重复享受小微企业价格扣减的优惠政策。</w:t>
      </w:r>
    </w:p>
    <w:p w14:paraId="1A495953">
      <w:pPr>
        <w:pStyle w:val="38"/>
        <w:numPr>
          <w:ilvl w:val="0"/>
          <w:numId w:val="0"/>
        </w:numPr>
        <w:shd w:val="clear" w:color="auto" w:fill="FFFFFF" w:themeFill="background1"/>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组成联合体或者接受分包的小微企业与联合体内其他企业、分包企业之间存在直接控股、管理关系的，不享受价格扣除优惠政策。</w:t>
      </w:r>
    </w:p>
    <w:p w14:paraId="74F2F1A2">
      <w:pPr>
        <w:pStyle w:val="38"/>
        <w:numPr>
          <w:ilvl w:val="0"/>
          <w:numId w:val="0"/>
        </w:num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价格扣除比例对小型企业和微型企业同等对待，不作区分。</w:t>
      </w:r>
    </w:p>
    <w:p w14:paraId="71DD10A8">
      <w:pPr>
        <w:pStyle w:val="38"/>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12.</w:t>
      </w:r>
      <w:r>
        <w:rPr>
          <w:rFonts w:hint="eastAsia" w:ascii="宋体" w:hAnsi="宋体" w:eastAsia="宋体" w:cs="宋体"/>
          <w:iCs/>
          <w:color w:val="auto"/>
          <w:kern w:val="2"/>
          <w:sz w:val="24"/>
          <w:szCs w:val="24"/>
          <w:highlight w:val="none"/>
          <w:shd w:val="clear" w:fill="FFFFFF" w:themeFill="background1"/>
          <w:lang w:val="zh-CN" w:eastAsia="zh-CN" w:bidi="ar-SA"/>
        </w:rPr>
        <w:t>3</w:t>
      </w:r>
      <w:r>
        <w:rPr>
          <w:rFonts w:hint="eastAsia" w:ascii="宋体" w:hAnsi="宋体" w:eastAsia="宋体" w:cs="宋体"/>
          <w:color w:val="auto"/>
          <w:sz w:val="24"/>
          <w:szCs w:val="24"/>
          <w:highlight w:val="none"/>
        </w:rPr>
        <w:t>专门面向中小企业、预留部分采购份额面向中小企业采购的项目或采购包，评审时不再进行价格扣除。</w:t>
      </w:r>
    </w:p>
    <w:p w14:paraId="3874ED83">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12.4</w:t>
      </w:r>
      <w:r>
        <w:rPr>
          <w:rFonts w:hint="eastAsia" w:ascii="宋体" w:hAnsi="宋体" w:eastAsia="宋体" w:cs="宋体"/>
          <w:color w:val="auto"/>
          <w:sz w:val="24"/>
          <w:szCs w:val="24"/>
          <w:highlight w:val="none"/>
        </w:rPr>
        <w:t>对于未预留份额专门面向中小企业的政府采购项目，以及预留份额政府采购项目中的非预留部分标项，对小型和微型企业的投标报价给予10%-20%的扣除，用扣除后的价格参与评审。接受大中型企业与小微企业组成联合体或者允许大中型企业向一家或者多家小微企业分包的政府采购项目，对于联合</w:t>
      </w:r>
      <w:r>
        <w:rPr>
          <w:rFonts w:hint="eastAsia" w:ascii="宋体" w:hAnsi="宋体" w:eastAsia="宋体" w:cs="宋体"/>
          <w:color w:val="auto"/>
          <w:sz w:val="24"/>
          <w:szCs w:val="24"/>
          <w:highlight w:val="none"/>
          <w:lang w:val="en-US" w:eastAsia="zh-CN"/>
        </w:rPr>
        <w:t>体</w:t>
      </w:r>
      <w:r>
        <w:rPr>
          <w:rFonts w:hint="eastAsia" w:ascii="宋体" w:hAnsi="宋体" w:eastAsia="宋体" w:cs="宋体"/>
          <w:color w:val="auto"/>
          <w:sz w:val="24"/>
          <w:szCs w:val="24"/>
          <w:highlight w:val="none"/>
        </w:rPr>
        <w:t>协议</w:t>
      </w:r>
      <w:r>
        <w:rPr>
          <w:rFonts w:hint="eastAsia" w:ascii="宋体" w:hAnsi="宋体" w:eastAsia="宋体" w:cs="宋体"/>
          <w:color w:val="auto"/>
          <w:sz w:val="24"/>
          <w:szCs w:val="24"/>
          <w:highlight w:val="none"/>
          <w:lang w:val="en-US" w:eastAsia="zh-CN"/>
        </w:rPr>
        <w:t>书</w:t>
      </w:r>
      <w:r>
        <w:rPr>
          <w:rFonts w:hint="eastAsia" w:ascii="宋体" w:hAnsi="宋体" w:eastAsia="宋体" w:cs="宋体"/>
          <w:color w:val="auto"/>
          <w:sz w:val="24"/>
          <w:szCs w:val="24"/>
          <w:highlight w:val="none"/>
        </w:rPr>
        <w:t>或者分包意向协议</w:t>
      </w:r>
      <w:r>
        <w:rPr>
          <w:rFonts w:hint="eastAsia" w:ascii="宋体" w:hAnsi="宋体" w:eastAsia="宋体" w:cs="宋体"/>
          <w:color w:val="auto"/>
          <w:sz w:val="24"/>
          <w:szCs w:val="24"/>
          <w:highlight w:val="none"/>
          <w:lang w:val="en-US" w:eastAsia="zh-CN"/>
        </w:rPr>
        <w:t>书</w:t>
      </w:r>
      <w:r>
        <w:rPr>
          <w:rFonts w:hint="eastAsia" w:ascii="宋体" w:hAnsi="宋体" w:eastAsia="宋体" w:cs="宋体"/>
          <w:color w:val="auto"/>
          <w:sz w:val="24"/>
          <w:szCs w:val="24"/>
          <w:highlight w:val="none"/>
        </w:rPr>
        <w:t>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548FFFDB">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五</w:t>
      </w:r>
      <w:r>
        <w:rPr>
          <w:rFonts w:hint="eastAsia" w:ascii="宋体" w:hAnsi="宋体" w:eastAsia="宋体" w:cs="宋体"/>
          <w:b/>
          <w:bCs/>
          <w:color w:val="auto"/>
          <w:kern w:val="2"/>
          <w:sz w:val="24"/>
          <w:szCs w:val="24"/>
          <w:highlight w:val="none"/>
          <w:lang w:val="zh-CN" w:eastAsia="zh-CN" w:bidi="ar-SA"/>
        </w:rPr>
        <w:t>）评标得分及复核</w:t>
      </w:r>
    </w:p>
    <w:p w14:paraId="073A56A5">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13.</w:t>
      </w:r>
      <w:r>
        <w:rPr>
          <w:rFonts w:hint="eastAsia" w:ascii="宋体" w:hAnsi="宋体" w:eastAsia="宋体" w:cs="宋体"/>
          <w:color w:val="auto"/>
          <w:sz w:val="24"/>
          <w:szCs w:val="24"/>
          <w:highlight w:val="none"/>
        </w:rPr>
        <w:t>评标过程中，各项分值一般精确到小数点后两位，评标得分应为商务评分、技术评分、报价评分之和。评标委员会各成员应汇总每个投标人的得分。</w:t>
      </w:r>
    </w:p>
    <w:p w14:paraId="0BE80DC7">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14.</w:t>
      </w:r>
      <w:r>
        <w:rPr>
          <w:rFonts w:hint="eastAsia" w:ascii="宋体" w:hAnsi="宋体" w:eastAsia="宋体" w:cs="宋体"/>
          <w:iCs/>
          <w:color w:val="auto"/>
          <w:spacing w:val="-6"/>
          <w:sz w:val="24"/>
          <w:szCs w:val="24"/>
          <w:highlight w:val="none"/>
        </w:rPr>
        <w:t>评标结果汇总完成后，采购代理机构应对评标结果进行复核。经复核发现存在以下情形之一的，评标委员会应当当场修改评标结果，并在评标报告中记载：</w:t>
      </w:r>
    </w:p>
    <w:p w14:paraId="427128F3">
      <w:pPr>
        <w:pStyle w:val="38"/>
        <w:numPr>
          <w:ilvl w:val="0"/>
          <w:numId w:val="0"/>
        </w:numPr>
        <w:ind w:left="900" w:leftChars="0" w:hanging="420" w:firstLineChars="0"/>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14.1</w:t>
      </w:r>
      <w:r>
        <w:rPr>
          <w:rFonts w:hint="eastAsia" w:ascii="宋体" w:hAnsi="宋体" w:eastAsia="宋体" w:cs="宋体"/>
          <w:color w:val="auto"/>
          <w:sz w:val="24"/>
          <w:szCs w:val="24"/>
          <w:highlight w:val="none"/>
        </w:rPr>
        <w:t>分值汇总计算错误的；</w:t>
      </w:r>
    </w:p>
    <w:p w14:paraId="4404F7B4">
      <w:pPr>
        <w:pStyle w:val="38"/>
        <w:numPr>
          <w:ilvl w:val="0"/>
          <w:numId w:val="0"/>
        </w:numPr>
        <w:ind w:left="900" w:leftChars="0" w:hanging="420" w:firstLineChars="0"/>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14.2</w:t>
      </w:r>
      <w:r>
        <w:rPr>
          <w:rFonts w:hint="eastAsia" w:ascii="宋体" w:hAnsi="宋体" w:eastAsia="宋体" w:cs="宋体"/>
          <w:color w:val="auto"/>
          <w:sz w:val="24"/>
          <w:szCs w:val="24"/>
          <w:highlight w:val="none"/>
        </w:rPr>
        <w:t>分项评分超出评分标准范围的；</w:t>
      </w:r>
    </w:p>
    <w:p w14:paraId="18150CA8">
      <w:pPr>
        <w:pStyle w:val="38"/>
        <w:numPr>
          <w:ilvl w:val="0"/>
          <w:numId w:val="0"/>
        </w:numPr>
        <w:ind w:left="900" w:leftChars="0" w:hanging="420" w:firstLineChars="0"/>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14.3</w:t>
      </w:r>
      <w:r>
        <w:rPr>
          <w:rFonts w:hint="eastAsia" w:ascii="宋体" w:hAnsi="宋体" w:eastAsia="宋体" w:cs="宋体"/>
          <w:color w:val="auto"/>
          <w:sz w:val="24"/>
          <w:szCs w:val="24"/>
          <w:highlight w:val="none"/>
        </w:rPr>
        <w:t>评标委员会成员对客观评审因素评分不一致的；</w:t>
      </w:r>
    </w:p>
    <w:p w14:paraId="6BFAB3DA">
      <w:pPr>
        <w:pStyle w:val="38"/>
        <w:numPr>
          <w:ilvl w:val="0"/>
          <w:numId w:val="0"/>
        </w:numPr>
        <w:ind w:left="900" w:leftChars="0" w:hanging="420" w:firstLineChars="0"/>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14.4</w:t>
      </w:r>
      <w:r>
        <w:rPr>
          <w:rFonts w:hint="eastAsia" w:ascii="宋体" w:hAnsi="宋体" w:eastAsia="宋体" w:cs="宋体"/>
          <w:color w:val="auto"/>
          <w:sz w:val="24"/>
          <w:szCs w:val="24"/>
          <w:highlight w:val="none"/>
        </w:rPr>
        <w:t>经评标委员会认定评分畸高、畸低的。</w:t>
      </w:r>
    </w:p>
    <w:p w14:paraId="0FD26D1C">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各投标人的最终得分为评标委员会所有成员对各投标人评标得分汇总后的算术平均值。</w:t>
      </w:r>
    </w:p>
    <w:p w14:paraId="1FD846A7">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15.1除资格性检查认定错误、分值汇总计算错误、分项评分超出评分标准范围、客观分评分不一致、经评标委员会一致认定评分畸高、畸低的情形外，采购人或者采购代理机构不得以任何理由组织重新评审。采购人、采购代理机构发现评标委员会未按照招标文件规定的评审标准进行评审的，应当重新开展采购活动，并同时书面报告本级财政部门。</w:t>
      </w:r>
    </w:p>
    <w:p w14:paraId="125C5D08">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15.2采购人或者采购代理机构不得通过对样品进行检测、对投标人进行考察等方式改变评审结果。</w:t>
      </w:r>
    </w:p>
    <w:p w14:paraId="5AB9E04E">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六</w:t>
      </w:r>
      <w:r>
        <w:rPr>
          <w:rFonts w:hint="eastAsia" w:ascii="宋体" w:hAnsi="宋体" w:eastAsia="宋体" w:cs="宋体"/>
          <w:b/>
          <w:bCs/>
          <w:color w:val="auto"/>
          <w:kern w:val="2"/>
          <w:sz w:val="24"/>
          <w:szCs w:val="24"/>
          <w:highlight w:val="none"/>
          <w:lang w:val="zh-CN" w:eastAsia="zh-CN" w:bidi="ar-SA"/>
        </w:rPr>
        <w:t>）排序与推荐</w:t>
      </w:r>
    </w:p>
    <w:p w14:paraId="514ADBD8">
      <w:pPr>
        <w:pStyle w:val="38"/>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评标结果按评审后得分由高到低顺序排列。投标文件满足招标文件全部实质性要求，且按照评审因素的量化指标评审得分最高的投标人为排名第一的中标候选人。得分相同的，按投标报价由低到高顺序排列。得分且投标报价相同的，按技术指标优劣顺序排列。</w:t>
      </w:r>
    </w:p>
    <w:p w14:paraId="7B12FA4F">
      <w:pPr>
        <w:pStyle w:val="38"/>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招标文件未规定的采取随机抽取方式确定，其他同品牌投标人不作为中标候选人。</w:t>
      </w:r>
    </w:p>
    <w:p w14:paraId="3B1F6C1A">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18.中标候选人推荐家数详见“投标人须知前附表”。</w:t>
      </w:r>
    </w:p>
    <w:p w14:paraId="1F98E10E">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七</w:t>
      </w:r>
      <w:r>
        <w:rPr>
          <w:rFonts w:hint="eastAsia" w:ascii="宋体" w:hAnsi="宋体" w:eastAsia="宋体" w:cs="宋体"/>
          <w:b/>
          <w:bCs/>
          <w:color w:val="auto"/>
          <w:kern w:val="2"/>
          <w:sz w:val="24"/>
          <w:szCs w:val="24"/>
          <w:highlight w:val="none"/>
          <w:lang w:val="zh-CN" w:eastAsia="zh-CN" w:bidi="ar-SA"/>
        </w:rPr>
        <w:t>）编写评标报告</w:t>
      </w:r>
    </w:p>
    <w:p w14:paraId="3576CABA">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评标委员会根据全体评标成员签字的原始评标记录和评标结果编写评标报告。评标委员会应当在评标报告上签名，对自己的评审意见承担法律责任。评标委员会成员对需要共同认定的事项存在争议的，应当按照少数服从多数的原则作出结论。持不同意见的评标委员会成员应当在评标报告上签署不同意见，并说明理由，否则视为同意评标报告。</w:t>
      </w:r>
    </w:p>
    <w:p w14:paraId="29512443">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289" w:name="_Toc102056217"/>
      <w:bookmarkStart w:id="290" w:name="_Toc102057717"/>
      <w:bookmarkStart w:id="291" w:name="_Toc163492906"/>
      <w:bookmarkStart w:id="292" w:name="_Toc102114919"/>
      <w:bookmarkStart w:id="293" w:name="_Toc102116021"/>
      <w:bookmarkStart w:id="294" w:name="_Toc102119852"/>
      <w:bookmarkStart w:id="295" w:name="_Toc155185913"/>
      <w:bookmarkStart w:id="296" w:name="_Toc102116151"/>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八</w:t>
      </w:r>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投标无效及</w:t>
      </w:r>
      <w:r>
        <w:rPr>
          <w:rFonts w:hint="eastAsia" w:ascii="宋体" w:hAnsi="宋体" w:eastAsia="宋体" w:cs="宋体"/>
          <w:b/>
          <w:bCs/>
          <w:color w:val="auto"/>
          <w:kern w:val="2"/>
          <w:sz w:val="24"/>
          <w:szCs w:val="24"/>
          <w:highlight w:val="none"/>
          <w:lang w:val="zh-CN" w:eastAsia="zh-CN" w:bidi="ar-SA"/>
        </w:rPr>
        <w:t>应予废标的情形</w:t>
      </w:r>
      <w:bookmarkEnd w:id="289"/>
      <w:bookmarkEnd w:id="290"/>
      <w:bookmarkEnd w:id="291"/>
      <w:bookmarkEnd w:id="292"/>
      <w:bookmarkEnd w:id="293"/>
      <w:bookmarkEnd w:id="294"/>
      <w:bookmarkEnd w:id="295"/>
      <w:bookmarkEnd w:id="296"/>
    </w:p>
    <w:p w14:paraId="38B935D1">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20.投标人存在下列情形之一的，</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5C1B2C98">
      <w:pPr>
        <w:pStyle w:val="38"/>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1</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不具备《中华人民共和国政府采购法》第二十二条规定条件</w:t>
      </w:r>
      <w:r>
        <w:rPr>
          <w:rFonts w:hint="eastAsia" w:ascii="宋体" w:hAnsi="宋体" w:eastAsia="宋体" w:cs="宋体"/>
          <w:color w:val="auto"/>
          <w:sz w:val="24"/>
          <w:szCs w:val="24"/>
          <w:highlight w:val="none"/>
          <w:lang w:val="en-US" w:eastAsia="zh-CN"/>
        </w:rPr>
        <w:t>；</w:t>
      </w:r>
    </w:p>
    <w:p w14:paraId="15C939E8">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2</w:t>
      </w:r>
      <w:r>
        <w:rPr>
          <w:rFonts w:hint="eastAsia" w:ascii="宋体" w:hAnsi="宋体" w:eastAsia="宋体" w:cs="宋体"/>
          <w:color w:val="auto"/>
          <w:sz w:val="24"/>
          <w:szCs w:val="24"/>
          <w:highlight w:val="none"/>
        </w:rPr>
        <w:t>投标文件未按招标文件要求签署、盖章的</w:t>
      </w:r>
      <w:r>
        <w:rPr>
          <w:rFonts w:hint="eastAsia" w:ascii="宋体" w:hAnsi="宋体" w:eastAsia="宋体" w:cs="宋体"/>
          <w:color w:val="auto"/>
          <w:sz w:val="24"/>
          <w:szCs w:val="24"/>
          <w:highlight w:val="none"/>
          <w:lang w:val="en-US" w:eastAsia="zh-CN"/>
        </w:rPr>
        <w:t>；</w:t>
      </w:r>
    </w:p>
    <w:p w14:paraId="0A936FC6">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3</w:t>
      </w:r>
      <w:r>
        <w:rPr>
          <w:rFonts w:hint="eastAsia" w:ascii="宋体" w:hAnsi="宋体" w:eastAsia="宋体" w:cs="宋体"/>
          <w:color w:val="auto"/>
          <w:sz w:val="24"/>
          <w:szCs w:val="24"/>
          <w:highlight w:val="none"/>
          <w:lang w:val="en-US" w:eastAsia="zh-CN"/>
        </w:rPr>
        <w:t>不具备招标文件中规定的资格要求的（投标人未提供有效资格文件的，视为投标人不具备招标文件中规定的资格要求）；</w:t>
      </w:r>
    </w:p>
    <w:p w14:paraId="0C68E355">
      <w:pPr>
        <w:pStyle w:val="38"/>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4</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文件提供虚假材料的</w:t>
      </w:r>
      <w:r>
        <w:rPr>
          <w:rFonts w:hint="eastAsia" w:ascii="宋体" w:hAnsi="宋体" w:eastAsia="宋体" w:cs="宋体"/>
          <w:color w:val="auto"/>
          <w:sz w:val="24"/>
          <w:szCs w:val="24"/>
          <w:highlight w:val="none"/>
          <w:lang w:val="en-US" w:eastAsia="zh-CN"/>
        </w:rPr>
        <w:t>；</w:t>
      </w:r>
    </w:p>
    <w:p w14:paraId="3FDAE166">
      <w:pPr>
        <w:pStyle w:val="38"/>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5</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文件不满足</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val="zh-CN" w:eastAsia="zh-CN"/>
        </w:rPr>
        <w:t>文件中标注“★”号的实质性条款（或指标）要求的</w:t>
      </w:r>
      <w:r>
        <w:rPr>
          <w:rFonts w:hint="eastAsia" w:ascii="宋体" w:hAnsi="宋体" w:eastAsia="宋体" w:cs="宋体"/>
          <w:color w:val="auto"/>
          <w:sz w:val="24"/>
          <w:szCs w:val="24"/>
          <w:highlight w:val="none"/>
          <w:lang w:val="en-US" w:eastAsia="zh-CN"/>
        </w:rPr>
        <w:t>；</w:t>
      </w:r>
    </w:p>
    <w:p w14:paraId="2C5FC304">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6</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报价超过招标文件中规定的最高限价或者预算金额的</w:t>
      </w:r>
      <w:r>
        <w:rPr>
          <w:rFonts w:hint="eastAsia" w:ascii="宋体" w:hAnsi="宋体" w:eastAsia="宋体" w:cs="宋体"/>
          <w:color w:val="auto"/>
          <w:sz w:val="24"/>
          <w:szCs w:val="24"/>
          <w:highlight w:val="none"/>
          <w:lang w:val="en-US" w:eastAsia="zh-CN"/>
        </w:rPr>
        <w:t>；</w:t>
      </w:r>
    </w:p>
    <w:p w14:paraId="6FC2A54F">
      <w:pPr>
        <w:pStyle w:val="38"/>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7联合体的供应商未提交各方共同签署的</w:t>
      </w:r>
      <w:r>
        <w:rPr>
          <w:rFonts w:hint="eastAsia" w:ascii="宋体" w:hAnsi="宋体" w:eastAsia="宋体" w:cs="宋体"/>
          <w:color w:val="auto"/>
          <w:sz w:val="24"/>
          <w:szCs w:val="24"/>
          <w:highlight w:val="none"/>
          <w:lang w:val="en-US" w:eastAsia="zh-CN"/>
        </w:rPr>
        <w:t>联合体</w:t>
      </w:r>
      <w:r>
        <w:rPr>
          <w:rFonts w:hint="eastAsia" w:ascii="宋体" w:hAnsi="宋体" w:eastAsia="宋体" w:cs="宋体"/>
          <w:color w:val="auto"/>
          <w:sz w:val="24"/>
          <w:szCs w:val="24"/>
          <w:highlight w:val="none"/>
          <w:lang w:val="zh-CN" w:eastAsia="zh-CN"/>
        </w:rPr>
        <w:t>协议</w:t>
      </w:r>
      <w:r>
        <w:rPr>
          <w:rFonts w:hint="eastAsia" w:ascii="宋体" w:hAnsi="宋体" w:eastAsia="宋体" w:cs="宋体"/>
          <w:color w:val="auto"/>
          <w:sz w:val="24"/>
          <w:szCs w:val="24"/>
          <w:highlight w:val="none"/>
          <w:lang w:val="en-US" w:eastAsia="zh-CN"/>
        </w:rPr>
        <w:t>的；</w:t>
      </w:r>
    </w:p>
    <w:p w14:paraId="4D1E7850">
      <w:pPr>
        <w:pStyle w:val="38"/>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8</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未按</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val="zh-CN" w:eastAsia="zh-CN"/>
        </w:rPr>
        <w:t>文件</w:t>
      </w:r>
      <w:r>
        <w:rPr>
          <w:rFonts w:hint="eastAsia" w:ascii="宋体" w:hAnsi="宋体" w:eastAsia="宋体" w:cs="宋体"/>
          <w:color w:val="auto"/>
          <w:sz w:val="24"/>
          <w:szCs w:val="24"/>
          <w:highlight w:val="none"/>
          <w:lang w:val="en-US" w:eastAsia="zh-CN"/>
        </w:rPr>
        <w:t>的规定</w:t>
      </w:r>
      <w:r>
        <w:rPr>
          <w:rFonts w:hint="eastAsia" w:ascii="宋体" w:hAnsi="宋体" w:eastAsia="宋体" w:cs="宋体"/>
          <w:color w:val="auto"/>
          <w:sz w:val="24"/>
          <w:szCs w:val="24"/>
          <w:highlight w:val="none"/>
          <w:lang w:val="zh-CN" w:eastAsia="zh-CN"/>
        </w:rPr>
        <w:t>交纳投标保证金</w:t>
      </w:r>
      <w:r>
        <w:rPr>
          <w:rFonts w:hint="eastAsia" w:ascii="宋体" w:hAnsi="宋体" w:eastAsia="宋体" w:cs="宋体"/>
          <w:color w:val="auto"/>
          <w:sz w:val="24"/>
          <w:szCs w:val="24"/>
          <w:highlight w:val="none"/>
          <w:lang w:val="en-US" w:eastAsia="zh-CN"/>
        </w:rPr>
        <w:t>的；</w:t>
      </w:r>
    </w:p>
    <w:p w14:paraId="149A35CB">
      <w:pPr>
        <w:pStyle w:val="38"/>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9评审期间,</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没有按评标委员会的要求提交经授权代表签字的澄清、说明、补正或改变了</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文件的实质性内容</w:t>
      </w:r>
      <w:r>
        <w:rPr>
          <w:rFonts w:hint="eastAsia" w:ascii="宋体" w:hAnsi="宋体" w:eastAsia="宋体" w:cs="宋体"/>
          <w:color w:val="auto"/>
          <w:sz w:val="24"/>
          <w:szCs w:val="24"/>
          <w:highlight w:val="none"/>
          <w:lang w:val="en-US" w:eastAsia="zh-CN"/>
        </w:rPr>
        <w:t>的；</w:t>
      </w:r>
    </w:p>
    <w:p w14:paraId="19EFB935">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10</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对采购人、采购代理机构、评标委员会及其工作人员施加影响,有碍公平、公正</w:t>
      </w:r>
      <w:r>
        <w:rPr>
          <w:rFonts w:hint="eastAsia" w:ascii="宋体" w:hAnsi="宋体" w:eastAsia="宋体" w:cs="宋体"/>
          <w:color w:val="auto"/>
          <w:sz w:val="24"/>
          <w:szCs w:val="24"/>
          <w:highlight w:val="none"/>
          <w:lang w:val="en-US" w:eastAsia="zh-CN"/>
        </w:rPr>
        <w:t>的；</w:t>
      </w:r>
    </w:p>
    <w:p w14:paraId="3A6B2386">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20.11投标文件含有采购人不能接受的附加条件的；</w:t>
      </w:r>
    </w:p>
    <w:p w14:paraId="3764E979">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CN" w:eastAsia="zh-CN"/>
        </w:rPr>
        <w:t>法律、法规、规章规定属于</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无效的其他情形。</w:t>
      </w:r>
    </w:p>
    <w:p w14:paraId="601D7976">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21.有下列情形之一的，视为投标人串通投标，其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0BD50610">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21.1不同投标人的投标文件由同一单位或者个人编制；</w:t>
      </w:r>
    </w:p>
    <w:p w14:paraId="31815558">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21.2不同投标人委托同一单位或者个人办理投标事宜；</w:t>
      </w:r>
    </w:p>
    <w:p w14:paraId="3AD20378">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21.3不同投标人的投标文件载明的项目管理成员或者联系人员为同一人；</w:t>
      </w:r>
    </w:p>
    <w:p w14:paraId="3F168EA2">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21.4不同投标人的投标文件异常一致或者投标报价呈规律性差异；</w:t>
      </w:r>
    </w:p>
    <w:p w14:paraId="634E7939">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21.5不同投标人的投标文件相互混装；</w:t>
      </w:r>
    </w:p>
    <w:p w14:paraId="3B078CE3">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21.6不同投标人的投标保证金从同一单位或者个人的账户转出；</w:t>
      </w:r>
    </w:p>
    <w:p w14:paraId="749F838F">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21.7</w:t>
      </w:r>
      <w:r>
        <w:rPr>
          <w:rFonts w:hint="eastAsia" w:ascii="宋体" w:hAnsi="宋体" w:eastAsia="宋体" w:cs="宋体"/>
          <w:color w:val="auto"/>
          <w:sz w:val="24"/>
          <w:szCs w:val="24"/>
          <w:highlight w:val="none"/>
          <w:lang w:val="zh-CN" w:eastAsia="zh-CN"/>
        </w:rPr>
        <w:t>不同投标人使用同一电脑（机器特征值一致：如MAC地址等）或使用同一电子密钥，编制或上传电子投标文件</w:t>
      </w:r>
      <w:r>
        <w:rPr>
          <w:rFonts w:hint="eastAsia" w:ascii="宋体" w:hAnsi="宋体" w:eastAsia="宋体" w:cs="宋体"/>
          <w:color w:val="auto"/>
          <w:sz w:val="24"/>
          <w:szCs w:val="24"/>
          <w:highlight w:val="none"/>
          <w:lang w:val="en-US" w:eastAsia="zh-CN"/>
        </w:rPr>
        <w:t>；</w:t>
      </w:r>
    </w:p>
    <w:p w14:paraId="2A1BC50E">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21.8法律、法规、规章规定属于投标人串通投标的其他情形</w:t>
      </w:r>
      <w:r>
        <w:rPr>
          <w:rFonts w:hint="eastAsia" w:ascii="宋体" w:hAnsi="宋体" w:eastAsia="宋体" w:cs="宋体"/>
          <w:color w:val="auto"/>
          <w:sz w:val="24"/>
          <w:szCs w:val="24"/>
          <w:highlight w:val="none"/>
          <w:lang w:val="zh-CN" w:eastAsia="zh-CN"/>
        </w:rPr>
        <w:t>。</w:t>
      </w:r>
    </w:p>
    <w:p w14:paraId="737FAF06">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.根据《中华人民共和国政府采购法》第三十六条之规定，在招标采购过程中，出现下列情形之一的，应予</w:t>
      </w:r>
      <w:r>
        <w:rPr>
          <w:rFonts w:hint="eastAsia" w:ascii="宋体" w:hAnsi="宋体" w:eastAsia="宋体" w:cs="宋体"/>
          <w:b/>
          <w:bCs/>
          <w:color w:val="auto"/>
          <w:sz w:val="24"/>
          <w:szCs w:val="24"/>
          <w:highlight w:val="none"/>
        </w:rPr>
        <w:t>废标</w:t>
      </w:r>
      <w:r>
        <w:rPr>
          <w:rFonts w:hint="eastAsia" w:ascii="宋体" w:hAnsi="宋体" w:eastAsia="宋体" w:cs="宋体"/>
          <w:color w:val="auto"/>
          <w:sz w:val="24"/>
          <w:szCs w:val="24"/>
          <w:highlight w:val="none"/>
        </w:rPr>
        <w:t>：</w:t>
      </w:r>
    </w:p>
    <w:p w14:paraId="2C92042A">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.1符合专业条件的供应商或者对招标文件作实质响应的供应商不足3家的；</w:t>
      </w:r>
    </w:p>
    <w:p w14:paraId="34ECD7A2">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.2出现影响采购公正的违法、违规行为的；</w:t>
      </w:r>
    </w:p>
    <w:p w14:paraId="55223AA1">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.3投标人的报价均超过了采购预算，采购人不能支付的；</w:t>
      </w:r>
    </w:p>
    <w:p w14:paraId="7E486B60">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.4因重大变故，采购任务取消的</w:t>
      </w:r>
      <w:r>
        <w:rPr>
          <w:rFonts w:hint="eastAsia" w:ascii="宋体" w:hAnsi="宋体" w:eastAsia="宋体" w:cs="宋体"/>
          <w:color w:val="auto"/>
          <w:sz w:val="24"/>
          <w:szCs w:val="24"/>
          <w:highlight w:val="none"/>
          <w:lang w:val="en-US" w:eastAsia="zh-CN"/>
        </w:rPr>
        <w:t>；</w:t>
      </w:r>
    </w:p>
    <w:p w14:paraId="42948BC7">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22.5 </w:t>
      </w:r>
      <w:r>
        <w:rPr>
          <w:rFonts w:hint="eastAsia" w:ascii="宋体" w:hAnsi="宋体" w:eastAsia="宋体" w:cs="宋体"/>
          <w:color w:val="auto"/>
          <w:sz w:val="24"/>
          <w:szCs w:val="24"/>
          <w:highlight w:val="none"/>
        </w:rPr>
        <w:t>法律、法规、规章规定属于</w:t>
      </w:r>
      <w:r>
        <w:rPr>
          <w:rFonts w:hint="eastAsia" w:ascii="宋体" w:hAnsi="宋体" w:eastAsia="宋体" w:cs="宋体"/>
          <w:color w:val="auto"/>
          <w:sz w:val="24"/>
          <w:szCs w:val="24"/>
          <w:highlight w:val="none"/>
          <w:lang w:val="en-US" w:eastAsia="zh-CN"/>
        </w:rPr>
        <w:t>废标</w:t>
      </w:r>
      <w:r>
        <w:rPr>
          <w:rFonts w:hint="eastAsia" w:ascii="宋体" w:hAnsi="宋体" w:eastAsia="宋体" w:cs="宋体"/>
          <w:color w:val="auto"/>
          <w:sz w:val="24"/>
          <w:szCs w:val="24"/>
          <w:highlight w:val="none"/>
        </w:rPr>
        <w:t>的其他情形。</w:t>
      </w:r>
    </w:p>
    <w:p w14:paraId="3EE39131">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23.</w:t>
      </w:r>
      <w:r>
        <w:rPr>
          <w:rFonts w:hint="eastAsia" w:ascii="宋体" w:hAnsi="宋体" w:eastAsia="宋体" w:cs="宋体"/>
          <w:color w:val="auto"/>
          <w:sz w:val="24"/>
          <w:szCs w:val="24"/>
          <w:highlight w:val="none"/>
        </w:rPr>
        <w:t>废标后，采购人应当将废标理由通知所有投标人。</w:t>
      </w:r>
    </w:p>
    <w:p w14:paraId="05AB6DCD">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297" w:name="_Toc163492907"/>
      <w:bookmarkStart w:id="298" w:name="_Toc102114920"/>
      <w:bookmarkStart w:id="299" w:name="_Toc102056218"/>
      <w:bookmarkStart w:id="300" w:name="_Toc155185914"/>
      <w:bookmarkStart w:id="301" w:name="_Toc102119853"/>
      <w:bookmarkStart w:id="302" w:name="_Toc102116152"/>
      <w:bookmarkStart w:id="303" w:name="_Toc102057718"/>
      <w:bookmarkStart w:id="304" w:name="_Toc102116022"/>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九</w:t>
      </w:r>
      <w:r>
        <w:rPr>
          <w:rFonts w:hint="eastAsia" w:ascii="宋体" w:hAnsi="宋体" w:eastAsia="宋体" w:cs="宋体"/>
          <w:b/>
          <w:bCs/>
          <w:color w:val="auto"/>
          <w:kern w:val="2"/>
          <w:sz w:val="24"/>
          <w:szCs w:val="24"/>
          <w:highlight w:val="none"/>
          <w:lang w:val="zh-CN" w:eastAsia="zh-CN" w:bidi="ar-SA"/>
        </w:rPr>
        <w:t>）停止评标的情形</w:t>
      </w:r>
      <w:bookmarkEnd w:id="297"/>
      <w:bookmarkEnd w:id="298"/>
      <w:bookmarkEnd w:id="299"/>
      <w:bookmarkEnd w:id="300"/>
      <w:bookmarkEnd w:id="301"/>
      <w:bookmarkEnd w:id="302"/>
      <w:bookmarkEnd w:id="303"/>
      <w:bookmarkEnd w:id="304"/>
    </w:p>
    <w:p w14:paraId="190044DE">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2CDB1955">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十</w:t>
      </w:r>
      <w:r>
        <w:rPr>
          <w:rFonts w:hint="eastAsia" w:ascii="宋体" w:hAnsi="宋体" w:eastAsia="宋体" w:cs="宋体"/>
          <w:b/>
          <w:bCs/>
          <w:color w:val="auto"/>
          <w:kern w:val="2"/>
          <w:sz w:val="24"/>
          <w:szCs w:val="24"/>
          <w:highlight w:val="none"/>
          <w:lang w:val="zh-CN" w:eastAsia="zh-CN" w:bidi="ar-SA"/>
        </w:rPr>
        <w:t>）重新开展采购</w:t>
      </w:r>
    </w:p>
    <w:p w14:paraId="461B653A">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中华人民共和国政府采购法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第七十一条、第七十二条规定的违法行为之一，影响或者可能影响中标结果的，依照下列规定处理：</w:t>
      </w:r>
    </w:p>
    <w:p w14:paraId="7AA5C7C3">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.1未确定中标供应商的，终止本次政府采购活动，重新开展政府采购活动。</w:t>
      </w:r>
    </w:p>
    <w:p w14:paraId="3A794890">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.2已确定中标供应商但尚未签订政府采购合同的，中标结果无效，从合格的中标候选人中另行确定中标供应商；没有合格的中标候选人的，重新开展政府采购活动。</w:t>
      </w:r>
    </w:p>
    <w:p w14:paraId="595100CC">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.3政府采购合同已签订但尚未履行的，撤销合同，从合格的中标候选人中另行确定中标供应商；没有合格的中标候选人的，重新开展政府采购活动。</w:t>
      </w:r>
    </w:p>
    <w:p w14:paraId="45E078B1">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.4政府采购合同已经履行，给采购人、供应商造成损失的，由责任人承担赔偿责任。</w:t>
      </w:r>
    </w:p>
    <w:p w14:paraId="43A428E9">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.5政府采购当事人有其他违反</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中华人民共和国政府采购法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或者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中华人民共和国政府采购法实施条例</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等法律法规规定的行为，经改正后仍然影响或者可能影响中标结果或者依法被认定为中标无效的，依照</w:t>
      </w: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.4规定处理。</w:t>
      </w:r>
    </w:p>
    <w:bookmarkEnd w:id="270"/>
    <w:bookmarkEnd w:id="271"/>
    <w:bookmarkEnd w:id="272"/>
    <w:bookmarkEnd w:id="273"/>
    <w:bookmarkEnd w:id="274"/>
    <w:bookmarkEnd w:id="275"/>
    <w:bookmarkEnd w:id="276"/>
    <w:bookmarkEnd w:id="277"/>
    <w:bookmarkEnd w:id="278"/>
    <w:bookmarkEnd w:id="279"/>
    <w:p w14:paraId="6AD5E432">
      <w:pPr>
        <w:pStyle w:val="3"/>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default" w:ascii="宋体" w:hAnsi="宋体" w:eastAsia="宋体" w:cs="宋体"/>
          <w:color w:val="auto"/>
          <w:sz w:val="28"/>
          <w:szCs w:val="28"/>
          <w:highlight w:val="none"/>
          <w:lang w:val="en-US" w:eastAsia="zh-CN"/>
        </w:rPr>
      </w:pPr>
      <w:bookmarkStart w:id="305" w:name="_Toc30017"/>
      <w:r>
        <w:rPr>
          <w:rFonts w:hint="eastAsia" w:ascii="宋体" w:hAnsi="宋体" w:eastAsia="宋体" w:cs="宋体"/>
          <w:color w:val="auto"/>
          <w:sz w:val="28"/>
          <w:szCs w:val="28"/>
          <w:highlight w:val="none"/>
          <w:lang w:val="zh-CN" w:eastAsia="zh-CN"/>
        </w:rPr>
        <w:t>三、评标</w:t>
      </w:r>
      <w:r>
        <w:rPr>
          <w:rFonts w:hint="eastAsia" w:ascii="宋体" w:hAnsi="宋体" w:eastAsia="宋体" w:cs="宋体"/>
          <w:color w:val="auto"/>
          <w:sz w:val="28"/>
          <w:szCs w:val="28"/>
          <w:highlight w:val="none"/>
          <w:lang w:val="en-US" w:eastAsia="zh-CN"/>
        </w:rPr>
        <w:t>其他要求</w:t>
      </w:r>
      <w:bookmarkEnd w:id="305"/>
    </w:p>
    <w:p w14:paraId="555D6B49">
      <w:pPr>
        <w:pStyle w:val="38"/>
        <w:pageBreakBefore w:val="0"/>
        <w:widowControl w:val="0"/>
        <w:kinsoku/>
        <w:overflowPunct/>
        <w:topLinePunct w:val="0"/>
        <w:autoSpaceDE/>
        <w:autoSpaceDN/>
        <w:bidi w:val="0"/>
        <w:adjustRightInd/>
        <w:snapToGrid/>
        <w:textAlignment w:val="auto"/>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可根据项目的情况增加上述内容中未包含的要求</w:t>
      </w:r>
      <w:r>
        <w:rPr>
          <w:rFonts w:hint="eastAsia"/>
          <w:color w:val="auto"/>
          <w:highlight w:val="none"/>
          <w:lang w:eastAsia="zh-CN"/>
        </w:rPr>
        <w:t>】</w:t>
      </w:r>
    </w:p>
    <w:p w14:paraId="32B5EED4">
      <w:pPr>
        <w:pStyle w:val="3"/>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en-US" w:eastAsia="zh-CN"/>
        </w:rPr>
      </w:pPr>
      <w:bookmarkStart w:id="306" w:name="_Toc163492908"/>
      <w:bookmarkStart w:id="307" w:name="_Toc155185915"/>
    </w:p>
    <w:p w14:paraId="2D5D2532">
      <w:pPr>
        <w:pStyle w:val="3"/>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en-US" w:eastAsia="zh-CN"/>
        </w:rPr>
      </w:pPr>
    </w:p>
    <w:p w14:paraId="42E9B2C3">
      <w:pPr>
        <w:pStyle w:val="3"/>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en-US" w:eastAsia="zh-CN"/>
        </w:rPr>
      </w:pPr>
    </w:p>
    <w:p w14:paraId="4D3415E5">
      <w:pPr>
        <w:pStyle w:val="3"/>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zh-CN" w:eastAsia="zh-CN"/>
        </w:rPr>
      </w:pPr>
      <w:bookmarkStart w:id="308" w:name="_Toc12589"/>
      <w:r>
        <w:rPr>
          <w:rFonts w:hint="eastAsia" w:ascii="宋体" w:hAnsi="宋体" w:eastAsia="宋体" w:cs="宋体"/>
          <w:color w:val="auto"/>
          <w:sz w:val="28"/>
          <w:szCs w:val="28"/>
          <w:highlight w:val="none"/>
          <w:lang w:val="en-US" w:eastAsia="zh-CN"/>
        </w:rPr>
        <w:t>四</w:t>
      </w:r>
      <w:r>
        <w:rPr>
          <w:rFonts w:hint="eastAsia" w:ascii="宋体" w:hAnsi="宋体" w:eastAsia="宋体" w:cs="宋体"/>
          <w:color w:val="auto"/>
          <w:sz w:val="28"/>
          <w:szCs w:val="28"/>
          <w:highlight w:val="none"/>
          <w:lang w:val="zh-CN" w:eastAsia="zh-CN"/>
        </w:rPr>
        <w:t>、评标标准</w:t>
      </w:r>
      <w:bookmarkEnd w:id="306"/>
      <w:bookmarkEnd w:id="307"/>
      <w:bookmarkEnd w:id="308"/>
    </w:p>
    <w:p w14:paraId="6FC1DEBE">
      <w:pPr>
        <w:pStyle w:val="4"/>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309" w:name="_Toc163492909"/>
      <w:r>
        <w:rPr>
          <w:rFonts w:hint="eastAsia" w:ascii="宋体" w:hAnsi="宋体" w:eastAsia="宋体" w:cs="宋体"/>
          <w:b/>
          <w:bCs/>
          <w:color w:val="auto"/>
          <w:kern w:val="2"/>
          <w:sz w:val="24"/>
          <w:szCs w:val="24"/>
          <w:highlight w:val="none"/>
          <w:lang w:val="zh-CN" w:eastAsia="zh-CN" w:bidi="ar-SA"/>
        </w:rPr>
        <w:t>（一）符合性审查表</w:t>
      </w:r>
      <w:bookmarkEnd w:id="309"/>
    </w:p>
    <w:tbl>
      <w:tblPr>
        <w:tblStyle w:val="30"/>
        <w:tblW w:w="5512" w:type="pct"/>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88"/>
        <w:gridCol w:w="1579"/>
        <w:gridCol w:w="5683"/>
        <w:gridCol w:w="726"/>
        <w:gridCol w:w="919"/>
      </w:tblGrid>
      <w:tr w14:paraId="6867D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260" w:type="pct"/>
            <w:vMerge w:val="restart"/>
            <w:shd w:val="clear" w:color="auto" w:fill="D8D8D8" w:themeFill="background1" w:themeFillShade="D9"/>
            <w:vAlign w:val="center"/>
          </w:tcPr>
          <w:p w14:paraId="3B188FC3">
            <w:pPr>
              <w:pStyle w:val="50"/>
              <w:jc w:val="center"/>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序号</w:t>
            </w:r>
          </w:p>
        </w:tc>
        <w:tc>
          <w:tcPr>
            <w:tcW w:w="840" w:type="pct"/>
            <w:vMerge w:val="restart"/>
            <w:shd w:val="clear" w:color="auto" w:fill="D8D8D8" w:themeFill="background1" w:themeFillShade="D9"/>
            <w:vAlign w:val="center"/>
          </w:tcPr>
          <w:p w14:paraId="316B5F87">
            <w:pPr>
              <w:pStyle w:val="50"/>
              <w:jc w:val="center"/>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审查项名称</w:t>
            </w:r>
          </w:p>
        </w:tc>
        <w:tc>
          <w:tcPr>
            <w:tcW w:w="3023" w:type="pct"/>
            <w:vMerge w:val="restart"/>
            <w:shd w:val="clear" w:color="auto" w:fill="D8D8D8" w:themeFill="background1" w:themeFillShade="D9"/>
            <w:vAlign w:val="center"/>
          </w:tcPr>
          <w:p w14:paraId="44B32FDC">
            <w:pPr>
              <w:pStyle w:val="50"/>
              <w:jc w:val="center"/>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审查内容</w:t>
            </w:r>
          </w:p>
        </w:tc>
        <w:tc>
          <w:tcPr>
            <w:tcW w:w="875" w:type="pct"/>
            <w:gridSpan w:val="2"/>
            <w:shd w:val="clear" w:color="auto" w:fill="D8D8D8" w:themeFill="background1" w:themeFillShade="D9"/>
            <w:vAlign w:val="center"/>
          </w:tcPr>
          <w:p w14:paraId="2724C461">
            <w:pPr>
              <w:pStyle w:val="5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审查结果</w:t>
            </w:r>
          </w:p>
        </w:tc>
      </w:tr>
      <w:tr w14:paraId="6963B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trPr>
        <w:tc>
          <w:tcPr>
            <w:tcW w:w="260" w:type="pct"/>
            <w:vMerge w:val="continue"/>
            <w:shd w:val="clear" w:color="auto" w:fill="D8D8D8" w:themeFill="background1" w:themeFillShade="D9"/>
            <w:vAlign w:val="center"/>
          </w:tcPr>
          <w:p w14:paraId="1859AA86">
            <w:pPr>
              <w:pStyle w:val="50"/>
              <w:jc w:val="center"/>
              <w:rPr>
                <w:rFonts w:hint="eastAsia" w:ascii="宋体" w:hAnsi="宋体" w:eastAsia="宋体" w:cs="宋体"/>
                <w:b/>
                <w:bCs/>
                <w:color w:val="auto"/>
                <w:sz w:val="21"/>
                <w:szCs w:val="21"/>
                <w:highlight w:val="none"/>
                <w:lang w:val="zh-CN"/>
              </w:rPr>
            </w:pPr>
          </w:p>
        </w:tc>
        <w:tc>
          <w:tcPr>
            <w:tcW w:w="840" w:type="pct"/>
            <w:vMerge w:val="continue"/>
            <w:shd w:val="clear" w:color="auto" w:fill="D8D8D8" w:themeFill="background1" w:themeFillShade="D9"/>
            <w:vAlign w:val="center"/>
          </w:tcPr>
          <w:p w14:paraId="51EF0565">
            <w:pPr>
              <w:pStyle w:val="50"/>
              <w:jc w:val="center"/>
              <w:rPr>
                <w:rFonts w:hint="eastAsia" w:ascii="宋体" w:hAnsi="宋体" w:eastAsia="宋体" w:cs="宋体"/>
                <w:b/>
                <w:bCs/>
                <w:color w:val="auto"/>
                <w:sz w:val="21"/>
                <w:szCs w:val="21"/>
                <w:highlight w:val="none"/>
                <w:lang w:val="zh-CN"/>
              </w:rPr>
            </w:pPr>
          </w:p>
        </w:tc>
        <w:tc>
          <w:tcPr>
            <w:tcW w:w="3023" w:type="pct"/>
            <w:vMerge w:val="continue"/>
            <w:shd w:val="clear" w:color="auto" w:fill="D8D8D8" w:themeFill="background1" w:themeFillShade="D9"/>
            <w:vAlign w:val="center"/>
          </w:tcPr>
          <w:p w14:paraId="2128C077">
            <w:pPr>
              <w:pStyle w:val="50"/>
              <w:jc w:val="center"/>
              <w:rPr>
                <w:rFonts w:hint="eastAsia" w:ascii="宋体" w:hAnsi="宋体" w:eastAsia="宋体" w:cs="宋体"/>
                <w:b/>
                <w:bCs/>
                <w:color w:val="auto"/>
                <w:sz w:val="21"/>
                <w:szCs w:val="21"/>
                <w:highlight w:val="none"/>
                <w:lang w:val="zh-CN"/>
              </w:rPr>
            </w:pPr>
          </w:p>
        </w:tc>
        <w:tc>
          <w:tcPr>
            <w:tcW w:w="386" w:type="pct"/>
            <w:shd w:val="clear" w:color="auto" w:fill="D8D8D8" w:themeFill="background1" w:themeFillShade="D9"/>
            <w:vAlign w:val="center"/>
          </w:tcPr>
          <w:p w14:paraId="0CAA21D7">
            <w:pPr>
              <w:pStyle w:val="5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符合</w:t>
            </w:r>
          </w:p>
        </w:tc>
        <w:tc>
          <w:tcPr>
            <w:tcW w:w="489" w:type="pct"/>
            <w:shd w:val="clear" w:color="auto" w:fill="D8D8D8" w:themeFill="background1" w:themeFillShade="D9"/>
            <w:vAlign w:val="center"/>
          </w:tcPr>
          <w:p w14:paraId="15D1F439">
            <w:pPr>
              <w:pStyle w:val="5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不符合</w:t>
            </w:r>
          </w:p>
        </w:tc>
      </w:tr>
      <w:tr w14:paraId="233AF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4" w:hRule="atLeast"/>
        </w:trPr>
        <w:tc>
          <w:tcPr>
            <w:tcW w:w="260" w:type="pct"/>
            <w:shd w:val="clear" w:color="auto" w:fill="auto"/>
            <w:vAlign w:val="center"/>
          </w:tcPr>
          <w:p w14:paraId="4A515C07">
            <w:pPr>
              <w:pStyle w:val="50"/>
              <w:numPr>
                <w:ilvl w:val="0"/>
                <w:numId w:val="0"/>
              </w:numPr>
              <w:ind w:left="420" w:leftChars="0" w:hanging="420" w:firstLineChars="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kern w:val="2"/>
                <w:sz w:val="21"/>
                <w:szCs w:val="21"/>
                <w:highlight w:val="none"/>
                <w:lang w:val="zh-CN" w:eastAsia="zh-CN" w:bidi="ar-SA"/>
              </w:rPr>
              <w:t>1</w:t>
            </w:r>
          </w:p>
        </w:tc>
        <w:tc>
          <w:tcPr>
            <w:tcW w:w="840" w:type="pct"/>
            <w:vAlign w:val="center"/>
          </w:tcPr>
          <w:p w14:paraId="5E0E3062">
            <w:pPr>
              <w:pStyle w:val="5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投标文件</w:t>
            </w:r>
            <w:r>
              <w:rPr>
                <w:rFonts w:hint="eastAsia" w:ascii="宋体" w:hAnsi="宋体" w:eastAsia="宋体" w:cs="宋体"/>
                <w:color w:val="auto"/>
                <w:sz w:val="21"/>
                <w:szCs w:val="21"/>
                <w:highlight w:val="none"/>
              </w:rPr>
              <w:t>签署</w:t>
            </w:r>
          </w:p>
        </w:tc>
        <w:tc>
          <w:tcPr>
            <w:tcW w:w="3023" w:type="pct"/>
            <w:shd w:val="clear" w:color="auto" w:fill="auto"/>
            <w:vAlign w:val="center"/>
          </w:tcPr>
          <w:p w14:paraId="0FA4ED80">
            <w:pPr>
              <w:pStyle w:val="50"/>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投标文件按招标文件要求签署、盖章的</w:t>
            </w:r>
          </w:p>
        </w:tc>
        <w:tc>
          <w:tcPr>
            <w:tcW w:w="386" w:type="pct"/>
            <w:shd w:val="clear" w:color="auto" w:fill="auto"/>
            <w:vAlign w:val="center"/>
          </w:tcPr>
          <w:p w14:paraId="1E1F1EB1">
            <w:pPr>
              <w:pStyle w:val="50"/>
              <w:rPr>
                <w:rFonts w:hint="eastAsia" w:ascii="宋体" w:hAnsi="宋体" w:eastAsia="宋体" w:cs="宋体"/>
                <w:color w:val="auto"/>
                <w:sz w:val="21"/>
                <w:szCs w:val="21"/>
                <w:highlight w:val="none"/>
                <w:lang w:val="zh-CN"/>
              </w:rPr>
            </w:pPr>
          </w:p>
        </w:tc>
        <w:tc>
          <w:tcPr>
            <w:tcW w:w="489" w:type="pct"/>
            <w:shd w:val="clear" w:color="auto" w:fill="auto"/>
            <w:vAlign w:val="center"/>
          </w:tcPr>
          <w:p w14:paraId="35325BAA">
            <w:pPr>
              <w:pStyle w:val="50"/>
              <w:rPr>
                <w:rFonts w:hint="eastAsia" w:ascii="宋体" w:hAnsi="宋体" w:eastAsia="宋体" w:cs="宋体"/>
                <w:color w:val="auto"/>
                <w:sz w:val="21"/>
                <w:szCs w:val="21"/>
                <w:highlight w:val="none"/>
                <w:lang w:val="zh-CN"/>
              </w:rPr>
            </w:pPr>
          </w:p>
        </w:tc>
      </w:tr>
      <w:tr w14:paraId="3F1703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4" w:hRule="atLeast"/>
        </w:trPr>
        <w:tc>
          <w:tcPr>
            <w:tcW w:w="260" w:type="pct"/>
            <w:shd w:val="clear" w:color="auto" w:fill="auto"/>
            <w:vAlign w:val="center"/>
          </w:tcPr>
          <w:p w14:paraId="5B53A43D">
            <w:pPr>
              <w:pStyle w:val="50"/>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2</w:t>
            </w:r>
          </w:p>
        </w:tc>
        <w:tc>
          <w:tcPr>
            <w:tcW w:w="840" w:type="pct"/>
            <w:shd w:val="clear" w:color="auto" w:fill="auto"/>
            <w:vAlign w:val="center"/>
          </w:tcPr>
          <w:p w14:paraId="54DD2E09">
            <w:pPr>
              <w:pStyle w:val="50"/>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zh-CN"/>
              </w:rPr>
              <w:t>实质性要求</w:t>
            </w:r>
          </w:p>
        </w:tc>
        <w:tc>
          <w:tcPr>
            <w:tcW w:w="3023" w:type="pct"/>
            <w:shd w:val="clear" w:color="auto" w:fill="auto"/>
            <w:vAlign w:val="center"/>
          </w:tcPr>
          <w:p w14:paraId="3A663F07">
            <w:pPr>
              <w:pStyle w:val="50"/>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lang w:val="zh-CN" w:eastAsia="zh-CN"/>
              </w:rPr>
              <w:t>文件满足</w:t>
            </w: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lang w:val="zh-CN" w:eastAsia="zh-CN"/>
              </w:rPr>
              <w:t>文件中标注“★”号的实质性条款（或指标）要求的</w:t>
            </w:r>
          </w:p>
        </w:tc>
        <w:tc>
          <w:tcPr>
            <w:tcW w:w="386" w:type="pct"/>
            <w:shd w:val="clear" w:color="auto" w:fill="auto"/>
            <w:vAlign w:val="center"/>
          </w:tcPr>
          <w:p w14:paraId="3F83CD9C">
            <w:pPr>
              <w:pStyle w:val="50"/>
              <w:rPr>
                <w:rFonts w:hint="eastAsia" w:ascii="宋体" w:hAnsi="宋体" w:eastAsia="宋体" w:cs="宋体"/>
                <w:color w:val="auto"/>
                <w:sz w:val="21"/>
                <w:szCs w:val="21"/>
                <w:highlight w:val="none"/>
                <w:lang w:val="zh-CN"/>
              </w:rPr>
            </w:pPr>
          </w:p>
        </w:tc>
        <w:tc>
          <w:tcPr>
            <w:tcW w:w="489" w:type="pct"/>
            <w:shd w:val="clear" w:color="auto" w:fill="auto"/>
            <w:vAlign w:val="center"/>
          </w:tcPr>
          <w:p w14:paraId="53C654A1">
            <w:pPr>
              <w:pStyle w:val="50"/>
              <w:rPr>
                <w:rFonts w:hint="eastAsia" w:ascii="宋体" w:hAnsi="宋体" w:eastAsia="宋体" w:cs="宋体"/>
                <w:color w:val="auto"/>
                <w:sz w:val="21"/>
                <w:szCs w:val="21"/>
                <w:highlight w:val="none"/>
                <w:lang w:val="zh-CN"/>
              </w:rPr>
            </w:pPr>
          </w:p>
        </w:tc>
      </w:tr>
      <w:tr w14:paraId="49890B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2" w:hRule="atLeast"/>
        </w:trPr>
        <w:tc>
          <w:tcPr>
            <w:tcW w:w="260" w:type="pct"/>
            <w:shd w:val="clear" w:color="auto" w:fill="auto"/>
            <w:vAlign w:val="center"/>
          </w:tcPr>
          <w:p w14:paraId="122BA4D1">
            <w:pPr>
              <w:pStyle w:val="50"/>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3</w:t>
            </w:r>
          </w:p>
        </w:tc>
        <w:tc>
          <w:tcPr>
            <w:tcW w:w="840" w:type="pct"/>
            <w:vAlign w:val="center"/>
          </w:tcPr>
          <w:p w14:paraId="0ABAB0FD">
            <w:pPr>
              <w:pStyle w:val="5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投标报价</w:t>
            </w:r>
          </w:p>
        </w:tc>
        <w:tc>
          <w:tcPr>
            <w:tcW w:w="3023" w:type="pct"/>
            <w:shd w:val="clear" w:color="auto" w:fill="auto"/>
            <w:vAlign w:val="center"/>
          </w:tcPr>
          <w:p w14:paraId="3039222D">
            <w:pPr>
              <w:pStyle w:val="5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投标人报价未超过招标文件中规定的最高限价或者预算金额的</w:t>
            </w:r>
          </w:p>
        </w:tc>
        <w:tc>
          <w:tcPr>
            <w:tcW w:w="386" w:type="pct"/>
            <w:shd w:val="clear" w:color="auto" w:fill="auto"/>
            <w:vAlign w:val="center"/>
          </w:tcPr>
          <w:p w14:paraId="45596CE1">
            <w:pPr>
              <w:pStyle w:val="50"/>
              <w:rPr>
                <w:rFonts w:hint="eastAsia" w:ascii="宋体" w:hAnsi="宋体" w:eastAsia="宋体" w:cs="宋体"/>
                <w:color w:val="auto"/>
                <w:sz w:val="21"/>
                <w:szCs w:val="21"/>
                <w:highlight w:val="none"/>
                <w:lang w:val="zh-CN"/>
              </w:rPr>
            </w:pPr>
          </w:p>
        </w:tc>
        <w:tc>
          <w:tcPr>
            <w:tcW w:w="489" w:type="pct"/>
            <w:shd w:val="clear" w:color="auto" w:fill="auto"/>
            <w:vAlign w:val="center"/>
          </w:tcPr>
          <w:p w14:paraId="11E76B6F">
            <w:pPr>
              <w:pStyle w:val="50"/>
              <w:rPr>
                <w:rFonts w:hint="eastAsia" w:ascii="宋体" w:hAnsi="宋体" w:eastAsia="宋体" w:cs="宋体"/>
                <w:color w:val="auto"/>
                <w:sz w:val="21"/>
                <w:szCs w:val="21"/>
                <w:highlight w:val="none"/>
                <w:lang w:val="zh-CN"/>
              </w:rPr>
            </w:pPr>
          </w:p>
        </w:tc>
      </w:tr>
      <w:tr w14:paraId="5AEED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atLeast"/>
        </w:trPr>
        <w:tc>
          <w:tcPr>
            <w:tcW w:w="260" w:type="pct"/>
            <w:shd w:val="clear" w:color="auto" w:fill="auto"/>
            <w:vAlign w:val="center"/>
          </w:tcPr>
          <w:p w14:paraId="54575570">
            <w:pPr>
              <w:pStyle w:val="50"/>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cs="宋体"/>
                <w:color w:val="auto"/>
                <w:kern w:val="2"/>
                <w:sz w:val="21"/>
                <w:szCs w:val="21"/>
                <w:highlight w:val="none"/>
                <w:lang w:val="en-US" w:eastAsia="zh-CN" w:bidi="ar-SA"/>
              </w:rPr>
              <w:t>4</w:t>
            </w:r>
          </w:p>
        </w:tc>
        <w:tc>
          <w:tcPr>
            <w:tcW w:w="840" w:type="pct"/>
            <w:vAlign w:val="center"/>
          </w:tcPr>
          <w:p w14:paraId="7CFE2454">
            <w:pPr>
              <w:pStyle w:val="5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质保期</w:t>
            </w:r>
          </w:p>
        </w:tc>
        <w:tc>
          <w:tcPr>
            <w:tcW w:w="3023" w:type="pct"/>
            <w:shd w:val="clear" w:color="auto" w:fill="auto"/>
            <w:vAlign w:val="center"/>
          </w:tcPr>
          <w:p w14:paraId="1AFF6E69">
            <w:pPr>
              <w:pStyle w:val="5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满足采购文件要求</w:t>
            </w:r>
          </w:p>
        </w:tc>
        <w:tc>
          <w:tcPr>
            <w:tcW w:w="386" w:type="pct"/>
            <w:shd w:val="clear" w:color="auto" w:fill="auto"/>
            <w:vAlign w:val="center"/>
          </w:tcPr>
          <w:p w14:paraId="6E7B9E6F">
            <w:pPr>
              <w:pStyle w:val="50"/>
              <w:rPr>
                <w:rFonts w:hint="eastAsia" w:ascii="宋体" w:hAnsi="宋体" w:eastAsia="宋体" w:cs="宋体"/>
                <w:color w:val="auto"/>
                <w:sz w:val="21"/>
                <w:szCs w:val="21"/>
                <w:highlight w:val="none"/>
                <w:lang w:val="zh-CN"/>
              </w:rPr>
            </w:pPr>
          </w:p>
        </w:tc>
        <w:tc>
          <w:tcPr>
            <w:tcW w:w="489" w:type="pct"/>
            <w:shd w:val="clear" w:color="auto" w:fill="auto"/>
            <w:vAlign w:val="center"/>
          </w:tcPr>
          <w:p w14:paraId="5E9FCB3A">
            <w:pPr>
              <w:pStyle w:val="50"/>
              <w:rPr>
                <w:rFonts w:hint="eastAsia" w:ascii="宋体" w:hAnsi="宋体" w:eastAsia="宋体" w:cs="宋体"/>
                <w:color w:val="auto"/>
                <w:sz w:val="21"/>
                <w:szCs w:val="21"/>
                <w:highlight w:val="none"/>
                <w:lang w:val="zh-CN"/>
              </w:rPr>
            </w:pPr>
          </w:p>
        </w:tc>
      </w:tr>
      <w:tr w14:paraId="35AAC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60" w:type="pct"/>
            <w:shd w:val="clear" w:color="auto" w:fill="auto"/>
            <w:vAlign w:val="center"/>
          </w:tcPr>
          <w:p w14:paraId="332BD4A6">
            <w:pPr>
              <w:pStyle w:val="50"/>
              <w:numPr>
                <w:ilvl w:val="0"/>
                <w:numId w:val="0"/>
              </w:numPr>
              <w:ind w:left="420" w:leftChars="0" w:hanging="420" w:firstLineChars="0"/>
              <w:jc w:val="center"/>
              <w:rPr>
                <w:rFonts w:hint="eastAsia"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5</w:t>
            </w:r>
          </w:p>
        </w:tc>
        <w:tc>
          <w:tcPr>
            <w:tcW w:w="840" w:type="pct"/>
            <w:vAlign w:val="center"/>
          </w:tcPr>
          <w:p w14:paraId="56EEFE7E">
            <w:pPr>
              <w:pStyle w:val="5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供货周期</w:t>
            </w:r>
          </w:p>
        </w:tc>
        <w:tc>
          <w:tcPr>
            <w:tcW w:w="3023" w:type="pct"/>
            <w:shd w:val="clear" w:color="auto" w:fill="auto"/>
            <w:vAlign w:val="center"/>
          </w:tcPr>
          <w:p w14:paraId="618DB2FB">
            <w:pPr>
              <w:pStyle w:val="5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满足采购文件要求</w:t>
            </w:r>
          </w:p>
        </w:tc>
        <w:tc>
          <w:tcPr>
            <w:tcW w:w="386" w:type="pct"/>
            <w:shd w:val="clear" w:color="auto" w:fill="auto"/>
            <w:vAlign w:val="center"/>
          </w:tcPr>
          <w:p w14:paraId="36C2A679">
            <w:pPr>
              <w:pStyle w:val="50"/>
              <w:rPr>
                <w:rFonts w:hint="eastAsia" w:ascii="宋体" w:hAnsi="宋体" w:eastAsia="宋体" w:cs="宋体"/>
                <w:color w:val="auto"/>
                <w:sz w:val="21"/>
                <w:szCs w:val="21"/>
                <w:highlight w:val="none"/>
                <w:lang w:val="zh-CN"/>
              </w:rPr>
            </w:pPr>
          </w:p>
        </w:tc>
        <w:tc>
          <w:tcPr>
            <w:tcW w:w="489" w:type="pct"/>
            <w:shd w:val="clear" w:color="auto" w:fill="auto"/>
            <w:vAlign w:val="center"/>
          </w:tcPr>
          <w:p w14:paraId="73E4201A">
            <w:pPr>
              <w:pStyle w:val="50"/>
              <w:rPr>
                <w:rFonts w:hint="eastAsia" w:ascii="宋体" w:hAnsi="宋体" w:eastAsia="宋体" w:cs="宋体"/>
                <w:color w:val="auto"/>
                <w:sz w:val="21"/>
                <w:szCs w:val="21"/>
                <w:highlight w:val="none"/>
                <w:lang w:val="zh-CN"/>
              </w:rPr>
            </w:pPr>
          </w:p>
        </w:tc>
      </w:tr>
    </w:tbl>
    <w:p w14:paraId="1E0763ED">
      <w:pPr>
        <w:shd w:val="clear" w:color="auto" w:fill="FFFFFF"/>
        <w:tabs>
          <w:tab w:val="left" w:pos="3045"/>
        </w:tabs>
        <w:autoSpaceDE w:val="0"/>
        <w:autoSpaceDN w:val="0"/>
        <w:adjustRightInd w:val="0"/>
        <w:snapToGrid w:val="0"/>
        <w:spacing w:line="360" w:lineRule="exact"/>
        <w:rPr>
          <w:rFonts w:hint="eastAsia" w:ascii="宋体" w:hAnsi="宋体" w:cs="宋体"/>
          <w:b/>
          <w:color w:val="auto"/>
          <w:sz w:val="24"/>
          <w:highlight w:val="none"/>
        </w:rPr>
      </w:pPr>
    </w:p>
    <w:p w14:paraId="01436FB4">
      <w:pPr>
        <w:shd w:val="clear" w:color="auto" w:fill="FFFFFF"/>
        <w:tabs>
          <w:tab w:val="left" w:pos="3045"/>
        </w:tabs>
        <w:autoSpaceDE w:val="0"/>
        <w:autoSpaceDN w:val="0"/>
        <w:adjustRightInd w:val="0"/>
        <w:snapToGrid w:val="0"/>
        <w:spacing w:line="360" w:lineRule="exact"/>
        <w:rPr>
          <w:rFonts w:hint="eastAsia" w:ascii="宋体" w:hAnsi="宋体" w:cs="宋体"/>
          <w:b/>
          <w:color w:val="auto"/>
          <w:sz w:val="24"/>
          <w:highlight w:val="none"/>
        </w:rPr>
      </w:pPr>
    </w:p>
    <w:p w14:paraId="603619E3">
      <w:pPr>
        <w:pStyle w:val="36"/>
        <w:rPr>
          <w:rFonts w:hint="eastAsia" w:ascii="宋体" w:hAnsi="宋体" w:cs="宋体"/>
          <w:b/>
          <w:color w:val="auto"/>
          <w:sz w:val="24"/>
          <w:highlight w:val="none"/>
        </w:rPr>
      </w:pPr>
    </w:p>
    <w:p w14:paraId="02CFD72D">
      <w:pPr>
        <w:pStyle w:val="36"/>
        <w:rPr>
          <w:rFonts w:hint="eastAsia" w:ascii="宋体" w:hAnsi="宋体" w:cs="宋体"/>
          <w:b/>
          <w:color w:val="auto"/>
          <w:sz w:val="24"/>
          <w:highlight w:val="none"/>
        </w:rPr>
      </w:pPr>
    </w:p>
    <w:p w14:paraId="18592A12">
      <w:pPr>
        <w:pStyle w:val="36"/>
        <w:rPr>
          <w:rFonts w:hint="eastAsia" w:ascii="宋体" w:hAnsi="宋体" w:cs="宋体"/>
          <w:b/>
          <w:color w:val="auto"/>
          <w:sz w:val="24"/>
          <w:highlight w:val="none"/>
        </w:rPr>
      </w:pPr>
    </w:p>
    <w:p w14:paraId="1B16EF71">
      <w:pPr>
        <w:pStyle w:val="36"/>
        <w:rPr>
          <w:rFonts w:hint="eastAsia" w:ascii="宋体" w:hAnsi="宋体" w:cs="宋体"/>
          <w:b/>
          <w:color w:val="auto"/>
          <w:sz w:val="24"/>
          <w:highlight w:val="none"/>
        </w:rPr>
      </w:pPr>
    </w:p>
    <w:p w14:paraId="30777F4E">
      <w:pPr>
        <w:pStyle w:val="36"/>
        <w:rPr>
          <w:rFonts w:hint="eastAsia" w:ascii="宋体" w:hAnsi="宋体" w:cs="宋体"/>
          <w:b/>
          <w:color w:val="auto"/>
          <w:sz w:val="24"/>
          <w:highlight w:val="none"/>
        </w:rPr>
      </w:pPr>
    </w:p>
    <w:p w14:paraId="2AA4C903">
      <w:pPr>
        <w:pStyle w:val="36"/>
        <w:rPr>
          <w:rFonts w:hint="eastAsia" w:ascii="宋体" w:hAnsi="宋体" w:cs="宋体"/>
          <w:b/>
          <w:color w:val="auto"/>
          <w:sz w:val="24"/>
          <w:highlight w:val="none"/>
        </w:rPr>
      </w:pPr>
    </w:p>
    <w:p w14:paraId="5EF62A27">
      <w:pPr>
        <w:pStyle w:val="36"/>
        <w:rPr>
          <w:rFonts w:hint="eastAsia" w:ascii="宋体" w:hAnsi="宋体" w:cs="宋体"/>
          <w:b/>
          <w:color w:val="auto"/>
          <w:sz w:val="24"/>
          <w:highlight w:val="none"/>
        </w:rPr>
      </w:pPr>
    </w:p>
    <w:p w14:paraId="71D21ABB">
      <w:pPr>
        <w:pStyle w:val="36"/>
        <w:rPr>
          <w:rFonts w:hint="eastAsia" w:ascii="宋体" w:hAnsi="宋体" w:cs="宋体"/>
          <w:b/>
          <w:color w:val="auto"/>
          <w:sz w:val="24"/>
          <w:highlight w:val="none"/>
        </w:rPr>
      </w:pPr>
    </w:p>
    <w:p w14:paraId="3288AAE5">
      <w:pPr>
        <w:pStyle w:val="36"/>
        <w:rPr>
          <w:rFonts w:hint="eastAsia" w:ascii="宋体" w:hAnsi="宋体" w:cs="宋体"/>
          <w:b/>
          <w:color w:val="auto"/>
          <w:sz w:val="24"/>
          <w:highlight w:val="none"/>
        </w:rPr>
      </w:pPr>
    </w:p>
    <w:p w14:paraId="7130F54C">
      <w:pPr>
        <w:pStyle w:val="36"/>
        <w:rPr>
          <w:rFonts w:hint="eastAsia" w:ascii="宋体" w:hAnsi="宋体" w:cs="宋体"/>
          <w:b/>
          <w:color w:val="auto"/>
          <w:sz w:val="24"/>
          <w:highlight w:val="none"/>
        </w:rPr>
      </w:pPr>
    </w:p>
    <w:p w14:paraId="3DC086A5">
      <w:pPr>
        <w:pStyle w:val="36"/>
        <w:rPr>
          <w:rFonts w:hint="eastAsia" w:ascii="宋体" w:hAnsi="宋体" w:cs="宋体"/>
          <w:b/>
          <w:color w:val="auto"/>
          <w:sz w:val="24"/>
          <w:highlight w:val="none"/>
        </w:rPr>
      </w:pPr>
    </w:p>
    <w:p w14:paraId="652AB171">
      <w:pPr>
        <w:pStyle w:val="36"/>
        <w:rPr>
          <w:rFonts w:hint="eastAsia" w:ascii="宋体" w:hAnsi="宋体" w:cs="宋体"/>
          <w:b/>
          <w:color w:val="auto"/>
          <w:sz w:val="24"/>
          <w:highlight w:val="none"/>
        </w:rPr>
      </w:pPr>
    </w:p>
    <w:p w14:paraId="463F579D">
      <w:pPr>
        <w:pStyle w:val="36"/>
        <w:rPr>
          <w:rFonts w:hint="eastAsia" w:ascii="宋体" w:hAnsi="宋体" w:cs="宋体"/>
          <w:b/>
          <w:color w:val="auto"/>
          <w:sz w:val="24"/>
          <w:highlight w:val="none"/>
        </w:rPr>
      </w:pPr>
    </w:p>
    <w:p w14:paraId="229FF1AF">
      <w:pPr>
        <w:shd w:val="clear" w:color="auto" w:fill="FFFFFF"/>
        <w:tabs>
          <w:tab w:val="left" w:pos="3045"/>
        </w:tabs>
        <w:autoSpaceDE w:val="0"/>
        <w:autoSpaceDN w:val="0"/>
        <w:adjustRightInd w:val="0"/>
        <w:snapToGrid w:val="0"/>
        <w:spacing w:line="360" w:lineRule="exact"/>
        <w:rPr>
          <w:rFonts w:hint="eastAsia" w:ascii="宋体" w:hAnsi="宋体" w:cs="宋体"/>
          <w:b/>
          <w:color w:val="auto"/>
          <w:sz w:val="24"/>
          <w:highlight w:val="none"/>
        </w:rPr>
      </w:pPr>
    </w:p>
    <w:p w14:paraId="48B82104">
      <w:pPr>
        <w:pStyle w:val="36"/>
        <w:rPr>
          <w:rFonts w:hint="eastAsia" w:ascii="宋体" w:hAnsi="宋体" w:cs="宋体"/>
          <w:b/>
          <w:color w:val="auto"/>
          <w:sz w:val="24"/>
          <w:highlight w:val="none"/>
        </w:rPr>
      </w:pPr>
    </w:p>
    <w:p w14:paraId="0928F751">
      <w:pPr>
        <w:pStyle w:val="36"/>
        <w:rPr>
          <w:rFonts w:hint="eastAsia" w:ascii="宋体" w:hAnsi="宋体" w:cs="宋体"/>
          <w:b/>
          <w:color w:val="auto"/>
          <w:sz w:val="24"/>
          <w:highlight w:val="none"/>
        </w:rPr>
      </w:pPr>
    </w:p>
    <w:p w14:paraId="02804273">
      <w:pPr>
        <w:pStyle w:val="36"/>
        <w:rPr>
          <w:rFonts w:hint="eastAsia" w:ascii="宋体" w:hAnsi="宋体" w:cs="宋体"/>
          <w:b/>
          <w:color w:val="auto"/>
          <w:sz w:val="24"/>
          <w:highlight w:val="none"/>
        </w:rPr>
      </w:pPr>
    </w:p>
    <w:p w14:paraId="2B8AE3BA">
      <w:pPr>
        <w:pStyle w:val="36"/>
        <w:rPr>
          <w:rFonts w:hint="eastAsia" w:ascii="宋体" w:hAnsi="宋体" w:cs="宋体"/>
          <w:b/>
          <w:color w:val="auto"/>
          <w:sz w:val="24"/>
          <w:highlight w:val="none"/>
        </w:rPr>
      </w:pPr>
    </w:p>
    <w:p w14:paraId="26F1BD15">
      <w:pPr>
        <w:pStyle w:val="36"/>
        <w:rPr>
          <w:rFonts w:hint="eastAsia" w:ascii="宋体" w:hAnsi="宋体" w:cs="宋体"/>
          <w:b/>
          <w:color w:val="auto"/>
          <w:sz w:val="24"/>
          <w:highlight w:val="none"/>
        </w:rPr>
      </w:pPr>
    </w:p>
    <w:p w14:paraId="565A14AF">
      <w:pPr>
        <w:shd w:val="clear" w:color="auto" w:fill="FFFFFF"/>
        <w:tabs>
          <w:tab w:val="left" w:pos="3045"/>
        </w:tabs>
        <w:autoSpaceDE w:val="0"/>
        <w:autoSpaceDN w:val="0"/>
        <w:adjustRightInd w:val="0"/>
        <w:snapToGrid w:val="0"/>
        <w:spacing w:line="360" w:lineRule="exact"/>
        <w:rPr>
          <w:rFonts w:hint="eastAsia" w:ascii="宋体" w:hAnsi="宋体" w:cs="宋体"/>
          <w:b/>
          <w:color w:val="auto"/>
          <w:sz w:val="24"/>
          <w:szCs w:val="24"/>
          <w:highlight w:val="none"/>
        </w:rPr>
      </w:pPr>
    </w:p>
    <w:p w14:paraId="3DB6FBF5">
      <w:pPr>
        <w:shd w:val="clear" w:color="auto" w:fill="FFFFFF"/>
        <w:tabs>
          <w:tab w:val="left" w:pos="3045"/>
        </w:tabs>
        <w:autoSpaceDE w:val="0"/>
        <w:autoSpaceDN w:val="0"/>
        <w:adjustRightInd w:val="0"/>
        <w:snapToGrid w:val="0"/>
        <w:spacing w:line="360" w:lineRule="exact"/>
        <w:rPr>
          <w:rFonts w:hint="eastAsia"/>
          <w:color w:val="auto"/>
          <w:sz w:val="24"/>
          <w:szCs w:val="24"/>
          <w:highlight w:val="none"/>
        </w:rPr>
      </w:pPr>
      <w:r>
        <w:rPr>
          <w:rFonts w:hint="eastAsia" w:ascii="宋体" w:hAnsi="宋体" w:cs="宋体"/>
          <w:b/>
          <w:color w:val="auto"/>
          <w:sz w:val="24"/>
          <w:szCs w:val="24"/>
          <w:highlight w:val="none"/>
        </w:rPr>
        <w:t>符合</w:t>
      </w:r>
      <w:r>
        <w:rPr>
          <w:rFonts w:hint="eastAsia" w:ascii="宋体" w:hAnsi="宋体" w:cs="宋体"/>
          <w:b/>
          <w:color w:val="auto"/>
          <w:sz w:val="24"/>
          <w:szCs w:val="24"/>
          <w:highlight w:val="none"/>
          <w:lang w:eastAsia="zh-CN"/>
        </w:rPr>
        <w:t>性</w:t>
      </w:r>
      <w:r>
        <w:rPr>
          <w:rFonts w:hint="eastAsia" w:cs="宋体"/>
          <w:b/>
          <w:color w:val="auto"/>
          <w:sz w:val="24"/>
          <w:szCs w:val="24"/>
          <w:highlight w:val="none"/>
          <w:lang w:val="en-US" w:eastAsia="zh-CN"/>
        </w:rPr>
        <w:t>审查表-</w:t>
      </w:r>
      <w:r>
        <w:rPr>
          <w:rFonts w:hint="eastAsia" w:ascii="宋体" w:hAnsi="宋体" w:cs="宋体"/>
          <w:b/>
          <w:color w:val="auto"/>
          <w:sz w:val="24"/>
          <w:szCs w:val="24"/>
          <w:highlight w:val="none"/>
        </w:rPr>
        <w:t>附表</w:t>
      </w:r>
    </w:p>
    <w:p w14:paraId="70584E38">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center"/>
        <w:textAlignment w:val="auto"/>
        <w:rPr>
          <w:rFonts w:hint="eastAsia" w:ascii="宋体" w:hAnsi="宋体" w:eastAsia="宋体" w:cstheme="minorBidi"/>
          <w:b/>
          <w:bCs/>
          <w:color w:val="auto"/>
          <w:kern w:val="2"/>
          <w:sz w:val="28"/>
          <w:szCs w:val="28"/>
          <w:highlight w:val="none"/>
          <w:lang w:val="zh-CN" w:eastAsia="zh-CN" w:bidi="ar-SA"/>
        </w:rPr>
      </w:pPr>
      <w:r>
        <w:rPr>
          <w:rFonts w:hint="eastAsia" w:ascii="宋体" w:hAnsi="宋体" w:eastAsia="宋体" w:cstheme="minorBidi"/>
          <w:b/>
          <w:bCs/>
          <w:color w:val="auto"/>
          <w:kern w:val="2"/>
          <w:sz w:val="28"/>
          <w:szCs w:val="28"/>
          <w:highlight w:val="none"/>
          <w:lang w:val="zh-CN" w:eastAsia="zh-CN" w:bidi="ar-SA"/>
        </w:rPr>
        <w:t>实质性响应一览表</w:t>
      </w:r>
    </w:p>
    <w:p w14:paraId="7DFD9111">
      <w:pPr>
        <w:shd w:val="clear" w:color="auto" w:fill="FFFFFF"/>
        <w:tabs>
          <w:tab w:val="left" w:pos="3045"/>
        </w:tabs>
        <w:autoSpaceDE w:val="0"/>
        <w:autoSpaceDN w:val="0"/>
        <w:adjustRightInd w:val="0"/>
        <w:snapToGrid w:val="0"/>
        <w:spacing w:line="360" w:lineRule="exact"/>
        <w:jc w:val="center"/>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w:t>
      </w:r>
      <w:r>
        <w:rPr>
          <w:rFonts w:hint="eastAsia" w:cs="宋体"/>
          <w:b w:val="0"/>
          <w:bCs/>
          <w:color w:val="auto"/>
          <w:sz w:val="24"/>
          <w:szCs w:val="24"/>
          <w:highlight w:val="none"/>
          <w:lang w:val="en-US" w:eastAsia="zh-CN"/>
        </w:rPr>
        <w:t>投标人</w:t>
      </w:r>
      <w:r>
        <w:rPr>
          <w:rFonts w:hint="eastAsia" w:ascii="宋体" w:hAnsi="宋体" w:cs="宋体"/>
          <w:b w:val="0"/>
          <w:bCs/>
          <w:color w:val="auto"/>
          <w:sz w:val="24"/>
          <w:szCs w:val="24"/>
          <w:highlight w:val="none"/>
        </w:rPr>
        <w:t>须对本附表所有内容逐条响应且无负偏离，否则</w:t>
      </w:r>
      <w:r>
        <w:rPr>
          <w:rFonts w:hint="eastAsia" w:cs="宋体"/>
          <w:b w:val="0"/>
          <w:bCs/>
          <w:color w:val="auto"/>
          <w:sz w:val="24"/>
          <w:szCs w:val="24"/>
          <w:highlight w:val="none"/>
          <w:lang w:val="en-US" w:eastAsia="zh-CN"/>
        </w:rPr>
        <w:t>其</w:t>
      </w:r>
      <w:r>
        <w:rPr>
          <w:rFonts w:hint="eastAsia" w:ascii="宋体" w:hAnsi="宋体" w:cs="宋体"/>
          <w:b/>
          <w:bCs w:val="0"/>
          <w:color w:val="auto"/>
          <w:sz w:val="24"/>
          <w:szCs w:val="24"/>
          <w:highlight w:val="none"/>
        </w:rPr>
        <w:t>投标无效</w:t>
      </w:r>
      <w:r>
        <w:rPr>
          <w:rFonts w:hint="eastAsia" w:ascii="宋体" w:hAnsi="宋体" w:cs="宋体"/>
          <w:b w:val="0"/>
          <w:bCs/>
          <w:color w:val="auto"/>
          <w:sz w:val="24"/>
          <w:szCs w:val="24"/>
          <w:highlight w:val="none"/>
        </w:rPr>
        <w:t>）</w:t>
      </w:r>
    </w:p>
    <w:p w14:paraId="212CF784">
      <w:pPr>
        <w:pStyle w:val="24"/>
        <w:rPr>
          <w:rFonts w:hint="eastAsia" w:ascii="宋体" w:hAnsi="宋体" w:cs="宋体"/>
          <w:color w:val="auto"/>
          <w:sz w:val="24"/>
          <w:szCs w:val="24"/>
          <w:highlight w:val="none"/>
        </w:rPr>
      </w:pPr>
    </w:p>
    <w:tbl>
      <w:tblPr>
        <w:tblStyle w:val="30"/>
        <w:tblW w:w="5435"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1992"/>
        <w:gridCol w:w="4258"/>
        <w:gridCol w:w="1873"/>
        <w:gridCol w:w="732"/>
      </w:tblGrid>
      <w:tr w14:paraId="098C5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20" w:type="pct"/>
            <w:vMerge w:val="restart"/>
            <w:noWrap w:val="0"/>
            <w:vAlign w:val="center"/>
          </w:tcPr>
          <w:p w14:paraId="7CE32AA3">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3373" w:type="pct"/>
            <w:gridSpan w:val="2"/>
            <w:noWrap w:val="0"/>
            <w:vAlign w:val="center"/>
          </w:tcPr>
          <w:p w14:paraId="01AF8505">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招标文件要求的实质性响应内容</w:t>
            </w:r>
          </w:p>
        </w:tc>
        <w:tc>
          <w:tcPr>
            <w:tcW w:w="1010" w:type="pct"/>
            <w:vMerge w:val="restart"/>
            <w:noWrap w:val="0"/>
            <w:vAlign w:val="center"/>
          </w:tcPr>
          <w:p w14:paraId="2428BDFD">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投标文件响应</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具体内容</w:t>
            </w:r>
          </w:p>
        </w:tc>
        <w:tc>
          <w:tcPr>
            <w:tcW w:w="395" w:type="pct"/>
            <w:vMerge w:val="restart"/>
            <w:noWrap w:val="0"/>
            <w:vAlign w:val="center"/>
          </w:tcPr>
          <w:p w14:paraId="2BD31803">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14:paraId="6F69C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220" w:type="pct"/>
            <w:vMerge w:val="continue"/>
            <w:noWrap w:val="0"/>
            <w:vAlign w:val="center"/>
          </w:tcPr>
          <w:p w14:paraId="03EF4065">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p>
        </w:tc>
        <w:tc>
          <w:tcPr>
            <w:tcW w:w="1075" w:type="pct"/>
            <w:shd w:val="clear" w:color="auto" w:fill="auto"/>
            <w:noWrap w:val="0"/>
            <w:vAlign w:val="center"/>
          </w:tcPr>
          <w:p w14:paraId="5FC570A7">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实质性要求</w:t>
            </w:r>
          </w:p>
        </w:tc>
        <w:tc>
          <w:tcPr>
            <w:tcW w:w="2298" w:type="pct"/>
            <w:shd w:val="clear" w:color="auto" w:fill="auto"/>
            <w:noWrap w:val="0"/>
            <w:vAlign w:val="center"/>
          </w:tcPr>
          <w:p w14:paraId="19DBCA50">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招标文件中的规定</w:t>
            </w:r>
          </w:p>
        </w:tc>
        <w:tc>
          <w:tcPr>
            <w:tcW w:w="1010" w:type="pct"/>
            <w:vMerge w:val="continue"/>
            <w:noWrap w:val="0"/>
            <w:vAlign w:val="center"/>
          </w:tcPr>
          <w:p w14:paraId="6263BFD6">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p>
        </w:tc>
        <w:tc>
          <w:tcPr>
            <w:tcW w:w="395" w:type="pct"/>
            <w:vMerge w:val="continue"/>
            <w:noWrap w:val="0"/>
            <w:vAlign w:val="center"/>
          </w:tcPr>
          <w:p w14:paraId="1B799351">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p>
        </w:tc>
      </w:tr>
      <w:tr w14:paraId="0E72D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220" w:type="pct"/>
            <w:noWrap w:val="0"/>
            <w:vAlign w:val="center"/>
          </w:tcPr>
          <w:p w14:paraId="7ECA8034">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075" w:type="pct"/>
            <w:shd w:val="clear" w:color="auto" w:fill="auto"/>
            <w:noWrap w:val="0"/>
            <w:vAlign w:val="center"/>
          </w:tcPr>
          <w:p w14:paraId="62642515">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lang w:val="en-US" w:eastAsia="zh-CN"/>
              </w:rPr>
              <w:t>无</w:t>
            </w:r>
          </w:p>
        </w:tc>
        <w:tc>
          <w:tcPr>
            <w:tcW w:w="2298" w:type="pct"/>
            <w:shd w:val="clear" w:color="auto" w:fill="auto"/>
            <w:noWrap w:val="0"/>
            <w:vAlign w:val="center"/>
          </w:tcPr>
          <w:p w14:paraId="3517C392">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tc>
        <w:tc>
          <w:tcPr>
            <w:tcW w:w="1010" w:type="pct"/>
            <w:noWrap w:val="0"/>
            <w:vAlign w:val="center"/>
          </w:tcPr>
          <w:p w14:paraId="3F7DA8EA">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lang w:eastAsia="zh-CN"/>
              </w:rPr>
            </w:pPr>
          </w:p>
        </w:tc>
        <w:tc>
          <w:tcPr>
            <w:tcW w:w="395" w:type="pct"/>
            <w:noWrap w:val="0"/>
            <w:vAlign w:val="center"/>
          </w:tcPr>
          <w:p w14:paraId="729A3125">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671CC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220" w:type="pct"/>
            <w:noWrap w:val="0"/>
            <w:vAlign w:val="center"/>
          </w:tcPr>
          <w:p w14:paraId="79561691">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075" w:type="pct"/>
            <w:shd w:val="clear" w:color="auto" w:fill="auto"/>
            <w:noWrap w:val="0"/>
            <w:vAlign w:val="center"/>
          </w:tcPr>
          <w:p w14:paraId="7FB35A2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kern w:val="2"/>
                <w:sz w:val="21"/>
                <w:szCs w:val="21"/>
                <w:highlight w:val="none"/>
                <w:lang w:val="en-US" w:eastAsia="zh-CN" w:bidi="ar-SA"/>
              </w:rPr>
            </w:pPr>
          </w:p>
        </w:tc>
        <w:tc>
          <w:tcPr>
            <w:tcW w:w="2298" w:type="pct"/>
            <w:shd w:val="clear" w:color="auto" w:fill="auto"/>
            <w:noWrap w:val="0"/>
            <w:vAlign w:val="center"/>
          </w:tcPr>
          <w:p w14:paraId="119C002B">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tc>
        <w:tc>
          <w:tcPr>
            <w:tcW w:w="1010" w:type="pct"/>
            <w:noWrap w:val="0"/>
            <w:vAlign w:val="center"/>
          </w:tcPr>
          <w:p w14:paraId="5BB89004">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c>
          <w:tcPr>
            <w:tcW w:w="395" w:type="pct"/>
            <w:noWrap w:val="0"/>
            <w:vAlign w:val="center"/>
          </w:tcPr>
          <w:p w14:paraId="0E4E1170">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35056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220" w:type="pct"/>
            <w:shd w:val="clear" w:color="auto" w:fill="auto"/>
            <w:noWrap w:val="0"/>
            <w:vAlign w:val="center"/>
          </w:tcPr>
          <w:p w14:paraId="7D5DC93C">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3</w:t>
            </w:r>
          </w:p>
        </w:tc>
        <w:tc>
          <w:tcPr>
            <w:tcW w:w="1075" w:type="pct"/>
            <w:shd w:val="clear" w:color="auto" w:fill="auto"/>
            <w:noWrap w:val="0"/>
            <w:vAlign w:val="center"/>
          </w:tcPr>
          <w:p w14:paraId="505EE26A">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zh-CN"/>
              </w:rPr>
              <w:t>……</w:t>
            </w:r>
          </w:p>
        </w:tc>
        <w:tc>
          <w:tcPr>
            <w:tcW w:w="2298" w:type="pct"/>
            <w:shd w:val="clear" w:color="auto" w:fill="auto"/>
            <w:noWrap w:val="0"/>
            <w:vAlign w:val="center"/>
          </w:tcPr>
          <w:p w14:paraId="324EF1FF">
            <w:pPr>
              <w:pStyle w:val="50"/>
              <w:rPr>
                <w:rFonts w:hint="eastAsia" w:ascii="宋体" w:hAnsi="宋体" w:eastAsia="宋体" w:cs="宋体"/>
                <w:color w:val="auto"/>
                <w:kern w:val="2"/>
                <w:sz w:val="21"/>
                <w:szCs w:val="21"/>
                <w:highlight w:val="none"/>
                <w:lang w:val="en-US" w:eastAsia="zh-CN" w:bidi="ar-SA"/>
              </w:rPr>
            </w:pPr>
          </w:p>
        </w:tc>
        <w:tc>
          <w:tcPr>
            <w:tcW w:w="1010" w:type="pct"/>
            <w:noWrap w:val="0"/>
            <w:vAlign w:val="center"/>
          </w:tcPr>
          <w:p w14:paraId="042BD647">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c>
          <w:tcPr>
            <w:tcW w:w="395" w:type="pct"/>
            <w:noWrap w:val="0"/>
            <w:vAlign w:val="center"/>
          </w:tcPr>
          <w:p w14:paraId="458E18AF">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0126A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220" w:type="pct"/>
            <w:shd w:val="clear" w:color="auto" w:fill="auto"/>
            <w:noWrap w:val="0"/>
            <w:vAlign w:val="center"/>
          </w:tcPr>
          <w:p w14:paraId="24A010C1">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4</w:t>
            </w:r>
          </w:p>
        </w:tc>
        <w:tc>
          <w:tcPr>
            <w:tcW w:w="1075" w:type="pct"/>
            <w:shd w:val="clear" w:color="auto" w:fill="auto"/>
            <w:noWrap w:val="0"/>
            <w:vAlign w:val="center"/>
          </w:tcPr>
          <w:p w14:paraId="127FA675">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zh-CN"/>
              </w:rPr>
              <w:t>……</w:t>
            </w:r>
          </w:p>
        </w:tc>
        <w:tc>
          <w:tcPr>
            <w:tcW w:w="2298" w:type="pct"/>
            <w:shd w:val="clear" w:color="auto" w:fill="auto"/>
            <w:noWrap w:val="0"/>
            <w:vAlign w:val="center"/>
          </w:tcPr>
          <w:p w14:paraId="723D0D7F">
            <w:pPr>
              <w:pStyle w:val="50"/>
              <w:rPr>
                <w:rFonts w:hint="eastAsia" w:ascii="宋体" w:hAnsi="宋体" w:eastAsia="宋体" w:cs="宋体"/>
                <w:color w:val="auto"/>
                <w:kern w:val="2"/>
                <w:sz w:val="21"/>
                <w:szCs w:val="21"/>
                <w:highlight w:val="none"/>
                <w:lang w:val="en-US" w:eastAsia="zh-CN" w:bidi="ar-SA"/>
              </w:rPr>
            </w:pPr>
          </w:p>
        </w:tc>
        <w:tc>
          <w:tcPr>
            <w:tcW w:w="1010" w:type="pct"/>
            <w:noWrap w:val="0"/>
            <w:vAlign w:val="center"/>
          </w:tcPr>
          <w:p w14:paraId="6E29F276">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c>
          <w:tcPr>
            <w:tcW w:w="395" w:type="pct"/>
            <w:noWrap w:val="0"/>
            <w:vAlign w:val="center"/>
          </w:tcPr>
          <w:p w14:paraId="63A4B6FE">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188F2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220" w:type="pct"/>
            <w:shd w:val="clear" w:color="auto" w:fill="auto"/>
            <w:noWrap w:val="0"/>
            <w:vAlign w:val="center"/>
          </w:tcPr>
          <w:p w14:paraId="7D889D64">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5</w:t>
            </w:r>
          </w:p>
        </w:tc>
        <w:tc>
          <w:tcPr>
            <w:tcW w:w="1075" w:type="pct"/>
            <w:noWrap w:val="0"/>
            <w:vAlign w:val="center"/>
          </w:tcPr>
          <w:p w14:paraId="1BACABE2">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rPr>
              <w:t>……</w:t>
            </w:r>
          </w:p>
        </w:tc>
        <w:tc>
          <w:tcPr>
            <w:tcW w:w="2298" w:type="pct"/>
            <w:noWrap w:val="0"/>
            <w:vAlign w:val="center"/>
          </w:tcPr>
          <w:p w14:paraId="6AF4E488">
            <w:pPr>
              <w:pStyle w:val="74"/>
              <w:keepNext w:val="0"/>
              <w:keepLines w:val="0"/>
              <w:pageBreakBefore w:val="0"/>
              <w:widowControl w:val="0"/>
              <w:shd w:val="clear" w:color="auto" w:fill="FFFFFF"/>
              <w:kinsoku/>
              <w:wordWrap/>
              <w:overflowPunct/>
              <w:topLinePunct w:val="0"/>
              <w:bidi w:val="0"/>
              <w:adjustRightInd/>
              <w:snapToGrid/>
              <w:spacing w:line="360" w:lineRule="exact"/>
              <w:ind w:firstLine="0" w:firstLineChars="0"/>
              <w:textAlignment w:val="auto"/>
              <w:rPr>
                <w:rFonts w:hint="eastAsia" w:ascii="宋体" w:hAnsi="宋体" w:eastAsia="宋体" w:cs="宋体"/>
                <w:color w:val="auto"/>
                <w:kern w:val="0"/>
                <w:sz w:val="21"/>
                <w:szCs w:val="21"/>
                <w:highlight w:val="none"/>
                <w:lang w:val="en-US" w:eastAsia="zh-CN" w:bidi="ar-SA"/>
              </w:rPr>
            </w:pPr>
          </w:p>
        </w:tc>
        <w:tc>
          <w:tcPr>
            <w:tcW w:w="1010" w:type="pct"/>
            <w:noWrap w:val="0"/>
            <w:vAlign w:val="center"/>
          </w:tcPr>
          <w:p w14:paraId="5791DDF3">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c>
          <w:tcPr>
            <w:tcW w:w="395" w:type="pct"/>
            <w:noWrap w:val="0"/>
            <w:vAlign w:val="center"/>
          </w:tcPr>
          <w:p w14:paraId="4FAB1392">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7D82C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220" w:type="pct"/>
            <w:shd w:val="clear" w:color="auto" w:fill="auto"/>
            <w:noWrap w:val="0"/>
            <w:vAlign w:val="center"/>
          </w:tcPr>
          <w:p w14:paraId="1D658F73">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6</w:t>
            </w:r>
          </w:p>
        </w:tc>
        <w:tc>
          <w:tcPr>
            <w:tcW w:w="1075" w:type="pct"/>
            <w:noWrap w:val="0"/>
            <w:vAlign w:val="center"/>
          </w:tcPr>
          <w:p w14:paraId="76B2B25F">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rPr>
              <w:t>……</w:t>
            </w:r>
          </w:p>
        </w:tc>
        <w:tc>
          <w:tcPr>
            <w:tcW w:w="2298" w:type="pct"/>
            <w:noWrap w:val="0"/>
            <w:vAlign w:val="center"/>
          </w:tcPr>
          <w:p w14:paraId="080CF7F9">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tc>
        <w:tc>
          <w:tcPr>
            <w:tcW w:w="1010" w:type="pct"/>
            <w:noWrap w:val="0"/>
            <w:vAlign w:val="center"/>
          </w:tcPr>
          <w:p w14:paraId="404E91E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c>
          <w:tcPr>
            <w:tcW w:w="395" w:type="pct"/>
            <w:noWrap w:val="0"/>
            <w:vAlign w:val="center"/>
          </w:tcPr>
          <w:p w14:paraId="4B03ECB7">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581EA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220" w:type="pct"/>
            <w:shd w:val="clear" w:color="auto" w:fill="auto"/>
            <w:noWrap w:val="0"/>
            <w:vAlign w:val="center"/>
          </w:tcPr>
          <w:p w14:paraId="2A12EC9F">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7</w:t>
            </w:r>
          </w:p>
        </w:tc>
        <w:tc>
          <w:tcPr>
            <w:tcW w:w="1075" w:type="pct"/>
            <w:noWrap w:val="0"/>
            <w:vAlign w:val="center"/>
          </w:tcPr>
          <w:p w14:paraId="0BFE6DF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rPr>
              <w:t>……</w:t>
            </w:r>
          </w:p>
        </w:tc>
        <w:tc>
          <w:tcPr>
            <w:tcW w:w="2298" w:type="pct"/>
            <w:noWrap w:val="0"/>
            <w:vAlign w:val="center"/>
          </w:tcPr>
          <w:p w14:paraId="70263471">
            <w:pPr>
              <w:keepNext w:val="0"/>
              <w:keepLines w:val="0"/>
              <w:pageBreakBefore w:val="0"/>
              <w:widowControl w:val="0"/>
              <w:shd w:val="clear" w:color="auto" w:fill="FFFFFF"/>
              <w:kinsoku/>
              <w:wordWrap/>
              <w:overflowPunct/>
              <w:topLinePunct w:val="0"/>
              <w:autoSpaceDE/>
              <w:autoSpaceDN/>
              <w:bidi w:val="0"/>
              <w:adjustRightInd/>
              <w:snapToGrid/>
              <w:spacing w:line="400" w:lineRule="atLeast"/>
              <w:textAlignment w:val="auto"/>
              <w:rPr>
                <w:rFonts w:hint="eastAsia" w:ascii="宋体" w:hAnsi="宋体" w:eastAsia="宋体" w:cs="宋体"/>
                <w:color w:val="auto"/>
                <w:sz w:val="21"/>
                <w:szCs w:val="21"/>
                <w:highlight w:val="none"/>
                <w:lang w:val="en-US" w:eastAsia="zh-CN"/>
              </w:rPr>
            </w:pPr>
          </w:p>
        </w:tc>
        <w:tc>
          <w:tcPr>
            <w:tcW w:w="1010" w:type="pct"/>
            <w:noWrap w:val="0"/>
            <w:vAlign w:val="center"/>
          </w:tcPr>
          <w:p w14:paraId="7D8F15D3">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c>
          <w:tcPr>
            <w:tcW w:w="395" w:type="pct"/>
            <w:noWrap w:val="0"/>
            <w:vAlign w:val="center"/>
          </w:tcPr>
          <w:p w14:paraId="4F0FDAA9">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409E6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220" w:type="pct"/>
            <w:noWrap w:val="0"/>
            <w:vAlign w:val="center"/>
          </w:tcPr>
          <w:p w14:paraId="225EEE9F">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lang w:val="en-US" w:eastAsia="zh-CN"/>
              </w:rPr>
            </w:pPr>
          </w:p>
        </w:tc>
        <w:tc>
          <w:tcPr>
            <w:tcW w:w="1075" w:type="pct"/>
            <w:shd w:val="clear" w:color="auto" w:fill="auto"/>
            <w:noWrap w:val="0"/>
            <w:vAlign w:val="center"/>
          </w:tcPr>
          <w:p w14:paraId="4AA81257">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rPr>
              <w:t>……</w:t>
            </w:r>
          </w:p>
        </w:tc>
        <w:tc>
          <w:tcPr>
            <w:tcW w:w="2298" w:type="pct"/>
            <w:noWrap w:val="0"/>
            <w:vAlign w:val="center"/>
          </w:tcPr>
          <w:p w14:paraId="5D3B3A0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lang w:eastAsia="zh-CN"/>
              </w:rPr>
            </w:pPr>
          </w:p>
        </w:tc>
        <w:tc>
          <w:tcPr>
            <w:tcW w:w="1010" w:type="pct"/>
            <w:noWrap w:val="0"/>
            <w:vAlign w:val="center"/>
          </w:tcPr>
          <w:p w14:paraId="22A79CB5">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c>
          <w:tcPr>
            <w:tcW w:w="395" w:type="pct"/>
            <w:noWrap w:val="0"/>
            <w:vAlign w:val="center"/>
          </w:tcPr>
          <w:p w14:paraId="1D5F24CB">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bl>
    <w:p w14:paraId="6F75215A">
      <w:pPr>
        <w:rPr>
          <w:rFonts w:hint="eastAsia"/>
          <w:b/>
          <w:bCs/>
          <w:color w:val="auto"/>
          <w:highlight w:val="none"/>
          <w:lang w:val="en-US" w:eastAsia="zh-CN"/>
        </w:rPr>
      </w:pPr>
    </w:p>
    <w:p w14:paraId="73C7580B">
      <w:pPr>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注：“实质性响应一览表”中的内容为参考，可根据项目情况自行设置。</w:t>
      </w:r>
    </w:p>
    <w:p w14:paraId="48517D6B">
      <w:pPr>
        <w:shd w:val="clear" w:color="auto" w:fill="FFFFFF"/>
        <w:tabs>
          <w:tab w:val="left" w:pos="3045"/>
        </w:tabs>
        <w:autoSpaceDE w:val="0"/>
        <w:autoSpaceDN w:val="0"/>
        <w:adjustRightInd w:val="0"/>
        <w:snapToGrid w:val="0"/>
        <w:spacing w:line="360" w:lineRule="exact"/>
        <w:rPr>
          <w:rFonts w:hint="eastAsia" w:ascii="宋体" w:hAnsi="宋体" w:eastAsia="宋体" w:cstheme="minorBidi"/>
          <w:b/>
          <w:bCs/>
          <w:color w:val="auto"/>
          <w:kern w:val="2"/>
          <w:sz w:val="30"/>
          <w:szCs w:val="32"/>
          <w:highlight w:val="none"/>
          <w:lang w:val="zh-CN" w:eastAsia="zh-CN" w:bidi="ar-SA"/>
        </w:rPr>
      </w:pPr>
      <w:bookmarkStart w:id="310" w:name="_Toc155185917"/>
      <w:bookmarkStart w:id="311" w:name="_Toc163492910"/>
      <w:r>
        <w:rPr>
          <w:rFonts w:hint="eastAsia" w:ascii="宋体" w:hAnsi="宋体" w:eastAsia="宋体" w:cstheme="minorBidi"/>
          <w:b/>
          <w:bCs/>
          <w:color w:val="auto"/>
          <w:kern w:val="2"/>
          <w:sz w:val="30"/>
          <w:szCs w:val="32"/>
          <w:highlight w:val="none"/>
          <w:lang w:val="zh-CN" w:eastAsia="zh-CN" w:bidi="ar-SA"/>
        </w:rPr>
        <w:br w:type="page"/>
      </w:r>
    </w:p>
    <w:p w14:paraId="3FE0903E">
      <w:pPr>
        <w:pStyle w:val="4"/>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b/>
          <w:bCs/>
          <w:color w:val="auto"/>
          <w:kern w:val="2"/>
          <w:sz w:val="24"/>
          <w:szCs w:val="24"/>
          <w:highlight w:val="none"/>
          <w:lang w:val="zh-CN" w:eastAsia="zh-CN" w:bidi="ar-SA"/>
        </w:rPr>
        <w:t>（二）评分标准</w:t>
      </w:r>
      <w:bookmarkEnd w:id="310"/>
      <w:bookmarkEnd w:id="311"/>
    </w:p>
    <w:p w14:paraId="06EEC6BD">
      <w:pPr>
        <w:rPr>
          <w:rFonts w:hint="default"/>
          <w:b/>
          <w:bCs/>
          <w:color w:val="auto"/>
          <w:sz w:val="21"/>
          <w:szCs w:val="21"/>
          <w:highlight w:val="none"/>
          <w:lang w:val="en-US" w:eastAsia="zh-CN"/>
        </w:rPr>
      </w:pPr>
      <w:r>
        <w:rPr>
          <w:rFonts w:hint="eastAsia"/>
          <w:b/>
          <w:bCs/>
          <w:color w:val="auto"/>
          <w:sz w:val="21"/>
          <w:szCs w:val="21"/>
          <w:highlight w:val="none"/>
          <w:lang w:val="en-US" w:eastAsia="zh-CN"/>
        </w:rPr>
        <w:t>注：以下评标分项根据项目实际情况可自行设置。</w:t>
      </w:r>
    </w:p>
    <w:tbl>
      <w:tblPr>
        <w:tblStyle w:val="30"/>
        <w:tblW w:w="55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576"/>
        <w:gridCol w:w="1000"/>
        <w:gridCol w:w="6037"/>
      </w:tblGrid>
      <w:tr w14:paraId="5175C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415" w:type="pct"/>
            <w:shd w:val="clear" w:color="auto" w:fill="D8D8D8" w:themeFill="background1" w:themeFillShade="D9"/>
            <w:vAlign w:val="center"/>
          </w:tcPr>
          <w:p w14:paraId="4924CA4E">
            <w:pPr>
              <w:pStyle w:val="5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评标项目</w:t>
            </w:r>
          </w:p>
        </w:tc>
        <w:tc>
          <w:tcPr>
            <w:tcW w:w="838" w:type="pct"/>
            <w:shd w:val="clear" w:color="auto" w:fill="D8D8D8" w:themeFill="background1" w:themeFillShade="D9"/>
            <w:vAlign w:val="center"/>
          </w:tcPr>
          <w:p w14:paraId="7A3DCB70">
            <w:pPr>
              <w:pStyle w:val="5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评标分项</w:t>
            </w:r>
          </w:p>
        </w:tc>
        <w:tc>
          <w:tcPr>
            <w:tcW w:w="532" w:type="pct"/>
            <w:shd w:val="clear" w:color="auto" w:fill="D8D8D8" w:themeFill="background1" w:themeFillShade="D9"/>
            <w:vAlign w:val="center"/>
          </w:tcPr>
          <w:p w14:paraId="65B86E0D">
            <w:pPr>
              <w:pStyle w:val="5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3213" w:type="pct"/>
            <w:shd w:val="clear" w:color="auto" w:fill="D8D8D8" w:themeFill="background1" w:themeFillShade="D9"/>
            <w:vAlign w:val="center"/>
          </w:tcPr>
          <w:p w14:paraId="467A385D">
            <w:pPr>
              <w:pStyle w:val="5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子项目及分值</w:t>
            </w:r>
          </w:p>
        </w:tc>
      </w:tr>
      <w:tr w14:paraId="497D9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2" w:hRule="atLeast"/>
          <w:jc w:val="center"/>
        </w:trPr>
        <w:tc>
          <w:tcPr>
            <w:tcW w:w="415" w:type="pct"/>
            <w:vAlign w:val="center"/>
          </w:tcPr>
          <w:p w14:paraId="3C480381">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价格部分</w:t>
            </w:r>
          </w:p>
          <w:p w14:paraId="375F38AD">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30</w:t>
            </w:r>
            <w:r>
              <w:rPr>
                <w:rFonts w:hint="eastAsia" w:ascii="宋体" w:hAnsi="宋体" w:eastAsia="宋体" w:cs="宋体"/>
                <w:color w:val="auto"/>
                <w:sz w:val="21"/>
                <w:szCs w:val="21"/>
                <w:highlight w:val="none"/>
              </w:rPr>
              <w:t>分）</w:t>
            </w:r>
          </w:p>
        </w:tc>
        <w:tc>
          <w:tcPr>
            <w:tcW w:w="838" w:type="pct"/>
            <w:tcBorders>
              <w:bottom w:val="single" w:color="auto" w:sz="4" w:space="0"/>
            </w:tcBorders>
            <w:vAlign w:val="center"/>
          </w:tcPr>
          <w:p w14:paraId="4D31CF31">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w:t>
            </w:r>
          </w:p>
        </w:tc>
        <w:tc>
          <w:tcPr>
            <w:tcW w:w="532" w:type="pct"/>
            <w:vAlign w:val="center"/>
          </w:tcPr>
          <w:p w14:paraId="318A84CC">
            <w:pPr>
              <w:pStyle w:val="5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30分</w:t>
            </w:r>
          </w:p>
        </w:tc>
        <w:tc>
          <w:tcPr>
            <w:tcW w:w="3213" w:type="pct"/>
            <w:vAlign w:val="center"/>
          </w:tcPr>
          <w:p w14:paraId="677276CA">
            <w:pPr>
              <w:pStyle w:val="5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满足</w:t>
            </w:r>
            <w:r>
              <w:rPr>
                <w:rFonts w:hint="eastAsia" w:cs="宋体"/>
                <w:i w:val="0"/>
                <w:iCs w:val="0"/>
                <w:color w:val="auto"/>
                <w:sz w:val="21"/>
                <w:szCs w:val="21"/>
                <w:highlight w:val="none"/>
                <w:lang w:val="en-US" w:eastAsia="zh-CN"/>
              </w:rPr>
              <w:t>采购</w:t>
            </w:r>
            <w:r>
              <w:rPr>
                <w:rFonts w:hint="eastAsia" w:ascii="宋体" w:hAnsi="宋体" w:eastAsia="宋体" w:cs="宋体"/>
                <w:i w:val="0"/>
                <w:iCs w:val="0"/>
                <w:color w:val="auto"/>
                <w:sz w:val="21"/>
                <w:szCs w:val="21"/>
                <w:highlight w:val="none"/>
              </w:rPr>
              <w:t>文件要求且报价最低的报价为评审基准价，其价格分为满分。其他供应商的价格分统一按照下列公式计算：</w:t>
            </w:r>
          </w:p>
          <w:p w14:paraId="3D9AC4AA">
            <w:pPr>
              <w:pStyle w:val="50"/>
              <w:rPr>
                <w:rFonts w:hint="default"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rPr>
              <w:t>报价得分=</w:t>
            </w:r>
            <w:r>
              <w:rPr>
                <w:rFonts w:hint="eastAsia" w:ascii="宋体" w:hAnsi="宋体" w:eastAsia="宋体" w:cs="宋体"/>
                <w:i w:val="0"/>
                <w:iCs w:val="0"/>
                <w:color w:val="auto"/>
                <w:sz w:val="21"/>
                <w:szCs w:val="21"/>
                <w:highlight w:val="none"/>
                <w:lang w:val="zh-CN"/>
              </w:rPr>
              <w:t>（</w:t>
            </w:r>
            <w:r>
              <w:rPr>
                <w:rFonts w:hint="eastAsia" w:cs="宋体"/>
                <w:i w:val="0"/>
                <w:iCs w:val="0"/>
                <w:color w:val="auto"/>
                <w:sz w:val="21"/>
                <w:szCs w:val="21"/>
                <w:highlight w:val="none"/>
                <w:lang w:val="en-US" w:eastAsia="zh-CN"/>
              </w:rPr>
              <w:t>评审</w:t>
            </w:r>
            <w:r>
              <w:rPr>
                <w:rFonts w:hint="eastAsia" w:ascii="宋体" w:hAnsi="宋体" w:eastAsia="宋体" w:cs="宋体"/>
                <w:i w:val="0"/>
                <w:iCs w:val="0"/>
                <w:color w:val="auto"/>
                <w:sz w:val="21"/>
                <w:szCs w:val="21"/>
                <w:highlight w:val="none"/>
                <w:lang w:val="zh-CN"/>
              </w:rPr>
              <w:t>基准价/</w:t>
            </w:r>
            <w:r>
              <w:rPr>
                <w:rFonts w:hint="eastAsia" w:cs="宋体"/>
                <w:i w:val="0"/>
                <w:iCs w:val="0"/>
                <w:color w:val="auto"/>
                <w:sz w:val="21"/>
                <w:szCs w:val="21"/>
                <w:highlight w:val="none"/>
                <w:lang w:val="en-US" w:eastAsia="zh-CN"/>
              </w:rPr>
              <w:t>有效投标</w:t>
            </w:r>
            <w:r>
              <w:rPr>
                <w:rFonts w:hint="eastAsia" w:ascii="宋体" w:hAnsi="宋体" w:eastAsia="宋体" w:cs="宋体"/>
                <w:i w:val="0"/>
                <w:iCs w:val="0"/>
                <w:color w:val="auto"/>
                <w:sz w:val="21"/>
                <w:szCs w:val="21"/>
                <w:highlight w:val="none"/>
                <w:lang w:val="zh-CN"/>
              </w:rPr>
              <w:t>报价）</w:t>
            </w:r>
            <w:r>
              <w:rPr>
                <w:rFonts w:hint="eastAsia" w:ascii="宋体" w:hAnsi="宋体" w:eastAsia="宋体" w:cs="宋体"/>
                <w:i w:val="0"/>
                <w:iCs w:val="0"/>
                <w:color w:val="auto"/>
                <w:sz w:val="21"/>
                <w:szCs w:val="21"/>
                <w:highlight w:val="none"/>
              </w:rPr>
              <w:t>×</w:t>
            </w:r>
            <w:r>
              <w:rPr>
                <w:rFonts w:hint="eastAsia" w:cs="宋体"/>
                <w:i w:val="0"/>
                <w:iCs w:val="0"/>
                <w:color w:val="auto"/>
                <w:sz w:val="21"/>
                <w:szCs w:val="21"/>
                <w:highlight w:val="none"/>
                <w:lang w:val="en-US" w:eastAsia="zh-CN"/>
              </w:rPr>
              <w:t>分值权重</w:t>
            </w:r>
          </w:p>
          <w:p w14:paraId="7BAD4B0B">
            <w:pPr>
              <w:spacing w:line="360" w:lineRule="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出现下列情形之一的，评审委员会应当启动异常低价投标（响应）审查程序： </w:t>
            </w:r>
          </w:p>
          <w:p w14:paraId="768B129F">
            <w:pPr>
              <w:spacing w:line="360" w:lineRule="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1.投标（响应）报价低于全部通过符合性审查供应商投标（响应）报价平均值50%的，即投标（响应）报价&lt;全部通过符合性审查供应商投标（响应）报价平均值×50%； </w:t>
            </w:r>
          </w:p>
          <w:p w14:paraId="0C0A5515">
            <w:pPr>
              <w:spacing w:line="360" w:lineRule="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2.投标（响应）报价低于通过符合性审查的次低报价供应商投标（响应）报价50%的，即投标（响应）报价&lt;通过符合性审查的次低报价供应商投标（响应）报价×50%； </w:t>
            </w:r>
          </w:p>
          <w:p w14:paraId="1697006F">
            <w:pPr>
              <w:spacing w:line="360" w:lineRule="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3.投标（响应）报价低于采购项目最高限价45%的，即投标（响应）报价&lt;采购项目最高限价×45%； </w:t>
            </w:r>
          </w:p>
          <w:p w14:paraId="48AD66D0">
            <w:pPr>
              <w:spacing w:line="360" w:lineRule="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4.评审委员会基于专业判断，认为供应商报价过低，有可能影响产品质量或者不能诚信履约的其他情形。 </w:t>
            </w:r>
          </w:p>
          <w:p w14:paraId="49B58F85">
            <w:pPr>
              <w:pStyle w:val="5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采购人可以结合具体项目实际情况，提高上述第1项至第3项中启动异常低价投标（响应）审查的数值标准，但是最高不得超过65%。相关法律法规对供应商报价有规定的，从其规定。</w:t>
            </w:r>
          </w:p>
          <w:p w14:paraId="201E7F07">
            <w:pPr>
              <w:pStyle w:val="50"/>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备注</w:t>
            </w:r>
            <w:r>
              <w:rPr>
                <w:rFonts w:hint="eastAsia" w:ascii="宋体" w:hAnsi="宋体" w:eastAsia="宋体" w:cs="宋体"/>
                <w:color w:val="auto"/>
                <w:sz w:val="21"/>
                <w:szCs w:val="21"/>
                <w:highlight w:val="none"/>
              </w:rPr>
              <w:t>：符合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投标人须知</w:t>
            </w:r>
            <w:r>
              <w:rPr>
                <w:rFonts w:hint="eastAsia" w:ascii="宋体" w:hAnsi="宋体" w:eastAsia="宋体" w:cs="宋体"/>
                <w:color w:val="auto"/>
                <w:sz w:val="21"/>
                <w:szCs w:val="21"/>
                <w:highlight w:val="none"/>
                <w:lang w:val="en-US" w:eastAsia="zh-CN"/>
              </w:rPr>
              <w:t>前附表”</w:t>
            </w:r>
            <w:r>
              <w:rPr>
                <w:rFonts w:hint="eastAsia" w:ascii="宋体" w:hAnsi="宋体" w:eastAsia="宋体" w:cs="宋体"/>
                <w:color w:val="auto"/>
                <w:sz w:val="21"/>
                <w:szCs w:val="21"/>
                <w:highlight w:val="none"/>
              </w:rPr>
              <w:t>中价格扣除规定的，在评审时予以价格扣除，用扣除后的价格参与评审。</w:t>
            </w:r>
          </w:p>
        </w:tc>
      </w:tr>
      <w:tr w14:paraId="1F710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415" w:type="pct"/>
            <w:vMerge w:val="restart"/>
            <w:vAlign w:val="center"/>
          </w:tcPr>
          <w:p w14:paraId="0EA62830">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商务部分</w:t>
            </w:r>
          </w:p>
          <w:p w14:paraId="6C0619A6">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15</w:t>
            </w:r>
            <w:r>
              <w:rPr>
                <w:rFonts w:hint="eastAsia" w:ascii="宋体" w:hAnsi="宋体" w:eastAsia="宋体" w:cs="宋体"/>
                <w:color w:val="auto"/>
                <w:sz w:val="21"/>
                <w:szCs w:val="21"/>
                <w:highlight w:val="none"/>
              </w:rPr>
              <w:t>分）</w:t>
            </w:r>
          </w:p>
        </w:tc>
        <w:tc>
          <w:tcPr>
            <w:tcW w:w="838" w:type="pct"/>
            <w:tcBorders>
              <w:top w:val="single" w:color="auto" w:sz="4" w:space="0"/>
            </w:tcBorders>
            <w:vAlign w:val="center"/>
          </w:tcPr>
          <w:p w14:paraId="7B47B92D">
            <w:pPr>
              <w:pStyle w:val="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中标后的售后服务保障</w:t>
            </w:r>
          </w:p>
        </w:tc>
        <w:tc>
          <w:tcPr>
            <w:tcW w:w="532" w:type="pct"/>
            <w:vAlign w:val="center"/>
          </w:tcPr>
          <w:p w14:paraId="4E7EA155">
            <w:pPr>
              <w:pStyle w:val="50"/>
              <w:jc w:val="center"/>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分</w:t>
            </w:r>
          </w:p>
        </w:tc>
        <w:tc>
          <w:tcPr>
            <w:tcW w:w="3213" w:type="pct"/>
            <w:vAlign w:val="center"/>
          </w:tcPr>
          <w:p w14:paraId="00872C1F">
            <w:pPr>
              <w:pStyle w:val="5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满足采购文件质保期要求外；免费质保期每增加1年，加2分，最多加4分。</w:t>
            </w:r>
          </w:p>
        </w:tc>
      </w:tr>
      <w:tr w14:paraId="27940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415" w:type="pct"/>
            <w:vMerge w:val="continue"/>
            <w:vAlign w:val="center"/>
          </w:tcPr>
          <w:p w14:paraId="052C663E">
            <w:pPr>
              <w:pStyle w:val="50"/>
              <w:jc w:val="center"/>
              <w:rPr>
                <w:rFonts w:hint="eastAsia" w:ascii="宋体" w:hAnsi="宋体" w:eastAsia="宋体" w:cs="宋体"/>
                <w:color w:val="auto"/>
                <w:sz w:val="21"/>
                <w:szCs w:val="21"/>
                <w:highlight w:val="none"/>
              </w:rPr>
            </w:pPr>
          </w:p>
        </w:tc>
        <w:tc>
          <w:tcPr>
            <w:tcW w:w="838" w:type="pct"/>
            <w:tcBorders>
              <w:top w:val="single" w:color="auto" w:sz="4" w:space="0"/>
            </w:tcBorders>
            <w:vAlign w:val="center"/>
          </w:tcPr>
          <w:p w14:paraId="460AF2C5">
            <w:pPr>
              <w:pStyle w:val="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质保与响应时效</w:t>
            </w:r>
          </w:p>
        </w:tc>
        <w:tc>
          <w:tcPr>
            <w:tcW w:w="532" w:type="pct"/>
            <w:vAlign w:val="center"/>
          </w:tcPr>
          <w:p w14:paraId="628FC415">
            <w:pPr>
              <w:pStyle w:val="50"/>
              <w:jc w:val="center"/>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分</w:t>
            </w:r>
          </w:p>
        </w:tc>
        <w:tc>
          <w:tcPr>
            <w:tcW w:w="3213" w:type="pct"/>
            <w:vAlign w:val="center"/>
          </w:tcPr>
          <w:p w14:paraId="753CBE8E">
            <w:pPr>
              <w:pStyle w:val="5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承诺产品质保期≥3年，接到故障通知后24小时内上门响应、48小时内解决问题，得6分；</w:t>
            </w:r>
          </w:p>
          <w:p w14:paraId="0FF735EC">
            <w:pPr>
              <w:pStyle w:val="5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质保期≥2年，响应时效符合行业基本标准，得3分；</w:t>
            </w:r>
          </w:p>
          <w:p w14:paraId="7BF6D593">
            <w:pPr>
              <w:pStyle w:val="5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质保期不足2年，或响应时效无明确承诺，得0分。</w:t>
            </w:r>
          </w:p>
        </w:tc>
      </w:tr>
      <w:tr w14:paraId="05A34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jc w:val="center"/>
        </w:trPr>
        <w:tc>
          <w:tcPr>
            <w:tcW w:w="415" w:type="pct"/>
            <w:vMerge w:val="continue"/>
            <w:vAlign w:val="center"/>
          </w:tcPr>
          <w:p w14:paraId="3BD7C09E">
            <w:pPr>
              <w:pStyle w:val="50"/>
              <w:jc w:val="center"/>
              <w:rPr>
                <w:rFonts w:hint="eastAsia" w:ascii="宋体" w:hAnsi="宋体" w:eastAsia="宋体" w:cs="宋体"/>
                <w:color w:val="auto"/>
                <w:sz w:val="21"/>
                <w:szCs w:val="21"/>
                <w:highlight w:val="none"/>
              </w:rPr>
            </w:pPr>
          </w:p>
        </w:tc>
        <w:tc>
          <w:tcPr>
            <w:tcW w:w="838" w:type="pct"/>
            <w:tcBorders>
              <w:top w:val="single" w:color="auto" w:sz="4" w:space="0"/>
            </w:tcBorders>
            <w:vAlign w:val="center"/>
          </w:tcPr>
          <w:p w14:paraId="6B9EB51E">
            <w:pPr>
              <w:pStyle w:val="5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成功案例</w:t>
            </w:r>
          </w:p>
        </w:tc>
        <w:tc>
          <w:tcPr>
            <w:tcW w:w="532" w:type="pct"/>
            <w:vAlign w:val="center"/>
          </w:tcPr>
          <w:p w14:paraId="5CC6F5C7">
            <w:pPr>
              <w:pStyle w:val="50"/>
              <w:jc w:val="center"/>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c>
          <w:tcPr>
            <w:tcW w:w="3213" w:type="pct"/>
            <w:vAlign w:val="center"/>
          </w:tcPr>
          <w:p w14:paraId="423C2D10">
            <w:pPr>
              <w:pStyle w:val="5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须提供2023年1月1日至投标截止日类似本项目的业绩，提供证明材料（包括：中标通知书或合同，以中标通知书发出之日或合同签订时间为准）。每有一项业绩得2</w:t>
            </w:r>
            <w:r>
              <w:rPr>
                <w:rFonts w:hint="eastAsia"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eastAsia="zh-CN" w:bidi="ar-SA"/>
              </w:rPr>
              <w:t>分，最多得</w:t>
            </w:r>
            <w:r>
              <w:rPr>
                <w:rFonts w:hint="eastAsia"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eastAsia="zh-CN" w:bidi="ar-SA"/>
              </w:rPr>
              <w:t>分。</w:t>
            </w:r>
          </w:p>
        </w:tc>
      </w:tr>
      <w:tr w14:paraId="105D2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415" w:type="pct"/>
            <w:vMerge w:val="restart"/>
            <w:vAlign w:val="center"/>
          </w:tcPr>
          <w:p w14:paraId="009533AC">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技术部分</w:t>
            </w:r>
          </w:p>
          <w:p w14:paraId="3C5A6CF4">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55</w:t>
            </w:r>
            <w:r>
              <w:rPr>
                <w:rFonts w:hint="eastAsia" w:ascii="宋体" w:hAnsi="宋体" w:eastAsia="宋体" w:cs="宋体"/>
                <w:color w:val="auto"/>
                <w:sz w:val="21"/>
                <w:szCs w:val="21"/>
                <w:highlight w:val="none"/>
              </w:rPr>
              <w:t>分）</w:t>
            </w:r>
          </w:p>
        </w:tc>
        <w:tc>
          <w:tcPr>
            <w:tcW w:w="838" w:type="pct"/>
            <w:tcBorders>
              <w:top w:val="single" w:color="auto" w:sz="4" w:space="0"/>
            </w:tcBorders>
            <w:vAlign w:val="center"/>
          </w:tcPr>
          <w:p w14:paraId="1ECFDBB7">
            <w:pPr>
              <w:pStyle w:val="5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项目技术方案</w:t>
            </w:r>
          </w:p>
        </w:tc>
        <w:tc>
          <w:tcPr>
            <w:tcW w:w="532" w:type="pct"/>
            <w:vAlign w:val="center"/>
          </w:tcPr>
          <w:p w14:paraId="35C961A9">
            <w:pPr>
              <w:pStyle w:val="5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20分</w:t>
            </w:r>
          </w:p>
        </w:tc>
        <w:tc>
          <w:tcPr>
            <w:tcW w:w="3213" w:type="pct"/>
            <w:vAlign w:val="center"/>
          </w:tcPr>
          <w:p w14:paraId="7CE4BD56">
            <w:pPr>
              <w:spacing w:line="360" w:lineRule="auto"/>
              <w:ind w:firstLine="0" w:firstLineChars="0"/>
              <w:jc w:val="left"/>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en-US" w:eastAsia="zh-CN" w:bidi="ar-SA"/>
              </w:rPr>
              <w:t xml:space="preserve">根据供应商提供针对本项目制定的项目实施方案进行综合评分： </w:t>
            </w:r>
          </w:p>
          <w:p w14:paraId="0EACD110">
            <w:pPr>
              <w:spacing w:line="360" w:lineRule="auto"/>
              <w:ind w:firstLine="0" w:firstLineChars="0"/>
              <w:jc w:val="left"/>
              <w:rPr>
                <w:rFonts w:hint="eastAsia" w:ascii="宋体" w:hAnsi="宋体" w:cs="宋体"/>
                <w:b w:val="0"/>
                <w:bCs w:val="0"/>
                <w:color w:val="auto"/>
                <w:kern w:val="0"/>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供应商提供的实施方案包含：</w:t>
            </w:r>
            <w:r>
              <w:rPr>
                <w:rFonts w:hint="eastAsia" w:ascii="宋体" w:hAnsi="宋体" w:cs="宋体"/>
                <w:b w:val="0"/>
                <w:bCs w:val="0"/>
                <w:color w:val="auto"/>
                <w:kern w:val="0"/>
                <w:sz w:val="21"/>
                <w:szCs w:val="21"/>
                <w:highlight w:val="none"/>
                <w:lang w:val="en-US" w:eastAsia="zh-CN" w:bidi="ar-SA"/>
              </w:rPr>
              <w:t>①</w:t>
            </w:r>
            <w:r>
              <w:rPr>
                <w:rFonts w:hint="eastAsia" w:ascii="宋体" w:hAnsi="宋体" w:eastAsia="宋体" w:cs="宋体"/>
                <w:color w:val="auto"/>
                <w:kern w:val="2"/>
                <w:sz w:val="21"/>
                <w:szCs w:val="21"/>
                <w:highlight w:val="none"/>
                <w:lang w:val="en-US" w:eastAsia="zh-CN" w:bidi="ar-SA"/>
              </w:rPr>
              <w:t>品牌</w:t>
            </w:r>
            <w:r>
              <w:rPr>
                <w:rFonts w:hint="eastAsia" w:cs="宋体"/>
                <w:color w:val="auto"/>
                <w:kern w:val="2"/>
                <w:sz w:val="21"/>
                <w:szCs w:val="21"/>
                <w:highlight w:val="none"/>
                <w:lang w:val="en-US" w:eastAsia="zh-CN" w:bidi="ar-SA"/>
              </w:rPr>
              <w:t>；</w:t>
            </w:r>
            <w:r>
              <w:rPr>
                <w:rFonts w:hint="eastAsia" w:ascii="宋体" w:hAnsi="宋体" w:cs="宋体"/>
                <w:b w:val="0"/>
                <w:bCs w:val="0"/>
                <w:color w:val="auto"/>
                <w:kern w:val="0"/>
                <w:sz w:val="21"/>
                <w:szCs w:val="21"/>
                <w:highlight w:val="none"/>
                <w:lang w:val="en-US" w:eastAsia="zh-CN" w:bidi="ar-SA"/>
              </w:rPr>
              <w:t>②</w:t>
            </w:r>
            <w:r>
              <w:rPr>
                <w:rFonts w:hint="eastAsia" w:ascii="宋体" w:hAnsi="宋体" w:eastAsia="宋体" w:cs="宋体"/>
                <w:color w:val="auto"/>
                <w:kern w:val="2"/>
                <w:sz w:val="21"/>
                <w:szCs w:val="21"/>
                <w:highlight w:val="none"/>
                <w:lang w:val="en-US" w:eastAsia="zh-CN" w:bidi="ar-SA"/>
              </w:rPr>
              <w:t>参数</w:t>
            </w:r>
            <w:r>
              <w:rPr>
                <w:rFonts w:hint="eastAsia" w:cs="宋体"/>
                <w:color w:val="auto"/>
                <w:kern w:val="2"/>
                <w:sz w:val="21"/>
                <w:szCs w:val="21"/>
                <w:highlight w:val="none"/>
                <w:lang w:val="en-US" w:eastAsia="zh-CN" w:bidi="ar-SA"/>
              </w:rPr>
              <w:t>；</w:t>
            </w:r>
            <w:r>
              <w:rPr>
                <w:rFonts w:hint="eastAsia" w:ascii="宋体" w:hAnsi="宋体" w:cs="宋体"/>
                <w:b w:val="0"/>
                <w:bCs w:val="0"/>
                <w:color w:val="auto"/>
                <w:kern w:val="0"/>
                <w:sz w:val="21"/>
                <w:szCs w:val="21"/>
                <w:highlight w:val="none"/>
                <w:lang w:val="en-US" w:eastAsia="zh-CN" w:bidi="ar-SA"/>
              </w:rPr>
              <w:t>③</w:t>
            </w:r>
            <w:r>
              <w:rPr>
                <w:rFonts w:hint="eastAsia" w:ascii="宋体" w:hAnsi="宋体" w:eastAsia="宋体" w:cs="宋体"/>
                <w:color w:val="auto"/>
                <w:kern w:val="2"/>
                <w:sz w:val="21"/>
                <w:szCs w:val="21"/>
                <w:highlight w:val="none"/>
                <w:lang w:val="en-US" w:eastAsia="zh-CN" w:bidi="ar-SA"/>
              </w:rPr>
              <w:t>工艺</w:t>
            </w:r>
            <w:r>
              <w:rPr>
                <w:rFonts w:hint="eastAsia" w:cs="宋体"/>
                <w:color w:val="auto"/>
                <w:kern w:val="2"/>
                <w:sz w:val="21"/>
                <w:szCs w:val="21"/>
                <w:highlight w:val="none"/>
                <w:lang w:val="en-US" w:eastAsia="zh-CN" w:bidi="ar-SA"/>
              </w:rPr>
              <w:t>；</w:t>
            </w:r>
            <w:r>
              <w:rPr>
                <w:rFonts w:hint="eastAsia" w:ascii="宋体" w:hAnsi="宋体" w:cs="宋体"/>
                <w:b w:val="0"/>
                <w:bCs w:val="0"/>
                <w:color w:val="auto"/>
                <w:kern w:val="0"/>
                <w:sz w:val="21"/>
                <w:szCs w:val="21"/>
                <w:highlight w:val="none"/>
                <w:lang w:val="en-US" w:eastAsia="zh-CN" w:bidi="ar-SA"/>
              </w:rPr>
              <w:t>④</w:t>
            </w:r>
            <w:r>
              <w:rPr>
                <w:rFonts w:hint="eastAsia" w:ascii="宋体" w:hAnsi="宋体" w:eastAsia="宋体" w:cs="宋体"/>
                <w:color w:val="auto"/>
                <w:kern w:val="2"/>
                <w:sz w:val="21"/>
                <w:szCs w:val="21"/>
                <w:highlight w:val="none"/>
                <w:lang w:val="en-US" w:eastAsia="en-US" w:bidi="ar-SA"/>
              </w:rPr>
              <w:t>供货服务</w:t>
            </w:r>
            <w:r>
              <w:rPr>
                <w:rFonts w:hint="eastAsia" w:cs="宋体"/>
                <w:color w:val="auto"/>
                <w:kern w:val="2"/>
                <w:sz w:val="21"/>
                <w:szCs w:val="21"/>
                <w:highlight w:val="none"/>
                <w:lang w:val="en-US" w:eastAsia="zh-CN" w:bidi="ar-SA"/>
              </w:rPr>
              <w:t>；</w:t>
            </w:r>
            <w:r>
              <w:rPr>
                <w:rFonts w:hint="eastAsia" w:ascii="宋体" w:hAnsi="宋体" w:cs="宋体"/>
                <w:b w:val="0"/>
                <w:bCs w:val="0"/>
                <w:color w:val="auto"/>
                <w:kern w:val="0"/>
                <w:sz w:val="21"/>
                <w:szCs w:val="21"/>
                <w:highlight w:val="none"/>
                <w:lang w:val="en-US" w:eastAsia="zh-CN" w:bidi="ar-SA"/>
              </w:rPr>
              <w:t>⑤</w:t>
            </w:r>
            <w:r>
              <w:rPr>
                <w:rFonts w:hint="eastAsia" w:ascii="宋体" w:hAnsi="宋体" w:eastAsia="宋体" w:cs="宋体"/>
                <w:color w:val="auto"/>
                <w:kern w:val="2"/>
                <w:sz w:val="21"/>
                <w:szCs w:val="21"/>
                <w:highlight w:val="none"/>
                <w:lang w:val="en-US" w:eastAsia="en-US" w:bidi="ar-SA"/>
              </w:rPr>
              <w:t>项目进度计划</w:t>
            </w:r>
            <w:r>
              <w:rPr>
                <w:rFonts w:hint="eastAsia" w:cs="宋体"/>
                <w:color w:val="auto"/>
                <w:kern w:val="2"/>
                <w:sz w:val="21"/>
                <w:szCs w:val="21"/>
                <w:highlight w:val="none"/>
                <w:lang w:val="en-US" w:eastAsia="zh-CN" w:bidi="ar-SA"/>
              </w:rPr>
              <w:t>；</w:t>
            </w:r>
            <w:r>
              <w:rPr>
                <w:rFonts w:hint="eastAsia" w:ascii="宋体" w:hAnsi="宋体" w:cs="宋体"/>
                <w:b w:val="0"/>
                <w:bCs w:val="0"/>
                <w:color w:val="auto"/>
                <w:kern w:val="0"/>
                <w:sz w:val="21"/>
                <w:szCs w:val="21"/>
                <w:highlight w:val="none"/>
                <w:lang w:val="en-US" w:eastAsia="zh-CN" w:bidi="ar-SA"/>
              </w:rPr>
              <w:t>⑥</w:t>
            </w:r>
            <w:r>
              <w:rPr>
                <w:rFonts w:hint="eastAsia" w:ascii="宋体" w:hAnsi="宋体" w:eastAsia="宋体" w:cs="宋体"/>
                <w:color w:val="auto"/>
                <w:kern w:val="2"/>
                <w:sz w:val="21"/>
                <w:szCs w:val="21"/>
                <w:highlight w:val="none"/>
                <w:lang w:val="en-US" w:eastAsia="en-US" w:bidi="ar-SA"/>
              </w:rPr>
              <w:t>保障措施</w:t>
            </w:r>
            <w:r>
              <w:rPr>
                <w:rFonts w:hint="eastAsia" w:cs="宋体"/>
                <w:color w:val="auto"/>
                <w:kern w:val="2"/>
                <w:sz w:val="21"/>
                <w:szCs w:val="21"/>
                <w:highlight w:val="none"/>
                <w:lang w:val="en-US" w:eastAsia="zh-CN" w:bidi="ar-SA"/>
              </w:rPr>
              <w:t>；⑦</w:t>
            </w:r>
            <w:r>
              <w:rPr>
                <w:rFonts w:hint="eastAsia" w:ascii="宋体" w:hAnsi="宋体" w:eastAsia="宋体" w:cs="宋体"/>
                <w:color w:val="auto"/>
                <w:kern w:val="2"/>
                <w:sz w:val="21"/>
                <w:szCs w:val="21"/>
                <w:highlight w:val="none"/>
                <w:lang w:val="en-US" w:eastAsia="en-US" w:bidi="ar-SA"/>
              </w:rPr>
              <w:t>供货保障</w:t>
            </w:r>
            <w:r>
              <w:rPr>
                <w:rFonts w:hint="eastAsia" w:cs="宋体"/>
                <w:color w:val="auto"/>
                <w:kern w:val="2"/>
                <w:sz w:val="21"/>
                <w:szCs w:val="21"/>
                <w:highlight w:val="none"/>
                <w:lang w:val="en-US" w:eastAsia="zh-CN" w:bidi="ar-SA"/>
              </w:rPr>
              <w:t>；⑧</w:t>
            </w:r>
            <w:r>
              <w:rPr>
                <w:rFonts w:hint="eastAsia" w:ascii="宋体" w:hAnsi="宋体" w:eastAsia="宋体" w:cs="宋体"/>
                <w:color w:val="auto"/>
                <w:kern w:val="2"/>
                <w:sz w:val="21"/>
                <w:szCs w:val="21"/>
                <w:highlight w:val="none"/>
                <w:lang w:val="en-US" w:eastAsia="en-US" w:bidi="ar-SA"/>
              </w:rPr>
              <w:t>包装方案</w:t>
            </w:r>
            <w:r>
              <w:rPr>
                <w:rFonts w:hint="eastAsia" w:cs="宋体"/>
                <w:color w:val="auto"/>
                <w:kern w:val="2"/>
                <w:sz w:val="21"/>
                <w:szCs w:val="21"/>
                <w:highlight w:val="none"/>
                <w:lang w:val="en-US" w:eastAsia="zh-CN" w:bidi="ar-SA"/>
              </w:rPr>
              <w:t>；⑨</w:t>
            </w:r>
            <w:r>
              <w:rPr>
                <w:rFonts w:hint="eastAsia" w:ascii="宋体" w:hAnsi="宋体" w:eastAsia="宋体" w:cs="宋体"/>
                <w:color w:val="auto"/>
                <w:kern w:val="2"/>
                <w:sz w:val="21"/>
                <w:szCs w:val="21"/>
                <w:highlight w:val="none"/>
                <w:lang w:val="en-US" w:eastAsia="zh-CN" w:bidi="ar-SA"/>
              </w:rPr>
              <w:t>安装</w:t>
            </w:r>
            <w:r>
              <w:rPr>
                <w:rFonts w:hint="eastAsia" w:cs="宋体"/>
                <w:color w:val="auto"/>
                <w:kern w:val="2"/>
                <w:sz w:val="21"/>
                <w:szCs w:val="21"/>
                <w:highlight w:val="none"/>
                <w:lang w:val="en-US" w:eastAsia="zh-CN" w:bidi="ar-SA"/>
              </w:rPr>
              <w:t>；⑩</w:t>
            </w:r>
            <w:r>
              <w:rPr>
                <w:rFonts w:hint="eastAsia" w:ascii="宋体" w:hAnsi="宋体" w:cs="宋体"/>
                <w:b w:val="0"/>
                <w:bCs w:val="0"/>
                <w:color w:val="auto"/>
                <w:kern w:val="0"/>
                <w:sz w:val="21"/>
                <w:szCs w:val="21"/>
                <w:highlight w:val="none"/>
                <w:lang w:val="en-US" w:eastAsia="zh-CN" w:bidi="ar-SA"/>
              </w:rPr>
              <w:t>备品备件库存等。</w:t>
            </w:r>
          </w:p>
          <w:p w14:paraId="0A3DF339">
            <w:pPr>
              <w:spacing w:line="360" w:lineRule="auto"/>
              <w:ind w:firstLine="0" w:firstLineChars="0"/>
              <w:jc w:val="left"/>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en-US" w:eastAsia="zh-CN" w:bidi="ar-SA"/>
              </w:rPr>
              <w:t xml:space="preserve">综合以上内容、具有针对性且不存在不适用项目实际情况的情形，不存在凭空编造、逻辑漏洞、科学原理错误以及不可能实现的夸大情形等情况的得20分，每缺少一项扣2分，每有一处缺陷扣1分，扣完为止。 </w:t>
            </w:r>
          </w:p>
          <w:p w14:paraId="09106250">
            <w:pPr>
              <w:spacing w:line="360" w:lineRule="auto"/>
              <w:ind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注：缺陷指：方案内容与项目实际情况不符或与相对应评分标准不符、套用其他项目方案或存在明显与本项目无关的文字内容、内容前后矛盾或存在逻辑错误或表述错误或科学原理错误或涉及的规范及标准错误、存在不可能实现的情形等任意一种情形。</w:t>
            </w:r>
          </w:p>
        </w:tc>
      </w:tr>
      <w:tr w14:paraId="1811E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415" w:type="pct"/>
            <w:vMerge w:val="continue"/>
            <w:vAlign w:val="center"/>
          </w:tcPr>
          <w:p w14:paraId="24E10105">
            <w:pPr>
              <w:pStyle w:val="50"/>
              <w:jc w:val="center"/>
              <w:rPr>
                <w:rFonts w:hint="eastAsia" w:ascii="宋体" w:hAnsi="宋体" w:eastAsia="宋体" w:cs="宋体"/>
                <w:color w:val="auto"/>
                <w:sz w:val="21"/>
                <w:szCs w:val="21"/>
                <w:highlight w:val="none"/>
              </w:rPr>
            </w:pPr>
          </w:p>
        </w:tc>
        <w:tc>
          <w:tcPr>
            <w:tcW w:w="838" w:type="pct"/>
            <w:vAlign w:val="center"/>
          </w:tcPr>
          <w:p w14:paraId="69144E03">
            <w:pPr>
              <w:pStyle w:val="5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en-US" w:bidi="ar-SA"/>
              </w:rPr>
              <w:t>售后服务方案</w:t>
            </w:r>
          </w:p>
        </w:tc>
        <w:tc>
          <w:tcPr>
            <w:tcW w:w="532" w:type="pct"/>
            <w:vAlign w:val="center"/>
          </w:tcPr>
          <w:p w14:paraId="7922AA03">
            <w:pPr>
              <w:pStyle w:val="50"/>
              <w:jc w:val="left"/>
              <w:rPr>
                <w:rFonts w:hint="eastAsia"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14</w:t>
            </w:r>
            <w:r>
              <w:rPr>
                <w:rFonts w:hint="eastAsia" w:ascii="宋体" w:hAnsi="宋体" w:eastAsia="宋体" w:cs="宋体"/>
                <w:color w:val="auto"/>
                <w:kern w:val="2"/>
                <w:sz w:val="21"/>
                <w:szCs w:val="21"/>
                <w:highlight w:val="none"/>
                <w:lang w:val="en-US" w:eastAsia="zh-CN" w:bidi="ar-SA"/>
              </w:rPr>
              <w:t>分</w:t>
            </w:r>
          </w:p>
        </w:tc>
        <w:tc>
          <w:tcPr>
            <w:tcW w:w="3213" w:type="pct"/>
            <w:vAlign w:val="center"/>
          </w:tcPr>
          <w:p w14:paraId="08F1C419">
            <w:pPr>
              <w:pStyle w:val="50"/>
              <w:spacing w:line="360" w:lineRule="auto"/>
              <w:jc w:val="left"/>
              <w:rPr>
                <w:rFonts w:hint="eastAsia" w:ascii="宋体" w:hAnsi="宋体" w:eastAsia="宋体" w:cs="宋体"/>
                <w:color w:val="auto"/>
                <w:kern w:val="2"/>
                <w:sz w:val="21"/>
                <w:szCs w:val="21"/>
                <w:highlight w:val="none"/>
                <w:lang w:val="en-US" w:eastAsia="en-US" w:bidi="ar-SA"/>
              </w:rPr>
            </w:pPr>
            <w:r>
              <w:rPr>
                <w:rFonts w:hint="eastAsia" w:ascii="宋体" w:hAnsi="宋体" w:eastAsia="宋体" w:cs="宋体"/>
                <w:color w:val="auto"/>
                <w:kern w:val="2"/>
                <w:sz w:val="21"/>
                <w:szCs w:val="21"/>
                <w:highlight w:val="none"/>
                <w:lang w:val="en-US" w:eastAsia="en-US" w:bidi="ar-SA"/>
              </w:rPr>
              <w:t>根据</w:t>
            </w:r>
            <w:r>
              <w:rPr>
                <w:rFonts w:hint="eastAsia" w:ascii="宋体" w:hAnsi="宋体" w:eastAsia="宋体" w:cs="宋体"/>
                <w:color w:val="auto"/>
                <w:kern w:val="2"/>
                <w:sz w:val="21"/>
                <w:szCs w:val="21"/>
                <w:highlight w:val="none"/>
                <w:lang w:val="en-US" w:eastAsia="zh-CN" w:bidi="ar-SA"/>
              </w:rPr>
              <w:t>供应商</w:t>
            </w:r>
            <w:r>
              <w:rPr>
                <w:rFonts w:hint="eastAsia" w:ascii="宋体" w:hAnsi="宋体" w:eastAsia="宋体" w:cs="宋体"/>
                <w:color w:val="auto"/>
                <w:kern w:val="2"/>
                <w:sz w:val="21"/>
                <w:szCs w:val="21"/>
                <w:highlight w:val="none"/>
                <w:lang w:val="en-US" w:eastAsia="en-US" w:bidi="ar-SA"/>
              </w:rPr>
              <w:t>提供的售后服务方案进行评审，包括</w:t>
            </w:r>
            <w:r>
              <w:rPr>
                <w:rFonts w:hint="eastAsia" w:ascii="宋体" w:hAnsi="宋体" w:eastAsia="宋体" w:cs="宋体"/>
                <w:color w:val="auto"/>
                <w:kern w:val="2"/>
                <w:sz w:val="21"/>
                <w:szCs w:val="21"/>
                <w:highlight w:val="none"/>
                <w:lang w:val="en-US" w:eastAsia="zh-CN" w:bidi="ar-SA"/>
              </w:rPr>
              <w:t>：①</w:t>
            </w:r>
            <w:r>
              <w:rPr>
                <w:rFonts w:hint="eastAsia" w:ascii="宋体" w:hAnsi="宋体" w:eastAsia="宋体" w:cs="宋体"/>
                <w:color w:val="auto"/>
                <w:kern w:val="2"/>
                <w:sz w:val="21"/>
                <w:szCs w:val="21"/>
                <w:highlight w:val="none"/>
                <w:lang w:val="en-US" w:eastAsia="en-US" w:bidi="ar-SA"/>
              </w:rPr>
              <w:t>售后服务保证</w:t>
            </w:r>
            <w:r>
              <w:rPr>
                <w:rFonts w:hint="eastAsia" w:ascii="宋体" w:hAnsi="宋体" w:eastAsia="宋体" w:cs="宋体"/>
                <w:color w:val="auto"/>
                <w:kern w:val="2"/>
                <w:sz w:val="21"/>
                <w:szCs w:val="21"/>
                <w:highlight w:val="none"/>
                <w:lang w:val="en-US" w:eastAsia="zh-CN" w:bidi="ar-SA"/>
              </w:rPr>
              <w:t>；②</w:t>
            </w:r>
            <w:r>
              <w:rPr>
                <w:rFonts w:hint="eastAsia" w:ascii="宋体" w:hAnsi="宋体" w:eastAsia="宋体" w:cs="宋体"/>
                <w:color w:val="auto"/>
                <w:kern w:val="2"/>
                <w:sz w:val="21"/>
                <w:szCs w:val="21"/>
                <w:highlight w:val="none"/>
                <w:lang w:val="en-US" w:eastAsia="en-US" w:bidi="ar-SA"/>
              </w:rPr>
              <w:t>服务方案</w:t>
            </w:r>
            <w:r>
              <w:rPr>
                <w:rFonts w:hint="eastAsia" w:ascii="宋体" w:hAnsi="宋体" w:eastAsia="宋体" w:cs="宋体"/>
                <w:color w:val="auto"/>
                <w:kern w:val="2"/>
                <w:sz w:val="21"/>
                <w:szCs w:val="21"/>
                <w:highlight w:val="none"/>
                <w:lang w:val="en-US" w:eastAsia="zh-CN" w:bidi="ar-SA"/>
              </w:rPr>
              <w:t>；③</w:t>
            </w:r>
            <w:r>
              <w:rPr>
                <w:rFonts w:hint="eastAsia" w:ascii="宋体" w:hAnsi="宋体" w:eastAsia="宋体" w:cs="宋体"/>
                <w:color w:val="auto"/>
                <w:kern w:val="2"/>
                <w:sz w:val="21"/>
                <w:szCs w:val="21"/>
                <w:highlight w:val="none"/>
                <w:lang w:val="en-US" w:eastAsia="en-US" w:bidi="ar-SA"/>
              </w:rPr>
              <w:t>售后服务网点</w:t>
            </w:r>
            <w:r>
              <w:rPr>
                <w:rFonts w:hint="eastAsia" w:ascii="宋体" w:hAnsi="宋体" w:eastAsia="宋体" w:cs="宋体"/>
                <w:color w:val="auto"/>
                <w:kern w:val="2"/>
                <w:sz w:val="21"/>
                <w:szCs w:val="21"/>
                <w:highlight w:val="none"/>
                <w:lang w:val="en-US" w:eastAsia="zh-CN" w:bidi="ar-SA"/>
              </w:rPr>
              <w:t>；④</w:t>
            </w:r>
            <w:r>
              <w:rPr>
                <w:rFonts w:hint="eastAsia" w:ascii="宋体" w:hAnsi="宋体" w:eastAsia="宋体" w:cs="宋体"/>
                <w:color w:val="auto"/>
                <w:kern w:val="2"/>
                <w:sz w:val="21"/>
                <w:szCs w:val="21"/>
                <w:highlight w:val="none"/>
                <w:lang w:val="en-US" w:eastAsia="en-US" w:bidi="ar-SA"/>
              </w:rPr>
              <w:t>售后服务团队规模</w:t>
            </w:r>
            <w:r>
              <w:rPr>
                <w:rFonts w:hint="eastAsia" w:ascii="宋体" w:hAnsi="宋体" w:eastAsia="宋体" w:cs="宋体"/>
                <w:color w:val="auto"/>
                <w:kern w:val="2"/>
                <w:sz w:val="21"/>
                <w:szCs w:val="21"/>
                <w:highlight w:val="none"/>
                <w:lang w:val="en-US" w:eastAsia="zh-CN" w:bidi="ar-SA"/>
              </w:rPr>
              <w:t>；⑤</w:t>
            </w:r>
            <w:r>
              <w:rPr>
                <w:rFonts w:hint="eastAsia" w:ascii="宋体" w:hAnsi="宋体" w:eastAsia="宋体" w:cs="宋体"/>
                <w:color w:val="auto"/>
                <w:kern w:val="2"/>
                <w:sz w:val="21"/>
                <w:szCs w:val="21"/>
                <w:highlight w:val="none"/>
                <w:lang w:val="en-US" w:eastAsia="en-US" w:bidi="ar-SA"/>
              </w:rPr>
              <w:t>维修响应时间、</w:t>
            </w:r>
            <w:r>
              <w:rPr>
                <w:rFonts w:hint="eastAsia" w:ascii="宋体" w:hAnsi="宋体" w:eastAsia="宋体" w:cs="宋体"/>
                <w:color w:val="auto"/>
                <w:kern w:val="2"/>
                <w:sz w:val="21"/>
                <w:szCs w:val="21"/>
                <w:highlight w:val="none"/>
                <w:lang w:val="en-US" w:eastAsia="zh-CN" w:bidi="ar-SA"/>
              </w:rPr>
              <w:t>⑥各类故障应急措施；⑦</w:t>
            </w:r>
            <w:r>
              <w:rPr>
                <w:rFonts w:hint="eastAsia" w:ascii="宋体" w:hAnsi="宋体" w:eastAsia="宋体" w:cs="宋体"/>
                <w:color w:val="auto"/>
                <w:kern w:val="2"/>
                <w:sz w:val="21"/>
                <w:szCs w:val="21"/>
                <w:highlight w:val="none"/>
                <w:lang w:val="en-US" w:eastAsia="en-US" w:bidi="ar-SA"/>
              </w:rPr>
              <w:t>质保期后的服务措施等内容进行综合评议。</w:t>
            </w:r>
          </w:p>
          <w:p w14:paraId="2960943A">
            <w:pPr>
              <w:spacing w:line="360" w:lineRule="auto"/>
              <w:ind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方案内容完善，安排合理，可行性强且详实合理，符合项目实际需求得14分，每缺少一项扣2分，每有一处缺陷扣1分，扣完为止。 </w:t>
            </w:r>
          </w:p>
          <w:p w14:paraId="69A9E740">
            <w:pPr>
              <w:spacing w:line="360" w:lineRule="auto"/>
              <w:ind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注：缺陷指：方案内容与项目实际情况不符或与相对应评分标准不符、套用其他项目方案或存在明显与本项目无关的文字内容、内容前后矛盾或存在逻辑错误或表述错误或科学原理错误或涉及的规范及标准错误、存在不可能实现的情形等任意一种情形。 </w:t>
            </w:r>
          </w:p>
          <w:p w14:paraId="0FBA29DF">
            <w:pPr>
              <w:pStyle w:val="5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未提供不得分。</w:t>
            </w:r>
          </w:p>
        </w:tc>
      </w:tr>
      <w:tr w14:paraId="58C0B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415" w:type="pct"/>
            <w:vMerge w:val="continue"/>
            <w:vAlign w:val="center"/>
          </w:tcPr>
          <w:p w14:paraId="6BC81CA5">
            <w:pPr>
              <w:pStyle w:val="50"/>
              <w:jc w:val="center"/>
              <w:rPr>
                <w:rFonts w:hint="eastAsia" w:ascii="宋体" w:hAnsi="宋体" w:eastAsia="宋体" w:cs="宋体"/>
                <w:color w:val="auto"/>
                <w:sz w:val="21"/>
                <w:szCs w:val="21"/>
                <w:highlight w:val="none"/>
              </w:rPr>
            </w:pPr>
          </w:p>
        </w:tc>
        <w:tc>
          <w:tcPr>
            <w:tcW w:w="838" w:type="pct"/>
            <w:vAlign w:val="center"/>
          </w:tcPr>
          <w:p w14:paraId="4FF5A0D7">
            <w:pPr>
              <w:pStyle w:val="5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供货保障能力</w:t>
            </w:r>
          </w:p>
        </w:tc>
        <w:tc>
          <w:tcPr>
            <w:tcW w:w="532" w:type="pct"/>
            <w:vAlign w:val="center"/>
          </w:tcPr>
          <w:p w14:paraId="124035BA">
            <w:pPr>
              <w:pStyle w:val="5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10分 </w:t>
            </w:r>
          </w:p>
        </w:tc>
        <w:tc>
          <w:tcPr>
            <w:tcW w:w="3213" w:type="pct"/>
            <w:vAlign w:val="center"/>
          </w:tcPr>
          <w:p w14:paraId="468DE3EC">
            <w:pPr>
              <w:spacing w:line="360" w:lineRule="auto"/>
              <w:ind w:firstLine="0" w:firstLineChars="0"/>
              <w:jc w:val="left"/>
              <w:rPr>
                <w:rFonts w:hint="eastAsia" w:ascii="宋体" w:hAnsi="宋体" w:cs="宋体"/>
                <w:b w:val="0"/>
                <w:bCs w:val="0"/>
                <w:color w:val="auto"/>
                <w:kern w:val="0"/>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从</w:t>
            </w:r>
            <w:r>
              <w:rPr>
                <w:rFonts w:hint="eastAsia" w:cs="宋体"/>
                <w:color w:val="auto"/>
                <w:kern w:val="2"/>
                <w:sz w:val="21"/>
                <w:szCs w:val="21"/>
                <w:highlight w:val="none"/>
                <w:lang w:val="en-US" w:eastAsia="zh-CN" w:bidi="ar-SA"/>
              </w:rPr>
              <w:t>①</w:t>
            </w:r>
            <w:r>
              <w:rPr>
                <w:rFonts w:hint="eastAsia" w:ascii="宋体" w:hAnsi="宋体" w:eastAsia="宋体" w:cs="宋体"/>
                <w:color w:val="auto"/>
                <w:kern w:val="2"/>
                <w:sz w:val="21"/>
                <w:szCs w:val="21"/>
                <w:highlight w:val="none"/>
                <w:lang w:val="en-US" w:eastAsia="zh-CN" w:bidi="ar-SA"/>
              </w:rPr>
              <w:t>供货安排</w:t>
            </w:r>
            <w:r>
              <w:rPr>
                <w:rFonts w:hint="eastAsia" w:cs="宋体"/>
                <w:color w:val="auto"/>
                <w:kern w:val="2"/>
                <w:sz w:val="21"/>
                <w:szCs w:val="21"/>
                <w:highlight w:val="none"/>
                <w:lang w:val="en-US" w:eastAsia="zh-CN" w:bidi="ar-SA"/>
              </w:rPr>
              <w:t>；②</w:t>
            </w:r>
            <w:r>
              <w:rPr>
                <w:rFonts w:hint="eastAsia" w:ascii="宋体" w:hAnsi="宋体" w:eastAsia="宋体" w:cs="宋体"/>
                <w:color w:val="auto"/>
                <w:kern w:val="2"/>
                <w:sz w:val="21"/>
                <w:szCs w:val="21"/>
                <w:highlight w:val="none"/>
                <w:lang w:val="en-US" w:eastAsia="zh-CN" w:bidi="ar-SA"/>
              </w:rPr>
              <w:t>时间设置</w:t>
            </w:r>
            <w:r>
              <w:rPr>
                <w:rFonts w:hint="eastAsia" w:cs="宋体"/>
                <w:color w:val="auto"/>
                <w:kern w:val="2"/>
                <w:sz w:val="21"/>
                <w:szCs w:val="21"/>
                <w:highlight w:val="none"/>
                <w:lang w:val="en-US" w:eastAsia="zh-CN" w:bidi="ar-SA"/>
              </w:rPr>
              <w:t>；③</w:t>
            </w:r>
            <w:r>
              <w:rPr>
                <w:rFonts w:hint="eastAsia" w:ascii="宋体" w:hAnsi="宋体" w:eastAsia="宋体" w:cs="宋体"/>
                <w:color w:val="auto"/>
                <w:kern w:val="2"/>
                <w:sz w:val="21"/>
                <w:szCs w:val="21"/>
                <w:highlight w:val="none"/>
                <w:lang w:val="en-US" w:eastAsia="zh-CN" w:bidi="ar-SA"/>
              </w:rPr>
              <w:t>运输方式</w:t>
            </w:r>
            <w:r>
              <w:rPr>
                <w:rFonts w:hint="eastAsia" w:cs="宋体"/>
                <w:color w:val="auto"/>
                <w:kern w:val="2"/>
                <w:sz w:val="21"/>
                <w:szCs w:val="21"/>
                <w:highlight w:val="none"/>
                <w:lang w:val="en-US" w:eastAsia="zh-CN" w:bidi="ar-SA"/>
              </w:rPr>
              <w:t>；④</w:t>
            </w:r>
            <w:r>
              <w:rPr>
                <w:rFonts w:hint="eastAsia" w:ascii="宋体" w:hAnsi="宋体" w:eastAsia="宋体" w:cs="宋体"/>
                <w:color w:val="auto"/>
                <w:kern w:val="2"/>
                <w:sz w:val="21"/>
                <w:szCs w:val="21"/>
                <w:highlight w:val="none"/>
                <w:lang w:val="en-US" w:eastAsia="zh-CN" w:bidi="ar-SA"/>
              </w:rPr>
              <w:t>配送方案</w:t>
            </w:r>
            <w:r>
              <w:rPr>
                <w:rFonts w:hint="eastAsia" w:cs="宋体"/>
                <w:color w:val="auto"/>
                <w:kern w:val="2"/>
                <w:sz w:val="21"/>
                <w:szCs w:val="21"/>
                <w:highlight w:val="none"/>
                <w:lang w:val="en-US" w:eastAsia="zh-CN" w:bidi="ar-SA"/>
              </w:rPr>
              <w:t>；⑤</w:t>
            </w:r>
            <w:r>
              <w:rPr>
                <w:rFonts w:hint="eastAsia" w:ascii="宋体" w:hAnsi="宋体" w:eastAsia="宋体" w:cs="宋体"/>
                <w:color w:val="auto"/>
                <w:kern w:val="2"/>
                <w:sz w:val="21"/>
                <w:szCs w:val="21"/>
                <w:highlight w:val="none"/>
                <w:lang w:val="en-US" w:eastAsia="zh-CN" w:bidi="ar-SA"/>
              </w:rPr>
              <w:t>安装保障5项评分；</w:t>
            </w:r>
            <w:r>
              <w:rPr>
                <w:rFonts w:hint="eastAsia" w:ascii="宋体" w:hAnsi="宋体" w:cs="宋体"/>
                <w:b w:val="0"/>
                <w:bCs w:val="0"/>
                <w:color w:val="auto"/>
                <w:kern w:val="0"/>
                <w:sz w:val="21"/>
                <w:szCs w:val="21"/>
                <w:highlight w:val="none"/>
                <w:lang w:val="en-US" w:eastAsia="zh-CN" w:bidi="ar-SA"/>
              </w:rPr>
              <w:t xml:space="preserve">符合项目实际需求得10分，每缺少一项扣2分，每有一处缺陷扣1分，扣完为止。 </w:t>
            </w:r>
          </w:p>
          <w:p w14:paraId="431BE7DC">
            <w:pPr>
              <w:spacing w:line="360" w:lineRule="auto"/>
              <w:ind w:firstLine="0" w:firstLineChars="0"/>
              <w:jc w:val="left"/>
              <w:rPr>
                <w:rFonts w:hint="eastAsia" w:ascii="宋体" w:hAnsi="宋体" w:cs="宋体"/>
                <w:b w:val="0"/>
                <w:bCs w:val="0"/>
                <w:color w:val="auto"/>
                <w:kern w:val="0"/>
                <w:sz w:val="21"/>
                <w:szCs w:val="21"/>
                <w:highlight w:val="none"/>
                <w:lang w:val="en-US" w:eastAsia="zh-CN" w:bidi="ar-SA"/>
              </w:rPr>
            </w:pPr>
            <w:r>
              <w:rPr>
                <w:rFonts w:hint="eastAsia" w:ascii="宋体" w:hAnsi="宋体" w:cs="宋体"/>
                <w:b w:val="0"/>
                <w:bCs w:val="0"/>
                <w:color w:val="auto"/>
                <w:kern w:val="0"/>
                <w:sz w:val="21"/>
                <w:szCs w:val="21"/>
                <w:highlight w:val="none"/>
                <w:lang w:val="en-US" w:eastAsia="zh-CN" w:bidi="ar-SA"/>
              </w:rPr>
              <w:t xml:space="preserve">注：缺陷是指：方案内容与项目实际情况不符或与相对应评分标准不符、套用其他项目方案或存在明显与本项目无关的文字内容、内容前后矛盾或存在逻辑错误或表述错误或科学原理错误或涉及的规范及标准错误、存在不可能实现的情形等任意一种情形。 </w:t>
            </w:r>
          </w:p>
          <w:p w14:paraId="75A51E31">
            <w:pPr>
              <w:pStyle w:val="5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未提供不得分。</w:t>
            </w:r>
          </w:p>
        </w:tc>
      </w:tr>
      <w:tr w14:paraId="349B4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415" w:type="pct"/>
            <w:vMerge w:val="continue"/>
            <w:vAlign w:val="center"/>
          </w:tcPr>
          <w:p w14:paraId="0520050F">
            <w:pPr>
              <w:pStyle w:val="50"/>
              <w:jc w:val="center"/>
              <w:rPr>
                <w:rFonts w:hint="eastAsia" w:ascii="宋体" w:hAnsi="宋体" w:eastAsia="宋体" w:cs="宋体"/>
                <w:color w:val="auto"/>
                <w:sz w:val="21"/>
                <w:szCs w:val="21"/>
                <w:highlight w:val="none"/>
              </w:rPr>
            </w:pPr>
          </w:p>
        </w:tc>
        <w:tc>
          <w:tcPr>
            <w:tcW w:w="838" w:type="pct"/>
            <w:vAlign w:val="center"/>
          </w:tcPr>
          <w:p w14:paraId="4009041A">
            <w:pPr>
              <w:pStyle w:val="5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产品稳定性与可靠性</w:t>
            </w:r>
          </w:p>
        </w:tc>
        <w:tc>
          <w:tcPr>
            <w:tcW w:w="532" w:type="pct"/>
            <w:vAlign w:val="center"/>
          </w:tcPr>
          <w:p w14:paraId="56908100">
            <w:pPr>
              <w:pStyle w:val="5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5分</w:t>
            </w:r>
          </w:p>
        </w:tc>
        <w:tc>
          <w:tcPr>
            <w:tcW w:w="3213" w:type="pct"/>
            <w:vAlign w:val="center"/>
          </w:tcPr>
          <w:p w14:paraId="0ED910FC">
            <w:pPr>
              <w:spacing w:line="360" w:lineRule="auto"/>
              <w:ind w:firstLine="0" w:firstLineChars="0"/>
              <w:jc w:val="left"/>
              <w:rPr>
                <w:rFonts w:hint="eastAsia" w:ascii="宋体" w:hAnsi="宋体" w:cs="宋体"/>
                <w:b w:val="0"/>
                <w:bCs w:val="0"/>
                <w:color w:val="auto"/>
                <w:kern w:val="0"/>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对</w:t>
            </w:r>
            <w:r>
              <w:rPr>
                <w:rFonts w:hint="eastAsia" w:cs="宋体"/>
                <w:color w:val="auto"/>
                <w:kern w:val="2"/>
                <w:sz w:val="21"/>
                <w:szCs w:val="21"/>
                <w:highlight w:val="none"/>
                <w:lang w:val="en-US" w:eastAsia="zh-CN" w:bidi="ar-SA"/>
              </w:rPr>
              <w:t>①</w:t>
            </w:r>
            <w:r>
              <w:rPr>
                <w:rFonts w:hint="eastAsia" w:ascii="宋体" w:hAnsi="宋体" w:eastAsia="宋体" w:cs="宋体"/>
                <w:color w:val="auto"/>
                <w:kern w:val="2"/>
                <w:sz w:val="21"/>
                <w:szCs w:val="21"/>
                <w:highlight w:val="none"/>
                <w:lang w:val="en-US" w:eastAsia="zh-CN" w:bidi="ar-SA"/>
              </w:rPr>
              <w:t>稳定性</w:t>
            </w:r>
            <w:r>
              <w:rPr>
                <w:rFonts w:hint="eastAsia" w:cs="宋体"/>
                <w:color w:val="auto"/>
                <w:kern w:val="2"/>
                <w:sz w:val="21"/>
                <w:szCs w:val="21"/>
                <w:highlight w:val="none"/>
                <w:lang w:val="en-US" w:eastAsia="zh-CN" w:bidi="ar-SA"/>
              </w:rPr>
              <w:t>；②</w:t>
            </w:r>
            <w:r>
              <w:rPr>
                <w:rFonts w:hint="eastAsia" w:ascii="宋体" w:hAnsi="宋体" w:eastAsia="宋体" w:cs="宋体"/>
                <w:color w:val="auto"/>
                <w:kern w:val="2"/>
                <w:sz w:val="21"/>
                <w:szCs w:val="21"/>
                <w:highlight w:val="none"/>
                <w:lang w:val="en-US" w:eastAsia="zh-CN" w:bidi="ar-SA"/>
              </w:rPr>
              <w:t>可靠性</w:t>
            </w:r>
            <w:r>
              <w:rPr>
                <w:rFonts w:hint="eastAsia" w:cs="宋体"/>
                <w:color w:val="auto"/>
                <w:kern w:val="2"/>
                <w:sz w:val="21"/>
                <w:szCs w:val="21"/>
                <w:highlight w:val="none"/>
                <w:lang w:val="en-US" w:eastAsia="zh-CN" w:bidi="ar-SA"/>
              </w:rPr>
              <w:t>；③</w:t>
            </w:r>
            <w:r>
              <w:rPr>
                <w:rFonts w:hint="eastAsia" w:ascii="宋体" w:hAnsi="宋体" w:eastAsia="宋体" w:cs="宋体"/>
                <w:color w:val="auto"/>
                <w:kern w:val="2"/>
                <w:sz w:val="21"/>
                <w:szCs w:val="21"/>
                <w:highlight w:val="none"/>
                <w:lang w:val="en-US" w:eastAsia="zh-CN" w:bidi="ar-SA"/>
              </w:rPr>
              <w:t>耐用性</w:t>
            </w:r>
            <w:r>
              <w:rPr>
                <w:rFonts w:hint="eastAsia" w:cs="宋体"/>
                <w:color w:val="auto"/>
                <w:kern w:val="2"/>
                <w:sz w:val="21"/>
                <w:szCs w:val="21"/>
                <w:highlight w:val="none"/>
                <w:lang w:val="en-US" w:eastAsia="zh-CN" w:bidi="ar-SA"/>
              </w:rPr>
              <w:t>；④</w:t>
            </w:r>
            <w:r>
              <w:rPr>
                <w:rFonts w:hint="eastAsia" w:ascii="宋体" w:hAnsi="宋体" w:eastAsia="宋体" w:cs="宋体"/>
                <w:color w:val="auto"/>
                <w:kern w:val="2"/>
                <w:sz w:val="21"/>
                <w:szCs w:val="21"/>
                <w:highlight w:val="none"/>
                <w:lang w:val="en-US" w:eastAsia="zh-CN" w:bidi="ar-SA"/>
              </w:rPr>
              <w:t>环保</w:t>
            </w:r>
            <w:r>
              <w:rPr>
                <w:rFonts w:hint="eastAsia" w:cs="宋体"/>
                <w:color w:val="auto"/>
                <w:kern w:val="2"/>
                <w:sz w:val="21"/>
                <w:szCs w:val="21"/>
                <w:highlight w:val="none"/>
                <w:lang w:val="en-US" w:eastAsia="zh-CN" w:bidi="ar-SA"/>
              </w:rPr>
              <w:t>；⑤</w:t>
            </w:r>
            <w:r>
              <w:rPr>
                <w:rFonts w:hint="eastAsia" w:ascii="宋体" w:hAnsi="宋体" w:eastAsia="宋体" w:cs="宋体"/>
                <w:color w:val="auto"/>
                <w:kern w:val="2"/>
                <w:sz w:val="21"/>
                <w:szCs w:val="21"/>
                <w:highlight w:val="none"/>
                <w:lang w:val="en-US" w:eastAsia="zh-CN" w:bidi="ar-SA"/>
              </w:rPr>
              <w:t>防变形描述与证明齐全；</w:t>
            </w:r>
            <w:r>
              <w:rPr>
                <w:rFonts w:hint="eastAsia" w:ascii="宋体" w:hAnsi="宋体" w:cs="宋体"/>
                <w:b w:val="0"/>
                <w:bCs w:val="0"/>
                <w:color w:val="auto"/>
                <w:kern w:val="0"/>
                <w:sz w:val="21"/>
                <w:szCs w:val="21"/>
                <w:highlight w:val="none"/>
                <w:lang w:val="en-US" w:eastAsia="zh-CN" w:bidi="ar-SA"/>
              </w:rPr>
              <w:t xml:space="preserve">符合项目实际需求得5分，每缺少一项扣1分，每有一处缺陷扣0.5分，扣完为止。 </w:t>
            </w:r>
          </w:p>
          <w:p w14:paraId="17119387">
            <w:pPr>
              <w:pStyle w:val="50"/>
              <w:spacing w:line="360" w:lineRule="auto"/>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注：缺陷是指：方案内容与项目实际情况不符或与相对应评分标准不符、套用其他项目方案或存在明显与本项目无关的文字内容、内容前后矛盾或存在逻辑错误或表述错误或科学原理错误或涉及的规范及标准错误、存在不可能实现的情形等任意一种情形。未提供不得分。</w:t>
            </w:r>
          </w:p>
        </w:tc>
      </w:tr>
      <w:tr w14:paraId="509AE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415" w:type="pct"/>
            <w:vMerge w:val="continue"/>
            <w:vAlign w:val="center"/>
          </w:tcPr>
          <w:p w14:paraId="4F930313">
            <w:pPr>
              <w:pStyle w:val="50"/>
              <w:jc w:val="center"/>
              <w:rPr>
                <w:rFonts w:hint="eastAsia" w:ascii="宋体" w:hAnsi="宋体" w:eastAsia="宋体" w:cs="宋体"/>
                <w:color w:val="auto"/>
                <w:sz w:val="21"/>
                <w:szCs w:val="21"/>
                <w:highlight w:val="none"/>
              </w:rPr>
            </w:pPr>
          </w:p>
        </w:tc>
        <w:tc>
          <w:tcPr>
            <w:tcW w:w="838" w:type="pct"/>
            <w:vAlign w:val="center"/>
          </w:tcPr>
          <w:p w14:paraId="050460B0">
            <w:pPr>
              <w:pStyle w:val="50"/>
              <w:jc w:val="left"/>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质量与安全保障措施</w:t>
            </w:r>
          </w:p>
        </w:tc>
        <w:tc>
          <w:tcPr>
            <w:tcW w:w="532" w:type="pct"/>
            <w:vAlign w:val="center"/>
          </w:tcPr>
          <w:p w14:paraId="75F9C90D">
            <w:pPr>
              <w:pStyle w:val="50"/>
              <w:jc w:val="left"/>
              <w:rPr>
                <w:rFonts w:hint="eastAsia"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6</w:t>
            </w:r>
            <w:r>
              <w:rPr>
                <w:rFonts w:hint="eastAsia" w:ascii="宋体" w:hAnsi="宋体" w:eastAsia="宋体" w:cs="宋体"/>
                <w:color w:val="auto"/>
                <w:kern w:val="2"/>
                <w:sz w:val="21"/>
                <w:szCs w:val="21"/>
                <w:highlight w:val="none"/>
                <w:lang w:val="en-US" w:eastAsia="zh-CN" w:bidi="ar-SA"/>
              </w:rPr>
              <w:t>分</w:t>
            </w:r>
          </w:p>
        </w:tc>
        <w:tc>
          <w:tcPr>
            <w:tcW w:w="3213" w:type="pct"/>
            <w:vAlign w:val="center"/>
          </w:tcPr>
          <w:p w14:paraId="169860C7">
            <w:pPr>
              <w:spacing w:line="360" w:lineRule="auto"/>
              <w:ind w:firstLine="0" w:firstLineChars="0"/>
              <w:jc w:val="left"/>
              <w:rPr>
                <w:rFonts w:hint="eastAsia" w:ascii="宋体" w:hAnsi="宋体" w:cs="宋体"/>
                <w:b w:val="0"/>
                <w:bCs w:val="0"/>
                <w:color w:val="auto"/>
                <w:kern w:val="0"/>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包含</w:t>
            </w:r>
            <w:r>
              <w:rPr>
                <w:rFonts w:hint="eastAsia" w:cs="宋体"/>
                <w:color w:val="auto"/>
                <w:kern w:val="2"/>
                <w:sz w:val="21"/>
                <w:szCs w:val="21"/>
                <w:highlight w:val="none"/>
                <w:lang w:val="en-US" w:eastAsia="zh-CN" w:bidi="ar-SA"/>
              </w:rPr>
              <w:t>①</w:t>
            </w:r>
            <w:r>
              <w:rPr>
                <w:rFonts w:hint="eastAsia" w:ascii="宋体" w:hAnsi="宋体" w:eastAsia="宋体" w:cs="宋体"/>
                <w:color w:val="auto"/>
                <w:kern w:val="2"/>
                <w:sz w:val="21"/>
                <w:szCs w:val="21"/>
                <w:highlight w:val="none"/>
                <w:lang w:val="en-US" w:eastAsia="zh-CN" w:bidi="ar-SA"/>
              </w:rPr>
              <w:t>质量保障</w:t>
            </w:r>
            <w:r>
              <w:rPr>
                <w:rFonts w:hint="eastAsia" w:cs="宋体"/>
                <w:color w:val="auto"/>
                <w:kern w:val="2"/>
                <w:sz w:val="21"/>
                <w:szCs w:val="21"/>
                <w:highlight w:val="none"/>
                <w:lang w:val="en-US" w:eastAsia="zh-CN" w:bidi="ar-SA"/>
              </w:rPr>
              <w:t>；②成品保护措施；③</w:t>
            </w:r>
            <w:r>
              <w:rPr>
                <w:rFonts w:hint="eastAsia" w:ascii="宋体" w:hAnsi="宋体" w:eastAsia="宋体" w:cs="宋体"/>
                <w:color w:val="auto"/>
                <w:kern w:val="2"/>
                <w:sz w:val="21"/>
                <w:szCs w:val="21"/>
                <w:highlight w:val="none"/>
                <w:lang w:val="en-US" w:eastAsia="zh-CN" w:bidi="ar-SA"/>
              </w:rPr>
              <w:t>安装调试</w:t>
            </w:r>
            <w:r>
              <w:rPr>
                <w:rFonts w:hint="eastAsia" w:cs="宋体"/>
                <w:color w:val="auto"/>
                <w:kern w:val="2"/>
                <w:sz w:val="21"/>
                <w:szCs w:val="21"/>
                <w:highlight w:val="none"/>
                <w:lang w:val="en-US" w:eastAsia="zh-CN" w:bidi="ar-SA"/>
              </w:rPr>
              <w:t>；④</w:t>
            </w:r>
            <w:r>
              <w:rPr>
                <w:rFonts w:hint="eastAsia" w:ascii="宋体" w:hAnsi="宋体" w:eastAsia="宋体" w:cs="宋体"/>
                <w:color w:val="auto"/>
                <w:kern w:val="2"/>
                <w:sz w:val="21"/>
                <w:szCs w:val="21"/>
                <w:highlight w:val="none"/>
                <w:lang w:val="en-US" w:eastAsia="zh-CN" w:bidi="ar-SA"/>
              </w:rPr>
              <w:t>安全措施</w:t>
            </w:r>
            <w:r>
              <w:rPr>
                <w:rFonts w:hint="eastAsia" w:cs="宋体"/>
                <w:color w:val="auto"/>
                <w:kern w:val="2"/>
                <w:sz w:val="21"/>
                <w:szCs w:val="21"/>
                <w:highlight w:val="none"/>
                <w:lang w:val="en-US" w:eastAsia="zh-CN" w:bidi="ar-SA"/>
              </w:rPr>
              <w:t>；⑤</w:t>
            </w:r>
            <w:r>
              <w:rPr>
                <w:rFonts w:hint="eastAsia" w:ascii="宋体" w:hAnsi="宋体" w:eastAsia="宋体" w:cs="宋体"/>
                <w:color w:val="auto"/>
                <w:kern w:val="2"/>
                <w:sz w:val="21"/>
                <w:szCs w:val="21"/>
                <w:highlight w:val="none"/>
                <w:lang w:val="en-US" w:eastAsia="zh-CN" w:bidi="ar-SA"/>
              </w:rPr>
              <w:t>环保管控</w:t>
            </w:r>
            <w:r>
              <w:rPr>
                <w:rFonts w:hint="eastAsia" w:cs="宋体"/>
                <w:color w:val="auto"/>
                <w:kern w:val="2"/>
                <w:sz w:val="21"/>
                <w:szCs w:val="21"/>
                <w:highlight w:val="none"/>
                <w:lang w:val="en-US" w:eastAsia="zh-CN" w:bidi="ar-SA"/>
              </w:rPr>
              <w:t>；⑥</w:t>
            </w:r>
            <w:r>
              <w:rPr>
                <w:rFonts w:hint="eastAsia" w:ascii="宋体" w:hAnsi="宋体" w:eastAsia="宋体" w:cs="宋体"/>
                <w:color w:val="auto"/>
                <w:kern w:val="2"/>
                <w:sz w:val="21"/>
                <w:szCs w:val="21"/>
                <w:highlight w:val="none"/>
                <w:lang w:val="en-US" w:eastAsia="zh-CN" w:bidi="ar-SA"/>
              </w:rPr>
              <w:t>验收方案</w:t>
            </w:r>
            <w:r>
              <w:rPr>
                <w:rFonts w:hint="eastAsia" w:cs="宋体"/>
                <w:color w:val="auto"/>
                <w:kern w:val="2"/>
                <w:sz w:val="21"/>
                <w:szCs w:val="21"/>
                <w:highlight w:val="none"/>
                <w:lang w:val="en-US" w:eastAsia="zh-CN" w:bidi="ar-SA"/>
              </w:rPr>
              <w:t>6</w:t>
            </w:r>
            <w:r>
              <w:rPr>
                <w:rFonts w:hint="eastAsia" w:ascii="宋体" w:hAnsi="宋体" w:eastAsia="宋体" w:cs="宋体"/>
                <w:color w:val="auto"/>
                <w:kern w:val="2"/>
                <w:sz w:val="21"/>
                <w:szCs w:val="21"/>
                <w:highlight w:val="none"/>
                <w:lang w:val="en-US" w:eastAsia="zh-CN" w:bidi="ar-SA"/>
              </w:rPr>
              <w:t>项评分；</w:t>
            </w:r>
            <w:r>
              <w:rPr>
                <w:rFonts w:hint="eastAsia" w:ascii="宋体" w:hAnsi="宋体" w:cs="宋体"/>
                <w:b w:val="0"/>
                <w:bCs w:val="0"/>
                <w:color w:val="auto"/>
                <w:kern w:val="0"/>
                <w:sz w:val="21"/>
                <w:szCs w:val="21"/>
                <w:highlight w:val="none"/>
                <w:lang w:val="en-US" w:eastAsia="zh-CN" w:bidi="ar-SA"/>
              </w:rPr>
              <w:t xml:space="preserve">符合项目实际需求得6分，每缺少一项扣1分，每有一处缺陷扣0.5分，扣完为止。 </w:t>
            </w:r>
          </w:p>
          <w:p w14:paraId="3821D940">
            <w:pPr>
              <w:pStyle w:val="50"/>
              <w:spacing w:line="360" w:lineRule="auto"/>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注：缺陷是指：方案内容与项目实际情况不符或与相对应评分标准不符、套用其他项目方案或存在明显与本项目无关的文字内容、内容前后矛盾或存在逻辑错误或表述错误或科学原理错误或涉及的规范及标准错误、存在不可能实现的情形等任意一种情形。未提供不得分。</w:t>
            </w:r>
          </w:p>
        </w:tc>
      </w:tr>
      <w:tr w14:paraId="10782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1254" w:type="pct"/>
            <w:gridSpan w:val="2"/>
            <w:vAlign w:val="center"/>
          </w:tcPr>
          <w:p w14:paraId="1F1436FF">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532" w:type="pct"/>
            <w:tcBorders>
              <w:bottom w:val="single" w:color="auto" w:sz="4" w:space="0"/>
            </w:tcBorders>
            <w:vAlign w:val="center"/>
          </w:tcPr>
          <w:p w14:paraId="2C7F1184">
            <w:pPr>
              <w:pStyle w:val="5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=SUM(ABOVE)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lang w:val="en-US" w:eastAsia="zh-CN"/>
              </w:rPr>
              <w:t>分</w:t>
            </w:r>
          </w:p>
        </w:tc>
        <w:tc>
          <w:tcPr>
            <w:tcW w:w="3213" w:type="pct"/>
            <w:tcBorders>
              <w:bottom w:val="single" w:color="auto" w:sz="4" w:space="0"/>
            </w:tcBorders>
            <w:vAlign w:val="center"/>
          </w:tcPr>
          <w:p w14:paraId="7EBD69F8">
            <w:pPr>
              <w:pStyle w:val="50"/>
              <w:rPr>
                <w:rFonts w:hint="eastAsia" w:ascii="宋体" w:hAnsi="宋体" w:eastAsia="宋体" w:cs="宋体"/>
                <w:color w:val="auto"/>
                <w:sz w:val="21"/>
                <w:szCs w:val="21"/>
                <w:highlight w:val="none"/>
              </w:rPr>
            </w:pPr>
          </w:p>
        </w:tc>
      </w:tr>
    </w:tbl>
    <w:p w14:paraId="3DB1943D">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jc w:val="both"/>
        <w:textAlignment w:val="auto"/>
        <w:rPr>
          <w:rFonts w:hint="eastAsia" w:ascii="宋体" w:hAnsi="宋体" w:eastAsia="宋体" w:cs="宋体"/>
          <w:b/>
          <w:bCs/>
          <w:color w:val="auto"/>
          <w:kern w:val="44"/>
          <w:sz w:val="36"/>
          <w:szCs w:val="36"/>
          <w:highlight w:val="none"/>
          <w:lang w:val="zh-CN" w:eastAsia="zh-CN" w:bidi="ar-SA"/>
        </w:rPr>
      </w:pPr>
      <w:bookmarkStart w:id="312" w:name="_Toc155185918"/>
      <w:bookmarkStart w:id="313" w:name="_Toc163492912"/>
    </w:p>
    <w:p w14:paraId="7EF0C5E0">
      <w:pPr>
        <w:rPr>
          <w:rFonts w:hint="eastAsia" w:ascii="宋体" w:hAnsi="宋体" w:eastAsia="宋体" w:cs="宋体"/>
          <w:b/>
          <w:bCs/>
          <w:color w:val="auto"/>
          <w:kern w:val="44"/>
          <w:sz w:val="36"/>
          <w:szCs w:val="36"/>
          <w:highlight w:val="none"/>
          <w:lang w:val="zh-CN" w:eastAsia="zh-CN" w:bidi="ar-SA"/>
        </w:rPr>
      </w:pPr>
    </w:p>
    <w:p w14:paraId="0D295B41">
      <w:pPr>
        <w:pStyle w:val="19"/>
        <w:bidi w:val="0"/>
        <w:rPr>
          <w:rFonts w:hint="eastAsia"/>
          <w:lang w:val="zh-CN" w:eastAsia="zh-CN"/>
        </w:rPr>
      </w:pPr>
    </w:p>
    <w:p w14:paraId="2EC2B38C">
      <w:pPr>
        <w:pStyle w:val="21"/>
        <w:rPr>
          <w:rFonts w:hint="eastAsia"/>
          <w:lang w:val="zh-CN" w:eastAsia="zh-CN"/>
        </w:rPr>
      </w:pPr>
    </w:p>
    <w:p w14:paraId="3C23CFB0">
      <w:pPr>
        <w:pStyle w:val="21"/>
        <w:rPr>
          <w:rFonts w:hint="eastAsia" w:ascii="宋体" w:hAnsi="宋体" w:eastAsia="宋体" w:cs="宋体"/>
          <w:b/>
          <w:bCs/>
          <w:color w:val="auto"/>
          <w:kern w:val="44"/>
          <w:sz w:val="36"/>
          <w:szCs w:val="36"/>
          <w:highlight w:val="none"/>
          <w:lang w:val="zh-CN" w:eastAsia="zh-CN" w:bidi="ar-SA"/>
        </w:rPr>
      </w:pPr>
    </w:p>
    <w:p w14:paraId="69DE7806">
      <w:pPr>
        <w:pStyle w:val="21"/>
        <w:rPr>
          <w:rFonts w:hint="eastAsia" w:ascii="宋体" w:hAnsi="宋体" w:eastAsia="宋体" w:cs="宋体"/>
          <w:b/>
          <w:bCs/>
          <w:color w:val="auto"/>
          <w:kern w:val="44"/>
          <w:sz w:val="36"/>
          <w:szCs w:val="36"/>
          <w:highlight w:val="none"/>
          <w:lang w:val="zh-CN" w:eastAsia="zh-CN" w:bidi="ar-SA"/>
        </w:rPr>
      </w:pPr>
    </w:p>
    <w:p w14:paraId="67AF361A">
      <w:pPr>
        <w:pStyle w:val="21"/>
        <w:rPr>
          <w:rFonts w:hint="eastAsia" w:ascii="宋体" w:hAnsi="宋体" w:eastAsia="宋体" w:cs="宋体"/>
          <w:b/>
          <w:bCs/>
          <w:color w:val="auto"/>
          <w:kern w:val="44"/>
          <w:sz w:val="36"/>
          <w:szCs w:val="36"/>
          <w:highlight w:val="none"/>
          <w:lang w:val="zh-CN" w:eastAsia="zh-CN" w:bidi="ar-SA"/>
        </w:rPr>
      </w:pPr>
    </w:p>
    <w:p w14:paraId="6620D02A">
      <w:pPr>
        <w:pStyle w:val="21"/>
        <w:rPr>
          <w:rFonts w:hint="eastAsia" w:ascii="宋体" w:hAnsi="宋体" w:eastAsia="宋体" w:cs="宋体"/>
          <w:b/>
          <w:bCs/>
          <w:color w:val="auto"/>
          <w:kern w:val="44"/>
          <w:sz w:val="36"/>
          <w:szCs w:val="36"/>
          <w:highlight w:val="none"/>
          <w:lang w:val="zh-CN" w:eastAsia="zh-CN" w:bidi="ar-SA"/>
        </w:rPr>
      </w:pPr>
    </w:p>
    <w:p w14:paraId="7706B06F">
      <w:pPr>
        <w:pStyle w:val="21"/>
        <w:rPr>
          <w:rFonts w:hint="eastAsia" w:ascii="宋体" w:hAnsi="宋体" w:eastAsia="宋体" w:cs="宋体"/>
          <w:b/>
          <w:bCs/>
          <w:color w:val="auto"/>
          <w:kern w:val="44"/>
          <w:sz w:val="36"/>
          <w:szCs w:val="36"/>
          <w:highlight w:val="none"/>
          <w:lang w:val="zh-CN" w:eastAsia="zh-CN" w:bidi="ar-SA"/>
        </w:rPr>
      </w:pPr>
    </w:p>
    <w:p w14:paraId="3F46A14A">
      <w:pPr>
        <w:pStyle w:val="21"/>
        <w:rPr>
          <w:rFonts w:hint="eastAsia" w:ascii="宋体" w:hAnsi="宋体" w:eastAsia="宋体" w:cs="宋体"/>
          <w:b/>
          <w:bCs/>
          <w:color w:val="auto"/>
          <w:kern w:val="44"/>
          <w:sz w:val="36"/>
          <w:szCs w:val="36"/>
          <w:highlight w:val="none"/>
          <w:lang w:val="zh-CN" w:eastAsia="zh-CN" w:bidi="ar-SA"/>
        </w:rPr>
      </w:pPr>
    </w:p>
    <w:p w14:paraId="69DFF215">
      <w:pPr>
        <w:pStyle w:val="21"/>
        <w:rPr>
          <w:rFonts w:hint="eastAsia" w:ascii="宋体" w:hAnsi="宋体" w:eastAsia="宋体" w:cs="宋体"/>
          <w:b/>
          <w:bCs/>
          <w:color w:val="auto"/>
          <w:kern w:val="44"/>
          <w:sz w:val="36"/>
          <w:szCs w:val="36"/>
          <w:highlight w:val="none"/>
          <w:lang w:val="zh-CN" w:eastAsia="zh-CN" w:bidi="ar-SA"/>
        </w:rPr>
      </w:pPr>
    </w:p>
    <w:p w14:paraId="102F1514">
      <w:pPr>
        <w:pStyle w:val="21"/>
        <w:rPr>
          <w:rFonts w:hint="eastAsia" w:ascii="宋体" w:hAnsi="宋体" w:eastAsia="宋体" w:cs="宋体"/>
          <w:b/>
          <w:bCs/>
          <w:color w:val="auto"/>
          <w:kern w:val="44"/>
          <w:sz w:val="36"/>
          <w:szCs w:val="36"/>
          <w:highlight w:val="none"/>
          <w:lang w:val="zh-CN" w:eastAsia="zh-CN" w:bidi="ar-SA"/>
        </w:rPr>
      </w:pPr>
    </w:p>
    <w:p w14:paraId="54C87150">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zh-CN" w:eastAsia="zh-CN" w:bidi="ar-SA"/>
        </w:rPr>
      </w:pPr>
      <w:bookmarkStart w:id="314" w:name="_Toc23323"/>
      <w:r>
        <w:rPr>
          <w:rFonts w:hint="eastAsia" w:ascii="宋体" w:hAnsi="宋体" w:eastAsia="宋体" w:cs="宋体"/>
          <w:b/>
          <w:bCs/>
          <w:color w:val="auto"/>
          <w:kern w:val="44"/>
          <w:sz w:val="36"/>
          <w:szCs w:val="36"/>
          <w:highlight w:val="none"/>
          <w:lang w:val="zh-CN" w:eastAsia="zh-CN" w:bidi="ar-SA"/>
        </w:rPr>
        <w:t>第六章 合同</w:t>
      </w:r>
      <w:bookmarkEnd w:id="312"/>
      <w:r>
        <w:rPr>
          <w:rFonts w:hint="eastAsia" w:ascii="宋体" w:hAnsi="宋体" w:eastAsia="宋体" w:cs="宋体"/>
          <w:b/>
          <w:bCs/>
          <w:color w:val="auto"/>
          <w:kern w:val="44"/>
          <w:sz w:val="36"/>
          <w:szCs w:val="36"/>
          <w:highlight w:val="none"/>
          <w:lang w:val="zh-CN" w:eastAsia="zh-CN" w:bidi="ar-SA"/>
        </w:rPr>
        <w:t>草案</w:t>
      </w:r>
      <w:bookmarkEnd w:id="313"/>
      <w:bookmarkEnd w:id="314"/>
    </w:p>
    <w:p w14:paraId="290EAE22">
      <w:pPr>
        <w:rPr>
          <w:color w:val="auto"/>
          <w:highlight w:val="none"/>
          <w:lang w:val="zh-CN"/>
        </w:rPr>
      </w:pPr>
    </w:p>
    <w:p w14:paraId="0F73DEB3">
      <w:pPr>
        <w:wordWrap w:val="0"/>
        <w:jc w:val="center"/>
        <w:rPr>
          <w:rFonts w:hint="eastAsia" w:eastAsia="宋体"/>
          <w:bCs/>
          <w:color w:val="auto"/>
          <w:sz w:val="24"/>
          <w:szCs w:val="24"/>
          <w:highlight w:val="none"/>
          <w:lang w:eastAsia="zh-CN"/>
        </w:rPr>
      </w:pPr>
      <w:r>
        <w:rPr>
          <w:rFonts w:hint="eastAsia"/>
          <w:color w:val="auto"/>
          <w:sz w:val="24"/>
          <w:szCs w:val="24"/>
          <w:highlight w:val="none"/>
          <w:lang w:eastAsia="zh-CN"/>
        </w:rPr>
        <w:t>【</w:t>
      </w:r>
      <w:r>
        <w:rPr>
          <w:rFonts w:hint="eastAsia"/>
          <w:color w:val="auto"/>
          <w:sz w:val="24"/>
          <w:szCs w:val="24"/>
          <w:highlight w:val="none"/>
        </w:rPr>
        <w:t>此合同书仅作为签订正式合同时的参考，正式合同书应包括本参考格式的内容</w:t>
      </w:r>
      <w:r>
        <w:rPr>
          <w:rFonts w:hint="eastAsia"/>
          <w:color w:val="auto"/>
          <w:sz w:val="24"/>
          <w:szCs w:val="24"/>
          <w:highlight w:val="none"/>
          <w:lang w:eastAsia="zh-CN"/>
        </w:rPr>
        <w:t>】</w:t>
      </w:r>
    </w:p>
    <w:p w14:paraId="51E629DD">
      <w:pPr>
        <w:wordWrap w:val="0"/>
        <w:rPr>
          <w:bCs/>
          <w:color w:val="auto"/>
          <w:sz w:val="24"/>
          <w:szCs w:val="24"/>
          <w:highlight w:val="none"/>
        </w:rPr>
      </w:pPr>
      <w:r>
        <w:rPr>
          <w:rFonts w:hint="eastAsia" w:cs="Helvetica"/>
          <w:bCs/>
          <w:color w:val="auto"/>
          <w:sz w:val="24"/>
          <w:szCs w:val="24"/>
          <w:highlight w:val="none"/>
          <w:lang w:val="zh-CN"/>
        </w:rPr>
        <w:t>合同编号：</w:t>
      </w:r>
      <w:r>
        <w:rPr>
          <w:rFonts w:hint="eastAsia" w:cs="Helvetica"/>
          <w:bCs/>
          <w:color w:val="auto"/>
          <w:sz w:val="24"/>
          <w:szCs w:val="24"/>
          <w:highlight w:val="none"/>
          <w:u w:val="single"/>
        </w:rPr>
        <w:t xml:space="preserve">              </w:t>
      </w:r>
    </w:p>
    <w:p w14:paraId="453FD5DE">
      <w:pPr>
        <w:pStyle w:val="13"/>
        <w:spacing w:after="0"/>
        <w:jc w:val="center"/>
        <w:rPr>
          <w:rFonts w:ascii="宋体" w:hAnsi="宋体" w:cs="宋体"/>
          <w:b/>
          <w:bCs/>
          <w:color w:val="auto"/>
          <w:spacing w:val="-20"/>
          <w:kern w:val="44"/>
          <w:sz w:val="48"/>
          <w:szCs w:val="48"/>
          <w:highlight w:val="none"/>
        </w:rPr>
      </w:pPr>
      <w:bookmarkStart w:id="315" w:name="_Toc3995"/>
    </w:p>
    <w:p w14:paraId="4DD54709">
      <w:pPr>
        <w:pStyle w:val="13"/>
        <w:spacing w:after="0"/>
        <w:jc w:val="center"/>
        <w:rPr>
          <w:rFonts w:ascii="宋体" w:hAnsi="宋体" w:cs="宋体"/>
          <w:b/>
          <w:bCs/>
          <w:color w:val="auto"/>
          <w:spacing w:val="-20"/>
          <w:kern w:val="44"/>
          <w:sz w:val="48"/>
          <w:szCs w:val="48"/>
          <w:highlight w:val="none"/>
        </w:rPr>
      </w:pPr>
    </w:p>
    <w:p w14:paraId="1471AFF4">
      <w:pPr>
        <w:pStyle w:val="13"/>
        <w:spacing w:after="0"/>
        <w:jc w:val="center"/>
        <w:rPr>
          <w:rFonts w:ascii="宋体" w:hAnsi="宋体" w:cs="宋体"/>
          <w:b/>
          <w:bCs/>
          <w:color w:val="auto"/>
          <w:spacing w:val="-20"/>
          <w:kern w:val="44"/>
          <w:sz w:val="48"/>
          <w:szCs w:val="48"/>
          <w:highlight w:val="none"/>
        </w:rPr>
      </w:pPr>
    </w:p>
    <w:p w14:paraId="71BEC943">
      <w:pPr>
        <w:pStyle w:val="13"/>
        <w:spacing w:after="0"/>
        <w:jc w:val="center"/>
        <w:rPr>
          <w:rFonts w:hint="eastAsia" w:ascii="宋体" w:hAnsi="宋体" w:eastAsia="宋体" w:cs="宋体"/>
          <w:b/>
          <w:bCs/>
          <w:color w:val="auto"/>
          <w:spacing w:val="-20"/>
          <w:kern w:val="44"/>
          <w:sz w:val="44"/>
          <w:szCs w:val="44"/>
          <w:highlight w:val="none"/>
        </w:rPr>
      </w:pPr>
      <w:r>
        <w:rPr>
          <w:rFonts w:hint="eastAsia" w:ascii="宋体" w:hAnsi="宋体" w:eastAsia="宋体" w:cs="宋体"/>
          <w:b/>
          <w:bCs/>
          <w:color w:val="auto"/>
          <w:spacing w:val="-20"/>
          <w:kern w:val="44"/>
          <w:sz w:val="44"/>
          <w:szCs w:val="44"/>
          <w:highlight w:val="none"/>
        </w:rPr>
        <w:t>政府采购</w:t>
      </w:r>
      <w:r>
        <w:rPr>
          <w:rFonts w:hint="eastAsia" w:ascii="宋体" w:hAnsi="宋体" w:eastAsia="宋体" w:cs="宋体"/>
          <w:b/>
          <w:bCs/>
          <w:color w:val="auto"/>
          <w:spacing w:val="-20"/>
          <w:kern w:val="44"/>
          <w:sz w:val="44"/>
          <w:szCs w:val="44"/>
          <w:highlight w:val="none"/>
          <w:lang w:eastAsia="zh-CN"/>
        </w:rPr>
        <w:t>货物买卖</w:t>
      </w:r>
      <w:r>
        <w:rPr>
          <w:rFonts w:hint="eastAsia" w:ascii="宋体" w:hAnsi="宋体" w:eastAsia="宋体" w:cs="宋体"/>
          <w:b/>
          <w:bCs/>
          <w:color w:val="auto"/>
          <w:spacing w:val="-20"/>
          <w:kern w:val="44"/>
          <w:sz w:val="44"/>
          <w:szCs w:val="44"/>
          <w:highlight w:val="none"/>
        </w:rPr>
        <w:t>合同</w:t>
      </w:r>
    </w:p>
    <w:p w14:paraId="2D8DEEA6">
      <w:pPr>
        <w:pStyle w:val="13"/>
        <w:spacing w:after="0"/>
        <w:jc w:val="center"/>
        <w:rPr>
          <w:rFonts w:hint="eastAsia" w:ascii="宋体" w:hAnsi="宋体" w:eastAsia="宋体" w:cs="宋体"/>
          <w:b/>
          <w:bCs/>
          <w:color w:val="auto"/>
          <w:spacing w:val="-20"/>
          <w:kern w:val="44"/>
          <w:sz w:val="44"/>
          <w:szCs w:val="44"/>
          <w:highlight w:val="none"/>
          <w:lang w:eastAsia="zh-CN"/>
        </w:rPr>
      </w:pPr>
      <w:r>
        <w:rPr>
          <w:rFonts w:hint="eastAsia" w:ascii="宋体" w:hAnsi="宋体" w:eastAsia="宋体" w:cs="宋体"/>
          <w:b/>
          <w:bCs/>
          <w:color w:val="auto"/>
          <w:spacing w:val="-20"/>
          <w:kern w:val="44"/>
          <w:sz w:val="44"/>
          <w:szCs w:val="44"/>
          <w:highlight w:val="none"/>
          <w:lang w:eastAsia="zh-CN"/>
        </w:rPr>
        <w:t>（试行）</w:t>
      </w:r>
    </w:p>
    <w:p w14:paraId="6894012D">
      <w:pPr>
        <w:rPr>
          <w:rFonts w:ascii="宋体" w:hAnsi="宋体" w:cs="宋体"/>
          <w:b/>
          <w:bCs/>
          <w:color w:val="auto"/>
          <w:spacing w:val="-20"/>
          <w:kern w:val="44"/>
          <w:sz w:val="40"/>
          <w:szCs w:val="40"/>
          <w:highlight w:val="none"/>
        </w:rPr>
      </w:pPr>
    </w:p>
    <w:p w14:paraId="1F202B9E">
      <w:pPr>
        <w:rPr>
          <w:rFonts w:ascii="宋体" w:hAnsi="宋体" w:cs="宋体"/>
          <w:b/>
          <w:bCs/>
          <w:color w:val="auto"/>
          <w:spacing w:val="-20"/>
          <w:kern w:val="44"/>
          <w:sz w:val="40"/>
          <w:szCs w:val="40"/>
          <w:highlight w:val="none"/>
        </w:rPr>
      </w:pPr>
    </w:p>
    <w:p w14:paraId="081AFCCE">
      <w:pPr>
        <w:rPr>
          <w:rFonts w:ascii="宋体" w:hAnsi="宋体" w:cs="宋体"/>
          <w:b/>
          <w:bCs/>
          <w:color w:val="auto"/>
          <w:spacing w:val="-20"/>
          <w:kern w:val="44"/>
          <w:sz w:val="40"/>
          <w:szCs w:val="40"/>
          <w:highlight w:val="none"/>
        </w:rPr>
      </w:pPr>
    </w:p>
    <w:p w14:paraId="6673C93A">
      <w:pPr>
        <w:spacing w:line="360" w:lineRule="auto"/>
        <w:ind w:left="480" w:leftChars="200"/>
        <w:rPr>
          <w:color w:val="auto"/>
          <w:sz w:val="36"/>
          <w:szCs w:val="36"/>
          <w:highlight w:val="none"/>
        </w:rPr>
      </w:pPr>
      <w:r>
        <w:rPr>
          <w:rFonts w:hint="eastAsia" w:ascii="宋体" w:hAnsi="宋体" w:cs="宋体"/>
          <w:color w:val="auto"/>
          <w:kern w:val="0"/>
          <w:sz w:val="36"/>
          <w:szCs w:val="36"/>
          <w:highlight w:val="none"/>
        </w:rPr>
        <w:t>项目名称：</w:t>
      </w:r>
      <w:r>
        <w:rPr>
          <w:rFonts w:hint="eastAsia"/>
          <w:color w:val="auto"/>
          <w:sz w:val="36"/>
          <w:szCs w:val="36"/>
          <w:highlight w:val="none"/>
          <w:u w:val="single"/>
        </w:rPr>
        <w:t xml:space="preserve">                             </w:t>
      </w:r>
    </w:p>
    <w:p w14:paraId="3AA2BFC4">
      <w:pPr>
        <w:spacing w:line="360" w:lineRule="auto"/>
        <w:ind w:left="480" w:leftChars="200"/>
        <w:rPr>
          <w:color w:val="auto"/>
          <w:sz w:val="36"/>
          <w:szCs w:val="36"/>
          <w:highlight w:val="none"/>
          <w:u w:val="single"/>
        </w:rPr>
      </w:pPr>
      <w:r>
        <w:rPr>
          <w:rFonts w:hint="eastAsia"/>
          <w:color w:val="auto"/>
          <w:sz w:val="36"/>
          <w:szCs w:val="36"/>
          <w:highlight w:val="none"/>
        </w:rPr>
        <w:t>合同编号：</w:t>
      </w:r>
      <w:r>
        <w:rPr>
          <w:rFonts w:hint="eastAsia"/>
          <w:color w:val="auto"/>
          <w:sz w:val="36"/>
          <w:szCs w:val="36"/>
          <w:highlight w:val="none"/>
          <w:u w:val="single"/>
        </w:rPr>
        <w:t xml:space="preserve">                             </w:t>
      </w:r>
    </w:p>
    <w:p w14:paraId="17A8F806">
      <w:pPr>
        <w:spacing w:line="360" w:lineRule="auto"/>
        <w:ind w:left="480" w:leftChars="200"/>
        <w:rPr>
          <w:color w:val="auto"/>
          <w:sz w:val="36"/>
          <w:szCs w:val="36"/>
          <w:highlight w:val="none"/>
        </w:rPr>
      </w:pPr>
      <w:r>
        <w:rPr>
          <w:rFonts w:hint="eastAsia"/>
          <w:color w:val="auto"/>
          <w:sz w:val="36"/>
          <w:szCs w:val="36"/>
          <w:highlight w:val="none"/>
        </w:rPr>
        <w:t>甲    方：</w:t>
      </w:r>
      <w:r>
        <w:rPr>
          <w:rFonts w:hint="eastAsia"/>
          <w:color w:val="auto"/>
          <w:sz w:val="36"/>
          <w:szCs w:val="36"/>
          <w:highlight w:val="none"/>
          <w:u w:val="single"/>
        </w:rPr>
        <w:t xml:space="preserve">                             </w:t>
      </w:r>
    </w:p>
    <w:p w14:paraId="5A1FCD07">
      <w:pPr>
        <w:spacing w:line="360" w:lineRule="auto"/>
        <w:ind w:left="480" w:leftChars="200"/>
        <w:rPr>
          <w:color w:val="auto"/>
          <w:sz w:val="36"/>
          <w:szCs w:val="36"/>
          <w:highlight w:val="none"/>
          <w:u w:val="single"/>
        </w:rPr>
      </w:pPr>
      <w:r>
        <w:rPr>
          <w:rFonts w:hint="eastAsia"/>
          <w:color w:val="auto"/>
          <w:sz w:val="36"/>
          <w:szCs w:val="36"/>
          <w:highlight w:val="none"/>
        </w:rPr>
        <w:t>乙    方：</w:t>
      </w:r>
      <w:r>
        <w:rPr>
          <w:rFonts w:hint="eastAsia"/>
          <w:color w:val="auto"/>
          <w:sz w:val="36"/>
          <w:szCs w:val="36"/>
          <w:highlight w:val="none"/>
          <w:u w:val="single"/>
        </w:rPr>
        <w:t xml:space="preserve">                             </w:t>
      </w:r>
    </w:p>
    <w:p w14:paraId="772DCE52">
      <w:pPr>
        <w:spacing w:line="360" w:lineRule="auto"/>
        <w:ind w:left="480" w:leftChars="200"/>
        <w:rPr>
          <w:color w:val="auto"/>
          <w:sz w:val="36"/>
          <w:szCs w:val="36"/>
          <w:highlight w:val="none"/>
        </w:rPr>
      </w:pPr>
      <w:r>
        <w:rPr>
          <w:rFonts w:hint="eastAsia"/>
          <w:color w:val="auto"/>
          <w:sz w:val="36"/>
          <w:szCs w:val="36"/>
          <w:highlight w:val="none"/>
        </w:rPr>
        <w:t>签订时间：</w:t>
      </w:r>
      <w:r>
        <w:rPr>
          <w:rFonts w:hint="eastAsia"/>
          <w:color w:val="auto"/>
          <w:sz w:val="36"/>
          <w:szCs w:val="36"/>
          <w:highlight w:val="none"/>
          <w:u w:val="single"/>
        </w:rPr>
        <w:t xml:space="preserve">      </w:t>
      </w:r>
      <w:r>
        <w:rPr>
          <w:color w:val="auto"/>
          <w:sz w:val="36"/>
          <w:szCs w:val="36"/>
          <w:highlight w:val="none"/>
          <w:u w:val="single"/>
        </w:rPr>
        <w:t xml:space="preserve">           </w:t>
      </w:r>
      <w:r>
        <w:rPr>
          <w:rFonts w:hint="eastAsia"/>
          <w:color w:val="auto"/>
          <w:sz w:val="36"/>
          <w:szCs w:val="36"/>
          <w:highlight w:val="none"/>
          <w:u w:val="single"/>
        </w:rPr>
        <w:t xml:space="preserve">            </w:t>
      </w:r>
    </w:p>
    <w:p w14:paraId="15CE477A">
      <w:pPr>
        <w:rPr>
          <w:color w:val="auto"/>
          <w:highlight w:val="none"/>
        </w:rPr>
      </w:pPr>
    </w:p>
    <w:p w14:paraId="6DC7E545">
      <w:pPr>
        <w:rPr>
          <w:rFonts w:eastAsia="黑体"/>
          <w:color w:val="auto"/>
          <w:sz w:val="44"/>
          <w:szCs w:val="44"/>
          <w:highlight w:val="none"/>
        </w:rPr>
      </w:pPr>
      <w:r>
        <w:rPr>
          <w:rFonts w:eastAsia="黑体"/>
          <w:color w:val="auto"/>
          <w:sz w:val="44"/>
          <w:szCs w:val="44"/>
          <w:highlight w:val="none"/>
        </w:rPr>
        <w:br w:type="page"/>
      </w:r>
    </w:p>
    <w:p w14:paraId="248E6903">
      <w:pPr>
        <w:rPr>
          <w:rFonts w:eastAsia="黑体"/>
          <w:color w:val="auto"/>
          <w:sz w:val="44"/>
          <w:szCs w:val="44"/>
          <w:highlight w:val="none"/>
        </w:rPr>
      </w:pPr>
    </w:p>
    <w:p w14:paraId="4A7C638C">
      <w:pPr>
        <w:jc w:val="center"/>
        <w:rPr>
          <w:rFonts w:hint="eastAsia" w:ascii="宋体" w:hAnsi="宋体" w:eastAsia="宋体" w:cs="宋体"/>
          <w:b/>
          <w:bCs/>
          <w:color w:val="auto"/>
          <w:sz w:val="36"/>
          <w:szCs w:val="36"/>
          <w:highlight w:val="none"/>
          <w:lang w:eastAsia="zh-CN"/>
        </w:rPr>
      </w:pPr>
      <w:r>
        <w:rPr>
          <w:rFonts w:hint="eastAsia" w:ascii="宋体" w:hAnsi="宋体" w:eastAsia="宋体" w:cs="宋体"/>
          <w:b/>
          <w:bCs/>
          <w:color w:val="auto"/>
          <w:sz w:val="36"/>
          <w:szCs w:val="36"/>
          <w:highlight w:val="none"/>
          <w:lang w:eastAsia="zh-CN"/>
        </w:rPr>
        <w:t>使</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lang w:eastAsia="zh-CN"/>
        </w:rPr>
        <w:t>用</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lang w:eastAsia="zh-CN"/>
        </w:rPr>
        <w:t>说</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lang w:eastAsia="zh-CN"/>
        </w:rPr>
        <w:t>明</w:t>
      </w:r>
    </w:p>
    <w:p w14:paraId="6B592E2F">
      <w:pPr>
        <w:ind w:firstLine="640" w:firstLineChars="200"/>
        <w:rPr>
          <w:rFonts w:hint="eastAsia" w:ascii="仿宋_GB2312" w:hAnsi="仿宋_GB2312" w:eastAsia="仿宋_GB2312" w:cs="仿宋_GB2312"/>
          <w:color w:val="auto"/>
          <w:sz w:val="32"/>
          <w:szCs w:val="32"/>
          <w:highlight w:val="none"/>
          <w:lang w:val="en-US" w:eastAsia="zh-CN"/>
        </w:rPr>
      </w:pPr>
    </w:p>
    <w:p w14:paraId="3CAECAF9">
      <w:pPr>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1.本合同标准文本适用于购买现成货物的采购项目，不包括需要供应商定制开发、创新研发的货物采购项目。</w:t>
      </w:r>
    </w:p>
    <w:p w14:paraId="2627C031">
      <w:pPr>
        <w:ind w:firstLine="0" w:firstLineChars="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 xml:space="preserve">    2.本合同标准文本为政府采购货物买卖合同编制提供参考，可以结合采购项目具体情况，对文本作必要的调整修订后使用。</w:t>
      </w:r>
    </w:p>
    <w:p w14:paraId="1C280F5C">
      <w:pPr>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3.本合同标准文本各条款中，如涉及填写多家供应商、制造商，多种采购标的、分包主要内容等信息的，可根据采购项目具体情况添加信息项。</w:t>
      </w:r>
    </w:p>
    <w:p w14:paraId="61BB5935">
      <w:pPr>
        <w:ind w:firstLine="560" w:firstLineChars="200"/>
        <w:jc w:val="both"/>
        <w:rPr>
          <w:rFonts w:hint="eastAsia" w:ascii="宋体" w:hAnsi="宋体" w:eastAsia="宋体" w:cs="宋体"/>
          <w:color w:val="auto"/>
          <w:sz w:val="28"/>
          <w:szCs w:val="28"/>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bookmarkEnd w:id="315"/>
    <w:p w14:paraId="3276BAC0">
      <w:pPr>
        <w:pStyle w:val="3"/>
        <w:adjustRightInd w:val="0"/>
        <w:snapToGrid w:val="0"/>
        <w:spacing w:beforeLines="0" w:line="400" w:lineRule="exact"/>
        <w:jc w:val="center"/>
        <w:rPr>
          <w:rFonts w:hint="eastAsia" w:ascii="宋体" w:hAnsi="宋体" w:eastAsia="宋体" w:cs="宋体"/>
          <w:b/>
          <w:bCs/>
          <w:color w:val="auto"/>
          <w:sz w:val="36"/>
          <w:szCs w:val="36"/>
          <w:highlight w:val="none"/>
        </w:rPr>
      </w:pPr>
      <w:bookmarkStart w:id="316" w:name="_Toc8407"/>
      <w:bookmarkStart w:id="317" w:name="_Toc22209"/>
      <w:r>
        <w:rPr>
          <w:rFonts w:hint="eastAsia" w:ascii="宋体" w:hAnsi="宋体" w:eastAsia="宋体" w:cs="宋体"/>
          <w:b/>
          <w:bCs/>
          <w:color w:val="auto"/>
          <w:sz w:val="36"/>
          <w:szCs w:val="36"/>
          <w:highlight w:val="none"/>
        </w:rPr>
        <w:t>第一节 政府采购合同协议书</w:t>
      </w:r>
      <w:bookmarkEnd w:id="316"/>
      <w:bookmarkEnd w:id="317"/>
    </w:p>
    <w:p w14:paraId="65911421">
      <w:pPr>
        <w:pStyle w:val="3"/>
        <w:keepNext/>
        <w:keepLines/>
        <w:pageBreakBefore w:val="0"/>
        <w:widowControl w:val="0"/>
        <w:kinsoku/>
        <w:wordWrap/>
        <w:overflowPunct/>
        <w:topLinePunct w:val="0"/>
        <w:autoSpaceDE/>
        <w:autoSpaceDN/>
        <w:bidi w:val="0"/>
        <w:adjustRightInd w:val="0"/>
        <w:snapToGrid w:val="0"/>
        <w:spacing w:before="140" w:beforeLines="0" w:after="140" w:line="400" w:lineRule="exact"/>
        <w:jc w:val="center"/>
        <w:textAlignment w:val="auto"/>
        <w:rPr>
          <w:rFonts w:hint="eastAsia" w:ascii="黑体" w:hAnsi="华文中宋" w:eastAsia="黑体"/>
          <w:b w:val="0"/>
          <w:bCs w:val="0"/>
          <w:color w:val="auto"/>
          <w:sz w:val="28"/>
          <w:szCs w:val="28"/>
          <w:highlight w:val="none"/>
        </w:rPr>
      </w:pPr>
    </w:p>
    <w:p w14:paraId="7749E471">
      <w:pPr>
        <w:adjustRightInd w:val="0"/>
        <w:snapToGrid w:val="0"/>
        <w:spacing w:before="0" w:beforeLines="0" w:line="400" w:lineRule="exact"/>
        <w:ind w:left="4800" w:hanging="4200" w:hangingChars="20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甲方（全称）：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（采购人</w:t>
      </w:r>
      <w:r>
        <w:rPr>
          <w:rFonts w:hint="eastAsia" w:ascii="宋体" w:hAnsi="宋体" w:eastAsia="宋体" w:cs="宋体"/>
          <w:color w:val="auto"/>
          <w:sz w:val="21"/>
          <w:szCs w:val="21"/>
          <w:highlight w:val="none"/>
          <w:lang w:eastAsia="zh-CN"/>
        </w:rPr>
        <w:t>、受采购人委托签订合同的单位</w:t>
      </w:r>
      <w:r>
        <w:rPr>
          <w:rFonts w:hint="eastAsia" w:ascii="宋体" w:hAnsi="宋体" w:eastAsia="宋体" w:cs="宋体"/>
          <w:color w:val="auto"/>
          <w:sz w:val="21"/>
          <w:szCs w:val="21"/>
          <w:highlight w:val="none"/>
        </w:rPr>
        <w:t>或采购文件约定的合同甲方）</w:t>
      </w:r>
    </w:p>
    <w:p w14:paraId="5F8C6ADE">
      <w:pPr>
        <w:adjustRightInd w:val="0"/>
        <w:snapToGrid w:val="0"/>
        <w:spacing w:before="0" w:beforeLines="0"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（全称）：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（供应商）</w:t>
      </w:r>
    </w:p>
    <w:p w14:paraId="294172C4">
      <w:pPr>
        <w:adjustRightInd w:val="0"/>
        <w:snapToGrid w:val="0"/>
        <w:spacing w:before="0" w:beforeLines="0" w:line="400" w:lineRule="exact"/>
        <w:ind w:left="5040" w:hanging="4410" w:hangingChars="2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乙方2（全称）：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（联合体成员供应商或其他合同主体）（如有）</w:t>
      </w:r>
    </w:p>
    <w:p w14:paraId="5F8DC28B">
      <w:pPr>
        <w:adjustRightInd w:val="0"/>
        <w:snapToGrid w:val="0"/>
        <w:spacing w:before="0" w:beforeLines="0" w:line="400" w:lineRule="exact"/>
        <w:ind w:left="5040" w:hanging="4410" w:hangingChars="2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lang w:val="en-US" w:eastAsia="zh-CN"/>
        </w:rPr>
        <w:t>3（全称）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（联合体成员供应商或其他合同主体）（如有）</w:t>
      </w:r>
    </w:p>
    <w:p w14:paraId="7295A8B9">
      <w:pPr>
        <w:spacing w:beforeLines="0" w:line="400" w:lineRule="exact"/>
        <w:rPr>
          <w:rFonts w:hint="eastAsia" w:ascii="宋体" w:hAnsi="宋体" w:eastAsia="宋体" w:cs="宋体"/>
          <w:color w:val="auto"/>
          <w:sz w:val="21"/>
          <w:szCs w:val="21"/>
          <w:highlight w:val="none"/>
          <w:lang w:val="en-US" w:eastAsia="zh-CN"/>
        </w:rPr>
      </w:pPr>
    </w:p>
    <w:p w14:paraId="73AFFB38">
      <w:pPr>
        <w:pStyle w:val="14"/>
        <w:adjustRightInd w:val="0"/>
        <w:snapToGrid w:val="0"/>
        <w:spacing w:before="0" w:beforeLines="0" w:after="0" w:line="40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依据《中华人民共和国民法典》</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《中华人民共和国政府采购法》等有关的法律法规，以及</w:t>
      </w:r>
      <w:r>
        <w:rPr>
          <w:rFonts w:hint="eastAsia" w:ascii="宋体" w:hAnsi="宋体" w:eastAsia="宋体" w:cs="宋体"/>
          <w:i w:val="0"/>
          <w:iCs w:val="0"/>
          <w:color w:val="auto"/>
          <w:sz w:val="21"/>
          <w:szCs w:val="21"/>
          <w:highlight w:val="none"/>
          <w:u w:val="none"/>
          <w:lang w:eastAsia="zh-CN"/>
        </w:rPr>
        <w:t>本采购项目</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eastAsia="zh-CN"/>
        </w:rPr>
        <w:t>招标</w:t>
      </w:r>
      <w:r>
        <w:rPr>
          <w:rFonts w:hint="eastAsia" w:ascii="宋体" w:hAnsi="宋体" w:eastAsia="宋体" w:cs="宋体"/>
          <w:color w:val="auto"/>
          <w:sz w:val="21"/>
          <w:szCs w:val="21"/>
          <w:highlight w:val="none"/>
          <w:lang w:val="en-US" w:eastAsia="zh-CN"/>
        </w:rPr>
        <w:t>/谈判</w:t>
      </w:r>
      <w:r>
        <w:rPr>
          <w:rFonts w:hint="eastAsia" w:ascii="宋体" w:hAnsi="宋体" w:eastAsia="宋体" w:cs="宋体"/>
          <w:color w:val="auto"/>
          <w:sz w:val="21"/>
          <w:szCs w:val="21"/>
          <w:highlight w:val="none"/>
          <w:lang w:eastAsia="zh-CN"/>
        </w:rPr>
        <w:t>文件等</w:t>
      </w:r>
      <w:r>
        <w:rPr>
          <w:rFonts w:hint="eastAsia" w:ascii="宋体" w:hAnsi="宋体" w:eastAsia="宋体" w:cs="宋体"/>
          <w:color w:val="auto"/>
          <w:sz w:val="21"/>
          <w:szCs w:val="21"/>
          <w:highlight w:val="none"/>
        </w:rPr>
        <w:t>采购文件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xml:space="preserve">乙方的《投标（响应）文件》及《中标（成交）通知书》，甲乙双方同意签订本合同。具体情况及要求如下：     </w:t>
      </w:r>
    </w:p>
    <w:p w14:paraId="2B03533E">
      <w:pPr>
        <w:numPr>
          <w:ilvl w:val="0"/>
          <w:numId w:val="3"/>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项目信息</w:t>
      </w:r>
    </w:p>
    <w:p w14:paraId="60DDE6F7">
      <w:pPr>
        <w:pStyle w:val="14"/>
        <w:numPr>
          <w:ilvl w:val="0"/>
          <w:numId w:val="4"/>
        </w:numPr>
        <w:adjustRightInd w:val="0"/>
        <w:snapToGrid w:val="0"/>
        <w:spacing w:before="0" w:beforeLines="0" w:after="0" w:line="400" w:lineRule="exact"/>
        <w:ind w:left="0" w:leftChars="0"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采购项目名称：</w:t>
      </w:r>
      <w:r>
        <w:rPr>
          <w:rFonts w:hint="eastAsia" w:ascii="宋体" w:hAnsi="宋体" w:eastAsia="宋体" w:cs="宋体"/>
          <w:color w:val="auto"/>
          <w:sz w:val="21"/>
          <w:szCs w:val="21"/>
          <w:highlight w:val="none"/>
          <w:u w:val="single"/>
        </w:rPr>
        <w:t xml:space="preserve">                                          </w:t>
      </w:r>
    </w:p>
    <w:p w14:paraId="71185B53">
      <w:pPr>
        <w:pStyle w:val="14"/>
        <w:numPr>
          <w:ilvl w:val="-1"/>
          <w:numId w:val="0"/>
        </w:numPr>
        <w:tabs>
          <w:tab w:val="left" w:pos="999"/>
        </w:tabs>
        <w:adjustRightInd w:val="0"/>
        <w:snapToGrid w:val="0"/>
        <w:spacing w:before="0" w:beforeLines="0" w:after="0" w:line="400" w:lineRule="exact"/>
        <w:ind w:left="0" w:leftChars="0" w:firstLine="0" w:firstLineChars="0"/>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 xml:space="preserve">         采购项目（包）编号：</w:t>
      </w:r>
      <w:r>
        <w:rPr>
          <w:rFonts w:hint="eastAsia" w:ascii="宋体" w:hAnsi="宋体" w:eastAsia="宋体" w:cs="宋体"/>
          <w:color w:val="auto"/>
          <w:sz w:val="21"/>
          <w:szCs w:val="21"/>
          <w:highlight w:val="none"/>
          <w:u w:val="single"/>
        </w:rPr>
        <w:t xml:space="preserve">                                    </w:t>
      </w:r>
    </w:p>
    <w:p w14:paraId="29C2DF94">
      <w:pPr>
        <w:pStyle w:val="14"/>
        <w:adjustRightInd w:val="0"/>
        <w:snapToGrid w:val="0"/>
        <w:spacing w:before="0" w:beforeLines="0" w:after="0" w:line="40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（2）采购计划编号：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51F91617">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（3）项目内容：</w:t>
      </w:r>
    </w:p>
    <w:p w14:paraId="19BD6A2B">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采购标的及数量</w:t>
      </w:r>
      <w:r>
        <w:rPr>
          <w:rFonts w:hint="eastAsia" w:ascii="宋体" w:hAnsi="宋体" w:eastAsia="宋体" w:cs="宋体"/>
          <w:color w:val="auto"/>
          <w:sz w:val="21"/>
          <w:szCs w:val="21"/>
          <w:highlight w:val="none"/>
          <w:lang w:val="en-US" w:eastAsia="zh-CN"/>
        </w:rPr>
        <w:t>（台/套</w:t>
      </w:r>
      <w:r>
        <w:rPr>
          <w:rFonts w:hint="eastAsia" w:ascii="宋体" w:hAnsi="宋体" w:eastAsia="宋体" w:cs="宋体"/>
          <w:color w:val="auto"/>
          <w:sz w:val="21"/>
          <w:szCs w:val="21"/>
          <w:highlight w:val="none"/>
          <w:lang w:val="en" w:eastAsia="zh-CN"/>
        </w:rPr>
        <w:t>/个/架/组等</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2D253C95">
      <w:pPr>
        <w:numPr>
          <w:ilvl w:val="-1"/>
          <w:numId w:val="0"/>
        </w:num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val="en" w:eastAsia="zh-CN"/>
        </w:rPr>
      </w:pP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 w:eastAsia="zh-CN"/>
        </w:rPr>
        <w:t xml:space="preserve">     </w:t>
      </w:r>
      <w:r>
        <w:rPr>
          <w:rFonts w:hint="eastAsia" w:ascii="宋体" w:hAnsi="宋体" w:eastAsia="宋体" w:cs="宋体"/>
          <w:color w:val="auto"/>
          <w:sz w:val="21"/>
          <w:szCs w:val="21"/>
          <w:highlight w:val="none"/>
          <w:lang w:val="en-US" w:eastAsia="zh-CN"/>
        </w:rPr>
        <w:t>规格型号：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 w:eastAsia="zh-CN"/>
        </w:rPr>
        <w:t xml:space="preserve">   </w:t>
      </w:r>
    </w:p>
    <w:p w14:paraId="0A19BCBE">
      <w:pPr>
        <w:adjustRightInd w:val="0"/>
        <w:snapToGrid w:val="0"/>
        <w:spacing w:before="0" w:beforeLines="0" w:line="400" w:lineRule="exact"/>
        <w:ind w:firstLine="945" w:firstLineChars="45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lang w:val="en-US" w:eastAsia="zh-CN"/>
        </w:rPr>
        <w:t>采购标的的技术要求、商务要求具体见附件。</w:t>
      </w:r>
    </w:p>
    <w:p w14:paraId="1EE9A6FC">
      <w:pPr>
        <w:numPr>
          <w:ilvl w:val="-1"/>
          <w:numId w:val="0"/>
        </w:numPr>
        <w:adjustRightInd w:val="0"/>
        <w:snapToGrid w:val="0"/>
        <w:spacing w:before="0" w:beforeLines="0" w:line="400" w:lineRule="exact"/>
        <w:ind w:firstLine="945" w:firstLineChars="45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①涉及信息类产品，请填写该产品关键部件的品牌、型号：</w:t>
      </w:r>
    </w:p>
    <w:p w14:paraId="105F1076">
      <w:pPr>
        <w:numPr>
          <w:ilvl w:val="-1"/>
          <w:numId w:val="0"/>
        </w:numPr>
        <w:adjustRightInd w:val="0"/>
        <w:snapToGrid w:val="0"/>
        <w:spacing w:before="0" w:beforeLines="0" w:line="400" w:lineRule="exact"/>
        <w:ind w:firstLine="420" w:firstLineChars="200"/>
        <w:rPr>
          <w:rFonts w:hint="eastAsia" w:ascii="宋体" w:hAnsi="宋体" w:eastAsia="宋体" w:cs="宋体"/>
          <w:color w:val="auto"/>
          <w:kern w:val="0"/>
          <w:sz w:val="21"/>
          <w:szCs w:val="21"/>
          <w:highlight w:val="none"/>
          <w:u w:val="single"/>
          <w:lang w:val="en-US" w:eastAsia="zh-CN"/>
        </w:rPr>
      </w:pPr>
      <w:r>
        <w:rPr>
          <w:rFonts w:hint="eastAsia" w:ascii="宋体" w:hAnsi="宋体" w:eastAsia="宋体" w:cs="宋体"/>
          <w:color w:val="auto"/>
          <w:sz w:val="21"/>
          <w:szCs w:val="21"/>
          <w:highlight w:val="none"/>
          <w:lang w:val="en-US" w:eastAsia="zh-CN"/>
        </w:rPr>
        <w:t xml:space="preserve">     标的名称：</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lang w:val="en" w:eastAsia="zh-CN"/>
        </w:rPr>
        <w:t xml:space="preserve">               </w:t>
      </w:r>
      <w:r>
        <w:rPr>
          <w:rFonts w:hint="eastAsia" w:ascii="宋体" w:hAnsi="宋体" w:eastAsia="宋体" w:cs="宋体"/>
          <w:color w:val="auto"/>
          <w:kern w:val="0"/>
          <w:sz w:val="21"/>
          <w:szCs w:val="21"/>
          <w:highlight w:val="none"/>
          <w:u w:val="single"/>
          <w:lang w:val="en-US" w:eastAsia="zh-CN"/>
        </w:rPr>
        <w:t xml:space="preserve">    </w:t>
      </w:r>
    </w:p>
    <w:p w14:paraId="36CCB7D0">
      <w:pPr>
        <w:numPr>
          <w:ilvl w:val="-1"/>
          <w:numId w:val="0"/>
        </w:num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关键部件：</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7FD83092">
      <w:pPr>
        <w:pStyle w:val="37"/>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kern w:val="2"/>
          <w:sz w:val="21"/>
          <w:szCs w:val="21"/>
          <w:highlight w:val="none"/>
          <w:lang w:val="en-US" w:eastAsia="zh-CN"/>
        </w:rPr>
        <w:t>关键部件</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0349841B">
      <w:pPr>
        <w:pStyle w:val="37"/>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关键部件：</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p>
    <w:p w14:paraId="35222B95">
      <w:pPr>
        <w:pStyle w:val="37"/>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4535AD96">
      <w:pPr>
        <w:pStyle w:val="37"/>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②涉及车辆采购，请填写是否属于新能源汽车：</w:t>
      </w:r>
    </w:p>
    <w:p w14:paraId="27BCD974">
      <w:pPr>
        <w:pStyle w:val="37"/>
        <w:numPr>
          <w:ilvl w:val="-1"/>
          <w:numId w:val="0"/>
        </w:numPr>
        <w:adjustRightInd w:val="0"/>
        <w:snapToGrid w:val="0"/>
        <w:spacing w:before="0" w:beforeLines="0" w:line="400" w:lineRule="exact"/>
        <w:ind w:firstLine="0" w:firstLineChars="0"/>
        <w:rPr>
          <w:rFonts w:hint="eastAsia" w:ascii="宋体" w:hAnsi="宋体" w:eastAsia="宋体" w:cs="宋体"/>
          <w:i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是</w:t>
      </w:r>
      <w:r>
        <w:rPr>
          <w:rFonts w:hint="eastAsia" w:ascii="宋体" w:hAnsi="宋体" w:eastAsia="宋体" w:cs="宋体"/>
          <w:iCs w:val="0"/>
          <w:color w:val="auto"/>
          <w:sz w:val="21"/>
          <w:szCs w:val="21"/>
          <w:highlight w:val="none"/>
          <w:lang w:eastAsia="zh-CN"/>
        </w:rPr>
        <w:t>，《政府采购品目分类目录》底级品目名称</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数量：</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金额：</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iCs w:val="0"/>
          <w:color w:val="auto"/>
          <w:sz w:val="21"/>
          <w:szCs w:val="21"/>
          <w:highlight w:val="none"/>
          <w:lang w:val="en-US" w:eastAsia="zh-CN"/>
        </w:rPr>
        <w:t xml:space="preserve"> </w:t>
      </w:r>
    </w:p>
    <w:p w14:paraId="58C18C71">
      <w:pPr>
        <w:pStyle w:val="37"/>
        <w:numPr>
          <w:ilvl w:val="-1"/>
          <w:numId w:val="0"/>
        </w:numPr>
        <w:adjustRightInd w:val="0"/>
        <w:snapToGrid w:val="0"/>
        <w:spacing w:before="0" w:beforeLines="0" w:line="400" w:lineRule="exact"/>
        <w:ind w:firstLine="0" w:firstLineChars="0"/>
        <w:rPr>
          <w:rFonts w:hint="eastAsia" w:ascii="宋体" w:hAnsi="宋体" w:eastAsia="宋体" w:cs="宋体"/>
          <w:iCs w:val="0"/>
          <w:color w:val="auto"/>
          <w:sz w:val="21"/>
          <w:szCs w:val="21"/>
          <w:highlight w:val="none"/>
          <w:lang w:eastAsia="zh-CN"/>
        </w:rPr>
      </w:pP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否</w:t>
      </w:r>
    </w:p>
    <w:p w14:paraId="3301B3DD">
      <w:pPr>
        <w:pStyle w:val="37"/>
        <w:numPr>
          <w:ilvl w:val="-1"/>
          <w:numId w:val="0"/>
        </w:numPr>
        <w:adjustRightInd w:val="0"/>
        <w:snapToGrid w:val="0"/>
        <w:spacing w:before="0" w:beforeLines="0" w:line="400" w:lineRule="exact"/>
        <w:ind w:left="0" w:firstLine="0" w:firstLineChars="0"/>
        <w:rPr>
          <w:rFonts w:hint="eastAsia" w:ascii="宋体" w:hAnsi="宋体" w:eastAsia="宋体" w:cs="宋体"/>
          <w:iCs w:val="0"/>
          <w:color w:val="auto"/>
          <w:sz w:val="21"/>
          <w:szCs w:val="21"/>
          <w:highlight w:val="none"/>
          <w:lang w:val="en-US" w:eastAsia="zh-CN"/>
        </w:rPr>
      </w:pP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lang w:val="en" w:eastAsia="zh-CN"/>
        </w:rPr>
        <w:t>4</w:t>
      </w:r>
      <w:r>
        <w:rPr>
          <w:rFonts w:hint="eastAsia" w:ascii="宋体" w:hAnsi="宋体" w:eastAsia="宋体" w:cs="宋体"/>
          <w:iCs w:val="0"/>
          <w:color w:val="auto"/>
          <w:sz w:val="21"/>
          <w:szCs w:val="21"/>
          <w:highlight w:val="none"/>
          <w:lang w:val="en-US" w:eastAsia="zh-CN"/>
        </w:rPr>
        <w:t>）政府采购组织形式：</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政府集中采购</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val="en-US" w:eastAsia="zh-CN"/>
        </w:rPr>
        <w:t xml:space="preserve">部门集中采购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val="en-US" w:eastAsia="zh-CN"/>
        </w:rPr>
        <w:t>分散采购</w:t>
      </w:r>
    </w:p>
    <w:p w14:paraId="51033CAD">
      <w:pPr>
        <w:pStyle w:val="37"/>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lang w:eastAsia="zh-CN"/>
        </w:rPr>
      </w:pPr>
      <w:r>
        <w:rPr>
          <w:rFonts w:hint="eastAsia" w:ascii="宋体" w:hAnsi="宋体" w:eastAsia="宋体" w:cs="宋体"/>
          <w:iCs w:val="0"/>
          <w:color w:val="auto"/>
          <w:sz w:val="21"/>
          <w:szCs w:val="21"/>
          <w:highlight w:val="none"/>
          <w:lang w:val="en-US" w:eastAsia="zh-CN"/>
        </w:rPr>
        <w:t>（</w:t>
      </w:r>
      <w:r>
        <w:rPr>
          <w:rFonts w:hint="eastAsia" w:ascii="宋体" w:hAnsi="宋体" w:eastAsia="宋体" w:cs="宋体"/>
          <w:iCs w:val="0"/>
          <w:color w:val="auto"/>
          <w:sz w:val="21"/>
          <w:szCs w:val="21"/>
          <w:highlight w:val="none"/>
          <w:lang w:val="en" w:eastAsia="zh-CN"/>
        </w:rPr>
        <w:t>5</w:t>
      </w:r>
      <w:r>
        <w:rPr>
          <w:rFonts w:hint="eastAsia" w:ascii="宋体" w:hAnsi="宋体" w:eastAsia="宋体" w:cs="宋体"/>
          <w:iCs w:val="0"/>
          <w:color w:val="auto"/>
          <w:sz w:val="21"/>
          <w:szCs w:val="21"/>
          <w:highlight w:val="none"/>
          <w:lang w:val="en-US" w:eastAsia="zh-CN"/>
        </w:rPr>
        <w:t>）政府采购方式：</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公开招标</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邀请招标</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竞争性谈判</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竞争性磋商</w:t>
      </w:r>
    </w:p>
    <w:p w14:paraId="7B1D1C5B">
      <w:pPr>
        <w:pStyle w:val="37"/>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u w:val="single"/>
          <w:lang w:val="en-US" w:eastAsia="zh-CN"/>
        </w:rPr>
      </w:pP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询价</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单一来源</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框架协议</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其他：</w:t>
      </w:r>
      <w:r>
        <w:rPr>
          <w:rFonts w:hint="eastAsia" w:ascii="宋体" w:hAnsi="宋体" w:eastAsia="宋体" w:cs="宋体"/>
          <w:iCs w:val="0"/>
          <w:color w:val="auto"/>
          <w:sz w:val="21"/>
          <w:szCs w:val="21"/>
          <w:highlight w:val="none"/>
          <w:u w:val="single"/>
          <w:lang w:val="en-US" w:eastAsia="zh-CN"/>
        </w:rPr>
        <w:t xml:space="preserve">          </w:t>
      </w:r>
    </w:p>
    <w:p w14:paraId="556B6728">
      <w:pPr>
        <w:pStyle w:val="37"/>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u w:val="none"/>
          <w:lang w:val="en-US" w:eastAsia="zh-CN"/>
        </w:rPr>
      </w:pPr>
      <w:r>
        <w:rPr>
          <w:rFonts w:hint="eastAsia" w:ascii="宋体" w:hAnsi="宋体" w:eastAsia="宋体" w:cs="宋体"/>
          <w:iCs w:val="0"/>
          <w:color w:val="auto"/>
          <w:sz w:val="21"/>
          <w:szCs w:val="21"/>
          <w:highlight w:val="none"/>
          <w:u w:val="none"/>
          <w:lang w:val="en-US" w:eastAsia="zh-CN"/>
        </w:rPr>
        <w:t>（注：在框架协议采购的第二阶段，可选择使用该合同文本）</w:t>
      </w:r>
    </w:p>
    <w:p w14:paraId="1636898B">
      <w:pPr>
        <w:pStyle w:val="37"/>
        <w:numPr>
          <w:ilvl w:val="-1"/>
          <w:numId w:val="0"/>
        </w:numPr>
        <w:adjustRightInd w:val="0"/>
        <w:snapToGrid w:val="0"/>
        <w:spacing w:before="0" w:beforeLines="0" w:line="400" w:lineRule="exact"/>
        <w:ind w:firstLine="210" w:firstLineChars="100"/>
        <w:rPr>
          <w:rFonts w:hint="eastAsia" w:ascii="宋体" w:hAnsi="宋体" w:eastAsia="宋体" w:cs="宋体"/>
          <w:color w:val="auto"/>
          <w:w w:val="100"/>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 w:eastAsia="zh-CN"/>
        </w:rPr>
        <w:t>6</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w w:val="100"/>
          <w:kern w:val="2"/>
          <w:sz w:val="21"/>
          <w:szCs w:val="21"/>
          <w:highlight w:val="none"/>
          <w:lang w:val="en-US" w:eastAsia="zh-CN" w:bidi="ar-SA"/>
        </w:rPr>
        <w:t>中标（成交）采购标的制造商是否为中小企业：</w:t>
      </w:r>
      <w:r>
        <w:rPr>
          <w:rFonts w:hint="eastAsia" w:ascii="宋体" w:hAnsi="宋体" w:eastAsia="宋体" w:cs="宋体"/>
          <w:color w:val="auto"/>
          <w:w w:val="100"/>
          <w:kern w:val="2"/>
          <w:sz w:val="21"/>
          <w:szCs w:val="21"/>
          <w:highlight w:val="none"/>
          <w:lang w:val="en-US" w:eastAsia="zh-CN" w:bidi="ar-SA"/>
        </w:rPr>
        <w:sym w:font="Wingdings" w:char="00A8"/>
      </w:r>
      <w:r>
        <w:rPr>
          <w:rFonts w:hint="eastAsia" w:ascii="宋体" w:hAnsi="宋体" w:eastAsia="宋体" w:cs="宋体"/>
          <w:color w:val="auto"/>
          <w:w w:val="100"/>
          <w:kern w:val="2"/>
          <w:sz w:val="21"/>
          <w:szCs w:val="21"/>
          <w:highlight w:val="none"/>
          <w:lang w:val="en-US" w:eastAsia="zh-CN" w:bidi="ar-SA"/>
        </w:rPr>
        <w:t xml:space="preserve">是      </w:t>
      </w:r>
      <w:r>
        <w:rPr>
          <w:rFonts w:hint="eastAsia" w:ascii="宋体" w:hAnsi="宋体" w:eastAsia="宋体" w:cs="宋体"/>
          <w:color w:val="auto"/>
          <w:w w:val="100"/>
          <w:kern w:val="2"/>
          <w:sz w:val="21"/>
          <w:szCs w:val="21"/>
          <w:highlight w:val="none"/>
          <w:lang w:val="en-US" w:eastAsia="zh-CN" w:bidi="ar-SA"/>
        </w:rPr>
        <w:sym w:font="Wingdings" w:char="00A8"/>
      </w:r>
      <w:r>
        <w:rPr>
          <w:rFonts w:hint="eastAsia" w:ascii="宋体" w:hAnsi="宋体" w:eastAsia="宋体" w:cs="宋体"/>
          <w:color w:val="auto"/>
          <w:w w:val="100"/>
          <w:kern w:val="2"/>
          <w:sz w:val="21"/>
          <w:szCs w:val="21"/>
          <w:highlight w:val="none"/>
          <w:lang w:val="en-US" w:eastAsia="zh-CN" w:bidi="ar-SA"/>
        </w:rPr>
        <w:t>否</w:t>
      </w:r>
    </w:p>
    <w:p w14:paraId="61FB4A07">
      <w:pPr>
        <w:numPr>
          <w:ilvl w:val="-1"/>
          <w:numId w:val="0"/>
        </w:numPr>
        <w:adjustRightInd w:val="0"/>
        <w:snapToGrid w:val="0"/>
        <w:spacing w:before="0" w:beforeLines="0" w:line="400" w:lineRule="exact"/>
        <w:ind w:left="0" w:leftChars="0" w:firstLine="0" w:firstLineChars="0"/>
        <w:rPr>
          <w:rFonts w:hint="eastAsia" w:ascii="宋体" w:hAnsi="宋体" w:eastAsia="宋体" w:cs="宋体"/>
          <w:iCs/>
          <w:color w:val="auto"/>
          <w:sz w:val="21"/>
          <w:szCs w:val="21"/>
          <w:highlight w:val="none"/>
        </w:rPr>
      </w:pPr>
      <w:r>
        <w:rPr>
          <w:rFonts w:hint="eastAsia" w:ascii="宋体" w:hAnsi="宋体" w:eastAsia="宋体" w:cs="宋体"/>
          <w:color w:val="auto"/>
          <w:w w:val="100"/>
          <w:sz w:val="21"/>
          <w:szCs w:val="21"/>
          <w:highlight w:val="none"/>
          <w:lang w:val="en-US" w:eastAsia="zh-CN"/>
        </w:rPr>
        <w:t xml:space="preserve">         本合同</w:t>
      </w:r>
      <w:r>
        <w:rPr>
          <w:rFonts w:hint="eastAsia" w:ascii="宋体" w:hAnsi="宋体" w:eastAsia="宋体" w:cs="宋体"/>
          <w:color w:val="auto"/>
          <w:w w:val="100"/>
          <w:sz w:val="21"/>
          <w:szCs w:val="21"/>
          <w:highlight w:val="none"/>
        </w:rPr>
        <w:t>是否</w:t>
      </w:r>
      <w:r>
        <w:rPr>
          <w:rFonts w:hint="eastAsia" w:ascii="宋体" w:hAnsi="宋体" w:eastAsia="宋体" w:cs="宋体"/>
          <w:color w:val="auto"/>
          <w:w w:val="100"/>
          <w:sz w:val="21"/>
          <w:szCs w:val="21"/>
          <w:highlight w:val="none"/>
          <w:lang w:eastAsia="zh-CN"/>
        </w:rPr>
        <w:t>为专门面向</w:t>
      </w:r>
      <w:r>
        <w:rPr>
          <w:rFonts w:hint="eastAsia" w:ascii="宋体" w:hAnsi="宋体" w:eastAsia="宋体" w:cs="宋体"/>
          <w:color w:val="auto"/>
          <w:w w:val="100"/>
          <w:sz w:val="21"/>
          <w:szCs w:val="21"/>
          <w:highlight w:val="none"/>
        </w:rPr>
        <w:t>中小企业</w:t>
      </w:r>
      <w:r>
        <w:rPr>
          <w:rFonts w:hint="eastAsia" w:ascii="宋体" w:hAnsi="宋体" w:eastAsia="宋体" w:cs="宋体"/>
          <w:color w:val="auto"/>
          <w:w w:val="100"/>
          <w:sz w:val="21"/>
          <w:szCs w:val="21"/>
          <w:highlight w:val="none"/>
          <w:lang w:eastAsia="zh-CN"/>
        </w:rPr>
        <w:t>的采</w:t>
      </w:r>
      <w:r>
        <w:rPr>
          <w:rFonts w:hint="eastAsia" w:ascii="宋体" w:hAnsi="宋体" w:eastAsia="宋体" w:cs="宋体"/>
          <w:color w:val="auto"/>
          <w:w w:val="100"/>
          <w:sz w:val="21"/>
          <w:szCs w:val="21"/>
          <w:highlight w:val="none"/>
          <w:shd w:val="clear"/>
          <w:lang w:eastAsia="zh-CN"/>
        </w:rPr>
        <w:t>购</w:t>
      </w:r>
      <w:r>
        <w:rPr>
          <w:rFonts w:hint="eastAsia" w:ascii="宋体" w:hAnsi="宋体" w:eastAsia="宋体" w:cs="宋体"/>
          <w:color w:val="auto"/>
          <w:w w:val="100"/>
          <w:sz w:val="21"/>
          <w:szCs w:val="21"/>
          <w:highlight w:val="none"/>
          <w:shd w:val="clear"/>
        </w:rPr>
        <w:t>合同</w:t>
      </w:r>
      <w:r>
        <w:rPr>
          <w:rFonts w:hint="eastAsia" w:ascii="宋体" w:hAnsi="宋体" w:eastAsia="宋体" w:cs="宋体"/>
          <w:color w:val="auto"/>
          <w:w w:val="100"/>
          <w:sz w:val="21"/>
          <w:szCs w:val="21"/>
          <w:highlight w:val="none"/>
          <w:shd w:val="clear"/>
          <w:lang w:eastAsia="zh-CN"/>
        </w:rPr>
        <w:t>（中小企业预留合同）</w:t>
      </w:r>
      <w:r>
        <w:rPr>
          <w:rFonts w:hint="eastAsia" w:ascii="宋体" w:hAnsi="宋体" w:eastAsia="宋体" w:cs="宋体"/>
          <w:color w:val="auto"/>
          <w:sz w:val="21"/>
          <w:szCs w:val="21"/>
          <w:highlight w:val="none"/>
          <w:shd w:val="clear"/>
        </w:rPr>
        <w:t>：</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636EFF63">
      <w:pPr>
        <w:numPr>
          <w:ilvl w:val="-1"/>
          <w:numId w:val="0"/>
        </w:numPr>
        <w:adjustRightInd w:val="0"/>
        <w:snapToGrid w:val="0"/>
        <w:spacing w:before="0" w:beforeLines="0" w:line="400" w:lineRule="exact"/>
        <w:ind w:firstLine="0" w:firstLineChars="0"/>
        <w:rPr>
          <w:rFonts w:hint="eastAsia" w:ascii="宋体" w:hAnsi="宋体" w:eastAsia="宋体" w:cs="宋体"/>
          <w:iCs/>
          <w:color w:val="auto"/>
          <w:sz w:val="21"/>
          <w:szCs w:val="21"/>
          <w:highlight w:val="none"/>
        </w:rPr>
      </w:pPr>
      <w:r>
        <w:rPr>
          <w:rFonts w:hint="eastAsia" w:ascii="宋体" w:hAnsi="宋体" w:eastAsia="宋体" w:cs="宋体"/>
          <w:color w:val="auto"/>
          <w:sz w:val="21"/>
          <w:szCs w:val="21"/>
          <w:highlight w:val="none"/>
          <w:lang w:val="en-US" w:eastAsia="zh-CN"/>
        </w:rPr>
        <w:t xml:space="preserve">         若本项目不专门面向中小企业采购，是否给予小微企业评审优惠：</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29E43A75">
      <w:pPr>
        <w:numPr>
          <w:ilvl w:val="-1"/>
          <w:numId w:val="0"/>
        </w:numPr>
        <w:adjustRightInd w:val="0"/>
        <w:snapToGrid w:val="0"/>
        <w:spacing w:before="0" w:beforeLines="0" w:line="400" w:lineRule="exact"/>
        <w:ind w:firstLine="0" w:firstLineChars="0"/>
        <w:rPr>
          <w:rFonts w:hint="eastAsia" w:ascii="宋体" w:hAnsi="宋体" w:eastAsia="宋体" w:cs="宋体"/>
          <w:iCs/>
          <w:color w:val="auto"/>
          <w:sz w:val="21"/>
          <w:szCs w:val="21"/>
          <w:highlight w:val="none"/>
        </w:rPr>
      </w:pPr>
      <w:r>
        <w:rPr>
          <w:rFonts w:hint="eastAsia" w:ascii="宋体" w:hAnsi="宋体" w:eastAsia="宋体" w:cs="宋体"/>
          <w:color w:val="auto"/>
          <w:sz w:val="21"/>
          <w:szCs w:val="21"/>
          <w:highlight w:val="none"/>
          <w:lang w:val="en-US" w:eastAsia="zh-CN"/>
        </w:rPr>
        <w:t xml:space="preserve">         中标（成交）采购标的制造商是否为残疾人福利性单位：</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0B497E98">
      <w:pPr>
        <w:numPr>
          <w:ilvl w:val="0"/>
          <w:numId w:val="0"/>
        </w:numPr>
        <w:snapToGrid w:val="0"/>
        <w:spacing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中标（成交）采购标的制造商是否为监狱企业：</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3BCD1D71">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 w:eastAsia="zh-CN"/>
        </w:rPr>
        <w:t>7</w:t>
      </w:r>
      <w:r>
        <w:rPr>
          <w:rFonts w:hint="eastAsia" w:ascii="宋体" w:hAnsi="宋体" w:eastAsia="宋体" w:cs="宋体"/>
          <w:color w:val="auto"/>
          <w:sz w:val="21"/>
          <w:szCs w:val="21"/>
          <w:highlight w:val="none"/>
        </w:rPr>
        <w:t>）合同是否分包：</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6C603DBA">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分包主要内容：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742AEBBC">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rPr>
        <w:t>分包供应商</w:t>
      </w:r>
      <w:r>
        <w:rPr>
          <w:rFonts w:hint="eastAsia" w:ascii="宋体" w:hAnsi="宋体" w:eastAsia="宋体" w:cs="宋体"/>
          <w:color w:val="auto"/>
          <w:sz w:val="21"/>
          <w:szCs w:val="21"/>
          <w:highlight w:val="none"/>
          <w:lang w:eastAsia="zh-CN"/>
        </w:rPr>
        <w:t>/制造商</w:t>
      </w:r>
      <w:r>
        <w:rPr>
          <w:rFonts w:hint="eastAsia" w:ascii="宋体" w:hAnsi="宋体" w:eastAsia="宋体" w:cs="宋体"/>
          <w:color w:val="auto"/>
          <w:sz w:val="21"/>
          <w:szCs w:val="21"/>
          <w:highlight w:val="none"/>
        </w:rPr>
        <w:t>名称</w:t>
      </w:r>
      <w:r>
        <w:rPr>
          <w:rFonts w:hint="eastAsia" w:ascii="宋体" w:hAnsi="宋体" w:eastAsia="宋体" w:cs="宋体"/>
          <w:color w:val="auto"/>
          <w:sz w:val="21"/>
          <w:szCs w:val="21"/>
          <w:highlight w:val="none"/>
          <w:lang w:eastAsia="zh-CN"/>
        </w:rPr>
        <w:t>（如供应商和制造商不同，请分别填写）</w:t>
      </w:r>
      <w:r>
        <w:rPr>
          <w:rFonts w:hint="eastAsia" w:ascii="宋体" w:hAnsi="宋体" w:eastAsia="宋体" w:cs="宋体"/>
          <w:color w:val="auto"/>
          <w:sz w:val="21"/>
          <w:szCs w:val="21"/>
          <w:highlight w:val="none"/>
        </w:rPr>
        <w:t>：</w:t>
      </w:r>
    </w:p>
    <w:p w14:paraId="7FA5EA47">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p>
    <w:p w14:paraId="1F1D2B04">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分包供应商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制造商</w:t>
      </w:r>
      <w:r>
        <w:rPr>
          <w:rFonts w:hint="eastAsia" w:ascii="宋体" w:hAnsi="宋体" w:eastAsia="宋体" w:cs="宋体"/>
          <w:color w:val="auto"/>
          <w:sz w:val="21"/>
          <w:szCs w:val="21"/>
          <w:highlight w:val="none"/>
        </w:rPr>
        <w:t>类型</w:t>
      </w:r>
      <w:r>
        <w:rPr>
          <w:rFonts w:hint="eastAsia" w:ascii="宋体" w:hAnsi="宋体" w:eastAsia="宋体" w:cs="宋体"/>
          <w:color w:val="auto"/>
          <w:sz w:val="21"/>
          <w:szCs w:val="21"/>
          <w:highlight w:val="none"/>
          <w:lang w:eastAsia="zh-CN"/>
        </w:rPr>
        <w:t>（如果供应商和制造商不同，只填写制造商类型）</w:t>
      </w:r>
      <w:r>
        <w:rPr>
          <w:rFonts w:hint="eastAsia" w:ascii="宋体" w:hAnsi="宋体" w:eastAsia="宋体" w:cs="宋体"/>
          <w:color w:val="auto"/>
          <w:sz w:val="21"/>
          <w:szCs w:val="21"/>
          <w:highlight w:val="none"/>
        </w:rPr>
        <w:t>：</w:t>
      </w:r>
    </w:p>
    <w:p w14:paraId="180ED0E3">
      <w:pPr>
        <w:adjustRightInd w:val="0"/>
        <w:snapToGrid w:val="0"/>
        <w:spacing w:beforeLines="0" w:line="400" w:lineRule="exact"/>
        <w:ind w:firstLine="840" w:firstLineChars="400"/>
        <w:rPr>
          <w:rFonts w:hint="eastAsia" w:ascii="宋体" w:hAnsi="宋体" w:eastAsia="宋体" w:cs="宋体"/>
          <w:iCs/>
          <w:color w:val="auto"/>
          <w:sz w:val="21"/>
          <w:szCs w:val="21"/>
          <w:highlight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大型企业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中型企业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小微型企业</w:t>
      </w:r>
      <w:r>
        <w:rPr>
          <w:rFonts w:hint="eastAsia" w:ascii="宋体" w:hAnsi="宋体" w:eastAsia="宋体" w:cs="宋体"/>
          <w:iCs/>
          <w:color w:val="auto"/>
          <w:sz w:val="21"/>
          <w:szCs w:val="21"/>
          <w:highlight w:val="none"/>
          <w:lang w:val="en-US" w:eastAsia="zh-CN"/>
        </w:rPr>
        <w:t xml:space="preserve">  </w:t>
      </w:r>
    </w:p>
    <w:p w14:paraId="18BF3496">
      <w:pPr>
        <w:adjustRightInd w:val="0"/>
        <w:snapToGrid w:val="0"/>
        <w:spacing w:beforeLines="0" w:line="400" w:lineRule="exact"/>
        <w:ind w:firstLine="840" w:firstLineChars="400"/>
        <w:rPr>
          <w:rFonts w:hint="eastAsia" w:ascii="宋体" w:hAnsi="宋体" w:eastAsia="宋体" w:cs="宋体"/>
          <w:color w:val="auto"/>
          <w:sz w:val="21"/>
          <w:szCs w:val="21"/>
          <w:highlight w:val="none"/>
          <w:u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残疾人福利性单位</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监狱</w:t>
      </w:r>
      <w:r>
        <w:rPr>
          <w:rFonts w:hint="eastAsia" w:ascii="宋体" w:hAnsi="宋体" w:eastAsia="宋体" w:cs="宋体"/>
          <w:iCs/>
          <w:color w:val="auto"/>
          <w:sz w:val="21"/>
          <w:szCs w:val="21"/>
          <w:highlight w:val="none"/>
        </w:rPr>
        <w:t>企业</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其他</w:t>
      </w:r>
    </w:p>
    <w:p w14:paraId="7F2E0B02">
      <w:pPr>
        <w:numPr>
          <w:ilvl w:val="-1"/>
          <w:numId w:val="0"/>
        </w:numPr>
        <w:adjustRightInd w:val="0"/>
        <w:snapToGrid w:val="0"/>
        <w:spacing w:before="0" w:beforeLines="0" w:line="400" w:lineRule="exact"/>
        <w:ind w:left="0" w:leftChars="0" w:firstLine="0" w:firstLineChars="0"/>
        <w:rPr>
          <w:rFonts w:hint="eastAsia" w:ascii="宋体" w:hAnsi="宋体" w:eastAsia="宋体" w:cs="宋体"/>
          <w:iCs/>
          <w:color w:val="auto"/>
          <w:sz w:val="21"/>
          <w:szCs w:val="21"/>
          <w:highlight w:val="none"/>
        </w:rPr>
      </w:pP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u w:val="none"/>
          <w:lang w:val="en" w:eastAsia="zh-CN"/>
        </w:rPr>
        <w:t>8</w:t>
      </w:r>
      <w:r>
        <w:rPr>
          <w:rFonts w:hint="eastAsia" w:ascii="宋体" w:hAnsi="宋体" w:eastAsia="宋体" w:cs="宋体"/>
          <w:color w:val="auto"/>
          <w:sz w:val="21"/>
          <w:szCs w:val="21"/>
          <w:highlight w:val="none"/>
          <w:u w:val="none"/>
          <w:lang w:val="en-US" w:eastAsia="zh-CN"/>
        </w:rPr>
        <w:t>）中标（成交）供应商是否为外商投资企业：</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4ADA4F13">
      <w:pPr>
        <w:pStyle w:val="37"/>
        <w:tabs>
          <w:tab w:val="left" w:pos="1340"/>
        </w:tabs>
        <w:spacing w:beforeLine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lang w:val="en-US" w:eastAsia="zh-CN"/>
        </w:rPr>
        <w:t xml:space="preserve">     外商投资企业类型：</w:t>
      </w:r>
      <w:r>
        <w:rPr>
          <w:rFonts w:hint="eastAsia" w:ascii="宋体" w:hAnsi="宋体" w:eastAsia="宋体" w:cs="宋体"/>
          <w:iCs/>
          <w:color w:val="auto"/>
          <w:sz w:val="21"/>
          <w:szCs w:val="21"/>
          <w:highlight w:val="none"/>
        </w:rPr>
        <w:sym w:font="Wingdings" w:char="00A8"/>
      </w:r>
      <w:r>
        <w:rPr>
          <w:rFonts w:hint="eastAsia" w:ascii="宋体" w:hAnsi="宋体" w:eastAsia="宋体" w:cs="宋体"/>
          <w:color w:val="auto"/>
          <w:sz w:val="21"/>
          <w:szCs w:val="21"/>
          <w:highlight w:val="none"/>
          <w:u w:val="none"/>
          <w:lang w:val="en-US" w:eastAsia="zh-CN"/>
        </w:rPr>
        <w:t xml:space="preserve">全部由外国投资者投资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val="en-US" w:eastAsia="zh-CN"/>
        </w:rPr>
        <w:t>部分由外国投资者投资</w:t>
      </w:r>
    </w:p>
    <w:p w14:paraId="3678F9F3">
      <w:pPr>
        <w:numPr>
          <w:ilvl w:val="-1"/>
          <w:numId w:val="0"/>
        </w:numPr>
        <w:adjustRightInd w:val="0"/>
        <w:snapToGrid w:val="0"/>
        <w:spacing w:before="0" w:beforeLines="0" w:line="400" w:lineRule="exact"/>
        <w:ind w:firstLine="420" w:firstLineChars="20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w:t>
      </w:r>
      <w:r>
        <w:rPr>
          <w:rFonts w:hint="eastAsia" w:ascii="宋体" w:hAnsi="宋体" w:eastAsia="宋体" w:cs="宋体"/>
          <w:b w:val="0"/>
          <w:bCs w:val="0"/>
          <w:color w:val="auto"/>
          <w:sz w:val="21"/>
          <w:szCs w:val="21"/>
          <w:highlight w:val="none"/>
          <w:u w:val="none"/>
          <w:lang w:val="en" w:eastAsia="zh-CN"/>
        </w:rPr>
        <w:t>9</w:t>
      </w:r>
      <w:r>
        <w:rPr>
          <w:rFonts w:hint="eastAsia" w:ascii="宋体" w:hAnsi="宋体" w:eastAsia="宋体" w:cs="宋体"/>
          <w:b w:val="0"/>
          <w:bCs w:val="0"/>
          <w:color w:val="auto"/>
          <w:sz w:val="21"/>
          <w:szCs w:val="21"/>
          <w:highlight w:val="none"/>
          <w:u w:val="none"/>
          <w:lang w:val="en-US" w:eastAsia="zh-CN"/>
        </w:rPr>
        <w:t>）是否涉及进口产品：</w:t>
      </w:r>
    </w:p>
    <w:p w14:paraId="158ED47C">
      <w:pPr>
        <w:numPr>
          <w:ilvl w:val="-1"/>
          <w:numId w:val="0"/>
        </w:numPr>
        <w:adjustRightInd w:val="0"/>
        <w:snapToGrid w:val="0"/>
        <w:spacing w:before="0" w:beforeLines="0" w:line="400" w:lineRule="exact"/>
        <w:ind w:firstLine="840" w:firstLineChars="400"/>
        <w:rPr>
          <w:rFonts w:hint="eastAsia" w:ascii="宋体" w:hAnsi="宋体" w:eastAsia="宋体" w:cs="宋体"/>
          <w:color w:val="auto"/>
          <w:sz w:val="21"/>
          <w:szCs w:val="21"/>
          <w:highlight w:val="none"/>
          <w:u w:val="single"/>
          <w:lang w:val="en-US" w:eastAsia="zh-CN"/>
        </w:rPr>
      </w:pP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是</w:t>
      </w:r>
      <w:r>
        <w:rPr>
          <w:rFonts w:hint="eastAsia" w:ascii="宋体" w:hAnsi="宋体" w:eastAsia="宋体" w:cs="宋体"/>
          <w:iCs w:val="0"/>
          <w:color w:val="auto"/>
          <w:sz w:val="21"/>
          <w:szCs w:val="21"/>
          <w:highlight w:val="none"/>
          <w:lang w:eastAsia="zh-CN"/>
        </w:rPr>
        <w:t>，《政府采购品目分类目录》底级品目名称</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金额：</w:t>
      </w:r>
      <w:r>
        <w:rPr>
          <w:rFonts w:hint="eastAsia" w:ascii="宋体" w:hAnsi="宋体" w:eastAsia="宋体" w:cs="宋体"/>
          <w:color w:val="auto"/>
          <w:sz w:val="21"/>
          <w:szCs w:val="21"/>
          <w:highlight w:val="none"/>
          <w:u w:val="single"/>
          <w:lang w:val="en-US" w:eastAsia="zh-CN"/>
        </w:rPr>
        <w:t xml:space="preserve">        </w:t>
      </w:r>
    </w:p>
    <w:p w14:paraId="3333668C">
      <w:pPr>
        <w:numPr>
          <w:ilvl w:val="-1"/>
          <w:numId w:val="0"/>
        </w:numPr>
        <w:adjustRightInd w:val="0"/>
        <w:snapToGrid w:val="0"/>
        <w:spacing w:before="0" w:beforeLines="0" w:line="400" w:lineRule="exact"/>
        <w:ind w:firstLine="840" w:firstLineChars="400"/>
        <w:rPr>
          <w:rFonts w:hint="eastAsia" w:ascii="宋体" w:hAnsi="宋体" w:eastAsia="宋体" w:cs="宋体"/>
          <w:iCs w:val="0"/>
          <w:color w:val="auto"/>
          <w:sz w:val="21"/>
          <w:szCs w:val="21"/>
          <w:highlight w:val="none"/>
        </w:rPr>
      </w:pPr>
      <w:r>
        <w:rPr>
          <w:rFonts w:hint="eastAsia" w:ascii="宋体" w:hAnsi="宋体" w:eastAsia="宋体" w:cs="宋体"/>
          <w:color w:val="auto"/>
          <w:sz w:val="21"/>
          <w:szCs w:val="21"/>
          <w:highlight w:val="none"/>
          <w:lang w:val="en-US" w:eastAsia="zh-CN"/>
        </w:rPr>
        <w:t xml:space="preserve">        国别：</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规格型号：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iCs w:val="0"/>
          <w:color w:val="auto"/>
          <w:sz w:val="21"/>
          <w:szCs w:val="21"/>
          <w:highlight w:val="none"/>
        </w:rPr>
        <w:t xml:space="preserve">      </w:t>
      </w:r>
    </w:p>
    <w:p w14:paraId="2F868BE1">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u w:val="none"/>
          <w:lang w:val="en-US" w:eastAsia="zh-CN"/>
        </w:rPr>
      </w:pP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否</w:t>
      </w:r>
    </w:p>
    <w:p w14:paraId="29B30414">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 xml:space="preserve">    （1</w:t>
      </w:r>
      <w:r>
        <w:rPr>
          <w:rFonts w:hint="eastAsia" w:ascii="宋体" w:hAnsi="宋体" w:eastAsia="宋体" w:cs="宋体"/>
          <w:b w:val="0"/>
          <w:bCs w:val="0"/>
          <w:color w:val="auto"/>
          <w:sz w:val="21"/>
          <w:szCs w:val="21"/>
          <w:highlight w:val="none"/>
          <w:u w:val="none"/>
          <w:lang w:val="en" w:eastAsia="zh-CN"/>
        </w:rPr>
        <w:t>0</w:t>
      </w:r>
      <w:r>
        <w:rPr>
          <w:rFonts w:hint="eastAsia" w:ascii="宋体" w:hAnsi="宋体" w:eastAsia="宋体" w:cs="宋体"/>
          <w:b w:val="0"/>
          <w:bCs w:val="0"/>
          <w:color w:val="auto"/>
          <w:sz w:val="21"/>
          <w:szCs w:val="21"/>
          <w:highlight w:val="none"/>
          <w:u w:val="none"/>
          <w:lang w:val="en-US" w:eastAsia="zh-CN"/>
        </w:rPr>
        <w:t>）是否涉及节能产品：</w:t>
      </w:r>
    </w:p>
    <w:p w14:paraId="17BB281F">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 w:val="21"/>
          <w:szCs w:val="21"/>
          <w:highlight w:val="none"/>
          <w:lang w:val="en-US" w:eastAsia="zh-CN"/>
        </w:rPr>
      </w:pP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是</w:t>
      </w:r>
      <w:r>
        <w:rPr>
          <w:rFonts w:hint="eastAsia" w:ascii="宋体" w:hAnsi="宋体" w:eastAsia="宋体" w:cs="宋体"/>
          <w:iCs w:val="0"/>
          <w:color w:val="auto"/>
          <w:sz w:val="21"/>
          <w:szCs w:val="21"/>
          <w:highlight w:val="none"/>
          <w:lang w:eastAsia="zh-CN"/>
        </w:rPr>
        <w:t>，《节能产品政府采购品目清单》的底级品目名称：</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iCs/>
          <w:color w:val="auto"/>
          <w:sz w:val="21"/>
          <w:szCs w:val="21"/>
          <w:highlight w:val="none"/>
          <w:lang w:val="en-US" w:eastAsia="zh-CN"/>
        </w:rPr>
        <w:t xml:space="preserve">     </w:t>
      </w:r>
    </w:p>
    <w:p w14:paraId="49DC4FC8">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 w:val="21"/>
          <w:szCs w:val="21"/>
          <w:highlight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强制采购</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优先采购</w:t>
      </w:r>
      <w:r>
        <w:rPr>
          <w:rFonts w:hint="eastAsia" w:ascii="宋体" w:hAnsi="宋体" w:eastAsia="宋体" w:cs="宋体"/>
          <w:iCs/>
          <w:color w:val="auto"/>
          <w:sz w:val="21"/>
          <w:szCs w:val="21"/>
          <w:highlight w:val="none"/>
          <w:lang w:val="en-US" w:eastAsia="zh-CN"/>
        </w:rPr>
        <w:t xml:space="preserve">    </w:t>
      </w:r>
    </w:p>
    <w:p w14:paraId="7165AD90">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val="0"/>
          <w:color w:val="auto"/>
          <w:sz w:val="21"/>
          <w:szCs w:val="21"/>
          <w:highlight w:val="none"/>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否</w:t>
      </w:r>
    </w:p>
    <w:p w14:paraId="614F1EF5">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 xml:space="preserve">          是否涉及环境标志产品：</w:t>
      </w:r>
    </w:p>
    <w:p w14:paraId="09E05CBA">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val="0"/>
          <w:color w:val="auto"/>
          <w:sz w:val="21"/>
          <w:szCs w:val="21"/>
          <w:highlight w:val="none"/>
          <w:lang w:eastAsia="zh-CN"/>
        </w:rPr>
      </w:pP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是</w:t>
      </w:r>
      <w:r>
        <w:rPr>
          <w:rFonts w:hint="eastAsia" w:ascii="宋体" w:hAnsi="宋体" w:eastAsia="宋体" w:cs="宋体"/>
          <w:iCs w:val="0"/>
          <w:color w:val="auto"/>
          <w:sz w:val="21"/>
          <w:szCs w:val="21"/>
          <w:highlight w:val="none"/>
          <w:lang w:eastAsia="zh-CN"/>
        </w:rPr>
        <w:t>，《环境标志产品政府采购品目清单》的底级品目名称：</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iCs/>
          <w:color w:val="auto"/>
          <w:sz w:val="21"/>
          <w:szCs w:val="21"/>
          <w:highlight w:val="none"/>
          <w:lang w:val="en-US" w:eastAsia="zh-CN"/>
        </w:rPr>
        <w:t xml:space="preserve"> </w:t>
      </w:r>
    </w:p>
    <w:p w14:paraId="522F082F">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 w:val="21"/>
          <w:szCs w:val="21"/>
          <w:highlight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强制采购</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优先采购</w:t>
      </w:r>
      <w:r>
        <w:rPr>
          <w:rFonts w:hint="eastAsia" w:ascii="宋体" w:hAnsi="宋体" w:eastAsia="宋体" w:cs="宋体"/>
          <w:iCs/>
          <w:color w:val="auto"/>
          <w:sz w:val="21"/>
          <w:szCs w:val="21"/>
          <w:highlight w:val="none"/>
          <w:lang w:val="en-US" w:eastAsia="zh-CN"/>
        </w:rPr>
        <w:t xml:space="preserve">    </w:t>
      </w:r>
    </w:p>
    <w:p w14:paraId="26D9199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否</w:t>
      </w:r>
    </w:p>
    <w:p w14:paraId="76BB6FA7">
      <w:pPr>
        <w:pStyle w:val="37"/>
        <w:numPr>
          <w:ilvl w:val="-1"/>
          <w:numId w:val="0"/>
        </w:numPr>
        <w:adjustRightInd w:val="0"/>
        <w:snapToGrid w:val="0"/>
        <w:spacing w:before="0" w:beforeLines="0" w:line="400" w:lineRule="exact"/>
        <w:ind w:firstLine="0" w:firstLineChars="0"/>
        <w:rPr>
          <w:rFonts w:hint="eastAsia" w:ascii="宋体" w:hAnsi="宋体" w:eastAsia="宋体" w:cs="宋体"/>
          <w:iCs w:val="0"/>
          <w:color w:val="auto"/>
          <w:kern w:val="2"/>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eastAsia="宋体" w:cs="宋体"/>
          <w:b w:val="0"/>
          <w:bCs w:val="0"/>
          <w:color w:val="auto"/>
          <w:kern w:val="2"/>
          <w:sz w:val="21"/>
          <w:szCs w:val="21"/>
          <w:highlight w:val="none"/>
          <w:u w:val="none"/>
          <w:lang w:val="en-US" w:eastAsia="zh-CN"/>
        </w:rPr>
        <w:t>是否涉及绿色产品：</w:t>
      </w:r>
      <w:r>
        <w:rPr>
          <w:rFonts w:hint="eastAsia" w:ascii="宋体" w:hAnsi="宋体" w:eastAsia="宋体" w:cs="宋体"/>
          <w:iCs w:val="0"/>
          <w:color w:val="auto"/>
          <w:kern w:val="2"/>
          <w:sz w:val="21"/>
          <w:szCs w:val="21"/>
          <w:highlight w:val="none"/>
          <w:u w:val="none"/>
          <w:lang w:val="en-US" w:eastAsia="zh-CN"/>
        </w:rPr>
        <w:t xml:space="preserve"> </w:t>
      </w:r>
    </w:p>
    <w:p w14:paraId="1965CB32">
      <w:pPr>
        <w:pStyle w:val="37"/>
        <w:spacing w:beforeLines="0"/>
        <w:ind w:firstLine="420" w:firstLineChars="0"/>
        <w:rPr>
          <w:rFonts w:hint="eastAsia" w:ascii="宋体" w:hAnsi="宋体" w:eastAsia="宋体" w:cs="宋体"/>
          <w:color w:val="auto"/>
          <w:sz w:val="21"/>
          <w:szCs w:val="21"/>
          <w:highlight w:val="none"/>
          <w:u w:val="single"/>
          <w:lang w:val="en-US" w:eastAsia="zh-CN"/>
        </w:rPr>
      </w:pPr>
      <w:r>
        <w:rPr>
          <w:rFonts w:hint="eastAsia" w:ascii="宋体" w:hAnsi="宋体" w:eastAsia="宋体" w:cs="宋体"/>
          <w:iCs w:val="0"/>
          <w:color w:val="auto"/>
          <w:kern w:val="2"/>
          <w:sz w:val="21"/>
          <w:szCs w:val="21"/>
          <w:highlight w:val="none"/>
          <w:u w:val="none"/>
          <w:lang w:val="en-US" w:eastAsia="zh-CN"/>
        </w:rPr>
        <w:t xml:space="preserve">     </w:t>
      </w:r>
      <w:r>
        <w:rPr>
          <w:rFonts w:hint="eastAsia" w:ascii="宋体" w:hAnsi="宋体" w:eastAsia="宋体" w:cs="宋体"/>
          <w:iCs w:val="0"/>
          <w:color w:val="auto"/>
          <w:kern w:val="2"/>
          <w:sz w:val="21"/>
          <w:szCs w:val="21"/>
          <w:highlight w:val="none"/>
          <w:u w:val="none"/>
        </w:rPr>
        <w:sym w:font="Wingdings" w:char="00A8"/>
      </w:r>
      <w:r>
        <w:rPr>
          <w:rFonts w:hint="eastAsia" w:ascii="宋体" w:hAnsi="宋体" w:eastAsia="宋体" w:cs="宋体"/>
          <w:iCs w:val="0"/>
          <w:color w:val="auto"/>
          <w:kern w:val="2"/>
          <w:sz w:val="21"/>
          <w:szCs w:val="21"/>
          <w:highlight w:val="none"/>
          <w:u w:val="none"/>
        </w:rPr>
        <w:t>是</w:t>
      </w:r>
      <w:r>
        <w:rPr>
          <w:rFonts w:hint="eastAsia" w:ascii="宋体" w:hAnsi="宋体" w:eastAsia="宋体" w:cs="宋体"/>
          <w:iCs w:val="0"/>
          <w:color w:val="auto"/>
          <w:kern w:val="2"/>
          <w:sz w:val="21"/>
          <w:szCs w:val="21"/>
          <w:highlight w:val="none"/>
          <w:u w:val="none"/>
          <w:lang w:eastAsia="zh-CN"/>
        </w:rPr>
        <w:t>，绿色产品政府采购相关政策确定的底级品目名称：</w:t>
      </w:r>
      <w:r>
        <w:rPr>
          <w:rFonts w:hint="eastAsia" w:ascii="宋体" w:hAnsi="宋体" w:eastAsia="宋体" w:cs="宋体"/>
          <w:color w:val="auto"/>
          <w:sz w:val="21"/>
          <w:szCs w:val="21"/>
          <w:highlight w:val="none"/>
          <w:u w:val="single"/>
          <w:lang w:val="en-US" w:eastAsia="zh-CN"/>
        </w:rPr>
        <w:t xml:space="preserve">         </w:t>
      </w:r>
    </w:p>
    <w:p w14:paraId="01D2B2B4">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 w:val="21"/>
          <w:szCs w:val="21"/>
          <w:highlight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强制采购</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优先采购</w:t>
      </w:r>
      <w:r>
        <w:rPr>
          <w:rFonts w:hint="eastAsia" w:ascii="宋体" w:hAnsi="宋体" w:eastAsia="宋体" w:cs="宋体"/>
          <w:iCs/>
          <w:color w:val="auto"/>
          <w:sz w:val="21"/>
          <w:szCs w:val="21"/>
          <w:highlight w:val="none"/>
          <w:lang w:val="en-US" w:eastAsia="zh-CN"/>
        </w:rPr>
        <w:t xml:space="preserve">    </w:t>
      </w:r>
    </w:p>
    <w:p w14:paraId="57F0C3BA">
      <w:pPr>
        <w:pStyle w:val="37"/>
        <w:spacing w:beforeLines="0"/>
        <w:ind w:firstLine="42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iCs w:val="0"/>
          <w:color w:val="auto"/>
          <w:kern w:val="2"/>
          <w:sz w:val="21"/>
          <w:szCs w:val="21"/>
          <w:highlight w:val="none"/>
          <w:u w:val="none"/>
          <w:lang w:val="en-US" w:eastAsia="zh-CN"/>
        </w:rPr>
        <w:t xml:space="preserve">     </w:t>
      </w:r>
      <w:r>
        <w:rPr>
          <w:rFonts w:hint="eastAsia" w:ascii="宋体" w:hAnsi="宋体" w:eastAsia="宋体" w:cs="宋体"/>
          <w:iCs w:val="0"/>
          <w:color w:val="auto"/>
          <w:kern w:val="2"/>
          <w:sz w:val="21"/>
          <w:szCs w:val="21"/>
          <w:highlight w:val="none"/>
          <w:u w:val="none"/>
        </w:rPr>
        <w:sym w:font="Wingdings" w:char="00A8"/>
      </w:r>
      <w:r>
        <w:rPr>
          <w:rFonts w:hint="eastAsia" w:ascii="宋体" w:hAnsi="宋体" w:eastAsia="宋体" w:cs="宋体"/>
          <w:iCs w:val="0"/>
          <w:color w:val="auto"/>
          <w:kern w:val="2"/>
          <w:sz w:val="21"/>
          <w:szCs w:val="21"/>
          <w:highlight w:val="none"/>
          <w:u w:val="none"/>
        </w:rPr>
        <w:t>否</w:t>
      </w:r>
    </w:p>
    <w:p w14:paraId="469A8CCD">
      <w:pPr>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（1</w:t>
      </w:r>
      <w:r>
        <w:rPr>
          <w:rFonts w:hint="eastAsia" w:ascii="宋体" w:hAnsi="宋体" w:eastAsia="宋体" w:cs="宋体"/>
          <w:color w:val="auto"/>
          <w:sz w:val="21"/>
          <w:szCs w:val="21"/>
          <w:highlight w:val="none"/>
          <w:lang w:val="en" w:eastAsia="zh-CN"/>
        </w:rPr>
        <w:t>1</w:t>
      </w:r>
      <w:r>
        <w:rPr>
          <w:rFonts w:hint="eastAsia" w:ascii="宋体" w:hAnsi="宋体" w:eastAsia="宋体" w:cs="宋体"/>
          <w:color w:val="auto"/>
          <w:sz w:val="21"/>
          <w:szCs w:val="21"/>
          <w:highlight w:val="none"/>
          <w:lang w:val="en-US" w:eastAsia="zh-CN"/>
        </w:rPr>
        <w:t>）涉及商品包装和快递包装的，是否参考</w:t>
      </w:r>
      <w:r>
        <w:rPr>
          <w:rFonts w:hint="eastAsia" w:ascii="宋体" w:hAnsi="宋体" w:eastAsia="宋体" w:cs="宋体"/>
          <w:color w:val="auto"/>
          <w:sz w:val="21"/>
          <w:szCs w:val="21"/>
          <w:highlight w:val="none"/>
        </w:rPr>
        <w:t>《商品包装政府采购需求标准（试行）》、《快递包装政府采购需求标准（试行）》</w:t>
      </w:r>
      <w:r>
        <w:rPr>
          <w:rFonts w:hint="eastAsia" w:ascii="宋体" w:hAnsi="宋体" w:eastAsia="宋体" w:cs="宋体"/>
          <w:color w:val="auto"/>
          <w:sz w:val="21"/>
          <w:szCs w:val="21"/>
          <w:highlight w:val="none"/>
          <w:lang w:eastAsia="zh-CN"/>
        </w:rPr>
        <w:t>明确产品及相关快递服务的具体包装要求：</w:t>
      </w:r>
    </w:p>
    <w:p w14:paraId="31637B1F">
      <w:pPr>
        <w:numPr>
          <w:ilvl w:val="-1"/>
          <w:numId w:val="0"/>
        </w:numPr>
        <w:adjustRightInd w:val="0"/>
        <w:snapToGrid w:val="0"/>
        <w:spacing w:before="0" w:beforeLines="0" w:line="400" w:lineRule="exact"/>
        <w:ind w:firstLine="1050" w:firstLineChars="500"/>
        <w:rPr>
          <w:rFonts w:hint="eastAsia" w:ascii="宋体" w:hAnsi="宋体" w:eastAsia="宋体" w:cs="宋体"/>
          <w:iCs w:val="0"/>
          <w:color w:val="auto"/>
          <w:sz w:val="21"/>
          <w:szCs w:val="21"/>
          <w:highlight w:val="none"/>
          <w:lang w:val="en-US" w:eastAsia="zh-CN"/>
        </w:rPr>
      </w:pP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 xml:space="preserve">是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否</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不涉及</w:t>
      </w:r>
    </w:p>
    <w:p w14:paraId="3F1BC9E3">
      <w:pPr>
        <w:numPr>
          <w:ilvl w:val="0"/>
          <w:numId w:val="3"/>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合同金额</w:t>
      </w:r>
    </w:p>
    <w:p w14:paraId="3AE20D27">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（1）合同金额小写：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7CD6FDFA">
      <w:pPr>
        <w:adjustRightInd w:val="0"/>
        <w:snapToGrid w:val="0"/>
        <w:spacing w:before="0" w:beforeLines="0" w:line="400" w:lineRule="exact"/>
        <w:ind w:left="0" w:firstLine="0" w:firstLine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7466BEAA">
      <w:pPr>
        <w:adjustRightInd w:val="0"/>
        <w:snapToGrid w:val="0"/>
        <w:spacing w:before="0" w:beforeLines="0" w:line="400" w:lineRule="exact"/>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分包金额</w:t>
      </w:r>
      <w:r>
        <w:rPr>
          <w:rFonts w:hint="eastAsia" w:ascii="宋体" w:hAnsi="宋体" w:eastAsia="宋体" w:cs="宋体"/>
          <w:color w:val="auto"/>
          <w:sz w:val="21"/>
          <w:szCs w:val="21"/>
          <w:highlight w:val="none"/>
          <w:lang w:eastAsia="zh-CN"/>
        </w:rPr>
        <w:t>（如有）</w:t>
      </w:r>
      <w:r>
        <w:rPr>
          <w:rFonts w:hint="eastAsia" w:ascii="宋体" w:hAnsi="宋体" w:eastAsia="宋体" w:cs="宋体"/>
          <w:color w:val="auto"/>
          <w:sz w:val="21"/>
          <w:szCs w:val="21"/>
          <w:highlight w:val="none"/>
        </w:rPr>
        <w:t>小写：</w:t>
      </w:r>
      <w:r>
        <w:rPr>
          <w:rFonts w:hint="eastAsia" w:ascii="宋体" w:hAnsi="宋体" w:eastAsia="宋体" w:cs="宋体"/>
          <w:color w:val="auto"/>
          <w:sz w:val="21"/>
          <w:szCs w:val="21"/>
          <w:highlight w:val="none"/>
          <w:u w:val="single"/>
        </w:rPr>
        <w:t xml:space="preserve">                   </w:t>
      </w:r>
    </w:p>
    <w:p w14:paraId="0C7CE46D">
      <w:pPr>
        <w:adjustRightInd w:val="0"/>
        <w:snapToGrid w:val="0"/>
        <w:spacing w:before="0" w:beforeLines="0" w:line="400" w:lineRule="exact"/>
        <w:ind w:firstLine="0" w:firstLine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3F7459D6">
      <w:p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（注：固定单价合同应填写单价和最高限价）</w:t>
      </w:r>
    </w:p>
    <w:p w14:paraId="0CD632B1">
      <w:pPr>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合同定价方式</w:t>
      </w:r>
      <w:r>
        <w:rPr>
          <w:rFonts w:hint="eastAsia" w:ascii="宋体" w:hAnsi="宋体" w:eastAsia="宋体" w:cs="宋体"/>
          <w:color w:val="auto"/>
          <w:sz w:val="21"/>
          <w:szCs w:val="21"/>
          <w:highlight w:val="none"/>
          <w:lang w:eastAsia="zh-CN"/>
        </w:rPr>
        <w:t>（采用组合定价方式的，可以勾选多项）</w:t>
      </w:r>
      <w:r>
        <w:rPr>
          <w:rFonts w:hint="eastAsia" w:ascii="宋体" w:hAnsi="宋体" w:eastAsia="宋体" w:cs="宋体"/>
          <w:color w:val="auto"/>
          <w:sz w:val="21"/>
          <w:szCs w:val="21"/>
          <w:highlight w:val="none"/>
        </w:rPr>
        <w:t>：</w:t>
      </w:r>
    </w:p>
    <w:p w14:paraId="1CCE239E">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固定总价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固定单价</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固定费率</w:t>
      </w:r>
      <w:r>
        <w:rPr>
          <w:rFonts w:hint="eastAsia" w:ascii="宋体" w:hAnsi="宋体" w:eastAsia="宋体" w:cs="宋体"/>
          <w:iCs/>
          <w:color w:val="auto"/>
          <w:sz w:val="21"/>
          <w:szCs w:val="21"/>
          <w:highlight w:val="none"/>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成本补偿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绩效激励</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其他</w:t>
      </w:r>
      <w:r>
        <w:rPr>
          <w:rFonts w:hint="eastAsia" w:ascii="宋体" w:hAnsi="宋体" w:eastAsia="宋体" w:cs="宋体"/>
          <w:color w:val="auto"/>
          <w:sz w:val="21"/>
          <w:szCs w:val="21"/>
          <w:highlight w:val="none"/>
          <w:u w:val="single"/>
        </w:rPr>
        <w:t xml:space="preserve">       </w:t>
      </w:r>
    </w:p>
    <w:p w14:paraId="0F51C916">
      <w:pPr>
        <w:pStyle w:val="70"/>
        <w:spacing w:beforeLines="0"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）付款方式（按项目实际勾选填写）：</w:t>
      </w:r>
    </w:p>
    <w:p w14:paraId="684DBB0F">
      <w:pPr>
        <w:adjustRightInd w:val="0"/>
        <w:snapToGrid w:val="0"/>
        <w:spacing w:before="0" w:beforeLines="0" w:line="400" w:lineRule="exact"/>
        <w:ind w:firstLine="630" w:firstLineChars="3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rPr>
        <w:t>全额付款：</w:t>
      </w:r>
      <w:r>
        <w:rPr>
          <w:rFonts w:hint="eastAsia" w:ascii="宋体" w:hAnsi="宋体" w:eastAsia="宋体" w:cs="宋体"/>
          <w:color w:val="auto"/>
          <w:sz w:val="21"/>
          <w:szCs w:val="21"/>
          <w:highlight w:val="none"/>
          <w:u w:val="single"/>
        </w:rPr>
        <w:t xml:space="preserve">     （应</w:t>
      </w:r>
      <w:r>
        <w:rPr>
          <w:rFonts w:hint="eastAsia" w:ascii="宋体" w:hAnsi="宋体" w:eastAsia="宋体" w:cs="宋体"/>
          <w:color w:val="auto"/>
          <w:sz w:val="21"/>
          <w:szCs w:val="21"/>
          <w:highlight w:val="none"/>
          <w:u w:val="single"/>
          <w:lang w:eastAsia="zh-CN"/>
        </w:rPr>
        <w:t>明确</w:t>
      </w:r>
      <w:r>
        <w:rPr>
          <w:rFonts w:hint="eastAsia" w:ascii="宋体" w:hAnsi="宋体" w:eastAsia="宋体" w:cs="宋体"/>
          <w:color w:val="auto"/>
          <w:sz w:val="21"/>
          <w:szCs w:val="21"/>
          <w:highlight w:val="none"/>
          <w:u w:val="single"/>
        </w:rPr>
        <w:t>一次性支付合同款项</w:t>
      </w:r>
      <w:r>
        <w:rPr>
          <w:rFonts w:hint="eastAsia" w:ascii="宋体" w:hAnsi="宋体" w:eastAsia="宋体" w:cs="宋体"/>
          <w:color w:val="auto"/>
          <w:sz w:val="21"/>
          <w:szCs w:val="21"/>
          <w:highlight w:val="none"/>
          <w:u w:val="single"/>
          <w:lang w:eastAsia="zh-CN"/>
        </w:rPr>
        <w:t>的条件</w:t>
      </w:r>
      <w:r>
        <w:rPr>
          <w:rFonts w:hint="eastAsia" w:ascii="宋体" w:hAnsi="宋体" w:eastAsia="宋体" w:cs="宋体"/>
          <w:color w:val="auto"/>
          <w:sz w:val="21"/>
          <w:szCs w:val="21"/>
          <w:highlight w:val="none"/>
          <w:u w:val="single"/>
        </w:rPr>
        <w:t xml:space="preserve">）                    </w:t>
      </w:r>
    </w:p>
    <w:p w14:paraId="07D32B87">
      <w:pPr>
        <w:snapToGrid w:val="0"/>
        <w:spacing w:beforeLines="0" w:line="400" w:lineRule="exact"/>
        <w:ind w:firstLine="630" w:firstLineChars="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rPr>
        <w:t>分期付款：</w:t>
      </w:r>
      <w:r>
        <w:rPr>
          <w:rFonts w:hint="eastAsia" w:ascii="宋体" w:hAnsi="宋体" w:eastAsia="宋体" w:cs="宋体"/>
          <w:color w:val="auto"/>
          <w:sz w:val="21"/>
          <w:szCs w:val="21"/>
          <w:highlight w:val="none"/>
          <w:u w:val="single"/>
        </w:rPr>
        <w:t xml:space="preserve">  （应明确分期支付合同款项的各期比例和支付条件</w:t>
      </w:r>
      <w:r>
        <w:rPr>
          <w:rFonts w:hint="eastAsia" w:ascii="宋体" w:hAnsi="宋体" w:eastAsia="宋体" w:cs="宋体"/>
          <w:color w:val="auto"/>
          <w:sz w:val="21"/>
          <w:szCs w:val="21"/>
          <w:highlight w:val="none"/>
          <w:u w:val="single"/>
          <w:lang w:eastAsia="zh-CN"/>
        </w:rPr>
        <w:t>，各期支付条件应与分期履约验收情况挂钩</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lang w:eastAsia="zh-CN"/>
        </w:rPr>
        <w:t>其中涉及预付款的</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（应明确预付款的支付比例和支付条件） </w:t>
      </w:r>
    </w:p>
    <w:p w14:paraId="0A1A7CCC">
      <w:pPr>
        <w:adjustRightInd w:val="0"/>
        <w:snapToGrid w:val="0"/>
        <w:spacing w:before="0" w:beforeLines="0" w:line="400" w:lineRule="exact"/>
        <w:ind w:firstLine="630" w:firstLineChars="3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rPr>
        <w:t>成本补偿：</w:t>
      </w:r>
      <w:r>
        <w:rPr>
          <w:rFonts w:hint="eastAsia" w:ascii="宋体" w:hAnsi="宋体" w:eastAsia="宋体" w:cs="宋体"/>
          <w:color w:val="auto"/>
          <w:sz w:val="21"/>
          <w:szCs w:val="21"/>
          <w:highlight w:val="none"/>
          <w:u w:val="single"/>
        </w:rPr>
        <w:t xml:space="preserve">      （应明确按照成本补偿方式的支付方式和支付条件）   </w:t>
      </w:r>
    </w:p>
    <w:p w14:paraId="70461483">
      <w:pPr>
        <w:adjustRightInd w:val="0"/>
        <w:snapToGrid w:val="0"/>
        <w:spacing w:before="0" w:beforeLines="0" w:line="400" w:lineRule="exact"/>
        <w:ind w:firstLine="630" w:firstLineChars="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rPr>
        <w:t>绩效激励：</w:t>
      </w:r>
      <w:r>
        <w:rPr>
          <w:rFonts w:hint="eastAsia" w:ascii="宋体" w:hAnsi="宋体" w:eastAsia="宋体" w:cs="宋体"/>
          <w:color w:val="auto"/>
          <w:sz w:val="21"/>
          <w:szCs w:val="21"/>
          <w:highlight w:val="none"/>
          <w:u w:val="single"/>
        </w:rPr>
        <w:t xml:space="preserve">      （应明确按照绩效激励方式的支付方式和支付条件）   </w:t>
      </w:r>
    </w:p>
    <w:p w14:paraId="6A27CDEB">
      <w:pPr>
        <w:numPr>
          <w:ilvl w:val="0"/>
          <w:numId w:val="3"/>
        </w:numPr>
        <w:adjustRightInd w:val="0"/>
        <w:snapToGrid w:val="0"/>
        <w:spacing w:before="0" w:beforeLines="0" w:line="400" w:lineRule="exact"/>
        <w:ind w:firstLine="422" w:firstLineChars="200"/>
        <w:rPr>
          <w:rFonts w:hint="eastAsia" w:ascii="宋体" w:hAnsi="宋体" w:eastAsia="宋体" w:cs="宋体"/>
          <w:b/>
          <w:bCs w:val="0"/>
          <w:color w:val="auto"/>
          <w:sz w:val="21"/>
          <w:szCs w:val="21"/>
          <w:highlight w:val="none"/>
          <w:u w:val="single"/>
        </w:rPr>
      </w:pPr>
      <w:r>
        <w:rPr>
          <w:rFonts w:hint="eastAsia" w:ascii="宋体" w:hAnsi="宋体" w:eastAsia="宋体" w:cs="宋体"/>
          <w:b/>
          <w:bCs w:val="0"/>
          <w:color w:val="auto"/>
          <w:sz w:val="21"/>
          <w:szCs w:val="21"/>
          <w:highlight w:val="none"/>
        </w:rPr>
        <w:t>合同履行</w:t>
      </w:r>
    </w:p>
    <w:p w14:paraId="7BB86A0D">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（1）起始日期：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日，完成日期：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1E8AF94E">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履约</w:t>
      </w:r>
      <w:r>
        <w:rPr>
          <w:rFonts w:hint="eastAsia" w:ascii="宋体" w:hAnsi="宋体" w:eastAsia="宋体" w:cs="宋体"/>
          <w:color w:val="auto"/>
          <w:sz w:val="21"/>
          <w:szCs w:val="21"/>
          <w:highlight w:val="none"/>
        </w:rPr>
        <w:t>地点</w:t>
      </w:r>
      <w:r>
        <w:rPr>
          <w:rFonts w:hint="eastAsia" w:ascii="宋体" w:hAnsi="宋体" w:eastAsia="宋体" w:cs="宋体"/>
          <w:b w:val="0"/>
          <w:bCs/>
          <w:color w:val="auto"/>
          <w:sz w:val="21"/>
          <w:szCs w:val="21"/>
          <w:highlight w:val="none"/>
        </w:rPr>
        <w:t>：</w:t>
      </w:r>
      <w:r>
        <w:rPr>
          <w:rFonts w:hint="eastAsia" w:ascii="宋体" w:hAnsi="宋体" w:eastAsia="宋体" w:cs="宋体"/>
          <w:color w:val="auto"/>
          <w:sz w:val="21"/>
          <w:szCs w:val="21"/>
          <w:highlight w:val="none"/>
          <w:u w:val="single"/>
        </w:rPr>
        <w:t xml:space="preserve">                             </w:t>
      </w:r>
    </w:p>
    <w:p w14:paraId="6037687B">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rPr>
        <w:t>（3）履约担保：</w:t>
      </w:r>
      <w:r>
        <w:rPr>
          <w:rFonts w:hint="eastAsia" w:ascii="宋体" w:hAnsi="宋体" w:eastAsia="宋体" w:cs="宋体"/>
          <w:color w:val="auto"/>
          <w:sz w:val="21"/>
          <w:szCs w:val="21"/>
          <w:highlight w:val="none"/>
          <w:lang w:val="en-US" w:eastAsia="zh-CN"/>
        </w:rPr>
        <w:t>是否收取履约保证金：</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是</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否</w:t>
      </w:r>
    </w:p>
    <w:p w14:paraId="2F96A3FA">
      <w:pPr>
        <w:pStyle w:val="37"/>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 xml:space="preserve">  收取履约保证金形式：</w:t>
      </w:r>
      <w:r>
        <w:rPr>
          <w:rFonts w:hint="eastAsia" w:ascii="宋体" w:hAnsi="宋体" w:eastAsia="宋体" w:cs="宋体"/>
          <w:bCs/>
          <w:color w:val="auto"/>
          <w:sz w:val="21"/>
          <w:szCs w:val="21"/>
          <w:highlight w:val="none"/>
          <w:u w:val="single"/>
        </w:rPr>
        <w:t xml:space="preserve">                            </w:t>
      </w:r>
    </w:p>
    <w:p w14:paraId="765CCFFC">
      <w:pPr>
        <w:pStyle w:val="37"/>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收取履约保证金金额：</w:t>
      </w:r>
      <w:r>
        <w:rPr>
          <w:rFonts w:hint="eastAsia" w:ascii="宋体" w:hAnsi="宋体" w:eastAsia="宋体" w:cs="宋体"/>
          <w:bCs/>
          <w:color w:val="auto"/>
          <w:sz w:val="21"/>
          <w:szCs w:val="21"/>
          <w:highlight w:val="none"/>
          <w:u w:val="single"/>
        </w:rPr>
        <w:t xml:space="preserve">                            </w:t>
      </w:r>
    </w:p>
    <w:p w14:paraId="54E6FED6">
      <w:pPr>
        <w:snapToGrid w:val="0"/>
        <w:spacing w:beforeLines="0"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u w:val="none"/>
          <w:lang w:val="en-US" w:eastAsia="zh-CN"/>
        </w:rPr>
        <w:t xml:space="preserve">    履约担保期限</w:t>
      </w: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p>
    <w:p w14:paraId="1D28DC4A">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（4）分期履行要求：</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p>
    <w:p w14:paraId="67696B2E">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bCs/>
          <w:color w:val="auto"/>
          <w:sz w:val="21"/>
          <w:szCs w:val="21"/>
          <w:highlight w:val="none"/>
        </w:rPr>
        <w:t>（5）</w:t>
      </w:r>
      <w:r>
        <w:rPr>
          <w:rFonts w:hint="eastAsia" w:ascii="宋体" w:hAnsi="宋体" w:eastAsia="宋体" w:cs="宋体"/>
          <w:bCs/>
          <w:color w:val="auto"/>
          <w:sz w:val="21"/>
          <w:szCs w:val="21"/>
          <w:highlight w:val="none"/>
          <w:lang w:eastAsia="zh-CN"/>
        </w:rPr>
        <w:t>风险处置措施和替代方案</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u w:val="single"/>
        </w:rPr>
        <w:t xml:space="preserve">                                                               </w:t>
      </w:r>
    </w:p>
    <w:p w14:paraId="08A769C1">
      <w:pPr>
        <w:numPr>
          <w:ilvl w:val="0"/>
          <w:numId w:val="3"/>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合同验收</w:t>
      </w:r>
    </w:p>
    <w:p w14:paraId="06898485">
      <w:pPr>
        <w:numPr>
          <w:ilvl w:val="0"/>
          <w:numId w:val="5"/>
        </w:num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验收组织方式：</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自行组织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委托第三方组织</w:t>
      </w:r>
    </w:p>
    <w:p w14:paraId="12679905">
      <w:pPr>
        <w:numPr>
          <w:ilvl w:val="0"/>
          <w:numId w:val="0"/>
        </w:numPr>
        <w:adjustRightInd w:val="0"/>
        <w:snapToGrid w:val="0"/>
        <w:spacing w:before="0" w:beforeLines="0" w:line="4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bCs/>
          <w:color w:val="auto"/>
          <w:sz w:val="21"/>
          <w:szCs w:val="21"/>
          <w:highlight w:val="none"/>
        </w:rPr>
        <w:t>验收主体：</w:t>
      </w:r>
      <w:r>
        <w:rPr>
          <w:rFonts w:hint="eastAsia" w:ascii="宋体" w:hAnsi="宋体" w:eastAsia="宋体" w:cs="宋体"/>
          <w:bCs/>
          <w:color w:val="auto"/>
          <w:sz w:val="21"/>
          <w:szCs w:val="21"/>
          <w:highlight w:val="none"/>
          <w:u w:val="single"/>
        </w:rPr>
        <w:t xml:space="preserve">                  </w:t>
      </w:r>
    </w:p>
    <w:p w14:paraId="0E278AF1">
      <w:pPr>
        <w:adjustRightInd w:val="0"/>
        <w:snapToGrid w:val="0"/>
        <w:spacing w:before="0" w:beforeLines="0" w:line="400" w:lineRule="exact"/>
        <w:ind w:firstLine="0" w:firstLine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bCs/>
          <w:color w:val="auto"/>
          <w:sz w:val="21"/>
          <w:szCs w:val="21"/>
          <w:highlight w:val="none"/>
        </w:rPr>
        <w:t>是否邀请本项目的其他供应商</w:t>
      </w:r>
      <w:r>
        <w:rPr>
          <w:rFonts w:hint="eastAsia" w:ascii="宋体" w:hAnsi="宋体" w:eastAsia="宋体" w:cs="宋体"/>
          <w:bCs/>
          <w:color w:val="auto"/>
          <w:sz w:val="21"/>
          <w:szCs w:val="21"/>
          <w:highlight w:val="none"/>
          <w:lang w:eastAsia="zh-CN"/>
        </w:rPr>
        <w:t>参加验收</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3B8CF6DF">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是否邀请专家</w:t>
      </w:r>
      <w:r>
        <w:rPr>
          <w:rFonts w:hint="eastAsia" w:ascii="宋体" w:hAnsi="宋体" w:eastAsia="宋体" w:cs="宋体"/>
          <w:bCs/>
          <w:color w:val="auto"/>
          <w:sz w:val="21"/>
          <w:szCs w:val="21"/>
          <w:highlight w:val="none"/>
          <w:lang w:eastAsia="zh-CN"/>
        </w:rPr>
        <w:t>参加验收</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53FE791D">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是否邀请服务对象</w:t>
      </w:r>
      <w:r>
        <w:rPr>
          <w:rFonts w:hint="eastAsia" w:ascii="宋体" w:hAnsi="宋体" w:eastAsia="宋体" w:cs="宋体"/>
          <w:bCs/>
          <w:color w:val="auto"/>
          <w:sz w:val="21"/>
          <w:szCs w:val="21"/>
          <w:highlight w:val="none"/>
          <w:lang w:eastAsia="zh-CN"/>
        </w:rPr>
        <w:t>参加验收</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312F90D6">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是否邀请第三方检测机构</w:t>
      </w:r>
      <w:r>
        <w:rPr>
          <w:rFonts w:hint="eastAsia" w:ascii="宋体" w:hAnsi="宋体" w:eastAsia="宋体" w:cs="宋体"/>
          <w:bCs/>
          <w:color w:val="auto"/>
          <w:sz w:val="21"/>
          <w:szCs w:val="21"/>
          <w:highlight w:val="none"/>
          <w:lang w:eastAsia="zh-CN"/>
        </w:rPr>
        <w:t>参加验收</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411CB732">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是否进行抽查检测：</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是</w:t>
      </w:r>
      <w:r>
        <w:rPr>
          <w:rFonts w:hint="eastAsia" w:ascii="宋体" w:hAnsi="宋体" w:eastAsia="宋体" w:cs="宋体"/>
          <w:bCs/>
          <w:color w:val="auto"/>
          <w:sz w:val="21"/>
          <w:szCs w:val="21"/>
          <w:highlight w:val="none"/>
          <w:lang w:eastAsia="zh-CN"/>
        </w:rPr>
        <w:t>，抽查比例：</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451EC1EF">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u w:val="single"/>
          <w:lang w:eastAsia="zh-CN"/>
        </w:rPr>
      </w:pPr>
      <w:r>
        <w:rPr>
          <w:rFonts w:hint="eastAsia" w:ascii="宋体" w:hAnsi="宋体" w:eastAsia="宋体" w:cs="宋体"/>
          <w:bCs/>
          <w:color w:val="auto"/>
          <w:sz w:val="21"/>
          <w:szCs w:val="21"/>
          <w:highlight w:val="none"/>
          <w:lang w:val="en-US" w:eastAsia="zh-CN"/>
        </w:rPr>
        <w:t>是否存在破坏性检测：</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是</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u w:val="single"/>
          <w:lang w:eastAsia="zh-CN"/>
        </w:rPr>
        <w:t>（应明确对被破坏的检测产品的处理方式）</w:t>
      </w:r>
    </w:p>
    <w:p w14:paraId="6F575199">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713A6911">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验收组织的其他事项：</w:t>
      </w:r>
      <w:r>
        <w:rPr>
          <w:rFonts w:hint="eastAsia" w:ascii="宋体" w:hAnsi="宋体" w:eastAsia="宋体" w:cs="宋体"/>
          <w:bCs/>
          <w:color w:val="auto"/>
          <w:sz w:val="21"/>
          <w:szCs w:val="21"/>
          <w:highlight w:val="none"/>
          <w:u w:val="single"/>
        </w:rPr>
        <w:t xml:space="preserve">                </w:t>
      </w:r>
    </w:p>
    <w:p w14:paraId="34F035FE">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（2）履约验收时间：</w:t>
      </w:r>
      <w:r>
        <w:rPr>
          <w:rFonts w:hint="eastAsia" w:ascii="宋体" w:hAnsi="宋体" w:eastAsia="宋体" w:cs="宋体"/>
          <w:bCs/>
          <w:color w:val="auto"/>
          <w:sz w:val="21"/>
          <w:szCs w:val="21"/>
          <w:highlight w:val="none"/>
          <w:u w:val="single"/>
        </w:rPr>
        <w:t>（计划于何时验收/供应商提出验收申请之日起   日内组织验收）</w:t>
      </w:r>
      <w:r>
        <w:rPr>
          <w:rFonts w:hint="eastAsia" w:ascii="宋体" w:hAnsi="宋体" w:eastAsia="宋体" w:cs="宋体"/>
          <w:bCs/>
          <w:color w:val="auto"/>
          <w:sz w:val="21"/>
          <w:szCs w:val="21"/>
          <w:highlight w:val="none"/>
          <w:u w:val="single"/>
          <w:lang w:val="en-US" w:eastAsia="zh-CN"/>
        </w:rPr>
        <w:t xml:space="preserve"> </w:t>
      </w:r>
    </w:p>
    <w:p w14:paraId="7AAAB0FB">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（3）履约验收方式：</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一次性验收         </w:t>
      </w:r>
    </w:p>
    <w:p w14:paraId="730E481A">
      <w:pPr>
        <w:adjustRightInd w:val="0"/>
        <w:snapToGrid w:val="0"/>
        <w:spacing w:before="0" w:beforeLines="0" w:line="400" w:lineRule="exact"/>
        <w:ind w:firstLine="0" w:firstLineChars="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分期/分项验收</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eastAsia="zh-CN"/>
        </w:rPr>
        <w:t>（应明确分期</w:t>
      </w:r>
      <w:r>
        <w:rPr>
          <w:rFonts w:hint="eastAsia" w:ascii="宋体" w:hAnsi="宋体" w:eastAsia="宋体" w:cs="宋体"/>
          <w:bCs/>
          <w:color w:val="auto"/>
          <w:sz w:val="21"/>
          <w:szCs w:val="21"/>
          <w:highlight w:val="none"/>
          <w:u w:val="single"/>
          <w:lang w:val="en" w:eastAsia="zh-CN"/>
        </w:rPr>
        <w:t>/分项验收的工作安排</w:t>
      </w:r>
      <w:r>
        <w:rPr>
          <w:rFonts w:hint="eastAsia" w:ascii="宋体" w:hAnsi="宋体" w:eastAsia="宋体" w:cs="宋体"/>
          <w:bCs/>
          <w:color w:val="auto"/>
          <w:sz w:val="21"/>
          <w:szCs w:val="21"/>
          <w:highlight w:val="none"/>
          <w:u w:val="single"/>
          <w:lang w:eastAsia="zh-CN"/>
        </w:rPr>
        <w:t>）</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p>
    <w:p w14:paraId="5FED00E5">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（4）履约验收程序：</w:t>
      </w:r>
      <w:r>
        <w:rPr>
          <w:rFonts w:hint="eastAsia" w:ascii="宋体" w:hAnsi="宋体" w:eastAsia="宋体" w:cs="宋体"/>
          <w:bCs/>
          <w:color w:val="auto"/>
          <w:sz w:val="21"/>
          <w:szCs w:val="21"/>
          <w:highlight w:val="none"/>
          <w:u w:val="single"/>
        </w:rPr>
        <w:t xml:space="preserve">                                         </w:t>
      </w:r>
    </w:p>
    <w:p w14:paraId="1036A9B1">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（5）履约验收的内容：</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eastAsia="zh-CN"/>
        </w:rPr>
        <w:t>（应当包括每一项技术和商务要求的履约情况，特别是落实政府采购扶持中小企业，支持绿色发展和乡村振兴等政策情况）</w:t>
      </w:r>
      <w:r>
        <w:rPr>
          <w:rFonts w:hint="eastAsia" w:ascii="宋体" w:hAnsi="宋体" w:eastAsia="宋体" w:cs="宋体"/>
          <w:bCs/>
          <w:color w:val="auto"/>
          <w:sz w:val="21"/>
          <w:szCs w:val="21"/>
          <w:highlight w:val="none"/>
          <w:u w:val="single"/>
        </w:rPr>
        <w:t xml:space="preserve">                                      </w:t>
      </w:r>
    </w:p>
    <w:p w14:paraId="004A39AB">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（6）履约验收标准：</w:t>
      </w:r>
      <w:r>
        <w:rPr>
          <w:rFonts w:hint="eastAsia" w:ascii="宋体" w:hAnsi="宋体" w:eastAsia="宋体" w:cs="宋体"/>
          <w:bCs/>
          <w:color w:val="auto"/>
          <w:sz w:val="21"/>
          <w:szCs w:val="21"/>
          <w:highlight w:val="none"/>
          <w:u w:val="single"/>
        </w:rPr>
        <w:t xml:space="preserve">                                         </w:t>
      </w:r>
    </w:p>
    <w:p w14:paraId="09FF201C">
      <w:pPr>
        <w:pStyle w:val="37"/>
        <w:spacing w:beforeLines="0"/>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none"/>
          <w:lang w:val="en-US" w:eastAsia="zh-CN"/>
        </w:rPr>
        <w:t>7</w:t>
      </w:r>
      <w:r>
        <w:rPr>
          <w:rFonts w:hint="eastAsia" w:ascii="宋体" w:hAnsi="宋体" w:eastAsia="宋体" w:cs="宋体"/>
          <w:bCs/>
          <w:color w:val="auto"/>
          <w:sz w:val="21"/>
          <w:szCs w:val="21"/>
          <w:highlight w:val="none"/>
          <w:u w:val="none"/>
          <w:lang w:eastAsia="zh-CN"/>
        </w:rPr>
        <w:t>）是否以采购活动中供应商提供的样品作为参考：</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6B31070E">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（8）履约验收其他事项：</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i w:val="0"/>
          <w:iCs w:val="0"/>
          <w:color w:val="auto"/>
          <w:sz w:val="21"/>
          <w:szCs w:val="21"/>
          <w:highlight w:val="none"/>
          <w:u w:val="single"/>
        </w:rPr>
        <w:t>（产权过户登记等）</w:t>
      </w:r>
      <w:r>
        <w:rPr>
          <w:rFonts w:hint="eastAsia" w:ascii="宋体" w:hAnsi="宋体" w:eastAsia="宋体" w:cs="宋体"/>
          <w:bCs/>
          <w:color w:val="auto"/>
          <w:sz w:val="21"/>
          <w:szCs w:val="21"/>
          <w:highlight w:val="none"/>
          <w:u w:val="single"/>
        </w:rPr>
        <w:t xml:space="preserve">          </w:t>
      </w:r>
    </w:p>
    <w:p w14:paraId="12D12B78">
      <w:pPr>
        <w:numPr>
          <w:ilvl w:val="0"/>
          <w:numId w:val="3"/>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组成合同的文件</w:t>
      </w:r>
    </w:p>
    <w:p w14:paraId="64351A2D">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本协议书与下列文件一起构成合同文件，如下述文件之间有任何抵触、矛盾或歧义，应按以下顺序解释：</w:t>
      </w:r>
    </w:p>
    <w:p w14:paraId="68D4877D">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政府采购</w:t>
      </w:r>
      <w:r>
        <w:rPr>
          <w:rFonts w:hint="eastAsia" w:ascii="宋体" w:hAnsi="宋体" w:eastAsia="宋体" w:cs="宋体"/>
          <w:color w:val="auto"/>
          <w:sz w:val="21"/>
          <w:szCs w:val="21"/>
          <w:highlight w:val="none"/>
        </w:rPr>
        <w:t>合同协议书及其变更、补充</w:t>
      </w:r>
      <w:r>
        <w:rPr>
          <w:rFonts w:hint="eastAsia" w:ascii="宋体" w:hAnsi="宋体" w:eastAsia="宋体" w:cs="宋体"/>
          <w:color w:val="auto"/>
          <w:sz w:val="21"/>
          <w:szCs w:val="21"/>
          <w:highlight w:val="none"/>
          <w:lang w:eastAsia="zh-CN"/>
        </w:rPr>
        <w:t>协议</w:t>
      </w:r>
    </w:p>
    <w:p w14:paraId="44E38EF1">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）政府采购合同专用条款</w:t>
      </w:r>
    </w:p>
    <w:p w14:paraId="7E1D83EA">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）政府采购合同通用条款</w:t>
      </w:r>
    </w:p>
    <w:p w14:paraId="7FF12C16">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）中标</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通知书</w:t>
      </w:r>
    </w:p>
    <w:p w14:paraId="7A560505">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）投标（响应）文件</w:t>
      </w:r>
    </w:p>
    <w:p w14:paraId="04975BDA">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（6）采购文件</w:t>
      </w:r>
    </w:p>
    <w:p w14:paraId="7372A09D">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（7）有关技术文件，图纸</w:t>
      </w:r>
    </w:p>
    <w:p w14:paraId="6712BEBD">
      <w:pPr>
        <w:pStyle w:val="37"/>
        <w:spacing w:beforeLines="0"/>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p>
    <w:p w14:paraId="26F77EB9">
      <w:pPr>
        <w:numPr>
          <w:ilvl w:val="0"/>
          <w:numId w:val="3"/>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合同生效</w:t>
      </w:r>
    </w:p>
    <w:p w14:paraId="488CA610">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本合同自</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生效。</w:t>
      </w:r>
    </w:p>
    <w:p w14:paraId="15F85FF4">
      <w:pPr>
        <w:numPr>
          <w:ilvl w:val="0"/>
          <w:numId w:val="3"/>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合同份数</w:t>
      </w:r>
    </w:p>
    <w:p w14:paraId="18997E31">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本合同一式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执</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执</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份，均具有同等法律效力。</w:t>
      </w:r>
    </w:p>
    <w:p w14:paraId="0629D407">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合同订立时间：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2DF0FD02">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合同订立地点：</w:t>
      </w:r>
      <w:r>
        <w:rPr>
          <w:rFonts w:hint="eastAsia" w:ascii="宋体" w:hAnsi="宋体" w:eastAsia="宋体" w:cs="宋体"/>
          <w:color w:val="auto"/>
          <w:sz w:val="21"/>
          <w:szCs w:val="21"/>
          <w:highlight w:val="none"/>
          <w:u w:val="single"/>
        </w:rPr>
        <w:t xml:space="preserve">                           </w:t>
      </w:r>
    </w:p>
    <w:p w14:paraId="7CA56739">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附件：具体标</w:t>
      </w:r>
      <w:r>
        <w:rPr>
          <w:rFonts w:hint="eastAsia" w:ascii="宋体" w:hAnsi="宋体" w:eastAsia="宋体" w:cs="宋体"/>
          <w:color w:val="auto"/>
          <w:sz w:val="21"/>
          <w:szCs w:val="21"/>
          <w:highlight w:val="none"/>
          <w:lang w:eastAsia="zh-CN"/>
        </w:rPr>
        <w:t>的及其</w:t>
      </w:r>
      <w:r>
        <w:rPr>
          <w:rFonts w:hint="eastAsia" w:ascii="宋体" w:hAnsi="宋体" w:eastAsia="宋体" w:cs="宋体"/>
          <w:color w:val="auto"/>
          <w:sz w:val="21"/>
          <w:szCs w:val="21"/>
          <w:highlight w:val="none"/>
          <w:u w:val="none"/>
          <w:lang w:val="en-US" w:eastAsia="zh-CN"/>
        </w:rPr>
        <w:t>技术要求和商务要求</w:t>
      </w:r>
      <w:r>
        <w:rPr>
          <w:rFonts w:hint="eastAsia" w:ascii="宋体" w:hAnsi="宋体" w:eastAsia="宋体" w:cs="宋体"/>
          <w:color w:val="auto"/>
          <w:sz w:val="21"/>
          <w:szCs w:val="21"/>
          <w:highlight w:val="none"/>
        </w:rPr>
        <w:t>、联合</w:t>
      </w:r>
      <w:r>
        <w:rPr>
          <w:rFonts w:hint="eastAsia" w:cs="宋体"/>
          <w:color w:val="auto"/>
          <w:sz w:val="21"/>
          <w:szCs w:val="21"/>
          <w:highlight w:val="none"/>
          <w:lang w:val="en-US" w:eastAsia="zh-CN"/>
        </w:rPr>
        <w:t>体</w:t>
      </w:r>
      <w:r>
        <w:rPr>
          <w:rFonts w:hint="eastAsia" w:ascii="宋体" w:hAnsi="宋体" w:eastAsia="宋体" w:cs="宋体"/>
          <w:color w:val="auto"/>
          <w:sz w:val="21"/>
          <w:szCs w:val="21"/>
          <w:highlight w:val="none"/>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、分包</w:t>
      </w:r>
      <w:r>
        <w:rPr>
          <w:rFonts w:hint="eastAsia" w:ascii="宋体" w:hAnsi="宋体" w:eastAsia="宋体" w:cs="宋体"/>
          <w:color w:val="auto"/>
          <w:sz w:val="21"/>
          <w:szCs w:val="21"/>
          <w:highlight w:val="none"/>
          <w:lang w:eastAsia="zh-CN"/>
        </w:rPr>
        <w:t>意向</w:t>
      </w:r>
      <w:r>
        <w:rPr>
          <w:rFonts w:hint="eastAsia" w:ascii="宋体" w:hAnsi="宋体" w:eastAsia="宋体" w:cs="宋体"/>
          <w:color w:val="auto"/>
          <w:sz w:val="21"/>
          <w:szCs w:val="21"/>
          <w:highlight w:val="none"/>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等。</w:t>
      </w:r>
    </w:p>
    <w:p w14:paraId="0D129071">
      <w:pPr>
        <w:pStyle w:val="70"/>
        <w:rPr>
          <w:rFonts w:hint="eastAsia" w:ascii="宋体" w:hAnsi="宋体" w:eastAsia="宋体" w:cs="宋体"/>
          <w:color w:val="auto"/>
          <w:sz w:val="21"/>
          <w:szCs w:val="21"/>
          <w:highlight w:val="none"/>
        </w:rPr>
      </w:pPr>
    </w:p>
    <w:p w14:paraId="5CEC79C0">
      <w:pPr>
        <w:pStyle w:val="70"/>
        <w:rPr>
          <w:rFonts w:hint="eastAsia" w:ascii="宋体" w:hAnsi="宋体" w:eastAsia="宋体" w:cs="宋体"/>
          <w:color w:val="auto"/>
          <w:sz w:val="21"/>
          <w:szCs w:val="21"/>
          <w:highlight w:val="none"/>
        </w:rPr>
      </w:pPr>
    </w:p>
    <w:p w14:paraId="4FAD25FD">
      <w:pPr>
        <w:pStyle w:val="70"/>
        <w:rPr>
          <w:rFonts w:hint="eastAsia" w:ascii="宋体" w:hAnsi="宋体" w:eastAsia="宋体" w:cs="宋体"/>
          <w:color w:val="auto"/>
          <w:sz w:val="21"/>
          <w:szCs w:val="21"/>
          <w:highlight w:val="none"/>
        </w:rPr>
      </w:pPr>
    </w:p>
    <w:p w14:paraId="10A85BCA">
      <w:pPr>
        <w:pStyle w:val="70"/>
        <w:rPr>
          <w:rFonts w:hint="eastAsia" w:ascii="宋体" w:hAnsi="宋体" w:eastAsia="宋体" w:cs="宋体"/>
          <w:color w:val="auto"/>
          <w:sz w:val="21"/>
          <w:szCs w:val="21"/>
          <w:highlight w:val="none"/>
        </w:rPr>
      </w:pPr>
    </w:p>
    <w:p w14:paraId="75233267">
      <w:pPr>
        <w:pStyle w:val="70"/>
        <w:rPr>
          <w:rFonts w:hint="eastAsia" w:ascii="宋体" w:hAnsi="宋体" w:eastAsia="宋体" w:cs="宋体"/>
          <w:color w:val="auto"/>
          <w:sz w:val="21"/>
          <w:szCs w:val="21"/>
          <w:highlight w:val="none"/>
        </w:rPr>
      </w:pPr>
    </w:p>
    <w:p w14:paraId="5409D989">
      <w:pPr>
        <w:pStyle w:val="70"/>
        <w:rPr>
          <w:rFonts w:hint="eastAsia" w:ascii="宋体" w:hAnsi="宋体" w:eastAsia="宋体" w:cs="宋体"/>
          <w:color w:val="auto"/>
          <w:sz w:val="21"/>
          <w:szCs w:val="21"/>
          <w:highlight w:val="none"/>
        </w:rPr>
      </w:pPr>
    </w:p>
    <w:p w14:paraId="15B355E6">
      <w:pPr>
        <w:pStyle w:val="70"/>
        <w:rPr>
          <w:rFonts w:hint="eastAsia" w:ascii="宋体" w:hAnsi="宋体" w:eastAsia="宋体" w:cs="宋体"/>
          <w:color w:val="auto"/>
          <w:sz w:val="21"/>
          <w:szCs w:val="21"/>
          <w:highlight w:val="none"/>
        </w:rPr>
      </w:pPr>
    </w:p>
    <w:p w14:paraId="1BDFDC59">
      <w:pPr>
        <w:pStyle w:val="70"/>
        <w:rPr>
          <w:rFonts w:hint="eastAsia" w:ascii="宋体" w:hAnsi="宋体" w:eastAsia="宋体" w:cs="宋体"/>
          <w:color w:val="auto"/>
          <w:sz w:val="21"/>
          <w:szCs w:val="21"/>
          <w:highlight w:val="none"/>
        </w:rPr>
      </w:pPr>
    </w:p>
    <w:tbl>
      <w:tblPr>
        <w:tblStyle w:val="30"/>
        <w:tblW w:w="4868" w:type="pct"/>
        <w:tblInd w:w="10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145"/>
        <w:gridCol w:w="2053"/>
        <w:gridCol w:w="1978"/>
        <w:gridCol w:w="2121"/>
      </w:tblGrid>
      <w:tr w14:paraId="30EEA23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30" w:type="pct"/>
            <w:gridSpan w:val="2"/>
            <w:tcBorders>
              <w:bottom w:val="single" w:color="auto" w:sz="2" w:space="0"/>
              <w:right w:val="single" w:color="auto" w:sz="2" w:space="0"/>
            </w:tcBorders>
            <w:vAlign w:val="center"/>
          </w:tcPr>
          <w:p w14:paraId="122EEEC5">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甲方（采购人</w:t>
            </w:r>
            <w:r>
              <w:rPr>
                <w:rFonts w:hint="eastAsia" w:ascii="宋体" w:hAnsi="宋体" w:eastAsia="宋体" w:cs="宋体"/>
                <w:color w:val="auto"/>
                <w:sz w:val="21"/>
                <w:szCs w:val="21"/>
                <w:highlight w:val="none"/>
                <w:lang w:eastAsia="zh-CN"/>
              </w:rPr>
              <w:t>、受采购人委托签订合同的单位</w:t>
            </w:r>
            <w:r>
              <w:rPr>
                <w:rFonts w:hint="eastAsia" w:ascii="宋体" w:hAnsi="宋体" w:eastAsia="宋体" w:cs="宋体"/>
                <w:color w:val="auto"/>
                <w:sz w:val="21"/>
                <w:szCs w:val="21"/>
                <w:highlight w:val="none"/>
              </w:rPr>
              <w:t>或采购文件约定的合同甲方）</w:t>
            </w:r>
          </w:p>
        </w:tc>
        <w:tc>
          <w:tcPr>
            <w:tcW w:w="2469" w:type="pct"/>
            <w:gridSpan w:val="2"/>
            <w:tcBorders>
              <w:left w:val="single" w:color="auto" w:sz="2" w:space="0"/>
              <w:bottom w:val="single" w:color="auto" w:sz="2" w:space="0"/>
            </w:tcBorders>
            <w:vAlign w:val="center"/>
          </w:tcPr>
          <w:p w14:paraId="1ADB6644">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乙方（供应商）</w:t>
            </w:r>
          </w:p>
        </w:tc>
      </w:tr>
      <w:tr w14:paraId="73D34EF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293" w:type="pct"/>
            <w:tcBorders>
              <w:top w:val="single" w:color="auto" w:sz="2" w:space="0"/>
              <w:bottom w:val="single" w:color="auto" w:sz="2" w:space="0"/>
              <w:right w:val="single" w:color="auto" w:sz="2" w:space="0"/>
            </w:tcBorders>
            <w:vAlign w:val="center"/>
          </w:tcPr>
          <w:p w14:paraId="2893D5B0">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单位名称（公章</w:t>
            </w:r>
            <w:r>
              <w:rPr>
                <w:rFonts w:hint="eastAsia" w:ascii="宋体" w:hAnsi="宋体" w:eastAsia="宋体" w:cs="宋体"/>
                <w:color w:val="auto"/>
                <w:sz w:val="21"/>
                <w:szCs w:val="21"/>
                <w:highlight w:val="none"/>
                <w:lang w:eastAsia="zh-CN"/>
              </w:rPr>
              <w:t>或合同章</w:t>
            </w:r>
            <w:r>
              <w:rPr>
                <w:rFonts w:hint="eastAsia" w:ascii="宋体" w:hAnsi="宋体" w:eastAsia="宋体" w:cs="宋体"/>
                <w:color w:val="auto"/>
                <w:sz w:val="21"/>
                <w:szCs w:val="21"/>
                <w:highlight w:val="none"/>
              </w:rPr>
              <w:t>）</w:t>
            </w:r>
          </w:p>
        </w:tc>
        <w:tc>
          <w:tcPr>
            <w:tcW w:w="1236" w:type="pct"/>
            <w:tcBorders>
              <w:top w:val="single" w:color="auto" w:sz="2" w:space="0"/>
              <w:left w:val="single" w:color="auto" w:sz="2" w:space="0"/>
              <w:bottom w:val="single" w:color="auto" w:sz="2" w:space="0"/>
              <w:right w:val="single" w:color="auto" w:sz="2" w:space="0"/>
            </w:tcBorders>
            <w:vAlign w:val="center"/>
          </w:tcPr>
          <w:p w14:paraId="55E33E36">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0CD156FD">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单位名称（公章</w:t>
            </w:r>
            <w:r>
              <w:rPr>
                <w:rFonts w:hint="eastAsia" w:ascii="宋体" w:hAnsi="宋体" w:eastAsia="宋体" w:cs="宋体"/>
                <w:color w:val="auto"/>
                <w:sz w:val="21"/>
                <w:szCs w:val="21"/>
                <w:highlight w:val="none"/>
                <w:lang w:eastAsia="zh-CN"/>
              </w:rPr>
              <w:t>或合同章</w:t>
            </w:r>
            <w:r>
              <w:rPr>
                <w:rFonts w:hint="eastAsia" w:ascii="宋体" w:hAnsi="宋体" w:eastAsia="宋体" w:cs="宋体"/>
                <w:color w:val="auto"/>
                <w:sz w:val="21"/>
                <w:szCs w:val="21"/>
                <w:highlight w:val="none"/>
              </w:rPr>
              <w:t>）</w:t>
            </w:r>
          </w:p>
        </w:tc>
        <w:tc>
          <w:tcPr>
            <w:tcW w:w="1277" w:type="pct"/>
            <w:tcBorders>
              <w:top w:val="single" w:color="auto" w:sz="2" w:space="0"/>
              <w:left w:val="single" w:color="auto" w:sz="2" w:space="0"/>
              <w:bottom w:val="single" w:color="auto" w:sz="2" w:space="0"/>
            </w:tcBorders>
            <w:vAlign w:val="center"/>
          </w:tcPr>
          <w:p w14:paraId="33BA3691">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1AF345D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293" w:type="pct"/>
            <w:vMerge w:val="restart"/>
            <w:tcBorders>
              <w:top w:val="single" w:color="auto" w:sz="2" w:space="0"/>
              <w:right w:val="single" w:color="auto" w:sz="2" w:space="0"/>
            </w:tcBorders>
            <w:vAlign w:val="center"/>
          </w:tcPr>
          <w:p w14:paraId="36476D95">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p>
          <w:p w14:paraId="13B8614E">
            <w:pPr>
              <w:adjustRightInd w:val="0"/>
              <w:snapToGrid w:val="0"/>
              <w:spacing w:line="300" w:lineRule="exact"/>
              <w:ind w:firstLine="100" w:firstLineChars="4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或其委托代理人（签章）</w:t>
            </w:r>
          </w:p>
        </w:tc>
        <w:tc>
          <w:tcPr>
            <w:tcW w:w="1236" w:type="pct"/>
            <w:vMerge w:val="restart"/>
            <w:tcBorders>
              <w:top w:val="single" w:color="auto" w:sz="2" w:space="0"/>
              <w:left w:val="single" w:color="auto" w:sz="2" w:space="0"/>
              <w:right w:val="single" w:color="auto" w:sz="2" w:space="0"/>
            </w:tcBorders>
            <w:vAlign w:val="center"/>
          </w:tcPr>
          <w:p w14:paraId="1898CF89">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right w:val="single" w:color="auto" w:sz="2" w:space="0"/>
            </w:tcBorders>
            <w:vAlign w:val="center"/>
          </w:tcPr>
          <w:p w14:paraId="5838F6CE">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p>
          <w:p w14:paraId="7DCF0669">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或其委托代理人（签章）</w:t>
            </w:r>
          </w:p>
        </w:tc>
        <w:tc>
          <w:tcPr>
            <w:tcW w:w="1277" w:type="pct"/>
            <w:tcBorders>
              <w:top w:val="single" w:color="auto" w:sz="2" w:space="0"/>
              <w:left w:val="single" w:color="auto" w:sz="2" w:space="0"/>
              <w:bottom w:val="single" w:color="auto" w:sz="2" w:space="0"/>
            </w:tcBorders>
            <w:vAlign w:val="center"/>
          </w:tcPr>
          <w:p w14:paraId="28DBBD99">
            <w:pPr>
              <w:adjustRightInd w:val="0"/>
              <w:snapToGrid w:val="0"/>
              <w:spacing w:line="300" w:lineRule="exact"/>
              <w:jc w:val="center"/>
              <w:rPr>
                <w:rFonts w:hint="eastAsia" w:ascii="宋体" w:hAnsi="宋体" w:eastAsia="宋体" w:cs="宋体"/>
                <w:color w:val="auto"/>
                <w:sz w:val="21"/>
                <w:szCs w:val="21"/>
                <w:highlight w:val="none"/>
              </w:rPr>
            </w:pPr>
          </w:p>
        </w:tc>
      </w:tr>
      <w:tr w14:paraId="73DF280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vMerge w:val="continue"/>
            <w:tcBorders>
              <w:bottom w:val="single" w:color="auto" w:sz="2" w:space="0"/>
              <w:right w:val="single" w:color="auto" w:sz="2" w:space="0"/>
            </w:tcBorders>
            <w:vAlign w:val="center"/>
          </w:tcPr>
          <w:p w14:paraId="79741DED">
            <w:pPr>
              <w:adjustRightInd w:val="0"/>
              <w:snapToGrid w:val="0"/>
              <w:spacing w:line="300" w:lineRule="exact"/>
              <w:jc w:val="center"/>
              <w:rPr>
                <w:rFonts w:hint="eastAsia" w:ascii="宋体" w:hAnsi="宋体" w:eastAsia="宋体" w:cs="宋体"/>
                <w:color w:val="auto"/>
                <w:sz w:val="21"/>
                <w:szCs w:val="21"/>
                <w:highlight w:val="none"/>
              </w:rPr>
            </w:pPr>
          </w:p>
        </w:tc>
        <w:tc>
          <w:tcPr>
            <w:tcW w:w="1236" w:type="pct"/>
            <w:vMerge w:val="continue"/>
            <w:tcBorders>
              <w:left w:val="single" w:color="auto" w:sz="2" w:space="0"/>
              <w:bottom w:val="single" w:color="auto" w:sz="2" w:space="0"/>
              <w:right w:val="single" w:color="auto" w:sz="2" w:space="0"/>
            </w:tcBorders>
            <w:vAlign w:val="center"/>
          </w:tcPr>
          <w:p w14:paraId="109C2527">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5999D7D6">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拥有者性别</w:t>
            </w:r>
          </w:p>
        </w:tc>
        <w:tc>
          <w:tcPr>
            <w:tcW w:w="1277" w:type="pct"/>
            <w:tcBorders>
              <w:top w:val="single" w:color="auto" w:sz="2" w:space="0"/>
              <w:left w:val="single" w:color="auto" w:sz="2" w:space="0"/>
              <w:bottom w:val="single" w:color="auto" w:sz="2" w:space="0"/>
            </w:tcBorders>
            <w:vAlign w:val="center"/>
          </w:tcPr>
          <w:p w14:paraId="4D49D8D4">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06DB702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4C781B48">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住</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所</w:t>
            </w:r>
          </w:p>
        </w:tc>
        <w:tc>
          <w:tcPr>
            <w:tcW w:w="1236" w:type="pct"/>
            <w:tcBorders>
              <w:top w:val="single" w:color="auto" w:sz="2" w:space="0"/>
              <w:left w:val="single" w:color="auto" w:sz="2" w:space="0"/>
              <w:bottom w:val="single" w:color="auto" w:sz="2" w:space="0"/>
              <w:right w:val="single" w:color="auto" w:sz="2" w:space="0"/>
            </w:tcBorders>
            <w:vAlign w:val="center"/>
          </w:tcPr>
          <w:p w14:paraId="2944E6ED">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7286588E">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住</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所</w:t>
            </w:r>
          </w:p>
        </w:tc>
        <w:tc>
          <w:tcPr>
            <w:tcW w:w="1277" w:type="pct"/>
            <w:tcBorders>
              <w:top w:val="single" w:color="auto" w:sz="2" w:space="0"/>
              <w:left w:val="single" w:color="auto" w:sz="2" w:space="0"/>
              <w:bottom w:val="single" w:color="auto" w:sz="2" w:space="0"/>
            </w:tcBorders>
            <w:vAlign w:val="center"/>
          </w:tcPr>
          <w:p w14:paraId="099028D8">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64298F7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3BF37A91">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 系 人</w:t>
            </w:r>
          </w:p>
        </w:tc>
        <w:tc>
          <w:tcPr>
            <w:tcW w:w="1236" w:type="pct"/>
            <w:tcBorders>
              <w:top w:val="single" w:color="auto" w:sz="2" w:space="0"/>
              <w:left w:val="single" w:color="auto" w:sz="2" w:space="0"/>
              <w:bottom w:val="single" w:color="auto" w:sz="2" w:space="0"/>
              <w:right w:val="single" w:color="auto" w:sz="2" w:space="0"/>
            </w:tcBorders>
            <w:vAlign w:val="center"/>
          </w:tcPr>
          <w:p w14:paraId="21E566CF">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1D2D0DC3">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 系 人</w:t>
            </w:r>
          </w:p>
        </w:tc>
        <w:tc>
          <w:tcPr>
            <w:tcW w:w="1277" w:type="pct"/>
            <w:tcBorders>
              <w:top w:val="single" w:color="auto" w:sz="2" w:space="0"/>
              <w:left w:val="single" w:color="auto" w:sz="2" w:space="0"/>
              <w:bottom w:val="single" w:color="auto" w:sz="2" w:space="0"/>
            </w:tcBorders>
            <w:vAlign w:val="center"/>
          </w:tcPr>
          <w:p w14:paraId="1D856A85">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77E0987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024CB895">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p>
        </w:tc>
        <w:tc>
          <w:tcPr>
            <w:tcW w:w="1236" w:type="pct"/>
            <w:tcBorders>
              <w:top w:val="single" w:color="auto" w:sz="2" w:space="0"/>
              <w:left w:val="single" w:color="auto" w:sz="2" w:space="0"/>
              <w:bottom w:val="single" w:color="auto" w:sz="2" w:space="0"/>
              <w:right w:val="single" w:color="auto" w:sz="2" w:space="0"/>
            </w:tcBorders>
            <w:vAlign w:val="center"/>
          </w:tcPr>
          <w:p w14:paraId="4C498000">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7B4134DE">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p>
        </w:tc>
        <w:tc>
          <w:tcPr>
            <w:tcW w:w="1277" w:type="pct"/>
            <w:tcBorders>
              <w:top w:val="single" w:color="auto" w:sz="2" w:space="0"/>
              <w:left w:val="single" w:color="auto" w:sz="2" w:space="0"/>
              <w:bottom w:val="single" w:color="auto" w:sz="2" w:space="0"/>
            </w:tcBorders>
            <w:vAlign w:val="center"/>
          </w:tcPr>
          <w:p w14:paraId="701C890C">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1179D0A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6410AC1E">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通信地址</w:t>
            </w:r>
          </w:p>
        </w:tc>
        <w:tc>
          <w:tcPr>
            <w:tcW w:w="1236" w:type="pct"/>
            <w:tcBorders>
              <w:top w:val="single" w:color="auto" w:sz="2" w:space="0"/>
              <w:left w:val="single" w:color="auto" w:sz="2" w:space="0"/>
              <w:bottom w:val="single" w:color="auto" w:sz="2" w:space="0"/>
              <w:right w:val="single" w:color="auto" w:sz="2" w:space="0"/>
            </w:tcBorders>
            <w:vAlign w:val="center"/>
          </w:tcPr>
          <w:p w14:paraId="4A52DBDF">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161E99B8">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通信地址</w:t>
            </w:r>
          </w:p>
        </w:tc>
        <w:tc>
          <w:tcPr>
            <w:tcW w:w="1277" w:type="pct"/>
            <w:tcBorders>
              <w:top w:val="single" w:color="auto" w:sz="2" w:space="0"/>
              <w:left w:val="single" w:color="auto" w:sz="2" w:space="0"/>
              <w:bottom w:val="single" w:color="auto" w:sz="2" w:space="0"/>
            </w:tcBorders>
            <w:vAlign w:val="center"/>
          </w:tcPr>
          <w:p w14:paraId="7733D880">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18397F8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359FB791">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邮政编码</w:t>
            </w:r>
          </w:p>
        </w:tc>
        <w:tc>
          <w:tcPr>
            <w:tcW w:w="1236" w:type="pct"/>
            <w:tcBorders>
              <w:top w:val="single" w:color="auto" w:sz="2" w:space="0"/>
              <w:left w:val="single" w:color="auto" w:sz="2" w:space="0"/>
              <w:bottom w:val="single" w:color="auto" w:sz="2" w:space="0"/>
              <w:right w:val="single" w:color="auto" w:sz="2" w:space="0"/>
            </w:tcBorders>
            <w:vAlign w:val="center"/>
          </w:tcPr>
          <w:p w14:paraId="694C6AF3">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00FEBFA1">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邮政编码</w:t>
            </w:r>
          </w:p>
        </w:tc>
        <w:tc>
          <w:tcPr>
            <w:tcW w:w="1277" w:type="pct"/>
            <w:tcBorders>
              <w:top w:val="single" w:color="auto" w:sz="2" w:space="0"/>
              <w:left w:val="single" w:color="auto" w:sz="2" w:space="0"/>
              <w:bottom w:val="single" w:color="auto" w:sz="2" w:space="0"/>
            </w:tcBorders>
            <w:vAlign w:val="center"/>
          </w:tcPr>
          <w:p w14:paraId="70981218">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550E399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437B108A">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电子邮箱</w:t>
            </w:r>
          </w:p>
        </w:tc>
        <w:tc>
          <w:tcPr>
            <w:tcW w:w="1236" w:type="pct"/>
            <w:tcBorders>
              <w:top w:val="single" w:color="auto" w:sz="2" w:space="0"/>
              <w:left w:val="single" w:color="auto" w:sz="2" w:space="0"/>
              <w:bottom w:val="single" w:color="auto" w:sz="2" w:space="0"/>
              <w:right w:val="single" w:color="auto" w:sz="2" w:space="0"/>
            </w:tcBorders>
            <w:vAlign w:val="center"/>
          </w:tcPr>
          <w:p w14:paraId="1C96C6AF">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55B991CE">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电子邮箱</w:t>
            </w:r>
          </w:p>
        </w:tc>
        <w:tc>
          <w:tcPr>
            <w:tcW w:w="1277" w:type="pct"/>
            <w:tcBorders>
              <w:top w:val="single" w:color="auto" w:sz="2" w:space="0"/>
              <w:left w:val="single" w:color="auto" w:sz="2" w:space="0"/>
              <w:bottom w:val="single" w:color="auto" w:sz="2" w:space="0"/>
            </w:tcBorders>
            <w:vAlign w:val="center"/>
          </w:tcPr>
          <w:p w14:paraId="0DC85DC3">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0271A5A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2F3AE2AD">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统一社会信用代码</w:t>
            </w:r>
          </w:p>
        </w:tc>
        <w:tc>
          <w:tcPr>
            <w:tcW w:w="1236" w:type="pct"/>
            <w:tcBorders>
              <w:top w:val="single" w:color="auto" w:sz="2" w:space="0"/>
              <w:left w:val="single" w:color="auto" w:sz="2" w:space="0"/>
              <w:bottom w:val="single" w:color="auto" w:sz="2" w:space="0"/>
              <w:right w:val="single" w:color="auto" w:sz="2" w:space="0"/>
            </w:tcBorders>
            <w:vAlign w:val="center"/>
          </w:tcPr>
          <w:p w14:paraId="179974F2">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0EBD6FBE">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统一社会信用代码</w:t>
            </w:r>
          </w:p>
        </w:tc>
        <w:tc>
          <w:tcPr>
            <w:tcW w:w="1277" w:type="pct"/>
            <w:tcBorders>
              <w:top w:val="single" w:color="auto" w:sz="2" w:space="0"/>
              <w:left w:val="single" w:color="auto" w:sz="2" w:space="0"/>
              <w:bottom w:val="single" w:color="auto" w:sz="2" w:space="0"/>
            </w:tcBorders>
            <w:vAlign w:val="center"/>
          </w:tcPr>
          <w:p w14:paraId="3663A1A2">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61E3156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33AB1682">
            <w:pPr>
              <w:adjustRightInd w:val="0"/>
              <w:snapToGrid w:val="0"/>
              <w:spacing w:line="300" w:lineRule="exact"/>
              <w:jc w:val="center"/>
              <w:rPr>
                <w:rFonts w:hint="eastAsia" w:ascii="宋体" w:hAnsi="宋体" w:eastAsia="宋体" w:cs="宋体"/>
                <w:color w:val="auto"/>
                <w:sz w:val="21"/>
                <w:szCs w:val="21"/>
                <w:highlight w:val="none"/>
              </w:rPr>
            </w:pPr>
          </w:p>
        </w:tc>
        <w:tc>
          <w:tcPr>
            <w:tcW w:w="1236" w:type="pct"/>
            <w:tcBorders>
              <w:top w:val="single" w:color="auto" w:sz="2" w:space="0"/>
              <w:left w:val="single" w:color="auto" w:sz="2" w:space="0"/>
              <w:bottom w:val="single" w:color="auto" w:sz="2" w:space="0"/>
              <w:right w:val="single" w:color="auto" w:sz="2" w:space="0"/>
            </w:tcBorders>
            <w:vAlign w:val="center"/>
          </w:tcPr>
          <w:p w14:paraId="704563A5">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3E23BC3A">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开户名称</w:t>
            </w:r>
          </w:p>
        </w:tc>
        <w:tc>
          <w:tcPr>
            <w:tcW w:w="1277" w:type="pct"/>
            <w:tcBorders>
              <w:top w:val="single" w:color="auto" w:sz="2" w:space="0"/>
              <w:left w:val="single" w:color="auto" w:sz="2" w:space="0"/>
              <w:bottom w:val="single" w:color="auto" w:sz="2" w:space="0"/>
            </w:tcBorders>
            <w:vAlign w:val="center"/>
          </w:tcPr>
          <w:p w14:paraId="6E184549">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3F5912B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7EDA1AFE">
            <w:pPr>
              <w:adjustRightInd w:val="0"/>
              <w:snapToGrid w:val="0"/>
              <w:spacing w:line="300" w:lineRule="exact"/>
              <w:jc w:val="center"/>
              <w:rPr>
                <w:rFonts w:hint="eastAsia" w:ascii="宋体" w:hAnsi="宋体" w:eastAsia="宋体" w:cs="宋体"/>
                <w:color w:val="auto"/>
                <w:sz w:val="21"/>
                <w:szCs w:val="21"/>
                <w:highlight w:val="none"/>
              </w:rPr>
            </w:pPr>
          </w:p>
        </w:tc>
        <w:tc>
          <w:tcPr>
            <w:tcW w:w="1236" w:type="pct"/>
            <w:tcBorders>
              <w:top w:val="single" w:color="auto" w:sz="2" w:space="0"/>
              <w:left w:val="single" w:color="auto" w:sz="2" w:space="0"/>
              <w:bottom w:val="single" w:color="auto" w:sz="2" w:space="0"/>
              <w:right w:val="single" w:color="auto" w:sz="2" w:space="0"/>
            </w:tcBorders>
            <w:vAlign w:val="center"/>
          </w:tcPr>
          <w:p w14:paraId="7ABB2AC7">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35806D87">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w:t>
            </w:r>
          </w:p>
        </w:tc>
        <w:tc>
          <w:tcPr>
            <w:tcW w:w="1277" w:type="pct"/>
            <w:tcBorders>
              <w:top w:val="single" w:color="auto" w:sz="2" w:space="0"/>
              <w:left w:val="single" w:color="auto" w:sz="2" w:space="0"/>
              <w:bottom w:val="single" w:color="auto" w:sz="2" w:space="0"/>
            </w:tcBorders>
            <w:vAlign w:val="center"/>
          </w:tcPr>
          <w:p w14:paraId="740EC35E">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77429C4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68178CC3">
            <w:pPr>
              <w:adjustRightInd w:val="0"/>
              <w:snapToGrid w:val="0"/>
              <w:spacing w:line="300" w:lineRule="exact"/>
              <w:jc w:val="center"/>
              <w:rPr>
                <w:rFonts w:hint="eastAsia" w:ascii="宋体" w:hAnsi="宋体" w:eastAsia="宋体" w:cs="宋体"/>
                <w:color w:val="auto"/>
                <w:sz w:val="21"/>
                <w:szCs w:val="21"/>
                <w:highlight w:val="none"/>
              </w:rPr>
            </w:pPr>
          </w:p>
        </w:tc>
        <w:tc>
          <w:tcPr>
            <w:tcW w:w="1236" w:type="pct"/>
            <w:tcBorders>
              <w:top w:val="single" w:color="auto" w:sz="2" w:space="0"/>
              <w:left w:val="single" w:color="auto" w:sz="2" w:space="0"/>
              <w:bottom w:val="single" w:color="auto" w:sz="2" w:space="0"/>
              <w:right w:val="single" w:color="auto" w:sz="2" w:space="0"/>
            </w:tcBorders>
            <w:vAlign w:val="center"/>
          </w:tcPr>
          <w:p w14:paraId="5607259C">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68B30708">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银行账号</w:t>
            </w:r>
          </w:p>
        </w:tc>
        <w:tc>
          <w:tcPr>
            <w:tcW w:w="1277" w:type="pct"/>
            <w:tcBorders>
              <w:top w:val="single" w:color="auto" w:sz="2" w:space="0"/>
              <w:left w:val="single" w:color="auto" w:sz="2" w:space="0"/>
              <w:bottom w:val="single" w:color="auto" w:sz="2" w:space="0"/>
            </w:tcBorders>
            <w:vAlign w:val="center"/>
          </w:tcPr>
          <w:p w14:paraId="48E686BC">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694FCC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63BA60FE">
            <w:pPr>
              <w:pStyle w:val="14"/>
              <w:adjustRightInd w:val="0"/>
              <w:snapToGrid w:val="0"/>
              <w:spacing w:before="156" w:beforeLines="50" w:after="0" w:line="360" w:lineRule="auto"/>
              <w:ind w:left="0" w:leftChars="0"/>
              <w:jc w:val="left"/>
              <w:rPr>
                <w:rFonts w:hint="eastAsia" w:ascii="宋体" w:hAnsi="宋体" w:eastAsia="宋体" w:cs="宋体"/>
                <w:color w:val="auto"/>
                <w:spacing w:val="20"/>
                <w:sz w:val="21"/>
                <w:szCs w:val="21"/>
                <w:highlight w:val="none"/>
              </w:rPr>
            </w:pPr>
            <w:r>
              <w:rPr>
                <w:rFonts w:hint="eastAsia" w:ascii="宋体" w:hAnsi="宋体" w:eastAsia="宋体" w:cs="宋体"/>
                <w:color w:val="auto"/>
                <w:sz w:val="21"/>
                <w:szCs w:val="21"/>
                <w:highlight w:val="none"/>
              </w:rPr>
              <w:t>注：涉及联合体或其他合同主体的信息应按上表格式加列。</w:t>
            </w:r>
          </w:p>
        </w:tc>
      </w:tr>
    </w:tbl>
    <w:p w14:paraId="4938941A">
      <w:pPr>
        <w:pStyle w:val="3"/>
        <w:keepNext/>
        <w:keepLines/>
        <w:pageBreakBefore w:val="0"/>
        <w:widowControl w:val="0"/>
        <w:kinsoku/>
        <w:wordWrap/>
        <w:overflowPunct/>
        <w:topLinePunct w:val="0"/>
        <w:autoSpaceDE/>
        <w:autoSpaceDN/>
        <w:bidi w:val="0"/>
        <w:adjustRightInd w:val="0"/>
        <w:snapToGrid w:val="0"/>
        <w:spacing w:before="156" w:beforeLines="50" w:after="157" w:afterLines="50" w:line="24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color w:val="auto"/>
          <w:sz w:val="21"/>
          <w:szCs w:val="21"/>
          <w:highlight w:val="none"/>
          <w:u w:val="single"/>
        </w:rPr>
        <w:br w:type="page"/>
      </w:r>
      <w:bookmarkStart w:id="318" w:name="_Toc2429"/>
      <w:bookmarkStart w:id="319" w:name="_Toc27624"/>
      <w:r>
        <w:rPr>
          <w:rFonts w:hint="eastAsia" w:ascii="宋体" w:hAnsi="宋体" w:eastAsia="宋体" w:cs="宋体"/>
          <w:b/>
          <w:bCs/>
          <w:color w:val="auto"/>
          <w:sz w:val="36"/>
          <w:szCs w:val="36"/>
          <w:highlight w:val="none"/>
        </w:rPr>
        <w:t>第二节 政府采购合同通用条款</w:t>
      </w:r>
      <w:bookmarkEnd w:id="318"/>
      <w:bookmarkEnd w:id="319"/>
    </w:p>
    <w:p w14:paraId="04059302">
      <w:pPr>
        <w:tabs>
          <w:tab w:val="left" w:pos="8820"/>
          <w:tab w:val="left" w:pos="9345"/>
          <w:tab w:val="left" w:pos="9765"/>
        </w:tabs>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bCs/>
          <w:color w:val="auto"/>
          <w:sz w:val="21"/>
          <w:szCs w:val="21"/>
          <w:highlight w:val="none"/>
        </w:rPr>
        <w:t>定义</w:t>
      </w:r>
    </w:p>
    <w:p w14:paraId="1EA126DD">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1.1合同当事人</w:t>
      </w:r>
    </w:p>
    <w:p w14:paraId="1B278EF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（1）采购人（以下称甲方）是指使用财政性资金，通过政府采购方式向供应商购买货物</w:t>
      </w:r>
      <w:r>
        <w:rPr>
          <w:rFonts w:hint="eastAsia" w:ascii="宋体" w:hAnsi="宋体" w:eastAsia="宋体" w:cs="宋体"/>
          <w:color w:val="auto"/>
          <w:sz w:val="21"/>
          <w:szCs w:val="21"/>
          <w:highlight w:val="none"/>
          <w:lang w:val="en-US" w:eastAsia="zh-CN"/>
        </w:rPr>
        <w:t>及其相关服务的</w:t>
      </w:r>
      <w:r>
        <w:rPr>
          <w:rFonts w:hint="eastAsia" w:ascii="宋体" w:hAnsi="宋体" w:eastAsia="宋体" w:cs="宋体"/>
          <w:color w:val="auto"/>
          <w:sz w:val="21"/>
          <w:szCs w:val="21"/>
          <w:highlight w:val="none"/>
        </w:rPr>
        <w:t>国家机关、事业单位、团体组织。</w:t>
      </w:r>
    </w:p>
    <w:p w14:paraId="4A104EEB">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（2）供应商（以下称</w:t>
      </w:r>
      <w:r>
        <w:rPr>
          <w:rFonts w:hint="eastAsia" w:ascii="宋体" w:hAnsi="宋体" w:eastAsia="宋体" w:cs="宋体"/>
          <w:color w:val="auto"/>
          <w:sz w:val="21"/>
          <w:szCs w:val="21"/>
          <w:highlight w:val="none"/>
          <w:lang w:eastAsia="zh-CN"/>
        </w:rPr>
        <w:t>乙</w:t>
      </w:r>
      <w:r>
        <w:rPr>
          <w:rFonts w:hint="eastAsia" w:ascii="宋体" w:hAnsi="宋体" w:eastAsia="宋体" w:cs="宋体"/>
          <w:color w:val="auto"/>
          <w:sz w:val="21"/>
          <w:szCs w:val="21"/>
          <w:highlight w:val="none"/>
        </w:rPr>
        <w:t>方）是指参加政府采购活动并且中标（成交），向采购人提供</w:t>
      </w:r>
      <w:r>
        <w:rPr>
          <w:rFonts w:hint="eastAsia" w:ascii="宋体" w:hAnsi="宋体" w:eastAsia="宋体" w:cs="宋体"/>
          <w:color w:val="auto"/>
          <w:sz w:val="21"/>
          <w:szCs w:val="21"/>
          <w:highlight w:val="none"/>
          <w:lang w:val="en-US" w:eastAsia="zh-CN"/>
        </w:rPr>
        <w:t>合同约定的货物及其相关服务的法人、非法人组织或者自然人</w:t>
      </w:r>
      <w:r>
        <w:rPr>
          <w:rFonts w:hint="eastAsia" w:ascii="宋体" w:hAnsi="宋体" w:eastAsia="宋体" w:cs="宋体"/>
          <w:color w:val="auto"/>
          <w:sz w:val="21"/>
          <w:szCs w:val="21"/>
          <w:highlight w:val="none"/>
        </w:rPr>
        <w:t>。</w:t>
      </w:r>
    </w:p>
    <w:p w14:paraId="4087E705">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（3）其他合同主体是指除采购人和供应商以外，</w:t>
      </w:r>
      <w:r>
        <w:rPr>
          <w:rFonts w:hint="eastAsia" w:ascii="宋体" w:hAnsi="宋体" w:eastAsia="宋体" w:cs="宋体"/>
          <w:bCs/>
          <w:color w:val="auto"/>
          <w:sz w:val="21"/>
          <w:szCs w:val="21"/>
          <w:highlight w:val="none"/>
        </w:rPr>
        <w:t>依法参与合同缔结或履行，享有权利、承担义务的合同当事人</w:t>
      </w:r>
      <w:r>
        <w:rPr>
          <w:rFonts w:hint="eastAsia" w:ascii="宋体" w:hAnsi="宋体" w:eastAsia="宋体" w:cs="宋体"/>
          <w:color w:val="auto"/>
          <w:sz w:val="21"/>
          <w:szCs w:val="21"/>
          <w:highlight w:val="none"/>
        </w:rPr>
        <w:t>。</w:t>
      </w:r>
    </w:p>
    <w:p w14:paraId="0DBF17DC">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1.2本合同下列术语应解释为：</w:t>
      </w:r>
    </w:p>
    <w:p w14:paraId="7A7C9AB5">
      <w:pPr>
        <w:adjustRightInd w:val="0"/>
        <w:snapToGrid w:val="0"/>
        <w:spacing w:before="0" w:beforeLines="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（1）“合同”系指</w:t>
      </w:r>
      <w:r>
        <w:rPr>
          <w:rFonts w:hint="eastAsia" w:ascii="宋体" w:hAnsi="宋体" w:eastAsia="宋体" w:cs="宋体"/>
          <w:bCs/>
          <w:color w:val="auto"/>
          <w:sz w:val="21"/>
          <w:szCs w:val="21"/>
          <w:highlight w:val="none"/>
        </w:rPr>
        <w:t>合同当事人意思表示达成一致的任何协议，包括签署的</w:t>
      </w:r>
      <w:r>
        <w:rPr>
          <w:rFonts w:hint="eastAsia" w:ascii="宋体" w:hAnsi="宋体" w:eastAsia="宋体" w:cs="宋体"/>
          <w:color w:val="auto"/>
          <w:sz w:val="21"/>
          <w:szCs w:val="21"/>
          <w:highlight w:val="none"/>
          <w:lang w:eastAsia="zh-CN"/>
        </w:rPr>
        <w:t>政府采购</w:t>
      </w:r>
      <w:r>
        <w:rPr>
          <w:rFonts w:hint="eastAsia" w:ascii="宋体" w:hAnsi="宋体" w:eastAsia="宋体" w:cs="宋体"/>
          <w:color w:val="auto"/>
          <w:sz w:val="21"/>
          <w:szCs w:val="21"/>
          <w:highlight w:val="none"/>
        </w:rPr>
        <w:t>合同协议书及其变更、补充</w:t>
      </w:r>
      <w:r>
        <w:rPr>
          <w:rFonts w:hint="eastAsia" w:ascii="宋体" w:hAnsi="宋体" w:eastAsia="宋体" w:cs="宋体"/>
          <w:color w:val="auto"/>
          <w:sz w:val="21"/>
          <w:szCs w:val="21"/>
          <w:highlight w:val="none"/>
          <w:lang w:eastAsia="zh-CN"/>
        </w:rPr>
        <w:t>协议，</w:t>
      </w:r>
      <w:r>
        <w:rPr>
          <w:rFonts w:hint="eastAsia" w:ascii="宋体" w:hAnsi="宋体" w:eastAsia="宋体" w:cs="宋体"/>
          <w:color w:val="auto"/>
          <w:sz w:val="21"/>
          <w:szCs w:val="21"/>
          <w:highlight w:val="none"/>
        </w:rPr>
        <w:t>政府采购合同专用条款</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政府采购合同通用条款</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中标</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通知书</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投标（响应）文件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采购文件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有关技术文件</w:t>
      </w:r>
      <w:r>
        <w:rPr>
          <w:rFonts w:hint="eastAsia" w:ascii="宋体" w:hAnsi="宋体" w:eastAsia="宋体" w:cs="宋体"/>
          <w:color w:val="auto"/>
          <w:sz w:val="21"/>
          <w:szCs w:val="21"/>
          <w:highlight w:val="none"/>
          <w:lang w:eastAsia="zh-CN"/>
        </w:rPr>
        <w:t>和</w:t>
      </w:r>
      <w:r>
        <w:rPr>
          <w:rFonts w:hint="eastAsia" w:ascii="宋体" w:hAnsi="宋体" w:eastAsia="宋体" w:cs="宋体"/>
          <w:color w:val="auto"/>
          <w:sz w:val="21"/>
          <w:szCs w:val="21"/>
          <w:highlight w:val="none"/>
        </w:rPr>
        <w:t>图纸</w:t>
      </w:r>
      <w:r>
        <w:rPr>
          <w:rFonts w:hint="eastAsia" w:ascii="宋体" w:hAnsi="宋体" w:eastAsia="宋体" w:cs="宋体"/>
          <w:color w:val="auto"/>
          <w:sz w:val="21"/>
          <w:szCs w:val="21"/>
          <w:highlight w:val="none"/>
          <w:lang w:eastAsia="zh-CN"/>
        </w:rPr>
        <w:t>，以及国家法律、行政法规和规章制度规定或合同约定的作为合同组成部分的其他文件</w:t>
      </w:r>
      <w:r>
        <w:rPr>
          <w:rFonts w:hint="eastAsia" w:ascii="宋体" w:hAnsi="宋体" w:eastAsia="宋体" w:cs="宋体"/>
          <w:color w:val="auto"/>
          <w:sz w:val="21"/>
          <w:szCs w:val="21"/>
          <w:highlight w:val="none"/>
        </w:rPr>
        <w:t>。</w:t>
      </w:r>
    </w:p>
    <w:p w14:paraId="6E703C0F">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）“合同价</w:t>
      </w:r>
      <w:r>
        <w:rPr>
          <w:rFonts w:hint="eastAsia" w:ascii="宋体" w:hAnsi="宋体" w:eastAsia="宋体" w:cs="宋体"/>
          <w:color w:val="auto"/>
          <w:sz w:val="21"/>
          <w:szCs w:val="21"/>
          <w:highlight w:val="none"/>
          <w:lang w:val="en-US" w:eastAsia="zh-CN"/>
        </w:rPr>
        <w:t>款</w:t>
      </w:r>
      <w:r>
        <w:rPr>
          <w:rFonts w:hint="eastAsia" w:ascii="宋体" w:hAnsi="宋体" w:eastAsia="宋体" w:cs="宋体"/>
          <w:color w:val="auto"/>
          <w:sz w:val="21"/>
          <w:szCs w:val="21"/>
          <w:highlight w:val="none"/>
        </w:rPr>
        <w:t>”系指根据本合同规定乙方在全面履行合同义务后甲方应支付给乙方的价款。</w:t>
      </w:r>
    </w:p>
    <w:p w14:paraId="09C60E06">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）“货物”系指乙方根据本合同规定须向甲方提供的各种形态和种类的物品，包括原材料、设备、产品（包括软件）及相关的其备品备件、工具、手册及</w:t>
      </w:r>
      <w:r>
        <w:rPr>
          <w:rFonts w:hint="eastAsia" w:ascii="宋体" w:hAnsi="宋体" w:eastAsia="宋体" w:cs="宋体"/>
          <w:color w:val="auto"/>
          <w:sz w:val="21"/>
          <w:szCs w:val="21"/>
          <w:highlight w:val="none"/>
          <w:lang w:val="en"/>
        </w:rPr>
        <w:t>其他</w:t>
      </w:r>
      <w:r>
        <w:rPr>
          <w:rFonts w:hint="eastAsia" w:ascii="宋体" w:hAnsi="宋体" w:eastAsia="宋体" w:cs="宋体"/>
          <w:color w:val="auto"/>
          <w:sz w:val="21"/>
          <w:szCs w:val="21"/>
          <w:highlight w:val="none"/>
        </w:rPr>
        <w:t>技术资料和材料</w:t>
      </w:r>
      <w:r>
        <w:rPr>
          <w:rFonts w:hint="eastAsia" w:ascii="宋体" w:hAnsi="宋体" w:eastAsia="宋体" w:cs="宋体"/>
          <w:color w:val="auto"/>
          <w:sz w:val="21"/>
          <w:szCs w:val="21"/>
          <w:highlight w:val="none"/>
          <w:lang w:eastAsia="zh-CN"/>
        </w:rPr>
        <w:t>等</w:t>
      </w:r>
      <w:r>
        <w:rPr>
          <w:rFonts w:hint="eastAsia" w:ascii="宋体" w:hAnsi="宋体" w:eastAsia="宋体" w:cs="宋体"/>
          <w:color w:val="auto"/>
          <w:sz w:val="21"/>
          <w:szCs w:val="21"/>
          <w:highlight w:val="none"/>
        </w:rPr>
        <w:t>。</w:t>
      </w:r>
    </w:p>
    <w:p w14:paraId="18749100">
      <w:pPr>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相关</w:t>
      </w:r>
      <w:r>
        <w:rPr>
          <w:rFonts w:hint="eastAsia" w:ascii="宋体" w:hAnsi="宋体" w:eastAsia="宋体" w:cs="宋体"/>
          <w:color w:val="auto"/>
          <w:sz w:val="21"/>
          <w:szCs w:val="21"/>
          <w:highlight w:val="none"/>
        </w:rPr>
        <w:t>服务”系指根据合同规定，乙方应提供的</w:t>
      </w:r>
      <w:r>
        <w:rPr>
          <w:rFonts w:hint="eastAsia" w:ascii="宋体" w:hAnsi="宋体" w:eastAsia="宋体" w:cs="宋体"/>
          <w:color w:val="auto"/>
          <w:sz w:val="21"/>
          <w:szCs w:val="21"/>
          <w:highlight w:val="none"/>
          <w:lang w:val="en-US" w:eastAsia="zh-CN"/>
        </w:rPr>
        <w:t>与货物有关的</w:t>
      </w:r>
      <w:r>
        <w:rPr>
          <w:rFonts w:hint="eastAsia" w:ascii="宋体" w:hAnsi="宋体" w:eastAsia="宋体" w:cs="宋体"/>
          <w:color w:val="auto"/>
          <w:sz w:val="21"/>
          <w:szCs w:val="21"/>
          <w:highlight w:val="none"/>
        </w:rPr>
        <w:t>技术、管理和</w:t>
      </w:r>
      <w:r>
        <w:rPr>
          <w:rFonts w:hint="eastAsia" w:ascii="宋体" w:hAnsi="宋体" w:eastAsia="宋体" w:cs="宋体"/>
          <w:color w:val="auto"/>
          <w:sz w:val="21"/>
          <w:szCs w:val="21"/>
          <w:highlight w:val="none"/>
          <w:lang w:val="en"/>
        </w:rPr>
        <w:t>其他</w:t>
      </w:r>
      <w:r>
        <w:rPr>
          <w:rFonts w:hint="eastAsia" w:ascii="宋体" w:hAnsi="宋体" w:eastAsia="宋体" w:cs="宋体"/>
          <w:color w:val="auto"/>
          <w:sz w:val="21"/>
          <w:szCs w:val="21"/>
          <w:highlight w:val="none"/>
        </w:rPr>
        <w:t>服务，包括但不限于：管理和质量保证、运输、保险、检验、现场准备、安装、集成、调试、培训、维修、</w:t>
      </w:r>
      <w:r>
        <w:rPr>
          <w:rFonts w:hint="eastAsia" w:ascii="宋体" w:hAnsi="宋体" w:eastAsia="宋体" w:cs="宋体"/>
          <w:color w:val="auto"/>
          <w:sz w:val="21"/>
          <w:szCs w:val="21"/>
          <w:highlight w:val="none"/>
          <w:lang w:eastAsia="zh-CN"/>
        </w:rPr>
        <w:t>废弃处置、</w:t>
      </w:r>
      <w:r>
        <w:rPr>
          <w:rFonts w:hint="eastAsia" w:ascii="宋体" w:hAnsi="宋体" w:eastAsia="宋体" w:cs="宋体"/>
          <w:color w:val="auto"/>
          <w:sz w:val="21"/>
          <w:szCs w:val="21"/>
          <w:highlight w:val="none"/>
        </w:rPr>
        <w:t>技术支持等以及合同中规定乙方应承担的</w:t>
      </w:r>
      <w:r>
        <w:rPr>
          <w:rFonts w:hint="eastAsia" w:ascii="宋体" w:hAnsi="宋体" w:eastAsia="宋体" w:cs="宋体"/>
          <w:color w:val="auto"/>
          <w:sz w:val="21"/>
          <w:szCs w:val="21"/>
          <w:highlight w:val="none"/>
          <w:lang w:val="en"/>
        </w:rPr>
        <w:t>其他</w:t>
      </w:r>
      <w:r>
        <w:rPr>
          <w:rFonts w:hint="eastAsia" w:ascii="宋体" w:hAnsi="宋体" w:eastAsia="宋体" w:cs="宋体"/>
          <w:color w:val="auto"/>
          <w:sz w:val="21"/>
          <w:szCs w:val="21"/>
          <w:highlight w:val="none"/>
        </w:rPr>
        <w:t>义务。</w:t>
      </w:r>
    </w:p>
    <w:p w14:paraId="60403AB0">
      <w:pPr>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）“分包”系指中标</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成交</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供应商按采购文件、投标（响应）文件的规定，根据分包意向协议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，将中标</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成交</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项目中的部分履约内容，分给具有相应资质条件的供应商履行合同的行为。</w:t>
      </w:r>
    </w:p>
    <w:p w14:paraId="4287798A">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）“联合体”系指</w:t>
      </w:r>
      <w:r>
        <w:rPr>
          <w:rFonts w:hint="eastAsia" w:ascii="宋体" w:hAnsi="宋体" w:eastAsia="宋体" w:cs="宋体"/>
          <w:color w:val="auto"/>
          <w:sz w:val="21"/>
          <w:szCs w:val="21"/>
          <w:highlight w:val="none"/>
          <w:lang w:eastAsia="zh-CN"/>
        </w:rPr>
        <w:t>由</w:t>
      </w:r>
      <w:r>
        <w:rPr>
          <w:rFonts w:hint="eastAsia" w:ascii="宋体" w:hAnsi="宋体" w:eastAsia="宋体" w:cs="宋体"/>
          <w:color w:val="auto"/>
          <w:sz w:val="21"/>
          <w:szCs w:val="21"/>
          <w:highlight w:val="none"/>
        </w:rPr>
        <w:t>两个以上的自然人、法人或者</w:t>
      </w:r>
      <w:r>
        <w:rPr>
          <w:rFonts w:hint="eastAsia" w:ascii="宋体" w:hAnsi="宋体" w:eastAsia="宋体" w:cs="宋体"/>
          <w:color w:val="auto"/>
          <w:sz w:val="21"/>
          <w:szCs w:val="21"/>
          <w:highlight w:val="none"/>
          <w:lang w:val="en-US" w:eastAsia="zh-CN"/>
        </w:rPr>
        <w:t>非法人</w:t>
      </w:r>
      <w:r>
        <w:rPr>
          <w:rFonts w:hint="eastAsia" w:ascii="宋体" w:hAnsi="宋体" w:eastAsia="宋体" w:cs="宋体"/>
          <w:color w:val="auto"/>
          <w:sz w:val="21"/>
          <w:szCs w:val="21"/>
          <w:highlight w:val="none"/>
        </w:rPr>
        <w:t>组织组成，</w:t>
      </w:r>
      <w:r>
        <w:rPr>
          <w:rFonts w:hint="eastAsia" w:ascii="宋体" w:hAnsi="宋体" w:eastAsia="宋体" w:cs="宋体"/>
          <w:color w:val="auto"/>
          <w:sz w:val="21"/>
          <w:szCs w:val="21"/>
          <w:highlight w:val="none"/>
          <w:lang w:eastAsia="zh-CN"/>
        </w:rPr>
        <w:t>以一个供应商的身份共同参加政府采购的主体。</w:t>
      </w:r>
      <w:r>
        <w:rPr>
          <w:rFonts w:hint="eastAsia" w:ascii="宋体" w:hAnsi="宋体" w:eastAsia="宋体" w:cs="宋体"/>
          <w:color w:val="auto"/>
          <w:sz w:val="21"/>
          <w:szCs w:val="21"/>
          <w:highlight w:val="none"/>
        </w:rPr>
        <w:t>联合体各方应在签订合同协议书前向甲方提交联合</w:t>
      </w:r>
      <w:r>
        <w:rPr>
          <w:rFonts w:hint="eastAsia" w:cs="宋体"/>
          <w:color w:val="auto"/>
          <w:sz w:val="21"/>
          <w:szCs w:val="21"/>
          <w:highlight w:val="none"/>
          <w:lang w:val="en-US" w:eastAsia="zh-CN"/>
        </w:rPr>
        <w:t>体</w:t>
      </w:r>
      <w:r>
        <w:rPr>
          <w:rFonts w:hint="eastAsia" w:ascii="宋体" w:hAnsi="宋体" w:eastAsia="宋体" w:cs="宋体"/>
          <w:color w:val="auto"/>
          <w:sz w:val="21"/>
          <w:szCs w:val="21"/>
          <w:highlight w:val="none"/>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，且明确牵头人及各成员单位的工作分工、权利、义务、责任，联合体各方应共同与甲方签订合同，就合同约定的事项对</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承担连带责任。联合体具体要求见【</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w:t>
      </w:r>
    </w:p>
    <w:p w14:paraId="100463ED">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）其他术语解释，见【</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w:t>
      </w:r>
    </w:p>
    <w:p w14:paraId="2671A925">
      <w:pPr>
        <w:numPr>
          <w:ilvl w:val="0"/>
          <w:numId w:val="6"/>
        </w:num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合同标的及金额</w:t>
      </w:r>
    </w:p>
    <w:p w14:paraId="518EE407">
      <w:pPr>
        <w:autoSpaceDE w:val="0"/>
        <w:autoSpaceDN w:val="0"/>
        <w:adjustRightInd w:val="0"/>
        <w:snapToGrid w:val="0"/>
        <w:spacing w:before="0" w:line="400" w:lineRule="exact"/>
        <w:ind w:firstLine="420" w:firstLineChars="200"/>
        <w:jc w:val="left"/>
        <w:rPr>
          <w:rFonts w:hint="eastAsia" w:ascii="宋体" w:hAnsi="宋体" w:eastAsia="宋体" w:cs="宋体"/>
          <w:b/>
          <w:bCs/>
          <w:i/>
          <w:iCs/>
          <w:color w:val="auto"/>
          <w:sz w:val="21"/>
          <w:szCs w:val="21"/>
          <w:highlight w:val="none"/>
        </w:rPr>
      </w:pP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rPr>
        <w:t>.1 合同标的及金额应与中标（成交）结果一致。乙方为履行本合同而发生的所有费用均应包含在合同</w:t>
      </w:r>
      <w:r>
        <w:rPr>
          <w:rFonts w:hint="eastAsia" w:ascii="宋体" w:hAnsi="宋体" w:eastAsia="宋体" w:cs="宋体"/>
          <w:color w:val="auto"/>
          <w:sz w:val="21"/>
          <w:szCs w:val="21"/>
          <w:highlight w:val="none"/>
          <w:lang w:eastAsia="zh-CN"/>
        </w:rPr>
        <w:t>价款</w:t>
      </w:r>
      <w:r>
        <w:rPr>
          <w:rFonts w:hint="eastAsia" w:ascii="宋体" w:hAnsi="宋体" w:eastAsia="宋体" w:cs="宋体"/>
          <w:color w:val="auto"/>
          <w:sz w:val="21"/>
          <w:szCs w:val="21"/>
          <w:highlight w:val="none"/>
        </w:rPr>
        <w:t>中，甲方不再另行支付</w:t>
      </w:r>
      <w:r>
        <w:rPr>
          <w:rFonts w:hint="eastAsia" w:ascii="宋体" w:hAnsi="宋体" w:eastAsia="宋体" w:cs="宋体"/>
          <w:color w:val="auto"/>
          <w:sz w:val="21"/>
          <w:szCs w:val="21"/>
          <w:highlight w:val="none"/>
          <w:lang w:val="en"/>
        </w:rPr>
        <w:t>其他</w:t>
      </w:r>
      <w:r>
        <w:rPr>
          <w:rFonts w:hint="eastAsia" w:ascii="宋体" w:hAnsi="宋体" w:eastAsia="宋体" w:cs="宋体"/>
          <w:color w:val="auto"/>
          <w:sz w:val="21"/>
          <w:szCs w:val="21"/>
          <w:highlight w:val="none"/>
        </w:rPr>
        <w:t>任何费用。</w:t>
      </w:r>
    </w:p>
    <w:p w14:paraId="49B81678">
      <w:pPr>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eastAsia="zh-CN"/>
        </w:rPr>
        <w:t>3</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履行合同的时间、地点和方式</w:t>
      </w:r>
    </w:p>
    <w:p w14:paraId="41F3C043">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.1 乙方应当在约定的时间、地点</w:t>
      </w:r>
      <w:r>
        <w:rPr>
          <w:rFonts w:hint="eastAsia" w:ascii="宋体" w:hAnsi="宋体" w:eastAsia="宋体" w:cs="宋体"/>
          <w:color w:val="auto"/>
          <w:sz w:val="21"/>
          <w:szCs w:val="21"/>
          <w:highlight w:val="none"/>
          <w:lang w:eastAsia="zh-CN"/>
        </w:rPr>
        <w:t>，按照约定</w:t>
      </w:r>
      <w:r>
        <w:rPr>
          <w:rFonts w:hint="eastAsia" w:ascii="宋体" w:hAnsi="宋体" w:eastAsia="宋体" w:cs="宋体"/>
          <w:color w:val="auto"/>
          <w:sz w:val="21"/>
          <w:szCs w:val="21"/>
          <w:highlight w:val="none"/>
        </w:rPr>
        <w:t>方式履行合同。</w:t>
      </w:r>
    </w:p>
    <w:p w14:paraId="2BA5AAC4">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4</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甲方的权利和义务</w:t>
      </w:r>
    </w:p>
    <w:p w14:paraId="5036A58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.1 签署合同后，甲方</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rPr>
        <w:t>确定</w:t>
      </w:r>
      <w:r>
        <w:rPr>
          <w:rFonts w:hint="eastAsia" w:ascii="宋体" w:hAnsi="宋体" w:eastAsia="宋体" w:cs="宋体"/>
          <w:color w:val="auto"/>
          <w:sz w:val="21"/>
          <w:szCs w:val="21"/>
          <w:highlight w:val="none"/>
          <w:lang w:val="en-US" w:eastAsia="zh-CN"/>
        </w:rPr>
        <w:t>项目负责人（或项目联系人）</w:t>
      </w:r>
      <w:r>
        <w:rPr>
          <w:rFonts w:hint="eastAsia" w:ascii="宋体" w:hAnsi="宋体" w:eastAsia="宋体" w:cs="宋体"/>
          <w:color w:val="auto"/>
          <w:sz w:val="21"/>
          <w:szCs w:val="21"/>
          <w:highlight w:val="none"/>
        </w:rPr>
        <w:t>，负责与本合同有关的事务。甲方有权对乙方的履约行为进行检查，并及时确认乙方提交的事项。甲方应当配合乙方完成相关项目实施工作。</w:t>
      </w:r>
    </w:p>
    <w:p w14:paraId="2725626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.2 甲方有权要求乙方按时提交各阶段有关安排计划，并有权定期核对乙方提供货物数量、规格、质量等内容。甲方有权督促乙方工作并要求乙方更换不符合要求的货物。</w:t>
      </w:r>
    </w:p>
    <w:p w14:paraId="0A7B80A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.3 甲方有权要求乙方对缺陷部分予以修复，并按合同约定享有货物保修及其他合同约定的权利。</w:t>
      </w:r>
    </w:p>
    <w:p w14:paraId="1436C60C">
      <w:pPr>
        <w:snapToGrid w:val="0"/>
        <w:spacing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4.4 甲方应当按照合同约定及时对交付的货物进行验收，</w:t>
      </w:r>
      <w:r>
        <w:rPr>
          <w:rFonts w:hint="eastAsia" w:ascii="宋体" w:hAnsi="宋体" w:eastAsia="宋体" w:cs="宋体"/>
          <w:b w:val="0"/>
          <w:bCs w:val="0"/>
          <w:color w:val="auto"/>
          <w:sz w:val="21"/>
          <w:szCs w:val="21"/>
          <w:highlight w:val="none"/>
          <w:lang w:eastAsia="zh-CN"/>
        </w:rPr>
        <w:t>未</w:t>
      </w:r>
      <w:r>
        <w:rPr>
          <w:rFonts w:hint="eastAsia" w:ascii="宋体" w:hAnsi="宋体" w:eastAsia="宋体" w:cs="宋体"/>
          <w:color w:val="auto"/>
          <w:sz w:val="21"/>
          <w:szCs w:val="21"/>
          <w:highlight w:val="none"/>
          <w:lang w:val="en-US" w:eastAsia="zh-CN"/>
        </w:rPr>
        <w:t>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b w:val="0"/>
          <w:bCs w:val="0"/>
          <w:color w:val="auto"/>
          <w:sz w:val="21"/>
          <w:szCs w:val="21"/>
          <w:highlight w:val="none"/>
          <w:lang w:eastAsia="zh-CN"/>
        </w:rPr>
        <w:t>约定的期限内对乙方履约提出任何异议或者向乙方作出任何说明的，</w:t>
      </w:r>
      <w:r>
        <w:rPr>
          <w:rFonts w:hint="eastAsia" w:ascii="宋体" w:hAnsi="宋体" w:eastAsia="宋体" w:cs="宋体"/>
          <w:color w:val="auto"/>
          <w:sz w:val="21"/>
          <w:szCs w:val="21"/>
          <w:highlight w:val="none"/>
          <w:lang w:val="en-US" w:eastAsia="zh-CN"/>
        </w:rPr>
        <w:t>视为验收通过。</w:t>
      </w:r>
    </w:p>
    <w:p w14:paraId="5BD30BF8">
      <w:pPr>
        <w:autoSpaceDE w:val="0"/>
        <w:autoSpaceDN w:val="0"/>
        <w:adjustRightInd w:val="0"/>
        <w:snapToGrid w:val="0"/>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 xml:space="preserve"> 甲方应当根据合同约定</w:t>
      </w:r>
      <w:r>
        <w:rPr>
          <w:rFonts w:hint="eastAsia" w:ascii="宋体" w:hAnsi="宋体" w:eastAsia="宋体" w:cs="宋体"/>
          <w:color w:val="auto"/>
          <w:sz w:val="21"/>
          <w:szCs w:val="21"/>
          <w:highlight w:val="none"/>
          <w:lang w:eastAsia="zh-CN"/>
        </w:rPr>
        <w:t>及</w:t>
      </w:r>
      <w:r>
        <w:rPr>
          <w:rFonts w:hint="eastAsia" w:ascii="宋体" w:hAnsi="宋体" w:eastAsia="宋体" w:cs="宋体"/>
          <w:color w:val="auto"/>
          <w:sz w:val="21"/>
          <w:szCs w:val="21"/>
          <w:highlight w:val="none"/>
        </w:rPr>
        <w:t>时向乙方支付</w:t>
      </w:r>
      <w:r>
        <w:rPr>
          <w:rFonts w:hint="eastAsia" w:ascii="宋体" w:hAnsi="宋体" w:eastAsia="宋体" w:cs="宋体"/>
          <w:color w:val="auto"/>
          <w:sz w:val="21"/>
          <w:szCs w:val="21"/>
          <w:highlight w:val="none"/>
          <w:lang w:eastAsia="zh-CN"/>
        </w:rPr>
        <w:t>合同价款，不得以内部人员变更、履行内部付款流程等为由，拒绝或迟延支付。</w:t>
      </w:r>
    </w:p>
    <w:p w14:paraId="00EFC633">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 xml:space="preserve"> 国家法律法规规定</w:t>
      </w:r>
      <w:r>
        <w:rPr>
          <w:rFonts w:hint="eastAsia" w:ascii="宋体" w:hAnsi="宋体" w:eastAsia="宋体" w:cs="宋体"/>
          <w:color w:val="auto"/>
          <w:sz w:val="21"/>
          <w:szCs w:val="21"/>
          <w:highlight w:val="none"/>
          <w:lang w:eastAsia="zh-CN"/>
        </w:rPr>
        <w:t>及</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lang w:eastAsia="zh-CN"/>
        </w:rPr>
        <w:t>约定应</w:t>
      </w:r>
      <w:r>
        <w:rPr>
          <w:rFonts w:hint="eastAsia" w:ascii="宋体" w:hAnsi="宋体" w:eastAsia="宋体" w:cs="宋体"/>
          <w:color w:val="auto"/>
          <w:sz w:val="21"/>
          <w:szCs w:val="21"/>
          <w:highlight w:val="none"/>
        </w:rPr>
        <w:t>由甲方承担的其他义务和责任。</w:t>
      </w:r>
    </w:p>
    <w:p w14:paraId="5FF83E7D">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5</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乙方的权利和义务</w:t>
      </w:r>
    </w:p>
    <w:p w14:paraId="40807E9C">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rPr>
        <w:t>.1 签署合同后，乙方</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rPr>
        <w:t>确定</w:t>
      </w:r>
      <w:r>
        <w:rPr>
          <w:rFonts w:hint="eastAsia" w:ascii="宋体" w:hAnsi="宋体" w:eastAsia="宋体" w:cs="宋体"/>
          <w:color w:val="auto"/>
          <w:sz w:val="21"/>
          <w:szCs w:val="21"/>
          <w:highlight w:val="none"/>
          <w:lang w:val="en-US" w:eastAsia="zh-CN"/>
        </w:rPr>
        <w:t>项目负责人（或项目联系人）</w:t>
      </w:r>
      <w:r>
        <w:rPr>
          <w:rFonts w:hint="eastAsia" w:ascii="宋体" w:hAnsi="宋体" w:eastAsia="宋体" w:cs="宋体"/>
          <w:color w:val="auto"/>
          <w:sz w:val="21"/>
          <w:szCs w:val="21"/>
          <w:highlight w:val="none"/>
        </w:rPr>
        <w:t>，负责与本合同有关的事务。</w:t>
      </w:r>
    </w:p>
    <w:p w14:paraId="5994D8F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rPr>
        <w:t>.2 乙方应按照合同要求履约，充分合理安排，确保提供的货物</w:t>
      </w:r>
      <w:r>
        <w:rPr>
          <w:rFonts w:hint="eastAsia" w:ascii="宋体" w:hAnsi="宋体" w:eastAsia="宋体" w:cs="宋体"/>
          <w:color w:val="auto"/>
          <w:sz w:val="21"/>
          <w:szCs w:val="21"/>
          <w:highlight w:val="none"/>
          <w:lang w:eastAsia="zh-CN"/>
        </w:rPr>
        <w:t>及相关</w:t>
      </w:r>
      <w:r>
        <w:rPr>
          <w:rFonts w:hint="eastAsia" w:ascii="宋体" w:hAnsi="宋体" w:eastAsia="宋体" w:cs="宋体"/>
          <w:color w:val="auto"/>
          <w:sz w:val="21"/>
          <w:szCs w:val="21"/>
          <w:highlight w:val="none"/>
        </w:rPr>
        <w:t>服务符合合同</w:t>
      </w:r>
      <w:r>
        <w:rPr>
          <w:rFonts w:hint="eastAsia" w:ascii="宋体" w:hAnsi="宋体" w:eastAsia="宋体" w:cs="宋体"/>
          <w:color w:val="auto"/>
          <w:sz w:val="21"/>
          <w:szCs w:val="21"/>
          <w:highlight w:val="none"/>
          <w:lang w:eastAsia="zh-CN"/>
        </w:rPr>
        <w:t>有关</w:t>
      </w:r>
      <w:r>
        <w:rPr>
          <w:rFonts w:hint="eastAsia" w:ascii="宋体" w:hAnsi="宋体" w:eastAsia="宋体" w:cs="宋体"/>
          <w:color w:val="auto"/>
          <w:sz w:val="21"/>
          <w:szCs w:val="21"/>
          <w:highlight w:val="none"/>
        </w:rPr>
        <w:t>要求。接受项目行业管理部门及政府有关部门的指导，配合甲方的履约检查</w:t>
      </w:r>
      <w:r>
        <w:rPr>
          <w:rFonts w:hint="eastAsia" w:ascii="宋体" w:hAnsi="宋体" w:eastAsia="宋体" w:cs="宋体"/>
          <w:color w:val="auto"/>
          <w:sz w:val="21"/>
          <w:szCs w:val="21"/>
          <w:highlight w:val="none"/>
          <w:lang w:eastAsia="zh-CN"/>
        </w:rPr>
        <w:t>及验收</w:t>
      </w:r>
      <w:r>
        <w:rPr>
          <w:rFonts w:hint="eastAsia" w:ascii="宋体" w:hAnsi="宋体" w:eastAsia="宋体" w:cs="宋体"/>
          <w:color w:val="auto"/>
          <w:sz w:val="21"/>
          <w:szCs w:val="21"/>
          <w:highlight w:val="none"/>
        </w:rPr>
        <w:t>，并负责项目实施过程中的所有协调工作。</w:t>
      </w:r>
    </w:p>
    <w:p w14:paraId="5DEB8004">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5.3乙方有权根据合同约定向甲方收取合同价款。</w:t>
      </w:r>
    </w:p>
    <w:p w14:paraId="508BC066">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5.4国家法律法规规定及</w:t>
      </w:r>
      <w:r>
        <w:rPr>
          <w:rFonts w:hint="eastAsia" w:ascii="宋体" w:hAnsi="宋体" w:eastAsia="宋体" w:cs="宋体"/>
          <w:b/>
          <w:bCs/>
          <w:color w:val="auto"/>
          <w:sz w:val="21"/>
          <w:szCs w:val="21"/>
          <w:highlight w:val="none"/>
          <w:lang w:eastAsia="zh-CN"/>
        </w:rPr>
        <w:t>【政府采购合同专用条款】</w:t>
      </w:r>
      <w:r>
        <w:rPr>
          <w:rFonts w:hint="eastAsia" w:ascii="宋体" w:hAnsi="宋体" w:eastAsia="宋体" w:cs="宋体"/>
          <w:color w:val="auto"/>
          <w:sz w:val="21"/>
          <w:szCs w:val="21"/>
          <w:highlight w:val="none"/>
          <w:lang w:eastAsia="zh-CN"/>
        </w:rPr>
        <w:t>约定应由乙方承担的其他义务和责任。</w:t>
      </w:r>
    </w:p>
    <w:p w14:paraId="2D4D98A1">
      <w:pPr>
        <w:numPr>
          <w:ilvl w:val="0"/>
          <w:numId w:val="7"/>
        </w:num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合同履</w:t>
      </w:r>
      <w:r>
        <w:rPr>
          <w:rFonts w:hint="eastAsia" w:ascii="宋体" w:hAnsi="宋体" w:eastAsia="宋体" w:cs="宋体"/>
          <w:b/>
          <w:bCs/>
          <w:color w:val="auto"/>
          <w:sz w:val="21"/>
          <w:szCs w:val="21"/>
          <w:highlight w:val="none"/>
          <w:lang w:val="en-US" w:eastAsia="zh-CN"/>
        </w:rPr>
        <w:t>行</w:t>
      </w:r>
    </w:p>
    <w:p w14:paraId="23888F12">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6</w:t>
      </w:r>
      <w:r>
        <w:rPr>
          <w:rFonts w:hint="eastAsia" w:ascii="宋体" w:hAnsi="宋体" w:eastAsia="宋体" w:cs="宋体"/>
          <w:color w:val="auto"/>
          <w:sz w:val="21"/>
          <w:szCs w:val="21"/>
          <w:highlight w:val="none"/>
        </w:rPr>
        <w:t>.1 甲乙双方应当按照</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约定顺序履行合同义务；如果没有先后顺序的，应当同时履行。</w:t>
      </w:r>
    </w:p>
    <w:p w14:paraId="3443A7A6">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6</w:t>
      </w:r>
      <w:r>
        <w:rPr>
          <w:rFonts w:hint="eastAsia" w:ascii="宋体" w:hAnsi="宋体" w:eastAsia="宋体" w:cs="宋体"/>
          <w:color w:val="auto"/>
          <w:sz w:val="21"/>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6FDCDA6B">
      <w:pPr>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7</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货物包装、运输</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保险</w:t>
      </w:r>
      <w:r>
        <w:rPr>
          <w:rFonts w:hint="eastAsia" w:ascii="宋体" w:hAnsi="宋体" w:eastAsia="宋体" w:cs="宋体"/>
          <w:b/>
          <w:bCs/>
          <w:color w:val="auto"/>
          <w:sz w:val="21"/>
          <w:szCs w:val="21"/>
          <w:highlight w:val="none"/>
          <w:lang w:eastAsia="zh-CN"/>
        </w:rPr>
        <w:t>和交付</w:t>
      </w:r>
      <w:r>
        <w:rPr>
          <w:rFonts w:hint="eastAsia" w:ascii="宋体" w:hAnsi="宋体" w:eastAsia="宋体" w:cs="宋体"/>
          <w:b/>
          <w:bCs/>
          <w:color w:val="auto"/>
          <w:sz w:val="21"/>
          <w:szCs w:val="21"/>
          <w:highlight w:val="none"/>
        </w:rPr>
        <w:t>要求</w:t>
      </w:r>
    </w:p>
    <w:p w14:paraId="64BDD4AC">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w:t>
      </w:r>
      <w:r>
        <w:rPr>
          <w:rFonts w:hint="eastAsia" w:ascii="宋体" w:hAnsi="宋体" w:eastAsia="宋体" w:cs="宋体"/>
          <w:color w:val="auto"/>
          <w:sz w:val="21"/>
          <w:szCs w:val="21"/>
          <w:highlight w:val="none"/>
        </w:rPr>
        <w:t>.1 本合同</w:t>
      </w:r>
      <w:r>
        <w:rPr>
          <w:rFonts w:hint="eastAsia" w:ascii="宋体" w:hAnsi="宋体" w:eastAsia="宋体" w:cs="宋体"/>
          <w:bCs/>
          <w:color w:val="auto"/>
          <w:sz w:val="21"/>
          <w:szCs w:val="21"/>
          <w:highlight w:val="none"/>
        </w:rPr>
        <w:t>涉及商品包装</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快递包装的，</w:t>
      </w:r>
      <w:r>
        <w:rPr>
          <w:rFonts w:hint="eastAsia" w:ascii="宋体" w:hAnsi="宋体" w:eastAsia="宋体" w:cs="宋体"/>
          <w:color w:val="auto"/>
          <w:sz w:val="21"/>
          <w:szCs w:val="21"/>
          <w:highlight w:val="none"/>
        </w:rPr>
        <w:t>除</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另有</w:t>
      </w:r>
      <w:r>
        <w:rPr>
          <w:rFonts w:hint="eastAsia" w:ascii="宋体" w:hAnsi="宋体" w:eastAsia="宋体" w:cs="宋体"/>
          <w:bCs/>
          <w:color w:val="auto"/>
          <w:sz w:val="21"/>
          <w:szCs w:val="21"/>
          <w:highlight w:val="none"/>
          <w:lang w:eastAsia="zh-CN"/>
        </w:rPr>
        <w:t>约</w:t>
      </w:r>
      <w:r>
        <w:rPr>
          <w:rFonts w:hint="eastAsia" w:ascii="宋体" w:hAnsi="宋体" w:eastAsia="宋体" w:cs="宋体"/>
          <w:bCs/>
          <w:color w:val="auto"/>
          <w:sz w:val="21"/>
          <w:szCs w:val="21"/>
          <w:highlight w:val="none"/>
        </w:rPr>
        <w:t>定</w:t>
      </w:r>
      <w:r>
        <w:rPr>
          <w:rFonts w:hint="eastAsia" w:ascii="宋体" w:hAnsi="宋体" w:eastAsia="宋体" w:cs="宋体"/>
          <w:bCs/>
          <w:color w:val="auto"/>
          <w:sz w:val="21"/>
          <w:szCs w:val="21"/>
          <w:highlight w:val="none"/>
          <w:lang w:eastAsia="zh-CN"/>
        </w:rPr>
        <w:t>外</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t>包装应适应远距离运输、防潮、防震、防锈和防野蛮装卸等要求，确保货物安全无损地运抵</w:t>
      </w:r>
      <w:r>
        <w:rPr>
          <w:rFonts w:hint="eastAsia" w:ascii="宋体" w:hAnsi="宋体" w:eastAsia="宋体" w:cs="宋体"/>
          <w:b/>
          <w:color w:val="auto"/>
          <w:sz w:val="21"/>
          <w:szCs w:val="21"/>
          <w:highlight w:val="none"/>
        </w:rPr>
        <w:t>【政府采购合同专用条款】</w:t>
      </w:r>
      <w:r>
        <w:rPr>
          <w:rFonts w:hint="eastAsia" w:ascii="宋体" w:hAnsi="宋体" w:eastAsia="宋体" w:cs="宋体"/>
          <w:b w:val="0"/>
          <w:bCs/>
          <w:color w:val="auto"/>
          <w:sz w:val="21"/>
          <w:szCs w:val="21"/>
          <w:highlight w:val="none"/>
          <w:lang w:eastAsia="zh-CN"/>
        </w:rPr>
        <w:t>约定的</w:t>
      </w:r>
      <w:r>
        <w:rPr>
          <w:rFonts w:hint="eastAsia" w:ascii="宋体" w:hAnsi="宋体" w:eastAsia="宋体" w:cs="宋体"/>
          <w:color w:val="auto"/>
          <w:sz w:val="21"/>
          <w:szCs w:val="21"/>
          <w:highlight w:val="none"/>
        </w:rPr>
        <w:t>指定现场。</w:t>
      </w:r>
    </w:p>
    <w:p w14:paraId="00DED015">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w:t>
      </w:r>
      <w:r>
        <w:rPr>
          <w:rFonts w:hint="eastAsia" w:ascii="宋体" w:hAnsi="宋体" w:eastAsia="宋体" w:cs="宋体"/>
          <w:color w:val="auto"/>
          <w:sz w:val="21"/>
          <w:szCs w:val="21"/>
          <w:highlight w:val="none"/>
        </w:rPr>
        <w:t>.2 除</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另有</w:t>
      </w:r>
      <w:r>
        <w:rPr>
          <w:rFonts w:hint="eastAsia" w:ascii="宋体" w:hAnsi="宋体" w:eastAsia="宋体" w:cs="宋体"/>
          <w:bCs/>
          <w:color w:val="auto"/>
          <w:sz w:val="21"/>
          <w:szCs w:val="21"/>
          <w:highlight w:val="none"/>
          <w:lang w:eastAsia="zh-CN"/>
        </w:rPr>
        <w:t>约</w:t>
      </w:r>
      <w:r>
        <w:rPr>
          <w:rFonts w:hint="eastAsia" w:ascii="宋体" w:hAnsi="宋体" w:eastAsia="宋体" w:cs="宋体"/>
          <w:bCs/>
          <w:color w:val="auto"/>
          <w:sz w:val="21"/>
          <w:szCs w:val="21"/>
          <w:highlight w:val="none"/>
        </w:rPr>
        <w:t>定</w:t>
      </w:r>
      <w:r>
        <w:rPr>
          <w:rFonts w:hint="eastAsia" w:ascii="宋体" w:hAnsi="宋体" w:eastAsia="宋体" w:cs="宋体"/>
          <w:bCs/>
          <w:color w:val="auto"/>
          <w:sz w:val="21"/>
          <w:szCs w:val="21"/>
          <w:highlight w:val="none"/>
          <w:lang w:eastAsia="zh-CN"/>
        </w:rPr>
        <w:t>外</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t>乙方负责办理将货物运抵本合同规定的交货地点</w:t>
      </w:r>
      <w:r>
        <w:rPr>
          <w:rFonts w:hint="eastAsia" w:ascii="宋体" w:hAnsi="宋体" w:eastAsia="宋体" w:cs="宋体"/>
          <w:color w:val="auto"/>
          <w:sz w:val="21"/>
          <w:szCs w:val="21"/>
          <w:highlight w:val="none"/>
          <w:lang w:eastAsia="zh-CN"/>
        </w:rPr>
        <w:t>，并装卸、交付至甲方</w:t>
      </w:r>
      <w:r>
        <w:rPr>
          <w:rFonts w:hint="eastAsia" w:ascii="宋体" w:hAnsi="宋体" w:eastAsia="宋体" w:cs="宋体"/>
          <w:color w:val="auto"/>
          <w:sz w:val="21"/>
          <w:szCs w:val="21"/>
          <w:highlight w:val="none"/>
        </w:rPr>
        <w:t>的一切运输事项，相关费用应</w:t>
      </w:r>
      <w:r>
        <w:rPr>
          <w:rFonts w:hint="eastAsia" w:ascii="宋体" w:hAnsi="宋体" w:eastAsia="宋体" w:cs="宋体"/>
          <w:color w:val="auto"/>
          <w:sz w:val="21"/>
          <w:szCs w:val="21"/>
          <w:highlight w:val="none"/>
          <w:lang w:eastAsia="zh-CN"/>
        </w:rPr>
        <w:t>包含</w:t>
      </w:r>
      <w:r>
        <w:rPr>
          <w:rFonts w:hint="eastAsia" w:ascii="宋体" w:hAnsi="宋体" w:eastAsia="宋体" w:cs="宋体"/>
          <w:color w:val="auto"/>
          <w:sz w:val="21"/>
          <w:szCs w:val="21"/>
          <w:highlight w:val="none"/>
        </w:rPr>
        <w:t>在合同</w:t>
      </w:r>
      <w:r>
        <w:rPr>
          <w:rFonts w:hint="eastAsia" w:ascii="宋体" w:hAnsi="宋体" w:eastAsia="宋体" w:cs="宋体"/>
          <w:color w:val="auto"/>
          <w:sz w:val="21"/>
          <w:szCs w:val="21"/>
          <w:highlight w:val="none"/>
          <w:lang w:eastAsia="zh-CN"/>
        </w:rPr>
        <w:t>价款</w:t>
      </w:r>
      <w:r>
        <w:rPr>
          <w:rFonts w:hint="eastAsia" w:ascii="宋体" w:hAnsi="宋体" w:eastAsia="宋体" w:cs="宋体"/>
          <w:color w:val="auto"/>
          <w:sz w:val="21"/>
          <w:szCs w:val="21"/>
          <w:highlight w:val="none"/>
        </w:rPr>
        <w:t>中。</w:t>
      </w:r>
    </w:p>
    <w:p w14:paraId="6EA7B5BC">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w:t>
      </w:r>
      <w:r>
        <w:rPr>
          <w:rFonts w:hint="eastAsia" w:ascii="宋体" w:hAnsi="宋体" w:eastAsia="宋体" w:cs="宋体"/>
          <w:color w:val="auto"/>
          <w:sz w:val="21"/>
          <w:szCs w:val="21"/>
          <w:highlight w:val="none"/>
        </w:rPr>
        <w:t>.3 货物保险要求按</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规定执行</w:t>
      </w:r>
      <w:r>
        <w:rPr>
          <w:rFonts w:hint="eastAsia" w:ascii="宋体" w:hAnsi="宋体" w:eastAsia="宋体" w:cs="宋体"/>
          <w:color w:val="auto"/>
          <w:sz w:val="21"/>
          <w:szCs w:val="21"/>
          <w:highlight w:val="none"/>
        </w:rPr>
        <w:t>。</w:t>
      </w:r>
    </w:p>
    <w:p w14:paraId="648BE1CE">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w:t>
      </w:r>
      <w:r>
        <w:rPr>
          <w:rFonts w:hint="eastAsia" w:ascii="宋体" w:hAnsi="宋体" w:eastAsia="宋体" w:cs="宋体"/>
          <w:color w:val="auto"/>
          <w:sz w:val="21"/>
          <w:szCs w:val="21"/>
          <w:highlight w:val="none"/>
        </w:rPr>
        <w:t xml:space="preserve">.4 </w:t>
      </w:r>
      <w:r>
        <w:rPr>
          <w:rFonts w:hint="eastAsia" w:ascii="宋体" w:hAnsi="宋体" w:eastAsia="宋体" w:cs="宋体"/>
          <w:color w:val="auto"/>
          <w:sz w:val="21"/>
          <w:szCs w:val="21"/>
          <w:highlight w:val="none"/>
          <w:lang w:val="en-US" w:eastAsia="zh-CN"/>
        </w:rPr>
        <w:t>除采购活动</w:t>
      </w:r>
      <w:r>
        <w:rPr>
          <w:rFonts w:hint="eastAsia" w:ascii="宋体" w:hAnsi="宋体" w:eastAsia="宋体" w:cs="宋体"/>
          <w:color w:val="auto"/>
          <w:sz w:val="21"/>
          <w:szCs w:val="21"/>
          <w:highlight w:val="none"/>
        </w:rPr>
        <w:t>对商品包装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快递包装</w:t>
      </w:r>
      <w:r>
        <w:rPr>
          <w:rFonts w:hint="eastAsia" w:ascii="宋体" w:hAnsi="宋体" w:eastAsia="宋体" w:cs="宋体"/>
          <w:color w:val="auto"/>
          <w:sz w:val="21"/>
          <w:szCs w:val="21"/>
          <w:highlight w:val="none"/>
          <w:lang w:val="en-US" w:eastAsia="zh-CN"/>
        </w:rPr>
        <w:t>达成具体约定外</w:t>
      </w:r>
      <w:r>
        <w:rPr>
          <w:rFonts w:hint="eastAsia" w:ascii="宋体" w:hAnsi="宋体" w:eastAsia="宋体" w:cs="宋体"/>
          <w:color w:val="auto"/>
          <w:sz w:val="21"/>
          <w:szCs w:val="21"/>
          <w:highlight w:val="none"/>
        </w:rPr>
        <w:t>，乙方提供产品及相关快递服务</w:t>
      </w:r>
      <w:r>
        <w:rPr>
          <w:rFonts w:hint="eastAsia" w:ascii="宋体" w:hAnsi="宋体" w:eastAsia="宋体" w:cs="宋体"/>
          <w:color w:val="auto"/>
          <w:sz w:val="21"/>
          <w:szCs w:val="21"/>
          <w:highlight w:val="none"/>
          <w:lang w:val="en-US" w:eastAsia="zh-CN"/>
        </w:rPr>
        <w:t>涉及到</w:t>
      </w:r>
      <w:r>
        <w:rPr>
          <w:rFonts w:hint="eastAsia" w:ascii="宋体" w:hAnsi="宋体" w:eastAsia="宋体" w:cs="宋体"/>
          <w:color w:val="auto"/>
          <w:sz w:val="21"/>
          <w:szCs w:val="21"/>
          <w:highlight w:val="none"/>
        </w:rPr>
        <w:t>具体包装要求</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应</w:t>
      </w:r>
      <w:r>
        <w:rPr>
          <w:rFonts w:hint="eastAsia" w:ascii="宋体" w:hAnsi="宋体" w:eastAsia="宋体" w:cs="宋体"/>
          <w:color w:val="auto"/>
          <w:sz w:val="21"/>
          <w:szCs w:val="21"/>
          <w:highlight w:val="none"/>
          <w:lang w:val="en-US" w:eastAsia="zh-CN"/>
        </w:rPr>
        <w:t>不低于</w:t>
      </w:r>
      <w:r>
        <w:rPr>
          <w:rFonts w:hint="eastAsia" w:ascii="宋体" w:hAnsi="宋体" w:eastAsia="宋体" w:cs="宋体"/>
          <w:color w:val="auto"/>
          <w:sz w:val="21"/>
          <w:szCs w:val="21"/>
          <w:highlight w:val="none"/>
        </w:rPr>
        <w:t>《商品包装政府采购需求标准（试行）</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快递包装政府采购需求标准（试行）》</w:t>
      </w:r>
      <w:r>
        <w:rPr>
          <w:rFonts w:hint="eastAsia" w:ascii="宋体" w:hAnsi="宋体" w:eastAsia="宋体" w:cs="宋体"/>
          <w:color w:val="auto"/>
          <w:sz w:val="21"/>
          <w:szCs w:val="21"/>
          <w:highlight w:val="none"/>
          <w:lang w:val="en-US" w:eastAsia="zh-CN"/>
        </w:rPr>
        <w:t>标准</w:t>
      </w:r>
      <w:r>
        <w:rPr>
          <w:rFonts w:hint="eastAsia" w:ascii="宋体" w:hAnsi="宋体" w:eastAsia="宋体" w:cs="宋体"/>
          <w:color w:val="auto"/>
          <w:sz w:val="21"/>
          <w:szCs w:val="21"/>
          <w:highlight w:val="none"/>
        </w:rPr>
        <w:t>，并作为履约验收的内容，必要时甲方可以要求乙方在履约验收环节出具检测报告。</w:t>
      </w:r>
    </w:p>
    <w:p w14:paraId="4515374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7.5 </w:t>
      </w:r>
      <w:r>
        <w:rPr>
          <w:rFonts w:hint="eastAsia" w:ascii="宋体" w:hAnsi="宋体" w:eastAsia="宋体" w:cs="宋体"/>
          <w:color w:val="auto"/>
          <w:sz w:val="21"/>
          <w:szCs w:val="21"/>
          <w:highlight w:val="none"/>
        </w:rPr>
        <w:t>乙方在运输到达之前</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rPr>
        <w:t>提前通知</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，并提示货物运输装卸的注意事项</w:t>
      </w:r>
      <w:r>
        <w:rPr>
          <w:rFonts w:hint="eastAsia" w:ascii="宋体" w:hAnsi="宋体" w:eastAsia="宋体" w:cs="宋体"/>
          <w:color w:val="auto"/>
          <w:sz w:val="21"/>
          <w:szCs w:val="21"/>
          <w:highlight w:val="none"/>
          <w:lang w:eastAsia="zh-CN"/>
        </w:rPr>
        <w:t>，甲方配合乙方做好货物的接收工作。</w:t>
      </w:r>
    </w:p>
    <w:p w14:paraId="0444A18D">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7.6 如因包装、运输问题导致货物损毁、丢失或者品质下降，甲方有权要求降价、换货、拒收部分或整批货物，由此产生的费用和损失，均由乙方承担。</w:t>
      </w:r>
    </w:p>
    <w:p w14:paraId="34E309DD">
      <w:pPr>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eastAsia="zh-CN"/>
        </w:rPr>
        <w:t>8</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质量标准和保证</w:t>
      </w:r>
    </w:p>
    <w:p w14:paraId="7B1679E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8.1 质量标准</w:t>
      </w:r>
    </w:p>
    <w:p w14:paraId="6738522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（1）本合同下</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的货物应符合</w:t>
      </w:r>
      <w:r>
        <w:rPr>
          <w:rFonts w:hint="eastAsia" w:ascii="宋体" w:hAnsi="宋体" w:eastAsia="宋体" w:cs="宋体"/>
          <w:color w:val="auto"/>
          <w:sz w:val="21"/>
          <w:szCs w:val="21"/>
          <w:highlight w:val="none"/>
          <w:lang w:eastAsia="zh-CN"/>
        </w:rPr>
        <w:t>合同约</w:t>
      </w:r>
      <w:r>
        <w:rPr>
          <w:rFonts w:hint="eastAsia" w:ascii="宋体" w:hAnsi="宋体" w:eastAsia="宋体" w:cs="宋体"/>
          <w:color w:val="auto"/>
          <w:sz w:val="21"/>
          <w:szCs w:val="21"/>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s="宋体"/>
          <w:color w:val="auto"/>
          <w:sz w:val="21"/>
          <w:szCs w:val="21"/>
          <w:highlight w:val="none"/>
          <w:lang w:eastAsia="zh-CN"/>
        </w:rPr>
        <w:t>。</w:t>
      </w:r>
    </w:p>
    <w:p w14:paraId="08D66C60">
      <w:pPr>
        <w:pStyle w:val="17"/>
        <w:adjustRightInd w:val="0"/>
        <w:snapToGrid w:val="0"/>
        <w:spacing w:before="0" w:line="400" w:lineRule="exact"/>
        <w:ind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（2）采用中华人民共和国法定计量单位。</w:t>
      </w:r>
    </w:p>
    <w:p w14:paraId="2960FA6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（3）乙方所</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的货物应符合国家有关安全、环保、卫生</w:t>
      </w:r>
      <w:r>
        <w:rPr>
          <w:rFonts w:hint="eastAsia" w:ascii="宋体" w:hAnsi="宋体" w:eastAsia="宋体" w:cs="宋体"/>
          <w:color w:val="auto"/>
          <w:sz w:val="21"/>
          <w:szCs w:val="21"/>
          <w:highlight w:val="none"/>
          <w:lang w:eastAsia="zh-CN"/>
        </w:rPr>
        <w:t>的</w:t>
      </w:r>
      <w:r>
        <w:rPr>
          <w:rFonts w:hint="eastAsia" w:ascii="宋体" w:hAnsi="宋体" w:eastAsia="宋体" w:cs="宋体"/>
          <w:color w:val="auto"/>
          <w:sz w:val="21"/>
          <w:szCs w:val="21"/>
          <w:highlight w:val="none"/>
        </w:rPr>
        <w:t>规定。</w:t>
      </w:r>
    </w:p>
    <w:p w14:paraId="7D7DFC4C">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（4）乙方应向甲方提交所</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货物的技术文件，包括相应的中文技术文件，如：产品目录、图纸、操作手册、使用说明、维护手册或服务指南</w:t>
      </w:r>
      <w:r>
        <w:rPr>
          <w:rFonts w:hint="eastAsia" w:ascii="宋体" w:hAnsi="宋体" w:eastAsia="宋体" w:cs="宋体"/>
          <w:color w:val="auto"/>
          <w:sz w:val="21"/>
          <w:szCs w:val="21"/>
          <w:highlight w:val="none"/>
          <w:lang w:eastAsia="zh-CN"/>
        </w:rPr>
        <w:t>等</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上述</w:t>
      </w:r>
      <w:r>
        <w:rPr>
          <w:rFonts w:hint="eastAsia" w:ascii="宋体" w:hAnsi="宋体" w:eastAsia="宋体" w:cs="宋体"/>
          <w:color w:val="auto"/>
          <w:sz w:val="21"/>
          <w:szCs w:val="21"/>
          <w:highlight w:val="none"/>
        </w:rPr>
        <w:t>文件应包装好随货物一同发运。</w:t>
      </w:r>
    </w:p>
    <w:p w14:paraId="7CE2FA54">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8</w:t>
      </w:r>
      <w:r>
        <w:rPr>
          <w:rFonts w:hint="eastAsia" w:ascii="宋体" w:hAnsi="宋体" w:eastAsia="宋体" w:cs="宋体"/>
          <w:color w:val="auto"/>
          <w:sz w:val="21"/>
          <w:szCs w:val="21"/>
          <w:highlight w:val="none"/>
        </w:rPr>
        <w:t>.2 保证</w:t>
      </w:r>
    </w:p>
    <w:p w14:paraId="38428A1F">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（1）乙方应保证</w:t>
      </w:r>
      <w:r>
        <w:rPr>
          <w:rFonts w:hint="eastAsia" w:ascii="宋体" w:hAnsi="宋体" w:eastAsia="宋体" w:cs="宋体"/>
          <w:color w:val="auto"/>
          <w:sz w:val="21"/>
          <w:szCs w:val="21"/>
          <w:highlight w:val="none"/>
          <w:lang w:eastAsia="zh-CN"/>
        </w:rPr>
        <w:t>提供的货物</w:t>
      </w:r>
      <w:r>
        <w:rPr>
          <w:rFonts w:hint="eastAsia" w:ascii="宋体" w:hAnsi="宋体" w:eastAsia="宋体" w:cs="宋体"/>
          <w:color w:val="auto"/>
          <w:sz w:val="21"/>
          <w:szCs w:val="21"/>
          <w:highlight w:val="none"/>
        </w:rPr>
        <w:t>完全符合合同规定的质量、规格和性能要求。乙方应保证货物在正确安装、正常使用和保养条件下，在其使用寿命期内具</w:t>
      </w:r>
      <w:r>
        <w:rPr>
          <w:rFonts w:hint="eastAsia" w:ascii="宋体" w:hAnsi="宋体" w:eastAsia="宋体" w:cs="宋体"/>
          <w:color w:val="auto"/>
          <w:sz w:val="21"/>
          <w:szCs w:val="21"/>
          <w:highlight w:val="none"/>
          <w:lang w:eastAsia="zh-CN"/>
        </w:rPr>
        <w:t>备合同约定</w:t>
      </w:r>
      <w:r>
        <w:rPr>
          <w:rFonts w:hint="eastAsia" w:ascii="宋体" w:hAnsi="宋体" w:eastAsia="宋体" w:cs="宋体"/>
          <w:color w:val="auto"/>
          <w:sz w:val="21"/>
          <w:szCs w:val="21"/>
          <w:highlight w:val="none"/>
        </w:rPr>
        <w:t>的性能。</w:t>
      </w:r>
      <w:r>
        <w:rPr>
          <w:rFonts w:hint="eastAsia" w:ascii="宋体" w:hAnsi="宋体" w:eastAsia="宋体" w:cs="宋体"/>
          <w:color w:val="auto"/>
          <w:sz w:val="21"/>
          <w:szCs w:val="21"/>
          <w:highlight w:val="none"/>
          <w:lang w:eastAsia="zh-CN"/>
        </w:rPr>
        <w:t>存在</w:t>
      </w:r>
      <w:r>
        <w:rPr>
          <w:rFonts w:hint="eastAsia" w:ascii="宋体" w:hAnsi="宋体" w:eastAsia="宋体" w:cs="宋体"/>
          <w:color w:val="auto"/>
          <w:sz w:val="21"/>
          <w:szCs w:val="21"/>
          <w:highlight w:val="none"/>
        </w:rPr>
        <w:t>质量保证期的，货物最终交付验收</w:t>
      </w:r>
      <w:r>
        <w:rPr>
          <w:rFonts w:hint="eastAsia" w:ascii="宋体" w:hAnsi="宋体" w:eastAsia="宋体" w:cs="宋体"/>
          <w:color w:val="auto"/>
          <w:sz w:val="21"/>
          <w:szCs w:val="21"/>
          <w:highlight w:val="none"/>
          <w:lang w:eastAsia="zh-CN"/>
        </w:rPr>
        <w:t>合格</w:t>
      </w:r>
      <w:r>
        <w:rPr>
          <w:rFonts w:hint="eastAsia" w:ascii="宋体" w:hAnsi="宋体" w:eastAsia="宋体" w:cs="宋体"/>
          <w:color w:val="auto"/>
          <w:sz w:val="21"/>
          <w:szCs w:val="21"/>
          <w:highlight w:val="none"/>
        </w:rPr>
        <w:t>后</w:t>
      </w:r>
      <w:r>
        <w:rPr>
          <w:rFonts w:hint="eastAsia" w:ascii="宋体" w:hAnsi="宋体" w:eastAsia="宋体" w:cs="宋体"/>
          <w:color w:val="auto"/>
          <w:sz w:val="21"/>
          <w:szCs w:val="21"/>
          <w:highlight w:val="none"/>
          <w:lang w:eastAsia="zh-CN"/>
        </w:rPr>
        <w:t>在</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规定或乙方</w:t>
      </w:r>
      <w:r>
        <w:rPr>
          <w:rFonts w:hint="eastAsia" w:ascii="宋体" w:hAnsi="宋体" w:eastAsia="宋体" w:cs="宋体"/>
          <w:color w:val="auto"/>
          <w:sz w:val="21"/>
          <w:szCs w:val="21"/>
          <w:highlight w:val="none"/>
          <w:lang w:eastAsia="zh-CN"/>
        </w:rPr>
        <w:t>书面</w:t>
      </w:r>
      <w:r>
        <w:rPr>
          <w:rFonts w:hint="eastAsia" w:ascii="宋体" w:hAnsi="宋体" w:eastAsia="宋体" w:cs="宋体"/>
          <w:color w:val="auto"/>
          <w:sz w:val="21"/>
          <w:szCs w:val="21"/>
          <w:highlight w:val="none"/>
        </w:rPr>
        <w:t>承诺（两者以较长的为准）的质量保证期内，本保证保持有效。</w:t>
      </w:r>
    </w:p>
    <w:p w14:paraId="1C3269A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（2）在质量保证期内所发现的缺陷，甲方应尽快以书面形式通知乙方。</w:t>
      </w:r>
    </w:p>
    <w:p w14:paraId="7003483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（3）乙方收到通知后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应在</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规定的响应时间内以合理的速度免费维修或更换有缺陷的货物或部件。</w:t>
      </w:r>
    </w:p>
    <w:p w14:paraId="7092578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.1条规定以书面形式</w:t>
      </w:r>
      <w:r>
        <w:rPr>
          <w:rFonts w:hint="eastAsia" w:ascii="宋体" w:hAnsi="宋体" w:eastAsia="宋体" w:cs="宋体"/>
          <w:color w:val="auto"/>
          <w:sz w:val="21"/>
          <w:szCs w:val="21"/>
          <w:highlight w:val="none"/>
          <w:lang w:eastAsia="zh-CN"/>
        </w:rPr>
        <w:t>追究</w:t>
      </w:r>
      <w:r>
        <w:rPr>
          <w:rFonts w:hint="eastAsia" w:ascii="宋体" w:hAnsi="宋体" w:eastAsia="宋体" w:cs="宋体"/>
          <w:color w:val="auto"/>
          <w:sz w:val="21"/>
          <w:szCs w:val="21"/>
          <w:highlight w:val="none"/>
        </w:rPr>
        <w:t>乙方</w:t>
      </w:r>
      <w:r>
        <w:rPr>
          <w:rFonts w:hint="eastAsia" w:ascii="宋体" w:hAnsi="宋体" w:eastAsia="宋体" w:cs="宋体"/>
          <w:color w:val="auto"/>
          <w:sz w:val="21"/>
          <w:szCs w:val="21"/>
          <w:highlight w:val="none"/>
          <w:lang w:eastAsia="zh-CN"/>
        </w:rPr>
        <w:t>的违约责任</w:t>
      </w:r>
      <w:r>
        <w:rPr>
          <w:rFonts w:hint="eastAsia" w:ascii="宋体" w:hAnsi="宋体" w:eastAsia="宋体" w:cs="宋体"/>
          <w:color w:val="auto"/>
          <w:sz w:val="21"/>
          <w:szCs w:val="21"/>
          <w:highlight w:val="none"/>
        </w:rPr>
        <w:t>。</w:t>
      </w:r>
    </w:p>
    <w:p w14:paraId="47BD646C">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（5）乙方在约定的时间内未能弥补缺陷，甲方可采取必要的补救措施，但其风险和费用将由乙方承担，甲方根据合同</w:t>
      </w:r>
      <w:r>
        <w:rPr>
          <w:rFonts w:hint="eastAsia" w:ascii="宋体" w:hAnsi="宋体" w:eastAsia="宋体" w:cs="宋体"/>
          <w:color w:val="auto"/>
          <w:sz w:val="21"/>
          <w:szCs w:val="21"/>
          <w:highlight w:val="none"/>
          <w:lang w:eastAsia="zh-CN"/>
        </w:rPr>
        <w:t>约定</w:t>
      </w:r>
      <w:r>
        <w:rPr>
          <w:rFonts w:hint="eastAsia" w:ascii="宋体" w:hAnsi="宋体" w:eastAsia="宋体" w:cs="宋体"/>
          <w:color w:val="auto"/>
          <w:sz w:val="21"/>
          <w:szCs w:val="21"/>
          <w:highlight w:val="none"/>
        </w:rPr>
        <w:t>对乙方行使的其他权利不受影响。</w:t>
      </w:r>
    </w:p>
    <w:p w14:paraId="3ABE3F30">
      <w:pPr>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9</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权利瑕疵担保</w:t>
      </w:r>
    </w:p>
    <w:p w14:paraId="3AF250E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9</w:t>
      </w:r>
      <w:r>
        <w:rPr>
          <w:rFonts w:hint="eastAsia" w:ascii="宋体" w:hAnsi="宋体" w:eastAsia="宋体" w:cs="宋体"/>
          <w:color w:val="auto"/>
          <w:sz w:val="21"/>
          <w:szCs w:val="21"/>
          <w:highlight w:val="none"/>
        </w:rPr>
        <w:t>.1 乙方保证对其出售的货物享有合法的权利。</w:t>
      </w:r>
    </w:p>
    <w:p w14:paraId="3EF7082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9</w:t>
      </w:r>
      <w:r>
        <w:rPr>
          <w:rFonts w:hint="eastAsia" w:ascii="宋体" w:hAnsi="宋体" w:eastAsia="宋体" w:cs="宋体"/>
          <w:color w:val="auto"/>
          <w:sz w:val="21"/>
          <w:szCs w:val="21"/>
          <w:highlight w:val="none"/>
        </w:rPr>
        <w:t>.2 乙方保证在交付的货物上不存在抵押权等担保物权。</w:t>
      </w:r>
    </w:p>
    <w:p w14:paraId="523ED87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9</w:t>
      </w:r>
      <w:r>
        <w:rPr>
          <w:rFonts w:hint="eastAsia" w:ascii="宋体" w:hAnsi="宋体" w:eastAsia="宋体" w:cs="宋体"/>
          <w:color w:val="auto"/>
          <w:sz w:val="21"/>
          <w:szCs w:val="21"/>
          <w:highlight w:val="none"/>
        </w:rPr>
        <w:t>.3 如甲方使用</w:t>
      </w:r>
      <w:r>
        <w:rPr>
          <w:rFonts w:hint="eastAsia" w:ascii="宋体" w:hAnsi="宋体" w:eastAsia="宋体" w:cs="宋体"/>
          <w:color w:val="auto"/>
          <w:sz w:val="21"/>
          <w:szCs w:val="21"/>
          <w:highlight w:val="none"/>
          <w:lang w:val="en-US" w:eastAsia="zh-CN"/>
        </w:rPr>
        <w:t>上述</w:t>
      </w:r>
      <w:r>
        <w:rPr>
          <w:rFonts w:hint="eastAsia" w:ascii="宋体" w:hAnsi="宋体" w:eastAsia="宋体" w:cs="宋体"/>
          <w:color w:val="auto"/>
          <w:sz w:val="21"/>
          <w:szCs w:val="21"/>
          <w:highlight w:val="none"/>
        </w:rPr>
        <w:t>货物构成</w:t>
      </w:r>
      <w:r>
        <w:rPr>
          <w:rFonts w:hint="eastAsia" w:ascii="宋体" w:hAnsi="宋体" w:eastAsia="宋体" w:cs="宋体"/>
          <w:color w:val="auto"/>
          <w:sz w:val="21"/>
          <w:szCs w:val="21"/>
          <w:highlight w:val="none"/>
          <w:lang w:val="en-US" w:eastAsia="zh-CN"/>
        </w:rPr>
        <w:t>对第三人</w:t>
      </w:r>
      <w:r>
        <w:rPr>
          <w:rFonts w:hint="eastAsia" w:ascii="宋体" w:hAnsi="宋体" w:eastAsia="宋体" w:cs="宋体"/>
          <w:color w:val="auto"/>
          <w:sz w:val="21"/>
          <w:szCs w:val="21"/>
          <w:highlight w:val="none"/>
        </w:rPr>
        <w:t>侵权的，则由乙方承担全部责任。</w:t>
      </w:r>
    </w:p>
    <w:p w14:paraId="0B2C947F">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0</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知识产权保护</w:t>
      </w:r>
    </w:p>
    <w:p w14:paraId="6BEBA90A">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0</w:t>
      </w:r>
      <w:r>
        <w:rPr>
          <w:rFonts w:hint="eastAsia" w:ascii="宋体" w:hAnsi="宋体" w:eastAsia="宋体" w:cs="宋体"/>
          <w:color w:val="auto"/>
          <w:sz w:val="21"/>
          <w:szCs w:val="21"/>
          <w:highlight w:val="none"/>
        </w:rPr>
        <w:t>.1 乙方对其所销售的货物应当享有知识产权或经权利人合法授权，保证没有侵犯任何第三人的知识产权等权利。</w:t>
      </w:r>
      <w:bookmarkStart w:id="320" w:name="_Hlk163047038"/>
      <w:r>
        <w:rPr>
          <w:rFonts w:hint="eastAsia" w:ascii="宋体" w:hAnsi="宋体" w:eastAsia="宋体" w:cs="宋体"/>
          <w:color w:val="auto"/>
          <w:sz w:val="21"/>
          <w:szCs w:val="21"/>
          <w:highlight w:val="none"/>
        </w:rPr>
        <w:t>因违反前述约定对第三人构成侵权的，应当由乙方向第三人承担法律责任；甲方依法向第三人赔偿后，有权向乙方追偿。甲方有其他损失的，乙方应当赔偿</w:t>
      </w:r>
      <w:bookmarkEnd w:id="320"/>
      <w:r>
        <w:rPr>
          <w:rFonts w:hint="eastAsia" w:ascii="宋体" w:hAnsi="宋体" w:eastAsia="宋体" w:cs="宋体"/>
          <w:color w:val="auto"/>
          <w:sz w:val="21"/>
          <w:szCs w:val="21"/>
          <w:highlight w:val="none"/>
        </w:rPr>
        <w:t>。</w:t>
      </w:r>
    </w:p>
    <w:p w14:paraId="285A4656">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1</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保密义务</w:t>
      </w:r>
    </w:p>
    <w:p w14:paraId="14983EC6">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11.1 </w:t>
      </w:r>
      <w:r>
        <w:rPr>
          <w:rFonts w:hint="eastAsia" w:ascii="宋体" w:hAnsi="宋体" w:eastAsia="宋体" w:cs="宋体"/>
          <w:color w:val="auto"/>
          <w:sz w:val="21"/>
          <w:szCs w:val="21"/>
          <w:highlight w:val="none"/>
        </w:rPr>
        <w:t>甲、乙双方</w:t>
      </w:r>
      <w:r>
        <w:rPr>
          <w:rFonts w:hint="eastAsia" w:ascii="宋体" w:hAnsi="宋体" w:eastAsia="宋体" w:cs="宋体"/>
          <w:color w:val="auto"/>
          <w:sz w:val="21"/>
          <w:szCs w:val="21"/>
          <w:highlight w:val="none"/>
          <w:lang w:eastAsia="zh-CN"/>
        </w:rPr>
        <w:t>对</w:t>
      </w:r>
      <w:r>
        <w:rPr>
          <w:rFonts w:hint="eastAsia" w:ascii="宋体" w:hAnsi="宋体" w:eastAsia="宋体" w:cs="宋体"/>
          <w:color w:val="auto"/>
          <w:sz w:val="21"/>
          <w:szCs w:val="21"/>
          <w:highlight w:val="none"/>
        </w:rPr>
        <w:t>采购和合同履行过程中所获悉的</w:t>
      </w:r>
      <w:r>
        <w:rPr>
          <w:rFonts w:hint="eastAsia" w:ascii="宋体" w:hAnsi="宋体" w:eastAsia="宋体" w:cs="宋体"/>
          <w:color w:val="auto"/>
          <w:sz w:val="21"/>
          <w:szCs w:val="21"/>
          <w:highlight w:val="none"/>
          <w:lang w:eastAsia="zh-CN"/>
        </w:rPr>
        <w:t>国家秘密、工作秘密、</w:t>
      </w:r>
      <w:r>
        <w:rPr>
          <w:rFonts w:hint="eastAsia" w:ascii="宋体" w:hAnsi="宋体" w:eastAsia="宋体" w:cs="宋体"/>
          <w:color w:val="auto"/>
          <w:sz w:val="21"/>
          <w:szCs w:val="21"/>
          <w:highlight w:val="none"/>
        </w:rPr>
        <w:t>商业秘密或者其他应当保密的信息，均有保密义务</w:t>
      </w:r>
      <w:r>
        <w:rPr>
          <w:rFonts w:hint="eastAsia" w:ascii="宋体" w:hAnsi="宋体" w:eastAsia="宋体" w:cs="宋体"/>
          <w:color w:val="auto"/>
          <w:sz w:val="21"/>
          <w:szCs w:val="21"/>
          <w:highlight w:val="none"/>
          <w:lang w:eastAsia="zh-CN"/>
        </w:rPr>
        <w:t>且不受合同有效期所限，直至该信息成为公开信息</w:t>
      </w:r>
      <w:r>
        <w:rPr>
          <w:rFonts w:hint="eastAsia" w:ascii="宋体" w:hAnsi="宋体" w:eastAsia="宋体" w:cs="宋体"/>
          <w:color w:val="auto"/>
          <w:sz w:val="21"/>
          <w:szCs w:val="21"/>
          <w:highlight w:val="none"/>
        </w:rPr>
        <w:t>。泄露、不正当地使用</w:t>
      </w:r>
      <w:r>
        <w:rPr>
          <w:rFonts w:hint="eastAsia" w:ascii="宋体" w:hAnsi="宋体" w:eastAsia="宋体" w:cs="宋体"/>
          <w:color w:val="auto"/>
          <w:sz w:val="21"/>
          <w:szCs w:val="21"/>
          <w:highlight w:val="none"/>
          <w:lang w:eastAsia="zh-CN"/>
        </w:rPr>
        <w:t>国家秘密、工作秘密、</w:t>
      </w:r>
      <w:r>
        <w:rPr>
          <w:rFonts w:hint="eastAsia" w:ascii="宋体" w:hAnsi="宋体" w:eastAsia="宋体" w:cs="宋体"/>
          <w:color w:val="auto"/>
          <w:sz w:val="21"/>
          <w:szCs w:val="21"/>
          <w:highlight w:val="none"/>
        </w:rPr>
        <w:t>商业秘密或者</w:t>
      </w:r>
      <w:r>
        <w:rPr>
          <w:rFonts w:hint="eastAsia" w:ascii="宋体" w:hAnsi="宋体" w:eastAsia="宋体" w:cs="宋体"/>
          <w:color w:val="auto"/>
          <w:sz w:val="21"/>
          <w:szCs w:val="21"/>
          <w:highlight w:val="none"/>
          <w:lang w:eastAsia="zh-CN"/>
        </w:rPr>
        <w:t>其他应当保密的</w:t>
      </w:r>
      <w:r>
        <w:rPr>
          <w:rFonts w:hint="eastAsia" w:ascii="宋体" w:hAnsi="宋体" w:eastAsia="宋体" w:cs="宋体"/>
          <w:color w:val="auto"/>
          <w:sz w:val="21"/>
          <w:szCs w:val="21"/>
          <w:highlight w:val="none"/>
        </w:rPr>
        <w:t>信息，应当承担</w:t>
      </w:r>
      <w:r>
        <w:rPr>
          <w:rFonts w:hint="eastAsia" w:ascii="宋体" w:hAnsi="宋体" w:eastAsia="宋体" w:cs="宋体"/>
          <w:color w:val="auto"/>
          <w:sz w:val="21"/>
          <w:szCs w:val="21"/>
          <w:highlight w:val="none"/>
          <w:lang w:eastAsia="zh-CN"/>
        </w:rPr>
        <w:t>相应</w:t>
      </w:r>
      <w:r>
        <w:rPr>
          <w:rFonts w:hint="eastAsia" w:ascii="宋体" w:hAnsi="宋体" w:eastAsia="宋体" w:cs="宋体"/>
          <w:color w:val="auto"/>
          <w:sz w:val="21"/>
          <w:szCs w:val="21"/>
          <w:highlight w:val="none"/>
        </w:rPr>
        <w:t>责任。其他应当保密的信息由双方在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中约定。</w:t>
      </w:r>
    </w:p>
    <w:p w14:paraId="4357F417">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合同价款支付</w:t>
      </w:r>
    </w:p>
    <w:p w14:paraId="5F0D06E6">
      <w:pPr>
        <w:autoSpaceDE/>
        <w:autoSpaceDN/>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rPr>
        <w:t xml:space="preserve">.1 </w:t>
      </w:r>
      <w:r>
        <w:rPr>
          <w:rFonts w:hint="eastAsia" w:ascii="宋体" w:hAnsi="宋体" w:eastAsia="宋体" w:cs="宋体"/>
          <w:color w:val="auto"/>
          <w:sz w:val="21"/>
          <w:szCs w:val="21"/>
          <w:highlight w:val="none"/>
          <w:lang w:eastAsia="zh-CN"/>
        </w:rPr>
        <w:t>合同价款支付</w:t>
      </w:r>
      <w:r>
        <w:rPr>
          <w:rFonts w:hint="eastAsia" w:ascii="宋体" w:hAnsi="宋体" w:eastAsia="宋体" w:cs="宋体"/>
          <w:color w:val="auto"/>
          <w:sz w:val="21"/>
          <w:szCs w:val="21"/>
          <w:highlight w:val="none"/>
        </w:rPr>
        <w:t>按照国库集中支付</w:t>
      </w:r>
      <w:r>
        <w:rPr>
          <w:rFonts w:hint="eastAsia" w:ascii="宋体" w:hAnsi="宋体" w:eastAsia="宋体" w:cs="宋体"/>
          <w:color w:val="auto"/>
          <w:sz w:val="21"/>
          <w:szCs w:val="21"/>
          <w:highlight w:val="none"/>
          <w:lang w:eastAsia="zh-CN"/>
        </w:rPr>
        <w:t>制度及财政管理相关</w:t>
      </w:r>
      <w:r>
        <w:rPr>
          <w:rFonts w:hint="eastAsia" w:ascii="宋体" w:hAnsi="宋体" w:eastAsia="宋体" w:cs="宋体"/>
          <w:color w:val="auto"/>
          <w:sz w:val="21"/>
          <w:szCs w:val="21"/>
          <w:highlight w:val="none"/>
        </w:rPr>
        <w:t>规定执行。</w:t>
      </w:r>
    </w:p>
    <w:p w14:paraId="10A930D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12.2 对于满足合同约定支付条件的，甲方原则上应当自收到发票后10个工作日内将资</w:t>
      </w:r>
      <w:r>
        <w:rPr>
          <w:rFonts w:hint="eastAsia" w:ascii="宋体" w:hAnsi="宋体" w:eastAsia="宋体" w:cs="宋体"/>
          <w:color w:val="auto"/>
          <w:sz w:val="21"/>
          <w:szCs w:val="21"/>
          <w:highlight w:val="none"/>
        </w:rPr>
        <w:t>金支付到合同约定的</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账户，不得以机构变动、人员更替、政策调整等为由迟延付款，不得将采购文件和合同中未规定的义务作为向</w:t>
      </w: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付款的条件。具体合同价款支付时间在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中</w:t>
      </w:r>
      <w:r>
        <w:rPr>
          <w:rFonts w:hint="eastAsia" w:ascii="宋体" w:hAnsi="宋体" w:eastAsia="宋体" w:cs="宋体"/>
          <w:color w:val="auto"/>
          <w:sz w:val="21"/>
          <w:szCs w:val="21"/>
          <w:highlight w:val="none"/>
          <w:lang w:eastAsia="zh-CN"/>
        </w:rPr>
        <w:t>约</w:t>
      </w:r>
      <w:r>
        <w:rPr>
          <w:rFonts w:hint="eastAsia" w:ascii="宋体" w:hAnsi="宋体" w:eastAsia="宋体" w:cs="宋体"/>
          <w:color w:val="auto"/>
          <w:sz w:val="21"/>
          <w:szCs w:val="21"/>
          <w:highlight w:val="none"/>
        </w:rPr>
        <w:t>定。</w:t>
      </w:r>
    </w:p>
    <w:p w14:paraId="75F87D91">
      <w:pPr>
        <w:pStyle w:val="13"/>
        <w:spacing w:after="0" w:line="400" w:lineRule="exac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3</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履约保证金</w:t>
      </w:r>
    </w:p>
    <w:p w14:paraId="7A856DB3">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.1 乙方应当以支票、汇票、本票或者金融机构、担保机构出具的保函等非现金形式提交。</w:t>
      </w:r>
    </w:p>
    <w:p w14:paraId="0AC21C23">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.2 如果乙方</w:t>
      </w:r>
      <w:r>
        <w:rPr>
          <w:rFonts w:hint="eastAsia" w:ascii="宋体" w:hAnsi="宋体" w:eastAsia="宋体" w:cs="宋体"/>
          <w:color w:val="auto"/>
          <w:sz w:val="21"/>
          <w:szCs w:val="21"/>
          <w:highlight w:val="none"/>
          <w:lang w:eastAsia="zh-CN"/>
        </w:rPr>
        <w:t>出现</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b w:val="0"/>
          <w:bCs w:val="0"/>
          <w:color w:val="auto"/>
          <w:sz w:val="21"/>
          <w:szCs w:val="21"/>
          <w:highlight w:val="none"/>
          <w:lang w:eastAsia="zh-CN"/>
        </w:rPr>
        <w:t>约定情形的</w:t>
      </w:r>
      <w:r>
        <w:rPr>
          <w:rFonts w:hint="eastAsia" w:ascii="宋体" w:hAnsi="宋体" w:eastAsia="宋体" w:cs="宋体"/>
          <w:color w:val="auto"/>
          <w:sz w:val="21"/>
          <w:szCs w:val="21"/>
          <w:highlight w:val="none"/>
        </w:rPr>
        <w:t>，履约保证金不予退还；如果乙方未能按合同约定全面履行义务，甲方有权从履约保证金中取得补偿或赔偿，</w:t>
      </w:r>
      <w:r>
        <w:rPr>
          <w:rFonts w:hint="eastAsia" w:ascii="宋体" w:hAnsi="宋体" w:eastAsia="宋体" w:cs="宋体"/>
          <w:color w:val="auto"/>
          <w:sz w:val="21"/>
          <w:szCs w:val="21"/>
          <w:highlight w:val="none"/>
          <w:lang w:eastAsia="zh-CN"/>
        </w:rPr>
        <w:t>且</w:t>
      </w:r>
      <w:r>
        <w:rPr>
          <w:rFonts w:hint="eastAsia" w:ascii="宋体" w:hAnsi="宋体" w:eastAsia="宋体" w:cs="宋体"/>
          <w:color w:val="auto"/>
          <w:sz w:val="21"/>
          <w:szCs w:val="21"/>
          <w:highlight w:val="none"/>
        </w:rPr>
        <w:t>不影响甲方要求乙方承担合同约定的超过履约保证金的违约责任的权利。</w:t>
      </w:r>
    </w:p>
    <w:p w14:paraId="3E3A5073">
      <w:pPr>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.3 甲方在项目通过验收后按照</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规定的时间内将履约保证金退还乙方；逾期退还的，乙方可要求甲方支付违约金，违约金按照</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规定支付。</w:t>
      </w:r>
    </w:p>
    <w:p w14:paraId="5C52840D">
      <w:p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4</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color w:val="auto"/>
          <w:sz w:val="21"/>
          <w:szCs w:val="21"/>
          <w:highlight w:val="none"/>
        </w:rPr>
        <w:t>售后服务</w:t>
      </w:r>
    </w:p>
    <w:p w14:paraId="0DBFA9B3">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.1 除项目不涉及或采购活动中明确约定无须承担外，乙方还应提供下列服务：</w:t>
      </w:r>
    </w:p>
    <w:p w14:paraId="32A34A35">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（1）货物的现场移动、安装、调试、启动监督及技术支持；</w:t>
      </w:r>
    </w:p>
    <w:p w14:paraId="4D1AC4AE">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（2）提供货物组装和维修所需的专用工具和辅助材料；</w:t>
      </w:r>
    </w:p>
    <w:p w14:paraId="7F66AE2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lang w:eastAsia="zh-CN"/>
        </w:rPr>
        <w:t>约定</w:t>
      </w:r>
      <w:r>
        <w:rPr>
          <w:rFonts w:hint="eastAsia" w:ascii="宋体" w:hAnsi="宋体" w:eastAsia="宋体" w:cs="宋体"/>
          <w:color w:val="auto"/>
          <w:sz w:val="21"/>
          <w:szCs w:val="21"/>
          <w:highlight w:val="none"/>
        </w:rPr>
        <w:t>的期限内对所有的货物实施运行监督、维修，但前提条件是该服务并不能免除乙方在质量保证期内所承担的义务；</w:t>
      </w:r>
    </w:p>
    <w:p w14:paraId="3C583C4C">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（4）在制造商</w:t>
      </w:r>
      <w:r>
        <w:rPr>
          <w:rFonts w:hint="eastAsia" w:ascii="宋体" w:hAnsi="宋体" w:eastAsia="宋体" w:cs="宋体"/>
          <w:color w:val="auto"/>
          <w:sz w:val="21"/>
          <w:szCs w:val="21"/>
          <w:highlight w:val="none"/>
          <w:lang w:eastAsia="zh-CN"/>
        </w:rPr>
        <w:t>所在地</w:t>
      </w:r>
      <w:r>
        <w:rPr>
          <w:rFonts w:hint="eastAsia" w:ascii="宋体" w:hAnsi="宋体" w:eastAsia="宋体" w:cs="宋体"/>
          <w:color w:val="auto"/>
          <w:sz w:val="21"/>
          <w:szCs w:val="21"/>
          <w:highlight w:val="none"/>
        </w:rPr>
        <w:t>或</w:t>
      </w:r>
      <w:r>
        <w:rPr>
          <w:rFonts w:hint="eastAsia" w:ascii="宋体" w:hAnsi="宋体" w:eastAsia="宋体" w:cs="宋体"/>
          <w:color w:val="auto"/>
          <w:sz w:val="21"/>
          <w:szCs w:val="21"/>
          <w:highlight w:val="none"/>
          <w:lang w:eastAsia="zh-CN"/>
        </w:rPr>
        <w:t>指定</w:t>
      </w:r>
      <w:r>
        <w:rPr>
          <w:rFonts w:hint="eastAsia" w:ascii="宋体" w:hAnsi="宋体" w:eastAsia="宋体" w:cs="宋体"/>
          <w:color w:val="auto"/>
          <w:sz w:val="21"/>
          <w:szCs w:val="21"/>
          <w:highlight w:val="none"/>
        </w:rPr>
        <w:t>现场就货物的安装、启动、运营、维护</w:t>
      </w:r>
      <w:r>
        <w:rPr>
          <w:rFonts w:hint="eastAsia" w:ascii="宋体" w:hAnsi="宋体" w:eastAsia="宋体" w:cs="宋体"/>
          <w:color w:val="auto"/>
          <w:sz w:val="21"/>
          <w:szCs w:val="21"/>
          <w:highlight w:val="none"/>
          <w:lang w:eastAsia="zh-CN"/>
        </w:rPr>
        <w:t>、废弃处置等</w:t>
      </w:r>
      <w:r>
        <w:rPr>
          <w:rFonts w:hint="eastAsia" w:ascii="宋体" w:hAnsi="宋体" w:eastAsia="宋体" w:cs="宋体"/>
          <w:color w:val="auto"/>
          <w:sz w:val="21"/>
          <w:szCs w:val="21"/>
          <w:highlight w:val="none"/>
        </w:rPr>
        <w:t>对甲方操作人员进行培训</w:t>
      </w:r>
      <w:r>
        <w:rPr>
          <w:rFonts w:hint="eastAsia" w:ascii="宋体" w:hAnsi="宋体" w:eastAsia="宋体" w:cs="宋体"/>
          <w:color w:val="auto"/>
          <w:sz w:val="21"/>
          <w:szCs w:val="21"/>
          <w:highlight w:val="none"/>
          <w:lang w:eastAsia="zh-CN"/>
        </w:rPr>
        <w:t>；</w:t>
      </w:r>
    </w:p>
    <w:p w14:paraId="3C45C3CF">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（5）依照法律、行政法规的规定或者按照</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约定，货物在有效使用年限届满后应予回收的，乙方负有自行或者委托第三人对货物予以回收的义务；</w:t>
      </w:r>
    </w:p>
    <w:p w14:paraId="2B45129B">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规定由乙方提供的其他服务。</w:t>
      </w:r>
    </w:p>
    <w:p w14:paraId="5E62DA26">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.2 乙方提供的</w:t>
      </w:r>
      <w:r>
        <w:rPr>
          <w:rFonts w:hint="eastAsia" w:ascii="宋体" w:hAnsi="宋体" w:eastAsia="宋体" w:cs="宋体"/>
          <w:color w:val="auto"/>
          <w:sz w:val="21"/>
          <w:szCs w:val="21"/>
          <w:highlight w:val="none"/>
          <w:lang w:eastAsia="zh-CN"/>
        </w:rPr>
        <w:t>售后</w:t>
      </w:r>
      <w:r>
        <w:rPr>
          <w:rFonts w:hint="eastAsia" w:ascii="宋体" w:hAnsi="宋体" w:eastAsia="宋体" w:cs="宋体"/>
          <w:color w:val="auto"/>
          <w:sz w:val="21"/>
          <w:szCs w:val="21"/>
          <w:highlight w:val="none"/>
        </w:rPr>
        <w:t>服务的费用</w:t>
      </w:r>
      <w:r>
        <w:rPr>
          <w:rFonts w:hint="eastAsia" w:ascii="宋体" w:hAnsi="宋体" w:eastAsia="宋体" w:cs="宋体"/>
          <w:color w:val="auto"/>
          <w:sz w:val="21"/>
          <w:szCs w:val="21"/>
          <w:highlight w:val="none"/>
          <w:lang w:val="en-US" w:eastAsia="zh-CN"/>
        </w:rPr>
        <w:t>已</w:t>
      </w:r>
      <w:r>
        <w:rPr>
          <w:rFonts w:hint="eastAsia" w:ascii="宋体" w:hAnsi="宋体" w:eastAsia="宋体" w:cs="宋体"/>
          <w:color w:val="auto"/>
          <w:sz w:val="21"/>
          <w:szCs w:val="21"/>
          <w:highlight w:val="none"/>
        </w:rPr>
        <w:t>包含在合同价款中，甲方不再另行支付。</w:t>
      </w:r>
    </w:p>
    <w:p w14:paraId="49E78840">
      <w:pPr>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5</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违约责任</w:t>
      </w:r>
    </w:p>
    <w:p w14:paraId="1BB91689">
      <w:pPr>
        <w:adjustRightInd w:val="0"/>
        <w:snapToGrid w:val="0"/>
        <w:spacing w:before="0" w:line="40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5</w:t>
      </w:r>
      <w:r>
        <w:rPr>
          <w:rFonts w:hint="eastAsia" w:ascii="宋体" w:hAnsi="宋体" w:eastAsia="宋体" w:cs="宋体"/>
          <w:bCs/>
          <w:color w:val="auto"/>
          <w:sz w:val="21"/>
          <w:szCs w:val="21"/>
          <w:highlight w:val="none"/>
        </w:rPr>
        <w:t>.1质量瑕疵的</w:t>
      </w:r>
      <w:r>
        <w:rPr>
          <w:rFonts w:hint="eastAsia" w:ascii="宋体" w:hAnsi="宋体" w:eastAsia="宋体" w:cs="宋体"/>
          <w:bCs/>
          <w:color w:val="auto"/>
          <w:sz w:val="21"/>
          <w:szCs w:val="21"/>
          <w:highlight w:val="none"/>
          <w:lang w:eastAsia="zh-CN"/>
        </w:rPr>
        <w:t>违约责任</w:t>
      </w:r>
    </w:p>
    <w:p w14:paraId="45E147DB">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的产品不符合</w:t>
      </w:r>
      <w:r>
        <w:rPr>
          <w:rFonts w:hint="eastAsia" w:ascii="宋体" w:hAnsi="宋体" w:eastAsia="宋体" w:cs="宋体"/>
          <w:color w:val="auto"/>
          <w:sz w:val="21"/>
          <w:szCs w:val="21"/>
          <w:highlight w:val="none"/>
          <w:lang w:eastAsia="zh-CN"/>
        </w:rPr>
        <w:t>合同约定的</w:t>
      </w:r>
      <w:r>
        <w:rPr>
          <w:rFonts w:hint="eastAsia" w:ascii="宋体" w:hAnsi="宋体" w:eastAsia="宋体" w:cs="宋体"/>
          <w:color w:val="auto"/>
          <w:sz w:val="21"/>
          <w:szCs w:val="21"/>
          <w:highlight w:val="none"/>
        </w:rPr>
        <w:t>质量标准或存在产品质量缺陷，</w:t>
      </w:r>
      <w:r>
        <w:rPr>
          <w:rFonts w:hint="eastAsia" w:ascii="宋体" w:hAnsi="宋体" w:eastAsia="宋体" w:cs="宋体"/>
          <w:color w:val="auto"/>
          <w:sz w:val="21"/>
          <w:szCs w:val="21"/>
          <w:highlight w:val="none"/>
          <w:lang w:eastAsia="zh-CN"/>
        </w:rPr>
        <w:t>甲方有权要求乙方根据</w:t>
      </w:r>
      <w:r>
        <w:rPr>
          <w:rFonts w:hint="eastAsia" w:ascii="宋体" w:hAnsi="宋体" w:eastAsia="宋体" w:cs="宋体"/>
          <w:b/>
          <w:color w:val="auto"/>
          <w:sz w:val="21"/>
          <w:szCs w:val="21"/>
          <w:highlight w:val="none"/>
        </w:rPr>
        <w:t>【政府采购合同专用条款】</w:t>
      </w:r>
      <w:r>
        <w:rPr>
          <w:rFonts w:hint="eastAsia" w:ascii="宋体" w:hAnsi="宋体" w:eastAsia="宋体" w:cs="宋体"/>
          <w:b w:val="0"/>
          <w:bCs/>
          <w:color w:val="auto"/>
          <w:sz w:val="21"/>
          <w:szCs w:val="21"/>
          <w:highlight w:val="none"/>
          <w:lang w:eastAsia="zh-CN"/>
        </w:rPr>
        <w:t>要求</w:t>
      </w:r>
      <w:r>
        <w:rPr>
          <w:rFonts w:hint="eastAsia" w:ascii="宋体" w:hAnsi="宋体" w:eastAsia="宋体" w:cs="宋体"/>
          <w:color w:val="auto"/>
          <w:sz w:val="21"/>
          <w:szCs w:val="21"/>
          <w:highlight w:val="none"/>
          <w:lang w:eastAsia="zh-CN"/>
        </w:rPr>
        <w:t>及时修理、重作、更换，并承担由此给甲</w:t>
      </w:r>
      <w:r>
        <w:rPr>
          <w:rFonts w:hint="eastAsia" w:ascii="宋体" w:hAnsi="宋体" w:eastAsia="宋体" w:cs="宋体"/>
          <w:color w:val="auto"/>
          <w:sz w:val="21"/>
          <w:szCs w:val="21"/>
          <w:highlight w:val="none"/>
        </w:rPr>
        <w:t>方</w:t>
      </w:r>
      <w:r>
        <w:rPr>
          <w:rFonts w:hint="eastAsia" w:ascii="宋体" w:hAnsi="宋体" w:eastAsia="宋体" w:cs="宋体"/>
          <w:color w:val="auto"/>
          <w:sz w:val="21"/>
          <w:szCs w:val="21"/>
          <w:highlight w:val="none"/>
          <w:lang w:eastAsia="zh-CN"/>
        </w:rPr>
        <w:t>造成的损失</w:t>
      </w:r>
      <w:r>
        <w:rPr>
          <w:rFonts w:hint="eastAsia" w:ascii="宋体" w:hAnsi="宋体" w:eastAsia="宋体" w:cs="宋体"/>
          <w:color w:val="auto"/>
          <w:sz w:val="21"/>
          <w:szCs w:val="21"/>
          <w:highlight w:val="none"/>
        </w:rPr>
        <w:t>。</w:t>
      </w:r>
    </w:p>
    <w:p w14:paraId="3B3A2F81">
      <w:pPr>
        <w:autoSpaceDE w:val="0"/>
        <w:autoSpaceDN w:val="0"/>
        <w:adjustRightInd w:val="0"/>
        <w:snapToGrid w:val="0"/>
        <w:spacing w:before="0" w:line="40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5</w:t>
      </w:r>
      <w:r>
        <w:rPr>
          <w:rFonts w:hint="eastAsia" w:ascii="宋体" w:hAnsi="宋体" w:eastAsia="宋体" w:cs="宋体"/>
          <w:bCs/>
          <w:color w:val="auto"/>
          <w:sz w:val="21"/>
          <w:szCs w:val="21"/>
          <w:highlight w:val="none"/>
        </w:rPr>
        <w:t>.2 迟延交货的违约责任</w:t>
      </w:r>
    </w:p>
    <w:p w14:paraId="4D6C3035">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（1）乙方应按照本合同规定的时间、地点交货和提供</w:t>
      </w:r>
      <w:r>
        <w:rPr>
          <w:rFonts w:hint="eastAsia" w:ascii="宋体" w:hAnsi="宋体" w:eastAsia="宋体" w:cs="宋体"/>
          <w:color w:val="auto"/>
          <w:sz w:val="21"/>
          <w:szCs w:val="21"/>
          <w:highlight w:val="none"/>
          <w:lang w:eastAsia="zh-CN"/>
        </w:rPr>
        <w:t>相关</w:t>
      </w:r>
      <w:r>
        <w:rPr>
          <w:rFonts w:hint="eastAsia" w:ascii="宋体" w:hAnsi="宋体" w:eastAsia="宋体" w:cs="宋体"/>
          <w:color w:val="auto"/>
          <w:sz w:val="21"/>
          <w:szCs w:val="21"/>
          <w:highlight w:val="none"/>
        </w:rPr>
        <w:t>服务。在履行合同过程中，如果乙方遇到可能</w:t>
      </w:r>
      <w:r>
        <w:rPr>
          <w:rFonts w:hint="eastAsia" w:ascii="宋体" w:hAnsi="宋体" w:eastAsia="宋体" w:cs="宋体"/>
          <w:color w:val="auto"/>
          <w:sz w:val="21"/>
          <w:szCs w:val="21"/>
          <w:highlight w:val="none"/>
          <w:lang w:eastAsia="zh-CN"/>
        </w:rPr>
        <w:t>影响</w:t>
      </w:r>
      <w:r>
        <w:rPr>
          <w:rFonts w:hint="eastAsia" w:ascii="宋体" w:hAnsi="宋体" w:eastAsia="宋体" w:cs="宋体"/>
          <w:color w:val="auto"/>
          <w:sz w:val="21"/>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s="宋体"/>
          <w:color w:val="auto"/>
          <w:sz w:val="21"/>
          <w:szCs w:val="21"/>
          <w:highlight w:val="none"/>
          <w:lang w:eastAsia="zh-CN"/>
        </w:rPr>
        <w:t>长</w:t>
      </w:r>
      <w:r>
        <w:rPr>
          <w:rFonts w:hint="eastAsia" w:ascii="宋体" w:hAnsi="宋体" w:eastAsia="宋体" w:cs="宋体"/>
          <w:color w:val="auto"/>
          <w:sz w:val="21"/>
          <w:szCs w:val="21"/>
          <w:highlight w:val="none"/>
        </w:rPr>
        <w:t>交货时间或延期提供服务。</w:t>
      </w:r>
    </w:p>
    <w:p w14:paraId="590DD4EF">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（2）如果乙方没有按照合同规定的时间交货和提供</w:t>
      </w:r>
      <w:r>
        <w:rPr>
          <w:rFonts w:hint="eastAsia" w:ascii="宋体" w:hAnsi="宋体" w:eastAsia="宋体" w:cs="宋体"/>
          <w:color w:val="auto"/>
          <w:sz w:val="21"/>
          <w:szCs w:val="21"/>
          <w:highlight w:val="none"/>
          <w:lang w:eastAsia="zh-CN"/>
        </w:rPr>
        <w:t>相关</w:t>
      </w:r>
      <w:r>
        <w:rPr>
          <w:rFonts w:hint="eastAsia" w:ascii="宋体" w:hAnsi="宋体" w:eastAsia="宋体" w:cs="宋体"/>
          <w:color w:val="auto"/>
          <w:sz w:val="21"/>
          <w:szCs w:val="21"/>
          <w:highlight w:val="none"/>
        </w:rPr>
        <w:t>服务，甲方有权从货款中扣除误期赔偿费而不影响合同项下的其他补救方法，赔偿费按</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规定执行。如果涉及公共利益，且赔偿金额无法弥补公共利益损失，</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可要求继续履行或者</w:t>
      </w:r>
      <w:r>
        <w:rPr>
          <w:rFonts w:hint="eastAsia" w:ascii="宋体" w:hAnsi="宋体" w:eastAsia="宋体" w:cs="宋体"/>
          <w:color w:val="auto"/>
          <w:sz w:val="21"/>
          <w:szCs w:val="21"/>
          <w:highlight w:val="none"/>
          <w:lang w:eastAsia="zh-CN"/>
        </w:rPr>
        <w:t>采取其他补救措施</w:t>
      </w:r>
      <w:r>
        <w:rPr>
          <w:rFonts w:hint="eastAsia" w:ascii="宋体" w:hAnsi="宋体" w:eastAsia="宋体" w:cs="宋体"/>
          <w:color w:val="auto"/>
          <w:sz w:val="21"/>
          <w:szCs w:val="21"/>
          <w:highlight w:val="none"/>
        </w:rPr>
        <w:t>。</w:t>
      </w:r>
    </w:p>
    <w:p w14:paraId="3E573CC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rPr>
        <w:t>.3 迟延支付的违约责任</w:t>
      </w:r>
    </w:p>
    <w:p w14:paraId="3ED807CB">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甲方存在迟延支付乙方合同款项的，应当承担</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规定的逾期付款利息。</w:t>
      </w:r>
    </w:p>
    <w:p w14:paraId="7371855D">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5</w:t>
      </w:r>
      <w:r>
        <w:rPr>
          <w:rFonts w:hint="eastAsia" w:ascii="宋体" w:hAnsi="宋体" w:eastAsia="宋体" w:cs="宋体"/>
          <w:bCs/>
          <w:color w:val="auto"/>
          <w:sz w:val="21"/>
          <w:szCs w:val="21"/>
          <w:highlight w:val="none"/>
        </w:rPr>
        <w:t>.4其他违约责任根据项目实际需要按</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规定执行。</w:t>
      </w:r>
    </w:p>
    <w:p w14:paraId="152936FF">
      <w:pPr>
        <w:numPr>
          <w:ilvl w:val="0"/>
          <w:numId w:val="8"/>
        </w:num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合同变更</w:t>
      </w:r>
      <w:r>
        <w:rPr>
          <w:rFonts w:hint="eastAsia" w:ascii="宋体" w:hAnsi="宋体" w:eastAsia="宋体" w:cs="宋体"/>
          <w:b/>
          <w:color w:val="auto"/>
          <w:sz w:val="21"/>
          <w:szCs w:val="21"/>
          <w:highlight w:val="none"/>
          <w:lang w:eastAsia="zh-CN"/>
        </w:rPr>
        <w:t>、中止与终止</w:t>
      </w:r>
    </w:p>
    <w:p w14:paraId="28C474DB">
      <w:pPr>
        <w:autoSpaceDE/>
        <w:autoSpaceDN/>
        <w:adjustRightInd w:val="0"/>
        <w:snapToGrid w:val="0"/>
        <w:spacing w:before="0" w:line="400" w:lineRule="exact"/>
        <w:ind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.1合同的</w:t>
      </w:r>
      <w:r>
        <w:rPr>
          <w:rFonts w:hint="eastAsia" w:ascii="宋体" w:hAnsi="宋体" w:eastAsia="宋体" w:cs="宋体"/>
          <w:color w:val="auto"/>
          <w:sz w:val="21"/>
          <w:szCs w:val="21"/>
          <w:highlight w:val="none"/>
          <w:lang w:eastAsia="zh-CN"/>
        </w:rPr>
        <w:t>变更</w:t>
      </w:r>
    </w:p>
    <w:p w14:paraId="019E6119">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政府采购合同履行中，</w:t>
      </w:r>
      <w:r>
        <w:rPr>
          <w:rFonts w:hint="eastAsia" w:ascii="宋体" w:hAnsi="宋体" w:eastAsia="宋体" w:cs="宋体"/>
          <w:color w:val="auto"/>
          <w:sz w:val="21"/>
          <w:szCs w:val="21"/>
          <w:highlight w:val="none"/>
        </w:rPr>
        <w:t>在不改变合同其他条款的前提下，甲方可以在合同价款10%的范围内追加与合同标的相同的货物，并就此与乙方协商</w:t>
      </w:r>
      <w:r>
        <w:rPr>
          <w:rFonts w:hint="eastAsia" w:ascii="宋体" w:hAnsi="宋体" w:eastAsia="宋体" w:cs="宋体"/>
          <w:color w:val="auto"/>
          <w:sz w:val="21"/>
          <w:szCs w:val="21"/>
          <w:highlight w:val="none"/>
          <w:lang w:eastAsia="zh-CN"/>
        </w:rPr>
        <w:t>一致后</w:t>
      </w:r>
      <w:r>
        <w:rPr>
          <w:rFonts w:hint="eastAsia" w:ascii="宋体" w:hAnsi="宋体" w:eastAsia="宋体" w:cs="宋体"/>
          <w:color w:val="auto"/>
          <w:sz w:val="21"/>
          <w:szCs w:val="21"/>
          <w:highlight w:val="none"/>
        </w:rPr>
        <w:t>签订补充协议。</w:t>
      </w:r>
    </w:p>
    <w:p w14:paraId="23532E82">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合同的中止</w:t>
      </w:r>
    </w:p>
    <w:p w14:paraId="6730C3F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（1）合同履行过程中因供应商就采购文件、采购过程或结果提起投诉的，甲方认为有必要的，</w:t>
      </w:r>
      <w:r>
        <w:rPr>
          <w:rFonts w:hint="eastAsia" w:ascii="宋体" w:hAnsi="宋体" w:eastAsia="宋体" w:cs="宋体"/>
          <w:color w:val="auto"/>
          <w:sz w:val="21"/>
          <w:szCs w:val="21"/>
          <w:highlight w:val="none"/>
          <w:lang w:eastAsia="zh-CN"/>
        </w:rPr>
        <w:t>可以</w:t>
      </w:r>
      <w:r>
        <w:rPr>
          <w:rFonts w:hint="eastAsia" w:ascii="宋体" w:hAnsi="宋体" w:eastAsia="宋体" w:cs="宋体"/>
          <w:color w:val="auto"/>
          <w:sz w:val="21"/>
          <w:szCs w:val="21"/>
          <w:highlight w:val="none"/>
        </w:rPr>
        <w:t>中止合同的履行。</w:t>
      </w:r>
    </w:p>
    <w:p w14:paraId="706E465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合同履行过程中，</w:t>
      </w:r>
      <w:r>
        <w:rPr>
          <w:rFonts w:hint="eastAsia" w:ascii="宋体" w:hAnsi="宋体" w:eastAsia="宋体" w:cs="宋体"/>
          <w:color w:val="auto"/>
          <w:sz w:val="21"/>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s="宋体"/>
          <w:color w:val="auto"/>
          <w:sz w:val="21"/>
          <w:szCs w:val="21"/>
          <w:highlight w:val="none"/>
          <w:lang w:eastAsia="zh-CN"/>
        </w:rPr>
        <w:t>，乙方有义务及时告知甲方</w:t>
      </w:r>
      <w:r>
        <w:rPr>
          <w:rFonts w:hint="eastAsia" w:ascii="宋体" w:hAnsi="宋体" w:eastAsia="宋体" w:cs="宋体"/>
          <w:color w:val="auto"/>
          <w:sz w:val="21"/>
          <w:szCs w:val="21"/>
          <w:highlight w:val="none"/>
        </w:rPr>
        <w:t>。甲方</w:t>
      </w:r>
      <w:r>
        <w:rPr>
          <w:rFonts w:hint="eastAsia" w:ascii="宋体" w:hAnsi="宋体" w:eastAsia="宋体" w:cs="宋体"/>
          <w:color w:val="auto"/>
          <w:sz w:val="21"/>
          <w:szCs w:val="21"/>
          <w:highlight w:val="none"/>
          <w:lang w:eastAsia="zh-CN"/>
        </w:rPr>
        <w:t>有权</w:t>
      </w:r>
      <w:r>
        <w:rPr>
          <w:rFonts w:hint="eastAsia" w:ascii="宋体" w:hAnsi="宋体" w:eastAsia="宋体" w:cs="宋体"/>
          <w:color w:val="auto"/>
          <w:sz w:val="21"/>
          <w:szCs w:val="21"/>
          <w:highlight w:val="none"/>
        </w:rPr>
        <w:t>以书面形式通知乙方中止合同</w:t>
      </w:r>
      <w:r>
        <w:rPr>
          <w:rFonts w:hint="eastAsia" w:ascii="宋体" w:hAnsi="宋体" w:eastAsia="宋体" w:cs="宋体"/>
          <w:color w:val="auto"/>
          <w:sz w:val="21"/>
          <w:szCs w:val="21"/>
          <w:highlight w:val="none"/>
          <w:lang w:eastAsia="zh-CN"/>
        </w:rPr>
        <w:t>并要求乙方在合理期限内消除相关情形或者提供适当担保。</w:t>
      </w:r>
      <w:r>
        <w:rPr>
          <w:rFonts w:hint="eastAsia" w:ascii="宋体" w:hAnsi="宋体" w:eastAsia="宋体" w:cs="宋体"/>
          <w:color w:val="auto"/>
          <w:sz w:val="21"/>
          <w:szCs w:val="21"/>
          <w:highlight w:val="none"/>
        </w:rPr>
        <w:t>乙方提供适当担保的，</w:t>
      </w:r>
      <w:r>
        <w:rPr>
          <w:rFonts w:hint="eastAsia" w:ascii="宋体" w:hAnsi="宋体" w:eastAsia="宋体" w:cs="宋体"/>
          <w:color w:val="auto"/>
          <w:sz w:val="21"/>
          <w:szCs w:val="21"/>
          <w:highlight w:val="none"/>
          <w:lang w:eastAsia="zh-CN"/>
        </w:rPr>
        <w:t>合同继续</w:t>
      </w:r>
      <w:r>
        <w:rPr>
          <w:rFonts w:hint="eastAsia" w:ascii="宋体" w:hAnsi="宋体" w:eastAsia="宋体" w:cs="宋体"/>
          <w:color w:val="auto"/>
          <w:sz w:val="21"/>
          <w:szCs w:val="21"/>
          <w:highlight w:val="none"/>
        </w:rPr>
        <w:t>履行</w:t>
      </w:r>
      <w:r>
        <w:rPr>
          <w:rFonts w:hint="eastAsia" w:ascii="宋体" w:hAnsi="宋体" w:eastAsia="宋体" w:cs="宋体"/>
          <w:color w:val="auto"/>
          <w:sz w:val="21"/>
          <w:szCs w:val="21"/>
          <w:highlight w:val="none"/>
          <w:lang w:eastAsia="zh-CN"/>
        </w:rPr>
        <w:t>；乙</w:t>
      </w:r>
      <w:r>
        <w:rPr>
          <w:rFonts w:hint="eastAsia" w:ascii="宋体" w:hAnsi="宋体" w:eastAsia="宋体" w:cs="宋体"/>
          <w:color w:val="auto"/>
          <w:sz w:val="21"/>
          <w:szCs w:val="21"/>
          <w:highlight w:val="none"/>
        </w:rPr>
        <w:t>方在合理期限内未恢复履约能力且未提供适当担保的，视为拒绝</w:t>
      </w:r>
      <w:r>
        <w:rPr>
          <w:rFonts w:hint="eastAsia" w:ascii="宋体" w:hAnsi="宋体" w:eastAsia="宋体" w:cs="宋体"/>
          <w:color w:val="auto"/>
          <w:sz w:val="21"/>
          <w:szCs w:val="21"/>
          <w:highlight w:val="none"/>
          <w:lang w:eastAsia="zh-CN"/>
        </w:rPr>
        <w:t>继续</w:t>
      </w:r>
      <w:r>
        <w:rPr>
          <w:rFonts w:hint="eastAsia" w:ascii="宋体" w:hAnsi="宋体" w:eastAsia="宋体" w:cs="宋体"/>
          <w:color w:val="auto"/>
          <w:sz w:val="21"/>
          <w:szCs w:val="21"/>
          <w:highlight w:val="none"/>
        </w:rPr>
        <w:t>履约，甲方</w:t>
      </w:r>
      <w:r>
        <w:rPr>
          <w:rFonts w:hint="eastAsia" w:ascii="宋体" w:hAnsi="宋体" w:eastAsia="宋体" w:cs="宋体"/>
          <w:color w:val="auto"/>
          <w:sz w:val="21"/>
          <w:szCs w:val="21"/>
          <w:highlight w:val="none"/>
          <w:lang w:eastAsia="zh-CN"/>
        </w:rPr>
        <w:t>有权</w:t>
      </w:r>
      <w:r>
        <w:rPr>
          <w:rFonts w:hint="eastAsia" w:ascii="宋体" w:hAnsi="宋体" w:eastAsia="宋体" w:cs="宋体"/>
          <w:color w:val="auto"/>
          <w:sz w:val="21"/>
          <w:szCs w:val="21"/>
          <w:highlight w:val="none"/>
        </w:rPr>
        <w:t>解除合同并要求乙方承担</w:t>
      </w:r>
      <w:r>
        <w:rPr>
          <w:rFonts w:hint="eastAsia" w:ascii="宋体" w:hAnsi="宋体" w:eastAsia="宋体" w:cs="宋体"/>
          <w:color w:val="auto"/>
          <w:sz w:val="21"/>
          <w:szCs w:val="21"/>
          <w:highlight w:val="none"/>
          <w:lang w:eastAsia="zh-CN"/>
        </w:rPr>
        <w:t>由此给甲方造成的损失</w:t>
      </w:r>
      <w:r>
        <w:rPr>
          <w:rFonts w:hint="eastAsia" w:ascii="宋体" w:hAnsi="宋体" w:eastAsia="宋体" w:cs="宋体"/>
          <w:color w:val="auto"/>
          <w:sz w:val="21"/>
          <w:szCs w:val="21"/>
          <w:highlight w:val="none"/>
        </w:rPr>
        <w:t>。</w:t>
      </w:r>
    </w:p>
    <w:p w14:paraId="5CD80FD9">
      <w:pPr>
        <w:pStyle w:val="37"/>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3BCAED40">
      <w:pPr>
        <w:snapToGrid w:val="0"/>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）甲方不得以行政区划调整、政府换届、机构或者职能调整以及相关责任人更替为由中止合同。</w:t>
      </w:r>
    </w:p>
    <w:p w14:paraId="56F1AC42">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合同的终止</w:t>
      </w:r>
    </w:p>
    <w:p w14:paraId="3848BADB">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（1）合同因有效期限届满而终止；</w:t>
      </w:r>
    </w:p>
    <w:p w14:paraId="2AF06312">
      <w:pPr>
        <w:snapToGrid w:val="0"/>
        <w:spacing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（2）乙方未</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合同约定履行，构成根本性违约的，甲方有权终止合同</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并追究乙方的违约责</w:t>
      </w:r>
      <w:r>
        <w:rPr>
          <w:rFonts w:hint="eastAsia" w:ascii="宋体" w:hAnsi="宋体" w:eastAsia="宋体" w:cs="宋体"/>
          <w:color w:val="auto"/>
          <w:sz w:val="21"/>
          <w:szCs w:val="21"/>
          <w:highlight w:val="none"/>
          <w:lang w:val="en-US" w:eastAsia="zh-CN"/>
        </w:rPr>
        <w:t>任</w:t>
      </w:r>
      <w:r>
        <w:rPr>
          <w:rFonts w:hint="eastAsia" w:ascii="宋体" w:hAnsi="宋体" w:eastAsia="宋体" w:cs="宋体"/>
          <w:color w:val="auto"/>
          <w:sz w:val="21"/>
          <w:szCs w:val="21"/>
          <w:highlight w:val="none"/>
        </w:rPr>
        <w:t>。</w:t>
      </w:r>
    </w:p>
    <w:p w14:paraId="3F0ADFC8">
      <w:pPr>
        <w:pStyle w:val="37"/>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16.4 涉及国家利益、社会公共利益的情形</w:t>
      </w:r>
    </w:p>
    <w:p w14:paraId="15580053">
      <w:pPr>
        <w:pStyle w:val="37"/>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政府采购合同继续履行将损害国家利益和社会公共利益的，双方当事人应当变更、中止或者终止合同。有过错的一方应当承担赔偿责任，双方都有过错的，各自承担相应的责任。</w:t>
      </w:r>
    </w:p>
    <w:p w14:paraId="5C2AA675">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合同分包</w:t>
      </w:r>
    </w:p>
    <w:p w14:paraId="4EF84233">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.1 乙方不得</w:t>
      </w:r>
      <w:r>
        <w:rPr>
          <w:rFonts w:hint="eastAsia" w:ascii="宋体" w:hAnsi="宋体" w:eastAsia="宋体" w:cs="宋体"/>
          <w:color w:val="auto"/>
          <w:sz w:val="21"/>
          <w:szCs w:val="21"/>
          <w:highlight w:val="none"/>
          <w:lang w:eastAsia="zh-CN"/>
        </w:rPr>
        <w:t>将合同转包给其他供应商。涉及合同分包的，乙方</w:t>
      </w:r>
      <w:r>
        <w:rPr>
          <w:rFonts w:hint="eastAsia" w:ascii="宋体" w:hAnsi="宋体" w:eastAsia="宋体" w:cs="宋体"/>
          <w:color w:val="auto"/>
          <w:sz w:val="21"/>
          <w:szCs w:val="21"/>
          <w:highlight w:val="none"/>
          <w:lang w:val="en-US" w:eastAsia="zh-CN"/>
        </w:rPr>
        <w:t>应</w:t>
      </w:r>
      <w:r>
        <w:rPr>
          <w:rFonts w:hint="eastAsia" w:ascii="宋体" w:hAnsi="宋体" w:eastAsia="宋体" w:cs="宋体"/>
          <w:color w:val="auto"/>
          <w:sz w:val="21"/>
          <w:szCs w:val="21"/>
          <w:highlight w:val="none"/>
          <w:lang w:eastAsia="zh-CN"/>
        </w:rPr>
        <w:t>根据采购文件和投标（响应）文件规定进行</w:t>
      </w:r>
      <w:r>
        <w:rPr>
          <w:rFonts w:hint="eastAsia" w:ascii="宋体" w:hAnsi="宋体" w:eastAsia="宋体" w:cs="宋体"/>
          <w:color w:val="auto"/>
          <w:sz w:val="21"/>
          <w:szCs w:val="21"/>
          <w:highlight w:val="none"/>
        </w:rPr>
        <w:t>合同分包。</w:t>
      </w:r>
    </w:p>
    <w:p w14:paraId="19F98564">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.2 乙方执行政府采购政策向中小企业依法分包的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乙方应当按采购文件</w:t>
      </w:r>
      <w:r>
        <w:rPr>
          <w:rFonts w:hint="eastAsia" w:ascii="宋体" w:hAnsi="宋体" w:eastAsia="宋体" w:cs="宋体"/>
          <w:color w:val="auto"/>
          <w:sz w:val="21"/>
          <w:szCs w:val="21"/>
          <w:highlight w:val="none"/>
          <w:lang w:eastAsia="zh-CN"/>
        </w:rPr>
        <w:t>和</w:t>
      </w:r>
      <w:r>
        <w:rPr>
          <w:rFonts w:hint="eastAsia" w:ascii="宋体" w:hAnsi="宋体" w:eastAsia="宋体" w:cs="宋体"/>
          <w:color w:val="auto"/>
          <w:sz w:val="21"/>
          <w:szCs w:val="21"/>
          <w:highlight w:val="none"/>
        </w:rPr>
        <w:t>投标（响应）文件签订分包</w:t>
      </w:r>
      <w:r>
        <w:rPr>
          <w:rFonts w:hint="eastAsia" w:ascii="宋体" w:hAnsi="宋体" w:eastAsia="宋体" w:cs="宋体"/>
          <w:color w:val="auto"/>
          <w:sz w:val="21"/>
          <w:szCs w:val="21"/>
          <w:highlight w:val="none"/>
          <w:lang w:eastAsia="zh-CN"/>
        </w:rPr>
        <w:t>意向</w:t>
      </w:r>
      <w:r>
        <w:rPr>
          <w:rFonts w:hint="eastAsia" w:ascii="宋体" w:hAnsi="宋体" w:eastAsia="宋体" w:cs="宋体"/>
          <w:color w:val="auto"/>
          <w:sz w:val="21"/>
          <w:szCs w:val="21"/>
          <w:highlight w:val="none"/>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，分包</w:t>
      </w:r>
      <w:r>
        <w:rPr>
          <w:rFonts w:hint="eastAsia" w:ascii="宋体" w:hAnsi="宋体" w:eastAsia="宋体" w:cs="宋体"/>
          <w:color w:val="auto"/>
          <w:sz w:val="21"/>
          <w:szCs w:val="21"/>
          <w:highlight w:val="none"/>
          <w:lang w:eastAsia="zh-CN"/>
        </w:rPr>
        <w:t>意向</w:t>
      </w:r>
      <w:r>
        <w:rPr>
          <w:rFonts w:hint="eastAsia" w:ascii="宋体" w:hAnsi="宋体" w:eastAsia="宋体" w:cs="宋体"/>
          <w:color w:val="auto"/>
          <w:sz w:val="21"/>
          <w:szCs w:val="21"/>
          <w:highlight w:val="none"/>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属于本合同组成部分。</w:t>
      </w:r>
    </w:p>
    <w:p w14:paraId="6E9E40FB">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1</w:t>
      </w:r>
      <w:r>
        <w:rPr>
          <w:rFonts w:hint="eastAsia" w:ascii="宋体" w:hAnsi="宋体" w:eastAsia="宋体" w:cs="宋体"/>
          <w:b/>
          <w:bCs/>
          <w:color w:val="auto"/>
          <w:sz w:val="21"/>
          <w:szCs w:val="21"/>
          <w:highlight w:val="none"/>
          <w:lang w:val="en-US" w:eastAsia="zh-CN"/>
        </w:rPr>
        <w:t>8</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不可抗力</w:t>
      </w:r>
    </w:p>
    <w:p w14:paraId="3A0D10E3">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.1 不可抗力是指合同双方不能预见、不能避免且不能克服的客观情况。</w:t>
      </w:r>
    </w:p>
    <w:p w14:paraId="7334AEE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.2 任何一方对由于不可抗力造成的部分或全部不能履行合同不承担违约责任。但迟延履行后发生不可抗力的，不能免除责任。</w:t>
      </w:r>
    </w:p>
    <w:p w14:paraId="5B43D4C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.3 遇有不可抗力的一方，应及时将事件情况以书面形式</w:t>
      </w:r>
      <w:r>
        <w:rPr>
          <w:rFonts w:hint="eastAsia" w:ascii="宋体" w:hAnsi="宋体" w:eastAsia="宋体" w:cs="宋体"/>
          <w:color w:val="auto"/>
          <w:sz w:val="21"/>
          <w:szCs w:val="21"/>
          <w:highlight w:val="none"/>
          <w:lang w:eastAsia="zh-CN"/>
        </w:rPr>
        <w:t>告</w:t>
      </w:r>
      <w:r>
        <w:rPr>
          <w:rFonts w:hint="eastAsia" w:ascii="宋体" w:hAnsi="宋体" w:eastAsia="宋体" w:cs="宋体"/>
          <w:color w:val="auto"/>
          <w:sz w:val="21"/>
          <w:szCs w:val="21"/>
          <w:highlight w:val="none"/>
        </w:rPr>
        <w:t>知另一方，并在事件发生后及时向另一方提交合同不能履行或部分不能履行或需要延期履行</w:t>
      </w:r>
      <w:r>
        <w:rPr>
          <w:rFonts w:hint="eastAsia" w:ascii="宋体" w:hAnsi="宋体" w:eastAsia="宋体" w:cs="宋体"/>
          <w:color w:val="auto"/>
          <w:sz w:val="21"/>
          <w:szCs w:val="21"/>
          <w:highlight w:val="none"/>
          <w:lang w:eastAsia="zh-CN"/>
        </w:rPr>
        <w:t>的详细</w:t>
      </w:r>
      <w:r>
        <w:rPr>
          <w:rFonts w:hint="eastAsia" w:ascii="宋体" w:hAnsi="宋体" w:eastAsia="宋体" w:cs="宋体"/>
          <w:color w:val="auto"/>
          <w:sz w:val="21"/>
          <w:szCs w:val="21"/>
          <w:highlight w:val="none"/>
        </w:rPr>
        <w:t>报告</w:t>
      </w:r>
      <w:r>
        <w:rPr>
          <w:rFonts w:hint="eastAsia" w:ascii="宋体" w:hAnsi="宋体" w:eastAsia="宋体" w:cs="宋体"/>
          <w:color w:val="auto"/>
          <w:sz w:val="21"/>
          <w:szCs w:val="21"/>
          <w:highlight w:val="none"/>
          <w:lang w:eastAsia="zh-CN"/>
        </w:rPr>
        <w:t>，以</w:t>
      </w:r>
      <w:r>
        <w:rPr>
          <w:rFonts w:hint="eastAsia" w:ascii="宋体" w:hAnsi="宋体" w:eastAsia="宋体" w:cs="宋体"/>
          <w:color w:val="auto"/>
          <w:sz w:val="21"/>
          <w:szCs w:val="21"/>
          <w:highlight w:val="none"/>
          <w:lang w:val="en-US" w:eastAsia="zh-CN"/>
        </w:rPr>
        <w:t>及证明不可抗力发生及其持续时间的证据</w:t>
      </w:r>
      <w:r>
        <w:rPr>
          <w:rFonts w:hint="eastAsia" w:ascii="宋体" w:hAnsi="宋体" w:eastAsia="宋体" w:cs="宋体"/>
          <w:color w:val="auto"/>
          <w:sz w:val="21"/>
          <w:szCs w:val="21"/>
          <w:highlight w:val="none"/>
        </w:rPr>
        <w:t>。</w:t>
      </w:r>
    </w:p>
    <w:p w14:paraId="1ACB0169">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19</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解决争议的方法</w:t>
      </w:r>
    </w:p>
    <w:p w14:paraId="4268DE9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19</w:t>
      </w:r>
      <w:r>
        <w:rPr>
          <w:rFonts w:hint="eastAsia" w:ascii="宋体" w:hAnsi="宋体" w:eastAsia="宋体" w:cs="宋体"/>
          <w:color w:val="auto"/>
          <w:sz w:val="21"/>
          <w:szCs w:val="21"/>
          <w:highlight w:val="none"/>
          <w:lang w:eastAsia="zh-CN"/>
        </w:rPr>
        <w:t>.1 因本合同及合同有关事项发生的争议，由甲乙双方友好协商解决。协商不成时，可以向有关组织申请调解。合同一方或双方不愿调解或调解不成的，可以通过仲裁或诉讼的方式解决争议。</w:t>
      </w:r>
    </w:p>
    <w:p w14:paraId="414115B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19.2 选择仲裁的，应在</w:t>
      </w:r>
      <w:r>
        <w:rPr>
          <w:rFonts w:hint="eastAsia" w:ascii="宋体" w:hAnsi="宋体" w:eastAsia="宋体" w:cs="宋体"/>
          <w:b/>
          <w:bCs/>
          <w:color w:val="auto"/>
          <w:sz w:val="21"/>
          <w:szCs w:val="21"/>
          <w:highlight w:val="none"/>
          <w:lang w:val="en-US" w:eastAsia="zh-CN"/>
        </w:rPr>
        <w:t>【政府采购合同专用条款】</w:t>
      </w:r>
      <w:r>
        <w:rPr>
          <w:rFonts w:hint="eastAsia" w:ascii="宋体" w:hAnsi="宋体" w:eastAsia="宋体" w:cs="宋体"/>
          <w:color w:val="auto"/>
          <w:sz w:val="21"/>
          <w:szCs w:val="21"/>
          <w:highlight w:val="none"/>
          <w:lang w:val="en-US" w:eastAsia="zh-CN"/>
        </w:rPr>
        <w:t>中明确仲裁机构及仲裁地；通过诉讼方式解决的，可以在</w:t>
      </w:r>
      <w:r>
        <w:rPr>
          <w:rFonts w:hint="eastAsia" w:ascii="宋体" w:hAnsi="宋体" w:eastAsia="宋体" w:cs="宋体"/>
          <w:b/>
          <w:bCs/>
          <w:color w:val="auto"/>
          <w:sz w:val="21"/>
          <w:szCs w:val="21"/>
          <w:highlight w:val="none"/>
          <w:lang w:val="en-US" w:eastAsia="zh-CN"/>
        </w:rPr>
        <w:t>【政府采购合同专用条款】</w:t>
      </w:r>
      <w:r>
        <w:rPr>
          <w:rFonts w:hint="eastAsia" w:ascii="宋体" w:hAnsi="宋体" w:eastAsia="宋体" w:cs="宋体"/>
          <w:color w:val="auto"/>
          <w:sz w:val="21"/>
          <w:szCs w:val="21"/>
          <w:highlight w:val="none"/>
          <w:lang w:val="en-US" w:eastAsia="zh-CN"/>
        </w:rPr>
        <w:t>中进一步约定选择与争议有实际联系的地点的人民法院管辖，但管辖法院的约定不得违反级别管辖和专属管辖的规定。</w:t>
      </w:r>
    </w:p>
    <w:p w14:paraId="404A2EBD">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19.3 如甲乙双方有争议的事项不影响合同其他部分的履行，在争议解决期间，合同其他部分应当继续履行。</w:t>
      </w:r>
    </w:p>
    <w:p w14:paraId="1EE4C3A5">
      <w:pPr>
        <w:autoSpaceDE w:val="0"/>
        <w:autoSpaceDN w:val="0"/>
        <w:adjustRightInd w:val="0"/>
        <w:snapToGrid w:val="0"/>
        <w:spacing w:before="0" w:line="400" w:lineRule="exact"/>
        <w:jc w:val="left"/>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lang w:val="en-US" w:eastAsia="zh-CN"/>
        </w:rPr>
        <w:t>20</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政府采购政策</w:t>
      </w:r>
    </w:p>
    <w:p w14:paraId="5E7E62BF">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20.1 </w:t>
      </w:r>
      <w:r>
        <w:rPr>
          <w:rFonts w:hint="eastAsia" w:ascii="宋体" w:hAnsi="宋体" w:eastAsia="宋体" w:cs="宋体"/>
          <w:color w:val="auto"/>
          <w:sz w:val="21"/>
          <w:szCs w:val="21"/>
          <w:highlight w:val="none"/>
          <w:lang w:val="en-GB"/>
        </w:rPr>
        <w:t>本合同应当按照规定执行政府采购政策。</w:t>
      </w:r>
    </w:p>
    <w:p w14:paraId="078691A2">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 xml:space="preserve"> 本合同依法执行政府采购政策的方式和内容，属于合同履约验收的范围。</w:t>
      </w:r>
      <w:r>
        <w:rPr>
          <w:rFonts w:hint="eastAsia" w:ascii="宋体" w:hAnsi="宋体" w:eastAsia="宋体" w:cs="宋体"/>
          <w:color w:val="auto"/>
          <w:sz w:val="21"/>
          <w:szCs w:val="21"/>
          <w:highlight w:val="none"/>
          <w:lang w:eastAsia="zh-CN"/>
        </w:rPr>
        <w:t>甲乙双方</w:t>
      </w:r>
      <w:r>
        <w:rPr>
          <w:rFonts w:hint="eastAsia" w:ascii="宋体" w:hAnsi="宋体" w:eastAsia="宋体" w:cs="宋体"/>
          <w:color w:val="auto"/>
          <w:sz w:val="21"/>
          <w:szCs w:val="21"/>
          <w:highlight w:val="none"/>
          <w:lang w:val="en-GB"/>
        </w:rPr>
        <w:t>未按规定要求执行政府采购政策造成损失的</w:t>
      </w:r>
      <w:r>
        <w:rPr>
          <w:rFonts w:hint="eastAsia" w:ascii="宋体" w:hAnsi="宋体" w:eastAsia="宋体" w:cs="宋体"/>
          <w:color w:val="auto"/>
          <w:sz w:val="21"/>
          <w:szCs w:val="21"/>
          <w:highlight w:val="none"/>
        </w:rPr>
        <w:t>，有过错的一方应当承</w:t>
      </w:r>
      <w:r>
        <w:rPr>
          <w:rFonts w:hint="eastAsia" w:ascii="宋体" w:hAnsi="宋体" w:eastAsia="宋体" w:cs="宋体"/>
          <w:color w:val="auto"/>
          <w:sz w:val="21"/>
          <w:szCs w:val="21"/>
          <w:highlight w:val="none"/>
          <w:lang w:val="en-US" w:eastAsia="zh-CN"/>
        </w:rPr>
        <w:t>担赔偿责任，双方都有过错的，各自承担相应的责任。</w:t>
      </w:r>
    </w:p>
    <w:p w14:paraId="15F6DED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w:t>
      </w:r>
      <w:r>
        <w:rPr>
          <w:rFonts w:hint="eastAsia" w:cs="宋体"/>
          <w:color w:val="auto"/>
          <w:sz w:val="21"/>
          <w:szCs w:val="21"/>
          <w:highlight w:val="none"/>
          <w:lang w:val="en-US" w:eastAsia="zh-CN"/>
        </w:rPr>
        <w:t>体</w:t>
      </w:r>
      <w:r>
        <w:rPr>
          <w:rFonts w:hint="eastAsia" w:ascii="宋体" w:hAnsi="宋体" w:eastAsia="宋体" w:cs="宋体"/>
          <w:color w:val="auto"/>
          <w:sz w:val="21"/>
          <w:szCs w:val="21"/>
          <w:highlight w:val="none"/>
          <w:lang w:val="en-US" w:eastAsia="zh-CN"/>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lang w:val="en-US" w:eastAsia="zh-CN"/>
        </w:rPr>
        <w:t>或者分包意向协议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lang w:val="en-US" w:eastAsia="zh-CN"/>
        </w:rPr>
        <w:t>作为采购合同的组成部分。</w:t>
      </w:r>
    </w:p>
    <w:p w14:paraId="4DDDC0EC">
      <w:p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val="en-US" w:eastAsia="zh-CN"/>
        </w:rPr>
        <w:t>1</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法律适用</w:t>
      </w:r>
    </w:p>
    <w:p w14:paraId="77D8A65D">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21.1 本合同的订立、生效、解释、履行及与本合同有关的争议解决，均适用法律、行政法规。</w:t>
      </w:r>
    </w:p>
    <w:p w14:paraId="0781C6DB">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21.2 本合同条款与法律、行政法规的强制性规定不一致的，双方当事人应按照法律、行政法规的强制性规定修改本合同的相关条款。</w:t>
      </w:r>
    </w:p>
    <w:p w14:paraId="4D96B473">
      <w:pPr>
        <w:numPr>
          <w:ilvl w:val="-1"/>
          <w:numId w:val="0"/>
        </w:num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 xml:space="preserve">22. </w:t>
      </w:r>
      <w:r>
        <w:rPr>
          <w:rFonts w:hint="eastAsia" w:ascii="宋体" w:hAnsi="宋体" w:eastAsia="宋体" w:cs="宋体"/>
          <w:b/>
          <w:color w:val="auto"/>
          <w:sz w:val="21"/>
          <w:szCs w:val="21"/>
          <w:highlight w:val="none"/>
        </w:rPr>
        <w:t>通知</w:t>
      </w:r>
    </w:p>
    <w:p w14:paraId="02B583B6">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22.1 本合同任何一方向对方发出的通知、信件、数据电文等，应当发送至本合同第一部分《政府采购合同协议书》所约定的通讯地址、联系人、联系电话或电子邮箱。</w:t>
      </w:r>
    </w:p>
    <w:p w14:paraId="6221716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22.2 一方当事人变更名称、住所、联系人、联系电话或电子邮箱等信息的，应当在变更后3日内及时书面通知对方，对方实际收到变更通知前的送达仍为有效送达。</w:t>
      </w:r>
    </w:p>
    <w:p w14:paraId="6F20297A">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22.3本合同一方给另一方的通知均应采用书面形式，传真或快递送到本合</w:t>
      </w:r>
      <w:r>
        <w:rPr>
          <w:rFonts w:hint="eastAsia" w:ascii="宋体" w:hAnsi="宋体" w:eastAsia="宋体" w:cs="宋体"/>
          <w:color w:val="auto"/>
          <w:sz w:val="21"/>
          <w:szCs w:val="21"/>
          <w:highlight w:val="none"/>
        </w:rPr>
        <w:t>同中规定的对方的地址和办理签收手续。</w:t>
      </w:r>
    </w:p>
    <w:p w14:paraId="4579FC6E">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通知以送达之日或通知书中规定的生效之日起生效，两者中以较迟之日为准。</w:t>
      </w:r>
    </w:p>
    <w:p w14:paraId="4A5EC7F9">
      <w:pPr>
        <w:numPr>
          <w:ilvl w:val="0"/>
          <w:numId w:val="9"/>
        </w:numPr>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合同未尽事项</w:t>
      </w:r>
    </w:p>
    <w:p w14:paraId="1776E49F">
      <w:pPr>
        <w:adjustRightInd w:val="0"/>
        <w:snapToGrid w:val="0"/>
        <w:spacing w:before="0" w:line="40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.1合同未尽事项见</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w:t>
      </w:r>
    </w:p>
    <w:p w14:paraId="332543E9">
      <w:pPr>
        <w:adjustRightInd w:val="0"/>
        <w:snapToGrid w:val="0"/>
        <w:spacing w:line="400" w:lineRule="exact"/>
        <w:ind w:firstLine="0" w:firstLineChars="0"/>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 xml:space="preserve">    23.2 合同附件与合同正文具有同等的法律效力。</w:t>
      </w:r>
      <w:bookmarkStart w:id="321" w:name="_Toc20313"/>
    </w:p>
    <w:p w14:paraId="7C5346BC">
      <w:pPr>
        <w:adjustRightInd w:val="0"/>
        <w:snapToGrid w:val="0"/>
        <w:jc w:val="center"/>
        <w:rPr>
          <w:rFonts w:hint="eastAsia"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br w:type="page"/>
      </w:r>
    </w:p>
    <w:p w14:paraId="3F5074B6">
      <w:pPr>
        <w:pStyle w:val="3"/>
        <w:keepNext/>
        <w:keepLines/>
        <w:pageBreakBefore w:val="0"/>
        <w:widowControl w:val="0"/>
        <w:kinsoku/>
        <w:wordWrap/>
        <w:overflowPunct/>
        <w:topLinePunct w:val="0"/>
        <w:autoSpaceDE/>
        <w:autoSpaceDN/>
        <w:bidi w:val="0"/>
        <w:adjustRightInd w:val="0"/>
        <w:snapToGrid w:val="0"/>
        <w:spacing w:before="156" w:beforeLines="50" w:after="157" w:afterLines="50" w:line="240" w:lineRule="auto"/>
        <w:jc w:val="center"/>
        <w:textAlignment w:val="auto"/>
        <w:rPr>
          <w:rFonts w:hint="eastAsia" w:ascii="宋体" w:hAnsi="宋体" w:eastAsia="宋体" w:cs="宋体"/>
          <w:b/>
          <w:bCs/>
          <w:color w:val="auto"/>
          <w:sz w:val="36"/>
          <w:szCs w:val="36"/>
          <w:highlight w:val="none"/>
        </w:rPr>
      </w:pPr>
      <w:bookmarkStart w:id="322" w:name="_Toc15974"/>
      <w:r>
        <w:rPr>
          <w:rFonts w:hint="eastAsia" w:ascii="宋体" w:hAnsi="宋体" w:eastAsia="宋体" w:cs="宋体"/>
          <w:b/>
          <w:bCs/>
          <w:color w:val="auto"/>
          <w:sz w:val="36"/>
          <w:szCs w:val="36"/>
          <w:highlight w:val="none"/>
        </w:rPr>
        <w:t>第三节 政府采购合同专用条款</w:t>
      </w:r>
      <w:bookmarkEnd w:id="321"/>
      <w:bookmarkEnd w:id="322"/>
    </w:p>
    <w:tbl>
      <w:tblPr>
        <w:tblStyle w:val="30"/>
        <w:tblW w:w="8256" w:type="dxa"/>
        <w:tblInd w:w="272"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07"/>
        <w:gridCol w:w="2233"/>
        <w:gridCol w:w="4316"/>
      </w:tblGrid>
      <w:tr w14:paraId="267507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2DB7081F">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0EADDA0F">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第1.2（</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2233" w:type="dxa"/>
            <w:vAlign w:val="center"/>
          </w:tcPr>
          <w:p w14:paraId="5FE396F1">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lang w:eastAsia="zh-CN"/>
              </w:rPr>
              <w:t>联合体具体要求</w:t>
            </w:r>
          </w:p>
        </w:tc>
        <w:tc>
          <w:tcPr>
            <w:tcW w:w="4316" w:type="dxa"/>
            <w:vAlign w:val="center"/>
          </w:tcPr>
          <w:p w14:paraId="0CAEE7E4">
            <w:pPr>
              <w:adjustRightInd w:val="0"/>
              <w:snapToGrid w:val="0"/>
              <w:jc w:val="left"/>
              <w:rPr>
                <w:rFonts w:ascii="宋体" w:hAnsi="宋体"/>
                <w:color w:val="auto"/>
                <w:szCs w:val="21"/>
                <w:highlight w:val="none"/>
              </w:rPr>
            </w:pPr>
          </w:p>
        </w:tc>
      </w:tr>
      <w:tr w14:paraId="02A6B47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07" w:type="dxa"/>
            <w:vAlign w:val="center"/>
          </w:tcPr>
          <w:p w14:paraId="173F44F4">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4098608A">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第1.2（</w:t>
            </w:r>
            <w:r>
              <w:rPr>
                <w:rFonts w:hint="eastAsia" w:ascii="宋体" w:hAnsi="宋体"/>
                <w:color w:val="auto"/>
                <w:szCs w:val="21"/>
                <w:highlight w:val="none"/>
                <w:lang w:val="en-US" w:eastAsia="zh-CN"/>
              </w:rPr>
              <w:t>7</w:t>
            </w:r>
            <w:r>
              <w:rPr>
                <w:rFonts w:hint="eastAsia" w:ascii="宋体" w:hAnsi="宋体"/>
                <w:color w:val="auto"/>
                <w:szCs w:val="21"/>
                <w:highlight w:val="none"/>
              </w:rPr>
              <w:t>）项</w:t>
            </w:r>
          </w:p>
        </w:tc>
        <w:tc>
          <w:tcPr>
            <w:tcW w:w="2233" w:type="dxa"/>
            <w:vAlign w:val="center"/>
          </w:tcPr>
          <w:p w14:paraId="2ECD481F">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其他术语解释</w:t>
            </w:r>
          </w:p>
        </w:tc>
        <w:tc>
          <w:tcPr>
            <w:tcW w:w="4316" w:type="dxa"/>
            <w:vAlign w:val="center"/>
          </w:tcPr>
          <w:p w14:paraId="0BD8D8FD">
            <w:pPr>
              <w:adjustRightInd w:val="0"/>
              <w:snapToGrid w:val="0"/>
              <w:jc w:val="left"/>
              <w:rPr>
                <w:rFonts w:ascii="宋体" w:hAnsi="宋体" w:eastAsia="宋体" w:cs="Times New Roman"/>
                <w:color w:val="auto"/>
                <w:kern w:val="2"/>
                <w:sz w:val="21"/>
                <w:szCs w:val="21"/>
                <w:highlight w:val="none"/>
                <w:lang w:val="en-US" w:eastAsia="zh-CN" w:bidi="ar-SA"/>
              </w:rPr>
            </w:pPr>
          </w:p>
        </w:tc>
      </w:tr>
      <w:tr w14:paraId="2FFA10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53AB415E">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1E31FC3E">
            <w:pPr>
              <w:keepNext w:val="0"/>
              <w:keepLines w:val="0"/>
              <w:pageBreakBefore w:val="0"/>
              <w:kinsoku/>
              <w:wordWrap/>
              <w:overflowPunct/>
              <w:topLinePunct w:val="0"/>
              <w:bidi w:val="0"/>
              <w:adjustRightInd w:val="0"/>
              <w:snapToGrid w:val="0"/>
              <w:spacing w:line="240" w:lineRule="auto"/>
              <w:jc w:val="center"/>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4.4款</w:t>
            </w:r>
          </w:p>
        </w:tc>
        <w:tc>
          <w:tcPr>
            <w:tcW w:w="2233" w:type="dxa"/>
            <w:vAlign w:val="center"/>
          </w:tcPr>
          <w:p w14:paraId="4F86094C">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履约验收中甲方提出异议或作出说明的期限</w:t>
            </w:r>
          </w:p>
        </w:tc>
        <w:tc>
          <w:tcPr>
            <w:tcW w:w="4316" w:type="dxa"/>
            <w:vAlign w:val="center"/>
          </w:tcPr>
          <w:p w14:paraId="237B690C">
            <w:pPr>
              <w:adjustRightInd w:val="0"/>
              <w:snapToGrid w:val="0"/>
              <w:jc w:val="left"/>
              <w:rPr>
                <w:rFonts w:ascii="宋体" w:hAnsi="宋体" w:eastAsia="宋体" w:cs="Times New Roman"/>
                <w:color w:val="auto"/>
                <w:kern w:val="2"/>
                <w:sz w:val="21"/>
                <w:szCs w:val="21"/>
                <w:highlight w:val="none"/>
                <w:lang w:val="en-US" w:eastAsia="zh-CN" w:bidi="ar-SA"/>
              </w:rPr>
            </w:pPr>
          </w:p>
        </w:tc>
      </w:tr>
      <w:tr w14:paraId="632152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7A9DB471">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675BCC22">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4.6款</w:t>
            </w:r>
          </w:p>
        </w:tc>
        <w:tc>
          <w:tcPr>
            <w:tcW w:w="2233" w:type="dxa"/>
            <w:vAlign w:val="center"/>
          </w:tcPr>
          <w:p w14:paraId="5DF6184D">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约定甲方承担的其他义务和责任</w:t>
            </w:r>
          </w:p>
        </w:tc>
        <w:tc>
          <w:tcPr>
            <w:tcW w:w="4316" w:type="dxa"/>
            <w:vAlign w:val="center"/>
          </w:tcPr>
          <w:p w14:paraId="5B558C36">
            <w:pPr>
              <w:adjustRightInd w:val="0"/>
              <w:snapToGrid w:val="0"/>
              <w:jc w:val="left"/>
              <w:rPr>
                <w:rFonts w:ascii="宋体" w:hAnsi="宋体" w:eastAsia="宋体" w:cs="Times New Roman"/>
                <w:color w:val="auto"/>
                <w:kern w:val="2"/>
                <w:sz w:val="21"/>
                <w:szCs w:val="21"/>
                <w:highlight w:val="none"/>
                <w:lang w:val="en-US" w:eastAsia="zh-CN" w:bidi="ar-SA"/>
              </w:rPr>
            </w:pPr>
          </w:p>
        </w:tc>
      </w:tr>
      <w:tr w14:paraId="58E922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1FC7872C">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0599EE97">
            <w:pPr>
              <w:keepNext w:val="0"/>
              <w:keepLines w:val="0"/>
              <w:pageBreakBefore w:val="0"/>
              <w:kinsoku/>
              <w:wordWrap/>
              <w:overflowPunct/>
              <w:topLinePunct w:val="0"/>
              <w:bidi w:val="0"/>
              <w:snapToGrid w:val="0"/>
              <w:spacing w:line="240" w:lineRule="auto"/>
              <w:jc w:val="center"/>
              <w:textAlignment w:val="auto"/>
              <w:rPr>
                <w:rFonts w:hint="default"/>
                <w:color w:val="auto"/>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5.4款</w:t>
            </w:r>
          </w:p>
        </w:tc>
        <w:tc>
          <w:tcPr>
            <w:tcW w:w="2233" w:type="dxa"/>
            <w:vAlign w:val="center"/>
          </w:tcPr>
          <w:p w14:paraId="4D94B515">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约定乙方承担的其他义务和责任</w:t>
            </w:r>
          </w:p>
        </w:tc>
        <w:tc>
          <w:tcPr>
            <w:tcW w:w="4316" w:type="dxa"/>
            <w:vAlign w:val="center"/>
          </w:tcPr>
          <w:p w14:paraId="1EEA1A78">
            <w:pPr>
              <w:adjustRightInd w:val="0"/>
              <w:snapToGrid w:val="0"/>
              <w:jc w:val="left"/>
              <w:rPr>
                <w:rFonts w:ascii="宋体" w:hAnsi="宋体" w:eastAsia="宋体" w:cs="Times New Roman"/>
                <w:color w:val="auto"/>
                <w:kern w:val="2"/>
                <w:sz w:val="21"/>
                <w:szCs w:val="21"/>
                <w:highlight w:val="none"/>
                <w:lang w:val="en-US" w:eastAsia="zh-CN" w:bidi="ar-SA"/>
              </w:rPr>
            </w:pPr>
          </w:p>
        </w:tc>
      </w:tr>
      <w:tr w14:paraId="2B538E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532FAE66">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17183B86">
            <w:pPr>
              <w:keepNext w:val="0"/>
              <w:keepLines w:val="0"/>
              <w:pageBreakBefore w:val="0"/>
              <w:kinsoku/>
              <w:wordWrap/>
              <w:overflowPunct/>
              <w:topLinePunct w:val="0"/>
              <w:bidi w:val="0"/>
              <w:snapToGrid w:val="0"/>
              <w:spacing w:line="240" w:lineRule="auto"/>
              <w:jc w:val="center"/>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6.1款</w:t>
            </w:r>
          </w:p>
        </w:tc>
        <w:tc>
          <w:tcPr>
            <w:tcW w:w="2233" w:type="dxa"/>
            <w:vAlign w:val="center"/>
          </w:tcPr>
          <w:p w14:paraId="62601F39">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履行合同义务的顺序</w:t>
            </w:r>
          </w:p>
        </w:tc>
        <w:tc>
          <w:tcPr>
            <w:tcW w:w="4316" w:type="dxa"/>
            <w:vAlign w:val="center"/>
          </w:tcPr>
          <w:p w14:paraId="7410CCA4">
            <w:pPr>
              <w:adjustRightInd w:val="0"/>
              <w:snapToGrid w:val="0"/>
              <w:jc w:val="left"/>
              <w:rPr>
                <w:rFonts w:ascii="宋体" w:hAnsi="宋体" w:eastAsia="宋体" w:cs="Times New Roman"/>
                <w:color w:val="auto"/>
                <w:kern w:val="2"/>
                <w:sz w:val="21"/>
                <w:szCs w:val="21"/>
                <w:highlight w:val="none"/>
                <w:lang w:val="en-US" w:eastAsia="zh-CN" w:bidi="ar-SA"/>
              </w:rPr>
            </w:pPr>
          </w:p>
        </w:tc>
      </w:tr>
      <w:tr w14:paraId="32A444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07" w:type="dxa"/>
            <w:vMerge w:val="restart"/>
            <w:vAlign w:val="center"/>
          </w:tcPr>
          <w:p w14:paraId="15DF615B">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6881C524">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.1</w:t>
            </w:r>
            <w:r>
              <w:rPr>
                <w:rFonts w:hint="eastAsia" w:ascii="宋体" w:hAnsi="宋体"/>
                <w:color w:val="auto"/>
                <w:szCs w:val="21"/>
                <w:highlight w:val="none"/>
                <w:lang w:val="en-US" w:eastAsia="zh-CN"/>
              </w:rPr>
              <w:t>款</w:t>
            </w:r>
          </w:p>
        </w:tc>
        <w:tc>
          <w:tcPr>
            <w:tcW w:w="2233" w:type="dxa"/>
            <w:vAlign w:val="center"/>
          </w:tcPr>
          <w:p w14:paraId="00425EE9">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包装</w:t>
            </w:r>
            <w:r>
              <w:rPr>
                <w:rFonts w:hint="eastAsia" w:ascii="宋体" w:hAnsi="宋体"/>
                <w:color w:val="auto"/>
                <w:szCs w:val="21"/>
                <w:highlight w:val="none"/>
                <w:lang w:eastAsia="zh-CN"/>
              </w:rPr>
              <w:t>特殊要求</w:t>
            </w:r>
          </w:p>
        </w:tc>
        <w:tc>
          <w:tcPr>
            <w:tcW w:w="4316" w:type="dxa"/>
            <w:vAlign w:val="center"/>
          </w:tcPr>
          <w:p w14:paraId="3694B338">
            <w:pPr>
              <w:rPr>
                <w:color w:val="auto"/>
                <w:highlight w:val="none"/>
              </w:rPr>
            </w:pPr>
          </w:p>
        </w:tc>
      </w:tr>
      <w:tr w14:paraId="6A47A3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07" w:type="dxa"/>
            <w:vMerge w:val="continue"/>
            <w:vAlign w:val="center"/>
          </w:tcPr>
          <w:p w14:paraId="7896138A">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p>
        </w:tc>
        <w:tc>
          <w:tcPr>
            <w:tcW w:w="2233" w:type="dxa"/>
            <w:vAlign w:val="center"/>
          </w:tcPr>
          <w:p w14:paraId="20626CAF">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指定现场</w:t>
            </w:r>
          </w:p>
        </w:tc>
        <w:tc>
          <w:tcPr>
            <w:tcW w:w="4316" w:type="dxa"/>
            <w:vAlign w:val="center"/>
          </w:tcPr>
          <w:p w14:paraId="19BEE7A3">
            <w:pPr>
              <w:rPr>
                <w:rFonts w:hint="eastAsia"/>
                <w:color w:val="auto"/>
                <w:highlight w:val="none"/>
              </w:rPr>
            </w:pPr>
          </w:p>
        </w:tc>
      </w:tr>
      <w:tr w14:paraId="5A3F96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07" w:type="dxa"/>
            <w:vAlign w:val="center"/>
          </w:tcPr>
          <w:p w14:paraId="065C74FA">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5690E34D">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2233" w:type="dxa"/>
            <w:vAlign w:val="center"/>
          </w:tcPr>
          <w:p w14:paraId="04141831">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运输特殊要求</w:t>
            </w:r>
          </w:p>
        </w:tc>
        <w:tc>
          <w:tcPr>
            <w:tcW w:w="4316" w:type="dxa"/>
            <w:vAlign w:val="center"/>
          </w:tcPr>
          <w:p w14:paraId="353A3E17">
            <w:pPr>
              <w:rPr>
                <w:rFonts w:hint="eastAsia"/>
                <w:color w:val="auto"/>
                <w:highlight w:val="none"/>
              </w:rPr>
            </w:pPr>
          </w:p>
        </w:tc>
      </w:tr>
      <w:tr w14:paraId="2CF6514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07" w:type="dxa"/>
            <w:vAlign w:val="center"/>
          </w:tcPr>
          <w:p w14:paraId="42E89B4D">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2D65CF60">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.3</w:t>
            </w:r>
            <w:r>
              <w:rPr>
                <w:rFonts w:hint="eastAsia" w:ascii="宋体" w:hAnsi="宋体"/>
                <w:color w:val="auto"/>
                <w:szCs w:val="21"/>
                <w:highlight w:val="none"/>
                <w:lang w:val="en-US" w:eastAsia="zh-CN"/>
              </w:rPr>
              <w:t>款</w:t>
            </w:r>
          </w:p>
        </w:tc>
        <w:tc>
          <w:tcPr>
            <w:tcW w:w="2233" w:type="dxa"/>
            <w:vAlign w:val="center"/>
          </w:tcPr>
          <w:p w14:paraId="75CDC4EC">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保险要求</w:t>
            </w:r>
          </w:p>
        </w:tc>
        <w:tc>
          <w:tcPr>
            <w:tcW w:w="4316" w:type="dxa"/>
            <w:vAlign w:val="center"/>
          </w:tcPr>
          <w:p w14:paraId="0E9BEF29">
            <w:pPr>
              <w:rPr>
                <w:rFonts w:hint="eastAsia"/>
                <w:color w:val="auto"/>
                <w:highlight w:val="none"/>
              </w:rPr>
            </w:pPr>
          </w:p>
        </w:tc>
      </w:tr>
      <w:tr w14:paraId="1FBE24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0764B232">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4A611543">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.2（1）项</w:t>
            </w:r>
          </w:p>
        </w:tc>
        <w:tc>
          <w:tcPr>
            <w:tcW w:w="2233" w:type="dxa"/>
            <w:vAlign w:val="center"/>
          </w:tcPr>
          <w:p w14:paraId="3392AF86">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质量保证期</w:t>
            </w:r>
          </w:p>
        </w:tc>
        <w:tc>
          <w:tcPr>
            <w:tcW w:w="4316" w:type="dxa"/>
            <w:vAlign w:val="center"/>
          </w:tcPr>
          <w:p w14:paraId="74113B72">
            <w:pPr>
              <w:autoSpaceDE w:val="0"/>
              <w:autoSpaceDN w:val="0"/>
              <w:adjustRightInd w:val="0"/>
              <w:snapToGrid w:val="0"/>
              <w:ind w:firstLine="480" w:firstLineChars="200"/>
              <w:jc w:val="left"/>
              <w:rPr>
                <w:rFonts w:ascii="宋体" w:hAnsi="宋体"/>
                <w:color w:val="auto"/>
                <w:szCs w:val="21"/>
                <w:highlight w:val="none"/>
              </w:rPr>
            </w:pPr>
          </w:p>
        </w:tc>
      </w:tr>
      <w:tr w14:paraId="4A7F954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4CD74A73">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41064226">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.2（3）项</w:t>
            </w:r>
          </w:p>
        </w:tc>
        <w:tc>
          <w:tcPr>
            <w:tcW w:w="2233" w:type="dxa"/>
            <w:vAlign w:val="center"/>
          </w:tcPr>
          <w:p w14:paraId="7A62DE3A">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货物质量缺陷</w:t>
            </w:r>
          </w:p>
          <w:p w14:paraId="1EC14C95">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响应时间</w:t>
            </w:r>
          </w:p>
        </w:tc>
        <w:tc>
          <w:tcPr>
            <w:tcW w:w="4316" w:type="dxa"/>
            <w:vAlign w:val="center"/>
          </w:tcPr>
          <w:p w14:paraId="2A52495B">
            <w:pPr>
              <w:adjustRightInd w:val="0"/>
              <w:snapToGrid w:val="0"/>
              <w:jc w:val="left"/>
              <w:rPr>
                <w:rFonts w:ascii="宋体" w:hAnsi="宋体"/>
                <w:color w:val="auto"/>
                <w:szCs w:val="21"/>
                <w:highlight w:val="none"/>
              </w:rPr>
            </w:pPr>
          </w:p>
        </w:tc>
      </w:tr>
      <w:tr w14:paraId="59FF9C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35EA8AE2">
            <w:pPr>
              <w:keepNext w:val="0"/>
              <w:keepLines w:val="0"/>
              <w:pageBreakBefore w:val="0"/>
              <w:kinsoku/>
              <w:wordWrap/>
              <w:overflowPunct/>
              <w:topLinePunct w:val="0"/>
              <w:bidi w:val="0"/>
              <w:snapToGrid w:val="0"/>
              <w:spacing w:line="240" w:lineRule="auto"/>
              <w:jc w:val="center"/>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第二节</w:t>
            </w:r>
          </w:p>
          <w:p w14:paraId="668B64F8">
            <w:pPr>
              <w:pStyle w:val="37"/>
              <w:keepNext w:val="0"/>
              <w:keepLines w:val="0"/>
              <w:pageBreakBefore w:val="0"/>
              <w:kinsoku/>
              <w:wordWrap/>
              <w:overflowPunct/>
              <w:topLinePunct w:val="0"/>
              <w:bidi w:val="0"/>
              <w:spacing w:line="240" w:lineRule="auto"/>
              <w:ind w:firstLine="0" w:firstLineChars="0"/>
              <w:jc w:val="center"/>
              <w:textAlignment w:val="auto"/>
              <w:rPr>
                <w:rFonts w:hint="default"/>
                <w:color w:val="auto"/>
                <w:highlight w:val="none"/>
                <w:lang w:val="en-US" w:eastAsia="zh-CN"/>
              </w:rPr>
            </w:pPr>
            <w:r>
              <w:rPr>
                <w:rFonts w:hint="eastAsia" w:ascii="宋体" w:hAnsi="宋体" w:eastAsia="宋体" w:cs="宋体"/>
                <w:color w:val="auto"/>
                <w:szCs w:val="21"/>
                <w:highlight w:val="none"/>
                <w:lang w:val="en-US" w:eastAsia="zh-CN"/>
              </w:rPr>
              <w:t>第11.1款</w:t>
            </w:r>
          </w:p>
        </w:tc>
        <w:tc>
          <w:tcPr>
            <w:tcW w:w="2233" w:type="dxa"/>
            <w:vAlign w:val="center"/>
          </w:tcPr>
          <w:p w14:paraId="21EDE87D">
            <w:pPr>
              <w:keepNext w:val="0"/>
              <w:keepLines w:val="0"/>
              <w:pageBreakBefore w:val="0"/>
              <w:kinsoku/>
              <w:wordWrap/>
              <w:overflowPunct/>
              <w:topLinePunct w:val="0"/>
              <w:bidi w:val="0"/>
              <w:adjustRightInd w:val="0"/>
              <w:snapToGrid w:val="0"/>
              <w:spacing w:line="240" w:lineRule="auto"/>
              <w:jc w:val="both"/>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其他应当保密的信息</w:t>
            </w:r>
          </w:p>
        </w:tc>
        <w:tc>
          <w:tcPr>
            <w:tcW w:w="4316" w:type="dxa"/>
            <w:vAlign w:val="center"/>
          </w:tcPr>
          <w:p w14:paraId="78E7A6D8">
            <w:pPr>
              <w:adjustRightInd w:val="0"/>
              <w:snapToGrid w:val="0"/>
              <w:jc w:val="left"/>
              <w:rPr>
                <w:rFonts w:ascii="宋体" w:hAnsi="宋体"/>
                <w:color w:val="auto"/>
                <w:szCs w:val="21"/>
                <w:highlight w:val="none"/>
              </w:rPr>
            </w:pPr>
          </w:p>
        </w:tc>
      </w:tr>
      <w:tr w14:paraId="3C1B3F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07" w:type="dxa"/>
            <w:vAlign w:val="center"/>
          </w:tcPr>
          <w:p w14:paraId="45EAA1D8">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3ED786D1">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2</w:t>
            </w:r>
            <w:r>
              <w:rPr>
                <w:rFonts w:hint="eastAsia" w:ascii="宋体" w:hAnsi="宋体"/>
                <w:color w:val="auto"/>
                <w:szCs w:val="21"/>
                <w:highlight w:val="none"/>
              </w:rPr>
              <w:t>.2款</w:t>
            </w:r>
          </w:p>
        </w:tc>
        <w:tc>
          <w:tcPr>
            <w:tcW w:w="2233" w:type="dxa"/>
            <w:vAlign w:val="center"/>
          </w:tcPr>
          <w:p w14:paraId="64A177C1">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rPr>
              <w:t>合同价款支付</w:t>
            </w:r>
            <w:r>
              <w:rPr>
                <w:rFonts w:hint="eastAsia" w:ascii="宋体" w:hAnsi="宋体"/>
                <w:color w:val="auto"/>
                <w:szCs w:val="21"/>
                <w:highlight w:val="none"/>
                <w:lang w:eastAsia="zh-CN"/>
              </w:rPr>
              <w:t>时间</w:t>
            </w:r>
          </w:p>
        </w:tc>
        <w:tc>
          <w:tcPr>
            <w:tcW w:w="4316" w:type="dxa"/>
            <w:vAlign w:val="center"/>
          </w:tcPr>
          <w:p w14:paraId="19ACE1AC">
            <w:pPr>
              <w:adjustRightInd w:val="0"/>
              <w:snapToGrid w:val="0"/>
              <w:jc w:val="left"/>
              <w:rPr>
                <w:rFonts w:ascii="宋体" w:hAnsi="宋体"/>
                <w:color w:val="auto"/>
                <w:szCs w:val="21"/>
                <w:highlight w:val="none"/>
              </w:rPr>
            </w:pPr>
          </w:p>
        </w:tc>
      </w:tr>
      <w:tr w14:paraId="7F0855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07" w:type="dxa"/>
            <w:vAlign w:val="center"/>
          </w:tcPr>
          <w:p w14:paraId="7E532211">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第二节</w:t>
            </w:r>
          </w:p>
          <w:p w14:paraId="57A60EC6">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13.2</w:t>
            </w:r>
            <w:r>
              <w:rPr>
                <w:rFonts w:hint="eastAsia" w:ascii="宋体" w:hAnsi="宋体"/>
                <w:color w:val="auto"/>
                <w:szCs w:val="21"/>
                <w:highlight w:val="none"/>
              </w:rPr>
              <w:t>款</w:t>
            </w:r>
          </w:p>
        </w:tc>
        <w:tc>
          <w:tcPr>
            <w:tcW w:w="2233" w:type="dxa"/>
            <w:vAlign w:val="center"/>
          </w:tcPr>
          <w:p w14:paraId="55BFCEBB">
            <w:pPr>
              <w:keepNext w:val="0"/>
              <w:keepLines w:val="0"/>
              <w:pageBreakBefore w:val="0"/>
              <w:kinsoku/>
              <w:wordWrap/>
              <w:overflowPunct/>
              <w:topLinePunct w:val="0"/>
              <w:bidi w:val="0"/>
              <w:adjustRightInd w:val="0"/>
              <w:snapToGrid w:val="0"/>
              <w:spacing w:line="240" w:lineRule="auto"/>
              <w:jc w:val="left"/>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履约保证金不予退还的情形</w:t>
            </w:r>
          </w:p>
        </w:tc>
        <w:tc>
          <w:tcPr>
            <w:tcW w:w="4316" w:type="dxa"/>
            <w:vAlign w:val="center"/>
          </w:tcPr>
          <w:p w14:paraId="3B059075">
            <w:pPr>
              <w:adjustRightInd w:val="0"/>
              <w:snapToGrid w:val="0"/>
              <w:jc w:val="left"/>
              <w:rPr>
                <w:rFonts w:ascii="宋体" w:hAnsi="宋体"/>
                <w:color w:val="auto"/>
                <w:szCs w:val="21"/>
                <w:highlight w:val="none"/>
              </w:rPr>
            </w:pPr>
          </w:p>
        </w:tc>
      </w:tr>
      <w:tr w14:paraId="2B3DCD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387699EE">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第二节</w:t>
            </w:r>
          </w:p>
          <w:p w14:paraId="4B032476">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13.3</w:t>
            </w:r>
            <w:r>
              <w:rPr>
                <w:rFonts w:hint="eastAsia" w:ascii="宋体" w:hAnsi="宋体"/>
                <w:color w:val="auto"/>
                <w:szCs w:val="21"/>
                <w:highlight w:val="none"/>
              </w:rPr>
              <w:t>款</w:t>
            </w:r>
          </w:p>
        </w:tc>
        <w:tc>
          <w:tcPr>
            <w:tcW w:w="2233" w:type="dxa"/>
            <w:vAlign w:val="center"/>
          </w:tcPr>
          <w:p w14:paraId="54040FA1">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履约保证金退还时间及</w:t>
            </w:r>
            <w:r>
              <w:rPr>
                <w:rFonts w:hint="eastAsia" w:ascii="宋体" w:hAnsi="宋体"/>
                <w:color w:val="auto"/>
                <w:szCs w:val="21"/>
                <w:highlight w:val="none"/>
                <w:lang w:eastAsia="zh-CN"/>
              </w:rPr>
              <w:t>逾期退还的</w:t>
            </w:r>
            <w:r>
              <w:rPr>
                <w:rFonts w:hint="eastAsia" w:ascii="宋体" w:hAnsi="宋体"/>
                <w:color w:val="auto"/>
                <w:szCs w:val="21"/>
                <w:highlight w:val="none"/>
              </w:rPr>
              <w:t>违约金</w:t>
            </w:r>
          </w:p>
        </w:tc>
        <w:tc>
          <w:tcPr>
            <w:tcW w:w="4316" w:type="dxa"/>
            <w:vAlign w:val="center"/>
          </w:tcPr>
          <w:p w14:paraId="347592D5">
            <w:pPr>
              <w:adjustRightInd w:val="0"/>
              <w:snapToGrid w:val="0"/>
              <w:jc w:val="left"/>
              <w:rPr>
                <w:rFonts w:ascii="宋体" w:hAnsi="宋体"/>
                <w:color w:val="auto"/>
                <w:szCs w:val="21"/>
                <w:highlight w:val="none"/>
              </w:rPr>
            </w:pPr>
          </w:p>
        </w:tc>
      </w:tr>
      <w:tr w14:paraId="5AAB91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07" w:type="dxa"/>
            <w:vAlign w:val="center"/>
          </w:tcPr>
          <w:p w14:paraId="72BEAD95">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71C710BD">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3</w:t>
            </w:r>
            <w:r>
              <w:rPr>
                <w:rFonts w:hint="eastAsia" w:ascii="宋体" w:hAnsi="宋体"/>
                <w:color w:val="auto"/>
                <w:szCs w:val="21"/>
                <w:highlight w:val="none"/>
              </w:rPr>
              <w:t>）项</w:t>
            </w:r>
          </w:p>
        </w:tc>
        <w:tc>
          <w:tcPr>
            <w:tcW w:w="2233" w:type="dxa"/>
            <w:vAlign w:val="center"/>
          </w:tcPr>
          <w:p w14:paraId="6DA2DA84">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运行监督、维修期限</w:t>
            </w:r>
          </w:p>
        </w:tc>
        <w:tc>
          <w:tcPr>
            <w:tcW w:w="4316" w:type="dxa"/>
            <w:vAlign w:val="center"/>
          </w:tcPr>
          <w:p w14:paraId="50D906D6">
            <w:pPr>
              <w:adjustRightInd w:val="0"/>
              <w:snapToGrid w:val="0"/>
              <w:jc w:val="left"/>
              <w:rPr>
                <w:rFonts w:ascii="宋体" w:hAnsi="宋体"/>
                <w:color w:val="auto"/>
                <w:szCs w:val="21"/>
                <w:highlight w:val="none"/>
              </w:rPr>
            </w:pPr>
          </w:p>
        </w:tc>
      </w:tr>
      <w:tr w14:paraId="552EA0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07" w:type="dxa"/>
            <w:vAlign w:val="center"/>
          </w:tcPr>
          <w:p w14:paraId="3E35BD08">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1F30CB9D">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5</w:t>
            </w:r>
            <w:r>
              <w:rPr>
                <w:rFonts w:hint="eastAsia" w:ascii="宋体" w:hAnsi="宋体"/>
                <w:color w:val="auto"/>
                <w:szCs w:val="21"/>
                <w:highlight w:val="none"/>
              </w:rPr>
              <w:t>）项</w:t>
            </w:r>
          </w:p>
        </w:tc>
        <w:tc>
          <w:tcPr>
            <w:tcW w:w="2233" w:type="dxa"/>
            <w:vAlign w:val="center"/>
          </w:tcPr>
          <w:p w14:paraId="3B13D05A">
            <w:pPr>
              <w:keepNext w:val="0"/>
              <w:keepLines w:val="0"/>
              <w:pageBreakBefore w:val="0"/>
              <w:kinsoku/>
              <w:wordWrap/>
              <w:overflowPunct/>
              <w:topLinePunct w:val="0"/>
              <w:bidi w:val="0"/>
              <w:adjustRightInd w:val="0"/>
              <w:snapToGrid w:val="0"/>
              <w:spacing w:line="240" w:lineRule="auto"/>
              <w:jc w:val="left"/>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货物回收的约定</w:t>
            </w:r>
          </w:p>
        </w:tc>
        <w:tc>
          <w:tcPr>
            <w:tcW w:w="4316" w:type="dxa"/>
            <w:vAlign w:val="center"/>
          </w:tcPr>
          <w:p w14:paraId="3F6BFC2D">
            <w:pPr>
              <w:adjustRightInd w:val="0"/>
              <w:snapToGrid w:val="0"/>
              <w:jc w:val="left"/>
              <w:rPr>
                <w:rFonts w:ascii="宋体" w:hAnsi="宋体"/>
                <w:color w:val="auto"/>
                <w:szCs w:val="21"/>
                <w:highlight w:val="none"/>
              </w:rPr>
            </w:pPr>
          </w:p>
        </w:tc>
      </w:tr>
      <w:tr w14:paraId="7599E6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41B304A7">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50C862B0">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2233" w:type="dxa"/>
            <w:vAlign w:val="center"/>
          </w:tcPr>
          <w:p w14:paraId="408D4E8A">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乙方提供的其他服务</w:t>
            </w:r>
          </w:p>
        </w:tc>
        <w:tc>
          <w:tcPr>
            <w:tcW w:w="4316" w:type="dxa"/>
            <w:vAlign w:val="center"/>
          </w:tcPr>
          <w:p w14:paraId="2C32E2AE">
            <w:pPr>
              <w:adjustRightInd w:val="0"/>
              <w:snapToGrid w:val="0"/>
              <w:jc w:val="left"/>
              <w:rPr>
                <w:rFonts w:ascii="宋体" w:hAnsi="宋体"/>
                <w:color w:val="auto"/>
                <w:szCs w:val="21"/>
                <w:highlight w:val="none"/>
              </w:rPr>
            </w:pPr>
          </w:p>
        </w:tc>
      </w:tr>
      <w:tr w14:paraId="690BEE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399DC64E">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6B2E6050">
            <w:pPr>
              <w:keepNext w:val="0"/>
              <w:keepLines w:val="0"/>
              <w:pageBreakBefore w:val="0"/>
              <w:kinsoku/>
              <w:wordWrap/>
              <w:overflowPunct/>
              <w:topLinePunct w:val="0"/>
              <w:bidi w:val="0"/>
              <w:adjustRightInd w:val="0"/>
              <w:snapToGrid w:val="0"/>
              <w:spacing w:line="240" w:lineRule="auto"/>
              <w:jc w:val="center"/>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1款</w:t>
            </w:r>
          </w:p>
        </w:tc>
        <w:tc>
          <w:tcPr>
            <w:tcW w:w="2233" w:type="dxa"/>
            <w:vAlign w:val="center"/>
          </w:tcPr>
          <w:p w14:paraId="1C5461E0">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rPr>
            </w:pPr>
            <w:r>
              <w:rPr>
                <w:rFonts w:hint="eastAsia" w:ascii="宋体" w:hAnsi="宋体"/>
                <w:color w:val="auto"/>
                <w:szCs w:val="21"/>
                <w:highlight w:val="none"/>
                <w:lang w:eastAsia="zh-CN"/>
              </w:rPr>
              <w:t>修理、重作、更换相关具体规定</w:t>
            </w:r>
          </w:p>
        </w:tc>
        <w:tc>
          <w:tcPr>
            <w:tcW w:w="4316" w:type="dxa"/>
            <w:vAlign w:val="center"/>
          </w:tcPr>
          <w:p w14:paraId="27D2F587">
            <w:pPr>
              <w:adjustRightInd w:val="0"/>
              <w:snapToGrid w:val="0"/>
              <w:jc w:val="left"/>
              <w:rPr>
                <w:rFonts w:ascii="宋体" w:hAnsi="宋体"/>
                <w:color w:val="auto"/>
                <w:szCs w:val="21"/>
                <w:highlight w:val="none"/>
              </w:rPr>
            </w:pPr>
          </w:p>
        </w:tc>
      </w:tr>
      <w:tr w14:paraId="5A7799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67EA198D">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2FAA4F03">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.2（2）项</w:t>
            </w:r>
          </w:p>
        </w:tc>
        <w:tc>
          <w:tcPr>
            <w:tcW w:w="2233" w:type="dxa"/>
            <w:vAlign w:val="center"/>
          </w:tcPr>
          <w:p w14:paraId="6CCB9C34">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迟延交货赔偿费</w:t>
            </w:r>
          </w:p>
        </w:tc>
        <w:tc>
          <w:tcPr>
            <w:tcW w:w="4316" w:type="dxa"/>
            <w:vAlign w:val="center"/>
          </w:tcPr>
          <w:p w14:paraId="70280E71">
            <w:pPr>
              <w:adjustRightInd w:val="0"/>
              <w:snapToGrid w:val="0"/>
              <w:jc w:val="left"/>
              <w:rPr>
                <w:rFonts w:ascii="宋体" w:hAnsi="宋体"/>
                <w:color w:val="auto"/>
                <w:szCs w:val="21"/>
                <w:highlight w:val="none"/>
                <w:u w:val="single"/>
              </w:rPr>
            </w:pPr>
          </w:p>
        </w:tc>
      </w:tr>
      <w:tr w14:paraId="4A6404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724A673C">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0534525C">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3款</w:t>
            </w:r>
          </w:p>
        </w:tc>
        <w:tc>
          <w:tcPr>
            <w:tcW w:w="2233" w:type="dxa"/>
            <w:vAlign w:val="center"/>
          </w:tcPr>
          <w:p w14:paraId="2C233818">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rPr>
            </w:pPr>
            <w:r>
              <w:rPr>
                <w:rFonts w:hint="eastAsia" w:ascii="宋体" w:hAnsi="宋体"/>
                <w:color w:val="auto"/>
                <w:szCs w:val="21"/>
                <w:highlight w:val="none"/>
              </w:rPr>
              <w:t>逾期付款利息</w:t>
            </w:r>
          </w:p>
        </w:tc>
        <w:tc>
          <w:tcPr>
            <w:tcW w:w="4316" w:type="dxa"/>
            <w:vAlign w:val="center"/>
          </w:tcPr>
          <w:p w14:paraId="3A0C3F19">
            <w:pPr>
              <w:adjustRightInd w:val="0"/>
              <w:snapToGrid w:val="0"/>
              <w:jc w:val="left"/>
              <w:rPr>
                <w:rFonts w:ascii="宋体" w:hAnsi="宋体"/>
                <w:color w:val="auto"/>
                <w:szCs w:val="21"/>
                <w:highlight w:val="none"/>
                <w:u w:val="single"/>
              </w:rPr>
            </w:pPr>
          </w:p>
        </w:tc>
      </w:tr>
      <w:tr w14:paraId="348216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07" w:type="dxa"/>
            <w:tcBorders>
              <w:bottom w:val="single" w:color="auto" w:sz="2" w:space="0"/>
              <w:right w:val="single" w:color="auto" w:sz="2" w:space="0"/>
            </w:tcBorders>
            <w:vAlign w:val="center"/>
          </w:tcPr>
          <w:p w14:paraId="45AA05DB">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5D78F5E5">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.4</w:t>
            </w:r>
            <w:r>
              <w:rPr>
                <w:rFonts w:hint="eastAsia" w:ascii="宋体" w:hAnsi="宋体"/>
                <w:color w:val="auto"/>
                <w:szCs w:val="21"/>
                <w:highlight w:val="none"/>
                <w:lang w:val="en-US" w:eastAsia="zh-CN"/>
              </w:rPr>
              <w:t>款</w:t>
            </w:r>
          </w:p>
        </w:tc>
        <w:tc>
          <w:tcPr>
            <w:tcW w:w="2233" w:type="dxa"/>
            <w:tcBorders>
              <w:left w:val="single" w:color="auto" w:sz="2" w:space="0"/>
              <w:bottom w:val="single" w:color="auto" w:sz="2" w:space="0"/>
              <w:right w:val="single" w:color="auto" w:sz="2" w:space="0"/>
            </w:tcBorders>
            <w:vAlign w:val="center"/>
          </w:tcPr>
          <w:p w14:paraId="1138734C">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其他违约责任</w:t>
            </w:r>
          </w:p>
        </w:tc>
        <w:tc>
          <w:tcPr>
            <w:tcW w:w="4316" w:type="dxa"/>
            <w:tcBorders>
              <w:left w:val="single" w:color="auto" w:sz="2" w:space="0"/>
              <w:bottom w:val="single" w:color="auto" w:sz="2" w:space="0"/>
            </w:tcBorders>
            <w:vAlign w:val="center"/>
          </w:tcPr>
          <w:p w14:paraId="219760E1">
            <w:pPr>
              <w:adjustRightInd w:val="0"/>
              <w:snapToGrid w:val="0"/>
              <w:jc w:val="left"/>
              <w:rPr>
                <w:rFonts w:ascii="宋体" w:hAnsi="宋体"/>
                <w:color w:val="auto"/>
                <w:szCs w:val="21"/>
                <w:highlight w:val="none"/>
                <w:u w:val="single"/>
              </w:rPr>
            </w:pPr>
          </w:p>
        </w:tc>
      </w:tr>
      <w:tr w14:paraId="0A20900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07" w:type="dxa"/>
            <w:tcBorders>
              <w:top w:val="single" w:color="auto" w:sz="2" w:space="0"/>
              <w:right w:val="single" w:color="auto" w:sz="2" w:space="0"/>
            </w:tcBorders>
            <w:vAlign w:val="center"/>
          </w:tcPr>
          <w:p w14:paraId="177F4FBF">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5CFE048F">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19</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2233" w:type="dxa"/>
            <w:tcBorders>
              <w:top w:val="single" w:color="auto" w:sz="2" w:space="0"/>
              <w:left w:val="single" w:color="auto" w:sz="2" w:space="0"/>
              <w:right w:val="single" w:color="auto" w:sz="2" w:space="0"/>
            </w:tcBorders>
            <w:vAlign w:val="center"/>
          </w:tcPr>
          <w:p w14:paraId="5351737D">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lang w:val="en-US" w:eastAsia="zh-CN"/>
              </w:rPr>
              <w:t>解决争议的方法</w:t>
            </w:r>
          </w:p>
        </w:tc>
        <w:tc>
          <w:tcPr>
            <w:tcW w:w="4316" w:type="dxa"/>
            <w:tcBorders>
              <w:top w:val="single" w:color="auto" w:sz="2" w:space="0"/>
              <w:left w:val="single" w:color="auto" w:sz="2" w:space="0"/>
            </w:tcBorders>
            <w:vAlign w:val="center"/>
          </w:tcPr>
          <w:p w14:paraId="0812CAF3">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因本合同及合同有关事项发生的争议，按下列第</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种方式解决：</w:t>
            </w:r>
          </w:p>
          <w:p w14:paraId="66960E2A">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（1）向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仲裁委员会申请仲裁，仲裁地点为</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w:t>
            </w:r>
          </w:p>
          <w:p w14:paraId="2A1D3AA7">
            <w:pPr>
              <w:adjustRightInd w:val="0"/>
              <w:snapToGrid w:val="0"/>
              <w:ind w:firstLine="0" w:firstLineChars="0"/>
              <w:jc w:val="left"/>
              <w:rPr>
                <w:rFonts w:ascii="宋体" w:hAnsi="宋体"/>
                <w:color w:val="auto"/>
                <w:szCs w:val="21"/>
                <w:highlight w:val="none"/>
                <w:u w:val="single"/>
              </w:rPr>
            </w:pPr>
            <w:r>
              <w:rPr>
                <w:rFonts w:hint="eastAsia" w:ascii="宋体" w:hAnsi="宋体" w:eastAsia="宋体" w:cs="宋体"/>
                <w:b w:val="0"/>
                <w:bCs w:val="0"/>
                <w:iCs/>
                <w:color w:val="auto"/>
                <w:szCs w:val="21"/>
                <w:highlight w:val="none"/>
              </w:rPr>
              <w:t>（2）向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人民法院起诉。</w:t>
            </w:r>
          </w:p>
        </w:tc>
      </w:tr>
      <w:tr w14:paraId="05C29C2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07" w:type="dxa"/>
            <w:vAlign w:val="center"/>
          </w:tcPr>
          <w:p w14:paraId="464253B9">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6F24106A">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第2</w:t>
            </w:r>
            <w:r>
              <w:rPr>
                <w:rFonts w:hint="eastAsia" w:ascii="宋体" w:hAnsi="宋体"/>
                <w:color w:val="auto"/>
                <w:szCs w:val="21"/>
                <w:highlight w:val="none"/>
                <w:lang w:val="en-US" w:eastAsia="zh-CN"/>
              </w:rPr>
              <w:t>3.1</w:t>
            </w:r>
            <w:r>
              <w:rPr>
                <w:rFonts w:hint="eastAsia" w:ascii="宋体" w:hAnsi="宋体"/>
                <w:color w:val="auto"/>
                <w:szCs w:val="21"/>
                <w:highlight w:val="none"/>
                <w:lang w:eastAsia="zh-CN"/>
              </w:rPr>
              <w:t>款</w:t>
            </w:r>
          </w:p>
        </w:tc>
        <w:tc>
          <w:tcPr>
            <w:tcW w:w="2233" w:type="dxa"/>
            <w:vAlign w:val="center"/>
          </w:tcPr>
          <w:p w14:paraId="6180F86D">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bCs/>
                <w:color w:val="auto"/>
                <w:szCs w:val="21"/>
                <w:highlight w:val="none"/>
                <w:lang w:eastAsia="zh-CN"/>
              </w:rPr>
              <w:t>其他专用条款</w:t>
            </w:r>
          </w:p>
        </w:tc>
        <w:tc>
          <w:tcPr>
            <w:tcW w:w="4316" w:type="dxa"/>
            <w:vAlign w:val="center"/>
          </w:tcPr>
          <w:p w14:paraId="08227F34">
            <w:pPr>
              <w:adjustRightInd w:val="0"/>
              <w:snapToGrid w:val="0"/>
              <w:jc w:val="left"/>
              <w:rPr>
                <w:rFonts w:hint="default" w:ascii="宋体" w:hAnsi="宋体" w:eastAsia="宋体"/>
                <w:color w:val="auto"/>
                <w:szCs w:val="21"/>
                <w:highlight w:val="none"/>
                <w:lang w:val="en-US" w:eastAsia="zh-CN"/>
              </w:rPr>
            </w:pPr>
          </w:p>
        </w:tc>
      </w:tr>
    </w:tbl>
    <w:p w14:paraId="273AC562">
      <w:pPr>
        <w:rPr>
          <w:color w:val="auto"/>
          <w:highlight w:val="none"/>
        </w:rPr>
      </w:pPr>
    </w:p>
    <w:p w14:paraId="7360A251">
      <w:pPr>
        <w:rPr>
          <w:color w:val="auto"/>
          <w:highlight w:val="none"/>
        </w:rPr>
      </w:pPr>
    </w:p>
    <w:p w14:paraId="59C8CB5D">
      <w:pPr>
        <w:rPr>
          <w:color w:val="auto"/>
          <w:highlight w:val="none"/>
          <w:lang w:val="zh-CN"/>
        </w:rPr>
      </w:pPr>
    </w:p>
    <w:p w14:paraId="19932A4E">
      <w:pPr>
        <w:rPr>
          <w:color w:val="auto"/>
          <w:highlight w:val="none"/>
          <w:lang w:val="zh-CN"/>
        </w:rPr>
      </w:pPr>
    </w:p>
    <w:p w14:paraId="427F84D2">
      <w:pPr>
        <w:pStyle w:val="3"/>
        <w:rPr>
          <w:color w:val="auto"/>
          <w:highlight w:val="none"/>
          <w:lang w:val="zh-CN"/>
        </w:rPr>
      </w:pPr>
    </w:p>
    <w:p w14:paraId="04A53194">
      <w:pPr>
        <w:rPr>
          <w:color w:val="auto"/>
          <w:highlight w:val="none"/>
          <w:lang w:val="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557A8F2F">
      <w:pPr>
        <w:pStyle w:val="2"/>
        <w:keepNext/>
        <w:keepLines/>
        <w:pageBreakBefore w:val="0"/>
        <w:widowControl w:val="0"/>
        <w:numPr>
          <w:ilvl w:val="0"/>
          <w:numId w:val="0"/>
        </w:numPr>
        <w:kinsoku/>
        <w:wordWrap/>
        <w:overflowPunct/>
        <w:topLinePunct w:val="0"/>
        <w:autoSpaceDE/>
        <w:autoSpaceDN/>
        <w:bidi w:val="0"/>
        <w:adjustRightInd/>
        <w:snapToGrid/>
        <w:spacing w:before="100" w:after="90" w:line="360" w:lineRule="auto"/>
        <w:ind w:left="420" w:leftChars="0" w:hanging="420" w:firstLineChars="0"/>
        <w:textAlignment w:val="auto"/>
        <w:rPr>
          <w:rFonts w:hint="eastAsia" w:ascii="宋体" w:hAnsi="宋体" w:eastAsia="黑体" w:cstheme="minorBidi"/>
          <w:b/>
          <w:bCs/>
          <w:color w:val="auto"/>
          <w:kern w:val="44"/>
          <w:sz w:val="44"/>
          <w:szCs w:val="44"/>
          <w:highlight w:val="none"/>
          <w:lang w:val="en-US" w:eastAsia="zh-CN" w:bidi="ar-SA"/>
        </w:rPr>
      </w:pPr>
      <w:bookmarkStart w:id="323" w:name="_Toc155185919"/>
      <w:bookmarkStart w:id="324" w:name="_Toc163492913"/>
    </w:p>
    <w:p w14:paraId="72D513E7">
      <w:pPr>
        <w:pStyle w:val="2"/>
        <w:keepNext/>
        <w:keepLines/>
        <w:pageBreakBefore w:val="0"/>
        <w:widowControl w:val="0"/>
        <w:numPr>
          <w:ilvl w:val="0"/>
          <w:numId w:val="0"/>
        </w:numPr>
        <w:kinsoku/>
        <w:wordWrap/>
        <w:overflowPunct/>
        <w:topLinePunct w:val="0"/>
        <w:autoSpaceDE/>
        <w:autoSpaceDN/>
        <w:bidi w:val="0"/>
        <w:adjustRightInd/>
        <w:snapToGrid/>
        <w:spacing w:before="100" w:after="90" w:line="360" w:lineRule="auto"/>
        <w:ind w:left="420" w:leftChars="0" w:hanging="420" w:firstLineChars="0"/>
        <w:textAlignment w:val="auto"/>
        <w:rPr>
          <w:rFonts w:hint="eastAsia" w:ascii="宋体" w:hAnsi="宋体" w:eastAsia="黑体" w:cstheme="minorBidi"/>
          <w:b/>
          <w:bCs/>
          <w:color w:val="auto"/>
          <w:kern w:val="44"/>
          <w:sz w:val="44"/>
          <w:szCs w:val="44"/>
          <w:highlight w:val="none"/>
          <w:lang w:val="en-US" w:eastAsia="zh-CN" w:bidi="ar-SA"/>
        </w:rPr>
      </w:pPr>
    </w:p>
    <w:p w14:paraId="5CAF3138">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325" w:name="_Toc15820"/>
      <w:r>
        <w:rPr>
          <w:rFonts w:hint="eastAsia" w:ascii="宋体" w:hAnsi="宋体" w:eastAsia="宋体" w:cs="宋体"/>
          <w:b/>
          <w:bCs/>
          <w:color w:val="auto"/>
          <w:kern w:val="44"/>
          <w:sz w:val="36"/>
          <w:szCs w:val="36"/>
          <w:highlight w:val="none"/>
          <w:lang w:val="en-US" w:eastAsia="zh-CN" w:bidi="ar-SA"/>
        </w:rPr>
        <w:t>第七章 投标文件格式</w:t>
      </w:r>
      <w:bookmarkEnd w:id="323"/>
      <w:bookmarkEnd w:id="324"/>
      <w:bookmarkEnd w:id="325"/>
    </w:p>
    <w:p w14:paraId="20B1063D">
      <w:pPr>
        <w:ind w:left="240" w:leftChars="100" w:firstLine="480" w:firstLineChars="200"/>
        <w:rPr>
          <w:rFonts w:cs="仿宋_GB2312"/>
          <w:color w:val="auto"/>
          <w:szCs w:val="24"/>
          <w:highlight w:val="none"/>
        </w:rPr>
      </w:pPr>
    </w:p>
    <w:p w14:paraId="29D44C55">
      <w:pPr>
        <w:pStyle w:val="6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244DD0F1">
      <w:pPr>
        <w:pStyle w:val="6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09EDECB5">
      <w:pPr>
        <w:pStyle w:val="6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75F9B001">
      <w:pPr>
        <w:pStyle w:val="6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12E1D158">
      <w:pPr>
        <w:pStyle w:val="6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4E6822E5">
      <w:pPr>
        <w:pStyle w:val="6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62CA045B">
      <w:pPr>
        <w:pStyle w:val="6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3893E9FD">
      <w:pPr>
        <w:pStyle w:val="6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495452EF">
      <w:pPr>
        <w:pStyle w:val="6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0AA66CC1">
      <w:pPr>
        <w:pStyle w:val="6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369FA17D">
      <w:pPr>
        <w:pStyle w:val="6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572E3CAE">
      <w:pPr>
        <w:pStyle w:val="6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5565C3EB">
      <w:pPr>
        <w:pStyle w:val="6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07DA079A">
      <w:pPr>
        <w:pStyle w:val="6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6E15166A">
      <w:pPr>
        <w:pStyle w:val="6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63A9983C">
      <w:pPr>
        <w:pStyle w:val="6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748F8DEC">
      <w:pPr>
        <w:pStyle w:val="6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6F52A8AF">
      <w:pPr>
        <w:pStyle w:val="6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42FC05CF">
      <w:pPr>
        <w:pStyle w:val="6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761F2B5A">
      <w:pPr>
        <w:pStyle w:val="6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599474F0">
      <w:pPr>
        <w:pStyle w:val="6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5390F1A2">
      <w:pPr>
        <w:pStyle w:val="6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4A93A46C">
      <w:pPr>
        <w:pStyle w:val="6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3C290983">
      <w:pPr>
        <w:pStyle w:val="6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155D68F1">
      <w:pPr>
        <w:pStyle w:val="6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1025489F">
      <w:pPr>
        <w:pStyle w:val="6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308F138C">
      <w:pPr>
        <w:pStyle w:val="6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2CDCE37B">
      <w:pPr>
        <w:ind w:firstLine="480" w:firstLineChars="200"/>
        <w:rPr>
          <w:rFonts w:hint="eastAsia" w:cs="仿宋_GB2312"/>
          <w:color w:val="auto"/>
          <w:szCs w:val="24"/>
          <w:highlight w:val="none"/>
          <w:lang w:val="zh-CN"/>
        </w:rPr>
      </w:pPr>
      <w:bookmarkStart w:id="326" w:name="_Toc163492937"/>
    </w:p>
    <w:p w14:paraId="2D9E98AD">
      <w:pPr>
        <w:ind w:firstLine="480" w:firstLineChars="200"/>
        <w:rPr>
          <w:rFonts w:hint="eastAsia" w:cs="仿宋_GB2312"/>
          <w:color w:val="auto"/>
          <w:szCs w:val="24"/>
          <w:highlight w:val="none"/>
          <w:lang w:val="zh-CN"/>
        </w:rPr>
      </w:pPr>
    </w:p>
    <w:p w14:paraId="3D40132F">
      <w:pPr>
        <w:ind w:firstLine="480" w:firstLineChars="200"/>
        <w:rPr>
          <w:rFonts w:hint="eastAsia" w:cs="仿宋_GB2312"/>
          <w:color w:val="auto"/>
          <w:szCs w:val="24"/>
          <w:highlight w:val="none"/>
          <w:lang w:val="zh-CN"/>
        </w:rPr>
      </w:pPr>
    </w:p>
    <w:p w14:paraId="6DC90E3C">
      <w:pPr>
        <w:ind w:firstLine="480" w:firstLineChars="200"/>
        <w:rPr>
          <w:rFonts w:cs="仿宋_GB2312"/>
          <w:color w:val="auto"/>
          <w:szCs w:val="24"/>
          <w:highlight w:val="none"/>
          <w:lang w:val="zh-CN"/>
        </w:rPr>
      </w:pPr>
      <w:r>
        <w:rPr>
          <w:rFonts w:hint="eastAsia" w:cs="仿宋_GB2312"/>
          <w:color w:val="auto"/>
          <w:szCs w:val="24"/>
          <w:highlight w:val="none"/>
          <w:lang w:val="zh-CN"/>
        </w:rPr>
        <w:t>封面：</w:t>
      </w:r>
    </w:p>
    <w:p w14:paraId="202803F7">
      <w:pPr>
        <w:autoSpaceDE w:val="0"/>
        <w:autoSpaceDN w:val="0"/>
        <w:adjustRightInd w:val="0"/>
        <w:rPr>
          <w:color w:val="auto"/>
          <w:sz w:val="21"/>
          <w:szCs w:val="24"/>
          <w:highlight w:val="none"/>
        </w:rPr>
      </w:pPr>
    </w:p>
    <w:p w14:paraId="73B11C8A">
      <w:pPr>
        <w:autoSpaceDE w:val="0"/>
        <w:autoSpaceDN w:val="0"/>
        <w:adjustRightInd w:val="0"/>
        <w:rPr>
          <w:color w:val="auto"/>
          <w:sz w:val="21"/>
          <w:szCs w:val="24"/>
          <w:highlight w:val="none"/>
        </w:rPr>
      </w:pPr>
    </w:p>
    <w:p w14:paraId="36DF3F4E">
      <w:pPr>
        <w:autoSpaceDE w:val="0"/>
        <w:autoSpaceDN w:val="0"/>
        <w:adjustRightInd w:val="0"/>
        <w:jc w:val="center"/>
        <w:rPr>
          <w:color w:val="auto"/>
          <w:sz w:val="21"/>
          <w:szCs w:val="24"/>
          <w:highlight w:val="none"/>
        </w:rPr>
      </w:pPr>
    </w:p>
    <w:p w14:paraId="336E03FA">
      <w:pPr>
        <w:autoSpaceDE w:val="0"/>
        <w:autoSpaceDN w:val="0"/>
        <w:adjustRightInd w:val="0"/>
        <w:jc w:val="center"/>
        <w:rPr>
          <w:b/>
          <w:color w:val="auto"/>
          <w:sz w:val="84"/>
          <w:szCs w:val="84"/>
          <w:highlight w:val="none"/>
        </w:rPr>
      </w:pPr>
      <w:r>
        <w:rPr>
          <w:rFonts w:hint="eastAsia"/>
          <w:b/>
          <w:color w:val="auto"/>
          <w:sz w:val="84"/>
          <w:szCs w:val="84"/>
          <w:highlight w:val="none"/>
        </w:rPr>
        <w:t>投 标 文 件</w:t>
      </w:r>
    </w:p>
    <w:p w14:paraId="0D217A8D">
      <w:pPr>
        <w:autoSpaceDE w:val="0"/>
        <w:autoSpaceDN w:val="0"/>
        <w:adjustRightInd w:val="0"/>
        <w:jc w:val="center"/>
        <w:rPr>
          <w:b/>
          <w:color w:val="auto"/>
          <w:sz w:val="56"/>
          <w:szCs w:val="56"/>
          <w:highlight w:val="none"/>
        </w:rPr>
      </w:pPr>
      <w:r>
        <w:rPr>
          <w:rFonts w:hint="eastAsia"/>
          <w:b/>
          <w:color w:val="auto"/>
          <w:sz w:val="56"/>
          <w:szCs w:val="56"/>
          <w:highlight w:val="none"/>
        </w:rPr>
        <w:t>资格证明文件</w:t>
      </w:r>
    </w:p>
    <w:p w14:paraId="3713B9EF">
      <w:pPr>
        <w:autoSpaceDE w:val="0"/>
        <w:autoSpaceDN w:val="0"/>
        <w:adjustRightInd w:val="0"/>
        <w:rPr>
          <w:b/>
          <w:bCs/>
          <w:color w:val="auto"/>
          <w:sz w:val="22"/>
          <w:highlight w:val="none"/>
        </w:rPr>
      </w:pPr>
    </w:p>
    <w:p w14:paraId="3861A6F5">
      <w:pPr>
        <w:autoSpaceDE w:val="0"/>
        <w:autoSpaceDN w:val="0"/>
        <w:adjustRightInd w:val="0"/>
        <w:jc w:val="center"/>
        <w:rPr>
          <w:rFonts w:hint="eastAsia" w:eastAsia="宋体"/>
          <w:color w:val="auto"/>
          <w:sz w:val="36"/>
          <w:szCs w:val="36"/>
          <w:highlight w:val="none"/>
          <w:lang w:eastAsia="zh-CN"/>
        </w:rPr>
      </w:pPr>
      <w:r>
        <w:rPr>
          <w:rFonts w:hint="eastAsia"/>
          <w:color w:val="auto"/>
          <w:sz w:val="36"/>
          <w:szCs w:val="36"/>
          <w:highlight w:val="none"/>
          <w:lang w:val="en-US" w:eastAsia="zh-CN"/>
        </w:rPr>
        <w:t>（第XX包</w:t>
      </w:r>
      <w:r>
        <w:rPr>
          <w:rFonts w:hint="eastAsia"/>
          <w:color w:val="auto"/>
          <w:sz w:val="36"/>
          <w:szCs w:val="36"/>
          <w:highlight w:val="none"/>
          <w:lang w:eastAsia="zh-CN"/>
        </w:rPr>
        <w:t>）【</w:t>
      </w:r>
      <w:r>
        <w:rPr>
          <w:rFonts w:hint="eastAsia"/>
          <w:color w:val="auto"/>
          <w:sz w:val="36"/>
          <w:szCs w:val="36"/>
          <w:highlight w:val="none"/>
          <w:lang w:val="en-US" w:eastAsia="zh-CN"/>
        </w:rPr>
        <w:t>如不分包，请删去本行</w:t>
      </w:r>
      <w:r>
        <w:rPr>
          <w:rFonts w:hint="eastAsia"/>
          <w:color w:val="auto"/>
          <w:sz w:val="36"/>
          <w:szCs w:val="36"/>
          <w:highlight w:val="none"/>
          <w:lang w:eastAsia="zh-CN"/>
        </w:rPr>
        <w:t>】</w:t>
      </w:r>
    </w:p>
    <w:p w14:paraId="4C95B1E8">
      <w:pPr>
        <w:autoSpaceDE w:val="0"/>
        <w:autoSpaceDN w:val="0"/>
        <w:adjustRightInd w:val="0"/>
        <w:rPr>
          <w:color w:val="auto"/>
          <w:sz w:val="21"/>
          <w:szCs w:val="21"/>
          <w:highlight w:val="none"/>
        </w:rPr>
      </w:pPr>
    </w:p>
    <w:p w14:paraId="4A15B7B6">
      <w:pPr>
        <w:pStyle w:val="3"/>
        <w:rPr>
          <w:color w:val="auto"/>
          <w:highlight w:val="none"/>
        </w:rPr>
      </w:pPr>
    </w:p>
    <w:p w14:paraId="6D2F1984">
      <w:pPr>
        <w:autoSpaceDE w:val="0"/>
        <w:autoSpaceDN w:val="0"/>
        <w:adjustRightInd w:val="0"/>
        <w:rPr>
          <w:color w:val="auto"/>
          <w:sz w:val="21"/>
          <w:szCs w:val="21"/>
          <w:highlight w:val="none"/>
        </w:rPr>
      </w:pPr>
    </w:p>
    <w:p w14:paraId="13936900">
      <w:pPr>
        <w:autoSpaceDE w:val="0"/>
        <w:autoSpaceDN w:val="0"/>
        <w:adjustRightInd w:val="0"/>
        <w:rPr>
          <w:color w:val="auto"/>
          <w:sz w:val="21"/>
          <w:szCs w:val="21"/>
          <w:highlight w:val="none"/>
        </w:rPr>
      </w:pPr>
    </w:p>
    <w:p w14:paraId="7F8AB2C1">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/包号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24FB0392">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6B06112D">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投</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4720DE04">
      <w:pPr>
        <w:ind w:left="840" w:firstLine="420"/>
        <w:rPr>
          <w:b/>
          <w:bCs/>
          <w:color w:val="auto"/>
          <w:sz w:val="28"/>
          <w:szCs w:val="28"/>
          <w:highlight w:val="none"/>
        </w:rPr>
      </w:pPr>
    </w:p>
    <w:p w14:paraId="5D0DC607">
      <w:pPr>
        <w:ind w:left="840" w:firstLine="420"/>
        <w:rPr>
          <w:b/>
          <w:bCs/>
          <w:color w:val="auto"/>
          <w:sz w:val="28"/>
          <w:szCs w:val="28"/>
          <w:highlight w:val="none"/>
        </w:rPr>
      </w:pPr>
    </w:p>
    <w:p w14:paraId="306FCCBF">
      <w:pPr>
        <w:ind w:left="840" w:firstLine="420"/>
        <w:rPr>
          <w:b/>
          <w:bCs/>
          <w:color w:val="auto"/>
          <w:sz w:val="28"/>
          <w:szCs w:val="28"/>
          <w:highlight w:val="none"/>
        </w:rPr>
      </w:pPr>
    </w:p>
    <w:p w14:paraId="22CE1A9B">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6447D651">
      <w:pPr>
        <w:rPr>
          <w:color w:val="auto"/>
          <w:highlight w:val="none"/>
          <w:lang w:val="zh-CN"/>
        </w:rPr>
      </w:pPr>
      <w:r>
        <w:rPr>
          <w:color w:val="auto"/>
          <w:highlight w:val="none"/>
          <w:lang w:val="zh-CN"/>
        </w:rPr>
        <w:br w:type="page"/>
      </w:r>
    </w:p>
    <w:p w14:paraId="6DBE2CDA">
      <w:pPr>
        <w:rPr>
          <w:color w:val="auto"/>
          <w:highlight w:val="none"/>
          <w:lang w:val="zh-CN"/>
        </w:rPr>
      </w:pPr>
    </w:p>
    <w:p w14:paraId="215FC2E3">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327" w:name="_Toc25898"/>
      <w:bookmarkStart w:id="328" w:name="_Toc155185927"/>
      <w:bookmarkStart w:id="329" w:name="_Toc163492921"/>
      <w:r>
        <w:rPr>
          <w:rFonts w:hint="eastAsia" w:eastAsia="宋体" w:asciiTheme="majorHAnsi" w:hAnsiTheme="majorHAnsi" w:cstheme="majorBidi"/>
          <w:b/>
          <w:bCs/>
          <w:color w:val="auto"/>
          <w:kern w:val="2"/>
          <w:sz w:val="28"/>
          <w:szCs w:val="28"/>
          <w:highlight w:val="none"/>
          <w:lang w:val="en-US" w:eastAsia="zh-CN" w:bidi="ar-SA"/>
        </w:rPr>
        <w:t>一、满足《中华人民共和国政府采购法》第二十二条规定</w:t>
      </w:r>
      <w:bookmarkEnd w:id="327"/>
    </w:p>
    <w:bookmarkEnd w:id="328"/>
    <w:bookmarkEnd w:id="329"/>
    <w:p w14:paraId="61960CA7">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color w:val="auto"/>
          <w:kern w:val="2"/>
          <w:sz w:val="24"/>
          <w:szCs w:val="24"/>
          <w:highlight w:val="none"/>
          <w:lang w:val="en-US" w:eastAsia="zh-CN" w:bidi="ar-SA"/>
        </w:rPr>
      </w:pPr>
      <w:bookmarkStart w:id="330" w:name="_Toc155185928"/>
      <w:bookmarkStart w:id="331" w:name="_Toc163492922"/>
      <w:r>
        <w:rPr>
          <w:rFonts w:hint="eastAsia" w:ascii="宋体" w:hAnsi="宋体" w:eastAsia="宋体" w:cs="宋体"/>
          <w:b/>
          <w:bCs/>
          <w:color w:val="auto"/>
          <w:kern w:val="2"/>
          <w:sz w:val="24"/>
          <w:szCs w:val="24"/>
          <w:highlight w:val="none"/>
          <w:lang w:val="en-US" w:eastAsia="zh-CN" w:bidi="ar-SA"/>
        </w:rPr>
        <w:t>（一）法人、其他组织或者自然人的证明文件</w:t>
      </w:r>
    </w:p>
    <w:p w14:paraId="6E9D207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1、投标人</w:t>
      </w:r>
      <w:r>
        <w:rPr>
          <w:rFonts w:hint="eastAsia" w:ascii="宋体" w:hAnsi="宋体" w:eastAsia="宋体" w:cs="宋体"/>
          <w:b w:val="0"/>
          <w:bCs w:val="0"/>
          <w:color w:val="auto"/>
          <w:kern w:val="0"/>
          <w:sz w:val="24"/>
          <w:szCs w:val="24"/>
          <w:highlight w:val="none"/>
          <w:lang w:val="en-US" w:eastAsia="zh-CN"/>
        </w:rPr>
        <w:t>为企业（包括合伙企业）的，应提供有效的“营业执照”；</w:t>
      </w:r>
    </w:p>
    <w:p w14:paraId="420A9C0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2、投标人</w:t>
      </w:r>
      <w:r>
        <w:rPr>
          <w:rFonts w:hint="eastAsia" w:ascii="宋体" w:hAnsi="宋体" w:eastAsia="宋体" w:cs="宋体"/>
          <w:b w:val="0"/>
          <w:bCs w:val="0"/>
          <w:color w:val="auto"/>
          <w:kern w:val="0"/>
          <w:sz w:val="24"/>
          <w:szCs w:val="24"/>
          <w:highlight w:val="none"/>
          <w:lang w:val="en-US" w:eastAsia="zh-CN"/>
        </w:rPr>
        <w:t>为事业单位的，应提供有效的“事业单位法人证书”；</w:t>
      </w:r>
    </w:p>
    <w:p w14:paraId="30B2651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3、投标人</w:t>
      </w:r>
      <w:r>
        <w:rPr>
          <w:rFonts w:hint="eastAsia" w:ascii="宋体" w:hAnsi="宋体" w:eastAsia="宋体" w:cs="宋体"/>
          <w:b w:val="0"/>
          <w:bCs w:val="0"/>
          <w:color w:val="auto"/>
          <w:kern w:val="0"/>
          <w:sz w:val="24"/>
          <w:szCs w:val="24"/>
          <w:highlight w:val="none"/>
          <w:lang w:val="en-US" w:eastAsia="zh-CN"/>
        </w:rPr>
        <w:t>为非企业机构的，应提供有效的“执业许可证”、“登记证书”等证明文件；</w:t>
      </w:r>
    </w:p>
    <w:p w14:paraId="4FDE643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4、投标人</w:t>
      </w:r>
      <w:r>
        <w:rPr>
          <w:rFonts w:hint="eastAsia" w:ascii="宋体" w:hAnsi="宋体" w:eastAsia="宋体" w:cs="宋体"/>
          <w:b w:val="0"/>
          <w:bCs w:val="0"/>
          <w:color w:val="auto"/>
          <w:kern w:val="0"/>
          <w:sz w:val="24"/>
          <w:szCs w:val="24"/>
          <w:highlight w:val="none"/>
          <w:lang w:val="en-US" w:eastAsia="zh-CN"/>
        </w:rPr>
        <w:t>是个体工商户的，应提供有效的“个体工商户营业执照”；</w:t>
      </w:r>
    </w:p>
    <w:p w14:paraId="1DE16BB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5、投标人</w:t>
      </w:r>
      <w:r>
        <w:rPr>
          <w:rFonts w:hint="eastAsia" w:ascii="宋体" w:hAnsi="宋体" w:eastAsia="宋体" w:cs="宋体"/>
          <w:b w:val="0"/>
          <w:bCs w:val="0"/>
          <w:color w:val="auto"/>
          <w:kern w:val="0"/>
          <w:sz w:val="24"/>
          <w:szCs w:val="24"/>
          <w:highlight w:val="none"/>
          <w:lang w:val="en-US" w:eastAsia="zh-CN"/>
        </w:rPr>
        <w:t>是自然人的，应提供有效的自然人身份证明。</w:t>
      </w:r>
    </w:p>
    <w:p w14:paraId="77687BE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p>
    <w:p w14:paraId="128F3677">
      <w:pP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br w:type="page"/>
      </w:r>
    </w:p>
    <w:bookmarkEnd w:id="330"/>
    <w:bookmarkEnd w:id="331"/>
    <w:p w14:paraId="69A95AD2">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0" w:leftChars="0" w:firstLine="0" w:firstLineChars="0"/>
        <w:textAlignment w:val="auto"/>
        <w:rPr>
          <w:rFonts w:hint="eastAsia" w:eastAsia="宋体" w:cstheme="majorBidi"/>
          <w:b/>
          <w:bCs/>
          <w:color w:val="auto"/>
          <w:kern w:val="2"/>
          <w:sz w:val="24"/>
          <w:szCs w:val="24"/>
          <w:highlight w:val="none"/>
          <w:lang w:val="en-US" w:eastAsia="zh-CN" w:bidi="ar-SA"/>
        </w:rPr>
      </w:pPr>
      <w:bookmarkStart w:id="332" w:name="_Toc16010"/>
      <w:r>
        <w:rPr>
          <w:rFonts w:hint="eastAsia" w:eastAsia="宋体" w:cstheme="majorBidi"/>
          <w:b/>
          <w:bCs/>
          <w:color w:val="auto"/>
          <w:kern w:val="2"/>
          <w:sz w:val="24"/>
          <w:szCs w:val="24"/>
          <w:highlight w:val="none"/>
          <w:lang w:val="en-US" w:eastAsia="zh-CN" w:bidi="ar-SA"/>
        </w:rPr>
        <w:t>（二）政府采购供应商信用承诺函</w:t>
      </w:r>
      <w:bookmarkEnd w:id="332"/>
    </w:p>
    <w:p w14:paraId="149786FB">
      <w:pPr>
        <w:spacing w:line="560" w:lineRule="exac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单位名称</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自然人姓名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48FFA3C0">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统一社会信用代码</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身份证号码</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7DA4A26F">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负责人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2565F5FE">
      <w:pPr>
        <w:spacing w:line="560" w:lineRule="exact"/>
        <w:ind w:firstLine="480" w:firstLineChars="200"/>
        <w:rPr>
          <w:rFonts w:hint="eastAsia" w:ascii="宋体" w:hAnsi="宋体" w:eastAsia="宋体" w:cs="宋体"/>
          <w:color w:val="auto"/>
          <w:kern w:val="0"/>
          <w:sz w:val="24"/>
          <w:szCs w:val="24"/>
          <w:highlight w:val="none"/>
        </w:rPr>
      </w:pPr>
    </w:p>
    <w:p w14:paraId="39CDD6B5">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我单位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 xml:space="preserve">自愿参加本次政府采购活动，严格遵守《中华人民共和国政府采购法》及相关法律法规，坚守公开、公平、公正和诚实信用等原则，依法诚信经营，并郑重承诺：    </w:t>
      </w:r>
    </w:p>
    <w:p w14:paraId="15BD2674">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一、我单位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符合《中华人民共和国政府采购法》第二十二条规定：</w:t>
      </w:r>
    </w:p>
    <w:p w14:paraId="3218A359">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一</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具有独立承担民事责任的能力;</w:t>
      </w:r>
    </w:p>
    <w:p w14:paraId="036C60EA">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（二）</w:t>
      </w:r>
      <w:r>
        <w:rPr>
          <w:rFonts w:hint="eastAsia" w:ascii="宋体" w:hAnsi="宋体" w:eastAsia="宋体" w:cs="宋体"/>
          <w:color w:val="auto"/>
          <w:kern w:val="0"/>
          <w:sz w:val="24"/>
          <w:szCs w:val="24"/>
          <w:highlight w:val="none"/>
        </w:rPr>
        <w:t>具有良好的商业信誉和健全的财务会计制度;</w:t>
      </w:r>
    </w:p>
    <w:p w14:paraId="32BE9145">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（三）</w:t>
      </w:r>
      <w:r>
        <w:rPr>
          <w:rFonts w:hint="eastAsia" w:ascii="宋体" w:hAnsi="宋体" w:eastAsia="宋体" w:cs="宋体"/>
          <w:color w:val="auto"/>
          <w:kern w:val="0"/>
          <w:sz w:val="24"/>
          <w:szCs w:val="24"/>
          <w:highlight w:val="none"/>
        </w:rPr>
        <w:t>具有履行合同所必需的设备和专业技术能力;</w:t>
      </w:r>
    </w:p>
    <w:p w14:paraId="5C988BD2">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（四）</w:t>
      </w:r>
      <w:r>
        <w:rPr>
          <w:rFonts w:hint="eastAsia" w:ascii="宋体" w:hAnsi="宋体" w:eastAsia="宋体" w:cs="宋体"/>
          <w:color w:val="auto"/>
          <w:kern w:val="0"/>
          <w:sz w:val="24"/>
          <w:szCs w:val="24"/>
          <w:highlight w:val="none"/>
        </w:rPr>
        <w:t>有依法缴纳税收和社会保障资金的良好记录;</w:t>
      </w:r>
    </w:p>
    <w:p w14:paraId="64311F89">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（五）</w:t>
      </w:r>
      <w:r>
        <w:rPr>
          <w:rFonts w:hint="eastAsia" w:ascii="宋体" w:hAnsi="宋体" w:eastAsia="宋体" w:cs="宋体"/>
          <w:color w:val="auto"/>
          <w:kern w:val="0"/>
          <w:sz w:val="24"/>
          <w:szCs w:val="24"/>
          <w:highlight w:val="none"/>
        </w:rPr>
        <w:t>参加政府采购活动前三年内，在经营活动中没有重大违法记录;</w:t>
      </w:r>
    </w:p>
    <w:p w14:paraId="09591AFC">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（六）</w:t>
      </w:r>
      <w:r>
        <w:rPr>
          <w:rFonts w:hint="eastAsia" w:ascii="宋体" w:hAnsi="宋体" w:eastAsia="宋体" w:cs="宋体"/>
          <w:color w:val="auto"/>
          <w:kern w:val="0"/>
          <w:sz w:val="24"/>
          <w:szCs w:val="24"/>
          <w:highlight w:val="none"/>
        </w:rPr>
        <w:t>符合法律、行政法规规定的其他条件。</w:t>
      </w:r>
    </w:p>
    <w:p w14:paraId="1BA808C2">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二、我单位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未被列入严重违法失信名单、失信被执行人</w:t>
      </w:r>
      <w:r>
        <w:rPr>
          <w:rFonts w:hint="eastAsia" w:ascii="宋体" w:hAnsi="宋体" w:eastAsia="宋体" w:cs="宋体"/>
          <w:color w:val="auto"/>
          <w:kern w:val="0"/>
          <w:sz w:val="24"/>
          <w:szCs w:val="24"/>
          <w:highlight w:val="none"/>
          <w:lang w:eastAsia="zh-CN"/>
        </w:rPr>
        <w:t>名单</w:t>
      </w:r>
      <w:r>
        <w:rPr>
          <w:rFonts w:hint="eastAsia" w:ascii="宋体" w:hAnsi="宋体" w:eastAsia="宋体" w:cs="宋体"/>
          <w:color w:val="auto"/>
          <w:kern w:val="0"/>
          <w:sz w:val="24"/>
          <w:szCs w:val="24"/>
          <w:highlight w:val="none"/>
        </w:rPr>
        <w:t>、重大税收违法失信主体、政府采购严重违法失信行为记录名</w:t>
      </w:r>
      <w:r>
        <w:rPr>
          <w:rFonts w:hint="eastAsia" w:ascii="宋体" w:hAnsi="宋体" w:eastAsia="宋体" w:cs="宋体"/>
          <w:color w:val="auto"/>
          <w:kern w:val="0"/>
          <w:sz w:val="24"/>
          <w:szCs w:val="24"/>
          <w:highlight w:val="none"/>
          <w:lang w:eastAsia="zh-CN"/>
        </w:rPr>
        <w:t>单</w:t>
      </w:r>
      <w:r>
        <w:rPr>
          <w:rFonts w:hint="eastAsia" w:ascii="宋体" w:hAnsi="宋体" w:eastAsia="宋体" w:cs="宋体"/>
          <w:color w:val="auto"/>
          <w:kern w:val="0"/>
          <w:sz w:val="24"/>
          <w:szCs w:val="24"/>
          <w:highlight w:val="none"/>
        </w:rPr>
        <w:t>。</w:t>
      </w:r>
    </w:p>
    <w:p w14:paraId="70127B20">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三、如果本公司（本人）有幸中标（成交），在合同签订之前，采购单位有权要求本公司（本人）提供资格证明材料原件进行核验。</w:t>
      </w:r>
    </w:p>
    <w:p w14:paraId="32445A77">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四、我单位</w:t>
      </w:r>
      <w:r>
        <w:rPr>
          <w:rFonts w:hint="eastAsia" w:ascii="宋体" w:hAnsi="宋体" w:eastAsia="宋体" w:cs="宋体"/>
          <w:color w:val="auto"/>
          <w:kern w:val="0"/>
          <w:sz w:val="24"/>
          <w:szCs w:val="24"/>
          <w:highlight w:val="none"/>
          <w:lang w:eastAsia="zh-CN"/>
        </w:rPr>
        <w:t>（本人）</w:t>
      </w:r>
      <w:r>
        <w:rPr>
          <w:rFonts w:hint="eastAsia" w:ascii="宋体" w:hAnsi="宋体" w:eastAsia="宋体" w:cs="宋体"/>
          <w:color w:val="auto"/>
          <w:kern w:val="0"/>
          <w:sz w:val="24"/>
          <w:szCs w:val="24"/>
          <w:highlight w:val="none"/>
        </w:rPr>
        <w:t>保证上述承诺事项的真实性。如有弄虚作假或其他违法违规行为，自愿按照规定将违背承诺行为作为失信行为记录到社会信用信息平台，并视同为“提供虚假材料谋取中标、成交”按照《</w:t>
      </w:r>
      <w:r>
        <w:rPr>
          <w:rFonts w:hint="eastAsia"/>
          <w:color w:val="auto"/>
          <w:highlight w:val="none"/>
        </w:rPr>
        <w:t>中华人民共和国政府采购法</w:t>
      </w:r>
      <w:r>
        <w:rPr>
          <w:rFonts w:hint="eastAsia" w:ascii="宋体" w:hAnsi="宋体" w:eastAsia="宋体" w:cs="宋体"/>
          <w:color w:val="auto"/>
          <w:kern w:val="0"/>
          <w:sz w:val="24"/>
          <w:szCs w:val="24"/>
          <w:highlight w:val="none"/>
        </w:rPr>
        <w:t>》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57CE52DB">
      <w:pPr>
        <w:spacing w:line="560" w:lineRule="exact"/>
        <w:rPr>
          <w:rFonts w:hint="eastAsia" w:ascii="宋体" w:hAnsi="宋体" w:eastAsia="宋体" w:cs="宋体"/>
          <w:color w:val="auto"/>
          <w:kern w:val="0"/>
          <w:sz w:val="24"/>
          <w:szCs w:val="24"/>
          <w:highlight w:val="none"/>
        </w:rPr>
      </w:pPr>
    </w:p>
    <w:p w14:paraId="5883D10C">
      <w:pPr>
        <w:spacing w:line="560" w:lineRule="exact"/>
        <w:rPr>
          <w:rFonts w:hint="eastAsia" w:ascii="宋体" w:hAnsi="宋体" w:eastAsia="宋体" w:cs="宋体"/>
          <w:color w:val="auto"/>
          <w:kern w:val="0"/>
          <w:sz w:val="24"/>
          <w:szCs w:val="24"/>
          <w:highlight w:val="none"/>
        </w:rPr>
      </w:pPr>
    </w:p>
    <w:p w14:paraId="02066849">
      <w:pPr>
        <w:spacing w:line="560" w:lineRule="exact"/>
        <w:rPr>
          <w:rFonts w:hint="eastAsia" w:ascii="宋体" w:hAnsi="宋体" w:eastAsia="宋体" w:cs="宋体"/>
          <w:color w:val="auto"/>
          <w:kern w:val="0"/>
          <w:sz w:val="24"/>
          <w:szCs w:val="24"/>
          <w:highlight w:val="none"/>
        </w:rPr>
      </w:pPr>
      <w:r>
        <w:rPr>
          <w:rFonts w:hint="eastAsia" w:cs="宋体"/>
          <w:color w:val="auto"/>
          <w:kern w:val="0"/>
          <w:sz w:val="24"/>
          <w:szCs w:val="24"/>
          <w:highlight w:val="none"/>
          <w:lang w:val="en-US" w:eastAsia="zh-CN"/>
        </w:rPr>
        <w:t>供应商名称</w:t>
      </w:r>
      <w:r>
        <w:rPr>
          <w:rFonts w:hint="eastAsia" w:ascii="宋体" w:hAnsi="宋体" w:eastAsia="宋体" w:cs="宋体"/>
          <w:color w:val="auto"/>
          <w:kern w:val="0"/>
          <w:sz w:val="24"/>
          <w:szCs w:val="24"/>
          <w:highlight w:val="none"/>
          <w:lang w:eastAsia="zh-CN"/>
        </w:rPr>
        <w:t>（</w:t>
      </w:r>
      <w:r>
        <w:rPr>
          <w:rFonts w:hint="eastAsia" w:cs="宋体"/>
          <w:color w:val="auto"/>
          <w:kern w:val="0"/>
          <w:sz w:val="24"/>
          <w:szCs w:val="24"/>
          <w:highlight w:val="none"/>
          <w:lang w:eastAsia="zh-CN"/>
        </w:rPr>
        <w:t>公章</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3FCFFDCC">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负责人</w:t>
      </w:r>
      <w:r>
        <w:rPr>
          <w:rFonts w:hint="eastAsia" w:ascii="宋体" w:hAnsi="宋体" w:eastAsia="宋体" w:cs="宋体"/>
          <w:color w:val="auto"/>
          <w:kern w:val="0"/>
          <w:sz w:val="24"/>
          <w:szCs w:val="24"/>
          <w:highlight w:val="none"/>
          <w:lang w:val="en-US" w:eastAsia="zh-CN"/>
        </w:rPr>
        <w:t>或</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或授权代表</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rPr>
        <w:t>：</w:t>
      </w:r>
    </w:p>
    <w:p w14:paraId="510A1256">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14:paraId="1F4E790D">
      <w:pPr>
        <w:widowControl/>
        <w:spacing w:line="560" w:lineRule="exact"/>
        <w:ind w:firstLine="630"/>
        <w:jc w:val="left"/>
        <w:rPr>
          <w:rFonts w:hint="eastAsia" w:ascii="宋体" w:hAnsi="宋体" w:eastAsia="宋体" w:cs="宋体"/>
          <w:color w:val="auto"/>
          <w:kern w:val="0"/>
          <w:sz w:val="24"/>
          <w:szCs w:val="24"/>
          <w:highlight w:val="none"/>
        </w:rPr>
      </w:pPr>
    </w:p>
    <w:p w14:paraId="282D3BE6">
      <w:pPr>
        <w:rPr>
          <w:rFonts w:ascii="Arial" w:hAnsi="Arial" w:cs="Arial"/>
          <w:color w:val="auto"/>
          <w:szCs w:val="21"/>
          <w:highlight w:val="none"/>
        </w:rPr>
      </w:pPr>
      <w:r>
        <w:rPr>
          <w:rFonts w:ascii="Arial" w:hAnsi="Arial" w:cs="Arial"/>
          <w:color w:val="auto"/>
          <w:szCs w:val="21"/>
          <w:highlight w:val="none"/>
        </w:rPr>
        <w:br w:type="page"/>
      </w:r>
    </w:p>
    <w:p w14:paraId="7478D641">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zh-CN" w:eastAsia="zh-CN" w:bidi="ar-SA"/>
        </w:rPr>
      </w:pPr>
      <w:bookmarkStart w:id="333" w:name="_Toc140132840"/>
      <w:bookmarkStart w:id="334" w:name="_Toc163492923"/>
      <w:bookmarkStart w:id="335" w:name="_Toc109899498"/>
      <w:bookmarkStart w:id="336" w:name="_Toc109900336"/>
      <w:bookmarkStart w:id="337" w:name="_Toc155185930"/>
      <w:bookmarkStart w:id="338" w:name="_Toc109899917"/>
      <w:bookmarkStart w:id="339" w:name="_Toc17265"/>
      <w:r>
        <w:rPr>
          <w:rFonts w:hint="eastAsia" w:cstheme="majorBidi"/>
          <w:b/>
          <w:bCs/>
          <w:color w:val="auto"/>
          <w:kern w:val="2"/>
          <w:sz w:val="28"/>
          <w:szCs w:val="28"/>
          <w:highlight w:val="none"/>
          <w:lang w:val="en-US" w:eastAsia="zh-CN" w:bidi="ar-SA"/>
        </w:rPr>
        <w:t>二</w:t>
      </w:r>
      <w:r>
        <w:rPr>
          <w:rFonts w:hint="eastAsia" w:eastAsia="宋体" w:asciiTheme="majorHAnsi" w:hAnsiTheme="majorHAnsi" w:cstheme="majorBidi"/>
          <w:b/>
          <w:bCs/>
          <w:color w:val="auto"/>
          <w:kern w:val="2"/>
          <w:sz w:val="28"/>
          <w:szCs w:val="28"/>
          <w:highlight w:val="none"/>
          <w:lang w:val="en-US" w:eastAsia="zh-CN" w:bidi="ar-SA"/>
        </w:rPr>
        <w:t>、</w:t>
      </w:r>
      <w:bookmarkEnd w:id="333"/>
      <w:bookmarkEnd w:id="334"/>
      <w:bookmarkEnd w:id="335"/>
      <w:bookmarkEnd w:id="336"/>
      <w:bookmarkEnd w:id="337"/>
      <w:bookmarkEnd w:id="338"/>
      <w:bookmarkStart w:id="340" w:name="_Toc155185931"/>
      <w:bookmarkStart w:id="341" w:name="_Toc163492924"/>
      <w:r>
        <w:rPr>
          <w:rFonts w:hint="eastAsia" w:eastAsia="宋体" w:asciiTheme="majorHAnsi" w:hAnsiTheme="majorHAnsi" w:cstheme="majorBidi"/>
          <w:b/>
          <w:bCs/>
          <w:color w:val="auto"/>
          <w:kern w:val="2"/>
          <w:sz w:val="28"/>
          <w:szCs w:val="28"/>
          <w:highlight w:val="none"/>
          <w:lang w:val="zh-CN" w:eastAsia="zh-CN" w:bidi="ar-SA"/>
        </w:rPr>
        <w:t>联合体协议书</w:t>
      </w:r>
      <w:bookmarkEnd w:id="340"/>
      <w:r>
        <w:rPr>
          <w:rFonts w:hint="eastAsia" w:ascii="宋体" w:hAnsi="宋体" w:eastAsia="宋体" w:cstheme="minorBidi"/>
          <w:b w:val="0"/>
          <w:bCs w:val="0"/>
          <w:color w:val="auto"/>
          <w:kern w:val="2"/>
          <w:sz w:val="28"/>
          <w:szCs w:val="28"/>
          <w:highlight w:val="none"/>
          <w:lang w:val="zh-CN" w:eastAsia="zh-CN" w:bidi="ar-SA"/>
        </w:rPr>
        <w:t>【如适用】</w:t>
      </w:r>
      <w:bookmarkEnd w:id="339"/>
      <w:bookmarkEnd w:id="341"/>
    </w:p>
    <w:p w14:paraId="39563C7F">
      <w:pPr>
        <w:snapToGrid w:val="0"/>
        <w:spacing w:line="360" w:lineRule="auto"/>
        <w:jc w:val="center"/>
        <w:outlineLvl w:val="0"/>
        <w:rPr>
          <w:rFonts w:hint="eastAsia" w:ascii="宋体" w:hAnsi="宋体" w:cs="宋体"/>
          <w:b/>
          <w:color w:val="auto"/>
          <w:kern w:val="0"/>
          <w:sz w:val="32"/>
          <w:szCs w:val="32"/>
          <w:highlight w:val="none"/>
        </w:rPr>
      </w:pPr>
    </w:p>
    <w:p w14:paraId="7BBF9D1F">
      <w:pPr>
        <w:snapToGrid w:val="0"/>
        <w:spacing w:line="360" w:lineRule="auto"/>
        <w:jc w:val="center"/>
        <w:outlineLvl w:val="0"/>
        <w:rPr>
          <w:rFonts w:hint="eastAsia" w:ascii="宋体" w:hAnsi="宋体" w:cs="宋体"/>
          <w:b/>
          <w:color w:val="auto"/>
          <w:kern w:val="0"/>
          <w:sz w:val="32"/>
          <w:szCs w:val="32"/>
          <w:highlight w:val="none"/>
        </w:rPr>
      </w:pPr>
      <w:bookmarkStart w:id="342" w:name="_Toc17246"/>
      <w:r>
        <w:rPr>
          <w:rFonts w:hint="eastAsia" w:ascii="宋体" w:hAnsi="宋体" w:cs="宋体"/>
          <w:b/>
          <w:color w:val="auto"/>
          <w:kern w:val="0"/>
          <w:sz w:val="32"/>
          <w:szCs w:val="32"/>
          <w:highlight w:val="none"/>
        </w:rPr>
        <w:t>联合体协议书</w:t>
      </w:r>
      <w:bookmarkEnd w:id="342"/>
    </w:p>
    <w:p w14:paraId="67954623">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w:t>
      </w:r>
      <w:r>
        <w:rPr>
          <w:rFonts w:hint="eastAsia" w:cs="宋体"/>
          <w:b/>
          <w:color w:val="auto"/>
          <w:sz w:val="24"/>
          <w:highlight w:val="none"/>
          <w:lang w:val="en-US" w:eastAsia="zh-CN"/>
        </w:rPr>
        <w:t>体</w:t>
      </w:r>
      <w:r>
        <w:rPr>
          <w:rFonts w:hint="eastAsia" w:ascii="宋体" w:hAnsi="宋体" w:cs="宋体"/>
          <w:b/>
          <w:color w:val="auto"/>
          <w:sz w:val="24"/>
          <w:highlight w:val="none"/>
        </w:rPr>
        <w:t>协议</w:t>
      </w:r>
      <w:r>
        <w:rPr>
          <w:rFonts w:hint="eastAsia" w:cs="宋体"/>
          <w:b/>
          <w:color w:val="auto"/>
          <w:sz w:val="24"/>
          <w:highlight w:val="none"/>
          <w:lang w:val="en-US" w:eastAsia="zh-CN"/>
        </w:rPr>
        <w:t>书</w:t>
      </w:r>
      <w:r>
        <w:rPr>
          <w:rFonts w:hint="eastAsia" w:ascii="宋体" w:hAnsi="宋体" w:cs="宋体"/>
          <w:b/>
          <w:color w:val="auto"/>
          <w:sz w:val="24"/>
          <w:highlight w:val="none"/>
        </w:rPr>
        <w:t>；本项目不接受联合体投标或者投标人不以联合体形式投标的，则不需要提供）</w:t>
      </w:r>
    </w:p>
    <w:p w14:paraId="14187E6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rPr>
        <w:t>（项目名称）【</w:t>
      </w:r>
      <w:r>
        <w:rPr>
          <w:rFonts w:hint="eastAsia" w:cs="宋体"/>
          <w:color w:val="auto"/>
          <w:sz w:val="24"/>
          <w:highlight w:val="none"/>
          <w:lang w:val="en-US" w:eastAsia="zh-CN"/>
        </w:rPr>
        <w:t>项目</w:t>
      </w:r>
      <w:r>
        <w:rPr>
          <w:rFonts w:hint="eastAsia" w:ascii="宋体" w:hAnsi="宋体" w:cs="宋体"/>
          <w:color w:val="auto"/>
          <w:sz w:val="24"/>
          <w:highlight w:val="none"/>
        </w:rPr>
        <w:t>编号</w:t>
      </w:r>
      <w:r>
        <w:rPr>
          <w:rFonts w:hint="eastAsia" w:cs="宋体"/>
          <w:color w:val="auto"/>
          <w:sz w:val="24"/>
          <w:highlight w:val="none"/>
          <w:lang w:val="en-US" w:eastAsia="zh-CN"/>
        </w:rPr>
        <w:t>/包号</w:t>
      </w:r>
      <w:r>
        <w:rPr>
          <w:rFonts w:hint="eastAsia" w:ascii="宋体" w:hAnsi="宋体" w:cs="宋体"/>
          <w:color w:val="auto"/>
          <w:sz w:val="24"/>
          <w:highlight w:val="none"/>
        </w:rPr>
        <w:t>：</w:t>
      </w:r>
      <w:r>
        <w:rPr>
          <w:rFonts w:hint="eastAsia" w:cs="宋体"/>
          <w:color w:val="auto"/>
          <w:sz w:val="24"/>
          <w:highlight w:val="non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投标。 </w:t>
      </w:r>
    </w:p>
    <w:p w14:paraId="682E874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2FA3C75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94C756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5742291A">
      <w:pPr>
        <w:snapToGrid w:val="0"/>
        <w:spacing w:line="360" w:lineRule="auto"/>
        <w:ind w:firstLine="576"/>
        <w:rPr>
          <w:rFonts w:ascii="宋体" w:hAnsi="宋体" w:cs="宋体"/>
          <w:color w:val="auto"/>
          <w:kern w:val="0"/>
          <w:sz w:val="24"/>
          <w:highlight w:val="none"/>
          <w:lang w:val="zh-CN"/>
        </w:rPr>
      </w:pPr>
      <w:bookmarkStart w:id="343"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承担</w:t>
      </w:r>
      <w:r>
        <w:rPr>
          <w:rFonts w:hint="eastAsia" w:ascii="宋体" w:hAnsi="宋体" w:cs="宋体"/>
          <w:color w:val="auto"/>
          <w:kern w:val="0"/>
          <w:sz w:val="24"/>
          <w:highlight w:val="none"/>
          <w:lang w:val="en-US" w:eastAsia="zh-CN"/>
        </w:rPr>
        <w:t>项目采购合同金额的</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，负责</w:t>
      </w:r>
      <w:r>
        <w:rPr>
          <w:rFonts w:hint="eastAsia" w:ascii="宋体" w:hAnsi="宋体" w:cs="宋体"/>
          <w:color w:val="auto"/>
          <w:kern w:val="0"/>
          <w:sz w:val="24"/>
          <w:highlight w:val="none"/>
          <w:lang w:val="zh-CN"/>
        </w:rPr>
        <w:t>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51F758B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承担</w:t>
      </w:r>
      <w:r>
        <w:rPr>
          <w:rFonts w:hint="eastAsia" w:ascii="宋体" w:hAnsi="宋体" w:cs="宋体"/>
          <w:color w:val="auto"/>
          <w:kern w:val="0"/>
          <w:sz w:val="24"/>
          <w:highlight w:val="none"/>
          <w:lang w:val="en-US" w:eastAsia="zh-CN"/>
        </w:rPr>
        <w:t>项目采购合同金额的</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，负责</w:t>
      </w:r>
      <w:r>
        <w:rPr>
          <w:rFonts w:hint="eastAsia" w:ascii="宋体" w:hAnsi="宋体" w:cs="宋体"/>
          <w:color w:val="auto"/>
          <w:kern w:val="0"/>
          <w:sz w:val="24"/>
          <w:highlight w:val="none"/>
          <w:lang w:val="zh-CN"/>
        </w:rPr>
        <w:t>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6E4350A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343"/>
    <w:p w14:paraId="417425E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40493970">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w:t>
      </w:r>
      <w:r>
        <w:rPr>
          <w:rFonts w:hint="eastAsia" w:cs="宋体"/>
          <w:b/>
          <w:color w:val="auto"/>
          <w:kern w:val="0"/>
          <w:sz w:val="24"/>
          <w:highlight w:val="none"/>
          <w:lang w:val="en-US" w:eastAsia="zh-CN"/>
        </w:rPr>
        <w:t>体</w:t>
      </w:r>
      <w:r>
        <w:rPr>
          <w:rFonts w:hint="eastAsia" w:ascii="宋体" w:hAnsi="宋体" w:cs="宋体"/>
          <w:b/>
          <w:color w:val="auto"/>
          <w:kern w:val="0"/>
          <w:sz w:val="24"/>
          <w:highlight w:val="none"/>
          <w:lang w:val="zh-CN"/>
        </w:rPr>
        <w:t>协议</w:t>
      </w:r>
      <w:r>
        <w:rPr>
          <w:rFonts w:hint="eastAsia" w:cs="宋体"/>
          <w:b/>
          <w:color w:val="auto"/>
          <w:kern w:val="0"/>
          <w:sz w:val="24"/>
          <w:highlight w:val="none"/>
          <w:lang w:val="en-US" w:eastAsia="zh-CN"/>
        </w:rPr>
        <w:t>书</w:t>
      </w:r>
      <w:r>
        <w:rPr>
          <w:rFonts w:hint="eastAsia" w:ascii="宋体" w:hAnsi="宋体" w:cs="宋体"/>
          <w:b/>
          <w:color w:val="auto"/>
          <w:kern w:val="0"/>
          <w:sz w:val="24"/>
          <w:highlight w:val="none"/>
          <w:lang w:val="zh-CN"/>
        </w:rPr>
        <w:t>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1C0B640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w:t>
      </w:r>
      <w:r>
        <w:rPr>
          <w:rFonts w:hint="eastAsia" w:cs="宋体"/>
          <w:b/>
          <w:bCs/>
          <w:color w:val="auto"/>
          <w:sz w:val="24"/>
          <w:highlight w:val="none"/>
          <w:lang w:val="en-US" w:eastAsia="zh-CN"/>
        </w:rPr>
        <w:t>体</w:t>
      </w:r>
      <w:r>
        <w:rPr>
          <w:rFonts w:hint="eastAsia" w:ascii="宋体" w:hAnsi="宋体" w:cs="宋体"/>
          <w:b/>
          <w:bCs/>
          <w:color w:val="auto"/>
          <w:sz w:val="24"/>
          <w:highlight w:val="none"/>
        </w:rPr>
        <w:t>协议</w:t>
      </w:r>
      <w:r>
        <w:rPr>
          <w:rFonts w:hint="eastAsia" w:cs="宋体"/>
          <w:b/>
          <w:bCs/>
          <w:color w:val="auto"/>
          <w:sz w:val="24"/>
          <w:highlight w:val="none"/>
          <w:lang w:val="en-US" w:eastAsia="zh-CN"/>
        </w:rPr>
        <w:t>书</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p>
    <w:p w14:paraId="1EC462A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w:t>
      </w:r>
      <w:r>
        <w:rPr>
          <w:rFonts w:hint="eastAsia" w:ascii="宋体" w:hAnsi="宋体" w:cs="宋体"/>
          <w:color w:val="auto"/>
          <w:sz w:val="24"/>
          <w:highlight w:val="none"/>
          <w:lang w:val="en-US" w:eastAsia="zh-CN"/>
        </w:rPr>
        <w:t>采购</w:t>
      </w:r>
      <w:r>
        <w:rPr>
          <w:rFonts w:hint="eastAsia" w:ascii="宋体" w:hAnsi="宋体" w:cs="宋体"/>
          <w:color w:val="auto"/>
          <w:sz w:val="24"/>
          <w:highlight w:val="none"/>
        </w:rPr>
        <w:t>合同，并就采购合同约定的事项对采购人承担连带责任。</w:t>
      </w:r>
    </w:p>
    <w:p w14:paraId="0B6A82F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518CE91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23C062C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0DAC4003">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5B293209">
      <w:pPr>
        <w:snapToGrid w:val="0"/>
        <w:spacing w:line="360" w:lineRule="auto"/>
        <w:ind w:firstLine="576"/>
        <w:rPr>
          <w:rFonts w:hint="eastAsia" w:ascii="宋体" w:hAnsi="宋体" w:cs="宋体"/>
          <w:color w:val="auto"/>
          <w:kern w:val="0"/>
          <w:sz w:val="24"/>
          <w:highlight w:val="none"/>
          <w:lang w:val="zh-CN"/>
        </w:rPr>
      </w:pPr>
      <w:r>
        <w:rPr>
          <w:rFonts w:hint="eastAsia" w:cs="宋体"/>
          <w:color w:val="auto"/>
          <w:kern w:val="0"/>
          <w:sz w:val="24"/>
          <w:highlight w:val="none"/>
          <w:lang w:val="en-US" w:eastAsia="zh-CN"/>
        </w:rPr>
        <w:t>4、</w:t>
      </w:r>
      <w:r>
        <w:rPr>
          <w:rFonts w:hint="eastAsia" w:ascii="宋体" w:hAnsi="宋体" w:cs="宋体"/>
          <w:color w:val="auto"/>
          <w:kern w:val="0"/>
          <w:sz w:val="24"/>
          <w:highlight w:val="none"/>
          <w:lang w:val="zh-CN"/>
        </w:rPr>
        <w:t>其他：……</w:t>
      </w:r>
    </w:p>
    <w:p w14:paraId="43009373">
      <w:pPr>
        <w:snapToGrid w:val="0"/>
        <w:spacing w:line="360" w:lineRule="auto"/>
        <w:ind w:firstLine="576"/>
        <w:rPr>
          <w:rFonts w:hint="eastAsia" w:ascii="宋体" w:hAnsi="宋体" w:cs="宋体"/>
          <w:color w:val="auto"/>
          <w:kern w:val="0"/>
          <w:sz w:val="24"/>
          <w:highlight w:val="none"/>
          <w:lang w:val="zh-CN"/>
        </w:rPr>
      </w:pPr>
      <w:r>
        <w:rPr>
          <w:rFonts w:hint="eastAsia" w:cs="宋体"/>
          <w:color w:val="auto"/>
          <w:kern w:val="0"/>
          <w:sz w:val="24"/>
          <w:highlight w:val="none"/>
          <w:lang w:val="en-US" w:eastAsia="zh-CN"/>
        </w:rPr>
        <w:t>5、</w:t>
      </w:r>
      <w:r>
        <w:rPr>
          <w:rFonts w:hint="eastAsia" w:ascii="宋体" w:hAnsi="宋体" w:cs="宋体"/>
          <w:color w:val="auto"/>
          <w:kern w:val="0"/>
          <w:sz w:val="24"/>
          <w:highlight w:val="none"/>
          <w:lang w:val="zh-CN"/>
        </w:rPr>
        <w:t>本协议书自签署之日起生效，若未中标，自本次投标有效期结束后自行失效；若中标，自合同书规定的期限之后自行失效。</w:t>
      </w:r>
    </w:p>
    <w:p w14:paraId="580F475F">
      <w:pPr>
        <w:snapToGrid w:val="0"/>
        <w:spacing w:line="360" w:lineRule="auto"/>
        <w:ind w:firstLine="576"/>
        <w:rPr>
          <w:rFonts w:hint="eastAsia" w:ascii="宋体" w:hAnsi="宋体" w:cs="宋体"/>
          <w:color w:val="auto"/>
          <w:kern w:val="0"/>
          <w:sz w:val="24"/>
          <w:highlight w:val="none"/>
          <w:lang w:val="zh-CN"/>
        </w:rPr>
      </w:pPr>
      <w:r>
        <w:rPr>
          <w:rFonts w:hint="eastAsia" w:cs="宋体"/>
          <w:color w:val="auto"/>
          <w:kern w:val="0"/>
          <w:sz w:val="24"/>
          <w:highlight w:val="none"/>
          <w:lang w:val="en-US" w:eastAsia="zh-CN"/>
        </w:rPr>
        <w:t>6、</w:t>
      </w:r>
      <w:r>
        <w:rPr>
          <w:rFonts w:hint="eastAsia" w:ascii="宋体" w:hAnsi="宋体" w:cs="宋体"/>
          <w:color w:val="auto"/>
          <w:kern w:val="0"/>
          <w:sz w:val="24"/>
          <w:highlight w:val="none"/>
          <w:lang w:val="zh-CN"/>
        </w:rPr>
        <w:t>本协议书正本一式</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份，联合体成员各执</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份；副本一式</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份，联合体成员各执</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w:t>
      </w:r>
    </w:p>
    <w:p w14:paraId="1797DC92">
      <w:pPr>
        <w:pStyle w:val="3"/>
        <w:rPr>
          <w:color w:val="auto"/>
          <w:highlight w:val="none"/>
          <w:lang w:val="zh-CN"/>
        </w:rPr>
      </w:pPr>
    </w:p>
    <w:p w14:paraId="6A1B5B57">
      <w:pPr>
        <w:snapToGrid w:val="0"/>
        <w:spacing w:line="360" w:lineRule="auto"/>
        <w:ind w:firstLine="3840" w:firstLineChars="16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w:t>
      </w: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lang w:val="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21DBA726">
      <w:pPr>
        <w:snapToGrid w:val="0"/>
        <w:spacing w:line="360" w:lineRule="auto"/>
        <w:ind w:firstLine="3840" w:firstLineChars="16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lang w:val="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2C01AA77">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64D03F6B">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69BB115A">
      <w:pPr>
        <w:spacing w:line="360" w:lineRule="auto"/>
        <w:ind w:right="420"/>
        <w:rPr>
          <w:rFonts w:ascii="宋体" w:hAnsi="宋体" w:cs="宋体"/>
          <w:color w:val="auto"/>
          <w:sz w:val="21"/>
          <w:szCs w:val="21"/>
          <w:highlight w:val="none"/>
        </w:rPr>
      </w:pPr>
      <w:r>
        <w:rPr>
          <w:rFonts w:hint="eastAsia" w:ascii="宋体" w:hAnsi="宋体" w:cs="宋体"/>
          <w:color w:val="auto"/>
          <w:sz w:val="21"/>
          <w:szCs w:val="21"/>
          <w:highlight w:val="none"/>
        </w:rPr>
        <w:t>注：按本格式和要求提供。</w:t>
      </w:r>
    </w:p>
    <w:p w14:paraId="68A2ACB2">
      <w:pPr>
        <w:keepNext w:val="0"/>
        <w:keepLines w:val="0"/>
        <w:pageBreakBefore w:val="0"/>
        <w:kinsoku/>
        <w:overflowPunct/>
        <w:topLinePunct w:val="0"/>
        <w:autoSpaceDE/>
        <w:autoSpaceDN/>
        <w:bidi w:val="0"/>
        <w:spacing w:before="157" w:beforeLines="50" w:after="157" w:afterLines="50"/>
        <w:ind w:left="2520" w:leftChars="1050"/>
        <w:textAlignment w:val="auto"/>
        <w:rPr>
          <w:rFonts w:cs="Tahoma"/>
          <w:color w:val="auto"/>
          <w:highlight w:val="none"/>
          <w:u w:val="single"/>
        </w:rPr>
      </w:pPr>
      <w:r>
        <w:rPr>
          <w:rFonts w:cs="Tahoma"/>
          <w:color w:val="auto"/>
          <w:highlight w:val="none"/>
          <w:u w:val="single"/>
        </w:rPr>
        <w:br w:type="page"/>
      </w:r>
    </w:p>
    <w:p w14:paraId="01005797">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zh-CN" w:eastAsia="zh-CN" w:bidi="ar-SA"/>
        </w:rPr>
      </w:pPr>
      <w:bookmarkStart w:id="344" w:name="_Toc163492925"/>
      <w:bookmarkStart w:id="345" w:name="_Toc156490356"/>
      <w:bookmarkStart w:id="346" w:name="_Toc162299566"/>
      <w:bookmarkStart w:id="347" w:name="_Toc4768"/>
      <w:r>
        <w:rPr>
          <w:rFonts w:hint="eastAsia" w:cstheme="majorBidi"/>
          <w:b/>
          <w:bCs/>
          <w:color w:val="auto"/>
          <w:kern w:val="2"/>
          <w:sz w:val="28"/>
          <w:szCs w:val="28"/>
          <w:highlight w:val="none"/>
          <w:lang w:val="en-US" w:eastAsia="zh-CN" w:bidi="ar-SA"/>
        </w:rPr>
        <w:t>三</w:t>
      </w:r>
      <w:r>
        <w:rPr>
          <w:rFonts w:hint="eastAsia" w:eastAsia="宋体" w:asciiTheme="majorHAnsi" w:hAnsiTheme="majorHAnsi" w:cstheme="majorBidi"/>
          <w:b/>
          <w:bCs/>
          <w:color w:val="auto"/>
          <w:kern w:val="2"/>
          <w:sz w:val="28"/>
          <w:szCs w:val="28"/>
          <w:highlight w:val="none"/>
          <w:lang w:val="en-US" w:eastAsia="zh-CN" w:bidi="ar-SA"/>
        </w:rPr>
        <w:t>、</w:t>
      </w:r>
      <w:r>
        <w:rPr>
          <w:rFonts w:hint="eastAsia" w:eastAsia="宋体" w:asciiTheme="majorHAnsi" w:hAnsiTheme="majorHAnsi" w:cstheme="majorBidi"/>
          <w:b/>
          <w:bCs/>
          <w:color w:val="auto"/>
          <w:kern w:val="2"/>
          <w:sz w:val="28"/>
          <w:szCs w:val="28"/>
          <w:highlight w:val="none"/>
          <w:lang w:val="zh-CN" w:eastAsia="zh-CN" w:bidi="ar-SA"/>
        </w:rPr>
        <w:t>分包意向协议书</w:t>
      </w:r>
      <w:r>
        <w:rPr>
          <w:rFonts w:hint="eastAsia" w:ascii="宋体" w:hAnsi="宋体" w:eastAsia="宋体" w:cstheme="minorBidi"/>
          <w:b w:val="0"/>
          <w:bCs w:val="0"/>
          <w:color w:val="auto"/>
          <w:kern w:val="2"/>
          <w:sz w:val="28"/>
          <w:szCs w:val="28"/>
          <w:highlight w:val="none"/>
          <w:lang w:val="zh-CN" w:eastAsia="zh-CN" w:bidi="ar-SA"/>
        </w:rPr>
        <w:t>【如适用】</w:t>
      </w:r>
      <w:bookmarkEnd w:id="344"/>
      <w:bookmarkEnd w:id="345"/>
      <w:bookmarkEnd w:id="346"/>
      <w:bookmarkEnd w:id="347"/>
    </w:p>
    <w:p w14:paraId="72EF9FB2">
      <w:pPr>
        <w:snapToGrid w:val="0"/>
        <w:spacing w:line="360" w:lineRule="auto"/>
        <w:jc w:val="center"/>
        <w:outlineLvl w:val="0"/>
        <w:rPr>
          <w:rFonts w:hint="eastAsia" w:ascii="宋体" w:hAnsi="宋体" w:cs="宋体"/>
          <w:b/>
          <w:color w:val="auto"/>
          <w:kern w:val="0"/>
          <w:sz w:val="32"/>
          <w:szCs w:val="32"/>
          <w:highlight w:val="none"/>
        </w:rPr>
      </w:pPr>
      <w:bookmarkStart w:id="348" w:name="_Hlk101169080"/>
    </w:p>
    <w:p w14:paraId="3FDEAFA2">
      <w:pPr>
        <w:snapToGrid w:val="0"/>
        <w:spacing w:line="360" w:lineRule="auto"/>
        <w:jc w:val="center"/>
        <w:outlineLvl w:val="0"/>
        <w:rPr>
          <w:rFonts w:hint="eastAsia" w:ascii="宋体" w:hAnsi="宋体" w:eastAsia="宋体" w:cs="宋体"/>
          <w:b/>
          <w:color w:val="auto"/>
          <w:kern w:val="0"/>
          <w:sz w:val="32"/>
          <w:szCs w:val="32"/>
          <w:highlight w:val="none"/>
          <w:lang w:val="en-US" w:eastAsia="zh-CN"/>
        </w:rPr>
      </w:pPr>
      <w:bookmarkStart w:id="349" w:name="_Toc1771"/>
      <w:r>
        <w:rPr>
          <w:rFonts w:hint="eastAsia" w:ascii="宋体" w:hAnsi="宋体" w:cs="宋体"/>
          <w:b/>
          <w:color w:val="auto"/>
          <w:kern w:val="0"/>
          <w:sz w:val="32"/>
          <w:szCs w:val="32"/>
          <w:highlight w:val="none"/>
        </w:rPr>
        <w:t>分包意向协议</w:t>
      </w:r>
      <w:r>
        <w:rPr>
          <w:rFonts w:hint="eastAsia" w:ascii="宋体" w:hAnsi="宋体" w:cs="宋体"/>
          <w:b/>
          <w:color w:val="auto"/>
          <w:kern w:val="0"/>
          <w:sz w:val="32"/>
          <w:szCs w:val="32"/>
          <w:highlight w:val="none"/>
          <w:lang w:val="en-US" w:eastAsia="zh-CN"/>
        </w:rPr>
        <w:t>书</w:t>
      </w:r>
      <w:bookmarkEnd w:id="349"/>
    </w:p>
    <w:p w14:paraId="4E9F0BF4">
      <w:pPr>
        <w:widowControl/>
        <w:spacing w:line="360" w:lineRule="auto"/>
        <w:ind w:firstLine="120" w:firstLineChars="50"/>
        <w:jc w:val="left"/>
        <w:rPr>
          <w:rFonts w:hint="eastAsia" w:ascii="宋体" w:hAnsi="宋体" w:eastAsia="宋体" w:cs="宋体"/>
          <w:color w:val="auto"/>
          <w:sz w:val="24"/>
          <w:highlight w:val="none"/>
          <w:lang w:eastAsia="zh-CN"/>
        </w:rPr>
      </w:pPr>
      <w:r>
        <w:rPr>
          <w:rFonts w:hint="eastAsia" w:cs="宋体"/>
          <w:color w:val="auto"/>
          <w:sz w:val="24"/>
          <w:highlight w:val="none"/>
          <w:lang w:eastAsia="zh-CN"/>
        </w:rPr>
        <w:t>【</w:t>
      </w:r>
      <w:r>
        <w:rPr>
          <w:rFonts w:hint="eastAsia" w:ascii="宋体" w:hAnsi="宋体" w:cs="宋体"/>
          <w:b/>
          <w:color w:val="auto"/>
          <w:sz w:val="24"/>
          <w:highlight w:val="none"/>
        </w:rPr>
        <w:t>中标后以分包方式履行合同的，提供分包意向协议</w:t>
      </w:r>
      <w:r>
        <w:rPr>
          <w:rFonts w:hint="eastAsia" w:cs="宋体"/>
          <w:b/>
          <w:color w:val="auto"/>
          <w:sz w:val="24"/>
          <w:highlight w:val="none"/>
          <w:lang w:val="en-US" w:eastAsia="zh-CN"/>
        </w:rPr>
        <w:t>书</w:t>
      </w:r>
      <w:r>
        <w:rPr>
          <w:rFonts w:hint="eastAsia" w:ascii="宋体" w:hAnsi="宋体" w:cs="宋体"/>
          <w:b/>
          <w:color w:val="auto"/>
          <w:sz w:val="24"/>
          <w:highlight w:val="none"/>
        </w:rPr>
        <w:t>；采购人不同意分包或者投标人中标后不以分包方式履行合同的，则不需要提供。</w:t>
      </w:r>
      <w:r>
        <w:rPr>
          <w:rFonts w:hint="eastAsia" w:cs="宋体"/>
          <w:color w:val="auto"/>
          <w:sz w:val="24"/>
          <w:highlight w:val="none"/>
          <w:lang w:eastAsia="zh-CN"/>
        </w:rPr>
        <w:t>】</w:t>
      </w:r>
    </w:p>
    <w:p w14:paraId="5791A45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rPr>
        <w:t>（项目名称）【</w:t>
      </w:r>
      <w:r>
        <w:rPr>
          <w:rFonts w:hint="eastAsia" w:cs="宋体"/>
          <w:color w:val="auto"/>
          <w:sz w:val="24"/>
          <w:highlight w:val="none"/>
          <w:lang w:val="en-US" w:eastAsia="zh-CN"/>
        </w:rPr>
        <w:t>项目</w:t>
      </w:r>
      <w:r>
        <w:rPr>
          <w:rFonts w:hint="eastAsia" w:ascii="宋体" w:hAnsi="宋体" w:cs="宋体"/>
          <w:color w:val="auto"/>
          <w:sz w:val="24"/>
          <w:highlight w:val="none"/>
        </w:rPr>
        <w:t>编号</w:t>
      </w:r>
      <w:r>
        <w:rPr>
          <w:rFonts w:hint="eastAsia" w:cs="宋体"/>
          <w:color w:val="auto"/>
          <w:sz w:val="24"/>
          <w:highlight w:val="none"/>
          <w:lang w:val="en-US" w:eastAsia="zh-CN"/>
        </w:rPr>
        <w:t>/包号</w:t>
      </w:r>
      <w:r>
        <w:rPr>
          <w:rFonts w:hint="eastAsia" w:ascii="宋体" w:hAnsi="宋体" w:cs="宋体"/>
          <w:color w:val="auto"/>
          <w:sz w:val="24"/>
          <w:highlight w:val="none"/>
        </w:rPr>
        <w:t>：</w:t>
      </w:r>
      <w:r>
        <w:rPr>
          <w:rFonts w:hint="eastAsia" w:cs="宋体"/>
          <w:color w:val="auto"/>
          <w:sz w:val="24"/>
          <w:highlight w:val="non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cs="宋体"/>
          <w:color w:val="auto"/>
          <w:kern w:val="0"/>
          <w:sz w:val="24"/>
          <w:highlight w:val="none"/>
          <w:lang w:val="en-US" w:eastAsia="zh-CN"/>
        </w:rPr>
        <w:t>书</w:t>
      </w:r>
      <w:r>
        <w:rPr>
          <w:rFonts w:hint="eastAsia" w:ascii="宋体" w:hAnsi="宋体" w:cs="宋体"/>
          <w:color w:val="auto"/>
          <w:kern w:val="0"/>
          <w:sz w:val="24"/>
          <w:highlight w:val="none"/>
          <w:lang w:val="zh-CN"/>
        </w:rPr>
        <w:t xml:space="preserve">。 </w:t>
      </w:r>
    </w:p>
    <w:p w14:paraId="545E907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5E08737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37B916C5">
      <w:pPr>
        <w:pStyle w:val="3"/>
        <w:tabs>
          <w:tab w:val="left" w:pos="432"/>
        </w:tabs>
        <w:ind w:left="758" w:leftChars="316" w:firstLine="229" w:firstLineChars="95"/>
        <w:rPr>
          <w:rFonts w:ascii="宋体" w:hAnsi="宋体" w:eastAsia="宋体" w:cs="宋体"/>
          <w:color w:val="auto"/>
          <w:kern w:val="0"/>
          <w:sz w:val="24"/>
          <w:szCs w:val="24"/>
          <w:highlight w:val="none"/>
        </w:rPr>
      </w:pPr>
      <w:bookmarkStart w:id="350" w:name="_Toc22084"/>
      <w:r>
        <w:rPr>
          <w:rFonts w:hint="eastAsia" w:ascii="宋体" w:hAnsi="宋体" w:eastAsia="宋体" w:cs="宋体"/>
          <w:color w:val="auto"/>
          <w:kern w:val="0"/>
          <w:sz w:val="24"/>
          <w:szCs w:val="24"/>
          <w:highlight w:val="none"/>
        </w:rPr>
        <w:t>……</w:t>
      </w:r>
      <w:bookmarkEnd w:id="350"/>
    </w:p>
    <w:p w14:paraId="0426889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14:paraId="188898B5">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w:t>
      </w:r>
      <w:r>
        <w:rPr>
          <w:rFonts w:hint="eastAsia" w:cs="宋体"/>
          <w:b/>
          <w:color w:val="auto"/>
          <w:kern w:val="0"/>
          <w:sz w:val="24"/>
          <w:highlight w:val="none"/>
          <w:lang w:val="en-US" w:eastAsia="zh-CN"/>
        </w:rPr>
        <w:t>书</w:t>
      </w:r>
      <w:r>
        <w:rPr>
          <w:rFonts w:hint="eastAsia" w:ascii="宋体" w:hAnsi="宋体" w:cs="宋体"/>
          <w:b/>
          <w:color w:val="auto"/>
          <w:kern w:val="0"/>
          <w:sz w:val="24"/>
          <w:highlight w:val="none"/>
          <w:lang w:val="zh-CN"/>
        </w:rPr>
        <w:t>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145FF207">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351"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cs="宋体"/>
          <w:b/>
          <w:color w:val="auto"/>
          <w:kern w:val="0"/>
          <w:sz w:val="24"/>
          <w:highlight w:val="none"/>
          <w:lang w:val="en-US" w:eastAsia="zh-CN"/>
        </w:rPr>
        <w:t>书</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351"/>
    </w:p>
    <w:p w14:paraId="51C56E7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7F26E4A3">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7925029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7369B1B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E7AB092">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632B92C8">
      <w:pPr>
        <w:snapToGrid w:val="0"/>
        <w:spacing w:line="360" w:lineRule="auto"/>
        <w:ind w:left="655"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C79FAF7">
      <w:pPr>
        <w:snapToGrid w:val="0"/>
        <w:spacing w:line="360" w:lineRule="auto"/>
        <w:ind w:left="655"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17F77B9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22CBB9B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5D83C45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2A9066DF">
      <w:pPr>
        <w:snapToGrid w:val="0"/>
        <w:spacing w:line="360" w:lineRule="auto"/>
        <w:ind w:left="5861"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665C464B">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102F6BD9">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22C38D7A">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49A2F910">
      <w:pPr>
        <w:spacing w:line="360" w:lineRule="auto"/>
        <w:ind w:right="420"/>
        <w:rPr>
          <w:rFonts w:ascii="宋体" w:hAnsi="宋体" w:cs="宋体"/>
          <w:color w:val="auto"/>
          <w:sz w:val="21"/>
          <w:szCs w:val="21"/>
          <w:highlight w:val="none"/>
        </w:rPr>
      </w:pPr>
      <w:r>
        <w:rPr>
          <w:rFonts w:hint="eastAsia" w:ascii="宋体" w:hAnsi="宋体" w:cs="宋体"/>
          <w:color w:val="auto"/>
          <w:sz w:val="21"/>
          <w:szCs w:val="21"/>
          <w:highlight w:val="none"/>
        </w:rPr>
        <w:t>注：按本格式和要求提供。</w:t>
      </w:r>
    </w:p>
    <w:p w14:paraId="7F0D76CC">
      <w:pPr>
        <w:topLinePunct/>
        <w:ind w:firstLine="480" w:firstLineChars="200"/>
        <w:rPr>
          <w:rFonts w:hint="eastAsia"/>
          <w:color w:val="auto"/>
          <w:szCs w:val="32"/>
          <w:highlight w:val="none"/>
        </w:rPr>
      </w:pPr>
    </w:p>
    <w:p w14:paraId="5F400CB9">
      <w:pPr>
        <w:topLinePunct/>
        <w:ind w:firstLine="480" w:firstLineChars="200"/>
        <w:rPr>
          <w:rFonts w:hint="eastAsia"/>
          <w:color w:val="auto"/>
          <w:szCs w:val="32"/>
          <w:highlight w:val="none"/>
        </w:rPr>
      </w:pPr>
    </w:p>
    <w:p w14:paraId="11CAF290">
      <w:pPr>
        <w:topLinePunct/>
        <w:ind w:firstLine="480" w:firstLineChars="200"/>
        <w:rPr>
          <w:rFonts w:hint="eastAsia"/>
          <w:color w:val="auto"/>
          <w:szCs w:val="32"/>
          <w:highlight w:val="none"/>
        </w:rPr>
      </w:pPr>
    </w:p>
    <w:p w14:paraId="35CFE103">
      <w:pPr>
        <w:topLinePunct/>
        <w:ind w:firstLine="480" w:firstLineChars="200"/>
        <w:rPr>
          <w:rFonts w:hint="eastAsia"/>
          <w:color w:val="auto"/>
          <w:szCs w:val="32"/>
          <w:highlight w:val="none"/>
        </w:rPr>
      </w:pPr>
    </w:p>
    <w:bookmarkEnd w:id="348"/>
    <w:p w14:paraId="5775F461">
      <w:pPr>
        <w:ind w:left="2520" w:leftChars="1050"/>
        <w:rPr>
          <w:color w:val="auto"/>
          <w:highlight w:val="none"/>
        </w:rPr>
      </w:pPr>
      <w:r>
        <w:rPr>
          <w:rFonts w:cs="Courier New"/>
          <w:color w:val="auto"/>
          <w:szCs w:val="24"/>
          <w:highlight w:val="none"/>
        </w:rPr>
        <w:br w:type="page"/>
      </w:r>
    </w:p>
    <w:p w14:paraId="674386CF">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352" w:name="_Toc163492926"/>
      <w:bookmarkStart w:id="353" w:name="_Toc155185932"/>
      <w:bookmarkStart w:id="354" w:name="_Toc11321"/>
      <w:r>
        <w:rPr>
          <w:rFonts w:hint="eastAsia" w:cstheme="majorBidi"/>
          <w:b/>
          <w:bCs/>
          <w:color w:val="auto"/>
          <w:kern w:val="2"/>
          <w:sz w:val="28"/>
          <w:szCs w:val="28"/>
          <w:highlight w:val="none"/>
          <w:lang w:val="en-US" w:eastAsia="zh-CN" w:bidi="ar-SA"/>
        </w:rPr>
        <w:t>四</w:t>
      </w:r>
      <w:r>
        <w:rPr>
          <w:rFonts w:hint="eastAsia" w:eastAsia="宋体" w:asciiTheme="majorHAnsi" w:hAnsiTheme="majorHAnsi" w:cstheme="majorBidi"/>
          <w:b/>
          <w:bCs/>
          <w:color w:val="auto"/>
          <w:kern w:val="2"/>
          <w:sz w:val="28"/>
          <w:szCs w:val="28"/>
          <w:highlight w:val="none"/>
          <w:lang w:val="en-US" w:eastAsia="zh-CN" w:bidi="ar-SA"/>
        </w:rPr>
        <w:t>、</w:t>
      </w:r>
      <w:bookmarkEnd w:id="352"/>
      <w:bookmarkEnd w:id="353"/>
      <w:r>
        <w:rPr>
          <w:rFonts w:hint="eastAsia" w:eastAsia="宋体" w:asciiTheme="majorHAnsi" w:hAnsiTheme="majorHAnsi" w:cstheme="majorBidi"/>
          <w:b/>
          <w:bCs/>
          <w:color w:val="auto"/>
          <w:kern w:val="2"/>
          <w:sz w:val="28"/>
          <w:szCs w:val="28"/>
          <w:highlight w:val="none"/>
          <w:lang w:val="en-US" w:eastAsia="zh-CN" w:bidi="ar-SA"/>
        </w:rPr>
        <w:t>落实政府采购政策相关证明文件</w:t>
      </w:r>
      <w:bookmarkEnd w:id="326"/>
      <w:bookmarkEnd w:id="354"/>
    </w:p>
    <w:p w14:paraId="41716825">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55" w:name="_Toc163492938"/>
      <w:r>
        <w:rPr>
          <w:rFonts w:hint="eastAsia" w:ascii="宋体" w:hAnsi="宋体" w:eastAsia="宋体" w:cs="宋体"/>
          <w:b/>
          <w:bCs/>
          <w:color w:val="auto"/>
          <w:kern w:val="2"/>
          <w:sz w:val="24"/>
          <w:szCs w:val="24"/>
          <w:highlight w:val="none"/>
          <w:lang w:val="en-US" w:eastAsia="zh-CN" w:bidi="ar-SA"/>
        </w:rPr>
        <w:t>（一）节能环保产品清单及证明材料</w:t>
      </w:r>
      <w:r>
        <w:rPr>
          <w:rFonts w:hint="eastAsia" w:ascii="宋体" w:hAnsi="宋体" w:eastAsia="宋体" w:cs="宋体"/>
          <w:b w:val="0"/>
          <w:bCs w:val="0"/>
          <w:color w:val="auto"/>
          <w:kern w:val="2"/>
          <w:sz w:val="24"/>
          <w:szCs w:val="24"/>
          <w:highlight w:val="none"/>
          <w:lang w:val="en-US" w:eastAsia="zh-CN" w:bidi="ar-SA"/>
        </w:rPr>
        <w:t>【如适用】</w:t>
      </w:r>
      <w:bookmarkEnd w:id="355"/>
    </w:p>
    <w:p w14:paraId="641C9B9A">
      <w:pPr>
        <w:spacing w:line="30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lang w:val="en-US" w:eastAsia="zh-CN"/>
        </w:rPr>
        <w:t>/包号</w:t>
      </w:r>
      <w:r>
        <w:rPr>
          <w:rFonts w:hint="eastAsia" w:ascii="宋体" w:hAnsi="宋体" w:eastAsia="宋体" w:cs="宋体"/>
          <w:color w:val="auto"/>
          <w:sz w:val="24"/>
          <w:szCs w:val="24"/>
          <w:highlight w:val="none"/>
        </w:rPr>
        <w:t>：</w:t>
      </w:r>
    </w:p>
    <w:p w14:paraId="47803A74">
      <w:pPr>
        <w:spacing w:line="30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节能产品</w:t>
      </w:r>
    </w:p>
    <w:tbl>
      <w:tblPr>
        <w:tblStyle w:val="30"/>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57"/>
        <w:gridCol w:w="1147"/>
        <w:gridCol w:w="972"/>
        <w:gridCol w:w="792"/>
        <w:gridCol w:w="696"/>
        <w:gridCol w:w="648"/>
        <w:gridCol w:w="1128"/>
        <w:gridCol w:w="1224"/>
        <w:gridCol w:w="1582"/>
      </w:tblGrid>
      <w:tr w14:paraId="32910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272F949B">
            <w:pPr>
              <w:pStyle w:val="50"/>
              <w:jc w:val="center"/>
              <w:rPr>
                <w:color w:val="auto"/>
                <w:sz w:val="21"/>
                <w:szCs w:val="21"/>
                <w:highlight w:val="none"/>
              </w:rPr>
            </w:pPr>
            <w:r>
              <w:rPr>
                <w:rFonts w:hint="eastAsia"/>
                <w:color w:val="auto"/>
                <w:sz w:val="21"/>
                <w:szCs w:val="21"/>
                <w:highlight w:val="none"/>
              </w:rPr>
              <w:t>序号</w:t>
            </w:r>
          </w:p>
        </w:tc>
        <w:tc>
          <w:tcPr>
            <w:tcW w:w="1147" w:type="dxa"/>
            <w:tcBorders>
              <w:top w:val="single" w:color="auto" w:sz="4" w:space="0"/>
              <w:left w:val="single" w:color="auto" w:sz="4" w:space="0"/>
              <w:bottom w:val="single" w:color="auto" w:sz="4" w:space="0"/>
              <w:right w:val="single" w:color="auto" w:sz="4" w:space="0"/>
            </w:tcBorders>
            <w:vAlign w:val="center"/>
          </w:tcPr>
          <w:p w14:paraId="40FC7763">
            <w:pPr>
              <w:pStyle w:val="50"/>
              <w:jc w:val="center"/>
              <w:rPr>
                <w:color w:val="auto"/>
                <w:sz w:val="21"/>
                <w:szCs w:val="21"/>
                <w:highlight w:val="none"/>
              </w:rPr>
            </w:pPr>
            <w:r>
              <w:rPr>
                <w:rFonts w:hint="eastAsia"/>
                <w:color w:val="auto"/>
                <w:sz w:val="21"/>
                <w:szCs w:val="21"/>
                <w:highlight w:val="none"/>
              </w:rPr>
              <w:t>设备名称</w:t>
            </w:r>
          </w:p>
        </w:tc>
        <w:tc>
          <w:tcPr>
            <w:tcW w:w="972" w:type="dxa"/>
            <w:tcBorders>
              <w:top w:val="single" w:color="auto" w:sz="4" w:space="0"/>
              <w:left w:val="single" w:color="auto" w:sz="4" w:space="0"/>
              <w:bottom w:val="single" w:color="auto" w:sz="4" w:space="0"/>
              <w:right w:val="single" w:color="auto" w:sz="4" w:space="0"/>
            </w:tcBorders>
            <w:vAlign w:val="center"/>
          </w:tcPr>
          <w:p w14:paraId="3633BCC6">
            <w:pPr>
              <w:pStyle w:val="50"/>
              <w:jc w:val="center"/>
              <w:rPr>
                <w:color w:val="auto"/>
                <w:sz w:val="21"/>
                <w:szCs w:val="21"/>
                <w:highlight w:val="none"/>
              </w:rPr>
            </w:pPr>
            <w:r>
              <w:rPr>
                <w:rFonts w:hint="eastAsia"/>
                <w:color w:val="auto"/>
                <w:sz w:val="21"/>
                <w:szCs w:val="21"/>
                <w:highlight w:val="none"/>
              </w:rPr>
              <w:t>制造商名称</w:t>
            </w:r>
          </w:p>
        </w:tc>
        <w:tc>
          <w:tcPr>
            <w:tcW w:w="792" w:type="dxa"/>
            <w:tcBorders>
              <w:top w:val="single" w:color="auto" w:sz="4" w:space="0"/>
              <w:left w:val="single" w:color="auto" w:sz="4" w:space="0"/>
              <w:bottom w:val="single" w:color="auto" w:sz="4" w:space="0"/>
              <w:right w:val="single" w:color="auto" w:sz="4" w:space="0"/>
            </w:tcBorders>
            <w:vAlign w:val="center"/>
          </w:tcPr>
          <w:p w14:paraId="7E976350">
            <w:pPr>
              <w:pStyle w:val="50"/>
              <w:jc w:val="center"/>
              <w:rPr>
                <w:color w:val="auto"/>
                <w:sz w:val="21"/>
                <w:szCs w:val="21"/>
                <w:highlight w:val="none"/>
              </w:rPr>
            </w:pPr>
            <w:r>
              <w:rPr>
                <w:rFonts w:hint="eastAsia"/>
                <w:color w:val="auto"/>
                <w:sz w:val="21"/>
                <w:szCs w:val="21"/>
                <w:highlight w:val="none"/>
              </w:rPr>
              <w:t>品牌</w:t>
            </w:r>
          </w:p>
        </w:tc>
        <w:tc>
          <w:tcPr>
            <w:tcW w:w="696" w:type="dxa"/>
            <w:tcBorders>
              <w:top w:val="single" w:color="auto" w:sz="4" w:space="0"/>
              <w:left w:val="single" w:color="auto" w:sz="4" w:space="0"/>
              <w:bottom w:val="single" w:color="auto" w:sz="4" w:space="0"/>
              <w:right w:val="single" w:color="auto" w:sz="4" w:space="0"/>
            </w:tcBorders>
            <w:vAlign w:val="center"/>
          </w:tcPr>
          <w:p w14:paraId="17DFEC52">
            <w:pPr>
              <w:pStyle w:val="50"/>
              <w:jc w:val="center"/>
              <w:rPr>
                <w:color w:val="auto"/>
                <w:sz w:val="21"/>
                <w:szCs w:val="21"/>
                <w:highlight w:val="none"/>
              </w:rPr>
            </w:pPr>
            <w:r>
              <w:rPr>
                <w:rFonts w:hint="eastAsia"/>
                <w:color w:val="auto"/>
                <w:sz w:val="21"/>
                <w:szCs w:val="21"/>
                <w:highlight w:val="none"/>
              </w:rPr>
              <w:t>型号</w:t>
            </w:r>
          </w:p>
        </w:tc>
        <w:tc>
          <w:tcPr>
            <w:tcW w:w="648" w:type="dxa"/>
            <w:tcBorders>
              <w:top w:val="single" w:color="auto" w:sz="4" w:space="0"/>
              <w:left w:val="single" w:color="auto" w:sz="4" w:space="0"/>
              <w:bottom w:val="single" w:color="auto" w:sz="4" w:space="0"/>
              <w:right w:val="single" w:color="auto" w:sz="4" w:space="0"/>
            </w:tcBorders>
            <w:vAlign w:val="center"/>
          </w:tcPr>
          <w:p w14:paraId="53A14857">
            <w:pPr>
              <w:pStyle w:val="50"/>
              <w:jc w:val="center"/>
              <w:rPr>
                <w:color w:val="auto"/>
                <w:sz w:val="21"/>
                <w:szCs w:val="21"/>
                <w:highlight w:val="none"/>
              </w:rPr>
            </w:pPr>
            <w:r>
              <w:rPr>
                <w:rFonts w:hint="eastAsia"/>
                <w:color w:val="auto"/>
                <w:sz w:val="21"/>
                <w:szCs w:val="21"/>
                <w:highlight w:val="none"/>
              </w:rPr>
              <w:t>数量</w:t>
            </w:r>
          </w:p>
        </w:tc>
        <w:tc>
          <w:tcPr>
            <w:tcW w:w="1128" w:type="dxa"/>
            <w:tcBorders>
              <w:top w:val="single" w:color="auto" w:sz="4" w:space="0"/>
              <w:left w:val="single" w:color="auto" w:sz="4" w:space="0"/>
              <w:bottom w:val="single" w:color="auto" w:sz="4" w:space="0"/>
              <w:right w:val="single" w:color="auto" w:sz="4" w:space="0"/>
            </w:tcBorders>
            <w:vAlign w:val="center"/>
          </w:tcPr>
          <w:p w14:paraId="3D34C27C">
            <w:pPr>
              <w:pStyle w:val="50"/>
              <w:jc w:val="center"/>
              <w:rPr>
                <w:color w:val="auto"/>
                <w:sz w:val="21"/>
                <w:szCs w:val="21"/>
                <w:highlight w:val="none"/>
              </w:rPr>
            </w:pPr>
            <w:r>
              <w:rPr>
                <w:rFonts w:hint="eastAsia"/>
                <w:color w:val="auto"/>
                <w:sz w:val="21"/>
                <w:szCs w:val="21"/>
                <w:highlight w:val="none"/>
              </w:rPr>
              <w:t>单价</w:t>
            </w:r>
          </w:p>
          <w:p w14:paraId="13DCA98A">
            <w:pPr>
              <w:pStyle w:val="50"/>
              <w:jc w:val="center"/>
              <w:rPr>
                <w:color w:val="auto"/>
                <w:sz w:val="21"/>
                <w:szCs w:val="21"/>
                <w:highlight w:val="none"/>
              </w:rPr>
            </w:pPr>
            <w:r>
              <w:rPr>
                <w:rFonts w:hint="eastAsia"/>
                <w:color w:val="auto"/>
                <w:sz w:val="21"/>
                <w:szCs w:val="21"/>
                <w:highlight w:val="none"/>
              </w:rPr>
              <w:t>（万元）</w:t>
            </w:r>
          </w:p>
        </w:tc>
        <w:tc>
          <w:tcPr>
            <w:tcW w:w="1224" w:type="dxa"/>
            <w:tcBorders>
              <w:top w:val="single" w:color="auto" w:sz="4" w:space="0"/>
              <w:left w:val="single" w:color="auto" w:sz="4" w:space="0"/>
              <w:bottom w:val="single" w:color="auto" w:sz="4" w:space="0"/>
              <w:right w:val="single" w:color="auto" w:sz="4" w:space="0"/>
            </w:tcBorders>
            <w:vAlign w:val="center"/>
          </w:tcPr>
          <w:p w14:paraId="7B58FD30">
            <w:pPr>
              <w:pStyle w:val="50"/>
              <w:jc w:val="center"/>
              <w:rPr>
                <w:color w:val="auto"/>
                <w:sz w:val="21"/>
                <w:szCs w:val="21"/>
                <w:highlight w:val="none"/>
              </w:rPr>
            </w:pPr>
            <w:r>
              <w:rPr>
                <w:rFonts w:hint="eastAsia"/>
                <w:color w:val="auto"/>
                <w:sz w:val="21"/>
                <w:szCs w:val="21"/>
                <w:highlight w:val="none"/>
              </w:rPr>
              <w:t>总价</w:t>
            </w:r>
          </w:p>
          <w:p w14:paraId="2B8D01D4">
            <w:pPr>
              <w:pStyle w:val="50"/>
              <w:jc w:val="center"/>
              <w:rPr>
                <w:color w:val="auto"/>
                <w:sz w:val="21"/>
                <w:szCs w:val="21"/>
                <w:highlight w:val="none"/>
              </w:rPr>
            </w:pPr>
            <w:r>
              <w:rPr>
                <w:rFonts w:hint="eastAsia"/>
                <w:color w:val="auto"/>
                <w:sz w:val="21"/>
                <w:szCs w:val="21"/>
                <w:highlight w:val="none"/>
              </w:rPr>
              <w:t>（万元）</w:t>
            </w:r>
          </w:p>
        </w:tc>
        <w:tc>
          <w:tcPr>
            <w:tcW w:w="1582" w:type="dxa"/>
            <w:tcBorders>
              <w:top w:val="single" w:color="auto" w:sz="4" w:space="0"/>
              <w:left w:val="single" w:color="auto" w:sz="4" w:space="0"/>
              <w:bottom w:val="single" w:color="auto" w:sz="4" w:space="0"/>
              <w:right w:val="single" w:color="auto" w:sz="4" w:space="0"/>
            </w:tcBorders>
            <w:vAlign w:val="center"/>
          </w:tcPr>
          <w:p w14:paraId="04FBA906">
            <w:pPr>
              <w:pStyle w:val="50"/>
              <w:jc w:val="center"/>
              <w:rPr>
                <w:color w:val="auto"/>
                <w:sz w:val="21"/>
                <w:szCs w:val="21"/>
                <w:highlight w:val="none"/>
              </w:rPr>
            </w:pPr>
            <w:r>
              <w:rPr>
                <w:rFonts w:hint="eastAsia"/>
                <w:color w:val="auto"/>
                <w:sz w:val="21"/>
                <w:szCs w:val="21"/>
                <w:highlight w:val="none"/>
              </w:rPr>
              <w:t>属强制采购或优先采购</w:t>
            </w:r>
          </w:p>
        </w:tc>
      </w:tr>
      <w:tr w14:paraId="0B7A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3062F6E4">
            <w:pPr>
              <w:pStyle w:val="50"/>
              <w:numPr>
                <w:ilvl w:val="0"/>
                <w:numId w:val="10"/>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40150CC3">
            <w:pPr>
              <w:pStyle w:val="50"/>
              <w:jc w:val="center"/>
              <w:rPr>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13B14BA8">
            <w:pPr>
              <w:pStyle w:val="50"/>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608F47C0">
            <w:pPr>
              <w:pStyle w:val="50"/>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24405E13">
            <w:pPr>
              <w:pStyle w:val="50"/>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13F13E44">
            <w:pPr>
              <w:pStyle w:val="50"/>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48B5DB96">
            <w:pPr>
              <w:pStyle w:val="50"/>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6B625590">
            <w:pPr>
              <w:pStyle w:val="50"/>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1E92B067">
            <w:pPr>
              <w:pStyle w:val="50"/>
              <w:jc w:val="center"/>
              <w:rPr>
                <w:color w:val="auto"/>
                <w:sz w:val="21"/>
                <w:szCs w:val="21"/>
                <w:highlight w:val="none"/>
              </w:rPr>
            </w:pPr>
          </w:p>
        </w:tc>
      </w:tr>
      <w:tr w14:paraId="0E72F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33194D91">
            <w:pPr>
              <w:pStyle w:val="50"/>
              <w:numPr>
                <w:ilvl w:val="0"/>
                <w:numId w:val="10"/>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19339E9C">
            <w:pPr>
              <w:pStyle w:val="50"/>
              <w:jc w:val="center"/>
              <w:rPr>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6588A5D6">
            <w:pPr>
              <w:pStyle w:val="50"/>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3487ED51">
            <w:pPr>
              <w:pStyle w:val="50"/>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5BED723B">
            <w:pPr>
              <w:pStyle w:val="50"/>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29FD1D1D">
            <w:pPr>
              <w:pStyle w:val="50"/>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07077735">
            <w:pPr>
              <w:pStyle w:val="50"/>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5509E830">
            <w:pPr>
              <w:pStyle w:val="50"/>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23F870C5">
            <w:pPr>
              <w:pStyle w:val="50"/>
              <w:jc w:val="center"/>
              <w:rPr>
                <w:color w:val="auto"/>
                <w:sz w:val="21"/>
                <w:szCs w:val="21"/>
                <w:highlight w:val="none"/>
              </w:rPr>
            </w:pPr>
          </w:p>
        </w:tc>
      </w:tr>
      <w:tr w14:paraId="34C02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2D699565">
            <w:pPr>
              <w:pStyle w:val="50"/>
              <w:numPr>
                <w:ilvl w:val="0"/>
                <w:numId w:val="10"/>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5597DB33">
            <w:pPr>
              <w:pStyle w:val="50"/>
              <w:jc w:val="center"/>
              <w:rPr>
                <w:color w:val="auto"/>
                <w:sz w:val="21"/>
                <w:szCs w:val="21"/>
                <w:highlight w:val="none"/>
              </w:rPr>
            </w:pPr>
            <w:r>
              <w:rPr>
                <w:color w:val="auto"/>
                <w:sz w:val="21"/>
                <w:szCs w:val="21"/>
                <w:highlight w:val="none"/>
              </w:rPr>
              <w:t>……</w:t>
            </w:r>
          </w:p>
        </w:tc>
        <w:tc>
          <w:tcPr>
            <w:tcW w:w="972" w:type="dxa"/>
            <w:tcBorders>
              <w:top w:val="single" w:color="auto" w:sz="4" w:space="0"/>
              <w:left w:val="single" w:color="auto" w:sz="4" w:space="0"/>
              <w:bottom w:val="single" w:color="auto" w:sz="4" w:space="0"/>
              <w:right w:val="single" w:color="auto" w:sz="4" w:space="0"/>
            </w:tcBorders>
            <w:vAlign w:val="center"/>
          </w:tcPr>
          <w:p w14:paraId="05F43678">
            <w:pPr>
              <w:pStyle w:val="50"/>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16995ABF">
            <w:pPr>
              <w:pStyle w:val="50"/>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0FADCDC4">
            <w:pPr>
              <w:pStyle w:val="50"/>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076DB47F">
            <w:pPr>
              <w:pStyle w:val="50"/>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31B52845">
            <w:pPr>
              <w:pStyle w:val="50"/>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45544B80">
            <w:pPr>
              <w:pStyle w:val="50"/>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71E6D10A">
            <w:pPr>
              <w:pStyle w:val="50"/>
              <w:jc w:val="center"/>
              <w:rPr>
                <w:color w:val="auto"/>
                <w:sz w:val="21"/>
                <w:szCs w:val="21"/>
                <w:highlight w:val="none"/>
              </w:rPr>
            </w:pPr>
          </w:p>
        </w:tc>
      </w:tr>
    </w:tbl>
    <w:p w14:paraId="69FC8255">
      <w:pPr>
        <w:spacing w:line="300" w:lineRule="auto"/>
        <w:rPr>
          <w:rFonts w:ascii="Arial" w:hAnsi="Arial" w:cs="Arial"/>
          <w:color w:val="auto"/>
          <w:szCs w:val="21"/>
          <w:highlight w:val="none"/>
        </w:rPr>
      </w:pPr>
    </w:p>
    <w:p w14:paraId="690A0756">
      <w:pPr>
        <w:spacing w:line="30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环保产品</w:t>
      </w:r>
    </w:p>
    <w:tbl>
      <w:tblPr>
        <w:tblStyle w:val="30"/>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76"/>
        <w:gridCol w:w="1140"/>
        <w:gridCol w:w="1272"/>
        <w:gridCol w:w="816"/>
        <w:gridCol w:w="816"/>
        <w:gridCol w:w="1032"/>
        <w:gridCol w:w="1380"/>
        <w:gridCol w:w="1714"/>
      </w:tblGrid>
      <w:tr w14:paraId="2A8D6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77E4A95E">
            <w:pPr>
              <w:pStyle w:val="50"/>
              <w:jc w:val="center"/>
              <w:rPr>
                <w:color w:val="auto"/>
                <w:sz w:val="21"/>
                <w:szCs w:val="21"/>
                <w:highlight w:val="none"/>
              </w:rPr>
            </w:pPr>
            <w:r>
              <w:rPr>
                <w:rFonts w:hint="eastAsia"/>
                <w:color w:val="auto"/>
                <w:sz w:val="21"/>
                <w:szCs w:val="21"/>
                <w:highlight w:val="none"/>
              </w:rPr>
              <w:t>序号</w:t>
            </w:r>
          </w:p>
        </w:tc>
        <w:tc>
          <w:tcPr>
            <w:tcW w:w="1140" w:type="dxa"/>
            <w:tcBorders>
              <w:top w:val="single" w:color="auto" w:sz="4" w:space="0"/>
              <w:left w:val="single" w:color="auto" w:sz="4" w:space="0"/>
              <w:bottom w:val="single" w:color="auto" w:sz="4" w:space="0"/>
              <w:right w:val="single" w:color="auto" w:sz="4" w:space="0"/>
            </w:tcBorders>
            <w:vAlign w:val="center"/>
          </w:tcPr>
          <w:p w14:paraId="6AA91FB1">
            <w:pPr>
              <w:pStyle w:val="50"/>
              <w:jc w:val="center"/>
              <w:rPr>
                <w:color w:val="auto"/>
                <w:sz w:val="21"/>
                <w:szCs w:val="21"/>
                <w:highlight w:val="none"/>
              </w:rPr>
            </w:pPr>
            <w:r>
              <w:rPr>
                <w:rFonts w:hint="eastAsia"/>
                <w:color w:val="auto"/>
                <w:sz w:val="21"/>
                <w:szCs w:val="21"/>
                <w:highlight w:val="none"/>
              </w:rPr>
              <w:t>设备名称</w:t>
            </w:r>
          </w:p>
        </w:tc>
        <w:tc>
          <w:tcPr>
            <w:tcW w:w="1272" w:type="dxa"/>
            <w:tcBorders>
              <w:top w:val="single" w:color="auto" w:sz="4" w:space="0"/>
              <w:left w:val="single" w:color="auto" w:sz="4" w:space="0"/>
              <w:bottom w:val="single" w:color="auto" w:sz="4" w:space="0"/>
              <w:right w:val="single" w:color="auto" w:sz="4" w:space="0"/>
            </w:tcBorders>
            <w:vAlign w:val="center"/>
          </w:tcPr>
          <w:p w14:paraId="67EAA52F">
            <w:pPr>
              <w:pStyle w:val="50"/>
              <w:jc w:val="center"/>
              <w:rPr>
                <w:color w:val="auto"/>
                <w:sz w:val="21"/>
                <w:szCs w:val="21"/>
                <w:highlight w:val="none"/>
              </w:rPr>
            </w:pPr>
            <w:r>
              <w:rPr>
                <w:rFonts w:hint="eastAsia"/>
                <w:color w:val="auto"/>
                <w:sz w:val="21"/>
                <w:szCs w:val="21"/>
                <w:highlight w:val="none"/>
              </w:rPr>
              <w:t>制造商</w:t>
            </w:r>
          </w:p>
          <w:p w14:paraId="5B3863C9">
            <w:pPr>
              <w:pStyle w:val="50"/>
              <w:jc w:val="center"/>
              <w:rPr>
                <w:color w:val="auto"/>
                <w:sz w:val="21"/>
                <w:szCs w:val="21"/>
                <w:highlight w:val="none"/>
              </w:rPr>
            </w:pPr>
            <w:r>
              <w:rPr>
                <w:rFonts w:hint="eastAsia"/>
                <w:color w:val="auto"/>
                <w:sz w:val="21"/>
                <w:szCs w:val="21"/>
                <w:highlight w:val="none"/>
              </w:rPr>
              <w:t>名称</w:t>
            </w:r>
          </w:p>
        </w:tc>
        <w:tc>
          <w:tcPr>
            <w:tcW w:w="816" w:type="dxa"/>
            <w:tcBorders>
              <w:top w:val="single" w:color="auto" w:sz="4" w:space="0"/>
              <w:left w:val="single" w:color="auto" w:sz="4" w:space="0"/>
              <w:bottom w:val="single" w:color="auto" w:sz="4" w:space="0"/>
              <w:right w:val="single" w:color="auto" w:sz="4" w:space="0"/>
            </w:tcBorders>
            <w:vAlign w:val="center"/>
          </w:tcPr>
          <w:p w14:paraId="2D914167">
            <w:pPr>
              <w:pStyle w:val="50"/>
              <w:jc w:val="center"/>
              <w:rPr>
                <w:color w:val="auto"/>
                <w:sz w:val="21"/>
                <w:szCs w:val="21"/>
                <w:highlight w:val="none"/>
              </w:rPr>
            </w:pPr>
            <w:r>
              <w:rPr>
                <w:rFonts w:hint="eastAsia"/>
                <w:color w:val="auto"/>
                <w:sz w:val="21"/>
                <w:szCs w:val="21"/>
                <w:highlight w:val="none"/>
              </w:rPr>
              <w:t>品牌</w:t>
            </w:r>
          </w:p>
        </w:tc>
        <w:tc>
          <w:tcPr>
            <w:tcW w:w="816" w:type="dxa"/>
            <w:tcBorders>
              <w:top w:val="single" w:color="auto" w:sz="4" w:space="0"/>
              <w:left w:val="single" w:color="auto" w:sz="4" w:space="0"/>
              <w:bottom w:val="single" w:color="auto" w:sz="4" w:space="0"/>
              <w:right w:val="single" w:color="auto" w:sz="4" w:space="0"/>
            </w:tcBorders>
            <w:vAlign w:val="center"/>
          </w:tcPr>
          <w:p w14:paraId="17525B5A">
            <w:pPr>
              <w:pStyle w:val="50"/>
              <w:jc w:val="center"/>
              <w:rPr>
                <w:color w:val="auto"/>
                <w:sz w:val="21"/>
                <w:szCs w:val="21"/>
                <w:highlight w:val="none"/>
              </w:rPr>
            </w:pPr>
            <w:r>
              <w:rPr>
                <w:rFonts w:hint="eastAsia"/>
                <w:color w:val="auto"/>
                <w:sz w:val="21"/>
                <w:szCs w:val="21"/>
                <w:highlight w:val="none"/>
              </w:rPr>
              <w:t>型号</w:t>
            </w:r>
          </w:p>
        </w:tc>
        <w:tc>
          <w:tcPr>
            <w:tcW w:w="1032" w:type="dxa"/>
            <w:tcBorders>
              <w:top w:val="single" w:color="auto" w:sz="4" w:space="0"/>
              <w:left w:val="single" w:color="auto" w:sz="4" w:space="0"/>
              <w:bottom w:val="single" w:color="auto" w:sz="4" w:space="0"/>
              <w:right w:val="single" w:color="auto" w:sz="4" w:space="0"/>
            </w:tcBorders>
            <w:vAlign w:val="center"/>
          </w:tcPr>
          <w:p w14:paraId="14090041">
            <w:pPr>
              <w:pStyle w:val="50"/>
              <w:jc w:val="center"/>
              <w:rPr>
                <w:color w:val="auto"/>
                <w:sz w:val="21"/>
                <w:szCs w:val="21"/>
                <w:highlight w:val="none"/>
              </w:rPr>
            </w:pPr>
            <w:r>
              <w:rPr>
                <w:rFonts w:hint="eastAsia"/>
                <w:color w:val="auto"/>
                <w:sz w:val="21"/>
                <w:szCs w:val="21"/>
                <w:highlight w:val="none"/>
              </w:rPr>
              <w:t>数量</w:t>
            </w:r>
          </w:p>
        </w:tc>
        <w:tc>
          <w:tcPr>
            <w:tcW w:w="1380" w:type="dxa"/>
            <w:tcBorders>
              <w:top w:val="single" w:color="auto" w:sz="4" w:space="0"/>
              <w:left w:val="single" w:color="auto" w:sz="4" w:space="0"/>
              <w:bottom w:val="single" w:color="auto" w:sz="4" w:space="0"/>
              <w:right w:val="single" w:color="auto" w:sz="4" w:space="0"/>
            </w:tcBorders>
            <w:vAlign w:val="center"/>
          </w:tcPr>
          <w:p w14:paraId="2B9678EA">
            <w:pPr>
              <w:pStyle w:val="50"/>
              <w:jc w:val="center"/>
              <w:rPr>
                <w:color w:val="auto"/>
                <w:sz w:val="21"/>
                <w:szCs w:val="21"/>
                <w:highlight w:val="none"/>
              </w:rPr>
            </w:pPr>
            <w:r>
              <w:rPr>
                <w:rFonts w:hint="eastAsia"/>
                <w:color w:val="auto"/>
                <w:sz w:val="21"/>
                <w:szCs w:val="21"/>
                <w:highlight w:val="none"/>
              </w:rPr>
              <w:t>单价</w:t>
            </w:r>
          </w:p>
          <w:p w14:paraId="6E63CBD3">
            <w:pPr>
              <w:pStyle w:val="50"/>
              <w:jc w:val="center"/>
              <w:rPr>
                <w:color w:val="auto"/>
                <w:sz w:val="21"/>
                <w:szCs w:val="21"/>
                <w:highlight w:val="none"/>
              </w:rPr>
            </w:pPr>
            <w:r>
              <w:rPr>
                <w:rFonts w:hint="eastAsia"/>
                <w:color w:val="auto"/>
                <w:sz w:val="21"/>
                <w:szCs w:val="21"/>
                <w:highlight w:val="none"/>
              </w:rPr>
              <w:t>（万元）</w:t>
            </w:r>
          </w:p>
        </w:tc>
        <w:tc>
          <w:tcPr>
            <w:tcW w:w="1714" w:type="dxa"/>
            <w:tcBorders>
              <w:top w:val="single" w:color="auto" w:sz="4" w:space="0"/>
              <w:left w:val="single" w:color="auto" w:sz="4" w:space="0"/>
              <w:bottom w:val="single" w:color="auto" w:sz="4" w:space="0"/>
              <w:right w:val="single" w:color="auto" w:sz="4" w:space="0"/>
            </w:tcBorders>
            <w:vAlign w:val="center"/>
          </w:tcPr>
          <w:p w14:paraId="26EF66A1">
            <w:pPr>
              <w:pStyle w:val="50"/>
              <w:jc w:val="center"/>
              <w:rPr>
                <w:color w:val="auto"/>
                <w:sz w:val="21"/>
                <w:szCs w:val="21"/>
                <w:highlight w:val="none"/>
              </w:rPr>
            </w:pPr>
            <w:r>
              <w:rPr>
                <w:rFonts w:hint="eastAsia"/>
                <w:color w:val="auto"/>
                <w:sz w:val="21"/>
                <w:szCs w:val="21"/>
                <w:highlight w:val="none"/>
              </w:rPr>
              <w:t>总价</w:t>
            </w:r>
          </w:p>
          <w:p w14:paraId="1881B9EC">
            <w:pPr>
              <w:pStyle w:val="50"/>
              <w:jc w:val="center"/>
              <w:rPr>
                <w:color w:val="auto"/>
                <w:sz w:val="21"/>
                <w:szCs w:val="21"/>
                <w:highlight w:val="none"/>
              </w:rPr>
            </w:pPr>
            <w:r>
              <w:rPr>
                <w:rFonts w:hint="eastAsia"/>
                <w:color w:val="auto"/>
                <w:sz w:val="21"/>
                <w:szCs w:val="21"/>
                <w:highlight w:val="none"/>
              </w:rPr>
              <w:t>（万元）</w:t>
            </w:r>
          </w:p>
        </w:tc>
      </w:tr>
      <w:tr w14:paraId="5F476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08E36FE7">
            <w:pPr>
              <w:pStyle w:val="50"/>
              <w:numPr>
                <w:ilvl w:val="0"/>
                <w:numId w:val="11"/>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1A20E62A">
            <w:pPr>
              <w:pStyle w:val="50"/>
              <w:jc w:val="center"/>
              <w:rPr>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22CDEC64">
            <w:pPr>
              <w:pStyle w:val="50"/>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138AE6B2">
            <w:pPr>
              <w:pStyle w:val="50"/>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30C76BF9">
            <w:pPr>
              <w:pStyle w:val="50"/>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4B09EBD6">
            <w:pPr>
              <w:pStyle w:val="50"/>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3251BCE0">
            <w:pPr>
              <w:pStyle w:val="50"/>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05694893">
            <w:pPr>
              <w:pStyle w:val="50"/>
              <w:jc w:val="center"/>
              <w:rPr>
                <w:color w:val="auto"/>
                <w:sz w:val="21"/>
                <w:szCs w:val="21"/>
                <w:highlight w:val="none"/>
              </w:rPr>
            </w:pPr>
          </w:p>
        </w:tc>
      </w:tr>
      <w:tr w14:paraId="6A99C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18EBBE11">
            <w:pPr>
              <w:pStyle w:val="50"/>
              <w:numPr>
                <w:ilvl w:val="0"/>
                <w:numId w:val="11"/>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7A771DE4">
            <w:pPr>
              <w:pStyle w:val="50"/>
              <w:jc w:val="center"/>
              <w:rPr>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0F663DA6">
            <w:pPr>
              <w:pStyle w:val="50"/>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2FCE4627">
            <w:pPr>
              <w:pStyle w:val="50"/>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1E80F2A5">
            <w:pPr>
              <w:pStyle w:val="50"/>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5493FC86">
            <w:pPr>
              <w:pStyle w:val="50"/>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3C2160F0">
            <w:pPr>
              <w:pStyle w:val="50"/>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7238DDC0">
            <w:pPr>
              <w:pStyle w:val="50"/>
              <w:jc w:val="center"/>
              <w:rPr>
                <w:color w:val="auto"/>
                <w:sz w:val="21"/>
                <w:szCs w:val="21"/>
                <w:highlight w:val="none"/>
              </w:rPr>
            </w:pPr>
          </w:p>
        </w:tc>
      </w:tr>
      <w:tr w14:paraId="24B69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6C90CD05">
            <w:pPr>
              <w:pStyle w:val="50"/>
              <w:numPr>
                <w:ilvl w:val="0"/>
                <w:numId w:val="11"/>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728A1074">
            <w:pPr>
              <w:pStyle w:val="50"/>
              <w:jc w:val="center"/>
              <w:rPr>
                <w:color w:val="auto"/>
                <w:sz w:val="21"/>
                <w:szCs w:val="21"/>
                <w:highlight w:val="none"/>
              </w:rPr>
            </w:pPr>
            <w:r>
              <w:rPr>
                <w:color w:val="auto"/>
                <w:sz w:val="21"/>
                <w:szCs w:val="21"/>
                <w:highlight w:val="none"/>
              </w:rPr>
              <w:t>……</w:t>
            </w:r>
          </w:p>
        </w:tc>
        <w:tc>
          <w:tcPr>
            <w:tcW w:w="1272" w:type="dxa"/>
            <w:tcBorders>
              <w:top w:val="single" w:color="auto" w:sz="4" w:space="0"/>
              <w:left w:val="single" w:color="auto" w:sz="4" w:space="0"/>
              <w:bottom w:val="single" w:color="auto" w:sz="4" w:space="0"/>
              <w:right w:val="single" w:color="auto" w:sz="4" w:space="0"/>
            </w:tcBorders>
            <w:vAlign w:val="center"/>
          </w:tcPr>
          <w:p w14:paraId="47CBFD42">
            <w:pPr>
              <w:pStyle w:val="50"/>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52A3673E">
            <w:pPr>
              <w:pStyle w:val="50"/>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03112494">
            <w:pPr>
              <w:pStyle w:val="50"/>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1FF974A1">
            <w:pPr>
              <w:pStyle w:val="50"/>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57425C45">
            <w:pPr>
              <w:pStyle w:val="50"/>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31F5DC44">
            <w:pPr>
              <w:pStyle w:val="50"/>
              <w:jc w:val="center"/>
              <w:rPr>
                <w:color w:val="auto"/>
                <w:sz w:val="21"/>
                <w:szCs w:val="21"/>
                <w:highlight w:val="none"/>
              </w:rPr>
            </w:pPr>
          </w:p>
        </w:tc>
      </w:tr>
    </w:tbl>
    <w:p w14:paraId="7D386FE8">
      <w:pPr>
        <w:spacing w:line="300" w:lineRule="auto"/>
        <w:rPr>
          <w:rFonts w:ascii="Arial" w:hAnsi="Arial" w:cs="Arial"/>
          <w:color w:val="auto"/>
          <w:szCs w:val="21"/>
          <w:highlight w:val="none"/>
        </w:rPr>
      </w:pPr>
    </w:p>
    <w:p w14:paraId="606E5A08">
      <w:pPr>
        <w:rPr>
          <w:rFonts w:ascii="Arial" w:hAnsi="Arial" w:cs="Arial"/>
          <w:b/>
          <w:color w:val="auto"/>
          <w:sz w:val="21"/>
          <w:szCs w:val="21"/>
          <w:highlight w:val="none"/>
        </w:rPr>
      </w:pPr>
      <w:r>
        <w:rPr>
          <w:rFonts w:hint="eastAsia" w:ascii="Arial" w:hAnsi="Arial" w:cs="Arial"/>
          <w:b/>
          <w:color w:val="auto"/>
          <w:sz w:val="21"/>
          <w:szCs w:val="21"/>
          <w:highlight w:val="none"/>
        </w:rPr>
        <w:t>特别说明：投标人应将所投产品中节能、环保产品分别列入上表中，并按本招标文件</w:t>
      </w:r>
      <w:r>
        <w:rPr>
          <w:rFonts w:hint="eastAsia" w:ascii="Arial" w:hAnsi="Arial" w:cs="Arial"/>
          <w:b/>
          <w:color w:val="auto"/>
          <w:sz w:val="21"/>
          <w:szCs w:val="21"/>
          <w:highlight w:val="none"/>
          <w:lang w:val="en-US" w:eastAsia="zh-CN"/>
        </w:rPr>
        <w:t>“</w:t>
      </w:r>
      <w:r>
        <w:rPr>
          <w:rFonts w:hint="eastAsia" w:ascii="Arial" w:hAnsi="Arial" w:cs="Arial"/>
          <w:b/>
          <w:color w:val="auto"/>
          <w:sz w:val="21"/>
          <w:szCs w:val="21"/>
          <w:highlight w:val="none"/>
        </w:rPr>
        <w:t>第二章</w:t>
      </w:r>
      <w:r>
        <w:rPr>
          <w:rFonts w:hint="eastAsia" w:ascii="Arial" w:hAnsi="Arial" w:cs="Arial"/>
          <w:b/>
          <w:color w:val="auto"/>
          <w:sz w:val="21"/>
          <w:szCs w:val="21"/>
          <w:highlight w:val="none"/>
          <w:lang w:val="en-US" w:eastAsia="zh-CN"/>
        </w:rPr>
        <w:t>投标人须知”</w:t>
      </w:r>
      <w:r>
        <w:rPr>
          <w:rFonts w:hint="eastAsia" w:ascii="Arial" w:hAnsi="Arial" w:cs="Arial"/>
          <w:b/>
          <w:color w:val="auto"/>
          <w:sz w:val="21"/>
          <w:szCs w:val="21"/>
          <w:highlight w:val="none"/>
        </w:rPr>
        <w:t>提供相关证明材料，未填写本表或未提供有效认证证书</w:t>
      </w:r>
      <w:r>
        <w:rPr>
          <w:rFonts w:ascii="Arial" w:hAnsi="Arial" w:cs="Arial"/>
          <w:b/>
          <w:color w:val="auto"/>
          <w:sz w:val="21"/>
          <w:szCs w:val="21"/>
          <w:highlight w:val="none"/>
        </w:rPr>
        <w:t>的</w:t>
      </w:r>
      <w:r>
        <w:rPr>
          <w:rFonts w:hint="eastAsia" w:ascii="Arial" w:hAnsi="Arial" w:cs="Arial"/>
          <w:b/>
          <w:color w:val="auto"/>
          <w:sz w:val="21"/>
          <w:szCs w:val="21"/>
          <w:highlight w:val="none"/>
        </w:rPr>
        <w:t>不给予</w:t>
      </w:r>
      <w:r>
        <w:rPr>
          <w:rFonts w:hint="eastAsia" w:ascii="Arial" w:hAnsi="Arial" w:cs="Arial"/>
          <w:b/>
          <w:color w:val="auto"/>
          <w:sz w:val="21"/>
          <w:szCs w:val="21"/>
          <w:highlight w:val="none"/>
          <w:lang w:val="en-US" w:eastAsia="zh-CN"/>
        </w:rPr>
        <w:t>评审优惠</w:t>
      </w:r>
      <w:r>
        <w:rPr>
          <w:rFonts w:hint="eastAsia" w:ascii="Arial" w:hAnsi="Arial" w:cs="Arial"/>
          <w:b/>
          <w:color w:val="auto"/>
          <w:sz w:val="21"/>
          <w:szCs w:val="21"/>
          <w:highlight w:val="none"/>
        </w:rPr>
        <w:t>。</w:t>
      </w:r>
    </w:p>
    <w:p w14:paraId="675C9164">
      <w:pPr>
        <w:spacing w:line="300" w:lineRule="auto"/>
        <w:rPr>
          <w:rFonts w:ascii="Arial" w:hAnsi="Arial" w:cs="Arial"/>
          <w:color w:val="auto"/>
          <w:szCs w:val="21"/>
          <w:highlight w:val="none"/>
        </w:rPr>
      </w:pPr>
    </w:p>
    <w:p w14:paraId="402F965E">
      <w:pPr>
        <w:spacing w:line="300" w:lineRule="auto"/>
        <w:rPr>
          <w:rFonts w:ascii="Arial" w:hAnsi="Arial" w:cs="Arial"/>
          <w:color w:val="auto"/>
          <w:szCs w:val="21"/>
          <w:highlight w:val="none"/>
        </w:rPr>
      </w:pPr>
      <w:r>
        <w:rPr>
          <w:rFonts w:ascii="Arial" w:hAnsi="Arial" w:cs="Arial"/>
          <w:color w:val="auto"/>
          <w:szCs w:val="21"/>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ascii="Arial" w:hAnsi="Arial" w:cs="Arial"/>
          <w:color w:val="auto"/>
          <w:szCs w:val="21"/>
          <w:highlight w:val="none"/>
        </w:rPr>
        <w:t>：</w:t>
      </w:r>
    </w:p>
    <w:p w14:paraId="3068A70D">
      <w:pPr>
        <w:rPr>
          <w:rFonts w:ascii="Arial" w:hAnsi="Arial" w:cs="Arial"/>
          <w:color w:val="auto"/>
          <w:szCs w:val="21"/>
          <w:highlight w:val="none"/>
        </w:rPr>
      </w:pPr>
      <w:r>
        <w:rPr>
          <w:rFonts w:ascii="Arial" w:hAnsi="Arial" w:cs="Arial"/>
          <w:color w:val="auto"/>
          <w:szCs w:val="21"/>
          <w:highlight w:val="none"/>
        </w:rPr>
        <w:t>日期：</w:t>
      </w:r>
    </w:p>
    <w:p w14:paraId="70617D68">
      <w:pPr>
        <w:rPr>
          <w:rFonts w:ascii="Arial" w:hAnsi="Arial" w:cs="Arial"/>
          <w:color w:val="auto"/>
          <w:szCs w:val="21"/>
          <w:highlight w:val="none"/>
        </w:rPr>
      </w:pPr>
      <w:r>
        <w:rPr>
          <w:rFonts w:ascii="Arial" w:hAnsi="Arial" w:cs="Arial"/>
          <w:color w:val="auto"/>
          <w:szCs w:val="21"/>
          <w:highlight w:val="none"/>
        </w:rPr>
        <w:br w:type="page"/>
      </w:r>
    </w:p>
    <w:p w14:paraId="606B2EA5">
      <w:pPr>
        <w:pStyle w:val="4"/>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宋体" w:hAnsi="宋体" w:eastAsia="宋体" w:cstheme="minorBidi"/>
          <w:b/>
          <w:bCs/>
          <w:color w:val="auto"/>
          <w:kern w:val="2"/>
          <w:sz w:val="24"/>
          <w:szCs w:val="24"/>
          <w:highlight w:val="none"/>
          <w:lang w:val="en-US" w:eastAsia="zh-CN" w:bidi="ar-SA"/>
        </w:rPr>
      </w:pPr>
      <w:bookmarkStart w:id="356" w:name="_Toc163492939"/>
      <w:r>
        <w:rPr>
          <w:rFonts w:hint="eastAsia" w:ascii="宋体" w:hAnsi="宋体" w:eastAsia="宋体" w:cstheme="minorBidi"/>
          <w:b/>
          <w:bCs/>
          <w:color w:val="auto"/>
          <w:kern w:val="2"/>
          <w:sz w:val="24"/>
          <w:szCs w:val="24"/>
          <w:highlight w:val="none"/>
          <w:lang w:val="en-US" w:eastAsia="zh-CN" w:bidi="ar-SA"/>
        </w:rPr>
        <w:t>（二）中小企业声明函</w:t>
      </w:r>
      <w:r>
        <w:rPr>
          <w:rFonts w:hint="eastAsia" w:ascii="宋体" w:hAnsi="宋体" w:eastAsia="宋体" w:cstheme="minorBidi"/>
          <w:b w:val="0"/>
          <w:bCs w:val="0"/>
          <w:color w:val="auto"/>
          <w:kern w:val="2"/>
          <w:sz w:val="24"/>
          <w:szCs w:val="24"/>
          <w:highlight w:val="none"/>
          <w:lang w:val="en-US" w:eastAsia="zh-CN" w:bidi="ar-SA"/>
        </w:rPr>
        <w:t>【</w:t>
      </w:r>
      <w:r>
        <w:rPr>
          <w:rFonts w:hint="eastAsia" w:cstheme="minorBidi"/>
          <w:b w:val="0"/>
          <w:bCs w:val="0"/>
          <w:i w:val="0"/>
          <w:iCs w:val="0"/>
          <w:color w:val="auto"/>
          <w:kern w:val="2"/>
          <w:sz w:val="24"/>
          <w:szCs w:val="24"/>
          <w:highlight w:val="none"/>
          <w:lang w:val="en-US" w:eastAsia="zh-CN" w:bidi="ar-SA"/>
        </w:rPr>
        <w:t>如专门面向中小企业采购的项目，此函可放于此处，否则，应后置于“其他资格证明文件”</w:t>
      </w:r>
      <w:r>
        <w:rPr>
          <w:rFonts w:hint="eastAsia" w:ascii="宋体" w:hAnsi="宋体" w:eastAsia="宋体" w:cstheme="minorBidi"/>
          <w:b w:val="0"/>
          <w:bCs w:val="0"/>
          <w:color w:val="auto"/>
          <w:kern w:val="2"/>
          <w:sz w:val="24"/>
          <w:szCs w:val="24"/>
          <w:highlight w:val="none"/>
          <w:lang w:val="en-US" w:eastAsia="zh-CN" w:bidi="ar-SA"/>
        </w:rPr>
        <w:t>】</w:t>
      </w:r>
      <w:bookmarkEnd w:id="356"/>
    </w:p>
    <w:p w14:paraId="7A518507">
      <w:pPr>
        <w:pStyle w:val="40"/>
        <w:keepNext w:val="0"/>
        <w:keepLines w:val="0"/>
        <w:pageBreakBefore w:val="0"/>
        <w:widowControl w:val="0"/>
        <w:numPr>
          <w:ilvl w:val="0"/>
          <w:numId w:val="0"/>
        </w:numPr>
        <w:kinsoku/>
        <w:wordWrap/>
        <w:overflowPunct/>
        <w:topLinePunct w:val="0"/>
        <w:autoSpaceDE/>
        <w:autoSpaceDN/>
        <w:bidi w:val="0"/>
        <w:adjustRightInd/>
        <w:snapToGrid/>
        <w:spacing w:line="300" w:lineRule="exact"/>
        <w:ind w:left="420" w:leftChars="0" w:hanging="420" w:firstLineChars="0"/>
        <w:jc w:val="center"/>
        <w:textAlignment w:val="auto"/>
        <w:rPr>
          <w:rFonts w:hint="eastAsia"/>
          <w:b/>
          <w:bCs/>
          <w:color w:val="auto"/>
          <w:sz w:val="32"/>
          <w:szCs w:val="32"/>
          <w:highlight w:val="none"/>
        </w:rPr>
      </w:pPr>
    </w:p>
    <w:p w14:paraId="760F43E1">
      <w:pPr>
        <w:pStyle w:val="40"/>
        <w:numPr>
          <w:ilvl w:val="0"/>
          <w:numId w:val="0"/>
        </w:numPr>
        <w:ind w:left="420" w:leftChars="0" w:hanging="420" w:firstLineChars="0"/>
        <w:jc w:val="center"/>
        <w:rPr>
          <w:b/>
          <w:bCs/>
          <w:color w:val="auto"/>
          <w:sz w:val="32"/>
          <w:szCs w:val="32"/>
          <w:highlight w:val="none"/>
        </w:rPr>
      </w:pPr>
      <w:r>
        <w:rPr>
          <w:rFonts w:hint="eastAsia"/>
          <w:b/>
          <w:bCs/>
          <w:color w:val="auto"/>
          <w:sz w:val="32"/>
          <w:szCs w:val="32"/>
          <w:highlight w:val="none"/>
        </w:rPr>
        <w:t>中小企业声明函</w:t>
      </w:r>
    </w:p>
    <w:p w14:paraId="78BC1CF1">
      <w:pPr>
        <w:ind w:firstLine="504" w:firstLineChars="200"/>
        <w:rPr>
          <w:rFonts w:cs="宋体"/>
          <w:color w:val="auto"/>
          <w:spacing w:val="6"/>
          <w:szCs w:val="24"/>
          <w:highlight w:val="none"/>
        </w:rPr>
      </w:pPr>
      <w:r>
        <w:rPr>
          <w:rFonts w:hint="eastAsia" w:cs="宋体"/>
          <w:color w:val="auto"/>
          <w:spacing w:val="6"/>
          <w:szCs w:val="24"/>
          <w:highlight w:val="none"/>
        </w:rPr>
        <w:t>本公司（联合体）郑重声明，根据《政府采购促进中小企业发展管理办法》（财库﹝2020﹞46 号）的规定，本公司（联合体）参加</w:t>
      </w:r>
      <w:r>
        <w:rPr>
          <w:rFonts w:hint="eastAsia" w:cs="宋体"/>
          <w:color w:val="auto"/>
          <w:spacing w:val="6"/>
          <w:szCs w:val="24"/>
          <w:highlight w:val="none"/>
          <w:u w:val="single"/>
        </w:rPr>
        <w:t xml:space="preserve"> （单位名称）</w:t>
      </w:r>
      <w:r>
        <w:rPr>
          <w:rFonts w:hint="eastAsia" w:cs="宋体"/>
          <w:color w:val="auto"/>
          <w:spacing w:val="6"/>
          <w:szCs w:val="24"/>
          <w:highlight w:val="none"/>
        </w:rPr>
        <w:t xml:space="preserve"> 的</w:t>
      </w:r>
      <w:r>
        <w:rPr>
          <w:rFonts w:hint="eastAsia" w:cs="宋体"/>
          <w:color w:val="auto"/>
          <w:spacing w:val="6"/>
          <w:szCs w:val="24"/>
          <w:highlight w:val="none"/>
          <w:u w:val="single"/>
        </w:rPr>
        <w:t xml:space="preserve"> （项目名称） </w:t>
      </w:r>
      <w:r>
        <w:rPr>
          <w:rFonts w:hint="eastAsia" w:cs="宋体"/>
          <w:color w:val="auto"/>
          <w:spacing w:val="6"/>
          <w:szCs w:val="24"/>
          <w:highlight w:val="none"/>
        </w:rPr>
        <w:t>采购活动，提供的货物全部由符合政策要求的中小企业制造。相关企业（含联合体中的中小企业、签订分包意向协议的中小企业）的具体情况如下：</w:t>
      </w:r>
    </w:p>
    <w:p w14:paraId="5FCC96F1">
      <w:pPr>
        <w:ind w:firstLine="504" w:firstLineChars="200"/>
        <w:rPr>
          <w:rFonts w:cs="宋体"/>
          <w:color w:val="auto"/>
          <w:spacing w:val="6"/>
          <w:szCs w:val="24"/>
          <w:highlight w:val="none"/>
        </w:rPr>
      </w:pPr>
      <w:r>
        <w:rPr>
          <w:rFonts w:hint="eastAsia" w:cs="宋体"/>
          <w:color w:val="auto"/>
          <w:spacing w:val="6"/>
          <w:szCs w:val="24"/>
          <w:highlight w:val="none"/>
        </w:rPr>
        <w:t>1.</w:t>
      </w:r>
      <w:r>
        <w:rPr>
          <w:rFonts w:hint="eastAsia" w:cs="宋体"/>
          <w:color w:val="auto"/>
          <w:spacing w:val="6"/>
          <w:szCs w:val="24"/>
          <w:highlight w:val="none"/>
          <w:u w:val="single"/>
        </w:rPr>
        <w:t xml:space="preserve"> （标的名称） </w:t>
      </w:r>
      <w:r>
        <w:rPr>
          <w:rFonts w:hint="eastAsia" w:cs="宋体"/>
          <w:color w:val="auto"/>
          <w:spacing w:val="6"/>
          <w:szCs w:val="24"/>
          <w:highlight w:val="none"/>
        </w:rPr>
        <w:t>，属于</w:t>
      </w:r>
      <w:r>
        <w:rPr>
          <w:rFonts w:hint="eastAsia" w:cs="宋体"/>
          <w:color w:val="auto"/>
          <w:spacing w:val="6"/>
          <w:szCs w:val="24"/>
          <w:highlight w:val="none"/>
          <w:u w:val="single"/>
        </w:rPr>
        <w:t xml:space="preserve"> （采购文件中明确的所属行业）</w:t>
      </w:r>
      <w:r>
        <w:rPr>
          <w:rFonts w:hint="eastAsia" w:cs="宋体"/>
          <w:color w:val="auto"/>
          <w:spacing w:val="6"/>
          <w:szCs w:val="24"/>
          <w:highlight w:val="none"/>
        </w:rPr>
        <w:t>行业 ；制造商为</w:t>
      </w:r>
      <w:r>
        <w:rPr>
          <w:rFonts w:hint="eastAsia" w:cs="宋体"/>
          <w:color w:val="auto"/>
          <w:spacing w:val="6"/>
          <w:szCs w:val="24"/>
          <w:highlight w:val="none"/>
          <w:u w:val="single"/>
        </w:rPr>
        <w:t xml:space="preserve"> （企业名称） </w:t>
      </w:r>
      <w:r>
        <w:rPr>
          <w:rFonts w:hint="eastAsia" w:cs="宋体"/>
          <w:color w:val="auto"/>
          <w:spacing w:val="6"/>
          <w:szCs w:val="24"/>
          <w:highlight w:val="none"/>
        </w:rPr>
        <w:t>，从业人员</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人，营业收入为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万元，资产总额为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万元，属于</w:t>
      </w:r>
      <w:r>
        <w:rPr>
          <w:rFonts w:hint="eastAsia" w:cs="宋体"/>
          <w:color w:val="auto"/>
          <w:spacing w:val="6"/>
          <w:szCs w:val="24"/>
          <w:highlight w:val="none"/>
          <w:u w:val="single"/>
        </w:rPr>
        <w:t xml:space="preserve"> （中型企业、小型企业、微型企业）</w:t>
      </w:r>
      <w:r>
        <w:rPr>
          <w:rFonts w:hint="eastAsia" w:cs="宋体"/>
          <w:color w:val="auto"/>
          <w:spacing w:val="6"/>
          <w:szCs w:val="24"/>
          <w:highlight w:val="none"/>
        </w:rPr>
        <w:t>；</w:t>
      </w:r>
    </w:p>
    <w:p w14:paraId="1D01E102">
      <w:pPr>
        <w:ind w:firstLine="504" w:firstLineChars="200"/>
        <w:rPr>
          <w:rFonts w:cs="宋体"/>
          <w:color w:val="auto"/>
          <w:spacing w:val="6"/>
          <w:szCs w:val="24"/>
          <w:highlight w:val="none"/>
        </w:rPr>
      </w:pPr>
      <w:r>
        <w:rPr>
          <w:rFonts w:hint="eastAsia" w:cs="宋体"/>
          <w:color w:val="auto"/>
          <w:spacing w:val="6"/>
          <w:szCs w:val="24"/>
          <w:highlight w:val="none"/>
        </w:rPr>
        <w:t>2.</w:t>
      </w:r>
      <w:r>
        <w:rPr>
          <w:rFonts w:hint="eastAsia" w:cs="宋体"/>
          <w:color w:val="auto"/>
          <w:spacing w:val="6"/>
          <w:szCs w:val="24"/>
          <w:highlight w:val="none"/>
          <w:u w:val="single"/>
        </w:rPr>
        <w:t xml:space="preserve"> （标的名称） </w:t>
      </w:r>
      <w:r>
        <w:rPr>
          <w:rFonts w:hint="eastAsia" w:cs="宋体"/>
          <w:color w:val="auto"/>
          <w:spacing w:val="6"/>
          <w:szCs w:val="24"/>
          <w:highlight w:val="none"/>
        </w:rPr>
        <w:t>，属于</w:t>
      </w:r>
      <w:r>
        <w:rPr>
          <w:rFonts w:hint="eastAsia" w:cs="宋体"/>
          <w:color w:val="auto"/>
          <w:spacing w:val="6"/>
          <w:szCs w:val="24"/>
          <w:highlight w:val="none"/>
          <w:u w:val="single"/>
        </w:rPr>
        <w:t xml:space="preserve"> （采购文件中明确的所属行业）</w:t>
      </w:r>
      <w:r>
        <w:rPr>
          <w:rFonts w:hint="eastAsia" w:cs="宋体"/>
          <w:color w:val="auto"/>
          <w:spacing w:val="6"/>
          <w:szCs w:val="24"/>
          <w:highlight w:val="none"/>
        </w:rPr>
        <w:t>行业 ；制造商为</w:t>
      </w:r>
      <w:r>
        <w:rPr>
          <w:rFonts w:hint="eastAsia" w:cs="宋体"/>
          <w:color w:val="auto"/>
          <w:spacing w:val="6"/>
          <w:szCs w:val="24"/>
          <w:highlight w:val="none"/>
          <w:u w:val="single"/>
        </w:rPr>
        <w:t xml:space="preserve"> （企业名称） </w:t>
      </w:r>
      <w:r>
        <w:rPr>
          <w:rFonts w:hint="eastAsia" w:cs="宋体"/>
          <w:color w:val="auto"/>
          <w:spacing w:val="6"/>
          <w:szCs w:val="24"/>
          <w:highlight w:val="none"/>
        </w:rPr>
        <w:t>，从业人员</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人，营业收入为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万元，资产总额为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万元，属于</w:t>
      </w:r>
      <w:r>
        <w:rPr>
          <w:rFonts w:hint="eastAsia" w:cs="宋体"/>
          <w:color w:val="auto"/>
          <w:spacing w:val="6"/>
          <w:szCs w:val="24"/>
          <w:highlight w:val="none"/>
          <w:u w:val="single"/>
        </w:rPr>
        <w:t xml:space="preserve"> （中型企业、小型企业、微型企业）</w:t>
      </w:r>
      <w:r>
        <w:rPr>
          <w:rFonts w:hint="eastAsia" w:cs="宋体"/>
          <w:color w:val="auto"/>
          <w:spacing w:val="6"/>
          <w:szCs w:val="24"/>
          <w:highlight w:val="none"/>
        </w:rPr>
        <w:t>；</w:t>
      </w:r>
    </w:p>
    <w:p w14:paraId="7CB1DD8C">
      <w:pPr>
        <w:ind w:firstLine="504" w:firstLineChars="200"/>
        <w:rPr>
          <w:rFonts w:cs="宋体"/>
          <w:color w:val="auto"/>
          <w:spacing w:val="6"/>
          <w:szCs w:val="24"/>
          <w:highlight w:val="none"/>
        </w:rPr>
      </w:pPr>
      <w:r>
        <w:rPr>
          <w:rFonts w:hint="eastAsia" w:cs="宋体"/>
          <w:color w:val="auto"/>
          <w:spacing w:val="6"/>
          <w:szCs w:val="24"/>
          <w:highlight w:val="none"/>
        </w:rPr>
        <w:t>……</w:t>
      </w:r>
    </w:p>
    <w:p w14:paraId="776FE44A">
      <w:pPr>
        <w:ind w:firstLine="504" w:firstLineChars="200"/>
        <w:rPr>
          <w:rFonts w:cs="宋体"/>
          <w:color w:val="auto"/>
          <w:spacing w:val="6"/>
          <w:szCs w:val="24"/>
          <w:highlight w:val="none"/>
        </w:rPr>
      </w:pPr>
      <w:r>
        <w:rPr>
          <w:rFonts w:hint="eastAsia" w:cs="宋体"/>
          <w:color w:val="auto"/>
          <w:spacing w:val="6"/>
          <w:szCs w:val="24"/>
          <w:highlight w:val="none"/>
        </w:rPr>
        <w:t>以上企业，不属于大企业的分支机构，不存在控股股东为大企业的情形，也不存在与大企业的负责人为同一人的情形。</w:t>
      </w:r>
    </w:p>
    <w:p w14:paraId="3A720EA2">
      <w:pPr>
        <w:ind w:firstLine="504" w:firstLineChars="200"/>
        <w:rPr>
          <w:rFonts w:cs="宋体"/>
          <w:color w:val="auto"/>
          <w:spacing w:val="6"/>
          <w:szCs w:val="24"/>
          <w:highlight w:val="none"/>
        </w:rPr>
      </w:pPr>
      <w:r>
        <w:rPr>
          <w:rFonts w:hint="eastAsia" w:cs="宋体"/>
          <w:color w:val="auto"/>
          <w:spacing w:val="6"/>
          <w:szCs w:val="24"/>
          <w:highlight w:val="none"/>
        </w:rPr>
        <w:t>本企业对上述声明内容的真实性负责。如有虚假，将依法承担相应责任。</w:t>
      </w:r>
    </w:p>
    <w:p w14:paraId="5A6D844B">
      <w:pPr>
        <w:ind w:right="1008" w:firstLine="4788" w:firstLineChars="1900"/>
        <w:rPr>
          <w:rFonts w:cs="宋体"/>
          <w:color w:val="auto"/>
          <w:spacing w:val="6"/>
          <w:szCs w:val="24"/>
          <w:highlight w:val="none"/>
        </w:rPr>
      </w:pPr>
    </w:p>
    <w:p w14:paraId="165AEE2D">
      <w:pPr>
        <w:ind w:right="1008" w:firstLine="4284" w:firstLineChars="1700"/>
        <w:rPr>
          <w:rFonts w:cs="宋体"/>
          <w:color w:val="auto"/>
          <w:spacing w:val="6"/>
          <w:szCs w:val="24"/>
          <w:highlight w:val="none"/>
        </w:rPr>
      </w:pPr>
      <w:r>
        <w:rPr>
          <w:rFonts w:hint="eastAsia" w:cs="宋体"/>
          <w:color w:val="auto"/>
          <w:spacing w:val="6"/>
          <w:szCs w:val="24"/>
          <w:highlight w:val="none"/>
          <w:lang w:val="en-US" w:eastAsia="zh-CN"/>
        </w:rPr>
        <w:t>投标人</w:t>
      </w:r>
      <w:r>
        <w:rPr>
          <w:rFonts w:hint="eastAsia" w:cs="宋体"/>
          <w:color w:val="auto"/>
          <w:spacing w:val="6"/>
          <w:szCs w:val="24"/>
          <w:highlight w:val="none"/>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宋体"/>
          <w:color w:val="auto"/>
          <w:spacing w:val="6"/>
          <w:szCs w:val="24"/>
          <w:highlight w:val="none"/>
        </w:rPr>
        <w:t>：</w:t>
      </w:r>
    </w:p>
    <w:p w14:paraId="5183E380">
      <w:pPr>
        <w:ind w:right="1008" w:firstLine="4284" w:firstLineChars="1700"/>
        <w:rPr>
          <w:rFonts w:hint="default" w:eastAsia="宋体" w:cs="宋体"/>
          <w:color w:val="auto"/>
          <w:spacing w:val="6"/>
          <w:szCs w:val="24"/>
          <w:highlight w:val="none"/>
          <w:lang w:val="en-US" w:eastAsia="zh-CN"/>
        </w:rPr>
      </w:pPr>
      <w:r>
        <w:rPr>
          <w:rFonts w:hint="eastAsia" w:cs="宋体"/>
          <w:color w:val="auto"/>
          <w:spacing w:val="6"/>
          <w:szCs w:val="24"/>
          <w:highlight w:val="none"/>
        </w:rPr>
        <w:t>日期：</w:t>
      </w:r>
      <w:r>
        <w:rPr>
          <w:rFonts w:hint="eastAsia" w:cs="宋体"/>
          <w:color w:val="auto"/>
          <w:spacing w:val="6"/>
          <w:szCs w:val="24"/>
          <w:highlight w:val="none"/>
          <w:lang w:val="en-US" w:eastAsia="zh-CN"/>
        </w:rPr>
        <w:t xml:space="preserve">   年  月  日</w:t>
      </w:r>
    </w:p>
    <w:p w14:paraId="7BA8C73B">
      <w:pPr>
        <w:ind w:firstLine="504" w:firstLineChars="200"/>
        <w:rPr>
          <w:rFonts w:cs="宋体"/>
          <w:color w:val="auto"/>
          <w:spacing w:val="6"/>
          <w:szCs w:val="24"/>
          <w:highlight w:val="none"/>
        </w:rPr>
      </w:pPr>
    </w:p>
    <w:p w14:paraId="748B4DD4">
      <w:pPr>
        <w:rPr>
          <w:rFonts w:hint="default" w:cs="宋体"/>
          <w:b/>
          <w:bCs/>
          <w:color w:val="auto"/>
          <w:spacing w:val="6"/>
          <w:sz w:val="21"/>
          <w:szCs w:val="21"/>
          <w:highlight w:val="none"/>
          <w:lang w:val="en-US" w:eastAsia="zh-CN"/>
        </w:rPr>
      </w:pPr>
      <w:r>
        <w:rPr>
          <w:rFonts w:hint="eastAsia" w:cs="宋体"/>
          <w:b/>
          <w:bCs/>
          <w:color w:val="auto"/>
          <w:spacing w:val="6"/>
          <w:sz w:val="21"/>
          <w:szCs w:val="21"/>
          <w:highlight w:val="none"/>
        </w:rPr>
        <w:t>说明：</w:t>
      </w:r>
      <w:r>
        <w:rPr>
          <w:rFonts w:hint="eastAsia" w:cs="宋体"/>
          <w:b/>
          <w:bCs/>
          <w:color w:val="auto"/>
          <w:spacing w:val="6"/>
          <w:sz w:val="21"/>
          <w:szCs w:val="21"/>
          <w:highlight w:val="none"/>
          <w:lang w:val="en-US" w:eastAsia="zh-CN"/>
        </w:rPr>
        <w:t>1.重要提示：供应商应仔细阅读本函附件1关于</w:t>
      </w:r>
      <w:r>
        <w:rPr>
          <w:rFonts w:hint="eastAsia" w:cs="宋体"/>
          <w:color w:val="auto"/>
          <w:spacing w:val="-6"/>
          <w:kern w:val="0"/>
          <w:sz w:val="21"/>
          <w:szCs w:val="21"/>
          <w:highlight w:val="none"/>
          <w:lang w:val="en-US" w:eastAsia="zh-CN" w:bidi="ar"/>
        </w:rPr>
        <w:t>“</w:t>
      </w:r>
      <w:r>
        <w:rPr>
          <w:rFonts w:hint="eastAsia" w:cs="宋体"/>
          <w:b/>
          <w:bCs/>
          <w:color w:val="auto"/>
          <w:spacing w:val="6"/>
          <w:sz w:val="21"/>
          <w:szCs w:val="21"/>
          <w:highlight w:val="none"/>
          <w:lang w:val="en-US" w:eastAsia="zh-CN"/>
        </w:rPr>
        <w:t>中小企业声明函”的填写要求及提交要求，否则，因填写或提交等产生的一切不利后果，须自行承担。</w:t>
      </w:r>
    </w:p>
    <w:p w14:paraId="126DF3AF">
      <w:pPr>
        <w:ind w:firstLine="668" w:firstLineChars="300"/>
        <w:rPr>
          <w:rFonts w:cs="宋体"/>
          <w:color w:val="auto"/>
          <w:spacing w:val="6"/>
          <w:sz w:val="21"/>
          <w:szCs w:val="21"/>
          <w:highlight w:val="none"/>
        </w:rPr>
      </w:pPr>
      <w:r>
        <w:rPr>
          <w:rFonts w:hint="eastAsia" w:cs="宋体"/>
          <w:b/>
          <w:bCs/>
          <w:color w:val="auto"/>
          <w:spacing w:val="6"/>
          <w:sz w:val="21"/>
          <w:szCs w:val="21"/>
          <w:highlight w:val="none"/>
          <w:lang w:val="en-US" w:eastAsia="zh-CN"/>
        </w:rPr>
        <w:t>2.</w:t>
      </w:r>
      <w:r>
        <w:rPr>
          <w:rFonts w:hint="eastAsia" w:cs="宋体"/>
          <w:color w:val="auto"/>
          <w:spacing w:val="6"/>
          <w:sz w:val="21"/>
          <w:szCs w:val="21"/>
          <w:highlight w:val="none"/>
        </w:rPr>
        <w:t>从业人员、营业收入、资产总额填报上一年度数据，无上一年度数据的新成立企业可不填报。</w:t>
      </w:r>
    </w:p>
    <w:p w14:paraId="54C60C6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44B8976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7665769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3EAEDF6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00376C39">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color w:val="auto"/>
          <w:highlight w:val="none"/>
          <w:lang w:val="en-US" w:eastAsia="zh-CN"/>
        </w:rPr>
      </w:pPr>
      <w:r>
        <w:rPr>
          <w:rFonts w:hint="eastAsia"/>
          <w:b/>
          <w:bCs/>
          <w:color w:val="auto"/>
          <w:highlight w:val="none"/>
          <w:lang w:val="en-US" w:eastAsia="zh-CN"/>
        </w:rPr>
        <w:t xml:space="preserve">附件1 </w:t>
      </w:r>
    </w:p>
    <w:p w14:paraId="1B7EF9B9">
      <w:pPr>
        <w:keepNext w:val="0"/>
        <w:keepLines w:val="0"/>
        <w:widowControl/>
        <w:suppressLineNumbers w:val="0"/>
        <w:ind w:firstLine="562" w:firstLineChars="200"/>
        <w:jc w:val="left"/>
        <w:rPr>
          <w:rStyle w:val="33"/>
          <w:rFonts w:hint="eastAsia" w:ascii="宋体" w:hAnsi="宋体" w:eastAsia="宋体" w:cs="宋体"/>
          <w:color w:val="auto"/>
          <w:kern w:val="0"/>
          <w:sz w:val="28"/>
          <w:szCs w:val="28"/>
          <w:highlight w:val="none"/>
          <w:lang w:val="en-US" w:eastAsia="zh-CN" w:bidi="ar"/>
        </w:rPr>
      </w:pPr>
    </w:p>
    <w:p w14:paraId="2B5549A9">
      <w:pPr>
        <w:keepNext w:val="0"/>
        <w:keepLines w:val="0"/>
        <w:widowControl/>
        <w:suppressLineNumbers w:val="0"/>
        <w:ind w:firstLine="482" w:firstLineChars="200"/>
        <w:jc w:val="left"/>
        <w:rPr>
          <w:rStyle w:val="33"/>
          <w:rFonts w:hint="eastAsia" w:ascii="宋体" w:hAnsi="宋体" w:eastAsia="宋体" w:cs="宋体"/>
          <w:color w:val="auto"/>
          <w:kern w:val="0"/>
          <w:sz w:val="24"/>
          <w:szCs w:val="24"/>
          <w:highlight w:val="none"/>
          <w:lang w:val="en-US" w:eastAsia="zh-CN" w:bidi="ar"/>
        </w:rPr>
      </w:pPr>
      <w:r>
        <w:rPr>
          <w:rStyle w:val="33"/>
          <w:rFonts w:hint="eastAsia" w:ascii="宋体" w:hAnsi="宋体" w:eastAsia="宋体" w:cs="宋体"/>
          <w:color w:val="auto"/>
          <w:kern w:val="0"/>
          <w:sz w:val="24"/>
          <w:szCs w:val="24"/>
          <w:highlight w:val="none"/>
          <w:lang w:val="en-US" w:eastAsia="zh-CN" w:bidi="ar"/>
        </w:rPr>
        <w:t>（一）关于</w:t>
      </w:r>
      <w:r>
        <w:rPr>
          <w:rStyle w:val="33"/>
          <w:rFonts w:hint="eastAsia" w:cs="宋体"/>
          <w:color w:val="auto"/>
          <w:kern w:val="0"/>
          <w:sz w:val="24"/>
          <w:szCs w:val="24"/>
          <w:highlight w:val="none"/>
          <w:lang w:val="en-US" w:eastAsia="zh-CN" w:bidi="ar"/>
        </w:rPr>
        <w:t>“</w:t>
      </w:r>
      <w:r>
        <w:rPr>
          <w:rStyle w:val="33"/>
          <w:rFonts w:hint="eastAsia" w:ascii="宋体" w:hAnsi="宋体" w:eastAsia="宋体" w:cs="宋体"/>
          <w:color w:val="auto"/>
          <w:kern w:val="0"/>
          <w:sz w:val="24"/>
          <w:szCs w:val="24"/>
          <w:highlight w:val="none"/>
          <w:lang w:val="en-US" w:eastAsia="zh-CN" w:bidi="ar"/>
        </w:rPr>
        <w:t>中小企业声明函</w:t>
      </w:r>
      <w:r>
        <w:rPr>
          <w:rStyle w:val="33"/>
          <w:rFonts w:hint="eastAsia" w:cs="宋体"/>
          <w:color w:val="auto"/>
          <w:kern w:val="0"/>
          <w:sz w:val="24"/>
          <w:szCs w:val="24"/>
          <w:highlight w:val="none"/>
          <w:lang w:val="en-US" w:eastAsia="zh-CN" w:bidi="ar"/>
        </w:rPr>
        <w:t>”</w:t>
      </w:r>
      <w:r>
        <w:rPr>
          <w:rStyle w:val="33"/>
          <w:rFonts w:hint="eastAsia" w:ascii="宋体" w:hAnsi="宋体" w:eastAsia="宋体" w:cs="宋体"/>
          <w:color w:val="auto"/>
          <w:kern w:val="0"/>
          <w:sz w:val="24"/>
          <w:szCs w:val="24"/>
          <w:highlight w:val="none"/>
          <w:lang w:val="en-US" w:eastAsia="zh-CN" w:bidi="ar"/>
        </w:rPr>
        <w:t>的填写要求</w:t>
      </w:r>
    </w:p>
    <w:p w14:paraId="6BC4DFB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具体填写要求如下：</w:t>
      </w:r>
    </w:p>
    <w:p w14:paraId="414BDEE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1.“单位名称”应填写采购人名称。</w:t>
      </w:r>
    </w:p>
    <w:p w14:paraId="3C11145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项目名称”应按照采购文件中确定的项目名称填写。对于分包方式面向中小企业采购的项目，应标明中小企业的具体分包内容；对于以联合体方式面向中小企业采购的项目，应标明联合体中中小企业所承担的具体内容。</w:t>
      </w:r>
    </w:p>
    <w:p w14:paraId="02B61C1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标的名称”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29C8232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4.“采购文件中明确的所属行业”应填写采购文件中明确的采购标的所属行业，并应确保与采购标的涉及的货物制造商/服务承接商/工程承建商（根据项目属性确定）本身的所属行业保持一致。</w:t>
      </w:r>
    </w:p>
    <w:p w14:paraId="634D661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分包方式面向中小企业采购的项目，“采购文件中明确的所属行业”应按照采购文件中注明的分包给中小企业的采购标的所属行业填写，并应确保与该分包部分采购标的涉及的货物制造商/服务承接商/工程承建商（根据项目属性确定）本身的所属行业保持一致。</w:t>
      </w:r>
    </w:p>
    <w:p w14:paraId="3941B3F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以联合体方式面向中小企业采购的项目，“采购文件中明确的所属行业”应按照采购文件中注明的联合体中中小企业承担的采购标的所属行业填写，并应确保与该承担部分采购标的涉及的货物制造商/服务承接商/工程承建商（根据项目属性确定）本身的所属行业保持一致。</w:t>
      </w:r>
    </w:p>
    <w:p w14:paraId="3C9C37F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5.“企业名称”应填写投标（响应）的货物制造商/服务承接商/工程承建商（根据项目属性确定）。</w:t>
      </w:r>
    </w:p>
    <w:p w14:paraId="1A04AFA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对于分包方式面向中小企业采购的项目，“企业名称”应填写分包部分采购标的对应的货物制造商/服务承接商/工程承建商（根据项目属性确定）。</w:t>
      </w:r>
    </w:p>
    <w:p w14:paraId="67D0083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对于以联合体方式面向中小企业采购的项目，“企业名称”应填写联合体中中小企业承担采购标的对应的货物制造商/服务承接商/工程承建商（根据项目属性确定）。</w:t>
      </w:r>
    </w:p>
    <w:p w14:paraId="47482CF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6.从业人员、资产总额指标以上年度末数据为依据，营业收入指标以上年度累计数据为依据。无上年度数据的新成立企业可不填报。</w:t>
      </w:r>
    </w:p>
    <w:p w14:paraId="417BBFD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7.“中型企业/小型企业/微型企业”部分，供应商应依据企业上年度从业人员、营业收入、资产总额等指标，按照《中小企业划型标准规定》（工信部联企业〔2011〕300号）、《金融业企业划型标准规定》（银发〔2015〕309号），判断</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载明的货物制造商/服务承接商/工程承建商（根据项目属性确定）是否属于采购文件所属行业的中型企业/小型企业/微型企业。</w:t>
      </w:r>
    </w:p>
    <w:p w14:paraId="0A3DD53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8.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7BA9439A">
      <w:pPr>
        <w:keepNext w:val="0"/>
        <w:keepLines w:val="0"/>
        <w:widowControl/>
        <w:suppressLineNumbers w:val="0"/>
        <w:ind w:firstLine="482" w:firstLineChars="200"/>
        <w:jc w:val="left"/>
        <w:rPr>
          <w:rStyle w:val="33"/>
          <w:rFonts w:hint="eastAsia" w:ascii="宋体" w:hAnsi="宋体" w:eastAsia="宋体" w:cs="宋体"/>
          <w:color w:val="auto"/>
          <w:kern w:val="0"/>
          <w:sz w:val="24"/>
          <w:szCs w:val="24"/>
          <w:highlight w:val="none"/>
          <w:lang w:val="en-US" w:eastAsia="zh-CN" w:bidi="ar"/>
        </w:rPr>
      </w:pPr>
      <w:r>
        <w:rPr>
          <w:rStyle w:val="33"/>
          <w:rFonts w:hint="eastAsia" w:ascii="宋体" w:hAnsi="宋体" w:eastAsia="宋体" w:cs="宋体"/>
          <w:color w:val="auto"/>
          <w:kern w:val="0"/>
          <w:sz w:val="24"/>
          <w:szCs w:val="24"/>
          <w:highlight w:val="none"/>
          <w:lang w:val="en-US" w:eastAsia="zh-CN" w:bidi="ar"/>
        </w:rPr>
        <w:t>（二）关于</w:t>
      </w:r>
      <w:r>
        <w:rPr>
          <w:rStyle w:val="33"/>
          <w:rFonts w:hint="eastAsia" w:cs="宋体"/>
          <w:color w:val="auto"/>
          <w:kern w:val="0"/>
          <w:sz w:val="24"/>
          <w:szCs w:val="24"/>
          <w:highlight w:val="none"/>
          <w:lang w:val="en-US" w:eastAsia="zh-CN" w:bidi="ar"/>
        </w:rPr>
        <w:t>“</w:t>
      </w:r>
      <w:r>
        <w:rPr>
          <w:rStyle w:val="33"/>
          <w:rFonts w:hint="eastAsia" w:ascii="宋体" w:hAnsi="宋体" w:eastAsia="宋体" w:cs="宋体"/>
          <w:color w:val="auto"/>
          <w:kern w:val="0"/>
          <w:sz w:val="24"/>
          <w:szCs w:val="24"/>
          <w:highlight w:val="none"/>
          <w:lang w:val="en-US" w:eastAsia="zh-CN" w:bidi="ar"/>
        </w:rPr>
        <w:t>中小企业声明函</w:t>
      </w:r>
      <w:r>
        <w:rPr>
          <w:rStyle w:val="33"/>
          <w:rFonts w:hint="eastAsia" w:cs="宋体"/>
          <w:color w:val="auto"/>
          <w:kern w:val="0"/>
          <w:sz w:val="24"/>
          <w:szCs w:val="24"/>
          <w:highlight w:val="none"/>
          <w:lang w:val="en-US" w:eastAsia="zh-CN" w:bidi="ar"/>
        </w:rPr>
        <w:t>”</w:t>
      </w:r>
      <w:r>
        <w:rPr>
          <w:rStyle w:val="33"/>
          <w:rFonts w:hint="eastAsia" w:ascii="宋体" w:hAnsi="宋体" w:eastAsia="宋体" w:cs="宋体"/>
          <w:color w:val="auto"/>
          <w:kern w:val="0"/>
          <w:sz w:val="24"/>
          <w:szCs w:val="24"/>
          <w:highlight w:val="none"/>
          <w:lang w:val="en-US" w:eastAsia="zh-CN" w:bidi="ar"/>
        </w:rPr>
        <w:t>的提交要求</w:t>
      </w:r>
    </w:p>
    <w:p w14:paraId="5F29A0D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1.投标（响应）供应商对</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的真实性负责。投标（响应）供应商应当核实投标（响应）的货物制造商/服务承接商/工程承建商（根据项目属性确定）的相关信息，如对相关信息了解不充分，或者不能确定相关信息真实、准确的，不建议出具</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w:t>
      </w:r>
    </w:p>
    <w:p w14:paraId="49FFD35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2.鼓励供应商在投标（响应）时一并提供对货物制造商、服务承接商、工程承建商相关信息的核实核验情况以及其他佐证材料。</w:t>
      </w:r>
    </w:p>
    <w:p w14:paraId="15483C2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3.如供应商提供的</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存在按采购文件所属行业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6E224C04">
      <w:pPr>
        <w:rPr>
          <w:rFonts w:cs="宋体"/>
          <w:color w:val="auto"/>
          <w:spacing w:val="6"/>
          <w:sz w:val="21"/>
          <w:szCs w:val="21"/>
          <w:highlight w:val="none"/>
        </w:rPr>
      </w:pPr>
    </w:p>
    <w:p w14:paraId="511B2BB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b/>
          <w:bCs/>
          <w:color w:val="auto"/>
          <w:highlight w:val="none"/>
          <w:lang w:val="en-US" w:eastAsia="zh-CN"/>
        </w:rPr>
      </w:pPr>
      <w:r>
        <w:rPr>
          <w:rFonts w:hint="eastAsia"/>
          <w:b/>
          <w:bCs/>
          <w:color w:val="auto"/>
          <w:highlight w:val="none"/>
          <w:lang w:val="en-US" w:eastAsia="zh-CN"/>
        </w:rPr>
        <w:t>附件2：</w:t>
      </w:r>
    </w:p>
    <w:p w14:paraId="39036397">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关于印发中小企业划型标准规定的通知</w:t>
      </w:r>
    </w:p>
    <w:p w14:paraId="7A2004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33"/>
          <w:rFonts w:hint="eastAsia" w:ascii="宋体" w:hAnsi="宋体" w:eastAsia="宋体" w:cs="宋体"/>
          <w:b w:val="0"/>
          <w:color w:val="auto"/>
          <w:sz w:val="24"/>
          <w:szCs w:val="24"/>
          <w:highlight w:val="none"/>
        </w:rPr>
      </w:pPr>
      <w:r>
        <w:rPr>
          <w:rStyle w:val="33"/>
          <w:rFonts w:hint="eastAsia" w:ascii="宋体" w:hAnsi="宋体" w:eastAsia="宋体" w:cs="宋体"/>
          <w:b w:val="0"/>
          <w:color w:val="auto"/>
          <w:sz w:val="24"/>
          <w:szCs w:val="24"/>
          <w:highlight w:val="none"/>
        </w:rPr>
        <w:t>工信部联企业〔2011〕300号</w:t>
      </w:r>
    </w:p>
    <w:p w14:paraId="0E959B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33"/>
          <w:rFonts w:hint="eastAsia" w:ascii="宋体" w:hAnsi="宋体" w:eastAsia="宋体" w:cs="宋体"/>
          <w:b w:val="0"/>
          <w:color w:val="auto"/>
          <w:sz w:val="24"/>
          <w:szCs w:val="24"/>
          <w:highlight w:val="none"/>
        </w:rPr>
      </w:pPr>
    </w:p>
    <w:p w14:paraId="289C59A7">
      <w:pPr>
        <w:keepNext w:val="0"/>
        <w:keepLines w:val="0"/>
        <w:pageBreakBefore w:val="0"/>
        <w:widowControl w:val="0"/>
        <w:kinsoku/>
        <w:wordWrap/>
        <w:overflowPunct/>
        <w:topLinePunct w:val="0"/>
        <w:autoSpaceDE/>
        <w:autoSpaceDN/>
        <w:bidi w:val="0"/>
        <w:adjustRightInd/>
        <w:snapToGrid/>
        <w:spacing w:line="360" w:lineRule="exact"/>
        <w:textAlignment w:val="auto"/>
        <w:rPr>
          <w:rStyle w:val="33"/>
          <w:rFonts w:hint="eastAsia" w:ascii="宋体" w:hAnsi="宋体" w:eastAsia="宋体" w:cs="宋体"/>
          <w:b w:val="0"/>
          <w:color w:val="auto"/>
          <w:sz w:val="24"/>
          <w:szCs w:val="24"/>
          <w:highlight w:val="none"/>
        </w:rPr>
      </w:pPr>
      <w:r>
        <w:rPr>
          <w:rStyle w:val="33"/>
          <w:rFonts w:hint="eastAsia" w:ascii="宋体" w:hAnsi="宋体" w:eastAsia="宋体" w:cs="宋体"/>
          <w:b w:val="0"/>
          <w:color w:val="auto"/>
          <w:sz w:val="24"/>
          <w:szCs w:val="24"/>
          <w:highlight w:val="none"/>
        </w:rPr>
        <w:t>各省、自治区、直辖市人民政府，国务院各部委、各直属机构及有关单位：</w:t>
      </w:r>
    </w:p>
    <w:p w14:paraId="11AACCD7">
      <w:pPr>
        <w:keepNext w:val="0"/>
        <w:keepLines w:val="0"/>
        <w:pageBreakBefore w:val="0"/>
        <w:widowControl w:val="0"/>
        <w:kinsoku/>
        <w:wordWrap/>
        <w:overflowPunct/>
        <w:topLinePunct w:val="0"/>
        <w:autoSpaceDE/>
        <w:autoSpaceDN/>
        <w:bidi w:val="0"/>
        <w:adjustRightInd/>
        <w:snapToGrid/>
        <w:spacing w:line="36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69C30634">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工业和信息化部　国家统计局</w:t>
      </w:r>
    </w:p>
    <w:p w14:paraId="5C55A29B">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国家发展和改革委员会　财政部</w:t>
      </w:r>
    </w:p>
    <w:p w14:paraId="6F52758A">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二○一一年六月十八日</w:t>
      </w:r>
    </w:p>
    <w:p w14:paraId="75F0B3C6">
      <w:pPr>
        <w:keepNext w:val="0"/>
        <w:keepLines w:val="0"/>
        <w:pageBreakBefore w:val="0"/>
        <w:widowControl w:val="0"/>
        <w:kinsoku/>
        <w:wordWrap/>
        <w:overflowPunct/>
        <w:topLinePunct w:val="0"/>
        <w:autoSpaceDE/>
        <w:autoSpaceDN/>
        <w:bidi w:val="0"/>
        <w:adjustRightInd/>
        <w:snapToGrid/>
        <w:spacing w:line="36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xml:space="preserve"> </w:t>
      </w:r>
    </w:p>
    <w:p w14:paraId="3E2FDBA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33"/>
          <w:rFonts w:hint="eastAsia" w:ascii="宋体" w:hAnsi="宋体" w:eastAsia="宋体" w:cs="宋体"/>
          <w:b/>
          <w:bCs w:val="0"/>
          <w:color w:val="auto"/>
          <w:sz w:val="28"/>
          <w:szCs w:val="28"/>
          <w:highlight w:val="none"/>
        </w:rPr>
      </w:pPr>
      <w:r>
        <w:rPr>
          <w:rStyle w:val="33"/>
          <w:rFonts w:hint="eastAsia" w:ascii="宋体" w:hAnsi="宋体" w:eastAsia="宋体" w:cs="宋体"/>
          <w:b/>
          <w:bCs w:val="0"/>
          <w:color w:val="auto"/>
          <w:sz w:val="28"/>
          <w:szCs w:val="28"/>
          <w:highlight w:val="none"/>
        </w:rPr>
        <w:t>中小企业划型标准规定</w:t>
      </w:r>
    </w:p>
    <w:p w14:paraId="7440C465">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一、根据《中华人民共和国中小企业促进法》和《国务院关于进一步促进中小企业发展的若干意见》(国发〔2009〕36号)，制定本规定。</w:t>
      </w:r>
    </w:p>
    <w:p w14:paraId="507AD261">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二、中小企业划分为中型、小型、微型三种类型，具体标准根据企业从业人员、营业收入、资产总额等指标，结合行业特点制定。</w:t>
      </w:r>
    </w:p>
    <w:p w14:paraId="58A39619">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7F5AE90D">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四、各行业划型标准为：</w:t>
      </w:r>
    </w:p>
    <w:p w14:paraId="6B4E2D0C">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（一）农、林、牧、渔业。营业收入20000万元以下的为中小微型企业。其中，营业收入500万元及以上的为中型企业，营业收入50万元及以上的为小型企业，营业收入50万元以下的为微型企业。</w:t>
      </w:r>
    </w:p>
    <w:p w14:paraId="79E2F5AC">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3AA582AE">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21D138B">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217EB3B7">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1FEB118A">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7514A6D2">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3EFCEC98">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6D4D3E4D">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A462725">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37CBAA6">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10AAA96">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EC394A7">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1121D1E">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46AB8718">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40881398">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（十六）其他未列明行业。从业人员300人以下的为中小微型企业。其中，从业人员100人及以上的为中型企业；从业人员10人及以上的为小型企业；从业人员10人以下的为微型企业。　　</w:t>
      </w:r>
    </w:p>
    <w:p w14:paraId="509B953B">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五、企业类型的划分以统计部门的统计数据为依据。</w:t>
      </w:r>
    </w:p>
    <w:p w14:paraId="77228C0D">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六、本规定适用于在中华人民共和国境内依法设立的各类所有制和各种组织形式的企业。个体工商户和本规定以外的行业，参照本规定进行划型。</w:t>
      </w:r>
    </w:p>
    <w:p w14:paraId="5F4BB8EA">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0450AEC1">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八、本规定由工业和信息化部、国家统计局会同有关部门根据《国民经济行业分类》修订情况和企业发展变化情况适时修订。</w:t>
      </w:r>
    </w:p>
    <w:p w14:paraId="69D789A4">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九、本规定由工业和信息化部、国家统计局会同有关部门负责解释。</w:t>
      </w:r>
    </w:p>
    <w:p w14:paraId="4299A031">
      <w:pPr>
        <w:keepNext w:val="0"/>
        <w:keepLines w:val="0"/>
        <w:pageBreakBefore w:val="0"/>
        <w:widowControl w:val="0"/>
        <w:kinsoku/>
        <w:wordWrap/>
        <w:overflowPunct/>
        <w:topLinePunct w:val="0"/>
        <w:autoSpaceDE/>
        <w:autoSpaceDN/>
        <w:bidi w:val="0"/>
        <w:adjustRightInd/>
        <w:snapToGrid/>
        <w:spacing w:line="400" w:lineRule="exact"/>
        <w:textAlignment w:val="auto"/>
        <w:rPr>
          <w:rFonts w:cs="宋体"/>
          <w:color w:val="auto"/>
          <w:spacing w:val="6"/>
          <w:sz w:val="21"/>
          <w:szCs w:val="21"/>
          <w:highlight w:val="none"/>
        </w:rPr>
      </w:pPr>
      <w:r>
        <w:rPr>
          <w:rStyle w:val="33"/>
          <w:rFonts w:hint="eastAsia" w:ascii="宋体" w:hAnsi="宋体" w:eastAsia="宋体" w:cs="宋体"/>
          <w:b w:val="0"/>
          <w:bCs w:val="0"/>
          <w:color w:val="auto"/>
          <w:sz w:val="24"/>
          <w:szCs w:val="24"/>
          <w:highlight w:val="none"/>
        </w:rPr>
        <w:t>十、本规定自发布之日起执行，原国家经贸委、原国家计委、财政部和国家统计局2003年颁布的《中小企业标准暂行规定》同时废止。</w:t>
      </w:r>
    </w:p>
    <w:p w14:paraId="2CABEDA6">
      <w:pPr>
        <w:rPr>
          <w:rFonts w:cs="宋体"/>
          <w:color w:val="auto"/>
          <w:spacing w:val="6"/>
          <w:sz w:val="21"/>
          <w:szCs w:val="21"/>
          <w:highlight w:val="none"/>
        </w:rPr>
      </w:pPr>
    </w:p>
    <w:p w14:paraId="69E3A359">
      <w:pPr>
        <w:rPr>
          <w:rFonts w:cs="宋体"/>
          <w:color w:val="auto"/>
          <w:spacing w:val="6"/>
          <w:sz w:val="21"/>
          <w:szCs w:val="21"/>
          <w:highlight w:val="none"/>
        </w:rPr>
      </w:pPr>
    </w:p>
    <w:p w14:paraId="2DA82083">
      <w:pPr>
        <w:rPr>
          <w:rFonts w:cs="宋体"/>
          <w:color w:val="auto"/>
          <w:spacing w:val="6"/>
          <w:sz w:val="21"/>
          <w:szCs w:val="21"/>
          <w:highlight w:val="none"/>
        </w:rPr>
      </w:pPr>
    </w:p>
    <w:p w14:paraId="1140213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b/>
          <w:bCs/>
          <w:color w:val="auto"/>
          <w:highlight w:val="none"/>
          <w:lang w:val="en-US" w:eastAsia="zh-CN"/>
        </w:rPr>
      </w:pPr>
      <w:r>
        <w:rPr>
          <w:rFonts w:hint="eastAsia"/>
          <w:b/>
          <w:bCs/>
          <w:color w:val="auto"/>
          <w:highlight w:val="none"/>
          <w:lang w:val="en-US" w:eastAsia="zh-CN"/>
        </w:rPr>
        <w:t>附件3：</w:t>
      </w:r>
    </w:p>
    <w:p w14:paraId="69CF5111">
      <w:pPr>
        <w:rPr>
          <w:rFonts w:hint="eastAsia" w:cs="宋体"/>
          <w:color w:val="auto"/>
          <w:spacing w:val="6"/>
          <w:sz w:val="21"/>
          <w:szCs w:val="21"/>
          <w:highlight w:val="none"/>
        </w:rPr>
      </w:pPr>
    </w:p>
    <w:p w14:paraId="1C50A461">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关于印发《金融业企业划型标准规定》的通知</w:t>
      </w:r>
    </w:p>
    <w:p w14:paraId="2EC1ECF3">
      <w:pPr>
        <w:jc w:val="center"/>
        <w:rPr>
          <w:rStyle w:val="33"/>
          <w:rFonts w:hint="eastAsia" w:ascii="宋体" w:hAnsi="宋体" w:eastAsia="宋体" w:cs="宋体"/>
          <w:b w:val="0"/>
          <w:color w:val="auto"/>
          <w:sz w:val="24"/>
          <w:szCs w:val="24"/>
          <w:highlight w:val="none"/>
        </w:rPr>
      </w:pPr>
      <w:r>
        <w:rPr>
          <w:rStyle w:val="33"/>
          <w:rFonts w:hint="eastAsia" w:ascii="宋体" w:hAnsi="宋体" w:eastAsia="宋体" w:cs="宋体"/>
          <w:b w:val="0"/>
          <w:color w:val="auto"/>
          <w:sz w:val="24"/>
          <w:szCs w:val="24"/>
          <w:highlight w:val="none"/>
        </w:rPr>
        <w:t>银发〔2015〕309号</w:t>
      </w:r>
    </w:p>
    <w:p w14:paraId="6EBA1AEF">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12B6BFCB">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请人民银行上海总部，各分行、营业管理部、省会（首府）城市中心支行、副省级城市中心支行会同所在省（区、市）银监局、证监局、保监局、统计局将本通知联合转发至辖内相关机构。</w:t>
      </w:r>
    </w:p>
    <w:p w14:paraId="53F6A9E3">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3"/>
          <w:rFonts w:hint="eastAsia" w:ascii="宋体" w:hAnsi="宋体" w:eastAsia="宋体" w:cs="宋体"/>
          <w:b w:val="0"/>
          <w:bCs w:val="0"/>
          <w:color w:val="auto"/>
          <w:sz w:val="24"/>
          <w:szCs w:val="24"/>
          <w:highlight w:val="none"/>
        </w:rPr>
      </w:pPr>
    </w:p>
    <w:p w14:paraId="5AE5F476">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附件：金融业企业划型标准规定</w:t>
      </w:r>
    </w:p>
    <w:p w14:paraId="575D4BF4">
      <w:pPr>
        <w:keepNext w:val="0"/>
        <w:keepLines w:val="0"/>
        <w:pageBreakBefore w:val="0"/>
        <w:widowControl w:val="0"/>
        <w:kinsoku/>
        <w:wordWrap/>
        <w:overflowPunct/>
        <w:topLinePunct w:val="0"/>
        <w:autoSpaceDE/>
        <w:autoSpaceDN/>
        <w:bidi w:val="0"/>
        <w:adjustRightInd/>
        <w:snapToGrid/>
        <w:spacing w:line="460" w:lineRule="exact"/>
        <w:textAlignment w:val="auto"/>
        <w:rPr>
          <w:rStyle w:val="33"/>
          <w:rFonts w:hint="eastAsia" w:ascii="宋体" w:hAnsi="宋体" w:eastAsia="宋体" w:cs="宋体"/>
          <w:b w:val="0"/>
          <w:bCs w:val="0"/>
          <w:color w:val="auto"/>
          <w:sz w:val="24"/>
          <w:szCs w:val="24"/>
          <w:highlight w:val="none"/>
        </w:rPr>
      </w:pPr>
      <w:r>
        <w:rPr>
          <w:rFonts w:hint="eastAsia" w:cs="宋体"/>
          <w:color w:val="auto"/>
          <w:spacing w:val="6"/>
          <w:sz w:val="24"/>
          <w:szCs w:val="24"/>
          <w:highlight w:val="none"/>
        </w:rPr>
        <w:t>                                      </w:t>
      </w:r>
      <w:r>
        <w:rPr>
          <w:rStyle w:val="33"/>
          <w:rFonts w:hint="eastAsia" w:ascii="宋体" w:hAnsi="宋体" w:eastAsia="宋体" w:cs="宋体"/>
          <w:b w:val="0"/>
          <w:bCs w:val="0"/>
          <w:color w:val="auto"/>
          <w:sz w:val="24"/>
          <w:szCs w:val="24"/>
          <w:highlight w:val="none"/>
        </w:rPr>
        <w:t>       </w:t>
      </w:r>
      <w:r>
        <w:rPr>
          <w:rStyle w:val="33"/>
          <w:rFonts w:hint="eastAsia" w:cs="宋体"/>
          <w:b w:val="0"/>
          <w:bCs w:val="0"/>
          <w:color w:val="auto"/>
          <w:sz w:val="24"/>
          <w:szCs w:val="24"/>
          <w:highlight w:val="none"/>
          <w:lang w:val="en-US" w:eastAsia="zh-CN"/>
        </w:rPr>
        <w:t xml:space="preserve">                            </w:t>
      </w:r>
      <w:r>
        <w:rPr>
          <w:rStyle w:val="33"/>
          <w:rFonts w:hint="eastAsia" w:ascii="宋体" w:hAnsi="宋体" w:eastAsia="宋体" w:cs="宋体"/>
          <w:b w:val="0"/>
          <w:bCs w:val="0"/>
          <w:color w:val="auto"/>
          <w:sz w:val="24"/>
          <w:szCs w:val="24"/>
          <w:highlight w:val="none"/>
        </w:rPr>
        <w:t>中国人民银行</w:t>
      </w:r>
    </w:p>
    <w:p w14:paraId="0E162F05">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中国银行业监督管理委员会</w:t>
      </w:r>
    </w:p>
    <w:p w14:paraId="644A820C">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中国证券监督管理委员会</w:t>
      </w:r>
    </w:p>
    <w:p w14:paraId="13427FED">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中国保险监督管理委员会</w:t>
      </w:r>
    </w:p>
    <w:p w14:paraId="189E390E">
      <w:pPr>
        <w:keepNext w:val="0"/>
        <w:keepLines w:val="0"/>
        <w:pageBreakBefore w:val="0"/>
        <w:widowControl w:val="0"/>
        <w:kinsoku/>
        <w:wordWrap/>
        <w:overflowPunct/>
        <w:topLinePunct w:val="0"/>
        <w:autoSpaceDE/>
        <w:autoSpaceDN/>
        <w:bidi w:val="0"/>
        <w:adjustRightInd/>
        <w:snapToGrid/>
        <w:spacing w:line="460" w:lineRule="exact"/>
        <w:ind w:firstLine="2160" w:firstLineChars="900"/>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中华人民共和国国家统计局</w:t>
      </w:r>
    </w:p>
    <w:p w14:paraId="35EB1163">
      <w:pPr>
        <w:keepNext w:val="0"/>
        <w:keepLines w:val="0"/>
        <w:pageBreakBefore w:val="0"/>
        <w:widowControl w:val="0"/>
        <w:kinsoku/>
        <w:wordWrap/>
        <w:overflowPunct/>
        <w:topLinePunct w:val="0"/>
        <w:autoSpaceDE/>
        <w:autoSpaceDN/>
        <w:bidi w:val="0"/>
        <w:adjustRightInd/>
        <w:snapToGrid/>
        <w:spacing w:line="46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w:t>
      </w:r>
      <w:r>
        <w:rPr>
          <w:rStyle w:val="33"/>
          <w:rFonts w:hint="eastAsia" w:cs="宋体"/>
          <w:b w:val="0"/>
          <w:bCs w:val="0"/>
          <w:color w:val="auto"/>
          <w:sz w:val="24"/>
          <w:szCs w:val="24"/>
          <w:highlight w:val="none"/>
          <w:lang w:val="en-US" w:eastAsia="zh-CN"/>
        </w:rPr>
        <w:t xml:space="preserve">     </w:t>
      </w:r>
      <w:r>
        <w:rPr>
          <w:rStyle w:val="33"/>
          <w:rFonts w:hint="eastAsia" w:ascii="宋体" w:hAnsi="宋体" w:eastAsia="宋体" w:cs="宋体"/>
          <w:b w:val="0"/>
          <w:bCs w:val="0"/>
          <w:color w:val="auto"/>
          <w:sz w:val="24"/>
          <w:szCs w:val="24"/>
          <w:highlight w:val="none"/>
        </w:rPr>
        <w:t> 2015年9月28日</w:t>
      </w:r>
    </w:p>
    <w:p w14:paraId="2D875BF0">
      <w:pPr>
        <w:rPr>
          <w:rFonts w:hint="eastAsia" w:cs="宋体"/>
          <w:color w:val="auto"/>
          <w:spacing w:val="6"/>
          <w:sz w:val="21"/>
          <w:szCs w:val="21"/>
          <w:highlight w:val="none"/>
        </w:rPr>
      </w:pPr>
    </w:p>
    <w:p w14:paraId="3D3E2F07">
      <w:pPr>
        <w:rPr>
          <w:rFonts w:hint="eastAsia" w:cs="宋体"/>
          <w:color w:val="auto"/>
          <w:spacing w:val="6"/>
          <w:sz w:val="21"/>
          <w:szCs w:val="21"/>
          <w:highlight w:val="none"/>
          <w:lang w:val="en-US" w:eastAsia="zh-CN"/>
        </w:rPr>
      </w:pPr>
    </w:p>
    <w:p w14:paraId="7D55D2C4">
      <w:pPr>
        <w:rPr>
          <w:rFonts w:hint="eastAsia" w:cs="宋体"/>
          <w:color w:val="auto"/>
          <w:spacing w:val="6"/>
          <w:sz w:val="21"/>
          <w:szCs w:val="21"/>
          <w:highlight w:val="none"/>
          <w:lang w:val="en-US" w:eastAsia="zh-CN"/>
        </w:rPr>
      </w:pPr>
    </w:p>
    <w:p w14:paraId="535B7B3C">
      <w:pPr>
        <w:rPr>
          <w:rFonts w:hint="eastAsia" w:cs="宋体"/>
          <w:color w:val="auto"/>
          <w:spacing w:val="6"/>
          <w:sz w:val="21"/>
          <w:szCs w:val="21"/>
          <w:highlight w:val="none"/>
          <w:lang w:val="en-US" w:eastAsia="zh-CN"/>
        </w:rPr>
      </w:pPr>
    </w:p>
    <w:p w14:paraId="0003DA46">
      <w:pPr>
        <w:rPr>
          <w:rFonts w:hint="eastAsia" w:cs="宋体"/>
          <w:color w:val="auto"/>
          <w:spacing w:val="6"/>
          <w:sz w:val="21"/>
          <w:szCs w:val="21"/>
          <w:highlight w:val="none"/>
          <w:lang w:val="en-US" w:eastAsia="zh-CN"/>
        </w:rPr>
      </w:pPr>
    </w:p>
    <w:p w14:paraId="2EB5298D">
      <w:pPr>
        <w:rPr>
          <w:rFonts w:hint="eastAsia" w:cs="宋体"/>
          <w:color w:val="auto"/>
          <w:spacing w:val="6"/>
          <w:sz w:val="21"/>
          <w:szCs w:val="21"/>
          <w:highlight w:val="none"/>
          <w:lang w:val="en-US" w:eastAsia="zh-CN"/>
        </w:rPr>
      </w:pPr>
    </w:p>
    <w:p w14:paraId="4E7B262E">
      <w:pPr>
        <w:rPr>
          <w:rFonts w:hint="eastAsia" w:cs="宋体"/>
          <w:color w:val="auto"/>
          <w:spacing w:val="6"/>
          <w:sz w:val="21"/>
          <w:szCs w:val="21"/>
          <w:highlight w:val="none"/>
        </w:rPr>
      </w:pPr>
      <w:r>
        <w:rPr>
          <w:rFonts w:hint="eastAsia" w:cs="宋体"/>
          <w:color w:val="auto"/>
          <w:spacing w:val="6"/>
          <w:sz w:val="21"/>
          <w:szCs w:val="21"/>
          <w:highlight w:val="none"/>
          <w:lang w:val="en-US" w:eastAsia="zh-CN"/>
        </w:rPr>
        <w:t>附件</w:t>
      </w:r>
      <w:r>
        <w:rPr>
          <w:rFonts w:hint="eastAsia" w:cs="宋体"/>
          <w:color w:val="auto"/>
          <w:spacing w:val="6"/>
          <w:sz w:val="21"/>
          <w:szCs w:val="21"/>
          <w:highlight w:val="none"/>
        </w:rPr>
        <w:t>              </w:t>
      </w:r>
    </w:p>
    <w:p w14:paraId="23A68F67">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金融业企业划型标准规定</w:t>
      </w:r>
    </w:p>
    <w:p w14:paraId="35BCA7B1">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一、根据《中华人民共和国中小企业促进法》、《国务院关于进一步促进中小企业发展的若干意见》（国发〔2009〕36号）和《国务院办公厅关于金融支持小微企业发展的实施意见》（国办发〔2013〕87号），制定本规定。</w:t>
      </w:r>
    </w:p>
    <w:p w14:paraId="465CF45A">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二、适用范围。本规定适用于从事《国民经济行业分类》（GB/T4754-2011）中J门类（金融业）活动的企业。</w:t>
      </w:r>
    </w:p>
    <w:p w14:paraId="777FDD5F">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292D97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四、划型标准指标。采用一个完整会计年度中四个季度末法人并表口径的资产总额（信托公司为信托资产）平均值作为划型指标，该指标以监管部门数据为准。</w:t>
      </w:r>
    </w:p>
    <w:p w14:paraId="3BF83806">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五、指标标准值。依据指标标准值，将各类金融业企业划分为大、中、小、微四个规模类型，中型企业标准上限及以上的为大型企业。</w:t>
      </w:r>
    </w:p>
    <w:p w14:paraId="7425771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（一）银行业存款类金融机构。资产总额40000亿元以下的为中小微型企业。其中，资产总额5000亿元及以上的为中型企业，资产总额50亿元及以上的为小型企业，资产总额50亿元以下的为微型企业。</w:t>
      </w:r>
    </w:p>
    <w:p w14:paraId="6C9C1B6A">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（二）银行业非存款类金融机构。资产总额1000亿元以下的为中小微企业。其中，资产总额200亿元及以上的为中型企业，资产总额50亿元及以上的为小型企业，资产总额50亿元以下的为微型企业。</w:t>
      </w:r>
    </w:p>
    <w:p w14:paraId="192CC4C7">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（三）贷款公司、小额贷款公司及典当行。资产总额1000亿元以下的为中小微型企业。其中，资产总额200亿元及以上的为中型企业，资产总额50亿元及以上的为小型企业，资产总额50亿元以下的为微型企业。</w:t>
      </w:r>
    </w:p>
    <w:p w14:paraId="2B49DF9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（四）证券业金融机构。资产总额1000亿元以下的为中小微型企业。其中，资产总额100亿元及以上的为中型企业，资产总额10亿元及以上的为小型企业，资产总额10亿元以下的为微型企业。</w:t>
      </w:r>
    </w:p>
    <w:p w14:paraId="0D837DC3">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（五）保险业金融机构。资产总额5000亿元以下的为中小微型企业。其中，资产总额400亿元及以上的为中型企业，资产总额20亿元及以上的为小型企业，资产总额20亿元以下的为微型企业。</w:t>
      </w:r>
    </w:p>
    <w:p w14:paraId="266F6F91">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（六）信托公司。信托资产1000亿元以下的为中小微型企业。其中，信托资产400亿元及以上的为中型企业，信托资产20亿元及以上的为小型企业，信托资产20亿元以下的为微型企业。</w:t>
      </w:r>
    </w:p>
    <w:p w14:paraId="2D1B4E7F">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（七）金融控股公司。资产总额40000亿元以下的为中小微企业。其中，资产总额5000亿元及以上的为中型企业，资产总额50亿元及以上的为小型企业，资产总额50亿元以下的为微型企业。、</w:t>
      </w:r>
    </w:p>
    <w:p w14:paraId="0E5BB8B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lang w:eastAsia="zh-CN"/>
        </w:rPr>
      </w:pPr>
      <w:r>
        <w:rPr>
          <w:rStyle w:val="33"/>
          <w:rFonts w:hint="eastAsia" w:ascii="宋体" w:hAnsi="宋体" w:eastAsia="宋体" w:cs="宋体"/>
          <w:b w:val="0"/>
          <w:bCs w:val="0"/>
          <w:color w:val="auto"/>
          <w:sz w:val="24"/>
          <w:szCs w:val="24"/>
          <w:highlight w:val="none"/>
        </w:rPr>
        <w:t>(八)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Style w:val="33"/>
          <w:rFonts w:hint="eastAsia" w:cs="宋体"/>
          <w:b w:val="0"/>
          <w:bCs w:val="0"/>
          <w:color w:val="auto"/>
          <w:sz w:val="24"/>
          <w:szCs w:val="24"/>
          <w:highlight w:val="none"/>
          <w:lang w:eastAsia="zh-CN"/>
        </w:rPr>
        <w:t>。</w:t>
      </w:r>
    </w:p>
    <w:p w14:paraId="32994D2F">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加相应的字段模块。经过认定的金融业企业在系统中进行规模登记</w:t>
      </w:r>
      <w:r>
        <w:rPr>
          <w:rStyle w:val="33"/>
          <w:rFonts w:hint="eastAsia" w:cs="宋体"/>
          <w:b w:val="0"/>
          <w:bCs w:val="0"/>
          <w:color w:val="auto"/>
          <w:sz w:val="24"/>
          <w:szCs w:val="24"/>
          <w:highlight w:val="none"/>
          <w:lang w:eastAsia="zh-CN"/>
        </w:rPr>
        <w:t>，</w:t>
      </w:r>
      <w:r>
        <w:rPr>
          <w:rStyle w:val="33"/>
          <w:rFonts w:hint="eastAsia" w:ascii="宋体" w:hAnsi="宋体" w:eastAsia="宋体" w:cs="宋体"/>
          <w:b w:val="0"/>
          <w:bCs w:val="0"/>
          <w:color w:val="auto"/>
          <w:sz w:val="24"/>
          <w:szCs w:val="24"/>
          <w:highlight w:val="none"/>
        </w:rPr>
        <w:t>方便政府部门和社会各界查询使用。</w:t>
      </w:r>
    </w:p>
    <w:p w14:paraId="034C4839">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七、标准值的评估和调整。金融业企业划型标准工作组每五年对划型标准值受经济发展与通货膨胀等因素的影响程度进行评估和调整。</w:t>
      </w:r>
    </w:p>
    <w:p w14:paraId="01F56FF4">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lang w:eastAsia="zh-CN"/>
        </w:rPr>
      </w:pPr>
      <w:r>
        <w:rPr>
          <w:rStyle w:val="33"/>
          <w:rFonts w:hint="eastAsia" w:ascii="宋体" w:hAnsi="宋体" w:eastAsia="宋体" w:cs="宋体"/>
          <w:b w:val="0"/>
          <w:bCs w:val="0"/>
          <w:color w:val="auto"/>
          <w:sz w:val="24"/>
          <w:szCs w:val="24"/>
          <w:highlight w:val="none"/>
        </w:rPr>
        <w:t>八、本规定的中型金融业企业标准上限即为大型金融业企业下限。国务院有关部门据此进行相关数据的统计分析，不得制定与本规定不一致的金融业企业划型标准</w:t>
      </w:r>
      <w:r>
        <w:rPr>
          <w:rStyle w:val="33"/>
          <w:rFonts w:hint="eastAsia" w:cs="宋体"/>
          <w:b w:val="0"/>
          <w:bCs w:val="0"/>
          <w:color w:val="auto"/>
          <w:sz w:val="24"/>
          <w:szCs w:val="24"/>
          <w:highlight w:val="none"/>
          <w:lang w:eastAsia="zh-CN"/>
        </w:rPr>
        <w:t>。</w:t>
      </w:r>
    </w:p>
    <w:p w14:paraId="62B89F5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lang w:eastAsia="zh-CN"/>
        </w:rPr>
      </w:pPr>
      <w:r>
        <w:rPr>
          <w:rStyle w:val="33"/>
          <w:rFonts w:hint="eastAsia" w:ascii="宋体" w:hAnsi="宋体" w:eastAsia="宋体" w:cs="宋体"/>
          <w:b w:val="0"/>
          <w:bCs w:val="0"/>
          <w:color w:val="auto"/>
          <w:sz w:val="24"/>
          <w:szCs w:val="24"/>
          <w:highlight w:val="none"/>
        </w:rPr>
        <w:t>九、融资担保公司参照本规定中“除贷款公司、小额贷款公司、典当行以外的其他金融机构”标准划型</w:t>
      </w:r>
      <w:r>
        <w:rPr>
          <w:rStyle w:val="33"/>
          <w:rFonts w:hint="eastAsia" w:cs="宋体"/>
          <w:b w:val="0"/>
          <w:bCs w:val="0"/>
          <w:color w:val="auto"/>
          <w:sz w:val="24"/>
          <w:szCs w:val="24"/>
          <w:highlight w:val="none"/>
          <w:lang w:eastAsia="zh-CN"/>
        </w:rPr>
        <w:t>。</w:t>
      </w:r>
    </w:p>
    <w:p w14:paraId="5562FAB9">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十、本规定由人民银行会同银监会、证监会、保监会和统计局负责解释。</w:t>
      </w:r>
    </w:p>
    <w:p w14:paraId="0CD76B78">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lang w:eastAsia="zh-CN"/>
        </w:rPr>
      </w:pPr>
      <w:r>
        <w:rPr>
          <w:rStyle w:val="33"/>
          <w:rFonts w:hint="eastAsia" w:ascii="宋体" w:hAnsi="宋体" w:eastAsia="宋体" w:cs="宋体"/>
          <w:b w:val="0"/>
          <w:bCs w:val="0"/>
          <w:color w:val="auto"/>
          <w:sz w:val="24"/>
          <w:szCs w:val="24"/>
          <w:highlight w:val="none"/>
        </w:rPr>
        <w:t>十一、本规定自发布之日起实施</w:t>
      </w:r>
      <w:r>
        <w:rPr>
          <w:rStyle w:val="33"/>
          <w:rFonts w:hint="eastAsia" w:cs="宋体"/>
          <w:b w:val="0"/>
          <w:bCs w:val="0"/>
          <w:color w:val="auto"/>
          <w:sz w:val="24"/>
          <w:szCs w:val="24"/>
          <w:highlight w:val="none"/>
          <w:lang w:eastAsia="zh-CN"/>
        </w:rPr>
        <w:t>。</w:t>
      </w:r>
    </w:p>
    <w:p w14:paraId="5DAE7F9E">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p>
    <w:p w14:paraId="13D9865C">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附:金融业企业划型标准</w:t>
      </w:r>
    </w:p>
    <w:p w14:paraId="4CB94869">
      <w:pPr>
        <w:rPr>
          <w:rFonts w:cs="宋体"/>
          <w:color w:val="auto"/>
          <w:spacing w:val="6"/>
          <w:sz w:val="21"/>
          <w:szCs w:val="21"/>
          <w:highlight w:val="none"/>
        </w:rPr>
      </w:pPr>
    </w:p>
    <w:p w14:paraId="018058A8">
      <w:pPr>
        <w:rPr>
          <w:rFonts w:hint="eastAsia" w:cs="宋体"/>
          <w:color w:val="auto"/>
          <w:spacing w:val="6"/>
          <w:sz w:val="24"/>
          <w:szCs w:val="24"/>
          <w:highlight w:val="none"/>
          <w:lang w:val="en-US" w:eastAsia="zh-CN"/>
        </w:rPr>
      </w:pPr>
    </w:p>
    <w:p w14:paraId="5023B69E">
      <w:pPr>
        <w:rPr>
          <w:rFonts w:hint="eastAsia" w:cs="宋体"/>
          <w:color w:val="auto"/>
          <w:spacing w:val="6"/>
          <w:sz w:val="24"/>
          <w:szCs w:val="24"/>
          <w:highlight w:val="none"/>
          <w:lang w:val="en-US" w:eastAsia="zh-CN"/>
        </w:rPr>
      </w:pPr>
    </w:p>
    <w:p w14:paraId="5F7D4B83">
      <w:pPr>
        <w:rPr>
          <w:rFonts w:hint="eastAsia" w:cs="宋体"/>
          <w:color w:val="auto"/>
          <w:spacing w:val="6"/>
          <w:sz w:val="24"/>
          <w:szCs w:val="24"/>
          <w:highlight w:val="none"/>
          <w:lang w:val="en-US" w:eastAsia="zh-CN"/>
        </w:rPr>
      </w:pPr>
    </w:p>
    <w:p w14:paraId="20B74F82">
      <w:pPr>
        <w:rPr>
          <w:rFonts w:hint="eastAsia" w:cs="宋体"/>
          <w:color w:val="auto"/>
          <w:spacing w:val="6"/>
          <w:sz w:val="24"/>
          <w:szCs w:val="24"/>
          <w:highlight w:val="none"/>
          <w:lang w:val="en-US" w:eastAsia="zh-CN"/>
        </w:rPr>
      </w:pPr>
    </w:p>
    <w:p w14:paraId="2C0B2223">
      <w:pPr>
        <w:rPr>
          <w:rFonts w:hint="eastAsia" w:cs="宋体"/>
          <w:color w:val="auto"/>
          <w:spacing w:val="6"/>
          <w:sz w:val="24"/>
          <w:szCs w:val="24"/>
          <w:highlight w:val="none"/>
          <w:lang w:val="en-US" w:eastAsia="zh-CN"/>
        </w:rPr>
      </w:pPr>
    </w:p>
    <w:p w14:paraId="31F0A2C8">
      <w:pPr>
        <w:rPr>
          <w:rFonts w:hint="eastAsia" w:cs="宋体"/>
          <w:color w:val="auto"/>
          <w:spacing w:val="6"/>
          <w:sz w:val="24"/>
          <w:szCs w:val="24"/>
          <w:highlight w:val="none"/>
          <w:lang w:val="en-US" w:eastAsia="zh-CN"/>
        </w:rPr>
      </w:pPr>
    </w:p>
    <w:p w14:paraId="70123D58">
      <w:pPr>
        <w:rPr>
          <w:rFonts w:hint="eastAsia" w:cs="宋体"/>
          <w:color w:val="auto"/>
          <w:spacing w:val="6"/>
          <w:sz w:val="24"/>
          <w:szCs w:val="24"/>
          <w:highlight w:val="none"/>
          <w:lang w:val="en-US" w:eastAsia="zh-CN"/>
        </w:rPr>
      </w:pPr>
      <w:r>
        <w:rPr>
          <w:rFonts w:hint="eastAsia" w:cs="宋体"/>
          <w:color w:val="auto"/>
          <w:spacing w:val="6"/>
          <w:sz w:val="24"/>
          <w:szCs w:val="24"/>
          <w:highlight w:val="none"/>
          <w:lang w:val="en-US" w:eastAsia="zh-CN"/>
        </w:rPr>
        <w:t>附</w:t>
      </w:r>
    </w:p>
    <w:p w14:paraId="7EB97DB1">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金融业企业划型标准</w:t>
      </w:r>
    </w:p>
    <w:tbl>
      <w:tblPr>
        <w:tblStyle w:val="31"/>
        <w:tblW w:w="8498"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1168"/>
        <w:gridCol w:w="1817"/>
        <w:gridCol w:w="1143"/>
        <w:gridCol w:w="3251"/>
      </w:tblGrid>
      <w:tr w14:paraId="26CBC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2287" w:type="dxa"/>
            <w:gridSpan w:val="2"/>
            <w:vAlign w:val="center"/>
          </w:tcPr>
          <w:p w14:paraId="25F9841A">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行业</w:t>
            </w:r>
          </w:p>
        </w:tc>
        <w:tc>
          <w:tcPr>
            <w:tcW w:w="1817" w:type="dxa"/>
            <w:vAlign w:val="center"/>
          </w:tcPr>
          <w:p w14:paraId="3B4008BC">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类别</w:t>
            </w:r>
          </w:p>
        </w:tc>
        <w:tc>
          <w:tcPr>
            <w:tcW w:w="1143" w:type="dxa"/>
            <w:vAlign w:val="center"/>
          </w:tcPr>
          <w:p w14:paraId="199F0882">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类型</w:t>
            </w:r>
          </w:p>
        </w:tc>
        <w:tc>
          <w:tcPr>
            <w:tcW w:w="3251" w:type="dxa"/>
            <w:vAlign w:val="center"/>
          </w:tcPr>
          <w:p w14:paraId="715E5C3B">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资产总额</w:t>
            </w:r>
          </w:p>
        </w:tc>
      </w:tr>
      <w:tr w14:paraId="471A8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1233504D">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货币金融服务</w:t>
            </w:r>
          </w:p>
        </w:tc>
        <w:tc>
          <w:tcPr>
            <w:tcW w:w="1168" w:type="dxa"/>
            <w:vMerge w:val="restart"/>
            <w:vAlign w:val="center"/>
          </w:tcPr>
          <w:p w14:paraId="4350DE89">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货币银行服务</w:t>
            </w:r>
          </w:p>
        </w:tc>
        <w:tc>
          <w:tcPr>
            <w:tcW w:w="1817" w:type="dxa"/>
            <w:vMerge w:val="restart"/>
            <w:vAlign w:val="center"/>
          </w:tcPr>
          <w:p w14:paraId="6D5CDA82">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银行业存款类金融机构</w:t>
            </w:r>
          </w:p>
        </w:tc>
        <w:tc>
          <w:tcPr>
            <w:tcW w:w="1143" w:type="dxa"/>
            <w:vAlign w:val="center"/>
          </w:tcPr>
          <w:p w14:paraId="18DA8CED">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中型</w:t>
            </w:r>
          </w:p>
        </w:tc>
        <w:tc>
          <w:tcPr>
            <w:tcW w:w="3251" w:type="dxa"/>
            <w:vAlign w:val="center"/>
          </w:tcPr>
          <w:p w14:paraId="6553EDDF">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5000亿元（含）至40000亿元</w:t>
            </w:r>
          </w:p>
        </w:tc>
      </w:tr>
      <w:tr w14:paraId="7DDC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5D803A9">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45CFC2BC">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392AD96A">
            <w:pPr>
              <w:spacing w:line="240" w:lineRule="auto"/>
              <w:jc w:val="both"/>
              <w:rPr>
                <w:rFonts w:hint="eastAsia" w:ascii="宋体" w:hAnsi="宋体" w:eastAsia="宋体" w:cs="宋体"/>
                <w:color w:val="auto"/>
                <w:spacing w:val="6"/>
                <w:sz w:val="21"/>
                <w:szCs w:val="21"/>
                <w:highlight w:val="none"/>
                <w:vertAlign w:val="baseline"/>
              </w:rPr>
            </w:pPr>
          </w:p>
        </w:tc>
        <w:tc>
          <w:tcPr>
            <w:tcW w:w="1143" w:type="dxa"/>
            <w:vAlign w:val="center"/>
          </w:tcPr>
          <w:p w14:paraId="146F4352">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0C955763">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50亿元（含）至5000亿元</w:t>
            </w:r>
          </w:p>
        </w:tc>
      </w:tr>
      <w:tr w14:paraId="73826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44DEC46">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147E3A4E">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543C1290">
            <w:pPr>
              <w:spacing w:line="240" w:lineRule="auto"/>
              <w:jc w:val="both"/>
              <w:rPr>
                <w:rFonts w:hint="eastAsia" w:ascii="宋体" w:hAnsi="宋体" w:eastAsia="宋体" w:cs="宋体"/>
                <w:color w:val="auto"/>
                <w:spacing w:val="6"/>
                <w:sz w:val="21"/>
                <w:szCs w:val="21"/>
                <w:highlight w:val="none"/>
                <w:vertAlign w:val="baseline"/>
              </w:rPr>
            </w:pPr>
          </w:p>
        </w:tc>
        <w:tc>
          <w:tcPr>
            <w:tcW w:w="1143" w:type="dxa"/>
            <w:vAlign w:val="center"/>
          </w:tcPr>
          <w:p w14:paraId="0A8569B9">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微型</w:t>
            </w:r>
          </w:p>
        </w:tc>
        <w:tc>
          <w:tcPr>
            <w:tcW w:w="3251" w:type="dxa"/>
            <w:vAlign w:val="center"/>
          </w:tcPr>
          <w:p w14:paraId="29C9E0F4">
            <w:pPr>
              <w:spacing w:line="240" w:lineRule="auto"/>
              <w:jc w:val="center"/>
              <w:rPr>
                <w:rFonts w:hint="eastAsia" w:ascii="宋体" w:hAnsi="宋体" w:eastAsia="宋体" w:cs="宋体"/>
                <w:color w:val="auto"/>
                <w:spacing w:val="6"/>
                <w:sz w:val="21"/>
                <w:szCs w:val="21"/>
                <w:highlight w:val="none"/>
                <w:vertAlign w:val="baseline"/>
                <w:lang w:val="en-US"/>
              </w:rPr>
            </w:pPr>
            <w:r>
              <w:rPr>
                <w:rFonts w:hint="eastAsia" w:ascii="宋体" w:hAnsi="宋体" w:eastAsia="宋体" w:cs="宋体"/>
                <w:color w:val="auto"/>
                <w:spacing w:val="6"/>
                <w:sz w:val="21"/>
                <w:szCs w:val="21"/>
                <w:highlight w:val="none"/>
                <w:vertAlign w:val="baseline"/>
                <w:lang w:val="en-US" w:eastAsia="zh-CN"/>
              </w:rPr>
              <w:t>50亿元以下</w:t>
            </w:r>
          </w:p>
        </w:tc>
      </w:tr>
      <w:tr w14:paraId="1C15D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2A12E1E">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vAlign w:val="center"/>
          </w:tcPr>
          <w:p w14:paraId="56574B6D">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非货币银行服务</w:t>
            </w:r>
          </w:p>
        </w:tc>
        <w:tc>
          <w:tcPr>
            <w:tcW w:w="1817" w:type="dxa"/>
            <w:vMerge w:val="restart"/>
            <w:vAlign w:val="center"/>
          </w:tcPr>
          <w:p w14:paraId="7DD2F497">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银行业非存款类金融机构</w:t>
            </w:r>
          </w:p>
        </w:tc>
        <w:tc>
          <w:tcPr>
            <w:tcW w:w="1143" w:type="dxa"/>
            <w:shd w:val="clear" w:color="auto" w:fill="auto"/>
            <w:vAlign w:val="center"/>
          </w:tcPr>
          <w:p w14:paraId="46609FB8">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288F5BE5">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29DE0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40CFE49B">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1EF9025F">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6CC015F9">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0699B1D7">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56E78EC6">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0CA59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6EE674B4">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217EDCC4">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DEB5E22">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24E9D4A7">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vAlign w:val="center"/>
          </w:tcPr>
          <w:p w14:paraId="00D701CA">
            <w:pPr>
              <w:spacing w:line="240" w:lineRule="auto"/>
              <w:jc w:val="center"/>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50亿元以下</w:t>
            </w:r>
          </w:p>
        </w:tc>
      </w:tr>
      <w:tr w14:paraId="4B53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6D041F7C">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295688AF">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restart"/>
            <w:vAlign w:val="center"/>
          </w:tcPr>
          <w:p w14:paraId="2420EBEF">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贷款公司、小额贷款公司及典当行</w:t>
            </w:r>
          </w:p>
        </w:tc>
        <w:tc>
          <w:tcPr>
            <w:tcW w:w="1143" w:type="dxa"/>
            <w:shd w:val="clear" w:color="auto" w:fill="auto"/>
            <w:vAlign w:val="center"/>
          </w:tcPr>
          <w:p w14:paraId="705DE846">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007BBC2E">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39E6E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1180FDC1">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078270CB">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0CBA7696">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2EA1A43D">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220FC05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7A6B2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1C9F23C9">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693061F1">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241FB1E">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6076913A">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03E9BD7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r w14:paraId="10E75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3A884F55">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资本市场服务</w:t>
            </w:r>
          </w:p>
        </w:tc>
        <w:tc>
          <w:tcPr>
            <w:tcW w:w="1817" w:type="dxa"/>
            <w:vMerge w:val="restart"/>
            <w:vAlign w:val="center"/>
          </w:tcPr>
          <w:p w14:paraId="6E78CF81">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证券业金融机构</w:t>
            </w:r>
          </w:p>
        </w:tc>
        <w:tc>
          <w:tcPr>
            <w:tcW w:w="1143" w:type="dxa"/>
            <w:shd w:val="clear" w:color="auto" w:fill="auto"/>
            <w:vAlign w:val="center"/>
          </w:tcPr>
          <w:p w14:paraId="04142618">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4444928A">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100亿元（含）至1000亿元</w:t>
            </w:r>
          </w:p>
        </w:tc>
      </w:tr>
      <w:tr w14:paraId="0F1C8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3B06C7E">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59421CAF">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54B5A7F4">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1A9C4DFF">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10亿元（含）至100亿元</w:t>
            </w:r>
          </w:p>
        </w:tc>
      </w:tr>
      <w:tr w14:paraId="01E76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65FECCF">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ADD78C9">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60F7AF91">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43D0131F">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10亿元以下</w:t>
            </w:r>
          </w:p>
        </w:tc>
      </w:tr>
      <w:tr w14:paraId="33147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7FAED341">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保险业</w:t>
            </w:r>
          </w:p>
        </w:tc>
        <w:tc>
          <w:tcPr>
            <w:tcW w:w="1817" w:type="dxa"/>
            <w:vMerge w:val="restart"/>
            <w:vAlign w:val="center"/>
          </w:tcPr>
          <w:p w14:paraId="73A1B699">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保险业金融机构</w:t>
            </w:r>
          </w:p>
        </w:tc>
        <w:tc>
          <w:tcPr>
            <w:tcW w:w="1143" w:type="dxa"/>
            <w:shd w:val="clear" w:color="auto" w:fill="auto"/>
            <w:vAlign w:val="center"/>
          </w:tcPr>
          <w:p w14:paraId="7046BDEC">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41B9BB44">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400亿元（含）至5000亿元</w:t>
            </w:r>
          </w:p>
        </w:tc>
      </w:tr>
      <w:tr w14:paraId="386FC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8C86132">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62ACF5AB">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361981C2">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7F195A7E">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20亿元（含）至400亿元</w:t>
            </w:r>
          </w:p>
        </w:tc>
      </w:tr>
      <w:tr w14:paraId="13369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7051FBA8">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1A95E01E">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5DD1435F">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19F4DBB0">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20亿元以下</w:t>
            </w:r>
          </w:p>
        </w:tc>
      </w:tr>
      <w:tr w14:paraId="1B382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6A4EBA5D">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其他金融业</w:t>
            </w:r>
          </w:p>
        </w:tc>
        <w:tc>
          <w:tcPr>
            <w:tcW w:w="1168" w:type="dxa"/>
            <w:vMerge w:val="restart"/>
            <w:vAlign w:val="center"/>
          </w:tcPr>
          <w:p w14:paraId="741CF031">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金融信托与管理服务</w:t>
            </w:r>
          </w:p>
        </w:tc>
        <w:tc>
          <w:tcPr>
            <w:tcW w:w="1817" w:type="dxa"/>
            <w:vMerge w:val="restart"/>
            <w:vAlign w:val="center"/>
          </w:tcPr>
          <w:p w14:paraId="70836B6C">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信托公司</w:t>
            </w:r>
          </w:p>
        </w:tc>
        <w:tc>
          <w:tcPr>
            <w:tcW w:w="1143" w:type="dxa"/>
            <w:shd w:val="clear" w:color="auto" w:fill="auto"/>
            <w:vAlign w:val="center"/>
          </w:tcPr>
          <w:p w14:paraId="03C999A9">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0C96EEDA">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400亿元（含）至1000亿元</w:t>
            </w:r>
          </w:p>
        </w:tc>
      </w:tr>
      <w:tr w14:paraId="394AA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338E5D4F">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2343FC29">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EB960A0">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6D76C176">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0E689FD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20亿元（含）至400亿元</w:t>
            </w:r>
          </w:p>
        </w:tc>
      </w:tr>
      <w:tr w14:paraId="3E94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71E32AA3">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441AB74F">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15F254D">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160C098A">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33182E48">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20亿元以下</w:t>
            </w:r>
          </w:p>
        </w:tc>
      </w:tr>
      <w:tr w14:paraId="61CA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0A3463AD">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vAlign w:val="center"/>
          </w:tcPr>
          <w:p w14:paraId="65B75359">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控股公司服务</w:t>
            </w:r>
          </w:p>
        </w:tc>
        <w:tc>
          <w:tcPr>
            <w:tcW w:w="1817" w:type="dxa"/>
            <w:vMerge w:val="restart"/>
            <w:vAlign w:val="center"/>
          </w:tcPr>
          <w:p w14:paraId="5AA3A788">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金融控股公司</w:t>
            </w:r>
          </w:p>
        </w:tc>
        <w:tc>
          <w:tcPr>
            <w:tcW w:w="1143" w:type="dxa"/>
            <w:shd w:val="clear" w:color="auto" w:fill="auto"/>
            <w:vAlign w:val="center"/>
          </w:tcPr>
          <w:p w14:paraId="6A34EBF4">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2863D8FC">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5000亿元（含）至40000亿元</w:t>
            </w:r>
          </w:p>
        </w:tc>
      </w:tr>
      <w:tr w14:paraId="61EE7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57F9BDD8">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774A5596">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658174A6">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43D84EB3">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434D1F52">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50亿元（含）至5000亿元</w:t>
            </w:r>
          </w:p>
        </w:tc>
      </w:tr>
      <w:tr w14:paraId="245B3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88472CC">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4DB4D286">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2B6EDD2">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472A904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1FC344B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r w14:paraId="3F9E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119" w:type="dxa"/>
            <w:vMerge w:val="continue"/>
            <w:vAlign w:val="center"/>
          </w:tcPr>
          <w:p w14:paraId="046E9137">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vAlign w:val="center"/>
          </w:tcPr>
          <w:p w14:paraId="10B14656">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其他未包括的金融业</w:t>
            </w:r>
          </w:p>
        </w:tc>
        <w:tc>
          <w:tcPr>
            <w:tcW w:w="1817" w:type="dxa"/>
            <w:vMerge w:val="restart"/>
            <w:vAlign w:val="center"/>
          </w:tcPr>
          <w:p w14:paraId="3E665F4F">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rPr>
              <w:t>除贷款公司、小额贷款公司、典当行以外的其他金融机构</w:t>
            </w:r>
          </w:p>
        </w:tc>
        <w:tc>
          <w:tcPr>
            <w:tcW w:w="1143" w:type="dxa"/>
            <w:shd w:val="clear" w:color="auto" w:fill="auto"/>
            <w:vAlign w:val="center"/>
          </w:tcPr>
          <w:p w14:paraId="00510279">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6033F5D6">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34EBC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119" w:type="dxa"/>
            <w:vMerge w:val="continue"/>
          </w:tcPr>
          <w:p w14:paraId="04848A28">
            <w:pPr>
              <w:spacing w:line="240" w:lineRule="auto"/>
              <w:rPr>
                <w:rFonts w:hint="eastAsia" w:ascii="宋体" w:hAnsi="宋体" w:eastAsia="宋体" w:cs="宋体"/>
                <w:color w:val="auto"/>
                <w:spacing w:val="6"/>
                <w:sz w:val="21"/>
                <w:szCs w:val="21"/>
                <w:highlight w:val="none"/>
                <w:vertAlign w:val="baseline"/>
              </w:rPr>
            </w:pPr>
          </w:p>
        </w:tc>
        <w:tc>
          <w:tcPr>
            <w:tcW w:w="1168" w:type="dxa"/>
            <w:vMerge w:val="continue"/>
          </w:tcPr>
          <w:p w14:paraId="2F2E72F9">
            <w:pPr>
              <w:spacing w:line="240" w:lineRule="auto"/>
              <w:rPr>
                <w:rFonts w:hint="eastAsia" w:ascii="宋体" w:hAnsi="宋体" w:eastAsia="宋体" w:cs="宋体"/>
                <w:color w:val="auto"/>
                <w:spacing w:val="6"/>
                <w:sz w:val="21"/>
                <w:szCs w:val="21"/>
                <w:highlight w:val="none"/>
                <w:vertAlign w:val="baseline"/>
              </w:rPr>
            </w:pPr>
          </w:p>
        </w:tc>
        <w:tc>
          <w:tcPr>
            <w:tcW w:w="1817" w:type="dxa"/>
            <w:vMerge w:val="continue"/>
          </w:tcPr>
          <w:p w14:paraId="179DE2D0">
            <w:pPr>
              <w:spacing w:line="240" w:lineRule="auto"/>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1E623338">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12916BB7">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6DDCD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19" w:type="dxa"/>
            <w:vMerge w:val="continue"/>
          </w:tcPr>
          <w:p w14:paraId="0F1E7A7B">
            <w:pPr>
              <w:spacing w:line="240" w:lineRule="auto"/>
              <w:rPr>
                <w:rFonts w:hint="eastAsia" w:ascii="宋体" w:hAnsi="宋体" w:eastAsia="宋体" w:cs="宋体"/>
                <w:color w:val="auto"/>
                <w:spacing w:val="6"/>
                <w:sz w:val="21"/>
                <w:szCs w:val="21"/>
                <w:highlight w:val="none"/>
                <w:vertAlign w:val="baseline"/>
              </w:rPr>
            </w:pPr>
          </w:p>
        </w:tc>
        <w:tc>
          <w:tcPr>
            <w:tcW w:w="1168" w:type="dxa"/>
            <w:vMerge w:val="continue"/>
          </w:tcPr>
          <w:p w14:paraId="08010151">
            <w:pPr>
              <w:spacing w:line="240" w:lineRule="auto"/>
              <w:rPr>
                <w:rFonts w:hint="eastAsia" w:ascii="宋体" w:hAnsi="宋体" w:eastAsia="宋体" w:cs="宋体"/>
                <w:color w:val="auto"/>
                <w:spacing w:val="6"/>
                <w:sz w:val="21"/>
                <w:szCs w:val="21"/>
                <w:highlight w:val="none"/>
                <w:vertAlign w:val="baseline"/>
              </w:rPr>
            </w:pPr>
          </w:p>
        </w:tc>
        <w:tc>
          <w:tcPr>
            <w:tcW w:w="1817" w:type="dxa"/>
            <w:vMerge w:val="continue"/>
          </w:tcPr>
          <w:p w14:paraId="71A393FF">
            <w:pPr>
              <w:spacing w:line="240" w:lineRule="auto"/>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668714F1">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1913FA3F">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bl>
    <w:p w14:paraId="5BCE9D64">
      <w:pPr>
        <w:rPr>
          <w:rFonts w:cs="宋体"/>
          <w:color w:val="auto"/>
          <w:spacing w:val="6"/>
          <w:sz w:val="21"/>
          <w:szCs w:val="21"/>
          <w:highlight w:val="none"/>
        </w:rPr>
      </w:pPr>
      <w:r>
        <w:rPr>
          <w:rFonts w:cs="宋体"/>
          <w:color w:val="auto"/>
          <w:spacing w:val="6"/>
          <w:sz w:val="21"/>
          <w:szCs w:val="21"/>
          <w:highlight w:val="none"/>
        </w:rPr>
        <w:br w:type="page"/>
      </w:r>
    </w:p>
    <w:p w14:paraId="5C97BC7A">
      <w:pPr>
        <w:pStyle w:val="17"/>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bCs/>
          <w:color w:val="auto"/>
          <w:sz w:val="36"/>
          <w:szCs w:val="36"/>
          <w:highlight w:val="none"/>
          <w:lang w:val="en-US" w:eastAsia="zh-CN"/>
        </w:rPr>
      </w:pPr>
      <w:bookmarkStart w:id="357" w:name="_Toc163492940"/>
    </w:p>
    <w:p w14:paraId="0711552D">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r>
        <w:rPr>
          <w:rFonts w:hint="eastAsia" w:ascii="宋体" w:hAnsi="宋体" w:eastAsia="宋体" w:cstheme="minorBidi"/>
          <w:b/>
          <w:bCs/>
          <w:color w:val="auto"/>
          <w:kern w:val="2"/>
          <w:sz w:val="24"/>
          <w:szCs w:val="24"/>
          <w:highlight w:val="none"/>
          <w:lang w:val="en-US" w:eastAsia="zh-CN" w:bidi="ar-SA"/>
        </w:rPr>
        <w:t>（三）监狱企业证明文件</w:t>
      </w:r>
      <w:r>
        <w:rPr>
          <w:rFonts w:hint="eastAsia" w:ascii="宋体" w:hAnsi="宋体" w:eastAsia="宋体" w:cstheme="minorBidi"/>
          <w:b w:val="0"/>
          <w:bCs w:val="0"/>
          <w:color w:val="auto"/>
          <w:kern w:val="2"/>
          <w:sz w:val="24"/>
          <w:szCs w:val="24"/>
          <w:highlight w:val="none"/>
          <w:lang w:val="en-US" w:eastAsia="zh-CN" w:bidi="ar-SA"/>
        </w:rPr>
        <w:t>【如适用】</w:t>
      </w:r>
      <w:bookmarkEnd w:id="357"/>
    </w:p>
    <w:p w14:paraId="744F56E2">
      <w:pPr>
        <w:rPr>
          <w:rFonts w:cs="仿宋_GB2312"/>
          <w:b/>
          <w:color w:val="auto"/>
          <w:sz w:val="28"/>
          <w:szCs w:val="28"/>
          <w:highlight w:val="none"/>
        </w:rPr>
      </w:pPr>
    </w:p>
    <w:p w14:paraId="23D1BFCD">
      <w:pPr>
        <w:adjustRightInd w:val="0"/>
        <w:snapToGrid w:val="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【监狱企业应当提供由省级及以上监狱管理局、戒毒管理局（含新疆生产建设兵团）出具的监狱企业的证明文件，格式</w:t>
      </w:r>
      <w:r>
        <w:rPr>
          <w:rFonts w:hint="eastAsia" w:ascii="宋体" w:hAnsi="宋体" w:eastAsia="宋体" w:cs="宋体"/>
          <w:color w:val="auto"/>
          <w:sz w:val="24"/>
          <w:szCs w:val="24"/>
          <w:highlight w:val="none"/>
          <w:lang w:val="en-US" w:eastAsia="zh-CN"/>
        </w:rPr>
        <w:t>如下</w:t>
      </w:r>
      <w:r>
        <w:rPr>
          <w:rFonts w:hint="eastAsia" w:ascii="宋体" w:hAnsi="宋体" w:eastAsia="宋体" w:cs="宋体"/>
          <w:color w:val="auto"/>
          <w:sz w:val="24"/>
          <w:szCs w:val="24"/>
          <w:highlight w:val="none"/>
        </w:rPr>
        <w:t>】。</w:t>
      </w:r>
    </w:p>
    <w:p w14:paraId="75238DB1">
      <w:pPr>
        <w:pStyle w:val="17"/>
        <w:spacing w:line="360" w:lineRule="auto"/>
        <w:jc w:val="center"/>
        <w:rPr>
          <w:rFonts w:hint="eastAsia" w:ascii="宋体" w:hAnsi="宋体" w:eastAsia="宋体" w:cs="宋体"/>
          <w:b/>
          <w:bCs w:val="0"/>
          <w:color w:val="auto"/>
          <w:sz w:val="32"/>
          <w:szCs w:val="32"/>
          <w:highlight w:val="none"/>
        </w:rPr>
      </w:pPr>
    </w:p>
    <w:p w14:paraId="3EAA5E2A">
      <w:pPr>
        <w:pStyle w:val="17"/>
        <w:spacing w:line="360" w:lineRule="auto"/>
        <w:jc w:val="center"/>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监狱企业证明函</w:t>
      </w:r>
    </w:p>
    <w:p w14:paraId="73EFA9C1">
      <w:pPr>
        <w:spacing w:line="360" w:lineRule="auto"/>
        <w:rPr>
          <w:rFonts w:hint="eastAsia" w:ascii="仿宋_GB2312" w:hAnsi="仿宋_GB2312" w:eastAsia="仿宋_GB2312" w:cs="仿宋_GB2312"/>
          <w:color w:val="auto"/>
          <w:sz w:val="32"/>
          <w:szCs w:val="32"/>
          <w:highlight w:val="none"/>
        </w:rPr>
      </w:pPr>
    </w:p>
    <w:p w14:paraId="7E6FDB37">
      <w:pPr>
        <w:ind w:firstLine="504" w:firstLineChars="200"/>
        <w:rPr>
          <w:rFonts w:hint="eastAsia" w:ascii="宋体" w:hAnsi="宋体" w:eastAsia="宋体" w:cs="宋体"/>
          <w:color w:val="auto"/>
          <w:spacing w:val="6"/>
          <w:szCs w:val="24"/>
          <w:highlight w:val="none"/>
        </w:rPr>
      </w:pPr>
      <w:r>
        <w:rPr>
          <w:rFonts w:hint="eastAsia" w:ascii="宋体" w:hAnsi="宋体" w:eastAsia="宋体" w:cs="宋体"/>
          <w:color w:val="auto"/>
          <w:spacing w:val="6"/>
          <w:szCs w:val="24"/>
          <w:highlight w:val="none"/>
        </w:rPr>
        <w:t>本公司郑重声明，根据财政部、司法部《关于政府采购支持监狱企业发展有关问题的通知》（财库</w:t>
      </w:r>
      <w:r>
        <w:rPr>
          <w:rFonts w:hint="eastAsia" w:ascii="宋体" w:hAnsi="宋体" w:eastAsia="宋体" w:cs="宋体"/>
          <w:color w:val="auto"/>
          <w:spacing w:val="6"/>
          <w:szCs w:val="24"/>
          <w:highlight w:val="none"/>
          <w:lang w:eastAsia="zh-CN"/>
        </w:rPr>
        <w:t>〔</w:t>
      </w:r>
      <w:r>
        <w:rPr>
          <w:rFonts w:hint="eastAsia" w:ascii="宋体" w:hAnsi="宋体" w:eastAsia="宋体" w:cs="宋体"/>
          <w:color w:val="auto"/>
          <w:spacing w:val="6"/>
          <w:szCs w:val="24"/>
          <w:highlight w:val="none"/>
        </w:rPr>
        <w:t>2014</w:t>
      </w:r>
      <w:r>
        <w:rPr>
          <w:rFonts w:hint="eastAsia" w:ascii="宋体" w:hAnsi="宋体" w:eastAsia="宋体" w:cs="宋体"/>
          <w:color w:val="auto"/>
          <w:spacing w:val="6"/>
          <w:szCs w:val="24"/>
          <w:highlight w:val="none"/>
          <w:lang w:eastAsia="zh-CN"/>
        </w:rPr>
        <w:t>〕</w:t>
      </w:r>
      <w:r>
        <w:rPr>
          <w:rFonts w:hint="eastAsia" w:ascii="宋体" w:hAnsi="宋体" w:eastAsia="宋体" w:cs="宋体"/>
          <w:color w:val="auto"/>
          <w:spacing w:val="6"/>
          <w:szCs w:val="24"/>
          <w:highlight w:val="none"/>
        </w:rPr>
        <w:t>68号）的规定，本公司为监狱企业。</w:t>
      </w:r>
    </w:p>
    <w:p w14:paraId="3C2CE4C6">
      <w:pPr>
        <w:spacing w:line="360" w:lineRule="auto"/>
        <w:rPr>
          <w:rFonts w:hint="eastAsia" w:ascii="宋体" w:hAnsi="宋体" w:eastAsia="宋体" w:cs="宋体"/>
          <w:color w:val="auto"/>
          <w:sz w:val="24"/>
          <w:szCs w:val="24"/>
          <w:highlight w:val="none"/>
        </w:rPr>
      </w:pPr>
    </w:p>
    <w:p w14:paraId="25406F97">
      <w:pPr>
        <w:ind w:firstLine="4440" w:firstLineChars="1850"/>
        <w:rPr>
          <w:rFonts w:hint="eastAsia" w:ascii="宋体" w:hAnsi="宋体" w:eastAsia="宋体" w:cs="宋体"/>
          <w:color w:val="auto"/>
          <w:sz w:val="24"/>
          <w:szCs w:val="24"/>
          <w:highlight w:val="none"/>
        </w:rPr>
      </w:pPr>
    </w:p>
    <w:p w14:paraId="44FF352C">
      <w:pPr>
        <w:ind w:firstLine="4440" w:firstLineChars="1850"/>
        <w:rPr>
          <w:rFonts w:hint="eastAsia" w:ascii="宋体" w:hAnsi="宋体" w:eastAsia="宋体" w:cs="宋体"/>
          <w:color w:val="auto"/>
          <w:sz w:val="24"/>
          <w:szCs w:val="24"/>
          <w:highlight w:val="none"/>
        </w:rPr>
      </w:pPr>
    </w:p>
    <w:p w14:paraId="0841D36F">
      <w:pPr>
        <w:ind w:right="1008" w:firstLine="4284" w:firstLineChars="17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lang w:val="en-US" w:eastAsia="zh-CN"/>
        </w:rPr>
        <w:t>投标人</w:t>
      </w:r>
      <w:r>
        <w:rPr>
          <w:rFonts w:hint="eastAsia" w:ascii="宋体" w:hAnsi="宋体" w:eastAsia="宋体" w:cs="宋体"/>
          <w:color w:val="auto"/>
          <w:spacing w:val="6"/>
          <w:sz w:val="24"/>
          <w:szCs w:val="24"/>
          <w:highlight w:val="none"/>
        </w:rPr>
        <w:t>名称</w:t>
      </w:r>
      <w:r>
        <w:rPr>
          <w:rFonts w:hint="eastAsia" w:ascii="宋体" w:hAnsi="宋体" w:eastAsia="宋体" w:cs="宋体"/>
          <w:color w:val="auto"/>
          <w:szCs w:val="24"/>
          <w:highlight w:val="none"/>
          <w:lang w:eastAsia="zh-CN"/>
        </w:rPr>
        <w:t>（</w:t>
      </w:r>
      <w:r>
        <w:rPr>
          <w:rFonts w:hint="eastAsia" w:ascii="宋体" w:hAnsi="宋体" w:eastAsia="宋体"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highlight w:val="none"/>
          <w:lang w:val="zh-CN"/>
        </w:rPr>
        <w:t>)</w:t>
      </w:r>
      <w:r>
        <w:rPr>
          <w:rFonts w:hint="eastAsia" w:ascii="宋体" w:hAnsi="宋体" w:eastAsia="宋体" w:cs="宋体"/>
          <w:color w:val="auto"/>
          <w:spacing w:val="6"/>
          <w:sz w:val="24"/>
          <w:szCs w:val="24"/>
          <w:highlight w:val="none"/>
        </w:rPr>
        <w:t>：</w:t>
      </w:r>
    </w:p>
    <w:p w14:paraId="3678CEA7">
      <w:pPr>
        <w:ind w:right="1008" w:firstLine="4284" w:firstLineChars="1700"/>
        <w:rPr>
          <w:rFonts w:hint="eastAsia" w:ascii="宋体" w:hAnsi="宋体" w:eastAsia="宋体" w:cs="宋体"/>
          <w:color w:val="auto"/>
          <w:spacing w:val="6"/>
          <w:sz w:val="24"/>
          <w:szCs w:val="24"/>
          <w:highlight w:val="none"/>
          <w:lang w:val="en-US" w:eastAsia="zh-CN"/>
        </w:rPr>
      </w:pPr>
      <w:r>
        <w:rPr>
          <w:rFonts w:hint="eastAsia" w:ascii="宋体" w:hAnsi="宋体" w:eastAsia="宋体" w:cs="宋体"/>
          <w:color w:val="auto"/>
          <w:spacing w:val="6"/>
          <w:sz w:val="24"/>
          <w:szCs w:val="24"/>
          <w:highlight w:val="none"/>
        </w:rPr>
        <w:t>日期：</w:t>
      </w:r>
      <w:r>
        <w:rPr>
          <w:rFonts w:hint="eastAsia" w:ascii="宋体" w:hAnsi="宋体" w:eastAsia="宋体" w:cs="宋体"/>
          <w:color w:val="auto"/>
          <w:spacing w:val="6"/>
          <w:sz w:val="24"/>
          <w:szCs w:val="24"/>
          <w:highlight w:val="none"/>
          <w:lang w:val="en-US" w:eastAsia="zh-CN"/>
        </w:rPr>
        <w:t xml:space="preserve">   年  月  日</w:t>
      </w:r>
    </w:p>
    <w:p w14:paraId="75D11779">
      <w:pPr>
        <w:spacing w:line="360" w:lineRule="auto"/>
        <w:ind w:firstLine="240" w:firstLineChars="100"/>
        <w:rPr>
          <w:rFonts w:hint="eastAsia" w:ascii="宋体" w:hAnsi="宋体" w:eastAsia="宋体" w:cs="宋体"/>
          <w:color w:val="auto"/>
          <w:sz w:val="24"/>
          <w:szCs w:val="24"/>
          <w:highlight w:val="none"/>
        </w:rPr>
      </w:pPr>
    </w:p>
    <w:p w14:paraId="7B8735C9">
      <w:pPr>
        <w:spacing w:line="360" w:lineRule="auto"/>
        <w:ind w:firstLine="240" w:firstLineChars="100"/>
        <w:rPr>
          <w:rFonts w:hint="eastAsia" w:ascii="宋体" w:hAnsi="宋体" w:eastAsia="宋体" w:cs="宋体"/>
          <w:color w:val="auto"/>
          <w:sz w:val="24"/>
          <w:szCs w:val="24"/>
          <w:highlight w:val="none"/>
        </w:rPr>
      </w:pPr>
    </w:p>
    <w:p w14:paraId="32722C7E">
      <w:pPr>
        <w:spacing w:line="360" w:lineRule="auto"/>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省级以上监狱管理局、戒毒管理局</w:t>
      </w:r>
    </w:p>
    <w:p w14:paraId="20204BC0">
      <w:pPr>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（含新疆生产建设兵团）</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szCs w:val="24"/>
          <w:highlight w:val="none"/>
          <w:lang w:eastAsia="zh-CN"/>
        </w:rPr>
        <w:t>盖章</w:t>
      </w:r>
      <w:r>
        <w:rPr>
          <w:rFonts w:hint="eastAsia" w:ascii="宋体" w:hAnsi="宋体" w:eastAsia="宋体" w:cs="宋体"/>
          <w:color w:val="auto"/>
          <w:kern w:val="0"/>
          <w:sz w:val="24"/>
          <w:highlight w:val="none"/>
          <w:lang w:val="zh-CN"/>
        </w:rPr>
        <w:t>)</w:t>
      </w:r>
      <w:r>
        <w:rPr>
          <w:rFonts w:hint="eastAsia" w:ascii="宋体" w:hAnsi="宋体" w:eastAsia="宋体" w:cs="宋体"/>
          <w:color w:val="auto"/>
          <w:sz w:val="24"/>
          <w:szCs w:val="24"/>
          <w:highlight w:val="none"/>
        </w:rPr>
        <w:t xml:space="preserve">：  </w:t>
      </w:r>
    </w:p>
    <w:p w14:paraId="4A414B41">
      <w:pPr>
        <w:ind w:firstLine="4320" w:firstLineChars="18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pacing w:val="6"/>
          <w:sz w:val="24"/>
          <w:szCs w:val="24"/>
          <w:highlight w:val="none"/>
          <w:lang w:val="en-US" w:eastAsia="zh-CN"/>
        </w:rPr>
        <w:t xml:space="preserve">   年  月  日</w:t>
      </w:r>
    </w:p>
    <w:p w14:paraId="028B0253">
      <w:pPr>
        <w:spacing w:line="360" w:lineRule="auto"/>
        <w:ind w:firstLine="240" w:firstLineChars="100"/>
        <w:rPr>
          <w:rFonts w:hint="eastAsia" w:ascii="宋体" w:hAnsi="宋体" w:eastAsia="宋体" w:cs="宋体"/>
          <w:color w:val="auto"/>
          <w:sz w:val="24"/>
          <w:szCs w:val="24"/>
          <w:highlight w:val="none"/>
        </w:rPr>
      </w:pPr>
    </w:p>
    <w:p w14:paraId="4A20867A">
      <w:pPr>
        <w:spacing w:line="360" w:lineRule="auto"/>
        <w:ind w:firstLine="4000" w:firstLineChars="1250"/>
        <w:rPr>
          <w:rFonts w:hint="eastAsia" w:ascii="仿宋_GB2312" w:hAnsi="仿宋_GB2312" w:eastAsia="仿宋_GB2312" w:cs="仿宋_GB2312"/>
          <w:color w:val="auto"/>
          <w:sz w:val="32"/>
          <w:szCs w:val="32"/>
          <w:highlight w:val="none"/>
        </w:rPr>
      </w:pPr>
    </w:p>
    <w:p w14:paraId="206A9633">
      <w:pPr>
        <w:spacing w:line="360" w:lineRule="auto"/>
        <w:rPr>
          <w:rFonts w:hint="eastAsia" w:ascii="仿宋_GB2312" w:hAnsi="仿宋_GB2312" w:eastAsia="仿宋_GB2312" w:cs="仿宋_GB2312"/>
          <w:color w:val="auto"/>
          <w:sz w:val="32"/>
          <w:szCs w:val="32"/>
          <w:highlight w:val="none"/>
        </w:rPr>
      </w:pPr>
    </w:p>
    <w:p w14:paraId="283F77FC">
      <w:pPr>
        <w:widowControl/>
        <w:spacing w:before="100" w:beforeAutospacing="1" w:after="100" w:afterAutospacing="1"/>
        <w:rPr>
          <w:rFonts w:ascii="Arial" w:hAnsi="Arial" w:cs="Arial"/>
          <w:color w:val="auto"/>
          <w:sz w:val="21"/>
          <w:szCs w:val="21"/>
          <w:highlight w:val="none"/>
        </w:rPr>
      </w:pPr>
    </w:p>
    <w:p w14:paraId="3ACDD48E">
      <w:pPr>
        <w:widowControl/>
        <w:spacing w:before="100" w:beforeAutospacing="1" w:after="100" w:afterAutospacing="1"/>
        <w:rPr>
          <w:rFonts w:ascii="Arial" w:hAnsi="Arial" w:cs="Arial"/>
          <w:color w:val="auto"/>
          <w:sz w:val="21"/>
          <w:szCs w:val="21"/>
          <w:highlight w:val="none"/>
        </w:rPr>
      </w:pPr>
    </w:p>
    <w:p w14:paraId="22F7A202">
      <w:pPr>
        <w:widowControl/>
        <w:spacing w:before="100" w:beforeAutospacing="1" w:after="100" w:afterAutospacing="1"/>
        <w:rPr>
          <w:rFonts w:ascii="Arial" w:hAnsi="Arial" w:cs="Arial"/>
          <w:color w:val="auto"/>
          <w:sz w:val="21"/>
          <w:szCs w:val="21"/>
          <w:highlight w:val="none"/>
        </w:rPr>
      </w:pPr>
    </w:p>
    <w:p w14:paraId="2AA0844D">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bookmarkStart w:id="358" w:name="_Toc163492941"/>
    </w:p>
    <w:p w14:paraId="05E6EFA2">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r>
        <w:rPr>
          <w:rFonts w:hint="eastAsia" w:ascii="宋体" w:hAnsi="宋体" w:eastAsia="宋体" w:cstheme="minorBidi"/>
          <w:b/>
          <w:bCs/>
          <w:color w:val="auto"/>
          <w:kern w:val="2"/>
          <w:sz w:val="24"/>
          <w:szCs w:val="24"/>
          <w:highlight w:val="none"/>
          <w:lang w:val="en-US" w:eastAsia="zh-CN" w:bidi="ar-SA"/>
        </w:rPr>
        <w:t>（四）残疾人福利性单位声明函</w:t>
      </w:r>
      <w:r>
        <w:rPr>
          <w:rFonts w:hint="eastAsia" w:ascii="宋体" w:hAnsi="宋体" w:eastAsia="宋体" w:cstheme="minorBidi"/>
          <w:b w:val="0"/>
          <w:bCs w:val="0"/>
          <w:color w:val="auto"/>
          <w:kern w:val="2"/>
          <w:sz w:val="24"/>
          <w:szCs w:val="24"/>
          <w:highlight w:val="none"/>
          <w:lang w:val="en-US" w:eastAsia="zh-CN" w:bidi="ar-SA"/>
        </w:rPr>
        <w:t>【如适用】</w:t>
      </w:r>
      <w:bookmarkEnd w:id="358"/>
    </w:p>
    <w:p w14:paraId="0EAC9468">
      <w:pPr>
        <w:pStyle w:val="40"/>
        <w:numPr>
          <w:ilvl w:val="0"/>
          <w:numId w:val="0"/>
        </w:numPr>
        <w:ind w:left="420" w:leftChars="0" w:hanging="420" w:firstLineChars="0"/>
        <w:jc w:val="center"/>
        <w:rPr>
          <w:rFonts w:hint="eastAsia"/>
          <w:b/>
          <w:bCs/>
          <w:color w:val="auto"/>
          <w:sz w:val="32"/>
          <w:szCs w:val="32"/>
          <w:highlight w:val="none"/>
        </w:rPr>
      </w:pPr>
    </w:p>
    <w:p w14:paraId="091B47EA">
      <w:pPr>
        <w:pStyle w:val="40"/>
        <w:numPr>
          <w:ilvl w:val="0"/>
          <w:numId w:val="0"/>
        </w:numPr>
        <w:ind w:left="420" w:leftChars="0" w:hanging="420" w:firstLineChars="0"/>
        <w:jc w:val="center"/>
        <w:rPr>
          <w:b/>
          <w:bCs/>
          <w:color w:val="auto"/>
          <w:sz w:val="32"/>
          <w:szCs w:val="32"/>
          <w:highlight w:val="none"/>
        </w:rPr>
      </w:pPr>
      <w:r>
        <w:rPr>
          <w:rFonts w:hint="eastAsia"/>
          <w:b/>
          <w:bCs/>
          <w:color w:val="auto"/>
          <w:sz w:val="32"/>
          <w:szCs w:val="32"/>
          <w:highlight w:val="none"/>
        </w:rPr>
        <w:t>残疾人福利性单位声明函</w:t>
      </w:r>
    </w:p>
    <w:p w14:paraId="28D13EE8">
      <w:pPr>
        <w:wordWrap w:val="0"/>
        <w:ind w:firstLine="480" w:firstLineChars="200"/>
        <w:rPr>
          <w:rFonts w:hint="eastAsia"/>
          <w:color w:val="auto"/>
          <w:szCs w:val="24"/>
          <w:highlight w:val="none"/>
        </w:rPr>
      </w:pPr>
    </w:p>
    <w:p w14:paraId="2B2B6A0A">
      <w:pPr>
        <w:wordWrap w:val="0"/>
        <w:ind w:firstLine="480" w:firstLineChars="200"/>
        <w:rPr>
          <w:i w:val="0"/>
          <w:iCs w:val="0"/>
          <w:color w:val="auto"/>
          <w:szCs w:val="24"/>
          <w:highlight w:val="none"/>
        </w:rPr>
      </w:pPr>
      <w:r>
        <w:rPr>
          <w:rFonts w:hint="eastAsia"/>
          <w:i w:val="0"/>
          <w:iCs w:val="0"/>
          <w:color w:val="auto"/>
          <w:szCs w:val="24"/>
          <w:highlight w:val="none"/>
        </w:rPr>
        <w:t>本公司（联合体）郑重声明，根据《财政部 民政部 中国残疾人联合会关于促进残疾人就业政府采购政策的通知》（财库〔2017〕141号）的规定，本公司（联合体）参加</w:t>
      </w:r>
      <w:r>
        <w:rPr>
          <w:rFonts w:hint="eastAsia"/>
          <w:i w:val="0"/>
          <w:iCs w:val="0"/>
          <w:color w:val="auto"/>
          <w:szCs w:val="24"/>
          <w:highlight w:val="none"/>
          <w:u w:val="single"/>
        </w:rPr>
        <w:t xml:space="preserve"> （单位名称） </w:t>
      </w:r>
      <w:r>
        <w:rPr>
          <w:rFonts w:hint="eastAsia"/>
          <w:i w:val="0"/>
          <w:iCs w:val="0"/>
          <w:color w:val="auto"/>
          <w:szCs w:val="24"/>
          <w:highlight w:val="none"/>
        </w:rPr>
        <w:t>的</w:t>
      </w:r>
      <w:r>
        <w:rPr>
          <w:rFonts w:hint="eastAsia"/>
          <w:i w:val="0"/>
          <w:iCs w:val="0"/>
          <w:color w:val="auto"/>
          <w:szCs w:val="24"/>
          <w:highlight w:val="none"/>
          <w:u w:val="single"/>
        </w:rPr>
        <w:t xml:space="preserve"> （项目名称） </w:t>
      </w:r>
      <w:r>
        <w:rPr>
          <w:rFonts w:hint="eastAsia"/>
          <w:i w:val="0"/>
          <w:iCs w:val="0"/>
          <w:color w:val="auto"/>
          <w:szCs w:val="24"/>
          <w:highlight w:val="none"/>
        </w:rPr>
        <w:t>采购活动，提供的货物</w:t>
      </w:r>
      <w:r>
        <w:rPr>
          <w:rFonts w:hint="eastAsia"/>
          <w:b/>
          <w:i w:val="0"/>
          <w:iCs w:val="0"/>
          <w:color w:val="auto"/>
          <w:szCs w:val="24"/>
          <w:highlight w:val="none"/>
        </w:rPr>
        <w:t>全部由</w:t>
      </w:r>
      <w:r>
        <w:rPr>
          <w:rFonts w:hint="eastAsia"/>
          <w:i w:val="0"/>
          <w:iCs w:val="0"/>
          <w:color w:val="auto"/>
          <w:szCs w:val="24"/>
          <w:highlight w:val="none"/>
        </w:rPr>
        <w:t>符合政策要求的</w:t>
      </w:r>
      <w:r>
        <w:rPr>
          <w:rFonts w:hint="eastAsia"/>
          <w:b/>
          <w:i w:val="0"/>
          <w:iCs w:val="0"/>
          <w:color w:val="auto"/>
          <w:szCs w:val="24"/>
          <w:highlight w:val="none"/>
        </w:rPr>
        <w:t>残疾人福利性单位制造</w:t>
      </w:r>
      <w:r>
        <w:rPr>
          <w:rFonts w:hint="eastAsia"/>
          <w:i w:val="0"/>
          <w:iCs w:val="0"/>
          <w:color w:val="auto"/>
          <w:szCs w:val="24"/>
          <w:highlight w:val="none"/>
        </w:rPr>
        <w:t>。相关企业（含联合体中的残疾人福利性单位、签订分包意向协议</w:t>
      </w:r>
      <w:r>
        <w:rPr>
          <w:rFonts w:hint="eastAsia"/>
          <w:i w:val="0"/>
          <w:iCs w:val="0"/>
          <w:color w:val="auto"/>
          <w:szCs w:val="24"/>
          <w:highlight w:val="none"/>
          <w:lang w:val="en-US" w:eastAsia="zh-CN"/>
        </w:rPr>
        <w:t>书</w:t>
      </w:r>
      <w:r>
        <w:rPr>
          <w:rFonts w:hint="eastAsia"/>
          <w:i w:val="0"/>
          <w:iCs w:val="0"/>
          <w:color w:val="auto"/>
          <w:szCs w:val="24"/>
          <w:highlight w:val="none"/>
        </w:rPr>
        <w:t>的残疾人福利性单位）的具体情况如下：</w:t>
      </w:r>
    </w:p>
    <w:p w14:paraId="2B0D31AB">
      <w:pPr>
        <w:wordWrap w:val="0"/>
        <w:ind w:firstLine="480" w:firstLineChars="200"/>
        <w:rPr>
          <w:i w:val="0"/>
          <w:iCs w:val="0"/>
          <w:color w:val="auto"/>
          <w:szCs w:val="24"/>
          <w:highlight w:val="none"/>
        </w:rPr>
      </w:pPr>
      <w:r>
        <w:rPr>
          <w:rFonts w:hint="eastAsia"/>
          <w:i w:val="0"/>
          <w:iCs w:val="0"/>
          <w:color w:val="auto"/>
          <w:szCs w:val="24"/>
          <w:highlight w:val="none"/>
        </w:rPr>
        <w:t>1.</w:t>
      </w:r>
      <w:r>
        <w:rPr>
          <w:rFonts w:hint="eastAsia"/>
          <w:i w:val="0"/>
          <w:iCs w:val="0"/>
          <w:color w:val="auto"/>
          <w:szCs w:val="24"/>
          <w:highlight w:val="none"/>
          <w:u w:val="single"/>
        </w:rPr>
        <w:t xml:space="preserve"> （标的名称） </w:t>
      </w:r>
      <w:r>
        <w:rPr>
          <w:rFonts w:hint="eastAsia"/>
          <w:i w:val="0"/>
          <w:iCs w:val="0"/>
          <w:color w:val="auto"/>
          <w:szCs w:val="24"/>
          <w:highlight w:val="none"/>
        </w:rPr>
        <w:t xml:space="preserve">，制造商为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138F8FD5">
      <w:pPr>
        <w:wordWrap w:val="0"/>
        <w:ind w:firstLine="480" w:firstLineChars="200"/>
        <w:rPr>
          <w:i w:val="0"/>
          <w:iCs w:val="0"/>
          <w:color w:val="auto"/>
          <w:szCs w:val="24"/>
          <w:highlight w:val="none"/>
        </w:rPr>
      </w:pPr>
      <w:r>
        <w:rPr>
          <w:rFonts w:hint="eastAsia"/>
          <w:i w:val="0"/>
          <w:iCs w:val="0"/>
          <w:color w:val="auto"/>
          <w:szCs w:val="24"/>
          <w:highlight w:val="none"/>
        </w:rPr>
        <w:t xml:space="preserve">2. </w:t>
      </w:r>
      <w:r>
        <w:rPr>
          <w:rFonts w:hint="eastAsia"/>
          <w:i w:val="0"/>
          <w:iCs w:val="0"/>
          <w:color w:val="auto"/>
          <w:szCs w:val="24"/>
          <w:highlight w:val="none"/>
          <w:u w:val="single"/>
        </w:rPr>
        <w:t xml:space="preserve">（标的名称） </w:t>
      </w:r>
      <w:r>
        <w:rPr>
          <w:rFonts w:hint="eastAsia"/>
          <w:i w:val="0"/>
          <w:iCs w:val="0"/>
          <w:color w:val="auto"/>
          <w:szCs w:val="24"/>
          <w:highlight w:val="none"/>
        </w:rPr>
        <w:t xml:space="preserve">，制造商为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7FB12063">
      <w:pPr>
        <w:wordWrap w:val="0"/>
        <w:ind w:firstLine="480" w:firstLineChars="200"/>
        <w:rPr>
          <w:i w:val="0"/>
          <w:iCs w:val="0"/>
          <w:color w:val="auto"/>
          <w:szCs w:val="24"/>
          <w:highlight w:val="none"/>
        </w:rPr>
      </w:pPr>
      <w:r>
        <w:rPr>
          <w:rFonts w:hint="eastAsia"/>
          <w:i w:val="0"/>
          <w:iCs w:val="0"/>
          <w:color w:val="auto"/>
          <w:szCs w:val="24"/>
          <w:highlight w:val="none"/>
        </w:rPr>
        <w:t>……</w:t>
      </w:r>
    </w:p>
    <w:p w14:paraId="7B8F3287">
      <w:pPr>
        <w:wordWrap w:val="0"/>
        <w:ind w:firstLine="480" w:firstLineChars="200"/>
        <w:rPr>
          <w:i w:val="0"/>
          <w:iCs w:val="0"/>
          <w:color w:val="auto"/>
          <w:szCs w:val="24"/>
          <w:highlight w:val="none"/>
        </w:rPr>
      </w:pPr>
      <w:r>
        <w:rPr>
          <w:rFonts w:hint="eastAsia"/>
          <w:i w:val="0"/>
          <w:iCs w:val="0"/>
          <w:color w:val="auto"/>
          <w:szCs w:val="24"/>
          <w:highlight w:val="none"/>
        </w:rPr>
        <w:t>以上企业，不属于大企业的分支机构，不存在控股股东为大企业的情形，也不存在与大企业的负责人为同一人的情形。</w:t>
      </w:r>
    </w:p>
    <w:p w14:paraId="18EB7223">
      <w:pPr>
        <w:wordWrap w:val="0"/>
        <w:ind w:left="1087" w:leftChars="200" w:hanging="607" w:hangingChars="253"/>
        <w:rPr>
          <w:i w:val="0"/>
          <w:iCs w:val="0"/>
          <w:color w:val="auto"/>
          <w:szCs w:val="24"/>
          <w:highlight w:val="none"/>
        </w:rPr>
      </w:pPr>
      <w:r>
        <w:rPr>
          <w:rFonts w:hint="eastAsia"/>
          <w:i w:val="0"/>
          <w:iCs w:val="0"/>
          <w:color w:val="auto"/>
          <w:szCs w:val="24"/>
          <w:highlight w:val="none"/>
        </w:rPr>
        <w:t>本企业对上述声明内容的真实性负责。如有虚假，将依法承担相应责任。</w:t>
      </w:r>
    </w:p>
    <w:p w14:paraId="44C7A080">
      <w:pPr>
        <w:wordWrap w:val="0"/>
        <w:ind w:left="1091" w:hanging="1091" w:hangingChars="453"/>
        <w:rPr>
          <w:b/>
          <w:bCs/>
          <w:i w:val="0"/>
          <w:iCs w:val="0"/>
          <w:color w:val="auto"/>
          <w:szCs w:val="24"/>
          <w:highlight w:val="none"/>
        </w:rPr>
      </w:pPr>
    </w:p>
    <w:p w14:paraId="43523196">
      <w:pPr>
        <w:wordWrap w:val="0"/>
        <w:ind w:left="1091" w:hanging="1091" w:hangingChars="453"/>
        <w:rPr>
          <w:bCs/>
          <w:i w:val="0"/>
          <w:iCs w:val="0"/>
          <w:color w:val="auto"/>
          <w:szCs w:val="24"/>
          <w:highlight w:val="none"/>
        </w:rPr>
      </w:pPr>
      <w:r>
        <w:rPr>
          <w:rFonts w:hint="eastAsia"/>
          <w:b/>
          <w:bCs/>
          <w:i w:val="0"/>
          <w:iCs w:val="0"/>
          <w:color w:val="auto"/>
          <w:szCs w:val="24"/>
          <w:highlight w:val="none"/>
        </w:rPr>
        <w:t>说明：</w:t>
      </w:r>
      <w:r>
        <w:rPr>
          <w:rFonts w:hint="eastAsia"/>
          <w:bCs/>
          <w:i w:val="0"/>
          <w:iCs w:val="0"/>
          <w:color w:val="auto"/>
          <w:szCs w:val="24"/>
          <w:highlight w:val="none"/>
        </w:rPr>
        <w:t>1、</w:t>
      </w:r>
      <w:r>
        <w:rPr>
          <w:rFonts w:hint="eastAsia"/>
          <w:bCs/>
          <w:i w:val="0"/>
          <w:iCs w:val="0"/>
          <w:color w:val="auto"/>
          <w:szCs w:val="21"/>
          <w:highlight w:val="none"/>
          <w:lang w:val="zh-CN"/>
        </w:rPr>
        <w:t>货物应当全部由符合政策要求的残疾人福利性单位生产且使用该残疾人福利性单位商号或注册商标（与代理商或投标人无关）；应当严格按上述格式及内容进行填写（应当明确每个标的的生产企业类型及相关数据），否则导致的后果由投标人自行承担；</w:t>
      </w:r>
    </w:p>
    <w:p w14:paraId="2288B711">
      <w:pPr>
        <w:wordWrap w:val="0"/>
        <w:ind w:left="1087" w:hanging="1087" w:hangingChars="453"/>
        <w:rPr>
          <w:rFonts w:cs="Courier New"/>
          <w:color w:val="auto"/>
          <w:szCs w:val="21"/>
          <w:highlight w:val="none"/>
        </w:rPr>
      </w:pPr>
      <w:r>
        <w:rPr>
          <w:rFonts w:hint="eastAsia"/>
          <w:bCs/>
          <w:i w:val="0"/>
          <w:iCs w:val="0"/>
          <w:color w:val="auto"/>
          <w:szCs w:val="21"/>
          <w:highlight w:val="none"/>
          <w:lang w:val="zh-CN"/>
        </w:rPr>
        <w:t xml:space="preserve">      2、</w:t>
      </w:r>
      <w:r>
        <w:rPr>
          <w:rFonts w:hint="eastAsia" w:cs="Courier New"/>
          <w:i w:val="0"/>
          <w:iCs w:val="0"/>
          <w:color w:val="auto"/>
          <w:szCs w:val="21"/>
          <w:highlight w:val="none"/>
        </w:rPr>
        <w:t>以联合体形式参加的，应</w:t>
      </w:r>
      <w:r>
        <w:rPr>
          <w:rFonts w:hint="eastAsia"/>
          <w:bCs/>
          <w:i w:val="0"/>
          <w:iCs w:val="0"/>
          <w:color w:val="auto"/>
          <w:szCs w:val="21"/>
          <w:highlight w:val="none"/>
          <w:lang w:val="zh-CN"/>
        </w:rPr>
        <w:t>当</w:t>
      </w:r>
      <w:r>
        <w:rPr>
          <w:rFonts w:hint="eastAsia" w:cs="Courier New"/>
          <w:i w:val="0"/>
          <w:iCs w:val="0"/>
          <w:color w:val="auto"/>
          <w:szCs w:val="21"/>
          <w:highlight w:val="none"/>
        </w:rPr>
        <w:t>由联合体各方盖章。</w:t>
      </w:r>
    </w:p>
    <w:p w14:paraId="71983F83">
      <w:pPr>
        <w:wordWrap w:val="0"/>
        <w:spacing w:before="100" w:beforeAutospacing="1" w:after="100" w:afterAutospacing="1"/>
        <w:ind w:firstLine="3316" w:firstLineChars="1382"/>
        <w:rPr>
          <w:bCs/>
          <w:color w:val="auto"/>
          <w:szCs w:val="21"/>
          <w:highlight w:val="none"/>
          <w:lang w:val="zh-CN"/>
        </w:rPr>
      </w:pPr>
      <w:r>
        <w:rPr>
          <w:rFonts w:hint="eastAsia"/>
          <w:bCs/>
          <w:color w:val="auto"/>
          <w:szCs w:val="21"/>
          <w:highlight w:val="none"/>
          <w:lang w:val="zh-CN"/>
        </w:rPr>
        <w:t>投标人</w:t>
      </w:r>
      <w:r>
        <w:rPr>
          <w:rFonts w:hint="eastAsia"/>
          <w:bCs/>
          <w:color w:val="auto"/>
          <w:szCs w:val="21"/>
          <w:highlight w:val="none"/>
          <w:lang w:val="en-US" w:eastAsia="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bCs/>
          <w:color w:val="auto"/>
          <w:szCs w:val="21"/>
          <w:highlight w:val="none"/>
          <w:lang w:val="zh-CN"/>
        </w:rPr>
        <w:t>：</w:t>
      </w:r>
      <w:r>
        <w:rPr>
          <w:rFonts w:hint="eastAsia"/>
          <w:bCs/>
          <w:color w:val="auto"/>
          <w:szCs w:val="21"/>
          <w:highlight w:val="none"/>
          <w:u w:val="single"/>
          <w:lang w:val="zh-CN"/>
        </w:rPr>
        <w:t xml:space="preserve">              </w:t>
      </w:r>
    </w:p>
    <w:p w14:paraId="3A972AC9">
      <w:pPr>
        <w:wordWrap w:val="0"/>
        <w:spacing w:before="100" w:beforeAutospacing="1" w:after="100" w:afterAutospacing="1"/>
        <w:ind w:firstLine="3316" w:firstLineChars="1382"/>
        <w:rPr>
          <w:color w:val="auto"/>
          <w:highlight w:val="none"/>
        </w:rPr>
      </w:pPr>
      <w:r>
        <w:rPr>
          <w:rFonts w:hint="eastAsia"/>
          <w:color w:val="auto"/>
          <w:szCs w:val="24"/>
          <w:highlight w:val="none"/>
        </w:rPr>
        <w:t>日</w:t>
      </w:r>
      <w:r>
        <w:rPr>
          <w:color w:val="auto"/>
          <w:szCs w:val="24"/>
          <w:highlight w:val="none"/>
        </w:rPr>
        <w:t xml:space="preserve">  </w:t>
      </w:r>
      <w:r>
        <w:rPr>
          <w:rFonts w:hint="eastAsia"/>
          <w:color w:val="auto"/>
          <w:szCs w:val="24"/>
          <w:highlight w:val="none"/>
        </w:rPr>
        <w:t>期：</w:t>
      </w:r>
      <w:r>
        <w:rPr>
          <w:bCs/>
          <w:color w:val="auto"/>
          <w:szCs w:val="24"/>
          <w:highlight w:val="none"/>
          <w:u w:val="single"/>
        </w:rPr>
        <w:t xml:space="preserve">                         </w:t>
      </w:r>
    </w:p>
    <w:p w14:paraId="6F5F8DCA">
      <w:pPr>
        <w:ind w:left="4620" w:firstLine="281" w:firstLineChars="100"/>
        <w:rPr>
          <w:rFonts w:cs="仿宋_GB2312"/>
          <w:b/>
          <w:color w:val="auto"/>
          <w:sz w:val="28"/>
          <w:szCs w:val="28"/>
          <w:highlight w:val="none"/>
        </w:rPr>
      </w:pPr>
    </w:p>
    <w:p w14:paraId="7BDD1A80">
      <w:pPr>
        <w:rPr>
          <w:color w:val="auto"/>
          <w:highlight w:val="none"/>
        </w:rPr>
      </w:pPr>
      <w:r>
        <w:rPr>
          <w:color w:val="auto"/>
          <w:highlight w:val="none"/>
        </w:rPr>
        <w:br w:type="page"/>
      </w:r>
    </w:p>
    <w:p w14:paraId="4044E1FE">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bookmarkStart w:id="359" w:name="_Toc163492942"/>
    </w:p>
    <w:p w14:paraId="4B9EE2D8">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cstheme="majorBidi"/>
          <w:b/>
          <w:bCs/>
          <w:color w:val="auto"/>
          <w:kern w:val="2"/>
          <w:sz w:val="28"/>
          <w:szCs w:val="28"/>
          <w:highlight w:val="none"/>
          <w:lang w:val="en-US" w:eastAsia="zh-CN" w:bidi="ar-SA"/>
        </w:rPr>
      </w:pPr>
      <w:bookmarkStart w:id="360" w:name="_Toc17480"/>
      <w:r>
        <w:rPr>
          <w:rFonts w:hint="eastAsia" w:cstheme="majorBidi"/>
          <w:b/>
          <w:bCs/>
          <w:color w:val="auto"/>
          <w:kern w:val="2"/>
          <w:sz w:val="28"/>
          <w:szCs w:val="28"/>
          <w:highlight w:val="none"/>
          <w:lang w:val="en-US" w:eastAsia="zh-CN" w:bidi="ar-SA"/>
        </w:rPr>
        <w:t>五、不参与围标串标承诺书</w:t>
      </w:r>
      <w:bookmarkEnd w:id="360"/>
    </w:p>
    <w:p w14:paraId="70D7F20B">
      <w:pPr>
        <w:pStyle w:val="3"/>
        <w:keepNext/>
        <w:keepLines/>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eastAsia="宋体" w:asciiTheme="majorHAnsi" w:hAnsiTheme="majorHAnsi" w:cstheme="majorBidi"/>
          <w:b/>
          <w:bCs/>
          <w:color w:val="auto"/>
          <w:kern w:val="2"/>
          <w:sz w:val="32"/>
          <w:szCs w:val="32"/>
          <w:highlight w:val="none"/>
          <w:lang w:val="en-US" w:eastAsia="zh-CN" w:bidi="ar-SA"/>
        </w:rPr>
      </w:pPr>
    </w:p>
    <w:p w14:paraId="75FF23AC">
      <w:pPr>
        <w:jc w:val="center"/>
        <w:rPr>
          <w:rFonts w:hint="eastAsia"/>
          <w:color w:val="auto"/>
          <w:highlight w:val="none"/>
          <w:lang w:val="en-US" w:eastAsia="zh-CN"/>
        </w:rPr>
      </w:pPr>
      <w:r>
        <w:rPr>
          <w:rFonts w:hint="eastAsia" w:cstheme="majorBidi"/>
          <w:b/>
          <w:bCs/>
          <w:color w:val="auto"/>
          <w:kern w:val="2"/>
          <w:sz w:val="32"/>
          <w:szCs w:val="32"/>
          <w:highlight w:val="none"/>
          <w:lang w:val="en-US" w:eastAsia="zh-CN" w:bidi="ar-SA"/>
        </w:rPr>
        <w:t>不参与围标串标承诺书</w:t>
      </w:r>
    </w:p>
    <w:p w14:paraId="6B233C07">
      <w:pPr>
        <w:rPr>
          <w:rFonts w:hint="eastAsia"/>
          <w:color w:val="auto"/>
          <w:highlight w:val="none"/>
          <w:lang w:val="en-US" w:eastAsia="zh-CN"/>
        </w:rPr>
      </w:pPr>
      <w:r>
        <w:rPr>
          <w:rFonts w:hint="eastAsia"/>
          <w:color w:val="auto"/>
          <w:highlight w:val="none"/>
          <w:lang w:val="en-US" w:eastAsia="zh-CN"/>
        </w:rPr>
        <w:t>  </w:t>
      </w:r>
    </w:p>
    <w:p w14:paraId="1ACC5C3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本人作为经授权的投标人代表,清楚知晓我单位本项目投标活动,对以下事项作出承诺：</w:t>
      </w:r>
    </w:p>
    <w:p w14:paraId="398E608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p>
    <w:p w14:paraId="26BB11E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一、我单位和我本人遵循公开透明、公平竞争、公正和诚实信用的原则,依法依规参与本项目竞标。</w:t>
      </w:r>
    </w:p>
    <w:p w14:paraId="10BBFC5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二、我单位和我本人在本项目政府采购投标活动中,未参与围标串标。</w:t>
      </w:r>
    </w:p>
    <w:p w14:paraId="1A7E347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三、我单位如被查实在本项目政府采购投标活动中存在围标串标的，递交投标文件行为作为实施串通投标违法行为的关键环节,由我单位及法定代表人承担相应的法律责任，接受相应行政处罚和失信惩戒。</w:t>
      </w:r>
    </w:p>
    <w:p w14:paraId="29E3C848">
      <w:pPr>
        <w:pStyle w:val="13"/>
        <w:rPr>
          <w:rFonts w:hint="eastAsia"/>
          <w:color w:val="auto"/>
          <w:highlight w:val="none"/>
          <w:lang w:val="en-US" w:eastAsia="zh-CN"/>
        </w:rPr>
      </w:pPr>
    </w:p>
    <w:p w14:paraId="39CB3E48">
      <w:pPr>
        <w:spacing w:line="560" w:lineRule="exact"/>
        <w:rPr>
          <w:rFonts w:hint="eastAsia" w:ascii="宋体" w:hAnsi="宋体" w:eastAsia="宋体" w:cs="宋体"/>
          <w:color w:val="auto"/>
          <w:kern w:val="0"/>
          <w:sz w:val="24"/>
          <w:szCs w:val="24"/>
          <w:highlight w:val="none"/>
        </w:rPr>
      </w:pPr>
    </w:p>
    <w:p w14:paraId="19648C53">
      <w:pPr>
        <w:spacing w:line="560" w:lineRule="exact"/>
        <w:rPr>
          <w:rFonts w:hint="eastAsia" w:ascii="宋体" w:hAnsi="宋体" w:eastAsia="宋体" w:cs="宋体"/>
          <w:color w:val="auto"/>
          <w:kern w:val="0"/>
          <w:sz w:val="24"/>
          <w:szCs w:val="24"/>
          <w:highlight w:val="none"/>
        </w:rPr>
      </w:pPr>
      <w:r>
        <w:rPr>
          <w:rFonts w:hint="eastAsia" w:cs="宋体"/>
          <w:color w:val="auto"/>
          <w:kern w:val="0"/>
          <w:sz w:val="24"/>
          <w:szCs w:val="24"/>
          <w:highlight w:val="none"/>
          <w:lang w:val="en-US" w:eastAsia="zh-CN"/>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rPr>
        <w:t>：</w:t>
      </w:r>
    </w:p>
    <w:p w14:paraId="2CCE383A">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负责人</w:t>
      </w:r>
      <w:r>
        <w:rPr>
          <w:rFonts w:hint="eastAsia" w:ascii="宋体" w:hAnsi="宋体" w:eastAsia="宋体" w:cs="宋体"/>
          <w:color w:val="auto"/>
          <w:kern w:val="0"/>
          <w:sz w:val="24"/>
          <w:szCs w:val="24"/>
          <w:highlight w:val="none"/>
          <w:lang w:val="en-US" w:eastAsia="zh-CN"/>
        </w:rPr>
        <w:t>或</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或授权代表</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rPr>
        <w:t>：</w:t>
      </w:r>
    </w:p>
    <w:p w14:paraId="692B3277">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14:paraId="13DA43E0">
      <w:pPr>
        <w:widowControl/>
        <w:spacing w:line="560" w:lineRule="exact"/>
        <w:ind w:firstLine="630"/>
        <w:jc w:val="left"/>
        <w:rPr>
          <w:rFonts w:hint="eastAsia" w:ascii="宋体" w:hAnsi="宋体" w:eastAsia="宋体" w:cs="宋体"/>
          <w:color w:val="auto"/>
          <w:kern w:val="0"/>
          <w:sz w:val="24"/>
          <w:szCs w:val="24"/>
          <w:highlight w:val="none"/>
        </w:rPr>
      </w:pPr>
    </w:p>
    <w:p w14:paraId="7CD72A88">
      <w:pPr>
        <w:pStyle w:val="13"/>
        <w:rPr>
          <w:rFonts w:hint="eastAsia"/>
          <w:color w:val="auto"/>
          <w:highlight w:val="none"/>
          <w:lang w:val="en-US" w:eastAsia="zh-CN"/>
        </w:rPr>
      </w:pPr>
    </w:p>
    <w:p w14:paraId="6FC519D1">
      <w:pPr>
        <w:pStyle w:val="13"/>
        <w:rPr>
          <w:rFonts w:hint="eastAsia"/>
          <w:color w:val="auto"/>
          <w:highlight w:val="none"/>
          <w:lang w:val="en-US" w:eastAsia="zh-CN"/>
        </w:rPr>
      </w:pPr>
    </w:p>
    <w:p w14:paraId="7500053D">
      <w:pPr>
        <w:pStyle w:val="13"/>
        <w:rPr>
          <w:rFonts w:hint="eastAsia"/>
          <w:color w:val="auto"/>
          <w:highlight w:val="none"/>
          <w:lang w:val="en-US" w:eastAsia="zh-CN"/>
        </w:rPr>
      </w:pPr>
    </w:p>
    <w:p w14:paraId="5BF64493">
      <w:pPr>
        <w:pStyle w:val="13"/>
        <w:rPr>
          <w:rFonts w:hint="eastAsia"/>
          <w:color w:val="auto"/>
          <w:highlight w:val="none"/>
          <w:lang w:val="en-US" w:eastAsia="zh-CN"/>
        </w:rPr>
      </w:pPr>
    </w:p>
    <w:p w14:paraId="5CA01A8B">
      <w:pPr>
        <w:pStyle w:val="13"/>
        <w:rPr>
          <w:rFonts w:hint="eastAsia"/>
          <w:color w:val="auto"/>
          <w:highlight w:val="none"/>
          <w:lang w:val="en-US" w:eastAsia="zh-CN"/>
        </w:rPr>
      </w:pPr>
    </w:p>
    <w:p w14:paraId="029F743D">
      <w:pPr>
        <w:pStyle w:val="13"/>
        <w:rPr>
          <w:rFonts w:hint="eastAsia"/>
          <w:color w:val="auto"/>
          <w:highlight w:val="none"/>
          <w:lang w:val="en-US" w:eastAsia="zh-CN"/>
        </w:rPr>
      </w:pPr>
    </w:p>
    <w:p w14:paraId="41587146">
      <w:pPr>
        <w:pStyle w:val="13"/>
        <w:rPr>
          <w:rFonts w:hint="eastAsia"/>
          <w:color w:val="auto"/>
          <w:highlight w:val="none"/>
          <w:lang w:val="en-US" w:eastAsia="zh-CN"/>
        </w:rPr>
      </w:pPr>
    </w:p>
    <w:p w14:paraId="34406338">
      <w:pPr>
        <w:pStyle w:val="13"/>
        <w:rPr>
          <w:rFonts w:hint="eastAsia"/>
          <w:color w:val="auto"/>
          <w:highlight w:val="none"/>
          <w:lang w:val="en-US" w:eastAsia="zh-CN"/>
        </w:rPr>
      </w:pPr>
    </w:p>
    <w:p w14:paraId="13DEAFB3">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p>
    <w:p w14:paraId="30C8D33E">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zh-CN" w:eastAsia="zh-CN" w:bidi="ar-SA"/>
        </w:rPr>
      </w:pPr>
      <w:bookmarkStart w:id="361" w:name="_Toc15491"/>
      <w:r>
        <w:rPr>
          <w:rFonts w:hint="eastAsia" w:cstheme="majorBidi"/>
          <w:b/>
          <w:bCs/>
          <w:color w:val="auto"/>
          <w:kern w:val="2"/>
          <w:sz w:val="28"/>
          <w:szCs w:val="28"/>
          <w:highlight w:val="none"/>
          <w:lang w:val="en-US" w:eastAsia="zh-CN" w:bidi="ar-SA"/>
        </w:rPr>
        <w:t>六</w:t>
      </w:r>
      <w:r>
        <w:rPr>
          <w:rFonts w:hint="eastAsia" w:eastAsia="宋体" w:asciiTheme="majorHAnsi" w:hAnsiTheme="majorHAnsi" w:cstheme="majorBidi"/>
          <w:b/>
          <w:bCs/>
          <w:color w:val="auto"/>
          <w:kern w:val="2"/>
          <w:sz w:val="28"/>
          <w:szCs w:val="28"/>
          <w:highlight w:val="none"/>
          <w:lang w:val="en-US" w:eastAsia="zh-CN" w:bidi="ar-SA"/>
        </w:rPr>
        <w:t>、</w:t>
      </w:r>
      <w:bookmarkEnd w:id="359"/>
      <w:r>
        <w:rPr>
          <w:rFonts w:hint="eastAsia" w:eastAsia="宋体" w:asciiTheme="majorHAnsi" w:hAnsiTheme="majorHAnsi" w:cstheme="majorBidi"/>
          <w:b/>
          <w:bCs/>
          <w:color w:val="auto"/>
          <w:kern w:val="2"/>
          <w:sz w:val="28"/>
          <w:szCs w:val="28"/>
          <w:highlight w:val="none"/>
          <w:lang w:val="zh-CN" w:eastAsia="zh-CN" w:bidi="ar-SA"/>
        </w:rPr>
        <w:t>其他资格证明文件</w:t>
      </w:r>
      <w:bookmarkEnd w:id="361"/>
    </w:p>
    <w:p w14:paraId="0C24F0AE">
      <w:pPr>
        <w:pStyle w:val="38"/>
        <w:rPr>
          <w:rFonts w:hint="eastAsia"/>
          <w:color w:val="auto"/>
          <w:highlight w:val="none"/>
        </w:rPr>
      </w:pPr>
      <w:r>
        <w:rPr>
          <w:rFonts w:hint="eastAsia" w:cs="Courier New"/>
          <w:color w:val="auto"/>
          <w:szCs w:val="24"/>
          <w:highlight w:val="none"/>
        </w:rPr>
        <w:t>投标人认为需提供的其它相关资格证明材料</w:t>
      </w:r>
    </w:p>
    <w:p w14:paraId="7C2C3E83">
      <w:pPr>
        <w:pStyle w:val="38"/>
        <w:rPr>
          <w:rFonts w:hint="eastAsia"/>
          <w:color w:val="auto"/>
          <w:highlight w:val="none"/>
        </w:rPr>
      </w:pPr>
    </w:p>
    <w:p w14:paraId="58A36194">
      <w:pPr>
        <w:pStyle w:val="38"/>
        <w:rPr>
          <w:rFonts w:hint="eastAsia"/>
          <w:color w:val="auto"/>
          <w:highlight w:val="none"/>
        </w:rPr>
      </w:pPr>
    </w:p>
    <w:p w14:paraId="3553B395">
      <w:pPr>
        <w:pStyle w:val="38"/>
        <w:rPr>
          <w:rFonts w:hint="eastAsia"/>
          <w:color w:val="auto"/>
          <w:highlight w:val="none"/>
        </w:rPr>
      </w:pPr>
    </w:p>
    <w:p w14:paraId="49D404FC">
      <w:pPr>
        <w:pStyle w:val="38"/>
        <w:rPr>
          <w:rFonts w:hint="eastAsia"/>
          <w:color w:val="auto"/>
          <w:highlight w:val="none"/>
        </w:rPr>
      </w:pPr>
    </w:p>
    <w:p w14:paraId="4B98E4B6">
      <w:pPr>
        <w:pStyle w:val="38"/>
        <w:rPr>
          <w:rFonts w:hint="eastAsia"/>
          <w:color w:val="auto"/>
          <w:highlight w:val="none"/>
        </w:rPr>
      </w:pPr>
    </w:p>
    <w:p w14:paraId="737FEDD3">
      <w:pPr>
        <w:pStyle w:val="38"/>
        <w:rPr>
          <w:rFonts w:hint="eastAsia"/>
          <w:color w:val="auto"/>
          <w:highlight w:val="none"/>
        </w:rPr>
      </w:pPr>
    </w:p>
    <w:p w14:paraId="1C876135">
      <w:pPr>
        <w:pStyle w:val="38"/>
        <w:rPr>
          <w:rFonts w:hint="eastAsia"/>
          <w:color w:val="auto"/>
          <w:highlight w:val="none"/>
        </w:rPr>
      </w:pPr>
    </w:p>
    <w:p w14:paraId="7E85C842">
      <w:pPr>
        <w:pStyle w:val="38"/>
        <w:rPr>
          <w:rFonts w:hint="eastAsia"/>
          <w:color w:val="auto"/>
          <w:highlight w:val="none"/>
        </w:rPr>
      </w:pPr>
    </w:p>
    <w:p w14:paraId="4CBE3B0D">
      <w:pPr>
        <w:pStyle w:val="38"/>
        <w:rPr>
          <w:rFonts w:hint="eastAsia"/>
          <w:color w:val="auto"/>
          <w:highlight w:val="none"/>
        </w:rPr>
      </w:pPr>
    </w:p>
    <w:p w14:paraId="2E6E451F">
      <w:pPr>
        <w:pStyle w:val="38"/>
        <w:rPr>
          <w:rFonts w:hint="eastAsia"/>
          <w:color w:val="auto"/>
          <w:highlight w:val="none"/>
        </w:rPr>
      </w:pPr>
    </w:p>
    <w:p w14:paraId="38DC2C55">
      <w:pPr>
        <w:pStyle w:val="38"/>
        <w:rPr>
          <w:rFonts w:hint="eastAsia"/>
          <w:color w:val="auto"/>
          <w:highlight w:val="none"/>
        </w:rPr>
      </w:pPr>
    </w:p>
    <w:p w14:paraId="04DAFD3C">
      <w:pPr>
        <w:pStyle w:val="38"/>
        <w:rPr>
          <w:rFonts w:hint="eastAsia"/>
          <w:color w:val="auto"/>
          <w:highlight w:val="none"/>
        </w:rPr>
      </w:pPr>
    </w:p>
    <w:p w14:paraId="51E24CDC">
      <w:pPr>
        <w:pStyle w:val="38"/>
        <w:rPr>
          <w:rFonts w:hint="eastAsia"/>
          <w:color w:val="auto"/>
          <w:highlight w:val="none"/>
        </w:rPr>
      </w:pPr>
    </w:p>
    <w:p w14:paraId="1AC1942E">
      <w:pPr>
        <w:pStyle w:val="38"/>
        <w:rPr>
          <w:rFonts w:hint="eastAsia"/>
          <w:color w:val="auto"/>
          <w:highlight w:val="none"/>
        </w:rPr>
      </w:pPr>
    </w:p>
    <w:p w14:paraId="4722E259">
      <w:pPr>
        <w:pStyle w:val="38"/>
        <w:rPr>
          <w:rFonts w:hint="eastAsia"/>
          <w:color w:val="auto"/>
          <w:highlight w:val="none"/>
        </w:rPr>
      </w:pPr>
    </w:p>
    <w:p w14:paraId="07033BD3">
      <w:pPr>
        <w:pStyle w:val="38"/>
        <w:rPr>
          <w:rFonts w:hint="eastAsia"/>
          <w:color w:val="auto"/>
          <w:highlight w:val="none"/>
        </w:rPr>
      </w:pPr>
    </w:p>
    <w:p w14:paraId="6E1D094D">
      <w:pPr>
        <w:pStyle w:val="38"/>
        <w:rPr>
          <w:rFonts w:hint="eastAsia"/>
          <w:color w:val="auto"/>
          <w:highlight w:val="none"/>
        </w:rPr>
      </w:pPr>
    </w:p>
    <w:p w14:paraId="23B0DB54">
      <w:pPr>
        <w:pStyle w:val="38"/>
        <w:rPr>
          <w:rFonts w:hint="eastAsia"/>
          <w:color w:val="auto"/>
          <w:highlight w:val="none"/>
        </w:rPr>
      </w:pPr>
    </w:p>
    <w:p w14:paraId="07159DF6">
      <w:pPr>
        <w:pStyle w:val="38"/>
        <w:rPr>
          <w:rFonts w:hint="eastAsia"/>
          <w:color w:val="auto"/>
          <w:highlight w:val="none"/>
        </w:rPr>
      </w:pPr>
    </w:p>
    <w:p w14:paraId="44B3A5AA">
      <w:pPr>
        <w:pStyle w:val="38"/>
        <w:rPr>
          <w:rFonts w:hint="eastAsia"/>
          <w:color w:val="auto"/>
          <w:highlight w:val="none"/>
        </w:rPr>
      </w:pPr>
    </w:p>
    <w:p w14:paraId="05BB178A">
      <w:pPr>
        <w:pStyle w:val="38"/>
        <w:rPr>
          <w:rFonts w:hint="eastAsia"/>
          <w:color w:val="auto"/>
          <w:highlight w:val="none"/>
        </w:rPr>
      </w:pPr>
    </w:p>
    <w:p w14:paraId="0E7980AB">
      <w:pPr>
        <w:pStyle w:val="38"/>
        <w:rPr>
          <w:rFonts w:hint="eastAsia"/>
          <w:color w:val="auto"/>
          <w:highlight w:val="none"/>
        </w:rPr>
      </w:pPr>
    </w:p>
    <w:p w14:paraId="5A09B930">
      <w:pPr>
        <w:pStyle w:val="38"/>
        <w:rPr>
          <w:rFonts w:hint="eastAsia"/>
          <w:color w:val="auto"/>
          <w:highlight w:val="none"/>
        </w:rPr>
      </w:pPr>
    </w:p>
    <w:p w14:paraId="3FB1F62E">
      <w:pPr>
        <w:pStyle w:val="38"/>
        <w:rPr>
          <w:rFonts w:hint="eastAsia"/>
          <w:color w:val="auto"/>
          <w:highlight w:val="none"/>
        </w:rPr>
      </w:pPr>
    </w:p>
    <w:p w14:paraId="69D25AC1">
      <w:pPr>
        <w:pStyle w:val="38"/>
        <w:rPr>
          <w:rFonts w:hint="eastAsia"/>
          <w:color w:val="auto"/>
          <w:highlight w:val="none"/>
        </w:rPr>
      </w:pPr>
    </w:p>
    <w:p w14:paraId="3E9AC4C9">
      <w:pPr>
        <w:pStyle w:val="38"/>
        <w:rPr>
          <w:rFonts w:hint="eastAsia"/>
          <w:color w:val="auto"/>
          <w:highlight w:val="none"/>
        </w:rPr>
      </w:pPr>
    </w:p>
    <w:p w14:paraId="04384634">
      <w:pPr>
        <w:pStyle w:val="6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40582944">
      <w:pPr>
        <w:ind w:firstLine="480" w:firstLineChars="200"/>
        <w:rPr>
          <w:rFonts w:cs="仿宋_GB2312"/>
          <w:color w:val="auto"/>
          <w:szCs w:val="24"/>
          <w:highlight w:val="none"/>
          <w:lang w:val="zh-CN"/>
        </w:rPr>
      </w:pPr>
      <w:r>
        <w:rPr>
          <w:rFonts w:hint="eastAsia" w:cs="仿宋_GB2312"/>
          <w:color w:val="auto"/>
          <w:szCs w:val="24"/>
          <w:highlight w:val="none"/>
          <w:lang w:val="zh-CN"/>
        </w:rPr>
        <w:t>封面：</w:t>
      </w:r>
    </w:p>
    <w:p w14:paraId="4D1553A3">
      <w:pPr>
        <w:autoSpaceDE w:val="0"/>
        <w:autoSpaceDN w:val="0"/>
        <w:adjustRightInd w:val="0"/>
        <w:rPr>
          <w:color w:val="auto"/>
          <w:sz w:val="21"/>
          <w:szCs w:val="24"/>
          <w:highlight w:val="none"/>
        </w:rPr>
      </w:pPr>
    </w:p>
    <w:p w14:paraId="4625D57D">
      <w:pPr>
        <w:autoSpaceDE w:val="0"/>
        <w:autoSpaceDN w:val="0"/>
        <w:adjustRightInd w:val="0"/>
        <w:rPr>
          <w:color w:val="auto"/>
          <w:sz w:val="21"/>
          <w:szCs w:val="24"/>
          <w:highlight w:val="none"/>
        </w:rPr>
      </w:pPr>
    </w:p>
    <w:p w14:paraId="426BCEA1">
      <w:pPr>
        <w:autoSpaceDE w:val="0"/>
        <w:autoSpaceDN w:val="0"/>
        <w:adjustRightInd w:val="0"/>
        <w:jc w:val="center"/>
        <w:rPr>
          <w:color w:val="auto"/>
          <w:sz w:val="21"/>
          <w:szCs w:val="24"/>
          <w:highlight w:val="none"/>
        </w:rPr>
      </w:pPr>
    </w:p>
    <w:p w14:paraId="3902644C">
      <w:pPr>
        <w:autoSpaceDE w:val="0"/>
        <w:autoSpaceDN w:val="0"/>
        <w:adjustRightInd w:val="0"/>
        <w:jc w:val="center"/>
        <w:rPr>
          <w:b/>
          <w:color w:val="auto"/>
          <w:sz w:val="84"/>
          <w:szCs w:val="84"/>
          <w:highlight w:val="none"/>
        </w:rPr>
      </w:pPr>
      <w:r>
        <w:rPr>
          <w:rFonts w:hint="eastAsia"/>
          <w:b/>
          <w:color w:val="auto"/>
          <w:sz w:val="84"/>
          <w:szCs w:val="84"/>
          <w:highlight w:val="none"/>
        </w:rPr>
        <w:t>投 标 文 件</w:t>
      </w:r>
    </w:p>
    <w:p w14:paraId="5B89FC04">
      <w:pPr>
        <w:autoSpaceDE w:val="0"/>
        <w:autoSpaceDN w:val="0"/>
        <w:adjustRightInd w:val="0"/>
        <w:jc w:val="center"/>
        <w:rPr>
          <w:rFonts w:hint="eastAsia"/>
          <w:b/>
          <w:color w:val="auto"/>
          <w:sz w:val="56"/>
          <w:szCs w:val="56"/>
          <w:highlight w:val="none"/>
          <w:lang w:val="en-US" w:eastAsia="zh-CN"/>
        </w:rPr>
      </w:pPr>
      <w:r>
        <w:rPr>
          <w:rFonts w:hint="eastAsia"/>
          <w:b/>
          <w:color w:val="auto"/>
          <w:sz w:val="56"/>
          <w:szCs w:val="56"/>
          <w:highlight w:val="none"/>
          <w:lang w:val="en-US" w:eastAsia="zh-CN"/>
        </w:rPr>
        <w:t>报价文件</w:t>
      </w:r>
    </w:p>
    <w:p w14:paraId="5531C7E5">
      <w:pPr>
        <w:autoSpaceDE w:val="0"/>
        <w:autoSpaceDN w:val="0"/>
        <w:adjustRightInd w:val="0"/>
        <w:jc w:val="center"/>
        <w:rPr>
          <w:rFonts w:hint="eastAsia" w:eastAsia="宋体"/>
          <w:color w:val="auto"/>
          <w:sz w:val="36"/>
          <w:szCs w:val="36"/>
          <w:highlight w:val="none"/>
          <w:lang w:eastAsia="zh-CN"/>
        </w:rPr>
      </w:pPr>
      <w:r>
        <w:rPr>
          <w:rFonts w:hint="eastAsia"/>
          <w:color w:val="auto"/>
          <w:sz w:val="36"/>
          <w:szCs w:val="36"/>
          <w:highlight w:val="none"/>
          <w:lang w:val="en-US" w:eastAsia="zh-CN"/>
        </w:rPr>
        <w:t>（第XX包</w:t>
      </w:r>
      <w:r>
        <w:rPr>
          <w:rFonts w:hint="eastAsia"/>
          <w:color w:val="auto"/>
          <w:sz w:val="36"/>
          <w:szCs w:val="36"/>
          <w:highlight w:val="none"/>
          <w:lang w:eastAsia="zh-CN"/>
        </w:rPr>
        <w:t>）【</w:t>
      </w:r>
      <w:r>
        <w:rPr>
          <w:rFonts w:hint="eastAsia"/>
          <w:color w:val="auto"/>
          <w:sz w:val="36"/>
          <w:szCs w:val="36"/>
          <w:highlight w:val="none"/>
          <w:lang w:val="en-US" w:eastAsia="zh-CN"/>
        </w:rPr>
        <w:t>如不分包，请删去本行</w:t>
      </w:r>
      <w:r>
        <w:rPr>
          <w:rFonts w:hint="eastAsia"/>
          <w:color w:val="auto"/>
          <w:sz w:val="36"/>
          <w:szCs w:val="36"/>
          <w:highlight w:val="none"/>
          <w:lang w:eastAsia="zh-CN"/>
        </w:rPr>
        <w:t>】</w:t>
      </w:r>
    </w:p>
    <w:p w14:paraId="054E0C81">
      <w:pPr>
        <w:pStyle w:val="3"/>
        <w:rPr>
          <w:color w:val="auto"/>
          <w:sz w:val="21"/>
          <w:szCs w:val="21"/>
          <w:highlight w:val="none"/>
        </w:rPr>
      </w:pPr>
    </w:p>
    <w:p w14:paraId="425E1EDC">
      <w:pPr>
        <w:rPr>
          <w:color w:val="auto"/>
          <w:sz w:val="21"/>
          <w:szCs w:val="21"/>
          <w:highlight w:val="none"/>
        </w:rPr>
      </w:pPr>
    </w:p>
    <w:p w14:paraId="5FFD5616">
      <w:pPr>
        <w:rPr>
          <w:color w:val="auto"/>
          <w:highlight w:val="none"/>
        </w:rPr>
      </w:pPr>
    </w:p>
    <w:p w14:paraId="0338FA55">
      <w:pPr>
        <w:autoSpaceDE w:val="0"/>
        <w:autoSpaceDN w:val="0"/>
        <w:adjustRightInd w:val="0"/>
        <w:rPr>
          <w:color w:val="auto"/>
          <w:sz w:val="21"/>
          <w:szCs w:val="21"/>
          <w:highlight w:val="none"/>
        </w:rPr>
      </w:pPr>
    </w:p>
    <w:p w14:paraId="336C0AE3">
      <w:pPr>
        <w:autoSpaceDE w:val="0"/>
        <w:autoSpaceDN w:val="0"/>
        <w:adjustRightInd w:val="0"/>
        <w:rPr>
          <w:color w:val="auto"/>
          <w:sz w:val="21"/>
          <w:szCs w:val="21"/>
          <w:highlight w:val="none"/>
        </w:rPr>
      </w:pPr>
    </w:p>
    <w:p w14:paraId="6F475132">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/包号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0173F70E">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101680F9">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投</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13B6644C">
      <w:pPr>
        <w:ind w:left="840" w:firstLine="420"/>
        <w:rPr>
          <w:b/>
          <w:bCs/>
          <w:color w:val="auto"/>
          <w:sz w:val="28"/>
          <w:szCs w:val="28"/>
          <w:highlight w:val="none"/>
        </w:rPr>
      </w:pPr>
    </w:p>
    <w:p w14:paraId="5776D25B">
      <w:pPr>
        <w:ind w:left="840" w:firstLine="420"/>
        <w:rPr>
          <w:b/>
          <w:bCs/>
          <w:color w:val="auto"/>
          <w:sz w:val="28"/>
          <w:szCs w:val="28"/>
          <w:highlight w:val="none"/>
        </w:rPr>
      </w:pPr>
    </w:p>
    <w:p w14:paraId="153E0B10">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2B025C97">
      <w:pPr>
        <w:rPr>
          <w:color w:val="auto"/>
          <w:highlight w:val="none"/>
          <w:lang w:val="zh-CN"/>
        </w:rPr>
      </w:pPr>
      <w:r>
        <w:rPr>
          <w:color w:val="auto"/>
          <w:highlight w:val="none"/>
          <w:lang w:val="zh-CN"/>
        </w:rPr>
        <w:br w:type="page"/>
      </w:r>
    </w:p>
    <w:p w14:paraId="5A6B7717">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pPr>
    </w:p>
    <w:p w14:paraId="730DA0BC">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pPr>
      <w:bookmarkStart w:id="362" w:name="_Toc10253"/>
      <w:r>
        <w:rPr>
          <w:rFonts w:hint="eastAsia" w:cstheme="majorBidi"/>
          <w:b/>
          <w:bCs/>
          <w:color w:val="auto"/>
          <w:kern w:val="2"/>
          <w:sz w:val="32"/>
          <w:szCs w:val="32"/>
          <w:highlight w:val="none"/>
          <w:lang w:val="en-US" w:eastAsia="zh-CN" w:bidi="ar-SA"/>
        </w:rPr>
        <w:t>一、开标一览表</w:t>
      </w:r>
      <w:bookmarkEnd w:id="362"/>
    </w:p>
    <w:p w14:paraId="2AB3D72A">
      <w:pPr>
        <w:spacing w:line="300" w:lineRule="auto"/>
        <w:rPr>
          <w:rFonts w:cs="仿宋_GB2312"/>
          <w:color w:val="auto"/>
          <w:szCs w:val="24"/>
          <w:highlight w:val="none"/>
        </w:rPr>
      </w:pPr>
    </w:p>
    <w:p w14:paraId="599D3A7B">
      <w:pPr>
        <w:rPr>
          <w:b w:val="0"/>
          <w:bCs/>
          <w:color w:val="auto"/>
          <w:szCs w:val="21"/>
          <w:highlight w:val="none"/>
          <w:lang w:val="zh-CN"/>
        </w:rPr>
      </w:pPr>
      <w:r>
        <w:rPr>
          <w:rFonts w:hint="eastAsia"/>
          <w:b w:val="0"/>
          <w:bCs/>
          <w:color w:val="auto"/>
          <w:szCs w:val="21"/>
          <w:highlight w:val="none"/>
          <w:lang w:val="zh-CN"/>
        </w:rPr>
        <w:t>项目名称：</w:t>
      </w:r>
      <w:r>
        <w:rPr>
          <w:rFonts w:hint="eastAsia"/>
          <w:b w:val="0"/>
          <w:bCs/>
          <w:color w:val="auto"/>
          <w:szCs w:val="21"/>
          <w:highlight w:val="none"/>
          <w:u w:val="single"/>
          <w:lang w:val="zh-CN"/>
        </w:rPr>
        <w:t xml:space="preserve">                     </w:t>
      </w:r>
    </w:p>
    <w:p w14:paraId="0CABFDF4">
      <w:pPr>
        <w:rPr>
          <w:b w:val="0"/>
          <w:bCs/>
          <w:color w:val="auto"/>
          <w:szCs w:val="21"/>
          <w:highlight w:val="none"/>
          <w:u w:val="single"/>
          <w:lang w:val="zh-CN"/>
        </w:rPr>
      </w:pPr>
      <w:r>
        <w:rPr>
          <w:rFonts w:hint="eastAsia"/>
          <w:b w:val="0"/>
          <w:bCs/>
          <w:color w:val="auto"/>
          <w:szCs w:val="21"/>
          <w:highlight w:val="none"/>
          <w:lang w:val="zh-CN"/>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b w:val="0"/>
          <w:bCs/>
          <w:color w:val="auto"/>
          <w:szCs w:val="21"/>
          <w:highlight w:val="none"/>
          <w:u w:val="single"/>
          <w:lang w:val="zh-CN"/>
        </w:rPr>
        <w:t xml:space="preserve">                </w:t>
      </w:r>
    </w:p>
    <w:tbl>
      <w:tblPr>
        <w:tblStyle w:val="30"/>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352"/>
        <w:gridCol w:w="2161"/>
        <w:gridCol w:w="2611"/>
      </w:tblGrid>
      <w:tr w14:paraId="5F27D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1403" w:type="dxa"/>
            <w:vAlign w:val="center"/>
          </w:tcPr>
          <w:p w14:paraId="68B46E6E">
            <w:pPr>
              <w:widowControl/>
              <w:autoSpaceDE w:val="0"/>
              <w:autoSpaceDN w:val="0"/>
              <w:spacing w:line="240" w:lineRule="auto"/>
              <w:jc w:val="center"/>
              <w:textAlignment w:val="bottom"/>
              <w:rPr>
                <w:color w:val="auto"/>
                <w:sz w:val="24"/>
                <w:szCs w:val="24"/>
                <w:highlight w:val="none"/>
              </w:rPr>
            </w:pPr>
            <w:r>
              <w:rPr>
                <w:rFonts w:hint="eastAsia"/>
                <w:color w:val="auto"/>
                <w:sz w:val="24"/>
                <w:szCs w:val="24"/>
                <w:highlight w:val="none"/>
              </w:rPr>
              <w:t>序号</w:t>
            </w:r>
          </w:p>
        </w:tc>
        <w:tc>
          <w:tcPr>
            <w:tcW w:w="2352" w:type="dxa"/>
            <w:vAlign w:val="center"/>
          </w:tcPr>
          <w:p w14:paraId="5D10FF2E">
            <w:pPr>
              <w:widowControl/>
              <w:autoSpaceDE w:val="0"/>
              <w:autoSpaceDN w:val="0"/>
              <w:spacing w:line="240" w:lineRule="auto"/>
              <w:ind w:left="851" w:hanging="851"/>
              <w:jc w:val="center"/>
              <w:textAlignment w:val="bottom"/>
              <w:rPr>
                <w:color w:val="auto"/>
                <w:sz w:val="24"/>
                <w:szCs w:val="24"/>
                <w:highlight w:val="none"/>
              </w:rPr>
            </w:pPr>
            <w:r>
              <w:rPr>
                <w:rFonts w:hint="eastAsia"/>
                <w:color w:val="auto"/>
                <w:sz w:val="24"/>
                <w:szCs w:val="24"/>
                <w:highlight w:val="none"/>
              </w:rPr>
              <w:t>投标报价</w:t>
            </w:r>
          </w:p>
        </w:tc>
        <w:tc>
          <w:tcPr>
            <w:tcW w:w="2161" w:type="dxa"/>
            <w:vAlign w:val="center"/>
          </w:tcPr>
          <w:p w14:paraId="48CC1886">
            <w:pPr>
              <w:widowControl/>
              <w:autoSpaceDE w:val="0"/>
              <w:autoSpaceDN w:val="0"/>
              <w:spacing w:line="240" w:lineRule="auto"/>
              <w:ind w:left="851" w:hanging="851"/>
              <w:jc w:val="center"/>
              <w:textAlignment w:val="bottom"/>
              <w:rPr>
                <w:color w:val="auto"/>
                <w:sz w:val="24"/>
                <w:szCs w:val="24"/>
                <w:highlight w:val="none"/>
              </w:rPr>
            </w:pPr>
            <w:r>
              <w:rPr>
                <w:rFonts w:hint="eastAsia"/>
                <w:color w:val="auto"/>
                <w:sz w:val="24"/>
                <w:szCs w:val="24"/>
                <w:highlight w:val="none"/>
              </w:rPr>
              <w:t>交货期限</w:t>
            </w:r>
          </w:p>
        </w:tc>
        <w:tc>
          <w:tcPr>
            <w:tcW w:w="2611" w:type="dxa"/>
            <w:vAlign w:val="center"/>
          </w:tcPr>
          <w:p w14:paraId="620875ED">
            <w:pPr>
              <w:widowControl/>
              <w:autoSpaceDE w:val="0"/>
              <w:autoSpaceDN w:val="0"/>
              <w:spacing w:line="240" w:lineRule="auto"/>
              <w:jc w:val="center"/>
              <w:textAlignment w:val="bottom"/>
              <w:rPr>
                <w:color w:val="auto"/>
                <w:sz w:val="24"/>
                <w:szCs w:val="24"/>
                <w:highlight w:val="none"/>
              </w:rPr>
            </w:pPr>
            <w:r>
              <w:rPr>
                <w:rFonts w:hint="eastAsia"/>
                <w:color w:val="auto"/>
                <w:sz w:val="24"/>
                <w:szCs w:val="24"/>
                <w:highlight w:val="none"/>
              </w:rPr>
              <w:t>备注（如有）</w:t>
            </w:r>
          </w:p>
        </w:tc>
      </w:tr>
      <w:tr w14:paraId="1B090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0" w:hRule="atLeast"/>
        </w:trPr>
        <w:tc>
          <w:tcPr>
            <w:tcW w:w="1403" w:type="dxa"/>
            <w:vAlign w:val="center"/>
          </w:tcPr>
          <w:p w14:paraId="73431128">
            <w:pPr>
              <w:widowControl/>
              <w:autoSpaceDE w:val="0"/>
              <w:autoSpaceDN w:val="0"/>
              <w:spacing w:line="240" w:lineRule="auto"/>
              <w:ind w:left="851" w:hanging="851"/>
              <w:jc w:val="center"/>
              <w:textAlignment w:val="bottom"/>
              <w:rPr>
                <w:rFonts w:hint="eastAsia"/>
                <w:color w:val="auto"/>
                <w:sz w:val="24"/>
                <w:szCs w:val="24"/>
                <w:highlight w:val="none"/>
              </w:rPr>
            </w:pPr>
          </w:p>
        </w:tc>
        <w:tc>
          <w:tcPr>
            <w:tcW w:w="2352" w:type="dxa"/>
            <w:vAlign w:val="center"/>
          </w:tcPr>
          <w:p w14:paraId="45A40F19">
            <w:pPr>
              <w:widowControl/>
              <w:shd w:val="clear"/>
              <w:autoSpaceDE w:val="0"/>
              <w:autoSpaceDN w:val="0"/>
              <w:spacing w:line="240" w:lineRule="auto"/>
              <w:ind w:left="851" w:hanging="851"/>
              <w:jc w:val="both"/>
              <w:textAlignment w:val="bottom"/>
              <w:rPr>
                <w:rFonts w:hint="eastAsia"/>
                <w:color w:val="auto"/>
                <w:sz w:val="24"/>
                <w:szCs w:val="24"/>
                <w:highlight w:val="none"/>
                <w:lang w:val="en-US" w:eastAsia="zh-CN"/>
              </w:rPr>
            </w:pPr>
            <w:r>
              <w:rPr>
                <w:rFonts w:hint="eastAsia"/>
                <w:color w:val="auto"/>
                <w:sz w:val="24"/>
                <w:szCs w:val="24"/>
                <w:highlight w:val="none"/>
                <w:lang w:val="en-US" w:eastAsia="zh-CN"/>
              </w:rPr>
              <w:t>小写：</w:t>
            </w:r>
          </w:p>
          <w:p w14:paraId="11F7915D">
            <w:pPr>
              <w:widowControl/>
              <w:shd w:val="clear"/>
              <w:autoSpaceDE w:val="0"/>
              <w:autoSpaceDN w:val="0"/>
              <w:spacing w:line="240" w:lineRule="auto"/>
              <w:ind w:left="851" w:hanging="851"/>
              <w:jc w:val="both"/>
              <w:textAlignment w:val="bottom"/>
              <w:rPr>
                <w:rFonts w:hint="default"/>
                <w:color w:val="auto"/>
                <w:sz w:val="24"/>
                <w:szCs w:val="24"/>
                <w:highlight w:val="none"/>
                <w:lang w:val="en-US" w:eastAsia="zh-CN"/>
              </w:rPr>
            </w:pPr>
            <w:r>
              <w:rPr>
                <w:rFonts w:hint="eastAsia"/>
                <w:color w:val="auto"/>
                <w:sz w:val="24"/>
                <w:szCs w:val="24"/>
                <w:highlight w:val="none"/>
                <w:lang w:val="en-US" w:eastAsia="zh-CN"/>
              </w:rPr>
              <w:t>大写：</w:t>
            </w:r>
          </w:p>
        </w:tc>
        <w:tc>
          <w:tcPr>
            <w:tcW w:w="2161" w:type="dxa"/>
            <w:vAlign w:val="center"/>
          </w:tcPr>
          <w:p w14:paraId="3409D243">
            <w:pPr>
              <w:widowControl/>
              <w:autoSpaceDE w:val="0"/>
              <w:autoSpaceDN w:val="0"/>
              <w:spacing w:line="240" w:lineRule="auto"/>
              <w:ind w:left="851" w:hanging="851"/>
              <w:jc w:val="center"/>
              <w:textAlignment w:val="bottom"/>
              <w:rPr>
                <w:rFonts w:hint="eastAsia"/>
                <w:color w:val="auto"/>
                <w:sz w:val="24"/>
                <w:szCs w:val="24"/>
                <w:highlight w:val="none"/>
              </w:rPr>
            </w:pPr>
          </w:p>
        </w:tc>
        <w:tc>
          <w:tcPr>
            <w:tcW w:w="2611" w:type="dxa"/>
            <w:vAlign w:val="center"/>
          </w:tcPr>
          <w:p w14:paraId="35602B49">
            <w:pPr>
              <w:widowControl/>
              <w:autoSpaceDE w:val="0"/>
              <w:autoSpaceDN w:val="0"/>
              <w:spacing w:line="240" w:lineRule="auto"/>
              <w:ind w:left="851" w:hanging="851"/>
              <w:jc w:val="center"/>
              <w:textAlignment w:val="bottom"/>
              <w:rPr>
                <w:rFonts w:hint="eastAsia"/>
                <w:color w:val="auto"/>
                <w:sz w:val="24"/>
                <w:szCs w:val="24"/>
                <w:highlight w:val="none"/>
              </w:rPr>
            </w:pPr>
          </w:p>
        </w:tc>
      </w:tr>
    </w:tbl>
    <w:p w14:paraId="486E37D7">
      <w:pPr>
        <w:spacing w:line="300" w:lineRule="auto"/>
        <w:rPr>
          <w:rFonts w:ascii="Arial" w:hAnsi="Arial" w:cs="Arial"/>
          <w:color w:val="auto"/>
          <w:szCs w:val="21"/>
          <w:highlight w:val="none"/>
          <w:u w:val="single"/>
        </w:rPr>
      </w:pPr>
    </w:p>
    <w:p w14:paraId="0270EFB4">
      <w:pPr>
        <w:spacing w:line="300" w:lineRule="auto"/>
        <w:rPr>
          <w:rFonts w:ascii="Arial" w:hAnsi="Arial" w:cs="Arial"/>
          <w:color w:val="auto"/>
          <w:szCs w:val="21"/>
          <w:highlight w:val="none"/>
        </w:rPr>
      </w:pPr>
      <w:r>
        <w:rPr>
          <w:rFonts w:ascii="Arial" w:hAnsi="Arial" w:cs="Arial"/>
          <w:color w:val="auto"/>
          <w:szCs w:val="21"/>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ascii="Arial" w:hAnsi="Arial" w:cs="Arial"/>
          <w:color w:val="auto"/>
          <w:szCs w:val="21"/>
          <w:highlight w:val="none"/>
        </w:rPr>
        <w:t>：</w:t>
      </w:r>
    </w:p>
    <w:p w14:paraId="6302F8A6">
      <w:pPr>
        <w:spacing w:line="300" w:lineRule="auto"/>
        <w:rPr>
          <w:rFonts w:ascii="Arial" w:hAnsi="Arial" w:cs="Arial"/>
          <w:color w:val="auto"/>
          <w:szCs w:val="21"/>
          <w:highlight w:val="none"/>
          <w:u w:val="single"/>
        </w:rPr>
      </w:pPr>
      <w:r>
        <w:rPr>
          <w:rFonts w:ascii="Arial" w:hAnsi="Arial" w:cs="Arial"/>
          <w:color w:val="auto"/>
          <w:szCs w:val="21"/>
          <w:highlight w:val="none"/>
        </w:rPr>
        <w:t>日期：</w:t>
      </w:r>
    </w:p>
    <w:p w14:paraId="722CC087">
      <w:pPr>
        <w:rPr>
          <w:rFonts w:cs="Arial"/>
          <w:color w:val="auto"/>
          <w:szCs w:val="24"/>
          <w:highlight w:val="none"/>
        </w:rPr>
      </w:pPr>
    </w:p>
    <w:p w14:paraId="21BB3A26">
      <w:pPr>
        <w:pStyle w:val="13"/>
        <w:rPr>
          <w:rFonts w:cs="Arial"/>
          <w:color w:val="auto"/>
          <w:szCs w:val="24"/>
          <w:highlight w:val="none"/>
        </w:rPr>
      </w:pPr>
    </w:p>
    <w:p w14:paraId="4C551945">
      <w:pPr>
        <w:pStyle w:val="13"/>
        <w:rPr>
          <w:rFonts w:cs="Arial"/>
          <w:color w:val="auto"/>
          <w:szCs w:val="24"/>
          <w:highlight w:val="none"/>
        </w:rPr>
      </w:pPr>
    </w:p>
    <w:p w14:paraId="09ACCEBB">
      <w:pPr>
        <w:pStyle w:val="13"/>
        <w:rPr>
          <w:rFonts w:cs="Arial"/>
          <w:color w:val="auto"/>
          <w:szCs w:val="24"/>
          <w:highlight w:val="none"/>
        </w:rPr>
      </w:pPr>
    </w:p>
    <w:p w14:paraId="54CAC625">
      <w:pPr>
        <w:pStyle w:val="13"/>
        <w:rPr>
          <w:rFonts w:cs="Arial"/>
          <w:color w:val="auto"/>
          <w:szCs w:val="24"/>
          <w:highlight w:val="none"/>
        </w:rPr>
      </w:pPr>
    </w:p>
    <w:p w14:paraId="5D119674">
      <w:pPr>
        <w:spacing w:line="360" w:lineRule="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注：</w:t>
      </w:r>
    </w:p>
    <w:p w14:paraId="7BF32ACE">
      <w:pPr>
        <w:spacing w:line="360" w:lineRule="auto"/>
        <w:ind w:firstLine="43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1.此表用于开标唱标之用。</w:t>
      </w:r>
    </w:p>
    <w:p w14:paraId="7C885789">
      <w:pPr>
        <w:spacing w:line="360" w:lineRule="auto"/>
        <w:ind w:firstLine="43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2.表中投标报价即为优惠后报价，并作为评审及定标依据。任何有选择或有条件的投标报价，或者表中某一包填写多个报价，均为无效报价。</w:t>
      </w:r>
    </w:p>
    <w:p w14:paraId="586D1FAE">
      <w:pPr>
        <w:pStyle w:val="13"/>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.表中大写与小写不一致的，以大写为准。</w:t>
      </w:r>
    </w:p>
    <w:p w14:paraId="1B1FD4E9">
      <w:pPr>
        <w:pStyle w:val="13"/>
        <w:ind w:firstLine="420" w:firstLineChars="200"/>
        <w:rPr>
          <w:rFonts w:hint="default" w:ascii="宋体" w:hAnsi="宋体" w:eastAsia="宋体" w:cs="宋体"/>
          <w:color w:val="auto"/>
          <w:kern w:val="2"/>
          <w:sz w:val="21"/>
          <w:szCs w:val="21"/>
          <w:highlight w:val="none"/>
          <w:lang w:val="en-US" w:eastAsia="zh-CN" w:bidi="ar-SA"/>
        </w:rPr>
        <w:sectPr>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eastAsia" w:ascii="宋体" w:hAnsi="宋体" w:eastAsia="宋体" w:cs="宋体"/>
          <w:color w:val="auto"/>
          <w:kern w:val="2"/>
          <w:sz w:val="21"/>
          <w:szCs w:val="21"/>
          <w:highlight w:val="none"/>
          <w:lang w:val="en-US" w:eastAsia="zh-CN" w:bidi="ar-SA"/>
        </w:rPr>
        <w:t>4.投标报价为本项目需求的全部货物及所需附件购置费、包装费、运输费、人工费、保险费、安装调试费、各种税费、资料费、售后服务费及完成项目应有的全部费用。如有漏项或缺项，投标人承担全部责任</w:t>
      </w:r>
    </w:p>
    <w:p w14:paraId="48AB7391">
      <w:pPr>
        <w:pStyle w:val="6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61810CE8">
      <w:pPr>
        <w:ind w:firstLine="480" w:firstLineChars="200"/>
        <w:rPr>
          <w:rFonts w:cs="仿宋_GB2312"/>
          <w:color w:val="auto"/>
          <w:szCs w:val="24"/>
          <w:highlight w:val="none"/>
          <w:lang w:val="zh-CN"/>
        </w:rPr>
      </w:pPr>
      <w:r>
        <w:rPr>
          <w:rFonts w:hint="eastAsia" w:cs="仿宋_GB2312"/>
          <w:color w:val="auto"/>
          <w:szCs w:val="24"/>
          <w:highlight w:val="none"/>
          <w:lang w:val="zh-CN"/>
        </w:rPr>
        <w:t>封面：</w:t>
      </w:r>
    </w:p>
    <w:p w14:paraId="62869EA6">
      <w:pPr>
        <w:autoSpaceDE w:val="0"/>
        <w:autoSpaceDN w:val="0"/>
        <w:adjustRightInd w:val="0"/>
        <w:rPr>
          <w:color w:val="auto"/>
          <w:sz w:val="21"/>
          <w:szCs w:val="24"/>
          <w:highlight w:val="none"/>
        </w:rPr>
      </w:pPr>
    </w:p>
    <w:p w14:paraId="5B0902B7">
      <w:pPr>
        <w:autoSpaceDE w:val="0"/>
        <w:autoSpaceDN w:val="0"/>
        <w:adjustRightInd w:val="0"/>
        <w:rPr>
          <w:color w:val="auto"/>
          <w:sz w:val="21"/>
          <w:szCs w:val="24"/>
          <w:highlight w:val="none"/>
        </w:rPr>
      </w:pPr>
    </w:p>
    <w:p w14:paraId="5A04F91B">
      <w:pPr>
        <w:autoSpaceDE w:val="0"/>
        <w:autoSpaceDN w:val="0"/>
        <w:adjustRightInd w:val="0"/>
        <w:jc w:val="center"/>
        <w:rPr>
          <w:color w:val="auto"/>
          <w:sz w:val="21"/>
          <w:szCs w:val="24"/>
          <w:highlight w:val="none"/>
        </w:rPr>
      </w:pPr>
    </w:p>
    <w:p w14:paraId="47D22CDA">
      <w:pPr>
        <w:autoSpaceDE w:val="0"/>
        <w:autoSpaceDN w:val="0"/>
        <w:adjustRightInd w:val="0"/>
        <w:jc w:val="center"/>
        <w:rPr>
          <w:b/>
          <w:color w:val="auto"/>
          <w:sz w:val="84"/>
          <w:szCs w:val="84"/>
          <w:highlight w:val="none"/>
        </w:rPr>
      </w:pPr>
      <w:r>
        <w:rPr>
          <w:rFonts w:hint="eastAsia"/>
          <w:b/>
          <w:color w:val="auto"/>
          <w:sz w:val="84"/>
          <w:szCs w:val="84"/>
          <w:highlight w:val="none"/>
        </w:rPr>
        <w:t>投 标 文 件</w:t>
      </w:r>
    </w:p>
    <w:p w14:paraId="2059EAAA">
      <w:pPr>
        <w:autoSpaceDE w:val="0"/>
        <w:autoSpaceDN w:val="0"/>
        <w:adjustRightInd w:val="0"/>
        <w:jc w:val="center"/>
        <w:rPr>
          <w:rFonts w:hint="eastAsia"/>
          <w:b/>
          <w:color w:val="auto"/>
          <w:sz w:val="56"/>
          <w:szCs w:val="56"/>
          <w:highlight w:val="none"/>
          <w:lang w:val="en-US" w:eastAsia="zh-CN"/>
        </w:rPr>
      </w:pPr>
      <w:r>
        <w:rPr>
          <w:rFonts w:hint="eastAsia"/>
          <w:b/>
          <w:color w:val="auto"/>
          <w:sz w:val="56"/>
          <w:szCs w:val="56"/>
          <w:highlight w:val="none"/>
          <w:lang w:val="en-US" w:eastAsia="zh-CN"/>
        </w:rPr>
        <w:t>商务技术文件</w:t>
      </w:r>
    </w:p>
    <w:p w14:paraId="691967E0">
      <w:pPr>
        <w:autoSpaceDE w:val="0"/>
        <w:autoSpaceDN w:val="0"/>
        <w:adjustRightInd w:val="0"/>
        <w:jc w:val="center"/>
        <w:rPr>
          <w:rFonts w:hint="eastAsia" w:eastAsia="宋体"/>
          <w:color w:val="auto"/>
          <w:sz w:val="36"/>
          <w:szCs w:val="36"/>
          <w:highlight w:val="none"/>
          <w:lang w:eastAsia="zh-CN"/>
        </w:rPr>
      </w:pPr>
      <w:r>
        <w:rPr>
          <w:rFonts w:hint="eastAsia"/>
          <w:color w:val="auto"/>
          <w:sz w:val="36"/>
          <w:szCs w:val="36"/>
          <w:highlight w:val="none"/>
          <w:lang w:val="en-US" w:eastAsia="zh-CN"/>
        </w:rPr>
        <w:t>（第XX包</w:t>
      </w:r>
      <w:r>
        <w:rPr>
          <w:rFonts w:hint="eastAsia"/>
          <w:color w:val="auto"/>
          <w:sz w:val="36"/>
          <w:szCs w:val="36"/>
          <w:highlight w:val="none"/>
          <w:lang w:eastAsia="zh-CN"/>
        </w:rPr>
        <w:t>）【</w:t>
      </w:r>
      <w:r>
        <w:rPr>
          <w:rFonts w:hint="eastAsia"/>
          <w:color w:val="auto"/>
          <w:sz w:val="36"/>
          <w:szCs w:val="36"/>
          <w:highlight w:val="none"/>
          <w:lang w:val="en-US" w:eastAsia="zh-CN"/>
        </w:rPr>
        <w:t>如不分包，请删去本行</w:t>
      </w:r>
      <w:r>
        <w:rPr>
          <w:rFonts w:hint="eastAsia"/>
          <w:color w:val="auto"/>
          <w:sz w:val="36"/>
          <w:szCs w:val="36"/>
          <w:highlight w:val="none"/>
          <w:lang w:eastAsia="zh-CN"/>
        </w:rPr>
        <w:t>】</w:t>
      </w:r>
    </w:p>
    <w:p w14:paraId="039027FC">
      <w:pPr>
        <w:pStyle w:val="3"/>
        <w:rPr>
          <w:color w:val="auto"/>
          <w:sz w:val="21"/>
          <w:szCs w:val="21"/>
          <w:highlight w:val="none"/>
        </w:rPr>
      </w:pPr>
    </w:p>
    <w:p w14:paraId="1B35F1EE">
      <w:pPr>
        <w:rPr>
          <w:color w:val="auto"/>
          <w:sz w:val="21"/>
          <w:szCs w:val="21"/>
          <w:highlight w:val="none"/>
        </w:rPr>
      </w:pPr>
    </w:p>
    <w:p w14:paraId="54B78BF7">
      <w:pPr>
        <w:rPr>
          <w:color w:val="auto"/>
          <w:highlight w:val="none"/>
        </w:rPr>
      </w:pPr>
    </w:p>
    <w:p w14:paraId="44CE1222">
      <w:pPr>
        <w:autoSpaceDE w:val="0"/>
        <w:autoSpaceDN w:val="0"/>
        <w:adjustRightInd w:val="0"/>
        <w:rPr>
          <w:color w:val="auto"/>
          <w:sz w:val="21"/>
          <w:szCs w:val="21"/>
          <w:highlight w:val="none"/>
        </w:rPr>
      </w:pPr>
    </w:p>
    <w:p w14:paraId="7AA0A974">
      <w:pPr>
        <w:autoSpaceDE w:val="0"/>
        <w:autoSpaceDN w:val="0"/>
        <w:adjustRightInd w:val="0"/>
        <w:rPr>
          <w:color w:val="auto"/>
          <w:sz w:val="21"/>
          <w:szCs w:val="21"/>
          <w:highlight w:val="none"/>
        </w:rPr>
      </w:pPr>
    </w:p>
    <w:p w14:paraId="037029E5">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/包号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0538909E">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6D86FB53">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投</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02BCF110">
      <w:pPr>
        <w:ind w:left="420" w:leftChars="175"/>
        <w:rPr>
          <w:rFonts w:ascii="黑体" w:hAnsi="黑体" w:eastAsia="黑体"/>
          <w:color w:val="auto"/>
          <w:sz w:val="32"/>
          <w:szCs w:val="32"/>
          <w:highlight w:val="none"/>
        </w:rPr>
      </w:pPr>
    </w:p>
    <w:p w14:paraId="2EF2CC50">
      <w:pPr>
        <w:ind w:left="840" w:firstLine="420"/>
        <w:rPr>
          <w:b/>
          <w:bCs/>
          <w:color w:val="auto"/>
          <w:sz w:val="28"/>
          <w:szCs w:val="28"/>
          <w:highlight w:val="none"/>
        </w:rPr>
      </w:pPr>
    </w:p>
    <w:p w14:paraId="2451F1DE">
      <w:pPr>
        <w:ind w:left="840" w:firstLine="420"/>
        <w:rPr>
          <w:b/>
          <w:bCs/>
          <w:color w:val="auto"/>
          <w:sz w:val="28"/>
          <w:szCs w:val="28"/>
          <w:highlight w:val="none"/>
        </w:rPr>
      </w:pPr>
    </w:p>
    <w:p w14:paraId="5B12266F">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5C2AEB63">
      <w:pPr>
        <w:rPr>
          <w:color w:val="auto"/>
          <w:highlight w:val="none"/>
          <w:lang w:val="zh-CN"/>
        </w:rPr>
      </w:pPr>
      <w:r>
        <w:rPr>
          <w:color w:val="auto"/>
          <w:highlight w:val="none"/>
          <w:lang w:val="zh-CN"/>
        </w:rPr>
        <w:br w:type="page"/>
      </w:r>
    </w:p>
    <w:p w14:paraId="374BEE88">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363" w:name="_Toc140132831"/>
      <w:bookmarkStart w:id="364" w:name="_Toc155185921"/>
      <w:bookmarkStart w:id="365" w:name="_Toc109900327"/>
      <w:bookmarkStart w:id="366" w:name="_Toc163492915"/>
      <w:bookmarkStart w:id="367" w:name="_Toc24394"/>
      <w:bookmarkStart w:id="368" w:name="_Toc109899489"/>
      <w:bookmarkStart w:id="369" w:name="_Toc109899908"/>
      <w:bookmarkStart w:id="370" w:name="_Toc25402"/>
      <w:bookmarkStart w:id="371" w:name="_Toc3577"/>
      <w:r>
        <w:rPr>
          <w:rFonts w:hint="eastAsia" w:eastAsia="宋体" w:asciiTheme="majorHAnsi" w:hAnsiTheme="majorHAnsi" w:cstheme="majorBidi"/>
          <w:b/>
          <w:bCs/>
          <w:color w:val="auto"/>
          <w:kern w:val="2"/>
          <w:sz w:val="32"/>
          <w:szCs w:val="32"/>
          <w:highlight w:val="none"/>
          <w:lang w:val="en-US" w:eastAsia="zh-CN" w:bidi="ar-SA"/>
        </w:rPr>
        <w:t>一、投标函</w:t>
      </w:r>
      <w:bookmarkEnd w:id="363"/>
      <w:bookmarkEnd w:id="364"/>
      <w:bookmarkEnd w:id="365"/>
      <w:bookmarkEnd w:id="366"/>
      <w:bookmarkEnd w:id="367"/>
      <w:bookmarkEnd w:id="368"/>
      <w:bookmarkEnd w:id="369"/>
      <w:bookmarkEnd w:id="370"/>
      <w:bookmarkEnd w:id="371"/>
    </w:p>
    <w:p w14:paraId="0ABD9EA3">
      <w:pPr>
        <w:rPr>
          <w:color w:val="auto"/>
          <w:highlight w:val="none"/>
        </w:rPr>
      </w:pPr>
      <w:r>
        <w:rPr>
          <w:rFonts w:hint="eastAsia"/>
          <w:color w:val="auto"/>
          <w:highlight w:val="none"/>
        </w:rPr>
        <w:t>致：（采购人）</w:t>
      </w:r>
    </w:p>
    <w:p w14:paraId="35C4266A">
      <w:pPr>
        <w:ind w:firstLine="480" w:firstLineChars="200"/>
        <w:rPr>
          <w:rFonts w:cs="仿宋_GB2312"/>
          <w:b/>
          <w:bCs/>
          <w:color w:val="auto"/>
          <w:szCs w:val="24"/>
          <w:highlight w:val="none"/>
        </w:rPr>
      </w:pPr>
      <w:r>
        <w:rPr>
          <w:rFonts w:hint="eastAsia" w:cs="仿宋_GB2312"/>
          <w:color w:val="auto"/>
          <w:szCs w:val="24"/>
          <w:highlight w:val="none"/>
        </w:rPr>
        <w:t>根据贵方</w:t>
      </w:r>
      <w:r>
        <w:rPr>
          <w:rFonts w:hint="eastAsia" w:cs="仿宋_GB2312"/>
          <w:color w:val="auto"/>
          <w:szCs w:val="24"/>
          <w:highlight w:val="none"/>
          <w:u w:val="single"/>
        </w:rPr>
        <w:t>（项目名称）（项目编号</w:t>
      </w:r>
      <w:r>
        <w:rPr>
          <w:rFonts w:hint="eastAsia" w:cs="仿宋_GB2312"/>
          <w:color w:val="auto"/>
          <w:szCs w:val="24"/>
          <w:highlight w:val="none"/>
          <w:u w:val="single"/>
          <w:lang w:val="en-US" w:eastAsia="zh-CN"/>
        </w:rPr>
        <w:t>/包号</w:t>
      </w:r>
      <w:r>
        <w:rPr>
          <w:rFonts w:hint="eastAsia" w:cs="仿宋_GB2312"/>
          <w:color w:val="auto"/>
          <w:szCs w:val="24"/>
          <w:highlight w:val="none"/>
          <w:u w:val="single"/>
        </w:rPr>
        <w:t>）</w:t>
      </w:r>
      <w:r>
        <w:rPr>
          <w:rFonts w:hint="eastAsia" w:cs="仿宋_GB2312"/>
          <w:color w:val="auto"/>
          <w:szCs w:val="24"/>
          <w:highlight w:val="none"/>
          <w:lang w:val="en-US" w:eastAsia="zh-CN"/>
        </w:rPr>
        <w:t>项目</w:t>
      </w:r>
      <w:r>
        <w:rPr>
          <w:rFonts w:hint="eastAsia" w:cs="仿宋_GB2312"/>
          <w:color w:val="auto"/>
          <w:szCs w:val="24"/>
          <w:highlight w:val="none"/>
        </w:rPr>
        <w:t>的</w:t>
      </w:r>
      <w:r>
        <w:rPr>
          <w:rFonts w:hint="eastAsia" w:cs="仿宋_GB2312"/>
          <w:color w:val="auto"/>
          <w:szCs w:val="24"/>
          <w:highlight w:val="none"/>
          <w:lang w:val="en-US" w:eastAsia="zh-CN"/>
        </w:rPr>
        <w:t>招标公告</w:t>
      </w:r>
      <w:r>
        <w:rPr>
          <w:rFonts w:hint="eastAsia" w:cs="仿宋_GB2312"/>
          <w:color w:val="auto"/>
          <w:szCs w:val="24"/>
          <w:highlight w:val="none"/>
        </w:rPr>
        <w:t>，签字代表</w:t>
      </w:r>
      <w:r>
        <w:rPr>
          <w:rFonts w:hint="eastAsia" w:cs="仿宋_GB2312"/>
          <w:color w:val="auto"/>
          <w:szCs w:val="24"/>
          <w:highlight w:val="none"/>
          <w:u w:val="single"/>
        </w:rPr>
        <w:t>（姓名、职务）</w:t>
      </w:r>
      <w:r>
        <w:rPr>
          <w:rFonts w:hint="eastAsia" w:cs="仿宋_GB2312"/>
          <w:color w:val="auto"/>
          <w:szCs w:val="24"/>
          <w:highlight w:val="none"/>
        </w:rPr>
        <w:t>经正式授权并代表投标人</w:t>
      </w:r>
      <w:r>
        <w:rPr>
          <w:rFonts w:hint="eastAsia" w:cs="仿宋_GB2312"/>
          <w:color w:val="auto"/>
          <w:szCs w:val="24"/>
          <w:highlight w:val="none"/>
          <w:u w:val="single"/>
        </w:rPr>
        <w:t>（投标人名称、地址）</w:t>
      </w:r>
      <w:r>
        <w:rPr>
          <w:rFonts w:hint="eastAsia" w:cs="仿宋_GB2312"/>
          <w:color w:val="auto"/>
          <w:szCs w:val="24"/>
          <w:highlight w:val="none"/>
        </w:rPr>
        <w:t>提交下述文件</w:t>
      </w:r>
      <w:r>
        <w:rPr>
          <w:rFonts w:hint="eastAsia" w:cs="仿宋_GB2312"/>
          <w:b/>
          <w:bCs/>
          <w:color w:val="auto"/>
          <w:szCs w:val="24"/>
          <w:highlight w:val="none"/>
        </w:rPr>
        <w:t>：</w:t>
      </w:r>
    </w:p>
    <w:p w14:paraId="21BBF032">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1.</w:t>
      </w:r>
      <w:r>
        <w:rPr>
          <w:rFonts w:hint="eastAsia" w:cs="Arial"/>
          <w:color w:val="auto"/>
          <w:szCs w:val="24"/>
          <w:highlight w:val="none"/>
        </w:rPr>
        <w:t>资格</w:t>
      </w:r>
      <w:r>
        <w:rPr>
          <w:rFonts w:hint="eastAsia" w:cs="Arial"/>
          <w:color w:val="auto"/>
          <w:szCs w:val="24"/>
          <w:highlight w:val="none"/>
          <w:lang w:val="en-US" w:eastAsia="zh-CN"/>
        </w:rPr>
        <w:t>证明</w:t>
      </w:r>
      <w:r>
        <w:rPr>
          <w:rFonts w:hint="eastAsia" w:cs="Arial"/>
          <w:color w:val="auto"/>
          <w:szCs w:val="24"/>
          <w:highlight w:val="none"/>
        </w:rPr>
        <w:t>文件</w:t>
      </w:r>
      <w:r>
        <w:rPr>
          <w:rFonts w:cs="Arial"/>
          <w:color w:val="auto"/>
          <w:szCs w:val="24"/>
          <w:highlight w:val="none"/>
        </w:rPr>
        <w:t>；</w:t>
      </w:r>
    </w:p>
    <w:p w14:paraId="0A0EA079">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2.</w:t>
      </w:r>
      <w:r>
        <w:rPr>
          <w:rFonts w:hint="eastAsia" w:cs="Arial"/>
          <w:color w:val="auto"/>
          <w:szCs w:val="24"/>
          <w:highlight w:val="none"/>
        </w:rPr>
        <w:t>投标报价</w:t>
      </w:r>
      <w:r>
        <w:rPr>
          <w:rFonts w:cs="Arial"/>
          <w:color w:val="auto"/>
          <w:szCs w:val="24"/>
          <w:highlight w:val="none"/>
        </w:rPr>
        <w:t>文件</w:t>
      </w:r>
      <w:r>
        <w:rPr>
          <w:rFonts w:hint="eastAsia" w:cs="Arial"/>
          <w:color w:val="auto"/>
          <w:szCs w:val="24"/>
          <w:highlight w:val="none"/>
        </w:rPr>
        <w:t>；</w:t>
      </w:r>
    </w:p>
    <w:p w14:paraId="7C008F28">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3.</w:t>
      </w:r>
      <w:r>
        <w:rPr>
          <w:rFonts w:hint="eastAsia" w:cs="Arial"/>
          <w:color w:val="auto"/>
          <w:szCs w:val="24"/>
          <w:highlight w:val="none"/>
          <w:lang w:val="en-US" w:eastAsia="zh-CN"/>
        </w:rPr>
        <w:t>商务技术</w:t>
      </w:r>
      <w:r>
        <w:rPr>
          <w:rFonts w:hint="eastAsia" w:cs="Arial"/>
          <w:color w:val="auto"/>
          <w:szCs w:val="24"/>
          <w:highlight w:val="none"/>
        </w:rPr>
        <w:t>文件</w:t>
      </w:r>
      <w:r>
        <w:rPr>
          <w:rFonts w:cs="Arial"/>
          <w:color w:val="auto"/>
          <w:szCs w:val="24"/>
          <w:highlight w:val="none"/>
        </w:rPr>
        <w:t>。</w:t>
      </w:r>
    </w:p>
    <w:p w14:paraId="2038C573">
      <w:pPr>
        <w:spacing w:line="324" w:lineRule="auto"/>
        <w:ind w:firstLine="480" w:firstLineChars="200"/>
        <w:rPr>
          <w:rFonts w:cs="Arial"/>
          <w:color w:val="auto"/>
          <w:szCs w:val="24"/>
          <w:highlight w:val="none"/>
        </w:rPr>
      </w:pPr>
      <w:r>
        <w:rPr>
          <w:rFonts w:cs="Arial"/>
          <w:color w:val="auto"/>
          <w:szCs w:val="24"/>
          <w:highlight w:val="none"/>
        </w:rPr>
        <w:t>根据此函，签字代表宣布同意如下：</w:t>
      </w:r>
    </w:p>
    <w:p w14:paraId="7021F257">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1.</w:t>
      </w:r>
      <w:r>
        <w:rPr>
          <w:rFonts w:cs="Arial"/>
          <w:color w:val="auto"/>
          <w:szCs w:val="24"/>
          <w:highlight w:val="none"/>
        </w:rPr>
        <w:t>所附投标价格表中规定的应提交和交付的</w:t>
      </w:r>
      <w:r>
        <w:rPr>
          <w:rFonts w:hint="eastAsia" w:cs="Arial"/>
          <w:color w:val="auto"/>
          <w:szCs w:val="24"/>
          <w:highlight w:val="none"/>
        </w:rPr>
        <w:t>货物</w:t>
      </w:r>
      <w:r>
        <w:rPr>
          <w:rFonts w:cs="Arial"/>
          <w:color w:val="auto"/>
          <w:szCs w:val="24"/>
          <w:highlight w:val="none"/>
        </w:rPr>
        <w:t>和</w:t>
      </w:r>
      <w:r>
        <w:rPr>
          <w:rFonts w:hint="eastAsia" w:cs="Arial"/>
          <w:color w:val="auto"/>
          <w:szCs w:val="24"/>
          <w:highlight w:val="none"/>
          <w:lang w:val="en-US" w:eastAsia="zh-CN"/>
        </w:rPr>
        <w:t>相关</w:t>
      </w:r>
      <w:r>
        <w:rPr>
          <w:rFonts w:cs="Arial"/>
          <w:color w:val="auto"/>
          <w:szCs w:val="24"/>
          <w:highlight w:val="none"/>
        </w:rPr>
        <w:t>服务</w:t>
      </w:r>
      <w:r>
        <w:rPr>
          <w:rFonts w:hint="eastAsia" w:cs="Arial"/>
          <w:color w:val="auto"/>
          <w:szCs w:val="24"/>
          <w:highlight w:val="none"/>
        </w:rPr>
        <w:t>（如有）</w:t>
      </w:r>
      <w:r>
        <w:rPr>
          <w:rFonts w:cs="Arial"/>
          <w:color w:val="auto"/>
          <w:szCs w:val="24"/>
          <w:highlight w:val="none"/>
        </w:rPr>
        <w:t>的</w:t>
      </w:r>
      <w:r>
        <w:rPr>
          <w:rFonts w:hint="eastAsia" w:cs="Arial"/>
          <w:color w:val="auto"/>
          <w:szCs w:val="24"/>
          <w:highlight w:val="none"/>
        </w:rPr>
        <w:t>投标报价</w:t>
      </w:r>
      <w:r>
        <w:rPr>
          <w:rFonts w:cs="Arial"/>
          <w:color w:val="auto"/>
          <w:szCs w:val="24"/>
          <w:highlight w:val="none"/>
        </w:rPr>
        <w:t>为</w:t>
      </w:r>
      <w:r>
        <w:rPr>
          <w:rFonts w:hint="eastAsia" w:cs="Arial"/>
          <w:color w:val="auto"/>
          <w:szCs w:val="24"/>
          <w:highlight w:val="none"/>
        </w:rPr>
        <w:t xml:space="preserve"> </w:t>
      </w:r>
      <w:r>
        <w:rPr>
          <w:rFonts w:hint="eastAsia" w:cs="Arial"/>
          <w:color w:val="auto"/>
          <w:szCs w:val="24"/>
          <w:highlight w:val="none"/>
          <w:u w:val="single"/>
        </w:rPr>
        <w:t xml:space="preserve">                  </w:t>
      </w:r>
      <w:r>
        <w:rPr>
          <w:rFonts w:cs="Arial"/>
          <w:color w:val="auto"/>
          <w:szCs w:val="24"/>
          <w:highlight w:val="none"/>
        </w:rPr>
        <w:t>。</w:t>
      </w:r>
    </w:p>
    <w:p w14:paraId="3FF1B405">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2.</w:t>
      </w:r>
      <w:r>
        <w:rPr>
          <w:rFonts w:hint="eastAsia" w:cs="Arial"/>
          <w:color w:val="auto"/>
          <w:szCs w:val="24"/>
          <w:highlight w:val="none"/>
        </w:rPr>
        <w:t>我方</w:t>
      </w:r>
      <w:r>
        <w:rPr>
          <w:rFonts w:cs="Arial"/>
          <w:color w:val="auto"/>
          <w:szCs w:val="24"/>
          <w:highlight w:val="none"/>
        </w:rPr>
        <w:t>将按招标文件的规定履行合同责任和义务。</w:t>
      </w:r>
    </w:p>
    <w:p w14:paraId="464D767C">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3.</w:t>
      </w:r>
      <w:r>
        <w:rPr>
          <w:rFonts w:hint="eastAsia" w:cs="Arial"/>
          <w:color w:val="auto"/>
          <w:szCs w:val="24"/>
          <w:highlight w:val="none"/>
        </w:rPr>
        <w:t>我方</w:t>
      </w:r>
      <w:r>
        <w:rPr>
          <w:rFonts w:cs="Arial"/>
          <w:color w:val="auto"/>
          <w:szCs w:val="24"/>
          <w:highlight w:val="none"/>
        </w:rPr>
        <w:t>已详细审查全部招标文件，包括第</w:t>
      </w:r>
      <w:r>
        <w:rPr>
          <w:rFonts w:cs="Arial"/>
          <w:i w:val="0"/>
          <w:iCs/>
          <w:color w:val="auto"/>
          <w:szCs w:val="24"/>
          <w:highlight w:val="none"/>
          <w:u w:val="single"/>
        </w:rPr>
        <w:t>（编号、补遗书）（如果有的话）</w:t>
      </w:r>
      <w:r>
        <w:rPr>
          <w:rFonts w:cs="Arial"/>
          <w:color w:val="auto"/>
          <w:szCs w:val="24"/>
          <w:highlight w:val="none"/>
        </w:rPr>
        <w:t>。我</w:t>
      </w:r>
      <w:r>
        <w:rPr>
          <w:rFonts w:hint="eastAsia" w:cs="Arial"/>
          <w:color w:val="auto"/>
          <w:szCs w:val="24"/>
          <w:highlight w:val="none"/>
        </w:rPr>
        <w:t>方</w:t>
      </w:r>
      <w:r>
        <w:rPr>
          <w:rFonts w:cs="Arial"/>
          <w:color w:val="auto"/>
          <w:szCs w:val="24"/>
          <w:highlight w:val="none"/>
        </w:rPr>
        <w:t>完全理解并同意放弃对这方面有不明及误解的权力。</w:t>
      </w:r>
    </w:p>
    <w:p w14:paraId="70CAE828">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4.</w:t>
      </w:r>
      <w:r>
        <w:rPr>
          <w:rFonts w:hint="eastAsia" w:cs="Arial"/>
          <w:color w:val="auto"/>
          <w:szCs w:val="24"/>
          <w:highlight w:val="none"/>
        </w:rPr>
        <w:t>投标有效期为自提交投标文件的截止之日起</w:t>
      </w:r>
      <w:r>
        <w:rPr>
          <w:rFonts w:hint="eastAsia" w:cs="Arial"/>
          <w:i/>
          <w:color w:val="auto"/>
          <w:szCs w:val="24"/>
          <w:highlight w:val="none"/>
          <w:u w:val="single"/>
        </w:rPr>
        <w:t xml:space="preserve"> </w:t>
      </w:r>
      <w:r>
        <w:rPr>
          <w:rFonts w:hint="eastAsia" w:cs="Arial"/>
          <w:i w:val="0"/>
          <w:iCs/>
          <w:color w:val="auto"/>
          <w:szCs w:val="24"/>
          <w:highlight w:val="none"/>
          <w:u w:val="single"/>
        </w:rPr>
        <w:t>（由投标人填写）</w:t>
      </w:r>
      <w:r>
        <w:rPr>
          <w:rFonts w:cs="Arial"/>
          <w:color w:val="auto"/>
          <w:szCs w:val="24"/>
          <w:highlight w:val="none"/>
        </w:rPr>
        <w:t>个日历天。</w:t>
      </w:r>
    </w:p>
    <w:p w14:paraId="52EDF2A7">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5.</w:t>
      </w:r>
      <w:r>
        <w:rPr>
          <w:rFonts w:hint="eastAsia" w:cs="Arial"/>
          <w:color w:val="auto"/>
          <w:szCs w:val="24"/>
          <w:highlight w:val="none"/>
        </w:rPr>
        <w:t>我方</w:t>
      </w:r>
      <w:r>
        <w:rPr>
          <w:rFonts w:cs="Arial"/>
          <w:color w:val="auto"/>
          <w:szCs w:val="24"/>
          <w:highlight w:val="none"/>
        </w:rPr>
        <w:t>同意提供按照贵方</w:t>
      </w:r>
      <w:r>
        <w:rPr>
          <w:rFonts w:hint="eastAsia" w:cs="Arial"/>
          <w:color w:val="auto"/>
          <w:szCs w:val="24"/>
          <w:highlight w:val="none"/>
          <w:lang w:val="en-US" w:eastAsia="zh-CN"/>
        </w:rPr>
        <w:t>招标</w:t>
      </w:r>
      <w:r>
        <w:rPr>
          <w:rFonts w:hint="eastAsia" w:cs="Arial"/>
          <w:color w:val="auto"/>
          <w:szCs w:val="24"/>
          <w:highlight w:val="none"/>
        </w:rPr>
        <w:t>文件</w:t>
      </w:r>
      <w:r>
        <w:rPr>
          <w:rFonts w:cs="Arial"/>
          <w:color w:val="auto"/>
          <w:szCs w:val="24"/>
          <w:highlight w:val="none"/>
        </w:rPr>
        <w:t>要求的与投标有关的一切数据或资料，</w:t>
      </w:r>
      <w:r>
        <w:rPr>
          <w:rFonts w:hint="eastAsia" w:cs="Arial"/>
          <w:color w:val="auto"/>
          <w:szCs w:val="24"/>
          <w:highlight w:val="none"/>
        </w:rPr>
        <w:t>采用综合评分法时，我方</w:t>
      </w:r>
      <w:r>
        <w:rPr>
          <w:rFonts w:cs="Arial"/>
          <w:color w:val="auto"/>
          <w:szCs w:val="24"/>
          <w:highlight w:val="none"/>
        </w:rPr>
        <w:t>完全理解贵方不一定接受最低价的投标。</w:t>
      </w:r>
    </w:p>
    <w:p w14:paraId="3CF5A666">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6.</w:t>
      </w:r>
      <w:r>
        <w:rPr>
          <w:rFonts w:hint="eastAsia" w:cs="Arial"/>
          <w:color w:val="auto"/>
          <w:szCs w:val="24"/>
          <w:highlight w:val="none"/>
        </w:rPr>
        <w:t>本项目如由中标人支付采购代理服务费，我方同意按投标人须知前附表中规定向采购代理机构支付采购代理服务费。</w:t>
      </w:r>
    </w:p>
    <w:p w14:paraId="6A150207">
      <w:pPr>
        <w:numPr>
          <w:ilvl w:val="0"/>
          <w:numId w:val="0"/>
        </w:numPr>
        <w:snapToGrid w:val="0"/>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7.</w:t>
      </w:r>
      <w:r>
        <w:rPr>
          <w:rFonts w:hint="eastAsia" w:cs="Arial"/>
          <w:color w:val="auto"/>
          <w:szCs w:val="24"/>
          <w:highlight w:val="none"/>
        </w:rPr>
        <w:t>重要声明：</w:t>
      </w:r>
    </w:p>
    <w:p w14:paraId="40AFB77A">
      <w:pPr>
        <w:snapToGrid w:val="0"/>
        <w:spacing w:line="324" w:lineRule="auto"/>
        <w:ind w:firstLine="480" w:firstLineChars="200"/>
        <w:rPr>
          <w:color w:val="auto"/>
          <w:szCs w:val="24"/>
          <w:highlight w:val="none"/>
        </w:rPr>
      </w:pPr>
      <w:r>
        <w:rPr>
          <w:rFonts w:hint="eastAsia"/>
          <w:color w:val="auto"/>
          <w:szCs w:val="24"/>
          <w:highlight w:val="none"/>
        </w:rPr>
        <w:t>1）与我方单位负责人为同一人的其他单位名称：</w:t>
      </w:r>
    </w:p>
    <w:p w14:paraId="409D2F71">
      <w:pPr>
        <w:snapToGrid w:val="0"/>
        <w:spacing w:line="324" w:lineRule="auto"/>
        <w:ind w:left="456" w:leftChars="190" w:firstLine="355" w:firstLineChars="148"/>
        <w:rPr>
          <w:i w:val="0"/>
          <w:iCs/>
          <w:color w:val="auto"/>
          <w:szCs w:val="24"/>
          <w:highlight w:val="none"/>
        </w:rPr>
      </w:pPr>
      <w:r>
        <w:rPr>
          <w:rFonts w:hint="eastAsia"/>
          <w:color w:val="auto"/>
          <w:szCs w:val="24"/>
          <w:highlight w:val="none"/>
          <w:lang w:eastAsia="zh-CN"/>
        </w:rPr>
        <w:t>□</w:t>
      </w:r>
      <w:r>
        <w:rPr>
          <w:rFonts w:hint="eastAsia"/>
          <w:color w:val="auto"/>
          <w:szCs w:val="24"/>
          <w:highlight w:val="none"/>
        </w:rPr>
        <w:t>无；</w:t>
      </w:r>
      <w:r>
        <w:rPr>
          <w:rFonts w:hint="eastAsia"/>
          <w:color w:val="auto"/>
          <w:szCs w:val="24"/>
          <w:highlight w:val="none"/>
          <w:lang w:eastAsia="zh-CN"/>
        </w:rPr>
        <w:t>□</w:t>
      </w:r>
      <w:r>
        <w:rPr>
          <w:rFonts w:hint="eastAsia"/>
          <w:color w:val="auto"/>
          <w:szCs w:val="24"/>
          <w:highlight w:val="none"/>
        </w:rPr>
        <w:t>有，具体单位名称为：</w:t>
      </w:r>
      <w:r>
        <w:rPr>
          <w:rFonts w:hint="eastAsia" w:cs="Arial"/>
          <w:i w:val="0"/>
          <w:iCs/>
          <w:color w:val="auto"/>
          <w:szCs w:val="24"/>
          <w:highlight w:val="none"/>
          <w:u w:val="single"/>
        </w:rPr>
        <w:t>（由投标人如实填写）</w:t>
      </w:r>
      <w:r>
        <w:rPr>
          <w:rFonts w:hint="eastAsia"/>
          <w:i w:val="0"/>
          <w:iCs/>
          <w:color w:val="auto"/>
          <w:szCs w:val="24"/>
          <w:highlight w:val="none"/>
        </w:rPr>
        <w:t>。</w:t>
      </w:r>
    </w:p>
    <w:p w14:paraId="0B2F52C6">
      <w:pPr>
        <w:snapToGrid w:val="0"/>
        <w:spacing w:line="324" w:lineRule="auto"/>
        <w:ind w:firstLine="480" w:firstLineChars="200"/>
        <w:rPr>
          <w:i w:val="0"/>
          <w:iCs/>
          <w:color w:val="auto"/>
          <w:szCs w:val="24"/>
          <w:highlight w:val="none"/>
        </w:rPr>
      </w:pPr>
      <w:r>
        <w:rPr>
          <w:rFonts w:hint="eastAsia"/>
          <w:i w:val="0"/>
          <w:iCs/>
          <w:color w:val="auto"/>
          <w:szCs w:val="24"/>
          <w:highlight w:val="none"/>
        </w:rPr>
        <w:t>2）与我方存在控股、管理关系的其他单位的名称：</w:t>
      </w:r>
    </w:p>
    <w:p w14:paraId="3BE8BBB8">
      <w:pPr>
        <w:snapToGrid w:val="0"/>
        <w:spacing w:line="324" w:lineRule="auto"/>
        <w:ind w:left="456" w:leftChars="190" w:firstLine="355" w:firstLineChars="148"/>
        <w:rPr>
          <w:color w:val="auto"/>
          <w:szCs w:val="24"/>
          <w:highlight w:val="none"/>
        </w:rPr>
      </w:pPr>
      <w:r>
        <w:rPr>
          <w:rFonts w:hint="eastAsia"/>
          <w:i w:val="0"/>
          <w:iCs/>
          <w:color w:val="auto"/>
          <w:szCs w:val="24"/>
          <w:highlight w:val="none"/>
          <w:lang w:eastAsia="zh-CN"/>
        </w:rPr>
        <w:t>□</w:t>
      </w:r>
      <w:r>
        <w:rPr>
          <w:rFonts w:hint="eastAsia"/>
          <w:i w:val="0"/>
          <w:iCs/>
          <w:color w:val="auto"/>
          <w:szCs w:val="24"/>
          <w:highlight w:val="none"/>
        </w:rPr>
        <w:t xml:space="preserve">无；□有，具体单位名称为： </w:t>
      </w:r>
      <w:r>
        <w:rPr>
          <w:rFonts w:hint="eastAsia" w:cs="Arial"/>
          <w:i w:val="0"/>
          <w:iCs/>
          <w:color w:val="auto"/>
          <w:szCs w:val="24"/>
          <w:highlight w:val="none"/>
          <w:u w:val="single"/>
        </w:rPr>
        <w:t>（由投标人如实填写）</w:t>
      </w:r>
      <w:r>
        <w:rPr>
          <w:rFonts w:hint="eastAsia"/>
          <w:color w:val="auto"/>
          <w:szCs w:val="24"/>
          <w:highlight w:val="none"/>
        </w:rPr>
        <w:t>。</w:t>
      </w:r>
    </w:p>
    <w:p w14:paraId="1103F8A2">
      <w:pPr>
        <w:snapToGrid w:val="0"/>
        <w:spacing w:line="324" w:lineRule="auto"/>
        <w:ind w:firstLine="480" w:firstLineChars="200"/>
        <w:rPr>
          <w:color w:val="auto"/>
          <w:szCs w:val="24"/>
          <w:highlight w:val="none"/>
        </w:rPr>
      </w:pPr>
      <w:r>
        <w:rPr>
          <w:rFonts w:hint="eastAsia"/>
          <w:color w:val="auto"/>
          <w:szCs w:val="24"/>
          <w:highlight w:val="none"/>
        </w:rPr>
        <w:t>3）参与本项目采购活动前，是否为本项目前期准备提供过整体设计、规范编制或者项目管理、监理、检测等服务：</w:t>
      </w:r>
    </w:p>
    <w:p w14:paraId="73BE978C">
      <w:pPr>
        <w:snapToGrid w:val="0"/>
        <w:spacing w:line="324" w:lineRule="auto"/>
        <w:ind w:left="456" w:leftChars="190" w:firstLine="355" w:firstLineChars="148"/>
        <w:rPr>
          <w:color w:val="auto"/>
          <w:szCs w:val="24"/>
          <w:highlight w:val="none"/>
        </w:rPr>
      </w:pPr>
      <w:r>
        <w:rPr>
          <w:rFonts w:hint="eastAsia"/>
          <w:color w:val="auto"/>
          <w:szCs w:val="24"/>
          <w:highlight w:val="none"/>
          <w:lang w:eastAsia="zh-CN"/>
        </w:rPr>
        <w:t>□</w:t>
      </w:r>
      <w:r>
        <w:rPr>
          <w:rFonts w:hint="eastAsia"/>
          <w:color w:val="auto"/>
          <w:szCs w:val="24"/>
          <w:highlight w:val="none"/>
        </w:rPr>
        <w:t>无；□有，已提供的具体服务内容为：</w:t>
      </w:r>
      <w:r>
        <w:rPr>
          <w:rFonts w:hint="eastAsia"/>
          <w:i w:val="0"/>
          <w:iCs w:val="0"/>
          <w:color w:val="auto"/>
          <w:szCs w:val="24"/>
          <w:highlight w:val="none"/>
        </w:rPr>
        <w:t xml:space="preserve"> </w:t>
      </w:r>
      <w:r>
        <w:rPr>
          <w:rFonts w:hint="eastAsia" w:cs="Arial"/>
          <w:i w:val="0"/>
          <w:iCs w:val="0"/>
          <w:color w:val="auto"/>
          <w:szCs w:val="24"/>
          <w:highlight w:val="none"/>
          <w:u w:val="single"/>
        </w:rPr>
        <w:t>（由投标人如实填写）</w:t>
      </w:r>
      <w:r>
        <w:rPr>
          <w:rFonts w:hint="eastAsia"/>
          <w:color w:val="auto"/>
          <w:szCs w:val="24"/>
          <w:highlight w:val="none"/>
        </w:rPr>
        <w:t>。</w:t>
      </w:r>
    </w:p>
    <w:p w14:paraId="4FC84088">
      <w:pPr>
        <w:spacing w:line="324" w:lineRule="auto"/>
        <w:ind w:firstLine="480" w:firstLineChars="200"/>
        <w:rPr>
          <w:color w:val="auto"/>
          <w:szCs w:val="24"/>
          <w:highlight w:val="none"/>
        </w:rPr>
      </w:pPr>
      <w:r>
        <w:rPr>
          <w:rFonts w:hint="eastAsia"/>
          <w:color w:val="auto"/>
          <w:szCs w:val="24"/>
          <w:highlight w:val="none"/>
        </w:rPr>
        <w:t>（备注：以上</w:t>
      </w:r>
      <w:r>
        <w:rPr>
          <w:color w:val="auto"/>
          <w:szCs w:val="24"/>
          <w:highlight w:val="none"/>
        </w:rPr>
        <w:t>3</w:t>
      </w:r>
      <w:r>
        <w:rPr>
          <w:rFonts w:hint="eastAsia"/>
          <w:color w:val="auto"/>
          <w:szCs w:val="24"/>
          <w:highlight w:val="none"/>
        </w:rPr>
        <w:t>项声明，必须如实选择，选中项用</w:t>
      </w:r>
      <w:r>
        <w:rPr>
          <w:rFonts w:hint="eastAsia"/>
          <w:color w:val="auto"/>
          <w:szCs w:val="24"/>
          <w:highlight w:val="none"/>
          <w:lang w:eastAsia="zh-CN"/>
        </w:rPr>
        <w:t>☑</w:t>
      </w:r>
      <w:r>
        <w:rPr>
          <w:rFonts w:hint="eastAsia"/>
          <w:color w:val="auto"/>
          <w:szCs w:val="24"/>
          <w:highlight w:val="none"/>
        </w:rPr>
        <w:t>表示，未选中项用□表示。①“单位负责人”是指单位法定代表人或者法律、行政法规规定代表单位行使职权的主要负责人。②本条所规定的控股、管理关系仅限于直接控股、直接管理关系，不包括间接的控股或管理关系。③供应商如未如实填报，视为提供虚假材料谋取中标，应承担相应法律责任。）</w:t>
      </w:r>
    </w:p>
    <w:p w14:paraId="19A44DC4">
      <w:pPr>
        <w:snapToGrid w:val="0"/>
        <w:spacing w:line="324" w:lineRule="auto"/>
        <w:ind w:firstLine="480" w:firstLineChars="200"/>
        <w:rPr>
          <w:color w:val="auto"/>
          <w:szCs w:val="24"/>
          <w:highlight w:val="none"/>
        </w:rPr>
      </w:pPr>
      <w:r>
        <w:rPr>
          <w:rFonts w:hint="eastAsia"/>
          <w:color w:val="auto"/>
          <w:szCs w:val="24"/>
          <w:highlight w:val="none"/>
        </w:rPr>
        <w:t>4）我方在本投标文件中所提供的全部资料均真实有效，我方承诺对其真实性负责并承担相应后果。</w:t>
      </w:r>
    </w:p>
    <w:p w14:paraId="5FB2607B">
      <w:pPr>
        <w:snapToGrid w:val="0"/>
        <w:spacing w:line="324" w:lineRule="auto"/>
        <w:ind w:firstLine="480" w:firstLineChars="200"/>
        <w:rPr>
          <w:color w:val="auto"/>
          <w:szCs w:val="24"/>
          <w:highlight w:val="none"/>
        </w:rPr>
      </w:pPr>
      <w:r>
        <w:rPr>
          <w:rFonts w:hint="eastAsia"/>
          <w:color w:val="auto"/>
          <w:szCs w:val="24"/>
          <w:highlight w:val="none"/>
        </w:rPr>
        <w:t>5）</w:t>
      </w:r>
      <w:bookmarkStart w:id="372" w:name="_Hlk161604053"/>
      <w:r>
        <w:rPr>
          <w:rFonts w:hint="eastAsia"/>
          <w:color w:val="auto"/>
          <w:szCs w:val="24"/>
          <w:highlight w:val="none"/>
        </w:rPr>
        <w:t>我方承诺本《投标函》的签章对本投标文件全部内容具有约束力并承担法律责任。</w:t>
      </w:r>
      <w:bookmarkEnd w:id="372"/>
    </w:p>
    <w:p w14:paraId="2A195747">
      <w:pPr>
        <w:spacing w:line="300" w:lineRule="auto"/>
        <w:rPr>
          <w:rFonts w:cs="Arial"/>
          <w:color w:val="auto"/>
          <w:szCs w:val="24"/>
          <w:highlight w:val="none"/>
        </w:rPr>
      </w:pPr>
    </w:p>
    <w:p w14:paraId="3F664789">
      <w:pPr>
        <w:spacing w:line="300" w:lineRule="auto"/>
        <w:rPr>
          <w:rFonts w:cs="Arial"/>
          <w:color w:val="auto"/>
          <w:szCs w:val="24"/>
          <w:highlight w:val="none"/>
        </w:rPr>
      </w:pPr>
    </w:p>
    <w:p w14:paraId="6C365FF0">
      <w:pPr>
        <w:spacing w:line="300" w:lineRule="auto"/>
        <w:rPr>
          <w:rFonts w:cs="Arial"/>
          <w:color w:val="auto"/>
          <w:szCs w:val="24"/>
          <w:highlight w:val="none"/>
        </w:rPr>
      </w:pPr>
    </w:p>
    <w:p w14:paraId="448666AB">
      <w:pPr>
        <w:autoSpaceDE w:val="0"/>
        <w:autoSpaceDN w:val="0"/>
        <w:adjustRightInd w:val="0"/>
        <w:snapToGrid w:val="0"/>
        <w:ind w:firstLine="480" w:firstLineChars="200"/>
        <w:rPr>
          <w:rFonts w:hint="eastAsia" w:ascii="宋体" w:hAnsi="宋体" w:cs="宋体"/>
          <w:color w:val="auto"/>
          <w:kern w:val="0"/>
          <w:sz w:val="24"/>
          <w:highlight w:val="none"/>
          <w:lang w:val="zh-CN"/>
        </w:rPr>
      </w:pPr>
      <w:r>
        <w:rPr>
          <w:rFonts w:hint="eastAsia" w:ascii="宋体" w:hAnsi="宋体" w:eastAsia="宋体" w:cs="宋体"/>
          <w:color w:val="auto"/>
          <w:kern w:val="0"/>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1186FA25">
      <w:pPr>
        <w:autoSpaceDE w:val="0"/>
        <w:autoSpaceDN w:val="0"/>
        <w:adjustRightInd w:val="0"/>
        <w:snapToGrid w:val="0"/>
        <w:ind w:firstLine="480" w:firstLineChars="200"/>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法定代表人或授权代表（签字或印章）：</w:t>
      </w:r>
    </w:p>
    <w:p w14:paraId="4CCC9D16">
      <w:pPr>
        <w:autoSpaceDE w:val="0"/>
        <w:autoSpaceDN w:val="0"/>
        <w:adjustRightInd w:val="0"/>
        <w:snapToGrid w:val="0"/>
        <w:ind w:firstLine="480" w:firstLineChars="200"/>
        <w:rPr>
          <w:rFonts w:cs="宋体"/>
          <w:color w:val="auto"/>
          <w:highlight w:val="none"/>
        </w:rPr>
      </w:pPr>
      <w:r>
        <w:rPr>
          <w:rFonts w:hint="eastAsia" w:cs="宋体"/>
          <w:color w:val="auto"/>
          <w:highlight w:val="none"/>
        </w:rPr>
        <w:t>通  讯  地  址：</w:t>
      </w:r>
    </w:p>
    <w:p w14:paraId="268281DA">
      <w:pPr>
        <w:autoSpaceDE w:val="0"/>
        <w:autoSpaceDN w:val="0"/>
        <w:adjustRightInd w:val="0"/>
        <w:snapToGrid w:val="0"/>
        <w:ind w:firstLine="480" w:firstLineChars="200"/>
        <w:rPr>
          <w:rFonts w:cs="宋体"/>
          <w:color w:val="auto"/>
          <w:highlight w:val="none"/>
        </w:rPr>
      </w:pPr>
      <w:r>
        <w:rPr>
          <w:rFonts w:hint="eastAsia" w:cs="宋体"/>
          <w:color w:val="auto"/>
          <w:highlight w:val="none"/>
        </w:rPr>
        <w:t xml:space="preserve">传       </w:t>
      </w:r>
      <w:r>
        <w:rPr>
          <w:rFonts w:cs="宋体"/>
          <w:color w:val="auto"/>
          <w:highlight w:val="none"/>
        </w:rPr>
        <w:t xml:space="preserve">   </w:t>
      </w:r>
      <w:r>
        <w:rPr>
          <w:rFonts w:hint="eastAsia" w:cs="宋体"/>
          <w:color w:val="auto"/>
          <w:highlight w:val="none"/>
        </w:rPr>
        <w:t>真：</w:t>
      </w:r>
    </w:p>
    <w:p w14:paraId="0A396883">
      <w:pPr>
        <w:autoSpaceDE w:val="0"/>
        <w:autoSpaceDN w:val="0"/>
        <w:adjustRightInd w:val="0"/>
        <w:snapToGrid w:val="0"/>
        <w:ind w:firstLine="480" w:firstLineChars="200"/>
        <w:rPr>
          <w:rFonts w:cs="宋体"/>
          <w:color w:val="auto"/>
          <w:highlight w:val="none"/>
        </w:rPr>
      </w:pPr>
      <w:r>
        <w:rPr>
          <w:rFonts w:hint="eastAsia" w:cs="宋体"/>
          <w:color w:val="auto"/>
          <w:highlight w:val="none"/>
        </w:rPr>
        <w:t>电          话：</w:t>
      </w:r>
    </w:p>
    <w:p w14:paraId="63C92097">
      <w:pPr>
        <w:ind w:firstLine="480" w:firstLineChars="200"/>
        <w:rPr>
          <w:rFonts w:cs="Arial"/>
          <w:color w:val="auto"/>
          <w:szCs w:val="24"/>
          <w:highlight w:val="none"/>
        </w:rPr>
      </w:pPr>
      <w:r>
        <w:rPr>
          <w:rFonts w:hint="eastAsia" w:cs="宋体"/>
          <w:color w:val="auto"/>
          <w:highlight w:val="none"/>
        </w:rPr>
        <w:t xml:space="preserve">日     </w:t>
      </w:r>
      <w:r>
        <w:rPr>
          <w:rFonts w:cs="宋体"/>
          <w:color w:val="auto"/>
          <w:highlight w:val="none"/>
        </w:rPr>
        <w:t xml:space="preserve">  </w:t>
      </w:r>
      <w:r>
        <w:rPr>
          <w:rFonts w:hint="eastAsia" w:cs="宋体"/>
          <w:color w:val="auto"/>
          <w:highlight w:val="none"/>
        </w:rPr>
        <w:t xml:space="preserve">    期：</w:t>
      </w:r>
    </w:p>
    <w:p w14:paraId="6674502E">
      <w:pPr>
        <w:rPr>
          <w:rFonts w:cs="Arial"/>
          <w:color w:val="auto"/>
          <w:szCs w:val="24"/>
          <w:highlight w:val="none"/>
          <w:u w:val="single"/>
        </w:rPr>
      </w:pPr>
    </w:p>
    <w:p w14:paraId="478BFBB8">
      <w:pPr>
        <w:rPr>
          <w:rFonts w:cs="Arial"/>
          <w:color w:val="auto"/>
          <w:szCs w:val="24"/>
          <w:highlight w:val="none"/>
          <w:u w:val="single"/>
        </w:rPr>
      </w:pPr>
      <w:r>
        <w:rPr>
          <w:rFonts w:cs="Arial"/>
          <w:color w:val="auto"/>
          <w:szCs w:val="24"/>
          <w:highlight w:val="none"/>
          <w:u w:val="single"/>
        </w:rPr>
        <w:br w:type="page"/>
      </w:r>
    </w:p>
    <w:p w14:paraId="24B4BD65">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373" w:name="_Toc155185924"/>
      <w:bookmarkStart w:id="374" w:name="_Toc20456"/>
      <w:bookmarkStart w:id="375" w:name="_Toc163492918"/>
      <w:r>
        <w:rPr>
          <w:rFonts w:hint="eastAsia" w:cstheme="majorBidi"/>
          <w:b/>
          <w:bCs/>
          <w:color w:val="auto"/>
          <w:kern w:val="2"/>
          <w:sz w:val="32"/>
          <w:szCs w:val="32"/>
          <w:highlight w:val="none"/>
          <w:lang w:val="en-US" w:eastAsia="zh-CN" w:bidi="ar-SA"/>
        </w:rPr>
        <w:t>二</w:t>
      </w:r>
      <w:r>
        <w:rPr>
          <w:rFonts w:hint="eastAsia" w:eastAsia="宋体" w:asciiTheme="majorHAnsi" w:hAnsiTheme="majorHAnsi" w:cstheme="majorBidi"/>
          <w:b/>
          <w:bCs/>
          <w:color w:val="auto"/>
          <w:kern w:val="2"/>
          <w:sz w:val="32"/>
          <w:szCs w:val="32"/>
          <w:highlight w:val="none"/>
          <w:lang w:val="en-US" w:eastAsia="zh-CN" w:bidi="ar-SA"/>
        </w:rPr>
        <w:t>、法定代表人（单位负责人）身份证明</w:t>
      </w:r>
      <w:bookmarkEnd w:id="373"/>
      <w:bookmarkEnd w:id="374"/>
      <w:bookmarkEnd w:id="375"/>
    </w:p>
    <w:p w14:paraId="46CF1AA3">
      <w:pP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致：（采购人或采购代理机构） </w:t>
      </w:r>
    </w:p>
    <w:p w14:paraId="3DE52D6F">
      <w:pPr>
        <w:spacing w:line="480" w:lineRule="auto"/>
        <w:ind w:firstLine="960" w:firstLineChars="400"/>
        <w:rPr>
          <w:rFonts w:hint="eastAsia" w:cs="仿宋_GB2312"/>
          <w:color w:val="auto"/>
          <w:szCs w:val="24"/>
          <w:highlight w:val="none"/>
        </w:rPr>
      </w:pPr>
      <w:r>
        <w:rPr>
          <w:rFonts w:hint="eastAsia" w:cs="仿宋_GB2312"/>
          <w:color w:val="auto"/>
          <w:szCs w:val="24"/>
          <w:highlight w:val="none"/>
          <w:lang w:val="en-US" w:eastAsia="zh-CN"/>
        </w:rPr>
        <w:t xml:space="preserve">兹证明， </w:t>
      </w:r>
    </w:p>
    <w:p w14:paraId="1D36B9E0">
      <w:pP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姓名：____性别：____年龄：____职务：____ </w:t>
      </w:r>
    </w:p>
    <w:p w14:paraId="38746EB6">
      <w:pP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系 </w:t>
      </w:r>
      <w:r>
        <w:rPr>
          <w:rFonts w:hint="eastAsia" w:cs="仿宋_GB2312"/>
          <w:color w:val="auto"/>
          <w:szCs w:val="24"/>
          <w:highlight w:val="none"/>
          <w:u w:val="single"/>
          <w:lang w:val="en-US" w:eastAsia="zh-CN"/>
        </w:rPr>
        <w:t xml:space="preserve">            </w:t>
      </w:r>
      <w:r>
        <w:rPr>
          <w:rFonts w:hint="eastAsia" w:cs="仿宋_GB2312"/>
          <w:color w:val="auto"/>
          <w:szCs w:val="24"/>
          <w:highlight w:val="none"/>
          <w:lang w:val="en-US" w:eastAsia="zh-CN"/>
        </w:rPr>
        <w:t xml:space="preserve">（投标人名称）的法定代表人（单位负责人）。 </w:t>
      </w:r>
    </w:p>
    <w:p w14:paraId="3B002BC6">
      <w:pP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附：法定代表人（单位负责人）身份证、护照等身份证明文件电子件： </w:t>
      </w:r>
    </w:p>
    <w:p w14:paraId="60A8C36F">
      <w:pPr>
        <w:spacing w:line="480" w:lineRule="auto"/>
        <w:ind w:firstLine="480" w:firstLineChars="200"/>
        <w:rPr>
          <w:rFonts w:cs="仿宋_GB2312"/>
          <w:color w:val="auto"/>
          <w:szCs w:val="24"/>
          <w:highlight w:val="none"/>
        </w:rPr>
      </w:pPr>
    </w:p>
    <w:p w14:paraId="473563CD">
      <w:pPr>
        <w:rPr>
          <w:rFonts w:cs="Arial"/>
          <w:color w:val="auto"/>
          <w:sz w:val="21"/>
          <w:szCs w:val="21"/>
          <w:highlight w:val="none"/>
        </w:rPr>
      </w:pPr>
    </w:p>
    <w:tbl>
      <w:tblPr>
        <w:tblStyle w:val="30"/>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2D4F4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trPr>
        <w:tc>
          <w:tcPr>
            <w:tcW w:w="8527" w:type="dxa"/>
          </w:tcPr>
          <w:p w14:paraId="4B7B7E19">
            <w:pPr>
              <w:rPr>
                <w:rFonts w:cs="Arial"/>
                <w:color w:val="auto"/>
                <w:highlight w:val="none"/>
              </w:rPr>
            </w:pPr>
          </w:p>
        </w:tc>
      </w:tr>
    </w:tbl>
    <w:p w14:paraId="76B5C725">
      <w:pPr>
        <w:ind w:firstLine="840" w:firstLineChars="350"/>
        <w:jc w:val="center"/>
        <w:rPr>
          <w:rFonts w:cs="Arial"/>
          <w:color w:val="auto"/>
          <w:highlight w:val="none"/>
        </w:rPr>
      </w:pPr>
    </w:p>
    <w:p w14:paraId="4AD74708">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lang w:val="en-US" w:eastAsia="zh-CN" w:bidi="ar"/>
        </w:rPr>
        <w:t>：</w:t>
      </w:r>
      <w:r>
        <w:rPr>
          <w:rFonts w:ascii="DejaVuSans" w:hAnsi="DejaVuSans" w:eastAsia="DejaVuSans" w:cs="DejaVuSans"/>
          <w:color w:val="auto"/>
          <w:kern w:val="0"/>
          <w:sz w:val="24"/>
          <w:szCs w:val="24"/>
          <w:highlight w:val="none"/>
          <w:lang w:val="en-US" w:eastAsia="zh-CN" w:bidi="ar"/>
        </w:rPr>
        <w:t xml:space="preserve">________________ </w:t>
      </w:r>
    </w:p>
    <w:p w14:paraId="364A1245">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法定代表人（单位负责人）（签字或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lang w:val="en-US" w:eastAsia="zh-CN" w:bidi="ar"/>
        </w:rPr>
        <w:t>）：</w:t>
      </w:r>
      <w:r>
        <w:rPr>
          <w:rFonts w:hint="default" w:ascii="DejaVuSans" w:hAnsi="DejaVuSans" w:eastAsia="DejaVuSans" w:cs="DejaVuSans"/>
          <w:color w:val="auto"/>
          <w:kern w:val="0"/>
          <w:sz w:val="24"/>
          <w:szCs w:val="24"/>
          <w:highlight w:val="none"/>
          <w:lang w:val="en-US" w:eastAsia="zh-CN" w:bidi="ar"/>
        </w:rPr>
        <w:t xml:space="preserve">_______ </w:t>
      </w:r>
    </w:p>
    <w:p w14:paraId="10B3C29F">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p>
    <w:p w14:paraId="7239FE13">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日期：</w:t>
      </w:r>
      <w:r>
        <w:rPr>
          <w:rFonts w:hint="default" w:ascii="DejaVuSans" w:hAnsi="DejaVuSans" w:eastAsia="DejaVuSans" w:cs="DejaVuSans"/>
          <w:color w:val="auto"/>
          <w:kern w:val="0"/>
          <w:sz w:val="24"/>
          <w:szCs w:val="24"/>
          <w:highlight w:val="none"/>
          <w:lang w:val="en-US" w:eastAsia="zh-CN" w:bidi="ar"/>
        </w:rPr>
        <w:t>_____</w:t>
      </w:r>
      <w:r>
        <w:rPr>
          <w:rFonts w:hint="eastAsia" w:ascii="宋体" w:hAnsi="宋体" w:eastAsia="宋体" w:cs="宋体"/>
          <w:color w:val="auto"/>
          <w:kern w:val="0"/>
          <w:sz w:val="24"/>
          <w:szCs w:val="24"/>
          <w:highlight w:val="none"/>
          <w:lang w:val="en-US" w:eastAsia="zh-CN" w:bidi="ar"/>
        </w:rPr>
        <w:t>年</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月</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日</w:t>
      </w:r>
    </w:p>
    <w:p w14:paraId="6948CD78">
      <w:pPr>
        <w:rPr>
          <w:b/>
          <w:color w:val="auto"/>
          <w:sz w:val="28"/>
          <w:szCs w:val="28"/>
          <w:highlight w:val="none"/>
        </w:rPr>
      </w:pPr>
    </w:p>
    <w:p w14:paraId="04FDD702">
      <w:pPr>
        <w:rPr>
          <w:b/>
          <w:color w:val="auto"/>
          <w:sz w:val="28"/>
          <w:szCs w:val="28"/>
          <w:highlight w:val="none"/>
        </w:rPr>
      </w:pPr>
      <w:r>
        <w:rPr>
          <w:b/>
          <w:color w:val="auto"/>
          <w:sz w:val="28"/>
          <w:szCs w:val="28"/>
          <w:highlight w:val="none"/>
        </w:rPr>
        <w:br w:type="page"/>
      </w:r>
    </w:p>
    <w:p w14:paraId="0EEE8A23">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376" w:name="_Toc18136"/>
      <w:bookmarkStart w:id="377" w:name="_Toc155185925"/>
      <w:bookmarkStart w:id="378" w:name="_Toc163492919"/>
      <w:r>
        <w:rPr>
          <w:rFonts w:hint="eastAsia" w:cstheme="majorBidi"/>
          <w:b/>
          <w:bCs/>
          <w:color w:val="auto"/>
          <w:kern w:val="2"/>
          <w:sz w:val="32"/>
          <w:szCs w:val="32"/>
          <w:highlight w:val="none"/>
          <w:lang w:val="en-US" w:eastAsia="zh-CN" w:bidi="ar-SA"/>
        </w:rPr>
        <w:t>三</w:t>
      </w:r>
      <w:r>
        <w:rPr>
          <w:rFonts w:hint="eastAsia" w:eastAsia="宋体" w:asciiTheme="majorHAnsi" w:hAnsiTheme="majorHAnsi" w:cstheme="majorBidi"/>
          <w:b/>
          <w:bCs/>
          <w:color w:val="auto"/>
          <w:kern w:val="2"/>
          <w:sz w:val="32"/>
          <w:szCs w:val="32"/>
          <w:highlight w:val="none"/>
          <w:lang w:val="en-US" w:eastAsia="zh-CN" w:bidi="ar-SA"/>
        </w:rPr>
        <w:t>、授权委托书</w:t>
      </w:r>
      <w:bookmarkEnd w:id="376"/>
      <w:bookmarkEnd w:id="377"/>
      <w:bookmarkEnd w:id="378"/>
    </w:p>
    <w:p w14:paraId="593F068D">
      <w:pPr>
        <w:ind w:firstLine="480" w:firstLineChars="200"/>
        <w:rPr>
          <w:rFonts w:cs="仿宋_GB2312"/>
          <w:color w:val="auto"/>
          <w:szCs w:val="24"/>
          <w:highlight w:val="none"/>
        </w:rPr>
      </w:pPr>
      <w:r>
        <w:rPr>
          <w:rFonts w:hint="eastAsia" w:cs="仿宋_GB2312"/>
          <w:color w:val="auto"/>
          <w:szCs w:val="24"/>
          <w:highlight w:val="none"/>
        </w:rPr>
        <w:t>本人</w:t>
      </w:r>
      <w:r>
        <w:rPr>
          <w:rFonts w:cs="仿宋_GB2312"/>
          <w:color w:val="auto"/>
          <w:szCs w:val="24"/>
          <w:highlight w:val="none"/>
          <w:u w:val="single"/>
        </w:rPr>
        <w:t xml:space="preserve">     </w:t>
      </w:r>
      <w:r>
        <w:rPr>
          <w:rFonts w:hint="eastAsia" w:cs="仿宋_GB2312"/>
          <w:color w:val="auto"/>
          <w:szCs w:val="24"/>
          <w:highlight w:val="none"/>
          <w:u w:val="none"/>
        </w:rPr>
        <w:t>（姓名）</w:t>
      </w:r>
      <w:r>
        <w:rPr>
          <w:rFonts w:hint="eastAsia" w:cs="仿宋_GB2312"/>
          <w:color w:val="auto"/>
          <w:szCs w:val="24"/>
          <w:highlight w:val="none"/>
        </w:rPr>
        <w:t>系</w:t>
      </w:r>
      <w:r>
        <w:rPr>
          <w:rFonts w:hint="eastAsia" w:cs="仿宋_GB2312"/>
          <w:color w:val="auto"/>
          <w:szCs w:val="24"/>
          <w:highlight w:val="none"/>
          <w:u w:val="single"/>
        </w:rPr>
        <w:t xml:space="preserve">   </w:t>
      </w:r>
      <w:r>
        <w:rPr>
          <w:rFonts w:hint="eastAsia" w:cs="仿宋_GB2312"/>
          <w:color w:val="auto"/>
          <w:szCs w:val="24"/>
          <w:highlight w:val="none"/>
          <w:u w:val="single"/>
          <w:lang w:val="en-US" w:eastAsia="zh-CN"/>
        </w:rPr>
        <w:t xml:space="preserve">     </w:t>
      </w:r>
      <w:r>
        <w:rPr>
          <w:rFonts w:hint="eastAsia" w:cs="仿宋_GB2312"/>
          <w:color w:val="auto"/>
          <w:szCs w:val="24"/>
          <w:highlight w:val="none"/>
          <w:u w:val="single"/>
        </w:rPr>
        <w:t xml:space="preserve">  </w:t>
      </w:r>
      <w:r>
        <w:rPr>
          <w:rFonts w:hint="eastAsia" w:cs="仿宋_GB2312"/>
          <w:color w:val="auto"/>
          <w:szCs w:val="24"/>
          <w:highlight w:val="none"/>
          <w:u w:val="none"/>
        </w:rPr>
        <w:t>（投标人名称）</w:t>
      </w:r>
      <w:r>
        <w:rPr>
          <w:rFonts w:hint="eastAsia" w:cs="仿宋_GB2312"/>
          <w:color w:val="auto"/>
          <w:szCs w:val="24"/>
          <w:highlight w:val="none"/>
        </w:rPr>
        <w:t>的法定代表人</w:t>
      </w:r>
      <w:r>
        <w:rPr>
          <w:rFonts w:hint="eastAsia"/>
          <w:color w:val="auto"/>
          <w:highlight w:val="none"/>
        </w:rPr>
        <w:t>（</w:t>
      </w:r>
      <w:r>
        <w:rPr>
          <w:rFonts w:hint="eastAsia"/>
          <w:color w:val="auto"/>
          <w:highlight w:val="none"/>
          <w:lang w:val="en-US" w:eastAsia="zh-CN"/>
        </w:rPr>
        <w:t>单位</w:t>
      </w:r>
      <w:r>
        <w:rPr>
          <w:rFonts w:hint="eastAsia"/>
          <w:color w:val="auto"/>
          <w:highlight w:val="none"/>
        </w:rPr>
        <w:t>负责人）</w:t>
      </w:r>
      <w:r>
        <w:rPr>
          <w:rFonts w:hint="eastAsia" w:cs="仿宋_GB2312"/>
          <w:color w:val="auto"/>
          <w:szCs w:val="24"/>
          <w:highlight w:val="none"/>
        </w:rPr>
        <w:t>，现委托</w:t>
      </w:r>
      <w:r>
        <w:rPr>
          <w:rFonts w:hint="eastAsia" w:cs="仿宋_GB2312"/>
          <w:color w:val="auto"/>
          <w:szCs w:val="24"/>
          <w:highlight w:val="none"/>
          <w:u w:val="single"/>
        </w:rPr>
        <w:t xml:space="preserve">     </w:t>
      </w:r>
      <w:r>
        <w:rPr>
          <w:rFonts w:hint="eastAsia" w:cs="仿宋_GB2312"/>
          <w:color w:val="auto"/>
          <w:szCs w:val="24"/>
          <w:highlight w:val="none"/>
        </w:rPr>
        <w:t>（姓名）为我方代理人。代理人根据授权，以我方名义签署、澄清</w:t>
      </w:r>
      <w:r>
        <w:rPr>
          <w:rFonts w:hint="eastAsia" w:cs="仿宋_GB2312"/>
          <w:color w:val="auto"/>
          <w:szCs w:val="24"/>
          <w:highlight w:val="none"/>
          <w:lang w:val="en-US" w:eastAsia="zh-CN"/>
        </w:rPr>
        <w:t>确认</w:t>
      </w:r>
      <w:r>
        <w:rPr>
          <w:rFonts w:hint="eastAsia" w:cs="仿宋_GB2312"/>
          <w:color w:val="auto"/>
          <w:szCs w:val="24"/>
          <w:highlight w:val="none"/>
        </w:rPr>
        <w:t>、说明、补正、递交、撤回、修改</w:t>
      </w:r>
      <w:r>
        <w:rPr>
          <w:rFonts w:hint="eastAsia" w:cs="仿宋_GB2312"/>
          <w:color w:val="auto"/>
          <w:szCs w:val="24"/>
          <w:highlight w:val="none"/>
          <w:u w:val="single"/>
        </w:rPr>
        <w:t xml:space="preserve">   </w:t>
      </w:r>
      <w:r>
        <w:rPr>
          <w:rFonts w:hint="eastAsia" w:cs="仿宋_GB2312"/>
          <w:color w:val="auto"/>
          <w:szCs w:val="24"/>
          <w:highlight w:val="none"/>
          <w:u w:val="single"/>
          <w:lang w:val="en-US" w:eastAsia="zh-CN"/>
        </w:rPr>
        <w:t xml:space="preserve">      </w:t>
      </w:r>
      <w:r>
        <w:rPr>
          <w:rFonts w:hint="eastAsia" w:cs="仿宋_GB2312"/>
          <w:color w:val="auto"/>
          <w:szCs w:val="24"/>
          <w:highlight w:val="none"/>
          <w:u w:val="single"/>
        </w:rPr>
        <w:t xml:space="preserve">  </w:t>
      </w:r>
      <w:r>
        <w:rPr>
          <w:rFonts w:hint="eastAsia" w:cs="仿宋_GB2312"/>
          <w:color w:val="auto"/>
          <w:szCs w:val="24"/>
          <w:highlight w:val="none"/>
        </w:rPr>
        <w:t>（项目名称）投标文件、签订合同和处理有关事宜，其法律后果由我方承担。</w:t>
      </w:r>
    </w:p>
    <w:p w14:paraId="56B80D1C">
      <w:pPr>
        <w:ind w:firstLine="480" w:firstLineChars="200"/>
        <w:rPr>
          <w:rFonts w:hint="eastAsia" w:cs="仿宋_GB2312"/>
          <w:color w:val="auto"/>
          <w:szCs w:val="24"/>
          <w:highlight w:val="none"/>
        </w:rPr>
      </w:pPr>
      <w:r>
        <w:rPr>
          <w:rFonts w:hint="eastAsia" w:cs="仿宋_GB2312"/>
          <w:color w:val="auto"/>
          <w:szCs w:val="24"/>
          <w:highlight w:val="none"/>
        </w:rPr>
        <w:t>委托期限：</w:t>
      </w:r>
      <w:r>
        <w:rPr>
          <w:rFonts w:hint="eastAsia" w:cs="仿宋_GB2312"/>
          <w:color w:val="auto"/>
          <w:szCs w:val="24"/>
          <w:highlight w:val="none"/>
          <w:lang w:val="en-US" w:eastAsia="zh-CN"/>
        </w:rPr>
        <w:t>自本授权委托书签署之日起至投标有效期届满之日止。</w:t>
      </w:r>
    </w:p>
    <w:p w14:paraId="0A605ABE">
      <w:pPr>
        <w:ind w:firstLine="480" w:firstLineChars="200"/>
        <w:rPr>
          <w:rFonts w:cs="仿宋_GB2312"/>
          <w:color w:val="auto"/>
          <w:szCs w:val="24"/>
          <w:highlight w:val="none"/>
        </w:rPr>
      </w:pPr>
      <w:r>
        <w:rPr>
          <w:rFonts w:hint="eastAsia" w:cs="仿宋_GB2312"/>
          <w:color w:val="auto"/>
          <w:szCs w:val="24"/>
          <w:highlight w:val="none"/>
        </w:rPr>
        <w:t>代理人无转委托权。</w:t>
      </w:r>
    </w:p>
    <w:p w14:paraId="03C5EAD4">
      <w:pPr>
        <w:keepNext w:val="0"/>
        <w:keepLines w:val="0"/>
        <w:pageBreakBefore w:val="0"/>
        <w:widowControl w:val="0"/>
        <w:kinsoku/>
        <w:wordWrap/>
        <w:overflowPunct/>
        <w:topLinePunct w:val="0"/>
        <w:autoSpaceDE/>
        <w:autoSpaceDN/>
        <w:bidi w:val="0"/>
        <w:adjustRightInd/>
        <w:snapToGrid/>
        <w:spacing w:line="240" w:lineRule="exact"/>
        <w:ind w:firstLine="480" w:firstLineChars="200"/>
        <w:textAlignment w:val="auto"/>
        <w:rPr>
          <w:rFonts w:hint="eastAsia" w:cs="仿宋_GB2312"/>
          <w:color w:val="auto"/>
          <w:szCs w:val="24"/>
          <w:highlight w:val="none"/>
        </w:rPr>
      </w:pPr>
    </w:p>
    <w:p w14:paraId="27333291">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lang w:val="en-US" w:eastAsia="zh-CN" w:bidi="ar"/>
        </w:rPr>
        <w:t>：</w:t>
      </w:r>
      <w:r>
        <w:rPr>
          <w:rFonts w:ascii="DejaVuSans" w:hAnsi="DejaVuSans" w:eastAsia="DejaVuSans" w:cs="DejaVuSans"/>
          <w:color w:val="auto"/>
          <w:kern w:val="0"/>
          <w:sz w:val="24"/>
          <w:szCs w:val="24"/>
          <w:highlight w:val="none"/>
          <w:lang w:val="en-US" w:eastAsia="zh-CN" w:bidi="ar"/>
        </w:rPr>
        <w:t xml:space="preserve">________________ </w:t>
      </w:r>
    </w:p>
    <w:p w14:paraId="4CD5B2EF">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法定代表人（单位负责人）（签字或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lang w:val="en-US" w:eastAsia="zh-CN" w:bidi="ar"/>
        </w:rPr>
        <w:t>：</w:t>
      </w:r>
      <w:r>
        <w:rPr>
          <w:rFonts w:hint="default" w:ascii="DejaVuSans" w:hAnsi="DejaVuSans" w:eastAsia="DejaVuSans" w:cs="DejaVuSans"/>
          <w:color w:val="auto"/>
          <w:kern w:val="0"/>
          <w:sz w:val="24"/>
          <w:szCs w:val="24"/>
          <w:highlight w:val="none"/>
          <w:lang w:val="en-US" w:eastAsia="zh-CN" w:bidi="ar"/>
        </w:rPr>
        <w:t xml:space="preserve">________________ </w:t>
      </w:r>
    </w:p>
    <w:p w14:paraId="77AA3C36">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color w:val="auto"/>
          <w:highlight w:val="none"/>
          <w:lang w:val="en-US"/>
        </w:rPr>
      </w:pPr>
      <w:r>
        <w:rPr>
          <w:rFonts w:hint="eastAsia" w:ascii="宋体" w:hAnsi="宋体" w:eastAsia="宋体" w:cs="宋体"/>
          <w:color w:val="auto"/>
          <w:kern w:val="0"/>
          <w:sz w:val="24"/>
          <w:szCs w:val="24"/>
          <w:highlight w:val="none"/>
          <w:lang w:val="en-US" w:eastAsia="zh-CN" w:bidi="ar"/>
        </w:rPr>
        <w:t>委托代理人（签字或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lang w:val="en-US" w:eastAsia="zh-CN" w:bidi="ar"/>
        </w:rPr>
        <w:t>：</w:t>
      </w:r>
      <w:r>
        <w:rPr>
          <w:rFonts w:hint="default" w:ascii="DejaVuSans" w:hAnsi="DejaVuSans" w:eastAsia="DejaVuSans" w:cs="DejaVuSans"/>
          <w:color w:val="auto"/>
          <w:kern w:val="0"/>
          <w:sz w:val="24"/>
          <w:szCs w:val="24"/>
          <w:highlight w:val="none"/>
          <w:lang w:val="en-US" w:eastAsia="zh-CN" w:bidi="ar"/>
        </w:rPr>
        <w:t xml:space="preserve">________________ </w:t>
      </w:r>
      <w:r>
        <w:rPr>
          <w:rFonts w:hint="eastAsia" w:ascii="DejaVuSans" w:hAnsi="DejaVuSans" w:eastAsia="DejaVuSans" w:cs="DejaVuSans"/>
          <w:color w:val="auto"/>
          <w:kern w:val="0"/>
          <w:sz w:val="24"/>
          <w:szCs w:val="24"/>
          <w:highlight w:val="none"/>
          <w:lang w:val="en-US" w:eastAsia="zh-CN" w:bidi="ar"/>
        </w:rPr>
        <w:t xml:space="preserve">   联系电话：</w:t>
      </w:r>
      <w:r>
        <w:rPr>
          <w:rFonts w:hint="default" w:ascii="DejaVuSans" w:hAnsi="DejaVuSans" w:eastAsia="DejaVuSans" w:cs="DejaVuSans"/>
          <w:color w:val="auto"/>
          <w:kern w:val="0"/>
          <w:sz w:val="24"/>
          <w:szCs w:val="24"/>
          <w:highlight w:val="none"/>
          <w:lang w:val="en-US" w:eastAsia="zh-CN" w:bidi="ar"/>
        </w:rPr>
        <w:t>________</w:t>
      </w:r>
    </w:p>
    <w:p w14:paraId="4FD66B47">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日期：</w:t>
      </w:r>
      <w:r>
        <w:rPr>
          <w:rFonts w:hint="default" w:ascii="DejaVuSans" w:hAnsi="DejaVuSans" w:eastAsia="DejaVuSans" w:cs="DejaVuSans"/>
          <w:color w:val="auto"/>
          <w:kern w:val="0"/>
          <w:sz w:val="24"/>
          <w:szCs w:val="24"/>
          <w:highlight w:val="none"/>
          <w:lang w:val="en-US" w:eastAsia="zh-CN" w:bidi="ar"/>
        </w:rPr>
        <w:t>_____</w:t>
      </w:r>
      <w:r>
        <w:rPr>
          <w:rFonts w:hint="eastAsia" w:ascii="宋体" w:hAnsi="宋体" w:eastAsia="宋体" w:cs="宋体"/>
          <w:color w:val="auto"/>
          <w:kern w:val="0"/>
          <w:sz w:val="24"/>
          <w:szCs w:val="24"/>
          <w:highlight w:val="none"/>
          <w:lang w:val="en-US" w:eastAsia="zh-CN" w:bidi="ar"/>
        </w:rPr>
        <w:t>年</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月</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 xml:space="preserve">日 </w:t>
      </w:r>
    </w:p>
    <w:p w14:paraId="0D7E210D">
      <w:pPr>
        <w:keepNext w:val="0"/>
        <w:keepLines w:val="0"/>
        <w:pageBreakBefore w:val="0"/>
        <w:widowControl w:val="0"/>
        <w:kinsoku/>
        <w:wordWrap/>
        <w:overflowPunct/>
        <w:topLinePunct w:val="0"/>
        <w:autoSpaceDE/>
        <w:autoSpaceDN/>
        <w:bidi w:val="0"/>
        <w:adjustRightInd/>
        <w:snapToGrid/>
        <w:spacing w:line="240" w:lineRule="exact"/>
        <w:ind w:firstLine="480" w:firstLineChars="200"/>
        <w:textAlignment w:val="auto"/>
        <w:rPr>
          <w:rFonts w:hint="eastAsia" w:cs="仿宋_GB2312"/>
          <w:color w:val="auto"/>
          <w:szCs w:val="24"/>
          <w:highlight w:val="none"/>
          <w:lang w:val="en-US" w:eastAsia="zh-CN"/>
        </w:rPr>
      </w:pPr>
    </w:p>
    <w:p w14:paraId="7CE346A7">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 xml:space="preserve">附：法定代表人及委托代理人身份证明文件电子件： </w:t>
      </w:r>
    </w:p>
    <w:tbl>
      <w:tblPr>
        <w:tblStyle w:val="30"/>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6A57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trPr>
        <w:tc>
          <w:tcPr>
            <w:tcW w:w="8527" w:type="dxa"/>
          </w:tcPr>
          <w:p w14:paraId="66EBC6FA">
            <w:pPr>
              <w:rPr>
                <w:rFonts w:cs="Arial"/>
                <w:color w:val="auto"/>
                <w:highlight w:val="none"/>
              </w:rPr>
            </w:pPr>
          </w:p>
        </w:tc>
      </w:tr>
    </w:tbl>
    <w:p w14:paraId="003FC2D7">
      <w:pPr>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说明： </w:t>
      </w:r>
    </w:p>
    <w:p w14:paraId="6A6FAC65">
      <w:pPr>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1.若投标人为事业单位或其他组织或分支机构，则法定代表人（单位负责人）处的签署人可为单位负责人。 </w:t>
      </w:r>
    </w:p>
    <w:p w14:paraId="7579C425">
      <w:pPr>
        <w:ind w:firstLine="480" w:firstLineChars="200"/>
        <w:rPr>
          <w:rFonts w:hint="eastAsia" w:cs="仿宋_GB2312"/>
          <w:color w:val="auto"/>
          <w:szCs w:val="24"/>
          <w:highlight w:val="none"/>
        </w:rPr>
      </w:pPr>
      <w:r>
        <w:rPr>
          <w:rFonts w:hint="default" w:cs="仿宋_GB2312"/>
          <w:color w:val="auto"/>
          <w:szCs w:val="24"/>
          <w:highlight w:val="none"/>
          <w:lang w:val="en-US" w:eastAsia="zh-CN"/>
        </w:rPr>
        <w:t>2.</w:t>
      </w:r>
      <w:r>
        <w:rPr>
          <w:rFonts w:hint="eastAsia" w:cs="仿宋_GB2312"/>
          <w:color w:val="auto"/>
          <w:szCs w:val="24"/>
          <w:highlight w:val="none"/>
          <w:lang w:val="en-US" w:eastAsia="zh-CN"/>
        </w:rPr>
        <w:t xml:space="preserve">若投标文件中签字之处均为法定代表人（单位负责人）本人签署，则可不提供本《授权委托书》，但须提供《法定代表人（单位负责人）身份证明》。 </w:t>
      </w:r>
    </w:p>
    <w:p w14:paraId="7D81952A">
      <w:pPr>
        <w:ind w:firstLine="480" w:firstLineChars="200"/>
        <w:rPr>
          <w:rFonts w:hint="eastAsia" w:cs="仿宋_GB2312"/>
          <w:color w:val="auto"/>
          <w:szCs w:val="24"/>
          <w:highlight w:val="none"/>
        </w:rPr>
      </w:pPr>
      <w:r>
        <w:rPr>
          <w:rFonts w:hint="default" w:cs="仿宋_GB2312"/>
          <w:color w:val="auto"/>
          <w:szCs w:val="24"/>
          <w:highlight w:val="none"/>
          <w:lang w:val="en-US" w:eastAsia="zh-CN"/>
        </w:rPr>
        <w:t>3.</w:t>
      </w:r>
      <w:r>
        <w:rPr>
          <w:rFonts w:hint="eastAsia" w:cs="仿宋_GB2312"/>
          <w:color w:val="auto"/>
          <w:szCs w:val="24"/>
          <w:highlight w:val="none"/>
          <w:lang w:val="en-US" w:eastAsia="zh-CN"/>
        </w:rPr>
        <w:t xml:space="preserve">投标人为自然人的情形，可不提供本《授权委托书》。 </w:t>
      </w:r>
    </w:p>
    <w:p w14:paraId="16E91B57">
      <w:pPr>
        <w:ind w:firstLine="480" w:firstLineChars="200"/>
        <w:rPr>
          <w:rFonts w:hint="eastAsia" w:cs="仿宋_GB2312"/>
          <w:color w:val="auto"/>
          <w:szCs w:val="24"/>
          <w:highlight w:val="none"/>
        </w:rPr>
      </w:pPr>
      <w:r>
        <w:rPr>
          <w:rFonts w:hint="default" w:cs="仿宋_GB2312"/>
          <w:color w:val="auto"/>
          <w:szCs w:val="24"/>
          <w:highlight w:val="none"/>
          <w:lang w:val="en-US" w:eastAsia="zh-CN"/>
        </w:rPr>
        <w:t>4.</w:t>
      </w:r>
      <w:r>
        <w:rPr>
          <w:rFonts w:hint="eastAsia" w:cs="仿宋_GB2312"/>
          <w:color w:val="auto"/>
          <w:szCs w:val="24"/>
          <w:highlight w:val="none"/>
          <w:lang w:val="en-US" w:eastAsia="zh-CN"/>
        </w:rPr>
        <w:t>投标人应随本《授权委托书》同时提供法定代表人（单位负责人）及委托代理人的有效的身份证、护照等身份证明文件电子件。提供身份证的，应同时提供身份证</w:t>
      </w:r>
      <w:r>
        <w:rPr>
          <w:rFonts w:hint="eastAsia" w:cs="仿宋_GB2312"/>
          <w:b/>
          <w:bCs/>
          <w:color w:val="auto"/>
          <w:szCs w:val="24"/>
          <w:highlight w:val="none"/>
          <w:lang w:val="en-US" w:eastAsia="zh-CN"/>
        </w:rPr>
        <w:t>双面</w:t>
      </w:r>
      <w:r>
        <w:rPr>
          <w:rFonts w:hint="eastAsia" w:cs="仿宋_GB2312"/>
          <w:color w:val="auto"/>
          <w:szCs w:val="24"/>
          <w:highlight w:val="none"/>
          <w:lang w:val="en-US" w:eastAsia="zh-CN"/>
        </w:rPr>
        <w:t>电子件。</w:t>
      </w:r>
    </w:p>
    <w:p w14:paraId="0B2EBA16">
      <w:pPr>
        <w:rPr>
          <w:color w:val="auto"/>
          <w:highlight w:val="none"/>
        </w:rPr>
      </w:pPr>
      <w:r>
        <w:rPr>
          <w:color w:val="auto"/>
          <w:highlight w:val="none"/>
        </w:rPr>
        <w:br w:type="page"/>
      </w:r>
    </w:p>
    <w:p w14:paraId="117D25C9">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379" w:name="_Toc155185934"/>
      <w:bookmarkStart w:id="380" w:name="_Toc163492928"/>
      <w:bookmarkStart w:id="381" w:name="_Toc28250"/>
      <w:r>
        <w:rPr>
          <w:rFonts w:hint="eastAsia" w:cstheme="majorBidi"/>
          <w:b/>
          <w:bCs/>
          <w:color w:val="auto"/>
          <w:kern w:val="2"/>
          <w:sz w:val="32"/>
          <w:szCs w:val="32"/>
          <w:highlight w:val="none"/>
          <w:lang w:val="en-US" w:eastAsia="zh-CN" w:bidi="ar-SA"/>
        </w:rPr>
        <w:t>四</w:t>
      </w:r>
      <w:r>
        <w:rPr>
          <w:rFonts w:hint="eastAsia" w:eastAsia="宋体" w:asciiTheme="majorHAnsi" w:hAnsiTheme="majorHAnsi" w:cstheme="majorBidi"/>
          <w:b/>
          <w:bCs/>
          <w:color w:val="auto"/>
          <w:kern w:val="2"/>
          <w:sz w:val="32"/>
          <w:szCs w:val="32"/>
          <w:highlight w:val="none"/>
          <w:lang w:val="en-US" w:eastAsia="zh-CN" w:bidi="ar-SA"/>
        </w:rPr>
        <w:t>、</w:t>
      </w:r>
      <w:bookmarkEnd w:id="379"/>
      <w:bookmarkEnd w:id="380"/>
      <w:bookmarkStart w:id="382" w:name="_Toc163492929"/>
      <w:r>
        <w:rPr>
          <w:rFonts w:hint="eastAsia" w:eastAsia="宋体" w:asciiTheme="majorHAnsi" w:hAnsiTheme="majorHAnsi" w:cstheme="majorBidi"/>
          <w:b/>
          <w:bCs/>
          <w:color w:val="auto"/>
          <w:kern w:val="2"/>
          <w:sz w:val="32"/>
          <w:szCs w:val="32"/>
          <w:highlight w:val="none"/>
          <w:lang w:val="zh-CN" w:eastAsia="zh-CN" w:bidi="ar-SA"/>
        </w:rPr>
        <w:t>政府采购</w:t>
      </w:r>
      <w:r>
        <w:rPr>
          <w:rFonts w:hint="eastAsia" w:cstheme="majorBidi"/>
          <w:b/>
          <w:bCs/>
          <w:color w:val="auto"/>
          <w:kern w:val="2"/>
          <w:sz w:val="32"/>
          <w:szCs w:val="32"/>
          <w:highlight w:val="none"/>
          <w:lang w:val="en-US" w:eastAsia="zh-CN" w:bidi="ar-SA"/>
        </w:rPr>
        <w:t>投标人</w:t>
      </w:r>
      <w:r>
        <w:rPr>
          <w:rFonts w:hint="eastAsia" w:eastAsia="宋体" w:asciiTheme="majorHAnsi" w:hAnsiTheme="majorHAnsi" w:cstheme="majorBidi"/>
          <w:b/>
          <w:bCs/>
          <w:color w:val="auto"/>
          <w:kern w:val="2"/>
          <w:sz w:val="32"/>
          <w:szCs w:val="32"/>
          <w:highlight w:val="none"/>
          <w:lang w:val="zh-CN" w:eastAsia="zh-CN" w:bidi="ar-SA"/>
        </w:rPr>
        <w:t>廉洁自律承诺书</w:t>
      </w:r>
      <w:bookmarkEnd w:id="381"/>
    </w:p>
    <w:p w14:paraId="2AB445CF">
      <w:pPr>
        <w:pStyle w:val="13"/>
        <w:rPr>
          <w:color w:val="auto"/>
          <w:highlight w:val="none"/>
        </w:rPr>
      </w:pPr>
    </w:p>
    <w:p w14:paraId="2CE177B4">
      <w:pPr>
        <w:snapToGrid w:val="0"/>
        <w:spacing w:line="360" w:lineRule="auto"/>
        <w:rPr>
          <w:rFonts w:ascii="宋体" w:hAnsi="宋体" w:cs="宋体"/>
          <w:color w:val="auto"/>
          <w:kern w:val="0"/>
          <w:sz w:val="24"/>
          <w:szCs w:val="24"/>
          <w:highlight w:val="none"/>
        </w:rPr>
      </w:pPr>
      <w:r>
        <w:rPr>
          <w:rFonts w:hint="eastAsia" w:ascii="宋体" w:hAnsi="宋体" w:cs="宋体"/>
          <w:color w:val="auto"/>
          <w:sz w:val="24"/>
          <w:szCs w:val="24"/>
          <w:highlight w:val="none"/>
        </w:rPr>
        <w:t>（采购人）、（采购代理机构）</w:t>
      </w:r>
      <w:r>
        <w:rPr>
          <w:rFonts w:hint="eastAsia" w:ascii="宋体" w:hAnsi="宋体" w:cs="宋体"/>
          <w:color w:val="auto"/>
          <w:kern w:val="0"/>
          <w:sz w:val="24"/>
          <w:szCs w:val="24"/>
          <w:highlight w:val="none"/>
          <w:lang w:val="zh-CN"/>
        </w:rPr>
        <w:t>：</w:t>
      </w:r>
    </w:p>
    <w:p w14:paraId="2139BFB4">
      <w:pPr>
        <w:autoSpaceDE w:val="0"/>
        <w:autoSpaceDN w:val="0"/>
        <w:spacing w:line="360" w:lineRule="auto"/>
        <w:ind w:left="2" w:leftChars="1" w:firstLine="480" w:firstLineChars="200"/>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我单位响应你</w:t>
      </w:r>
      <w:r>
        <w:rPr>
          <w:rFonts w:hint="eastAsia" w:ascii="宋体" w:hAnsi="宋体" w:cs="宋体"/>
          <w:color w:val="auto"/>
          <w:sz w:val="24"/>
          <w:szCs w:val="24"/>
          <w:highlight w:val="none"/>
        </w:rPr>
        <w:t>单位</w:t>
      </w:r>
      <w:r>
        <w:rPr>
          <w:rFonts w:hint="eastAsia" w:ascii="宋体" w:hAnsi="宋体" w:cs="宋体"/>
          <w:color w:val="auto"/>
          <w:kern w:val="0"/>
          <w:sz w:val="24"/>
          <w:szCs w:val="24"/>
          <w:highlight w:val="none"/>
          <w:lang w:val="zh-CN"/>
        </w:rPr>
        <w:t>项目招标</w:t>
      </w:r>
      <w:r>
        <w:rPr>
          <w:rFonts w:hint="eastAsia" w:ascii="宋体" w:hAnsi="宋体" w:cs="宋体"/>
          <w:color w:val="auto"/>
          <w:kern w:val="0"/>
          <w:sz w:val="24"/>
          <w:szCs w:val="24"/>
          <w:highlight w:val="none"/>
          <w:lang w:val="en-US" w:eastAsia="zh-CN"/>
        </w:rPr>
        <w:t>文件</w:t>
      </w:r>
      <w:r>
        <w:rPr>
          <w:rFonts w:hint="eastAsia" w:ascii="宋体" w:hAnsi="宋体" w:cs="宋体"/>
          <w:color w:val="auto"/>
          <w:kern w:val="0"/>
          <w:sz w:val="24"/>
          <w:szCs w:val="24"/>
          <w:highlight w:val="none"/>
          <w:lang w:val="zh-CN"/>
        </w:rPr>
        <w:t>要求参加投标。在这次投标过程中和中标后，我们将严格遵守国家法律法规要求，并郑重承诺：</w:t>
      </w:r>
    </w:p>
    <w:p w14:paraId="2B87D13C">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 xml:space="preserve">一、不向项目有关人员及部门赠送礼金礼物、有价证券、回扣以及中介费、介绍费、咨询费等好处费； </w:t>
      </w:r>
    </w:p>
    <w:p w14:paraId="063D62B4">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 xml:space="preserve">二、不为项目有关人员及部门报销应由你方单位或个人支付的费用； </w:t>
      </w:r>
    </w:p>
    <w:p w14:paraId="5ADDE615">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三、不向项目有关人员及部门提供有可能影响公正的宴请和健身娱乐等活动；</w:t>
      </w:r>
    </w:p>
    <w:p w14:paraId="6B70337F">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四、不为项目有关人员及部门出国（境）、旅游等提供方便；</w:t>
      </w:r>
    </w:p>
    <w:p w14:paraId="6421E616">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五、不为项目有关人员个人装修住房、婚丧嫁娶、配偶子女工作安排等提供好处；</w:t>
      </w:r>
    </w:p>
    <w:p w14:paraId="663761CE">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六、严格遵守《中华人民共和国政府采购法》《中华人民共和国政府采购法</w:t>
      </w:r>
      <w:r>
        <w:rPr>
          <w:rFonts w:hint="eastAsia" w:cs="宋体"/>
          <w:color w:val="auto"/>
          <w:kern w:val="0"/>
          <w:sz w:val="24"/>
          <w:szCs w:val="24"/>
          <w:highlight w:val="none"/>
          <w:lang w:val="en-US" w:eastAsia="zh-CN"/>
        </w:rPr>
        <w:t>实施条例</w:t>
      </w:r>
      <w:r>
        <w:rPr>
          <w:rFonts w:hint="eastAsia" w:ascii="宋体" w:hAnsi="宋体" w:cs="宋体"/>
          <w:color w:val="auto"/>
          <w:kern w:val="0"/>
          <w:sz w:val="24"/>
          <w:szCs w:val="24"/>
          <w:highlight w:val="none"/>
          <w:lang w:val="zh-CN"/>
        </w:rPr>
        <w:t xml:space="preserve">》《中华人民共和国民法典》等法律法规，诚实守信，合法经营，坚决抵制各种违法违纪行为。 </w:t>
      </w:r>
    </w:p>
    <w:p w14:paraId="5C8FD2B8">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如违反上述承诺，你单位有权立即取消我单位投标、中标或在建项目的建设资格，有权拒绝我单位在一定时期内进入你单位进行项目建设或其他经营活动，并通报</w:t>
      </w:r>
      <w:r>
        <w:rPr>
          <w:rFonts w:hint="eastAsia" w:cs="宋体"/>
          <w:color w:val="auto"/>
          <w:kern w:val="0"/>
          <w:sz w:val="24"/>
          <w:szCs w:val="24"/>
          <w:highlight w:val="none"/>
          <w:lang w:val="en-US" w:eastAsia="zh-CN"/>
        </w:rPr>
        <w:t>哈密市伊州区</w:t>
      </w:r>
      <w:r>
        <w:rPr>
          <w:rFonts w:hint="eastAsia" w:ascii="宋体" w:hAnsi="宋体" w:cs="宋体"/>
          <w:color w:val="auto"/>
          <w:kern w:val="0"/>
          <w:sz w:val="24"/>
          <w:szCs w:val="24"/>
          <w:highlight w:val="none"/>
          <w:lang w:val="zh-CN"/>
        </w:rPr>
        <w:t>财政局。由此引起的相应损失均由我单位承担。</w:t>
      </w:r>
    </w:p>
    <w:p w14:paraId="5E22ECB4">
      <w:pPr>
        <w:autoSpaceDE w:val="0"/>
        <w:autoSpaceDN w:val="0"/>
        <w:spacing w:line="360" w:lineRule="auto"/>
        <w:ind w:left="2"/>
        <w:jc w:val="left"/>
        <w:rPr>
          <w:rFonts w:ascii="宋体" w:hAnsi="宋体" w:cs="宋体"/>
          <w:color w:val="auto"/>
          <w:kern w:val="0"/>
          <w:sz w:val="24"/>
          <w:szCs w:val="24"/>
          <w:highlight w:val="none"/>
          <w:lang w:val="zh-CN"/>
        </w:rPr>
      </w:pPr>
    </w:p>
    <w:p w14:paraId="0914ACDE">
      <w:pPr>
        <w:autoSpaceDE w:val="0"/>
        <w:autoSpaceDN w:val="0"/>
        <w:spacing w:line="360" w:lineRule="auto"/>
        <w:ind w:left="2"/>
        <w:jc w:val="left"/>
        <w:rPr>
          <w:rFonts w:ascii="宋体" w:hAnsi="宋体" w:cs="宋体"/>
          <w:color w:val="auto"/>
          <w:kern w:val="0"/>
          <w:sz w:val="24"/>
          <w:szCs w:val="24"/>
          <w:highlight w:val="none"/>
          <w:lang w:val="zh-CN"/>
        </w:rPr>
      </w:pPr>
    </w:p>
    <w:p w14:paraId="02E01AF0">
      <w:pPr>
        <w:autoSpaceDE w:val="0"/>
        <w:autoSpaceDN w:val="0"/>
        <w:spacing w:line="360" w:lineRule="auto"/>
        <w:ind w:left="2"/>
        <w:jc w:val="left"/>
        <w:rPr>
          <w:rFonts w:ascii="宋体" w:hAnsi="宋体" w:cs="宋体"/>
          <w:color w:val="auto"/>
          <w:kern w:val="0"/>
          <w:sz w:val="24"/>
          <w:szCs w:val="24"/>
          <w:highlight w:val="none"/>
          <w:lang w:val="zh-CN"/>
        </w:rPr>
      </w:pPr>
    </w:p>
    <w:p w14:paraId="3EA46769">
      <w:pPr>
        <w:autoSpaceDE w:val="0"/>
        <w:autoSpaceDN w:val="0"/>
        <w:spacing w:line="360" w:lineRule="auto"/>
        <w:ind w:left="2" w:leftChars="1" w:right="1120" w:firstLine="4560" w:firstLineChars="1900"/>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cs="宋体"/>
          <w:color w:val="auto"/>
          <w:kern w:val="0"/>
          <w:sz w:val="24"/>
          <w:szCs w:val="24"/>
          <w:highlight w:val="none"/>
          <w:lang w:val="zh-CN"/>
        </w:rPr>
        <w:t xml:space="preserve">：                                                                                                                                                                                                               </w:t>
      </w:r>
    </w:p>
    <w:p w14:paraId="0FD8A2DC">
      <w:pPr>
        <w:ind w:firstLine="4560" w:firstLineChars="1900"/>
        <w:rPr>
          <w:rFonts w:hint="eastAsia" w:eastAsia="宋体" w:asciiTheme="majorHAnsi" w:hAnsiTheme="majorHAnsi" w:cstheme="majorBidi"/>
          <w:b/>
          <w:bCs/>
          <w:color w:val="auto"/>
          <w:kern w:val="2"/>
          <w:sz w:val="24"/>
          <w:szCs w:val="24"/>
          <w:highlight w:val="none"/>
          <w:lang w:val="en-US" w:eastAsia="zh-CN" w:bidi="ar-SA"/>
        </w:rPr>
      </w:pPr>
      <w:r>
        <w:rPr>
          <w:rFonts w:hint="eastAsia" w:ascii="宋体" w:hAnsi="宋体" w:cs="宋体"/>
          <w:color w:val="auto"/>
          <w:kern w:val="0"/>
          <w:sz w:val="24"/>
          <w:szCs w:val="24"/>
          <w:highlight w:val="none"/>
          <w:lang w:val="zh-CN"/>
        </w:rPr>
        <w:t>日期</w:t>
      </w: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val="zh-CN"/>
        </w:rPr>
        <w:t xml:space="preserve">   年   月   日</w:t>
      </w:r>
    </w:p>
    <w:p w14:paraId="5AA40BF9">
      <w:pPr>
        <w:rPr>
          <w:rFonts w:hint="eastAsia" w:eastAsia="宋体" w:asciiTheme="majorHAnsi" w:hAnsiTheme="majorHAnsi" w:cstheme="majorBidi"/>
          <w:b/>
          <w:bCs/>
          <w:color w:val="auto"/>
          <w:kern w:val="2"/>
          <w:sz w:val="24"/>
          <w:szCs w:val="24"/>
          <w:highlight w:val="none"/>
          <w:lang w:val="en-US" w:eastAsia="zh-CN" w:bidi="ar-SA"/>
        </w:rPr>
      </w:pPr>
    </w:p>
    <w:p w14:paraId="2917743B">
      <w:pPr>
        <w:pStyle w:val="13"/>
        <w:rPr>
          <w:rFonts w:hint="eastAsia" w:eastAsia="宋体" w:asciiTheme="majorHAnsi" w:hAnsiTheme="majorHAnsi" w:cstheme="majorBidi"/>
          <w:b/>
          <w:bCs/>
          <w:color w:val="auto"/>
          <w:kern w:val="2"/>
          <w:sz w:val="24"/>
          <w:szCs w:val="24"/>
          <w:highlight w:val="none"/>
          <w:lang w:val="en-US" w:eastAsia="zh-CN" w:bidi="ar-SA"/>
        </w:rPr>
      </w:pPr>
    </w:p>
    <w:p w14:paraId="2CC927CA">
      <w:pPr>
        <w:pStyle w:val="13"/>
        <w:rPr>
          <w:rFonts w:hint="eastAsia" w:eastAsia="宋体" w:asciiTheme="majorHAnsi" w:hAnsiTheme="majorHAnsi" w:cstheme="majorBidi"/>
          <w:b/>
          <w:bCs/>
          <w:color w:val="auto"/>
          <w:kern w:val="2"/>
          <w:sz w:val="24"/>
          <w:szCs w:val="24"/>
          <w:highlight w:val="none"/>
          <w:lang w:val="en-US" w:eastAsia="zh-CN" w:bidi="ar-SA"/>
        </w:rPr>
      </w:pPr>
    </w:p>
    <w:p w14:paraId="18FDCDE0">
      <w:pPr>
        <w:pStyle w:val="13"/>
        <w:rPr>
          <w:rFonts w:hint="eastAsia" w:eastAsia="宋体" w:asciiTheme="majorHAnsi" w:hAnsiTheme="majorHAnsi" w:cstheme="majorBidi"/>
          <w:b/>
          <w:bCs/>
          <w:color w:val="auto"/>
          <w:kern w:val="2"/>
          <w:sz w:val="24"/>
          <w:szCs w:val="24"/>
          <w:highlight w:val="none"/>
          <w:lang w:val="en-US" w:eastAsia="zh-CN" w:bidi="ar-SA"/>
        </w:rPr>
      </w:pPr>
    </w:p>
    <w:p w14:paraId="74E8B7C7">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center"/>
        <w:textAlignment w:val="auto"/>
        <w:rPr>
          <w:rFonts w:hint="default" w:ascii="宋体" w:hAnsi="宋体" w:eastAsia="宋体" w:cstheme="minorBidi"/>
          <w:b/>
          <w:bCs/>
          <w:color w:val="auto"/>
          <w:kern w:val="2"/>
          <w:sz w:val="30"/>
          <w:szCs w:val="32"/>
          <w:highlight w:val="none"/>
          <w:lang w:val="en-US" w:eastAsia="zh-CN" w:bidi="ar-SA"/>
        </w:rPr>
      </w:pPr>
      <w:r>
        <w:rPr>
          <w:rFonts w:hint="eastAsia" w:eastAsia="宋体" w:asciiTheme="majorHAnsi" w:hAnsiTheme="majorHAnsi" w:cstheme="majorBidi"/>
          <w:b/>
          <w:bCs/>
          <w:color w:val="auto"/>
          <w:kern w:val="2"/>
          <w:sz w:val="32"/>
          <w:szCs w:val="32"/>
          <w:highlight w:val="none"/>
          <w:lang w:val="en-US" w:eastAsia="zh-CN" w:bidi="ar-SA"/>
        </w:rPr>
        <w:t>五、</w:t>
      </w:r>
      <w:r>
        <w:rPr>
          <w:rFonts w:hint="eastAsia" w:eastAsia="宋体" w:asciiTheme="majorHAnsi" w:hAnsiTheme="majorHAnsi" w:cstheme="majorBidi"/>
          <w:b/>
          <w:bCs/>
          <w:color w:val="auto"/>
          <w:kern w:val="2"/>
          <w:sz w:val="32"/>
          <w:szCs w:val="32"/>
          <w:highlight w:val="none"/>
          <w:lang w:val="zh-CN" w:eastAsia="zh-CN" w:bidi="ar-SA"/>
        </w:rPr>
        <w:t>实质性响应一览表</w:t>
      </w:r>
      <w:r>
        <w:rPr>
          <w:rFonts w:hint="eastAsia" w:ascii="宋体" w:hAnsi="宋体" w:eastAsia="宋体" w:cstheme="minorBidi"/>
          <w:b/>
          <w:bCs/>
          <w:color w:val="auto"/>
          <w:kern w:val="2"/>
          <w:sz w:val="30"/>
          <w:szCs w:val="32"/>
          <w:highlight w:val="none"/>
          <w:lang w:val="zh-CN" w:eastAsia="zh-CN" w:bidi="ar-SA"/>
        </w:rPr>
        <w:t>【</w:t>
      </w:r>
      <w:r>
        <w:rPr>
          <w:rFonts w:hint="eastAsia" w:ascii="宋体" w:hAnsi="宋体" w:eastAsia="宋体" w:cstheme="minorBidi"/>
          <w:b/>
          <w:bCs/>
          <w:color w:val="auto"/>
          <w:kern w:val="2"/>
          <w:sz w:val="30"/>
          <w:szCs w:val="32"/>
          <w:highlight w:val="none"/>
          <w:lang w:val="en-US" w:eastAsia="zh-CN" w:bidi="ar-SA"/>
        </w:rPr>
        <w:t>本表须与第五章的一致】</w:t>
      </w:r>
    </w:p>
    <w:p w14:paraId="3FC7E450">
      <w:pPr>
        <w:shd w:val="clear" w:color="auto" w:fill="FFFFFF"/>
        <w:tabs>
          <w:tab w:val="left" w:pos="3045"/>
        </w:tabs>
        <w:autoSpaceDE w:val="0"/>
        <w:autoSpaceDN w:val="0"/>
        <w:adjustRightInd w:val="0"/>
        <w:snapToGrid w:val="0"/>
        <w:spacing w:line="360" w:lineRule="exact"/>
        <w:jc w:val="center"/>
        <w:rPr>
          <w:rFonts w:hint="eastAsia" w:ascii="宋体" w:hAnsi="宋体" w:cs="宋体"/>
          <w:b w:val="0"/>
          <w:bCs/>
          <w:color w:val="auto"/>
          <w:sz w:val="24"/>
          <w:highlight w:val="none"/>
        </w:rPr>
      </w:pPr>
      <w:r>
        <w:rPr>
          <w:rFonts w:hint="eastAsia" w:ascii="宋体" w:hAnsi="宋体" w:cs="宋体"/>
          <w:b w:val="0"/>
          <w:bCs/>
          <w:color w:val="auto"/>
          <w:sz w:val="24"/>
          <w:highlight w:val="none"/>
        </w:rPr>
        <w:t>（</w:t>
      </w:r>
      <w:r>
        <w:rPr>
          <w:rFonts w:hint="eastAsia" w:cs="宋体"/>
          <w:b w:val="0"/>
          <w:bCs/>
          <w:color w:val="auto"/>
          <w:sz w:val="24"/>
          <w:highlight w:val="none"/>
          <w:lang w:val="en-US" w:eastAsia="zh-CN"/>
        </w:rPr>
        <w:t>投标人</w:t>
      </w:r>
      <w:r>
        <w:rPr>
          <w:rFonts w:hint="eastAsia" w:ascii="宋体" w:hAnsi="宋体" w:cs="宋体"/>
          <w:b w:val="0"/>
          <w:bCs/>
          <w:color w:val="auto"/>
          <w:sz w:val="24"/>
          <w:highlight w:val="none"/>
        </w:rPr>
        <w:t>须对本附表所有内容逐条响应且无负偏离，否则</w:t>
      </w:r>
      <w:r>
        <w:rPr>
          <w:rFonts w:hint="eastAsia" w:cs="宋体"/>
          <w:b w:val="0"/>
          <w:bCs/>
          <w:color w:val="auto"/>
          <w:sz w:val="24"/>
          <w:highlight w:val="none"/>
          <w:lang w:val="en-US" w:eastAsia="zh-CN"/>
        </w:rPr>
        <w:t>其</w:t>
      </w:r>
      <w:r>
        <w:rPr>
          <w:rFonts w:hint="eastAsia" w:ascii="宋体" w:hAnsi="宋体" w:cs="宋体"/>
          <w:b/>
          <w:bCs w:val="0"/>
          <w:color w:val="auto"/>
          <w:sz w:val="24"/>
          <w:highlight w:val="none"/>
        </w:rPr>
        <w:t>投标无效</w:t>
      </w:r>
      <w:r>
        <w:rPr>
          <w:rFonts w:hint="eastAsia" w:ascii="宋体" w:hAnsi="宋体" w:cs="宋体"/>
          <w:b w:val="0"/>
          <w:bCs/>
          <w:color w:val="auto"/>
          <w:sz w:val="24"/>
          <w:highlight w:val="none"/>
        </w:rPr>
        <w:t>）</w:t>
      </w:r>
    </w:p>
    <w:p w14:paraId="3B3C031E">
      <w:pPr>
        <w:pStyle w:val="24"/>
        <w:rPr>
          <w:rFonts w:hint="eastAsia" w:ascii="宋体" w:hAnsi="宋体" w:cs="宋体"/>
          <w:color w:val="auto"/>
          <w:highlight w:val="none"/>
        </w:rPr>
      </w:pPr>
    </w:p>
    <w:tbl>
      <w:tblPr>
        <w:tblStyle w:val="30"/>
        <w:tblW w:w="5294"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1992"/>
        <w:gridCol w:w="3744"/>
        <w:gridCol w:w="1956"/>
        <w:gridCol w:w="924"/>
      </w:tblGrid>
      <w:tr w14:paraId="2EF50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226" w:type="pct"/>
            <w:vMerge w:val="restart"/>
            <w:noWrap w:val="0"/>
            <w:vAlign w:val="center"/>
          </w:tcPr>
          <w:p w14:paraId="101C805A">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178" w:type="pct"/>
            <w:gridSpan w:val="2"/>
            <w:noWrap w:val="0"/>
            <w:vAlign w:val="center"/>
          </w:tcPr>
          <w:p w14:paraId="02D60536">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文件要求的实质性响应内容</w:t>
            </w:r>
          </w:p>
        </w:tc>
        <w:tc>
          <w:tcPr>
            <w:tcW w:w="1083" w:type="pct"/>
            <w:vMerge w:val="restart"/>
            <w:noWrap w:val="0"/>
            <w:vAlign w:val="center"/>
          </w:tcPr>
          <w:p w14:paraId="56144F2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投标文件响应</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具体内容</w:t>
            </w:r>
          </w:p>
        </w:tc>
        <w:tc>
          <w:tcPr>
            <w:tcW w:w="511" w:type="pct"/>
            <w:vMerge w:val="restart"/>
            <w:noWrap w:val="0"/>
            <w:vAlign w:val="center"/>
          </w:tcPr>
          <w:p w14:paraId="3D4BAC2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48FB1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226" w:type="pct"/>
            <w:vMerge w:val="continue"/>
            <w:noWrap w:val="0"/>
            <w:vAlign w:val="center"/>
          </w:tcPr>
          <w:p w14:paraId="61353542">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p>
        </w:tc>
        <w:tc>
          <w:tcPr>
            <w:tcW w:w="1103" w:type="pct"/>
            <w:noWrap w:val="0"/>
            <w:vAlign w:val="center"/>
          </w:tcPr>
          <w:p w14:paraId="6B0E1646">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实质性要求</w:t>
            </w:r>
          </w:p>
        </w:tc>
        <w:tc>
          <w:tcPr>
            <w:tcW w:w="2074" w:type="pct"/>
            <w:noWrap w:val="0"/>
            <w:vAlign w:val="center"/>
          </w:tcPr>
          <w:p w14:paraId="3466A6AA">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招标文件中的规定</w:t>
            </w:r>
          </w:p>
        </w:tc>
        <w:tc>
          <w:tcPr>
            <w:tcW w:w="1083" w:type="pct"/>
            <w:vMerge w:val="continue"/>
            <w:noWrap w:val="0"/>
            <w:vAlign w:val="center"/>
          </w:tcPr>
          <w:p w14:paraId="230A57B0">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p>
        </w:tc>
        <w:tc>
          <w:tcPr>
            <w:tcW w:w="511" w:type="pct"/>
            <w:vMerge w:val="continue"/>
            <w:noWrap w:val="0"/>
            <w:vAlign w:val="center"/>
          </w:tcPr>
          <w:p w14:paraId="1401563E">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p>
        </w:tc>
      </w:tr>
      <w:tr w14:paraId="0FCF1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noWrap w:val="0"/>
            <w:vAlign w:val="center"/>
          </w:tcPr>
          <w:p w14:paraId="5D4136A9">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103" w:type="pct"/>
            <w:shd w:val="clear" w:color="auto" w:fill="auto"/>
            <w:noWrap w:val="0"/>
            <w:vAlign w:val="center"/>
          </w:tcPr>
          <w:p w14:paraId="11E3D909">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2074" w:type="pct"/>
            <w:shd w:val="clear" w:color="auto" w:fill="auto"/>
            <w:noWrap w:val="0"/>
            <w:vAlign w:val="center"/>
          </w:tcPr>
          <w:p w14:paraId="2D62742B">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1083" w:type="pct"/>
            <w:noWrap w:val="0"/>
            <w:vAlign w:val="center"/>
          </w:tcPr>
          <w:p w14:paraId="1E4B729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2ED2EBD7">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29B1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noWrap w:val="0"/>
            <w:vAlign w:val="center"/>
          </w:tcPr>
          <w:p w14:paraId="708A3B90">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103" w:type="pct"/>
            <w:shd w:val="clear" w:color="auto" w:fill="auto"/>
            <w:noWrap w:val="0"/>
            <w:vAlign w:val="center"/>
          </w:tcPr>
          <w:p w14:paraId="7DC773B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2074" w:type="pct"/>
            <w:shd w:val="clear" w:color="auto" w:fill="auto"/>
            <w:noWrap w:val="0"/>
            <w:vAlign w:val="center"/>
          </w:tcPr>
          <w:p w14:paraId="011D967C">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1083" w:type="pct"/>
            <w:noWrap w:val="0"/>
            <w:vAlign w:val="center"/>
          </w:tcPr>
          <w:p w14:paraId="58F62CE4">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194CC2D3">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547BF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noWrap w:val="0"/>
            <w:vAlign w:val="center"/>
          </w:tcPr>
          <w:p w14:paraId="6A2DB15C">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w:t>
            </w:r>
          </w:p>
        </w:tc>
        <w:tc>
          <w:tcPr>
            <w:tcW w:w="1103" w:type="pct"/>
            <w:shd w:val="clear" w:color="auto" w:fill="auto"/>
            <w:noWrap w:val="0"/>
            <w:vAlign w:val="center"/>
          </w:tcPr>
          <w:p w14:paraId="46BFE239">
            <w:pPr>
              <w:pStyle w:val="50"/>
              <w:rPr>
                <w:rFonts w:hint="eastAsia" w:ascii="宋体" w:hAnsi="宋体" w:eastAsia="宋体" w:cs="宋体"/>
                <w:color w:val="auto"/>
                <w:kern w:val="2"/>
                <w:sz w:val="24"/>
                <w:szCs w:val="24"/>
                <w:highlight w:val="none"/>
                <w:lang w:val="en-US" w:eastAsia="zh-CN" w:bidi="ar-SA"/>
              </w:rPr>
            </w:pPr>
          </w:p>
        </w:tc>
        <w:tc>
          <w:tcPr>
            <w:tcW w:w="2074" w:type="pct"/>
            <w:shd w:val="clear" w:color="auto" w:fill="auto"/>
            <w:noWrap w:val="0"/>
            <w:vAlign w:val="center"/>
          </w:tcPr>
          <w:p w14:paraId="486ABA85">
            <w:pPr>
              <w:pStyle w:val="50"/>
              <w:rPr>
                <w:rFonts w:hint="eastAsia" w:ascii="宋体" w:hAnsi="宋体" w:eastAsia="宋体" w:cs="宋体"/>
                <w:color w:val="auto"/>
                <w:kern w:val="2"/>
                <w:sz w:val="24"/>
                <w:szCs w:val="24"/>
                <w:highlight w:val="none"/>
                <w:lang w:val="en-US" w:eastAsia="zh-CN" w:bidi="ar-SA"/>
              </w:rPr>
            </w:pPr>
          </w:p>
        </w:tc>
        <w:tc>
          <w:tcPr>
            <w:tcW w:w="1083" w:type="pct"/>
            <w:noWrap w:val="0"/>
            <w:vAlign w:val="center"/>
          </w:tcPr>
          <w:p w14:paraId="59491DC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1511A2D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5B874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noWrap w:val="0"/>
            <w:vAlign w:val="center"/>
          </w:tcPr>
          <w:p w14:paraId="12289F6C">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w:t>
            </w:r>
          </w:p>
        </w:tc>
        <w:tc>
          <w:tcPr>
            <w:tcW w:w="1103" w:type="pct"/>
            <w:shd w:val="clear" w:color="auto" w:fill="auto"/>
            <w:noWrap w:val="0"/>
            <w:vAlign w:val="center"/>
          </w:tcPr>
          <w:p w14:paraId="1D3E0310">
            <w:pPr>
              <w:pStyle w:val="50"/>
              <w:rPr>
                <w:rFonts w:hint="eastAsia" w:ascii="宋体" w:hAnsi="宋体" w:eastAsia="宋体" w:cs="宋体"/>
                <w:color w:val="auto"/>
                <w:kern w:val="2"/>
                <w:sz w:val="24"/>
                <w:szCs w:val="24"/>
                <w:highlight w:val="none"/>
                <w:lang w:val="en-US" w:eastAsia="zh-CN" w:bidi="ar-SA"/>
              </w:rPr>
            </w:pPr>
          </w:p>
        </w:tc>
        <w:tc>
          <w:tcPr>
            <w:tcW w:w="2074" w:type="pct"/>
            <w:shd w:val="clear" w:color="auto" w:fill="auto"/>
            <w:noWrap w:val="0"/>
            <w:vAlign w:val="center"/>
          </w:tcPr>
          <w:p w14:paraId="281089E1">
            <w:pPr>
              <w:pStyle w:val="50"/>
              <w:rPr>
                <w:rFonts w:hint="eastAsia" w:ascii="宋体" w:hAnsi="宋体" w:eastAsia="宋体" w:cs="宋体"/>
                <w:color w:val="auto"/>
                <w:kern w:val="2"/>
                <w:sz w:val="24"/>
                <w:szCs w:val="24"/>
                <w:highlight w:val="none"/>
                <w:lang w:val="en-US" w:eastAsia="zh-CN" w:bidi="ar-SA"/>
              </w:rPr>
            </w:pPr>
          </w:p>
        </w:tc>
        <w:tc>
          <w:tcPr>
            <w:tcW w:w="1083" w:type="pct"/>
            <w:noWrap w:val="0"/>
            <w:vAlign w:val="center"/>
          </w:tcPr>
          <w:p w14:paraId="6CCA3E7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0A8FC1EC">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70A7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noWrap w:val="0"/>
            <w:vAlign w:val="center"/>
          </w:tcPr>
          <w:p w14:paraId="36B59CD3">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5</w:t>
            </w:r>
          </w:p>
        </w:tc>
        <w:tc>
          <w:tcPr>
            <w:tcW w:w="1103" w:type="pct"/>
            <w:noWrap w:val="0"/>
            <w:vAlign w:val="center"/>
          </w:tcPr>
          <w:p w14:paraId="43A0BEF0">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w:t>
            </w:r>
          </w:p>
        </w:tc>
        <w:tc>
          <w:tcPr>
            <w:tcW w:w="2074" w:type="pct"/>
            <w:noWrap w:val="0"/>
            <w:vAlign w:val="center"/>
          </w:tcPr>
          <w:p w14:paraId="310F1D1A">
            <w:pPr>
              <w:pStyle w:val="74"/>
              <w:keepNext w:val="0"/>
              <w:keepLines w:val="0"/>
              <w:pageBreakBefore w:val="0"/>
              <w:widowControl w:val="0"/>
              <w:shd w:val="clear" w:color="auto" w:fill="FFFFFF"/>
              <w:kinsoku/>
              <w:wordWrap/>
              <w:overflowPunct/>
              <w:topLinePunct w:val="0"/>
              <w:bidi w:val="0"/>
              <w:adjustRightInd/>
              <w:snapToGrid/>
              <w:spacing w:line="360" w:lineRule="exact"/>
              <w:ind w:firstLine="0" w:firstLineChars="0"/>
              <w:textAlignment w:val="auto"/>
              <w:rPr>
                <w:rFonts w:hint="eastAsia" w:ascii="宋体" w:hAnsi="宋体" w:eastAsia="宋体" w:cs="宋体"/>
                <w:color w:val="auto"/>
                <w:kern w:val="0"/>
                <w:sz w:val="24"/>
                <w:szCs w:val="24"/>
                <w:highlight w:val="none"/>
                <w:lang w:val="en-US" w:eastAsia="zh-CN" w:bidi="ar-SA"/>
              </w:rPr>
            </w:pPr>
          </w:p>
        </w:tc>
        <w:tc>
          <w:tcPr>
            <w:tcW w:w="1083" w:type="pct"/>
            <w:noWrap w:val="0"/>
            <w:vAlign w:val="center"/>
          </w:tcPr>
          <w:p w14:paraId="492A3FE6">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7AFD0B5E">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366B3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noWrap w:val="0"/>
            <w:vAlign w:val="center"/>
          </w:tcPr>
          <w:p w14:paraId="0C145DE9">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1103" w:type="pct"/>
            <w:noWrap w:val="0"/>
            <w:vAlign w:val="center"/>
          </w:tcPr>
          <w:p w14:paraId="24DF7F3A">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w:t>
            </w:r>
          </w:p>
        </w:tc>
        <w:tc>
          <w:tcPr>
            <w:tcW w:w="2074" w:type="pct"/>
            <w:noWrap w:val="0"/>
            <w:vAlign w:val="center"/>
          </w:tcPr>
          <w:p w14:paraId="5482D5FB">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1083" w:type="pct"/>
            <w:noWrap w:val="0"/>
            <w:vAlign w:val="center"/>
          </w:tcPr>
          <w:p w14:paraId="24D82CE2">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190A3A2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2E09A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noWrap w:val="0"/>
            <w:vAlign w:val="center"/>
          </w:tcPr>
          <w:p w14:paraId="2F26FC6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1103" w:type="pct"/>
            <w:noWrap w:val="0"/>
            <w:vAlign w:val="center"/>
          </w:tcPr>
          <w:p w14:paraId="7BD1DFF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w:t>
            </w:r>
          </w:p>
        </w:tc>
        <w:tc>
          <w:tcPr>
            <w:tcW w:w="2074" w:type="pct"/>
            <w:noWrap w:val="0"/>
            <w:vAlign w:val="center"/>
          </w:tcPr>
          <w:p w14:paraId="0998D7BE">
            <w:pPr>
              <w:keepNext w:val="0"/>
              <w:keepLines w:val="0"/>
              <w:pageBreakBefore w:val="0"/>
              <w:widowControl w:val="0"/>
              <w:shd w:val="clear" w:color="auto" w:fill="FFFFFF"/>
              <w:kinsoku/>
              <w:wordWrap/>
              <w:overflowPunct/>
              <w:topLinePunct w:val="0"/>
              <w:autoSpaceDE/>
              <w:autoSpaceDN/>
              <w:bidi w:val="0"/>
              <w:adjustRightInd/>
              <w:snapToGrid/>
              <w:spacing w:line="400" w:lineRule="atLeast"/>
              <w:textAlignment w:val="auto"/>
              <w:rPr>
                <w:rFonts w:hint="eastAsia" w:ascii="宋体" w:hAnsi="宋体" w:eastAsia="宋体" w:cs="宋体"/>
                <w:color w:val="auto"/>
                <w:sz w:val="24"/>
                <w:szCs w:val="24"/>
                <w:highlight w:val="none"/>
                <w:lang w:val="en-US" w:eastAsia="zh-CN"/>
              </w:rPr>
            </w:pPr>
          </w:p>
        </w:tc>
        <w:tc>
          <w:tcPr>
            <w:tcW w:w="1083" w:type="pct"/>
            <w:noWrap w:val="0"/>
            <w:vAlign w:val="center"/>
          </w:tcPr>
          <w:p w14:paraId="4CB98610">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015D30C8">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5EA1B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noWrap w:val="0"/>
            <w:vAlign w:val="center"/>
          </w:tcPr>
          <w:p w14:paraId="4ED2BCC7">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lang w:val="en-US" w:eastAsia="zh-CN"/>
              </w:rPr>
            </w:pPr>
          </w:p>
        </w:tc>
        <w:tc>
          <w:tcPr>
            <w:tcW w:w="1103" w:type="pct"/>
            <w:shd w:val="clear" w:color="auto" w:fill="auto"/>
            <w:noWrap w:val="0"/>
            <w:vAlign w:val="center"/>
          </w:tcPr>
          <w:p w14:paraId="28BAA9A6">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rPr>
              <w:t>……</w:t>
            </w:r>
          </w:p>
        </w:tc>
        <w:tc>
          <w:tcPr>
            <w:tcW w:w="2074" w:type="pct"/>
            <w:noWrap w:val="0"/>
            <w:vAlign w:val="center"/>
          </w:tcPr>
          <w:p w14:paraId="6246E55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lang w:eastAsia="zh-CN"/>
              </w:rPr>
            </w:pPr>
          </w:p>
        </w:tc>
        <w:tc>
          <w:tcPr>
            <w:tcW w:w="1083" w:type="pct"/>
            <w:noWrap w:val="0"/>
            <w:vAlign w:val="center"/>
          </w:tcPr>
          <w:p w14:paraId="1853010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796ECCFA">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bl>
    <w:p w14:paraId="1BAA11F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eastAsia="宋体" w:asciiTheme="majorHAnsi" w:hAnsiTheme="majorHAnsi" w:cstheme="majorBidi"/>
          <w:b/>
          <w:bCs/>
          <w:color w:val="auto"/>
          <w:kern w:val="2"/>
          <w:sz w:val="28"/>
          <w:szCs w:val="28"/>
          <w:highlight w:val="none"/>
          <w:lang w:val="en-US" w:eastAsia="zh-CN" w:bidi="ar-SA"/>
        </w:rPr>
      </w:pPr>
    </w:p>
    <w:p w14:paraId="61F3D6B1">
      <w:pPr>
        <w:pStyle w:val="3"/>
        <w:keepNext w:val="0"/>
        <w:keepLines w:val="0"/>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pPr>
    </w:p>
    <w:p w14:paraId="01639337">
      <w:pPr>
        <w:pStyle w:val="3"/>
        <w:keepNext w:val="0"/>
        <w:keepLines w:val="0"/>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pPr>
    </w:p>
    <w:p w14:paraId="626EF50E">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383" w:name="_Toc24270"/>
      <w:r>
        <w:rPr>
          <w:rFonts w:hint="eastAsia" w:cstheme="majorBidi"/>
          <w:b/>
          <w:bCs/>
          <w:color w:val="auto"/>
          <w:kern w:val="2"/>
          <w:sz w:val="32"/>
          <w:szCs w:val="32"/>
          <w:highlight w:val="none"/>
          <w:lang w:val="en-US" w:eastAsia="zh-CN" w:bidi="ar-SA"/>
        </w:rPr>
        <w:t>六</w:t>
      </w:r>
      <w:r>
        <w:rPr>
          <w:rFonts w:hint="eastAsia" w:eastAsia="宋体" w:asciiTheme="majorHAnsi" w:hAnsiTheme="majorHAnsi" w:cstheme="majorBidi"/>
          <w:b/>
          <w:bCs/>
          <w:color w:val="auto"/>
          <w:kern w:val="2"/>
          <w:sz w:val="32"/>
          <w:szCs w:val="32"/>
          <w:highlight w:val="none"/>
          <w:lang w:val="en-US" w:eastAsia="zh-CN" w:bidi="ar-SA"/>
        </w:rPr>
        <w:t>、商务响应偏离表</w:t>
      </w:r>
      <w:bookmarkEnd w:id="382"/>
      <w:bookmarkEnd w:id="383"/>
    </w:p>
    <w:p w14:paraId="21AF32D6">
      <w:pPr>
        <w:rPr>
          <w:rFonts w:cs="仿宋_GB2312"/>
          <w:color w:val="auto"/>
          <w:szCs w:val="24"/>
          <w:highlight w:val="none"/>
        </w:rPr>
      </w:pPr>
      <w:r>
        <w:rPr>
          <w:rFonts w:hint="eastAsia" w:cs="仿宋_GB2312"/>
          <w:color w:val="auto"/>
          <w:szCs w:val="24"/>
          <w:highlight w:val="none"/>
        </w:rPr>
        <w:t xml:space="preserve">项目名称：                                         </w:t>
      </w:r>
    </w:p>
    <w:p w14:paraId="0424C095">
      <w:pPr>
        <w:rPr>
          <w:rFonts w:cs="仿宋_GB2312"/>
          <w:color w:val="auto"/>
          <w:szCs w:val="24"/>
          <w:highlight w:val="none"/>
        </w:rPr>
      </w:pPr>
      <w:r>
        <w:rPr>
          <w:rFonts w:hint="eastAsia" w:cs="仿宋_GB2312"/>
          <w:color w:val="auto"/>
          <w:szCs w:val="24"/>
          <w:highlight w:val="none"/>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cs="仿宋_GB2312"/>
          <w:color w:val="auto"/>
          <w:szCs w:val="24"/>
          <w:highlight w:val="none"/>
        </w:rPr>
        <w:t xml:space="preserve">：        </w:t>
      </w:r>
    </w:p>
    <w:tbl>
      <w:tblPr>
        <w:tblStyle w:val="30"/>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2394"/>
        <w:gridCol w:w="1720"/>
        <w:gridCol w:w="1871"/>
        <w:gridCol w:w="1871"/>
      </w:tblGrid>
      <w:tr w14:paraId="16BE7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420" w:type="pct"/>
            <w:vAlign w:val="center"/>
          </w:tcPr>
          <w:p w14:paraId="1A4BE3A9">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95" w:type="pct"/>
            <w:vAlign w:val="center"/>
          </w:tcPr>
          <w:p w14:paraId="7CB83CD6">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招标文件的商务条款</w:t>
            </w:r>
          </w:p>
        </w:tc>
        <w:tc>
          <w:tcPr>
            <w:tcW w:w="1002" w:type="pct"/>
            <w:vAlign w:val="center"/>
          </w:tcPr>
          <w:p w14:paraId="55A47B57">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投标文件的响应内容</w:t>
            </w:r>
          </w:p>
        </w:tc>
        <w:tc>
          <w:tcPr>
            <w:tcW w:w="1090" w:type="pct"/>
            <w:vAlign w:val="center"/>
          </w:tcPr>
          <w:p w14:paraId="2572E859">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响应情况</w:t>
            </w:r>
          </w:p>
        </w:tc>
        <w:tc>
          <w:tcPr>
            <w:tcW w:w="1090" w:type="pct"/>
            <w:vAlign w:val="center"/>
          </w:tcPr>
          <w:p w14:paraId="7884F206">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说明及索引</w:t>
            </w:r>
          </w:p>
        </w:tc>
      </w:tr>
      <w:tr w14:paraId="07285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156411A">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395" w:type="pct"/>
            <w:vAlign w:val="center"/>
          </w:tcPr>
          <w:p w14:paraId="34566CA0">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02" w:type="pct"/>
            <w:vAlign w:val="center"/>
          </w:tcPr>
          <w:p w14:paraId="1C6482B4">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vAlign w:val="center"/>
          </w:tcPr>
          <w:p w14:paraId="1BBD0417">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响应/偏离</w:t>
            </w:r>
          </w:p>
        </w:tc>
        <w:tc>
          <w:tcPr>
            <w:tcW w:w="1090" w:type="pct"/>
            <w:vAlign w:val="center"/>
          </w:tcPr>
          <w:p w14:paraId="1A90E39C">
            <w:pPr>
              <w:pStyle w:val="50"/>
              <w:jc w:val="center"/>
              <w:rPr>
                <w:rFonts w:hint="eastAsia" w:ascii="宋体" w:hAnsi="宋体" w:eastAsia="宋体" w:cs="宋体"/>
                <w:color w:val="auto"/>
                <w:sz w:val="21"/>
                <w:szCs w:val="21"/>
                <w:highlight w:val="none"/>
              </w:rPr>
            </w:pPr>
          </w:p>
        </w:tc>
      </w:tr>
      <w:tr w14:paraId="7C832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5821036">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395" w:type="pct"/>
            <w:vAlign w:val="center"/>
          </w:tcPr>
          <w:p w14:paraId="2A717A55">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02" w:type="pct"/>
            <w:vAlign w:val="center"/>
          </w:tcPr>
          <w:p w14:paraId="20EC7575">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vAlign w:val="center"/>
          </w:tcPr>
          <w:p w14:paraId="5923E58D">
            <w:pPr>
              <w:pStyle w:val="50"/>
              <w:jc w:val="center"/>
              <w:rPr>
                <w:rFonts w:hint="eastAsia" w:ascii="宋体" w:hAnsi="宋体" w:eastAsia="宋体" w:cs="宋体"/>
                <w:color w:val="auto"/>
                <w:sz w:val="21"/>
                <w:szCs w:val="21"/>
                <w:highlight w:val="none"/>
              </w:rPr>
            </w:pPr>
          </w:p>
        </w:tc>
        <w:tc>
          <w:tcPr>
            <w:tcW w:w="1090" w:type="pct"/>
            <w:vAlign w:val="center"/>
          </w:tcPr>
          <w:p w14:paraId="59C2C317">
            <w:pPr>
              <w:pStyle w:val="50"/>
              <w:jc w:val="center"/>
              <w:rPr>
                <w:rFonts w:hint="eastAsia" w:ascii="宋体" w:hAnsi="宋体" w:eastAsia="宋体" w:cs="宋体"/>
                <w:color w:val="auto"/>
                <w:sz w:val="21"/>
                <w:szCs w:val="21"/>
                <w:highlight w:val="none"/>
              </w:rPr>
            </w:pPr>
          </w:p>
        </w:tc>
      </w:tr>
      <w:tr w14:paraId="6435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6D563CA4">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395" w:type="pct"/>
            <w:vAlign w:val="center"/>
          </w:tcPr>
          <w:p w14:paraId="595245DB">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02" w:type="pct"/>
            <w:vAlign w:val="center"/>
          </w:tcPr>
          <w:p w14:paraId="0A16B4B6">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vAlign w:val="center"/>
          </w:tcPr>
          <w:p w14:paraId="58535F72">
            <w:pPr>
              <w:pStyle w:val="50"/>
              <w:jc w:val="center"/>
              <w:rPr>
                <w:rFonts w:hint="eastAsia" w:ascii="宋体" w:hAnsi="宋体" w:eastAsia="宋体" w:cs="宋体"/>
                <w:color w:val="auto"/>
                <w:sz w:val="21"/>
                <w:szCs w:val="21"/>
                <w:highlight w:val="none"/>
              </w:rPr>
            </w:pPr>
          </w:p>
        </w:tc>
        <w:tc>
          <w:tcPr>
            <w:tcW w:w="1090" w:type="pct"/>
            <w:vAlign w:val="center"/>
          </w:tcPr>
          <w:p w14:paraId="50AB520B">
            <w:pPr>
              <w:pStyle w:val="50"/>
              <w:jc w:val="center"/>
              <w:rPr>
                <w:rFonts w:hint="eastAsia" w:ascii="宋体" w:hAnsi="宋体" w:eastAsia="宋体" w:cs="宋体"/>
                <w:color w:val="auto"/>
                <w:sz w:val="21"/>
                <w:szCs w:val="21"/>
                <w:highlight w:val="none"/>
              </w:rPr>
            </w:pPr>
          </w:p>
        </w:tc>
      </w:tr>
      <w:tr w14:paraId="669EA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74127D5E">
            <w:pPr>
              <w:pStyle w:val="50"/>
              <w:jc w:val="center"/>
              <w:rPr>
                <w:rFonts w:hint="eastAsia" w:ascii="宋体" w:hAnsi="宋体" w:eastAsia="宋体" w:cs="宋体"/>
                <w:color w:val="auto"/>
                <w:sz w:val="21"/>
                <w:szCs w:val="21"/>
                <w:highlight w:val="none"/>
              </w:rPr>
            </w:pPr>
          </w:p>
        </w:tc>
        <w:tc>
          <w:tcPr>
            <w:tcW w:w="1395" w:type="pct"/>
            <w:vAlign w:val="center"/>
          </w:tcPr>
          <w:p w14:paraId="14968038">
            <w:pPr>
              <w:pStyle w:val="50"/>
              <w:jc w:val="center"/>
              <w:rPr>
                <w:rFonts w:hint="eastAsia" w:ascii="宋体" w:hAnsi="宋体" w:eastAsia="宋体" w:cs="宋体"/>
                <w:color w:val="auto"/>
                <w:sz w:val="21"/>
                <w:szCs w:val="21"/>
                <w:highlight w:val="none"/>
              </w:rPr>
            </w:pPr>
          </w:p>
        </w:tc>
        <w:tc>
          <w:tcPr>
            <w:tcW w:w="1002" w:type="pct"/>
            <w:vAlign w:val="center"/>
          </w:tcPr>
          <w:p w14:paraId="10A6B59E">
            <w:pPr>
              <w:pStyle w:val="50"/>
              <w:jc w:val="center"/>
              <w:rPr>
                <w:rFonts w:hint="eastAsia" w:ascii="宋体" w:hAnsi="宋体" w:eastAsia="宋体" w:cs="宋体"/>
                <w:color w:val="auto"/>
                <w:sz w:val="21"/>
                <w:szCs w:val="21"/>
                <w:highlight w:val="none"/>
              </w:rPr>
            </w:pPr>
          </w:p>
        </w:tc>
        <w:tc>
          <w:tcPr>
            <w:tcW w:w="1090" w:type="pct"/>
            <w:vAlign w:val="center"/>
          </w:tcPr>
          <w:p w14:paraId="61702DF6">
            <w:pPr>
              <w:pStyle w:val="50"/>
              <w:jc w:val="center"/>
              <w:rPr>
                <w:rFonts w:hint="eastAsia" w:ascii="宋体" w:hAnsi="宋体" w:eastAsia="宋体" w:cs="宋体"/>
                <w:color w:val="auto"/>
                <w:sz w:val="21"/>
                <w:szCs w:val="21"/>
                <w:highlight w:val="none"/>
              </w:rPr>
            </w:pPr>
          </w:p>
        </w:tc>
        <w:tc>
          <w:tcPr>
            <w:tcW w:w="1090" w:type="pct"/>
            <w:vAlign w:val="center"/>
          </w:tcPr>
          <w:p w14:paraId="0CC18FC2">
            <w:pPr>
              <w:pStyle w:val="50"/>
              <w:jc w:val="center"/>
              <w:rPr>
                <w:rFonts w:hint="eastAsia" w:ascii="宋体" w:hAnsi="宋体" w:eastAsia="宋体" w:cs="宋体"/>
                <w:color w:val="auto"/>
                <w:sz w:val="21"/>
                <w:szCs w:val="21"/>
                <w:highlight w:val="none"/>
              </w:rPr>
            </w:pPr>
          </w:p>
        </w:tc>
      </w:tr>
      <w:tr w14:paraId="57F34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4561F269">
            <w:pPr>
              <w:pStyle w:val="50"/>
              <w:jc w:val="center"/>
              <w:rPr>
                <w:rFonts w:hint="eastAsia" w:ascii="宋体" w:hAnsi="宋体" w:eastAsia="宋体" w:cs="宋体"/>
                <w:color w:val="auto"/>
                <w:sz w:val="21"/>
                <w:szCs w:val="21"/>
                <w:highlight w:val="none"/>
              </w:rPr>
            </w:pPr>
          </w:p>
        </w:tc>
        <w:tc>
          <w:tcPr>
            <w:tcW w:w="1395" w:type="pct"/>
            <w:vAlign w:val="center"/>
          </w:tcPr>
          <w:p w14:paraId="5DDD9937">
            <w:pPr>
              <w:pStyle w:val="50"/>
              <w:jc w:val="center"/>
              <w:rPr>
                <w:rFonts w:hint="eastAsia" w:ascii="宋体" w:hAnsi="宋体" w:eastAsia="宋体" w:cs="宋体"/>
                <w:color w:val="auto"/>
                <w:sz w:val="21"/>
                <w:szCs w:val="21"/>
                <w:highlight w:val="none"/>
              </w:rPr>
            </w:pPr>
          </w:p>
        </w:tc>
        <w:tc>
          <w:tcPr>
            <w:tcW w:w="1002" w:type="pct"/>
            <w:vAlign w:val="center"/>
          </w:tcPr>
          <w:p w14:paraId="0B29A018">
            <w:pPr>
              <w:pStyle w:val="50"/>
              <w:jc w:val="center"/>
              <w:rPr>
                <w:rFonts w:hint="eastAsia" w:ascii="宋体" w:hAnsi="宋体" w:eastAsia="宋体" w:cs="宋体"/>
                <w:color w:val="auto"/>
                <w:sz w:val="21"/>
                <w:szCs w:val="21"/>
                <w:highlight w:val="none"/>
              </w:rPr>
            </w:pPr>
          </w:p>
        </w:tc>
        <w:tc>
          <w:tcPr>
            <w:tcW w:w="1090" w:type="pct"/>
            <w:vAlign w:val="center"/>
          </w:tcPr>
          <w:p w14:paraId="1FA693DE">
            <w:pPr>
              <w:pStyle w:val="50"/>
              <w:jc w:val="center"/>
              <w:rPr>
                <w:rFonts w:hint="eastAsia" w:ascii="宋体" w:hAnsi="宋体" w:eastAsia="宋体" w:cs="宋体"/>
                <w:color w:val="auto"/>
                <w:sz w:val="21"/>
                <w:szCs w:val="21"/>
                <w:highlight w:val="none"/>
              </w:rPr>
            </w:pPr>
          </w:p>
        </w:tc>
        <w:tc>
          <w:tcPr>
            <w:tcW w:w="1090" w:type="pct"/>
            <w:vAlign w:val="center"/>
          </w:tcPr>
          <w:p w14:paraId="3D633AB6">
            <w:pPr>
              <w:pStyle w:val="50"/>
              <w:jc w:val="center"/>
              <w:rPr>
                <w:rFonts w:hint="eastAsia" w:ascii="宋体" w:hAnsi="宋体" w:eastAsia="宋体" w:cs="宋体"/>
                <w:color w:val="auto"/>
                <w:sz w:val="21"/>
                <w:szCs w:val="21"/>
                <w:highlight w:val="none"/>
              </w:rPr>
            </w:pPr>
          </w:p>
        </w:tc>
      </w:tr>
      <w:tr w14:paraId="12449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59A5171A">
            <w:pPr>
              <w:pStyle w:val="50"/>
              <w:jc w:val="center"/>
              <w:rPr>
                <w:rFonts w:hint="eastAsia" w:ascii="宋体" w:hAnsi="宋体" w:eastAsia="宋体" w:cs="宋体"/>
                <w:color w:val="auto"/>
                <w:sz w:val="21"/>
                <w:szCs w:val="21"/>
                <w:highlight w:val="none"/>
              </w:rPr>
            </w:pPr>
          </w:p>
        </w:tc>
        <w:tc>
          <w:tcPr>
            <w:tcW w:w="1395" w:type="pct"/>
            <w:vAlign w:val="center"/>
          </w:tcPr>
          <w:p w14:paraId="014A297F">
            <w:pPr>
              <w:pStyle w:val="50"/>
              <w:jc w:val="center"/>
              <w:rPr>
                <w:rFonts w:hint="eastAsia" w:ascii="宋体" w:hAnsi="宋体" w:eastAsia="宋体" w:cs="宋体"/>
                <w:color w:val="auto"/>
                <w:sz w:val="21"/>
                <w:szCs w:val="21"/>
                <w:highlight w:val="none"/>
              </w:rPr>
            </w:pPr>
          </w:p>
        </w:tc>
        <w:tc>
          <w:tcPr>
            <w:tcW w:w="1002" w:type="pct"/>
            <w:vAlign w:val="center"/>
          </w:tcPr>
          <w:p w14:paraId="51467013">
            <w:pPr>
              <w:pStyle w:val="50"/>
              <w:jc w:val="center"/>
              <w:rPr>
                <w:rFonts w:hint="eastAsia" w:ascii="宋体" w:hAnsi="宋体" w:eastAsia="宋体" w:cs="宋体"/>
                <w:color w:val="auto"/>
                <w:sz w:val="21"/>
                <w:szCs w:val="21"/>
                <w:highlight w:val="none"/>
              </w:rPr>
            </w:pPr>
          </w:p>
        </w:tc>
        <w:tc>
          <w:tcPr>
            <w:tcW w:w="1090" w:type="pct"/>
            <w:vAlign w:val="center"/>
          </w:tcPr>
          <w:p w14:paraId="011E40CA">
            <w:pPr>
              <w:pStyle w:val="50"/>
              <w:jc w:val="center"/>
              <w:rPr>
                <w:rFonts w:hint="eastAsia" w:ascii="宋体" w:hAnsi="宋体" w:eastAsia="宋体" w:cs="宋体"/>
                <w:color w:val="auto"/>
                <w:sz w:val="21"/>
                <w:szCs w:val="21"/>
                <w:highlight w:val="none"/>
              </w:rPr>
            </w:pPr>
          </w:p>
        </w:tc>
        <w:tc>
          <w:tcPr>
            <w:tcW w:w="1090" w:type="pct"/>
            <w:vAlign w:val="center"/>
          </w:tcPr>
          <w:p w14:paraId="7062C313">
            <w:pPr>
              <w:pStyle w:val="50"/>
              <w:jc w:val="center"/>
              <w:rPr>
                <w:rFonts w:hint="eastAsia" w:ascii="宋体" w:hAnsi="宋体" w:eastAsia="宋体" w:cs="宋体"/>
                <w:color w:val="auto"/>
                <w:sz w:val="21"/>
                <w:szCs w:val="21"/>
                <w:highlight w:val="none"/>
              </w:rPr>
            </w:pPr>
          </w:p>
        </w:tc>
      </w:tr>
      <w:tr w14:paraId="7994B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0B6F410">
            <w:pPr>
              <w:pStyle w:val="50"/>
              <w:jc w:val="center"/>
              <w:rPr>
                <w:rFonts w:hint="eastAsia" w:ascii="宋体" w:hAnsi="宋体" w:eastAsia="宋体" w:cs="宋体"/>
                <w:color w:val="auto"/>
                <w:sz w:val="21"/>
                <w:szCs w:val="21"/>
                <w:highlight w:val="none"/>
              </w:rPr>
            </w:pPr>
          </w:p>
        </w:tc>
        <w:tc>
          <w:tcPr>
            <w:tcW w:w="1395" w:type="pct"/>
            <w:vAlign w:val="center"/>
          </w:tcPr>
          <w:p w14:paraId="010A1BB0">
            <w:pPr>
              <w:pStyle w:val="50"/>
              <w:jc w:val="center"/>
              <w:rPr>
                <w:rFonts w:hint="eastAsia" w:ascii="宋体" w:hAnsi="宋体" w:eastAsia="宋体" w:cs="宋体"/>
                <w:color w:val="auto"/>
                <w:sz w:val="21"/>
                <w:szCs w:val="21"/>
                <w:highlight w:val="none"/>
              </w:rPr>
            </w:pPr>
          </w:p>
        </w:tc>
        <w:tc>
          <w:tcPr>
            <w:tcW w:w="1002" w:type="pct"/>
            <w:vAlign w:val="center"/>
          </w:tcPr>
          <w:p w14:paraId="1EE22C75">
            <w:pPr>
              <w:pStyle w:val="50"/>
              <w:jc w:val="center"/>
              <w:rPr>
                <w:rFonts w:hint="eastAsia" w:ascii="宋体" w:hAnsi="宋体" w:eastAsia="宋体" w:cs="宋体"/>
                <w:color w:val="auto"/>
                <w:sz w:val="21"/>
                <w:szCs w:val="21"/>
                <w:highlight w:val="none"/>
              </w:rPr>
            </w:pPr>
          </w:p>
        </w:tc>
        <w:tc>
          <w:tcPr>
            <w:tcW w:w="1090" w:type="pct"/>
            <w:vAlign w:val="center"/>
          </w:tcPr>
          <w:p w14:paraId="3C86F2CC">
            <w:pPr>
              <w:pStyle w:val="50"/>
              <w:jc w:val="center"/>
              <w:rPr>
                <w:rFonts w:hint="eastAsia" w:ascii="宋体" w:hAnsi="宋体" w:eastAsia="宋体" w:cs="宋体"/>
                <w:color w:val="auto"/>
                <w:sz w:val="21"/>
                <w:szCs w:val="21"/>
                <w:highlight w:val="none"/>
              </w:rPr>
            </w:pPr>
          </w:p>
        </w:tc>
        <w:tc>
          <w:tcPr>
            <w:tcW w:w="1090" w:type="pct"/>
            <w:vAlign w:val="center"/>
          </w:tcPr>
          <w:p w14:paraId="515EA04E">
            <w:pPr>
              <w:pStyle w:val="50"/>
              <w:jc w:val="center"/>
              <w:rPr>
                <w:rFonts w:hint="eastAsia" w:ascii="宋体" w:hAnsi="宋体" w:eastAsia="宋体" w:cs="宋体"/>
                <w:color w:val="auto"/>
                <w:sz w:val="21"/>
                <w:szCs w:val="21"/>
                <w:highlight w:val="none"/>
              </w:rPr>
            </w:pPr>
          </w:p>
        </w:tc>
      </w:tr>
      <w:tr w14:paraId="2D75C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7EFA1E0">
            <w:pPr>
              <w:pStyle w:val="50"/>
              <w:jc w:val="center"/>
              <w:rPr>
                <w:rFonts w:hint="eastAsia" w:ascii="宋体" w:hAnsi="宋体" w:eastAsia="宋体" w:cs="宋体"/>
                <w:color w:val="auto"/>
                <w:sz w:val="21"/>
                <w:szCs w:val="21"/>
                <w:highlight w:val="none"/>
              </w:rPr>
            </w:pPr>
          </w:p>
        </w:tc>
        <w:tc>
          <w:tcPr>
            <w:tcW w:w="1395" w:type="pct"/>
            <w:vAlign w:val="center"/>
          </w:tcPr>
          <w:p w14:paraId="1C7A6406">
            <w:pPr>
              <w:pStyle w:val="50"/>
              <w:jc w:val="center"/>
              <w:rPr>
                <w:rFonts w:hint="eastAsia" w:ascii="宋体" w:hAnsi="宋体" w:eastAsia="宋体" w:cs="宋体"/>
                <w:color w:val="auto"/>
                <w:sz w:val="21"/>
                <w:szCs w:val="21"/>
                <w:highlight w:val="none"/>
              </w:rPr>
            </w:pPr>
          </w:p>
        </w:tc>
        <w:tc>
          <w:tcPr>
            <w:tcW w:w="1002" w:type="pct"/>
            <w:vAlign w:val="center"/>
          </w:tcPr>
          <w:p w14:paraId="7F774DAF">
            <w:pPr>
              <w:pStyle w:val="50"/>
              <w:jc w:val="center"/>
              <w:rPr>
                <w:rFonts w:hint="eastAsia" w:ascii="宋体" w:hAnsi="宋体" w:eastAsia="宋体" w:cs="宋体"/>
                <w:color w:val="auto"/>
                <w:sz w:val="21"/>
                <w:szCs w:val="21"/>
                <w:highlight w:val="none"/>
              </w:rPr>
            </w:pPr>
          </w:p>
        </w:tc>
        <w:tc>
          <w:tcPr>
            <w:tcW w:w="1090" w:type="pct"/>
            <w:vAlign w:val="center"/>
          </w:tcPr>
          <w:p w14:paraId="66A55C54">
            <w:pPr>
              <w:pStyle w:val="50"/>
              <w:jc w:val="center"/>
              <w:rPr>
                <w:rFonts w:hint="eastAsia" w:ascii="宋体" w:hAnsi="宋体" w:eastAsia="宋体" w:cs="宋体"/>
                <w:color w:val="auto"/>
                <w:sz w:val="21"/>
                <w:szCs w:val="21"/>
                <w:highlight w:val="none"/>
              </w:rPr>
            </w:pPr>
          </w:p>
        </w:tc>
        <w:tc>
          <w:tcPr>
            <w:tcW w:w="1090" w:type="pct"/>
            <w:vAlign w:val="center"/>
          </w:tcPr>
          <w:p w14:paraId="6FC3A7DB">
            <w:pPr>
              <w:pStyle w:val="50"/>
              <w:jc w:val="center"/>
              <w:rPr>
                <w:rFonts w:hint="eastAsia" w:ascii="宋体" w:hAnsi="宋体" w:eastAsia="宋体" w:cs="宋体"/>
                <w:color w:val="auto"/>
                <w:sz w:val="21"/>
                <w:szCs w:val="21"/>
                <w:highlight w:val="none"/>
              </w:rPr>
            </w:pPr>
          </w:p>
        </w:tc>
      </w:tr>
      <w:tr w14:paraId="322EB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E27F183">
            <w:pPr>
              <w:pStyle w:val="50"/>
              <w:jc w:val="center"/>
              <w:rPr>
                <w:rFonts w:hint="eastAsia" w:ascii="宋体" w:hAnsi="宋体" w:eastAsia="宋体" w:cs="宋体"/>
                <w:color w:val="auto"/>
                <w:sz w:val="21"/>
                <w:szCs w:val="21"/>
                <w:highlight w:val="none"/>
              </w:rPr>
            </w:pPr>
          </w:p>
        </w:tc>
        <w:tc>
          <w:tcPr>
            <w:tcW w:w="1395" w:type="pct"/>
            <w:vAlign w:val="center"/>
          </w:tcPr>
          <w:p w14:paraId="199507E1">
            <w:pPr>
              <w:pStyle w:val="50"/>
              <w:jc w:val="center"/>
              <w:rPr>
                <w:rFonts w:hint="eastAsia" w:ascii="宋体" w:hAnsi="宋体" w:eastAsia="宋体" w:cs="宋体"/>
                <w:color w:val="auto"/>
                <w:sz w:val="21"/>
                <w:szCs w:val="21"/>
                <w:highlight w:val="none"/>
              </w:rPr>
            </w:pPr>
          </w:p>
        </w:tc>
        <w:tc>
          <w:tcPr>
            <w:tcW w:w="1002" w:type="pct"/>
            <w:vAlign w:val="center"/>
          </w:tcPr>
          <w:p w14:paraId="6691FD82">
            <w:pPr>
              <w:pStyle w:val="50"/>
              <w:jc w:val="center"/>
              <w:rPr>
                <w:rFonts w:hint="eastAsia" w:ascii="宋体" w:hAnsi="宋体" w:eastAsia="宋体" w:cs="宋体"/>
                <w:color w:val="auto"/>
                <w:sz w:val="21"/>
                <w:szCs w:val="21"/>
                <w:highlight w:val="none"/>
              </w:rPr>
            </w:pPr>
          </w:p>
        </w:tc>
        <w:tc>
          <w:tcPr>
            <w:tcW w:w="1090" w:type="pct"/>
            <w:vAlign w:val="center"/>
          </w:tcPr>
          <w:p w14:paraId="6E35002B">
            <w:pPr>
              <w:pStyle w:val="50"/>
              <w:jc w:val="center"/>
              <w:rPr>
                <w:rFonts w:hint="eastAsia" w:ascii="宋体" w:hAnsi="宋体" w:eastAsia="宋体" w:cs="宋体"/>
                <w:color w:val="auto"/>
                <w:sz w:val="21"/>
                <w:szCs w:val="21"/>
                <w:highlight w:val="none"/>
              </w:rPr>
            </w:pPr>
          </w:p>
        </w:tc>
        <w:tc>
          <w:tcPr>
            <w:tcW w:w="1090" w:type="pct"/>
            <w:vAlign w:val="center"/>
          </w:tcPr>
          <w:p w14:paraId="69818ED1">
            <w:pPr>
              <w:pStyle w:val="50"/>
              <w:jc w:val="center"/>
              <w:rPr>
                <w:rFonts w:hint="eastAsia" w:ascii="宋体" w:hAnsi="宋体" w:eastAsia="宋体" w:cs="宋体"/>
                <w:color w:val="auto"/>
                <w:sz w:val="21"/>
                <w:szCs w:val="21"/>
                <w:highlight w:val="none"/>
              </w:rPr>
            </w:pPr>
          </w:p>
        </w:tc>
      </w:tr>
      <w:tr w14:paraId="79F3B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0" w:type="pct"/>
            <w:vAlign w:val="center"/>
          </w:tcPr>
          <w:p w14:paraId="71E185D4">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395" w:type="pct"/>
            <w:vAlign w:val="center"/>
          </w:tcPr>
          <w:p w14:paraId="6324A49D">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02" w:type="pct"/>
            <w:vAlign w:val="center"/>
          </w:tcPr>
          <w:p w14:paraId="0EE83785">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vAlign w:val="center"/>
          </w:tcPr>
          <w:p w14:paraId="7A24BB2D">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vAlign w:val="center"/>
          </w:tcPr>
          <w:p w14:paraId="7CC08218">
            <w:pPr>
              <w:pStyle w:val="50"/>
              <w:jc w:val="center"/>
              <w:rPr>
                <w:rFonts w:hint="eastAsia" w:ascii="宋体" w:hAnsi="宋体" w:eastAsia="宋体" w:cs="宋体"/>
                <w:color w:val="auto"/>
                <w:sz w:val="21"/>
                <w:szCs w:val="21"/>
                <w:highlight w:val="none"/>
              </w:rPr>
            </w:pPr>
          </w:p>
        </w:tc>
      </w:tr>
    </w:tbl>
    <w:p w14:paraId="5516D2ED">
      <w:pPr>
        <w:ind w:firstLine="420" w:firstLineChars="200"/>
        <w:rPr>
          <w:rFonts w:hint="eastAsia" w:cs="仿宋_GB2312"/>
          <w:color w:val="auto"/>
          <w:sz w:val="21"/>
          <w:szCs w:val="21"/>
          <w:highlight w:val="none"/>
        </w:rPr>
      </w:pPr>
    </w:p>
    <w:p w14:paraId="5CB06622">
      <w:pPr>
        <w:ind w:firstLine="480" w:firstLineChars="200"/>
        <w:rPr>
          <w:rFonts w:cs="仿宋_GB2312"/>
          <w:color w:val="auto"/>
          <w:szCs w:val="24"/>
          <w:highlight w:val="none"/>
        </w:rPr>
      </w:pPr>
    </w:p>
    <w:p w14:paraId="2E8083B6">
      <w:pPr>
        <w:ind w:firstLine="480" w:firstLineChars="20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仿宋_GB2312"/>
          <w:color w:val="auto"/>
          <w:szCs w:val="24"/>
          <w:highlight w:val="none"/>
        </w:rPr>
        <w:t>：</w:t>
      </w:r>
      <w:r>
        <w:rPr>
          <w:rFonts w:cs="仿宋_GB2312"/>
          <w:color w:val="auto"/>
          <w:szCs w:val="24"/>
          <w:highlight w:val="none"/>
        </w:rPr>
        <w:t xml:space="preserve"> </w:t>
      </w:r>
    </w:p>
    <w:p w14:paraId="77655944">
      <w:pPr>
        <w:ind w:firstLine="420"/>
        <w:rPr>
          <w:rFonts w:cs="仿宋_GB2312"/>
          <w:color w:val="auto"/>
          <w:szCs w:val="24"/>
          <w:highlight w:val="none"/>
        </w:rPr>
      </w:pPr>
      <w:r>
        <w:rPr>
          <w:rFonts w:hint="eastAsia" w:cs="仿宋_GB2312"/>
          <w:color w:val="auto"/>
          <w:szCs w:val="24"/>
          <w:highlight w:val="none"/>
        </w:rPr>
        <w:t>日      期：</w:t>
      </w:r>
    </w:p>
    <w:p w14:paraId="62D3AA4F">
      <w:pPr>
        <w:ind w:firstLine="420" w:firstLineChars="200"/>
        <w:rPr>
          <w:rFonts w:hint="eastAsia" w:cs="仿宋_GB2312"/>
          <w:color w:val="auto"/>
          <w:sz w:val="21"/>
          <w:szCs w:val="21"/>
          <w:highlight w:val="none"/>
        </w:rPr>
      </w:pPr>
    </w:p>
    <w:p w14:paraId="3F428C59">
      <w:pPr>
        <w:ind w:firstLine="420" w:firstLineChars="200"/>
        <w:rPr>
          <w:rFonts w:cs="仿宋_GB2312"/>
          <w:color w:val="auto"/>
          <w:szCs w:val="24"/>
          <w:highlight w:val="none"/>
        </w:rPr>
      </w:pPr>
      <w:r>
        <w:rPr>
          <w:rFonts w:hint="eastAsia" w:cs="仿宋_GB2312"/>
          <w:color w:val="auto"/>
          <w:sz w:val="21"/>
          <w:szCs w:val="21"/>
          <w:highlight w:val="none"/>
        </w:rPr>
        <w:t>注：投标人应按照招标文件“第三章 采购需求”</w:t>
      </w:r>
      <w:r>
        <w:rPr>
          <w:rFonts w:hint="eastAsia" w:cs="仿宋_GB2312"/>
          <w:color w:val="auto"/>
          <w:sz w:val="21"/>
          <w:szCs w:val="21"/>
          <w:highlight w:val="none"/>
          <w:lang w:val="en-US" w:eastAsia="zh-CN"/>
        </w:rPr>
        <w:t>中的商务要求</w:t>
      </w:r>
      <w:r>
        <w:rPr>
          <w:rFonts w:hint="eastAsia" w:cs="仿宋_GB2312"/>
          <w:color w:val="auto"/>
          <w:sz w:val="21"/>
          <w:szCs w:val="21"/>
          <w:highlight w:val="none"/>
        </w:rPr>
        <w:t>填写</w:t>
      </w:r>
      <w:r>
        <w:rPr>
          <w:rFonts w:hint="eastAsia" w:cs="仿宋_GB2312"/>
          <w:color w:val="auto"/>
          <w:sz w:val="21"/>
          <w:szCs w:val="21"/>
          <w:highlight w:val="none"/>
          <w:lang w:eastAsia="zh-CN"/>
        </w:rPr>
        <w:t>：</w:t>
      </w:r>
    </w:p>
    <w:p w14:paraId="16749689">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1.“招标文件的商务条款”栏应详细列明招标文件中的商务要求。 </w:t>
      </w:r>
    </w:p>
    <w:p w14:paraId="5CB91061">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2.“投标文件的响应内容”栏填写投标人对招标文件提出的商务条款作出的明确响应，并列明具体响应数值或内容，只注明符合、满足等无具体内容表述的，将视为未实质性满足招标文件要求</w:t>
      </w:r>
      <w:r>
        <w:rPr>
          <w:rFonts w:hint="default" w:cs="仿宋_GB2312"/>
          <w:color w:val="auto"/>
          <w:sz w:val="21"/>
          <w:szCs w:val="21"/>
          <w:highlight w:val="none"/>
          <w:lang w:val="en-US" w:eastAsia="zh-CN"/>
        </w:rPr>
        <w:t>，</w:t>
      </w:r>
      <w:r>
        <w:rPr>
          <w:rFonts w:hint="eastAsia" w:cs="仿宋_GB2312"/>
          <w:b/>
          <w:bCs/>
          <w:color w:val="auto"/>
          <w:sz w:val="21"/>
          <w:szCs w:val="21"/>
          <w:highlight w:val="none"/>
          <w:lang w:val="en-US" w:eastAsia="zh-CN"/>
        </w:rPr>
        <w:t>投标</w:t>
      </w:r>
      <w:r>
        <w:rPr>
          <w:rFonts w:hint="default" w:cs="仿宋_GB2312"/>
          <w:b/>
          <w:bCs/>
          <w:color w:val="auto"/>
          <w:sz w:val="21"/>
          <w:szCs w:val="21"/>
          <w:highlight w:val="none"/>
          <w:lang w:val="en-US" w:eastAsia="zh-CN"/>
        </w:rPr>
        <w:t>无效</w:t>
      </w:r>
      <w:r>
        <w:rPr>
          <w:rFonts w:hint="eastAsia" w:cs="仿宋_GB2312"/>
          <w:color w:val="auto"/>
          <w:sz w:val="21"/>
          <w:szCs w:val="21"/>
          <w:highlight w:val="none"/>
          <w:lang w:val="en-US" w:eastAsia="zh-CN"/>
        </w:rPr>
        <w:t xml:space="preserve">。 </w:t>
      </w:r>
    </w:p>
    <w:p w14:paraId="0F350247">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3.“响应情况”栏应据实填写“响应”、“正偏离”或“负偏离”。 </w:t>
      </w:r>
    </w:p>
    <w:p w14:paraId="5B002B53">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4.“说明及索引”栏可填写偏离情况的具体说明及索引。</w:t>
      </w:r>
    </w:p>
    <w:p w14:paraId="59273B30">
      <w:pPr>
        <w:ind w:firstLine="420" w:firstLineChars="200"/>
        <w:rPr>
          <w:rFonts w:hint="eastAsia" w:cs="仿宋_GB2312"/>
          <w:color w:val="auto"/>
          <w:sz w:val="21"/>
          <w:szCs w:val="21"/>
          <w:highlight w:val="none"/>
          <w:lang w:val="en-US" w:eastAsia="zh-CN"/>
        </w:rPr>
      </w:pPr>
      <w:r>
        <w:rPr>
          <w:rFonts w:hint="eastAsia" w:cs="仿宋_GB2312"/>
          <w:color w:val="auto"/>
          <w:sz w:val="21"/>
          <w:szCs w:val="21"/>
          <w:highlight w:val="none"/>
          <w:lang w:val="en-US" w:eastAsia="zh-CN"/>
        </w:rPr>
        <w:t>5.对招标文件中的所有商务要求，除本表所列明的所有偏离外，均视作供应商</w:t>
      </w:r>
      <w:r>
        <w:rPr>
          <w:rFonts w:hint="default" w:cs="仿宋_GB2312"/>
          <w:color w:val="auto"/>
          <w:sz w:val="21"/>
          <w:szCs w:val="21"/>
          <w:highlight w:val="none"/>
          <w:lang w:val="en-US" w:eastAsia="zh-CN"/>
        </w:rPr>
        <w:t>已对之理解和响应。此表中若无任何文字说明，内容为空白的，</w:t>
      </w:r>
      <w:r>
        <w:rPr>
          <w:rFonts w:hint="default" w:cs="仿宋_GB2312"/>
          <w:b/>
          <w:bCs/>
          <w:color w:val="auto"/>
          <w:sz w:val="21"/>
          <w:szCs w:val="21"/>
          <w:highlight w:val="none"/>
          <w:lang w:val="en-US" w:eastAsia="zh-CN"/>
        </w:rPr>
        <w:t>投标无效</w:t>
      </w:r>
      <w:r>
        <w:rPr>
          <w:rFonts w:hint="default" w:cs="仿宋_GB2312"/>
          <w:color w:val="auto"/>
          <w:sz w:val="21"/>
          <w:szCs w:val="21"/>
          <w:highlight w:val="none"/>
          <w:lang w:val="en-US" w:eastAsia="zh-CN"/>
        </w:rPr>
        <w:t>。</w:t>
      </w:r>
    </w:p>
    <w:p w14:paraId="598C43A6">
      <w:pPr>
        <w:ind w:firstLine="420"/>
        <w:rPr>
          <w:rFonts w:cs="仿宋_GB2312"/>
          <w:color w:val="auto"/>
          <w:szCs w:val="24"/>
          <w:highlight w:val="none"/>
        </w:rPr>
      </w:pPr>
      <w:r>
        <w:rPr>
          <w:rFonts w:cs="仿宋_GB2312"/>
          <w:color w:val="auto"/>
          <w:szCs w:val="24"/>
          <w:highlight w:val="none"/>
        </w:rPr>
        <w:br w:type="page"/>
      </w:r>
    </w:p>
    <w:p w14:paraId="3BEF2EC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eastAsia="宋体" w:asciiTheme="majorHAnsi" w:hAnsiTheme="majorHAnsi" w:cstheme="majorBidi"/>
          <w:b/>
          <w:bCs/>
          <w:color w:val="auto"/>
          <w:kern w:val="2"/>
          <w:sz w:val="28"/>
          <w:szCs w:val="28"/>
          <w:highlight w:val="none"/>
          <w:lang w:val="en-US" w:eastAsia="zh-CN" w:bidi="ar-SA"/>
        </w:rPr>
      </w:pPr>
      <w:bookmarkStart w:id="384" w:name="_Toc163492930"/>
    </w:p>
    <w:p w14:paraId="287724FC">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385" w:name="_Toc29880"/>
      <w:r>
        <w:rPr>
          <w:rFonts w:hint="eastAsia" w:cstheme="majorBidi"/>
          <w:b/>
          <w:bCs/>
          <w:color w:val="auto"/>
          <w:kern w:val="2"/>
          <w:sz w:val="32"/>
          <w:szCs w:val="32"/>
          <w:highlight w:val="none"/>
          <w:lang w:val="en-US" w:eastAsia="zh-CN" w:bidi="ar-SA"/>
        </w:rPr>
        <w:t>七</w:t>
      </w:r>
      <w:r>
        <w:rPr>
          <w:rFonts w:hint="eastAsia" w:eastAsia="宋体" w:asciiTheme="majorHAnsi" w:hAnsiTheme="majorHAnsi" w:cstheme="majorBidi"/>
          <w:b/>
          <w:bCs/>
          <w:color w:val="auto"/>
          <w:kern w:val="2"/>
          <w:sz w:val="32"/>
          <w:szCs w:val="32"/>
          <w:highlight w:val="none"/>
          <w:lang w:val="en-US" w:eastAsia="zh-CN" w:bidi="ar-SA"/>
        </w:rPr>
        <w:t>、业绩证明文件</w:t>
      </w:r>
      <w:bookmarkEnd w:id="384"/>
      <w:bookmarkEnd w:id="385"/>
    </w:p>
    <w:p w14:paraId="4541380C">
      <w:pPr>
        <w:rPr>
          <w:rFonts w:cs="仿宋_GB2312"/>
          <w:color w:val="auto"/>
          <w:szCs w:val="24"/>
          <w:highlight w:val="none"/>
        </w:rPr>
      </w:pPr>
      <w:r>
        <w:rPr>
          <w:rFonts w:cs="Arial"/>
          <w:bCs/>
          <w:color w:val="auto"/>
          <w:szCs w:val="21"/>
          <w:highlight w:val="none"/>
        </w:rPr>
        <w:fldChar w:fldCharType="begin"/>
      </w:r>
      <w:r>
        <w:rPr>
          <w:rFonts w:cs="Arial"/>
          <w:bCs/>
          <w:color w:val="auto"/>
          <w:szCs w:val="21"/>
          <w:highlight w:val="none"/>
        </w:rPr>
        <w:instrText xml:space="preserve"> LINK Word.Document.8 "D:\\音乐厅\\4通用设备\\招标文件\\音乐厅空调设备招标文件v1.0.doc" "OLE_LINK8" \r  \* MERGEFORMAT </w:instrText>
      </w:r>
      <w:r>
        <w:rPr>
          <w:rFonts w:cs="Arial"/>
          <w:bCs/>
          <w:color w:val="auto"/>
          <w:szCs w:val="21"/>
          <w:highlight w:val="none"/>
        </w:rPr>
        <w:fldChar w:fldCharType="separate"/>
      </w:r>
      <w:r>
        <w:rPr>
          <w:rFonts w:hint="eastAsia" w:cs="仿宋_GB2312"/>
          <w:color w:val="auto"/>
          <w:szCs w:val="24"/>
          <w:highlight w:val="none"/>
        </w:rPr>
        <w:t xml:space="preserve">项目名称：                                         </w:t>
      </w:r>
    </w:p>
    <w:p w14:paraId="159B24BA">
      <w:pPr>
        <w:rPr>
          <w:rFonts w:cs="Arial"/>
          <w:bCs/>
          <w:color w:val="auto"/>
          <w:szCs w:val="21"/>
          <w:highlight w:val="none"/>
        </w:rPr>
      </w:pPr>
      <w:r>
        <w:rPr>
          <w:rFonts w:hint="eastAsia" w:cs="仿宋_GB2312"/>
          <w:color w:val="auto"/>
          <w:szCs w:val="24"/>
          <w:highlight w:val="none"/>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cs="仿宋_GB2312"/>
          <w:color w:val="auto"/>
          <w:szCs w:val="24"/>
          <w:highlight w:val="none"/>
        </w:rPr>
        <w:t xml:space="preserve">：      </w:t>
      </w:r>
      <w:r>
        <w:rPr>
          <w:rFonts w:cs="Arial"/>
          <w:bCs/>
          <w:color w:val="auto"/>
          <w:szCs w:val="21"/>
          <w:highlight w:val="none"/>
        </w:rPr>
        <w:fldChar w:fldCharType="end"/>
      </w:r>
    </w:p>
    <w:tbl>
      <w:tblPr>
        <w:tblStyle w:val="30"/>
        <w:tblW w:w="9072" w:type="dxa"/>
        <w:tblInd w:w="-2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560"/>
        <w:gridCol w:w="1248"/>
        <w:gridCol w:w="1560"/>
        <w:gridCol w:w="1344"/>
        <w:gridCol w:w="1525"/>
        <w:gridCol w:w="1091"/>
      </w:tblGrid>
      <w:tr w14:paraId="387D3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4E9572F9">
            <w:pPr>
              <w:jc w:val="center"/>
              <w:rPr>
                <w:rFonts w:hint="eastAsia" w:ascii="宋体" w:hAnsi="宋体" w:eastAsia="宋体" w:cs="宋体"/>
                <w:color w:val="auto"/>
                <w:sz w:val="21"/>
                <w:szCs w:val="21"/>
                <w:highlight w:val="none"/>
              </w:rPr>
            </w:pPr>
            <w:bookmarkStart w:id="386" w:name="_Hlk46779239"/>
            <w:r>
              <w:rPr>
                <w:rFonts w:hint="eastAsia" w:ascii="宋体" w:hAnsi="宋体" w:eastAsia="宋体" w:cs="宋体"/>
                <w:color w:val="auto"/>
                <w:sz w:val="21"/>
                <w:szCs w:val="21"/>
                <w:highlight w:val="none"/>
              </w:rPr>
              <w:t>序号</w:t>
            </w:r>
          </w:p>
        </w:tc>
        <w:tc>
          <w:tcPr>
            <w:tcW w:w="1560" w:type="dxa"/>
            <w:shd w:val="clear" w:color="auto" w:fill="auto"/>
            <w:vAlign w:val="center"/>
          </w:tcPr>
          <w:p w14:paraId="51F55A40">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项目名称</w:t>
            </w:r>
          </w:p>
        </w:tc>
        <w:tc>
          <w:tcPr>
            <w:tcW w:w="1248" w:type="dxa"/>
            <w:shd w:val="clear" w:color="auto" w:fill="auto"/>
            <w:vAlign w:val="center"/>
          </w:tcPr>
          <w:p w14:paraId="4D5C38D5">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标的</w:t>
            </w:r>
            <w:r>
              <w:rPr>
                <w:rFonts w:hint="eastAsia" w:ascii="宋体" w:hAnsi="宋体" w:eastAsia="宋体" w:cs="宋体"/>
                <w:color w:val="auto"/>
                <w:sz w:val="21"/>
                <w:szCs w:val="21"/>
                <w:highlight w:val="none"/>
              </w:rPr>
              <w:t>内容</w:t>
            </w:r>
          </w:p>
        </w:tc>
        <w:tc>
          <w:tcPr>
            <w:tcW w:w="1560" w:type="dxa"/>
            <w:shd w:val="clear" w:color="auto" w:fill="auto"/>
            <w:vAlign w:val="center"/>
          </w:tcPr>
          <w:p w14:paraId="69717F2A">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名称</w:t>
            </w:r>
          </w:p>
        </w:tc>
        <w:tc>
          <w:tcPr>
            <w:tcW w:w="1344" w:type="dxa"/>
            <w:shd w:val="clear" w:color="auto" w:fill="auto"/>
            <w:vAlign w:val="center"/>
          </w:tcPr>
          <w:p w14:paraId="57C35070">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中标（成交）金额</w:t>
            </w:r>
          </w:p>
        </w:tc>
        <w:tc>
          <w:tcPr>
            <w:tcW w:w="1525" w:type="dxa"/>
            <w:shd w:val="clear" w:color="auto" w:fill="auto"/>
            <w:vAlign w:val="center"/>
          </w:tcPr>
          <w:p w14:paraId="01352CB9">
            <w:pPr>
              <w:spacing w:line="240" w:lineRule="auto"/>
              <w:jc w:val="center"/>
              <w:rPr>
                <w:rFonts w:hint="default"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采购合同签订时间</w:t>
            </w:r>
          </w:p>
        </w:tc>
        <w:tc>
          <w:tcPr>
            <w:tcW w:w="1091" w:type="dxa"/>
            <w:vAlign w:val="center"/>
          </w:tcPr>
          <w:p w14:paraId="2DA424BF">
            <w:pPr>
              <w:jc w:val="center"/>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备注</w:t>
            </w:r>
          </w:p>
        </w:tc>
      </w:tr>
      <w:tr w14:paraId="2595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27508E81">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560" w:type="dxa"/>
            <w:vAlign w:val="center"/>
          </w:tcPr>
          <w:p w14:paraId="27562AF7">
            <w:pPr>
              <w:rPr>
                <w:rFonts w:hint="eastAsia" w:ascii="宋体" w:hAnsi="宋体" w:eastAsia="宋体" w:cs="宋体"/>
                <w:color w:val="auto"/>
                <w:sz w:val="21"/>
                <w:szCs w:val="21"/>
                <w:highlight w:val="none"/>
              </w:rPr>
            </w:pPr>
          </w:p>
        </w:tc>
        <w:tc>
          <w:tcPr>
            <w:tcW w:w="1248" w:type="dxa"/>
            <w:vAlign w:val="center"/>
          </w:tcPr>
          <w:p w14:paraId="02799269">
            <w:pPr>
              <w:rPr>
                <w:rFonts w:hint="eastAsia" w:ascii="宋体" w:hAnsi="宋体" w:eastAsia="宋体" w:cs="宋体"/>
                <w:color w:val="auto"/>
                <w:sz w:val="21"/>
                <w:szCs w:val="21"/>
                <w:highlight w:val="none"/>
              </w:rPr>
            </w:pPr>
          </w:p>
        </w:tc>
        <w:tc>
          <w:tcPr>
            <w:tcW w:w="1560" w:type="dxa"/>
            <w:vAlign w:val="center"/>
          </w:tcPr>
          <w:p w14:paraId="6449ADDF">
            <w:pPr>
              <w:rPr>
                <w:rFonts w:hint="eastAsia" w:ascii="宋体" w:hAnsi="宋体" w:eastAsia="宋体" w:cs="宋体"/>
                <w:color w:val="auto"/>
                <w:sz w:val="21"/>
                <w:szCs w:val="21"/>
                <w:highlight w:val="none"/>
              </w:rPr>
            </w:pPr>
          </w:p>
        </w:tc>
        <w:tc>
          <w:tcPr>
            <w:tcW w:w="1344" w:type="dxa"/>
            <w:vAlign w:val="center"/>
          </w:tcPr>
          <w:p w14:paraId="183C0714">
            <w:pPr>
              <w:rPr>
                <w:rFonts w:hint="eastAsia" w:ascii="宋体" w:hAnsi="宋体" w:eastAsia="宋体" w:cs="宋体"/>
                <w:color w:val="auto"/>
                <w:sz w:val="21"/>
                <w:szCs w:val="21"/>
                <w:highlight w:val="none"/>
              </w:rPr>
            </w:pPr>
          </w:p>
        </w:tc>
        <w:tc>
          <w:tcPr>
            <w:tcW w:w="1525" w:type="dxa"/>
            <w:vAlign w:val="center"/>
          </w:tcPr>
          <w:p w14:paraId="4A8D26BB">
            <w:pPr>
              <w:rPr>
                <w:rFonts w:hint="eastAsia" w:ascii="宋体" w:hAnsi="宋体" w:eastAsia="宋体" w:cs="宋体"/>
                <w:color w:val="auto"/>
                <w:sz w:val="21"/>
                <w:szCs w:val="21"/>
                <w:highlight w:val="none"/>
              </w:rPr>
            </w:pPr>
          </w:p>
        </w:tc>
        <w:tc>
          <w:tcPr>
            <w:tcW w:w="1091" w:type="dxa"/>
            <w:vAlign w:val="center"/>
          </w:tcPr>
          <w:p w14:paraId="09D0936A">
            <w:pPr>
              <w:rPr>
                <w:rFonts w:hint="eastAsia" w:ascii="宋体" w:hAnsi="宋体" w:eastAsia="宋体" w:cs="宋体"/>
                <w:color w:val="auto"/>
                <w:sz w:val="21"/>
                <w:szCs w:val="21"/>
                <w:highlight w:val="none"/>
              </w:rPr>
            </w:pPr>
          </w:p>
        </w:tc>
      </w:tr>
      <w:tr w14:paraId="79366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4A21BB39">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560" w:type="dxa"/>
            <w:vAlign w:val="center"/>
          </w:tcPr>
          <w:p w14:paraId="7CA4B3F3">
            <w:pPr>
              <w:rPr>
                <w:rFonts w:hint="eastAsia" w:ascii="宋体" w:hAnsi="宋体" w:eastAsia="宋体" w:cs="宋体"/>
                <w:color w:val="auto"/>
                <w:sz w:val="21"/>
                <w:szCs w:val="21"/>
                <w:highlight w:val="none"/>
              </w:rPr>
            </w:pPr>
          </w:p>
        </w:tc>
        <w:tc>
          <w:tcPr>
            <w:tcW w:w="1248" w:type="dxa"/>
            <w:vAlign w:val="center"/>
          </w:tcPr>
          <w:p w14:paraId="59CCECB1">
            <w:pPr>
              <w:rPr>
                <w:rFonts w:hint="eastAsia" w:ascii="宋体" w:hAnsi="宋体" w:eastAsia="宋体" w:cs="宋体"/>
                <w:color w:val="auto"/>
                <w:sz w:val="21"/>
                <w:szCs w:val="21"/>
                <w:highlight w:val="none"/>
              </w:rPr>
            </w:pPr>
          </w:p>
        </w:tc>
        <w:tc>
          <w:tcPr>
            <w:tcW w:w="1560" w:type="dxa"/>
            <w:vAlign w:val="center"/>
          </w:tcPr>
          <w:p w14:paraId="4E8043C4">
            <w:pPr>
              <w:rPr>
                <w:rFonts w:hint="eastAsia" w:ascii="宋体" w:hAnsi="宋体" w:eastAsia="宋体" w:cs="宋体"/>
                <w:color w:val="auto"/>
                <w:sz w:val="21"/>
                <w:szCs w:val="21"/>
                <w:highlight w:val="none"/>
              </w:rPr>
            </w:pPr>
          </w:p>
        </w:tc>
        <w:tc>
          <w:tcPr>
            <w:tcW w:w="1344" w:type="dxa"/>
            <w:vAlign w:val="center"/>
          </w:tcPr>
          <w:p w14:paraId="2E195778">
            <w:pPr>
              <w:rPr>
                <w:rFonts w:hint="eastAsia" w:ascii="宋体" w:hAnsi="宋体" w:eastAsia="宋体" w:cs="宋体"/>
                <w:color w:val="auto"/>
                <w:sz w:val="21"/>
                <w:szCs w:val="21"/>
                <w:highlight w:val="none"/>
              </w:rPr>
            </w:pPr>
          </w:p>
        </w:tc>
        <w:tc>
          <w:tcPr>
            <w:tcW w:w="1525" w:type="dxa"/>
            <w:vAlign w:val="center"/>
          </w:tcPr>
          <w:p w14:paraId="3DDF15B1">
            <w:pPr>
              <w:rPr>
                <w:rFonts w:hint="eastAsia" w:ascii="宋体" w:hAnsi="宋体" w:eastAsia="宋体" w:cs="宋体"/>
                <w:color w:val="auto"/>
                <w:sz w:val="21"/>
                <w:szCs w:val="21"/>
                <w:highlight w:val="none"/>
              </w:rPr>
            </w:pPr>
          </w:p>
        </w:tc>
        <w:tc>
          <w:tcPr>
            <w:tcW w:w="1091" w:type="dxa"/>
            <w:vAlign w:val="center"/>
          </w:tcPr>
          <w:p w14:paraId="185645D3">
            <w:pPr>
              <w:rPr>
                <w:rFonts w:hint="eastAsia" w:ascii="宋体" w:hAnsi="宋体" w:eastAsia="宋体" w:cs="宋体"/>
                <w:color w:val="auto"/>
                <w:sz w:val="21"/>
                <w:szCs w:val="21"/>
                <w:highlight w:val="none"/>
              </w:rPr>
            </w:pPr>
          </w:p>
        </w:tc>
      </w:tr>
      <w:tr w14:paraId="624A4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4428D324">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560" w:type="dxa"/>
            <w:vAlign w:val="center"/>
          </w:tcPr>
          <w:p w14:paraId="46AEF6AC">
            <w:pPr>
              <w:rPr>
                <w:rFonts w:hint="eastAsia" w:ascii="宋体" w:hAnsi="宋体" w:eastAsia="宋体" w:cs="宋体"/>
                <w:color w:val="auto"/>
                <w:sz w:val="21"/>
                <w:szCs w:val="21"/>
                <w:highlight w:val="none"/>
              </w:rPr>
            </w:pPr>
          </w:p>
        </w:tc>
        <w:tc>
          <w:tcPr>
            <w:tcW w:w="1248" w:type="dxa"/>
            <w:vAlign w:val="center"/>
          </w:tcPr>
          <w:p w14:paraId="601B0208">
            <w:pPr>
              <w:rPr>
                <w:rFonts w:hint="eastAsia" w:ascii="宋体" w:hAnsi="宋体" w:eastAsia="宋体" w:cs="宋体"/>
                <w:color w:val="auto"/>
                <w:sz w:val="21"/>
                <w:szCs w:val="21"/>
                <w:highlight w:val="none"/>
              </w:rPr>
            </w:pPr>
          </w:p>
        </w:tc>
        <w:tc>
          <w:tcPr>
            <w:tcW w:w="1560" w:type="dxa"/>
            <w:vAlign w:val="center"/>
          </w:tcPr>
          <w:p w14:paraId="56885EE6">
            <w:pPr>
              <w:rPr>
                <w:rFonts w:hint="eastAsia" w:ascii="宋体" w:hAnsi="宋体" w:eastAsia="宋体" w:cs="宋体"/>
                <w:color w:val="auto"/>
                <w:sz w:val="21"/>
                <w:szCs w:val="21"/>
                <w:highlight w:val="none"/>
              </w:rPr>
            </w:pPr>
          </w:p>
        </w:tc>
        <w:tc>
          <w:tcPr>
            <w:tcW w:w="1344" w:type="dxa"/>
            <w:vAlign w:val="center"/>
          </w:tcPr>
          <w:p w14:paraId="00552B19">
            <w:pPr>
              <w:rPr>
                <w:rFonts w:hint="eastAsia" w:ascii="宋体" w:hAnsi="宋体" w:eastAsia="宋体" w:cs="宋体"/>
                <w:color w:val="auto"/>
                <w:sz w:val="21"/>
                <w:szCs w:val="21"/>
                <w:highlight w:val="none"/>
              </w:rPr>
            </w:pPr>
          </w:p>
        </w:tc>
        <w:tc>
          <w:tcPr>
            <w:tcW w:w="1525" w:type="dxa"/>
            <w:vAlign w:val="center"/>
          </w:tcPr>
          <w:p w14:paraId="38FE3D5D">
            <w:pPr>
              <w:rPr>
                <w:rFonts w:hint="eastAsia" w:ascii="宋体" w:hAnsi="宋体" w:eastAsia="宋体" w:cs="宋体"/>
                <w:color w:val="auto"/>
                <w:sz w:val="21"/>
                <w:szCs w:val="21"/>
                <w:highlight w:val="none"/>
              </w:rPr>
            </w:pPr>
          </w:p>
        </w:tc>
        <w:tc>
          <w:tcPr>
            <w:tcW w:w="1091" w:type="dxa"/>
            <w:vAlign w:val="center"/>
          </w:tcPr>
          <w:p w14:paraId="20173386">
            <w:pPr>
              <w:rPr>
                <w:rFonts w:hint="eastAsia" w:ascii="宋体" w:hAnsi="宋体" w:eastAsia="宋体" w:cs="宋体"/>
                <w:color w:val="auto"/>
                <w:sz w:val="21"/>
                <w:szCs w:val="21"/>
                <w:highlight w:val="none"/>
              </w:rPr>
            </w:pPr>
          </w:p>
        </w:tc>
      </w:tr>
      <w:tr w14:paraId="45C01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7D259137">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560" w:type="dxa"/>
            <w:vAlign w:val="center"/>
          </w:tcPr>
          <w:p w14:paraId="12629B54">
            <w:pPr>
              <w:rPr>
                <w:rFonts w:hint="eastAsia" w:ascii="宋体" w:hAnsi="宋体" w:eastAsia="宋体" w:cs="宋体"/>
                <w:color w:val="auto"/>
                <w:sz w:val="21"/>
                <w:szCs w:val="21"/>
                <w:highlight w:val="none"/>
              </w:rPr>
            </w:pPr>
          </w:p>
        </w:tc>
        <w:tc>
          <w:tcPr>
            <w:tcW w:w="1248" w:type="dxa"/>
            <w:vAlign w:val="center"/>
          </w:tcPr>
          <w:p w14:paraId="278EE304">
            <w:pPr>
              <w:rPr>
                <w:rFonts w:hint="eastAsia" w:ascii="宋体" w:hAnsi="宋体" w:eastAsia="宋体" w:cs="宋体"/>
                <w:color w:val="auto"/>
                <w:sz w:val="21"/>
                <w:szCs w:val="21"/>
                <w:highlight w:val="none"/>
              </w:rPr>
            </w:pPr>
          </w:p>
        </w:tc>
        <w:tc>
          <w:tcPr>
            <w:tcW w:w="1560" w:type="dxa"/>
            <w:vAlign w:val="center"/>
          </w:tcPr>
          <w:p w14:paraId="502FE2B6">
            <w:pPr>
              <w:rPr>
                <w:rFonts w:hint="eastAsia" w:ascii="宋体" w:hAnsi="宋体" w:eastAsia="宋体" w:cs="宋体"/>
                <w:color w:val="auto"/>
                <w:sz w:val="21"/>
                <w:szCs w:val="21"/>
                <w:highlight w:val="none"/>
              </w:rPr>
            </w:pPr>
          </w:p>
        </w:tc>
        <w:tc>
          <w:tcPr>
            <w:tcW w:w="1344" w:type="dxa"/>
            <w:vAlign w:val="center"/>
          </w:tcPr>
          <w:p w14:paraId="44F7BE63">
            <w:pPr>
              <w:rPr>
                <w:rFonts w:hint="eastAsia" w:ascii="宋体" w:hAnsi="宋体" w:eastAsia="宋体" w:cs="宋体"/>
                <w:color w:val="auto"/>
                <w:sz w:val="21"/>
                <w:szCs w:val="21"/>
                <w:highlight w:val="none"/>
              </w:rPr>
            </w:pPr>
          </w:p>
        </w:tc>
        <w:tc>
          <w:tcPr>
            <w:tcW w:w="1525" w:type="dxa"/>
            <w:vAlign w:val="center"/>
          </w:tcPr>
          <w:p w14:paraId="5208210B">
            <w:pPr>
              <w:rPr>
                <w:rFonts w:hint="eastAsia" w:ascii="宋体" w:hAnsi="宋体" w:eastAsia="宋体" w:cs="宋体"/>
                <w:color w:val="auto"/>
                <w:sz w:val="21"/>
                <w:szCs w:val="21"/>
                <w:highlight w:val="none"/>
              </w:rPr>
            </w:pPr>
          </w:p>
        </w:tc>
        <w:tc>
          <w:tcPr>
            <w:tcW w:w="1091" w:type="dxa"/>
            <w:vAlign w:val="center"/>
          </w:tcPr>
          <w:p w14:paraId="7EC41624">
            <w:pPr>
              <w:rPr>
                <w:rFonts w:hint="eastAsia" w:ascii="宋体" w:hAnsi="宋体" w:eastAsia="宋体" w:cs="宋体"/>
                <w:color w:val="auto"/>
                <w:sz w:val="21"/>
                <w:szCs w:val="21"/>
                <w:highlight w:val="none"/>
              </w:rPr>
            </w:pPr>
          </w:p>
        </w:tc>
      </w:tr>
      <w:tr w14:paraId="6F118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1FCCAE38">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560" w:type="dxa"/>
            <w:vAlign w:val="center"/>
          </w:tcPr>
          <w:p w14:paraId="1728B663">
            <w:pPr>
              <w:rPr>
                <w:rFonts w:hint="eastAsia" w:ascii="宋体" w:hAnsi="宋体" w:eastAsia="宋体" w:cs="宋体"/>
                <w:color w:val="auto"/>
                <w:sz w:val="21"/>
                <w:szCs w:val="21"/>
                <w:highlight w:val="none"/>
              </w:rPr>
            </w:pPr>
          </w:p>
        </w:tc>
        <w:tc>
          <w:tcPr>
            <w:tcW w:w="1248" w:type="dxa"/>
            <w:vAlign w:val="center"/>
          </w:tcPr>
          <w:p w14:paraId="5B701B38">
            <w:pPr>
              <w:rPr>
                <w:rFonts w:hint="eastAsia" w:ascii="宋体" w:hAnsi="宋体" w:eastAsia="宋体" w:cs="宋体"/>
                <w:color w:val="auto"/>
                <w:sz w:val="21"/>
                <w:szCs w:val="21"/>
                <w:highlight w:val="none"/>
              </w:rPr>
            </w:pPr>
          </w:p>
        </w:tc>
        <w:tc>
          <w:tcPr>
            <w:tcW w:w="1560" w:type="dxa"/>
            <w:vAlign w:val="center"/>
          </w:tcPr>
          <w:p w14:paraId="0BFD5658">
            <w:pPr>
              <w:rPr>
                <w:rFonts w:hint="eastAsia" w:ascii="宋体" w:hAnsi="宋体" w:eastAsia="宋体" w:cs="宋体"/>
                <w:color w:val="auto"/>
                <w:sz w:val="21"/>
                <w:szCs w:val="21"/>
                <w:highlight w:val="none"/>
              </w:rPr>
            </w:pPr>
          </w:p>
        </w:tc>
        <w:tc>
          <w:tcPr>
            <w:tcW w:w="1344" w:type="dxa"/>
            <w:vAlign w:val="center"/>
          </w:tcPr>
          <w:p w14:paraId="56955758">
            <w:pPr>
              <w:rPr>
                <w:rFonts w:hint="eastAsia" w:ascii="宋体" w:hAnsi="宋体" w:eastAsia="宋体" w:cs="宋体"/>
                <w:color w:val="auto"/>
                <w:sz w:val="21"/>
                <w:szCs w:val="21"/>
                <w:highlight w:val="none"/>
              </w:rPr>
            </w:pPr>
          </w:p>
        </w:tc>
        <w:tc>
          <w:tcPr>
            <w:tcW w:w="1525" w:type="dxa"/>
            <w:vAlign w:val="center"/>
          </w:tcPr>
          <w:p w14:paraId="0E461DD3">
            <w:pPr>
              <w:rPr>
                <w:rFonts w:hint="eastAsia" w:ascii="宋体" w:hAnsi="宋体" w:eastAsia="宋体" w:cs="宋体"/>
                <w:color w:val="auto"/>
                <w:sz w:val="21"/>
                <w:szCs w:val="21"/>
                <w:highlight w:val="none"/>
              </w:rPr>
            </w:pPr>
          </w:p>
        </w:tc>
        <w:tc>
          <w:tcPr>
            <w:tcW w:w="1091" w:type="dxa"/>
            <w:vAlign w:val="center"/>
          </w:tcPr>
          <w:p w14:paraId="5804A0BF">
            <w:pPr>
              <w:rPr>
                <w:rFonts w:hint="eastAsia" w:ascii="宋体" w:hAnsi="宋体" w:eastAsia="宋体" w:cs="宋体"/>
                <w:color w:val="auto"/>
                <w:sz w:val="21"/>
                <w:szCs w:val="21"/>
                <w:highlight w:val="none"/>
              </w:rPr>
            </w:pPr>
          </w:p>
        </w:tc>
      </w:tr>
      <w:tr w14:paraId="3BC2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744" w:type="dxa"/>
            <w:vAlign w:val="center"/>
          </w:tcPr>
          <w:p w14:paraId="433A34E7">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560" w:type="dxa"/>
            <w:vAlign w:val="center"/>
          </w:tcPr>
          <w:p w14:paraId="5D94CAA1">
            <w:pPr>
              <w:rPr>
                <w:rFonts w:hint="eastAsia" w:ascii="宋体" w:hAnsi="宋体" w:eastAsia="宋体" w:cs="宋体"/>
                <w:color w:val="auto"/>
                <w:sz w:val="21"/>
                <w:szCs w:val="21"/>
                <w:highlight w:val="none"/>
              </w:rPr>
            </w:pPr>
          </w:p>
        </w:tc>
        <w:tc>
          <w:tcPr>
            <w:tcW w:w="1248" w:type="dxa"/>
            <w:vAlign w:val="center"/>
          </w:tcPr>
          <w:p w14:paraId="48AC7386">
            <w:pPr>
              <w:rPr>
                <w:rFonts w:hint="eastAsia" w:ascii="宋体" w:hAnsi="宋体" w:eastAsia="宋体" w:cs="宋体"/>
                <w:color w:val="auto"/>
                <w:sz w:val="21"/>
                <w:szCs w:val="21"/>
                <w:highlight w:val="none"/>
              </w:rPr>
            </w:pPr>
          </w:p>
        </w:tc>
        <w:tc>
          <w:tcPr>
            <w:tcW w:w="1560" w:type="dxa"/>
            <w:vAlign w:val="center"/>
          </w:tcPr>
          <w:p w14:paraId="20172F35">
            <w:pPr>
              <w:rPr>
                <w:rFonts w:hint="eastAsia" w:ascii="宋体" w:hAnsi="宋体" w:eastAsia="宋体" w:cs="宋体"/>
                <w:color w:val="auto"/>
                <w:sz w:val="21"/>
                <w:szCs w:val="21"/>
                <w:highlight w:val="none"/>
              </w:rPr>
            </w:pPr>
          </w:p>
        </w:tc>
        <w:tc>
          <w:tcPr>
            <w:tcW w:w="1344" w:type="dxa"/>
            <w:vAlign w:val="center"/>
          </w:tcPr>
          <w:p w14:paraId="75CF74D1">
            <w:pPr>
              <w:rPr>
                <w:rFonts w:hint="eastAsia" w:ascii="宋体" w:hAnsi="宋体" w:eastAsia="宋体" w:cs="宋体"/>
                <w:color w:val="auto"/>
                <w:sz w:val="21"/>
                <w:szCs w:val="21"/>
                <w:highlight w:val="none"/>
              </w:rPr>
            </w:pPr>
          </w:p>
        </w:tc>
        <w:tc>
          <w:tcPr>
            <w:tcW w:w="1525" w:type="dxa"/>
            <w:vAlign w:val="center"/>
          </w:tcPr>
          <w:p w14:paraId="4A3F6BEC">
            <w:pPr>
              <w:rPr>
                <w:rFonts w:hint="eastAsia" w:ascii="宋体" w:hAnsi="宋体" w:eastAsia="宋体" w:cs="宋体"/>
                <w:color w:val="auto"/>
                <w:sz w:val="21"/>
                <w:szCs w:val="21"/>
                <w:highlight w:val="none"/>
              </w:rPr>
            </w:pPr>
          </w:p>
        </w:tc>
        <w:tc>
          <w:tcPr>
            <w:tcW w:w="1091" w:type="dxa"/>
            <w:vAlign w:val="center"/>
          </w:tcPr>
          <w:p w14:paraId="52BCFD5F">
            <w:pPr>
              <w:rPr>
                <w:rFonts w:hint="eastAsia" w:ascii="宋体" w:hAnsi="宋体" w:eastAsia="宋体" w:cs="宋体"/>
                <w:color w:val="auto"/>
                <w:sz w:val="21"/>
                <w:szCs w:val="21"/>
                <w:highlight w:val="none"/>
              </w:rPr>
            </w:pPr>
          </w:p>
        </w:tc>
      </w:tr>
      <w:bookmarkEnd w:id="386"/>
    </w:tbl>
    <w:p w14:paraId="05F32EC7">
      <w:pPr>
        <w:rPr>
          <w:rFonts w:hint="eastAsia" w:cs="仿宋_GB2312"/>
          <w:color w:val="auto"/>
          <w:szCs w:val="24"/>
          <w:highlight w:val="none"/>
        </w:rPr>
      </w:pPr>
    </w:p>
    <w:p w14:paraId="58FF379C">
      <w:pPr>
        <w:rPr>
          <w:rFonts w:cs="仿宋_GB2312"/>
          <w:color w:val="auto"/>
          <w:sz w:val="21"/>
          <w:szCs w:val="21"/>
          <w:highlight w:val="none"/>
        </w:rPr>
      </w:pPr>
      <w:r>
        <w:rPr>
          <w:rFonts w:hint="eastAsia" w:cs="仿宋_GB2312"/>
          <w:color w:val="auto"/>
          <w:sz w:val="21"/>
          <w:szCs w:val="21"/>
          <w:highlight w:val="none"/>
        </w:rPr>
        <w:t>注：投标人须按</w:t>
      </w:r>
      <w:r>
        <w:rPr>
          <w:rFonts w:hint="eastAsia" w:cs="仿宋_GB2312"/>
          <w:color w:val="auto"/>
          <w:sz w:val="21"/>
          <w:szCs w:val="21"/>
          <w:highlight w:val="none"/>
          <w:lang w:val="en-US" w:eastAsia="zh-CN"/>
        </w:rPr>
        <w:t>相关要求</w:t>
      </w:r>
      <w:r>
        <w:rPr>
          <w:rFonts w:hint="eastAsia" w:cs="仿宋_GB2312"/>
          <w:color w:val="auto"/>
          <w:sz w:val="21"/>
          <w:szCs w:val="21"/>
          <w:highlight w:val="none"/>
        </w:rPr>
        <w:t>提供相应的</w:t>
      </w:r>
      <w:r>
        <w:rPr>
          <w:rFonts w:hint="eastAsia" w:cs="仿宋_GB2312"/>
          <w:color w:val="auto"/>
          <w:sz w:val="21"/>
          <w:szCs w:val="21"/>
          <w:highlight w:val="none"/>
          <w:lang w:val="en-US" w:eastAsia="zh-CN"/>
        </w:rPr>
        <w:t>中标（成交）通知书、采购合同等</w:t>
      </w:r>
      <w:r>
        <w:rPr>
          <w:rFonts w:hint="eastAsia" w:cs="仿宋_GB2312"/>
          <w:color w:val="auto"/>
          <w:sz w:val="21"/>
          <w:szCs w:val="21"/>
          <w:highlight w:val="none"/>
        </w:rPr>
        <w:t>业绩证明资料。</w:t>
      </w:r>
    </w:p>
    <w:p w14:paraId="5DB99613">
      <w:pPr>
        <w:widowControl/>
        <w:spacing w:before="100" w:beforeAutospacing="1" w:after="100" w:afterAutospacing="1"/>
        <w:rPr>
          <w:rFonts w:cs="Arial"/>
          <w:color w:val="auto"/>
          <w:szCs w:val="21"/>
          <w:highlight w:val="none"/>
        </w:rPr>
      </w:pPr>
    </w:p>
    <w:p w14:paraId="68FCBA1E">
      <w:pPr>
        <w:ind w:firstLine="480" w:firstLineChars="20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仿宋_GB2312"/>
          <w:color w:val="auto"/>
          <w:szCs w:val="24"/>
          <w:highlight w:val="none"/>
        </w:rPr>
        <w:t>：</w:t>
      </w:r>
      <w:r>
        <w:rPr>
          <w:rFonts w:cs="仿宋_GB2312"/>
          <w:color w:val="auto"/>
          <w:szCs w:val="24"/>
          <w:highlight w:val="none"/>
        </w:rPr>
        <w:t xml:space="preserve"> </w:t>
      </w:r>
    </w:p>
    <w:p w14:paraId="360811C8">
      <w:pPr>
        <w:ind w:firstLine="420"/>
        <w:rPr>
          <w:rFonts w:cs="仿宋_GB2312"/>
          <w:color w:val="auto"/>
          <w:szCs w:val="24"/>
          <w:highlight w:val="none"/>
        </w:rPr>
      </w:pPr>
      <w:r>
        <w:rPr>
          <w:rFonts w:hint="eastAsia" w:cs="仿宋_GB2312"/>
          <w:color w:val="auto"/>
          <w:szCs w:val="24"/>
          <w:highlight w:val="none"/>
        </w:rPr>
        <w:t>日      期：</w:t>
      </w:r>
    </w:p>
    <w:p w14:paraId="095105C8">
      <w:pPr>
        <w:ind w:firstLine="420"/>
        <w:rPr>
          <w:rFonts w:cs="仿宋_GB2312"/>
          <w:color w:val="auto"/>
          <w:szCs w:val="24"/>
          <w:highlight w:val="none"/>
        </w:rPr>
      </w:pPr>
      <w:r>
        <w:rPr>
          <w:rFonts w:cs="仿宋_GB2312"/>
          <w:color w:val="auto"/>
          <w:szCs w:val="24"/>
          <w:highlight w:val="none"/>
        </w:rPr>
        <w:br w:type="page"/>
      </w:r>
    </w:p>
    <w:p w14:paraId="4E924C81">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387" w:name="_Toc26782"/>
      <w:bookmarkStart w:id="388" w:name="_Toc163492931"/>
      <w:r>
        <w:rPr>
          <w:rFonts w:hint="eastAsia" w:cstheme="majorBidi"/>
          <w:b/>
          <w:bCs/>
          <w:color w:val="auto"/>
          <w:kern w:val="2"/>
          <w:sz w:val="32"/>
          <w:szCs w:val="32"/>
          <w:highlight w:val="none"/>
          <w:lang w:val="en-US" w:eastAsia="zh-CN" w:bidi="ar-SA"/>
        </w:rPr>
        <w:t>八</w:t>
      </w:r>
      <w:r>
        <w:rPr>
          <w:rFonts w:hint="eastAsia" w:eastAsia="宋体" w:asciiTheme="majorHAnsi" w:hAnsiTheme="majorHAnsi" w:cstheme="majorBidi"/>
          <w:b/>
          <w:bCs/>
          <w:color w:val="auto"/>
          <w:kern w:val="2"/>
          <w:sz w:val="32"/>
          <w:szCs w:val="32"/>
          <w:highlight w:val="none"/>
          <w:lang w:val="en-US" w:eastAsia="zh-CN" w:bidi="ar-SA"/>
        </w:rPr>
        <w:t>、拟派项目团队</w:t>
      </w:r>
      <w:bookmarkEnd w:id="387"/>
      <w:bookmarkEnd w:id="388"/>
      <w:r>
        <w:rPr>
          <w:rFonts w:hint="eastAsia" w:cstheme="majorBidi"/>
          <w:b/>
          <w:bCs/>
          <w:color w:val="auto"/>
          <w:kern w:val="2"/>
          <w:sz w:val="32"/>
          <w:szCs w:val="32"/>
          <w:highlight w:val="none"/>
          <w:lang w:val="en-US" w:eastAsia="zh-CN" w:bidi="ar-SA"/>
        </w:rPr>
        <w:t>（本项目无需提供）</w:t>
      </w:r>
    </w:p>
    <w:tbl>
      <w:tblPr>
        <w:tblStyle w:val="30"/>
        <w:tblW w:w="9252" w:type="dxa"/>
        <w:tblInd w:w="-4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3"/>
        <w:gridCol w:w="1267"/>
        <w:gridCol w:w="1296"/>
        <w:gridCol w:w="1080"/>
        <w:gridCol w:w="804"/>
        <w:gridCol w:w="1860"/>
        <w:gridCol w:w="1356"/>
        <w:gridCol w:w="816"/>
      </w:tblGrid>
      <w:tr w14:paraId="377CE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4" w:hRule="atLeast"/>
        </w:trPr>
        <w:tc>
          <w:tcPr>
            <w:tcW w:w="773" w:type="dxa"/>
            <w:vAlign w:val="center"/>
          </w:tcPr>
          <w:p w14:paraId="6B0F7825">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67" w:type="dxa"/>
            <w:vAlign w:val="center"/>
          </w:tcPr>
          <w:p w14:paraId="1096055A">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团队成员</w:t>
            </w:r>
          </w:p>
          <w:p w14:paraId="09FA2F86">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1296" w:type="dxa"/>
            <w:tcBorders>
              <w:right w:val="single" w:color="auto" w:sz="4" w:space="0"/>
            </w:tcBorders>
            <w:vAlign w:val="center"/>
          </w:tcPr>
          <w:p w14:paraId="4D802FFD">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工作单位</w:t>
            </w:r>
          </w:p>
        </w:tc>
        <w:tc>
          <w:tcPr>
            <w:tcW w:w="1080" w:type="dxa"/>
            <w:tcBorders>
              <w:left w:val="single" w:color="auto" w:sz="4" w:space="0"/>
            </w:tcBorders>
            <w:vAlign w:val="center"/>
          </w:tcPr>
          <w:p w14:paraId="3116E3D2">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身份证号</w:t>
            </w:r>
          </w:p>
        </w:tc>
        <w:tc>
          <w:tcPr>
            <w:tcW w:w="804" w:type="dxa"/>
            <w:tcBorders>
              <w:left w:val="single" w:color="auto" w:sz="4" w:space="0"/>
            </w:tcBorders>
            <w:vAlign w:val="center"/>
          </w:tcPr>
          <w:p w14:paraId="1115941F">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职称</w:t>
            </w:r>
          </w:p>
        </w:tc>
        <w:tc>
          <w:tcPr>
            <w:tcW w:w="1860" w:type="dxa"/>
            <w:vAlign w:val="center"/>
          </w:tcPr>
          <w:p w14:paraId="57503923">
            <w:pPr>
              <w:pStyle w:val="5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注册证书（岗位证书）名称及编号</w:t>
            </w:r>
          </w:p>
        </w:tc>
        <w:tc>
          <w:tcPr>
            <w:tcW w:w="1356" w:type="dxa"/>
            <w:vAlign w:val="center"/>
          </w:tcPr>
          <w:p w14:paraId="422D7D9F">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在团队中职务（岗位）</w:t>
            </w:r>
          </w:p>
        </w:tc>
        <w:tc>
          <w:tcPr>
            <w:tcW w:w="816" w:type="dxa"/>
            <w:vAlign w:val="center"/>
          </w:tcPr>
          <w:p w14:paraId="79229F16">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自有/外聘</w:t>
            </w:r>
          </w:p>
        </w:tc>
      </w:tr>
      <w:tr w14:paraId="34A62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239BDB40">
            <w:pPr>
              <w:pStyle w:val="50"/>
              <w:jc w:val="center"/>
              <w:rPr>
                <w:rFonts w:hint="eastAsia" w:ascii="宋体" w:hAnsi="宋体" w:eastAsia="宋体" w:cs="宋体"/>
                <w:color w:val="auto"/>
                <w:sz w:val="21"/>
                <w:szCs w:val="21"/>
                <w:highlight w:val="none"/>
              </w:rPr>
            </w:pPr>
            <w:bookmarkStart w:id="389" w:name="_Toc99533292"/>
            <w:bookmarkStart w:id="390" w:name="_Toc100090784"/>
            <w:r>
              <w:rPr>
                <w:rFonts w:hint="eastAsia" w:ascii="宋体" w:hAnsi="宋体" w:eastAsia="宋体" w:cs="宋体"/>
                <w:color w:val="auto"/>
                <w:sz w:val="21"/>
                <w:szCs w:val="21"/>
                <w:highlight w:val="none"/>
              </w:rPr>
              <w:t>1</w:t>
            </w:r>
            <w:bookmarkEnd w:id="389"/>
            <w:bookmarkEnd w:id="390"/>
          </w:p>
        </w:tc>
        <w:tc>
          <w:tcPr>
            <w:tcW w:w="1267" w:type="dxa"/>
            <w:vAlign w:val="center"/>
          </w:tcPr>
          <w:p w14:paraId="04D72608">
            <w:pPr>
              <w:pStyle w:val="50"/>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7C735158">
            <w:pPr>
              <w:pStyle w:val="50"/>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0EF6F977">
            <w:pPr>
              <w:pStyle w:val="50"/>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3483447B">
            <w:pPr>
              <w:pStyle w:val="50"/>
              <w:jc w:val="center"/>
              <w:rPr>
                <w:rFonts w:hint="eastAsia" w:ascii="宋体" w:hAnsi="宋体" w:eastAsia="宋体" w:cs="宋体"/>
                <w:color w:val="auto"/>
                <w:sz w:val="21"/>
                <w:szCs w:val="21"/>
                <w:highlight w:val="none"/>
              </w:rPr>
            </w:pPr>
          </w:p>
        </w:tc>
        <w:tc>
          <w:tcPr>
            <w:tcW w:w="1860" w:type="dxa"/>
            <w:vAlign w:val="center"/>
          </w:tcPr>
          <w:p w14:paraId="7F355EC3">
            <w:pPr>
              <w:pStyle w:val="50"/>
              <w:jc w:val="center"/>
              <w:rPr>
                <w:rFonts w:hint="eastAsia" w:ascii="宋体" w:hAnsi="宋体" w:eastAsia="宋体" w:cs="宋体"/>
                <w:color w:val="auto"/>
                <w:sz w:val="21"/>
                <w:szCs w:val="21"/>
                <w:highlight w:val="none"/>
              </w:rPr>
            </w:pPr>
          </w:p>
        </w:tc>
        <w:tc>
          <w:tcPr>
            <w:tcW w:w="1356" w:type="dxa"/>
            <w:vAlign w:val="center"/>
          </w:tcPr>
          <w:p w14:paraId="2148FD62">
            <w:pPr>
              <w:pStyle w:val="50"/>
              <w:jc w:val="center"/>
              <w:rPr>
                <w:rFonts w:hint="eastAsia" w:ascii="宋体" w:hAnsi="宋体" w:eastAsia="宋体" w:cs="宋体"/>
                <w:color w:val="auto"/>
                <w:sz w:val="21"/>
                <w:szCs w:val="21"/>
                <w:highlight w:val="none"/>
              </w:rPr>
            </w:pPr>
          </w:p>
        </w:tc>
        <w:tc>
          <w:tcPr>
            <w:tcW w:w="816" w:type="dxa"/>
            <w:vAlign w:val="center"/>
          </w:tcPr>
          <w:p w14:paraId="30F5864D">
            <w:pPr>
              <w:pStyle w:val="50"/>
              <w:jc w:val="center"/>
              <w:rPr>
                <w:rFonts w:hint="eastAsia" w:ascii="宋体" w:hAnsi="宋体" w:eastAsia="宋体" w:cs="宋体"/>
                <w:color w:val="auto"/>
                <w:sz w:val="21"/>
                <w:szCs w:val="21"/>
                <w:highlight w:val="none"/>
              </w:rPr>
            </w:pPr>
          </w:p>
        </w:tc>
      </w:tr>
      <w:tr w14:paraId="19E49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47F12C5C">
            <w:pPr>
              <w:pStyle w:val="50"/>
              <w:jc w:val="center"/>
              <w:rPr>
                <w:rFonts w:hint="eastAsia" w:ascii="宋体" w:hAnsi="宋体" w:eastAsia="宋体" w:cs="宋体"/>
                <w:color w:val="auto"/>
                <w:sz w:val="21"/>
                <w:szCs w:val="21"/>
                <w:highlight w:val="none"/>
              </w:rPr>
            </w:pPr>
            <w:bookmarkStart w:id="391" w:name="_Toc100090785"/>
            <w:bookmarkStart w:id="392" w:name="_Toc99533293"/>
            <w:r>
              <w:rPr>
                <w:rFonts w:hint="eastAsia" w:ascii="宋体" w:hAnsi="宋体" w:eastAsia="宋体" w:cs="宋体"/>
                <w:color w:val="auto"/>
                <w:sz w:val="21"/>
                <w:szCs w:val="21"/>
                <w:highlight w:val="none"/>
              </w:rPr>
              <w:t>2</w:t>
            </w:r>
            <w:bookmarkEnd w:id="391"/>
            <w:bookmarkEnd w:id="392"/>
          </w:p>
        </w:tc>
        <w:tc>
          <w:tcPr>
            <w:tcW w:w="1267" w:type="dxa"/>
            <w:vAlign w:val="center"/>
          </w:tcPr>
          <w:p w14:paraId="3AE14FF6">
            <w:pPr>
              <w:pStyle w:val="50"/>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06FFE829">
            <w:pPr>
              <w:pStyle w:val="50"/>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1A33E450">
            <w:pPr>
              <w:pStyle w:val="50"/>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476ECD82">
            <w:pPr>
              <w:pStyle w:val="50"/>
              <w:jc w:val="center"/>
              <w:rPr>
                <w:rFonts w:hint="eastAsia" w:ascii="宋体" w:hAnsi="宋体" w:eastAsia="宋体" w:cs="宋体"/>
                <w:color w:val="auto"/>
                <w:sz w:val="21"/>
                <w:szCs w:val="21"/>
                <w:highlight w:val="none"/>
              </w:rPr>
            </w:pPr>
          </w:p>
        </w:tc>
        <w:tc>
          <w:tcPr>
            <w:tcW w:w="1860" w:type="dxa"/>
            <w:vAlign w:val="center"/>
          </w:tcPr>
          <w:p w14:paraId="390E678F">
            <w:pPr>
              <w:pStyle w:val="50"/>
              <w:jc w:val="center"/>
              <w:rPr>
                <w:rFonts w:hint="eastAsia" w:ascii="宋体" w:hAnsi="宋体" w:eastAsia="宋体" w:cs="宋体"/>
                <w:color w:val="auto"/>
                <w:sz w:val="21"/>
                <w:szCs w:val="21"/>
                <w:highlight w:val="none"/>
              </w:rPr>
            </w:pPr>
          </w:p>
        </w:tc>
        <w:tc>
          <w:tcPr>
            <w:tcW w:w="1356" w:type="dxa"/>
            <w:vAlign w:val="center"/>
          </w:tcPr>
          <w:p w14:paraId="77E48E09">
            <w:pPr>
              <w:pStyle w:val="50"/>
              <w:jc w:val="center"/>
              <w:rPr>
                <w:rFonts w:hint="eastAsia" w:ascii="宋体" w:hAnsi="宋体" w:eastAsia="宋体" w:cs="宋体"/>
                <w:color w:val="auto"/>
                <w:sz w:val="21"/>
                <w:szCs w:val="21"/>
                <w:highlight w:val="none"/>
              </w:rPr>
            </w:pPr>
          </w:p>
        </w:tc>
        <w:tc>
          <w:tcPr>
            <w:tcW w:w="816" w:type="dxa"/>
            <w:vAlign w:val="center"/>
          </w:tcPr>
          <w:p w14:paraId="3D8C0BFB">
            <w:pPr>
              <w:pStyle w:val="50"/>
              <w:jc w:val="center"/>
              <w:rPr>
                <w:rFonts w:hint="eastAsia" w:ascii="宋体" w:hAnsi="宋体" w:eastAsia="宋体" w:cs="宋体"/>
                <w:color w:val="auto"/>
                <w:sz w:val="21"/>
                <w:szCs w:val="21"/>
                <w:highlight w:val="none"/>
              </w:rPr>
            </w:pPr>
          </w:p>
        </w:tc>
      </w:tr>
      <w:tr w14:paraId="5F5E2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0824241E">
            <w:pPr>
              <w:pStyle w:val="50"/>
              <w:jc w:val="center"/>
              <w:rPr>
                <w:rFonts w:hint="eastAsia" w:ascii="宋体" w:hAnsi="宋体" w:eastAsia="宋体" w:cs="宋体"/>
                <w:color w:val="auto"/>
                <w:sz w:val="21"/>
                <w:szCs w:val="21"/>
                <w:highlight w:val="none"/>
              </w:rPr>
            </w:pPr>
            <w:bookmarkStart w:id="393" w:name="_Toc99533294"/>
            <w:bookmarkStart w:id="394" w:name="_Toc100090786"/>
            <w:r>
              <w:rPr>
                <w:rFonts w:hint="eastAsia" w:ascii="宋体" w:hAnsi="宋体" w:eastAsia="宋体" w:cs="宋体"/>
                <w:color w:val="auto"/>
                <w:sz w:val="21"/>
                <w:szCs w:val="21"/>
                <w:highlight w:val="none"/>
              </w:rPr>
              <w:t>3</w:t>
            </w:r>
            <w:bookmarkEnd w:id="393"/>
            <w:bookmarkEnd w:id="394"/>
          </w:p>
        </w:tc>
        <w:tc>
          <w:tcPr>
            <w:tcW w:w="1267" w:type="dxa"/>
            <w:vAlign w:val="center"/>
          </w:tcPr>
          <w:p w14:paraId="19C12411">
            <w:pPr>
              <w:pStyle w:val="50"/>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1E33B914">
            <w:pPr>
              <w:pStyle w:val="50"/>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70C10384">
            <w:pPr>
              <w:pStyle w:val="50"/>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657B47D5">
            <w:pPr>
              <w:pStyle w:val="50"/>
              <w:jc w:val="center"/>
              <w:rPr>
                <w:rFonts w:hint="eastAsia" w:ascii="宋体" w:hAnsi="宋体" w:eastAsia="宋体" w:cs="宋体"/>
                <w:color w:val="auto"/>
                <w:sz w:val="21"/>
                <w:szCs w:val="21"/>
                <w:highlight w:val="none"/>
              </w:rPr>
            </w:pPr>
          </w:p>
        </w:tc>
        <w:tc>
          <w:tcPr>
            <w:tcW w:w="1860" w:type="dxa"/>
            <w:vAlign w:val="center"/>
          </w:tcPr>
          <w:p w14:paraId="3F31D2CD">
            <w:pPr>
              <w:pStyle w:val="50"/>
              <w:jc w:val="center"/>
              <w:rPr>
                <w:rFonts w:hint="eastAsia" w:ascii="宋体" w:hAnsi="宋体" w:eastAsia="宋体" w:cs="宋体"/>
                <w:color w:val="auto"/>
                <w:sz w:val="21"/>
                <w:szCs w:val="21"/>
                <w:highlight w:val="none"/>
              </w:rPr>
            </w:pPr>
          </w:p>
        </w:tc>
        <w:tc>
          <w:tcPr>
            <w:tcW w:w="1356" w:type="dxa"/>
            <w:vAlign w:val="center"/>
          </w:tcPr>
          <w:p w14:paraId="107FDE9E">
            <w:pPr>
              <w:pStyle w:val="50"/>
              <w:jc w:val="center"/>
              <w:rPr>
                <w:rFonts w:hint="eastAsia" w:ascii="宋体" w:hAnsi="宋体" w:eastAsia="宋体" w:cs="宋体"/>
                <w:color w:val="auto"/>
                <w:sz w:val="21"/>
                <w:szCs w:val="21"/>
                <w:highlight w:val="none"/>
              </w:rPr>
            </w:pPr>
          </w:p>
        </w:tc>
        <w:tc>
          <w:tcPr>
            <w:tcW w:w="816" w:type="dxa"/>
            <w:vAlign w:val="center"/>
          </w:tcPr>
          <w:p w14:paraId="0ED9D4FB">
            <w:pPr>
              <w:pStyle w:val="50"/>
              <w:jc w:val="center"/>
              <w:rPr>
                <w:rFonts w:hint="eastAsia" w:ascii="宋体" w:hAnsi="宋体" w:eastAsia="宋体" w:cs="宋体"/>
                <w:color w:val="auto"/>
                <w:sz w:val="21"/>
                <w:szCs w:val="21"/>
                <w:highlight w:val="none"/>
              </w:rPr>
            </w:pPr>
          </w:p>
        </w:tc>
      </w:tr>
      <w:tr w14:paraId="72391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329A399B">
            <w:pPr>
              <w:pStyle w:val="50"/>
              <w:jc w:val="center"/>
              <w:rPr>
                <w:rFonts w:hint="eastAsia" w:ascii="宋体" w:hAnsi="宋体" w:eastAsia="宋体" w:cs="宋体"/>
                <w:color w:val="auto"/>
                <w:sz w:val="21"/>
                <w:szCs w:val="21"/>
                <w:highlight w:val="none"/>
              </w:rPr>
            </w:pPr>
            <w:bookmarkStart w:id="395" w:name="_Toc99533295"/>
            <w:bookmarkStart w:id="396" w:name="_Toc100090787"/>
            <w:r>
              <w:rPr>
                <w:rFonts w:hint="eastAsia" w:ascii="宋体" w:hAnsi="宋体" w:eastAsia="宋体" w:cs="宋体"/>
                <w:color w:val="auto"/>
                <w:sz w:val="21"/>
                <w:szCs w:val="21"/>
                <w:highlight w:val="none"/>
              </w:rPr>
              <w:t>4</w:t>
            </w:r>
            <w:bookmarkEnd w:id="395"/>
            <w:bookmarkEnd w:id="396"/>
          </w:p>
        </w:tc>
        <w:tc>
          <w:tcPr>
            <w:tcW w:w="1267" w:type="dxa"/>
            <w:vAlign w:val="center"/>
          </w:tcPr>
          <w:p w14:paraId="42DE0F63">
            <w:pPr>
              <w:pStyle w:val="50"/>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3CA0809C">
            <w:pPr>
              <w:pStyle w:val="50"/>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6D63F4E6">
            <w:pPr>
              <w:pStyle w:val="50"/>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496384D0">
            <w:pPr>
              <w:pStyle w:val="50"/>
              <w:jc w:val="center"/>
              <w:rPr>
                <w:rFonts w:hint="eastAsia" w:ascii="宋体" w:hAnsi="宋体" w:eastAsia="宋体" w:cs="宋体"/>
                <w:color w:val="auto"/>
                <w:sz w:val="21"/>
                <w:szCs w:val="21"/>
                <w:highlight w:val="none"/>
              </w:rPr>
            </w:pPr>
          </w:p>
        </w:tc>
        <w:tc>
          <w:tcPr>
            <w:tcW w:w="1860" w:type="dxa"/>
            <w:vAlign w:val="center"/>
          </w:tcPr>
          <w:p w14:paraId="068007BF">
            <w:pPr>
              <w:pStyle w:val="50"/>
              <w:jc w:val="center"/>
              <w:rPr>
                <w:rFonts w:hint="eastAsia" w:ascii="宋体" w:hAnsi="宋体" w:eastAsia="宋体" w:cs="宋体"/>
                <w:color w:val="auto"/>
                <w:sz w:val="21"/>
                <w:szCs w:val="21"/>
                <w:highlight w:val="none"/>
              </w:rPr>
            </w:pPr>
          </w:p>
        </w:tc>
        <w:tc>
          <w:tcPr>
            <w:tcW w:w="1356" w:type="dxa"/>
            <w:vAlign w:val="center"/>
          </w:tcPr>
          <w:p w14:paraId="7A6D63FA">
            <w:pPr>
              <w:pStyle w:val="50"/>
              <w:jc w:val="center"/>
              <w:rPr>
                <w:rFonts w:hint="eastAsia" w:ascii="宋体" w:hAnsi="宋体" w:eastAsia="宋体" w:cs="宋体"/>
                <w:color w:val="auto"/>
                <w:sz w:val="21"/>
                <w:szCs w:val="21"/>
                <w:highlight w:val="none"/>
              </w:rPr>
            </w:pPr>
          </w:p>
        </w:tc>
        <w:tc>
          <w:tcPr>
            <w:tcW w:w="816" w:type="dxa"/>
            <w:vAlign w:val="center"/>
          </w:tcPr>
          <w:p w14:paraId="01F1E6DB">
            <w:pPr>
              <w:pStyle w:val="50"/>
              <w:jc w:val="center"/>
              <w:rPr>
                <w:rFonts w:hint="eastAsia" w:ascii="宋体" w:hAnsi="宋体" w:eastAsia="宋体" w:cs="宋体"/>
                <w:color w:val="auto"/>
                <w:sz w:val="21"/>
                <w:szCs w:val="21"/>
                <w:highlight w:val="none"/>
              </w:rPr>
            </w:pPr>
          </w:p>
        </w:tc>
      </w:tr>
      <w:tr w14:paraId="67CF6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1FE3797">
            <w:pPr>
              <w:pStyle w:val="50"/>
              <w:jc w:val="center"/>
              <w:rPr>
                <w:rFonts w:hint="eastAsia" w:ascii="宋体" w:hAnsi="宋体" w:eastAsia="宋体" w:cs="宋体"/>
                <w:color w:val="auto"/>
                <w:sz w:val="21"/>
                <w:szCs w:val="21"/>
                <w:highlight w:val="none"/>
              </w:rPr>
            </w:pPr>
            <w:bookmarkStart w:id="397" w:name="_Toc100090788"/>
            <w:bookmarkStart w:id="398" w:name="_Toc99533296"/>
            <w:r>
              <w:rPr>
                <w:rFonts w:hint="eastAsia" w:ascii="宋体" w:hAnsi="宋体" w:eastAsia="宋体" w:cs="宋体"/>
                <w:color w:val="auto"/>
                <w:sz w:val="21"/>
                <w:szCs w:val="21"/>
                <w:highlight w:val="none"/>
              </w:rPr>
              <w:t>5</w:t>
            </w:r>
            <w:bookmarkEnd w:id="397"/>
            <w:bookmarkEnd w:id="398"/>
          </w:p>
        </w:tc>
        <w:tc>
          <w:tcPr>
            <w:tcW w:w="1267" w:type="dxa"/>
            <w:vAlign w:val="center"/>
          </w:tcPr>
          <w:p w14:paraId="3241008C">
            <w:pPr>
              <w:pStyle w:val="50"/>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3999E45B">
            <w:pPr>
              <w:pStyle w:val="50"/>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64009478">
            <w:pPr>
              <w:pStyle w:val="50"/>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75153765">
            <w:pPr>
              <w:pStyle w:val="50"/>
              <w:jc w:val="center"/>
              <w:rPr>
                <w:rFonts w:hint="eastAsia" w:ascii="宋体" w:hAnsi="宋体" w:eastAsia="宋体" w:cs="宋体"/>
                <w:color w:val="auto"/>
                <w:sz w:val="21"/>
                <w:szCs w:val="21"/>
                <w:highlight w:val="none"/>
              </w:rPr>
            </w:pPr>
          </w:p>
        </w:tc>
        <w:tc>
          <w:tcPr>
            <w:tcW w:w="1860" w:type="dxa"/>
            <w:vAlign w:val="center"/>
          </w:tcPr>
          <w:p w14:paraId="12AB49C0">
            <w:pPr>
              <w:pStyle w:val="50"/>
              <w:jc w:val="center"/>
              <w:rPr>
                <w:rFonts w:hint="eastAsia" w:ascii="宋体" w:hAnsi="宋体" w:eastAsia="宋体" w:cs="宋体"/>
                <w:color w:val="auto"/>
                <w:sz w:val="21"/>
                <w:szCs w:val="21"/>
                <w:highlight w:val="none"/>
              </w:rPr>
            </w:pPr>
          </w:p>
        </w:tc>
        <w:tc>
          <w:tcPr>
            <w:tcW w:w="1356" w:type="dxa"/>
            <w:vAlign w:val="center"/>
          </w:tcPr>
          <w:p w14:paraId="3943C72A">
            <w:pPr>
              <w:pStyle w:val="50"/>
              <w:jc w:val="center"/>
              <w:rPr>
                <w:rFonts w:hint="eastAsia" w:ascii="宋体" w:hAnsi="宋体" w:eastAsia="宋体" w:cs="宋体"/>
                <w:color w:val="auto"/>
                <w:sz w:val="21"/>
                <w:szCs w:val="21"/>
                <w:highlight w:val="none"/>
              </w:rPr>
            </w:pPr>
          </w:p>
        </w:tc>
        <w:tc>
          <w:tcPr>
            <w:tcW w:w="816" w:type="dxa"/>
            <w:vAlign w:val="center"/>
          </w:tcPr>
          <w:p w14:paraId="5FBE7410">
            <w:pPr>
              <w:pStyle w:val="50"/>
              <w:jc w:val="center"/>
              <w:rPr>
                <w:rFonts w:hint="eastAsia" w:ascii="宋体" w:hAnsi="宋体" w:eastAsia="宋体" w:cs="宋体"/>
                <w:color w:val="auto"/>
                <w:sz w:val="21"/>
                <w:szCs w:val="21"/>
                <w:highlight w:val="none"/>
              </w:rPr>
            </w:pPr>
          </w:p>
        </w:tc>
      </w:tr>
      <w:tr w14:paraId="053F8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07DED61F">
            <w:pPr>
              <w:pStyle w:val="50"/>
              <w:jc w:val="center"/>
              <w:rPr>
                <w:rFonts w:hint="eastAsia" w:ascii="宋体" w:hAnsi="宋体" w:eastAsia="宋体" w:cs="宋体"/>
                <w:color w:val="auto"/>
                <w:sz w:val="21"/>
                <w:szCs w:val="21"/>
                <w:highlight w:val="none"/>
              </w:rPr>
            </w:pPr>
            <w:bookmarkStart w:id="399" w:name="_Toc99533297"/>
            <w:bookmarkStart w:id="400" w:name="_Toc100090789"/>
            <w:r>
              <w:rPr>
                <w:rFonts w:hint="eastAsia" w:ascii="宋体" w:hAnsi="宋体" w:eastAsia="宋体" w:cs="宋体"/>
                <w:color w:val="auto"/>
                <w:sz w:val="21"/>
                <w:szCs w:val="21"/>
                <w:highlight w:val="none"/>
              </w:rPr>
              <w:t>6</w:t>
            </w:r>
            <w:bookmarkEnd w:id="399"/>
            <w:bookmarkEnd w:id="400"/>
          </w:p>
        </w:tc>
        <w:tc>
          <w:tcPr>
            <w:tcW w:w="1267" w:type="dxa"/>
            <w:vAlign w:val="center"/>
          </w:tcPr>
          <w:p w14:paraId="40527E11">
            <w:pPr>
              <w:pStyle w:val="50"/>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16947C68">
            <w:pPr>
              <w:pStyle w:val="50"/>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1666B8AD">
            <w:pPr>
              <w:pStyle w:val="50"/>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45256EB9">
            <w:pPr>
              <w:pStyle w:val="50"/>
              <w:jc w:val="center"/>
              <w:rPr>
                <w:rFonts w:hint="eastAsia" w:ascii="宋体" w:hAnsi="宋体" w:eastAsia="宋体" w:cs="宋体"/>
                <w:color w:val="auto"/>
                <w:sz w:val="21"/>
                <w:szCs w:val="21"/>
                <w:highlight w:val="none"/>
              </w:rPr>
            </w:pPr>
          </w:p>
        </w:tc>
        <w:tc>
          <w:tcPr>
            <w:tcW w:w="1860" w:type="dxa"/>
            <w:vAlign w:val="center"/>
          </w:tcPr>
          <w:p w14:paraId="51ADEB68">
            <w:pPr>
              <w:pStyle w:val="50"/>
              <w:jc w:val="center"/>
              <w:rPr>
                <w:rFonts w:hint="eastAsia" w:ascii="宋体" w:hAnsi="宋体" w:eastAsia="宋体" w:cs="宋体"/>
                <w:color w:val="auto"/>
                <w:sz w:val="21"/>
                <w:szCs w:val="21"/>
                <w:highlight w:val="none"/>
              </w:rPr>
            </w:pPr>
          </w:p>
        </w:tc>
        <w:tc>
          <w:tcPr>
            <w:tcW w:w="1356" w:type="dxa"/>
            <w:vAlign w:val="center"/>
          </w:tcPr>
          <w:p w14:paraId="6FF03D95">
            <w:pPr>
              <w:pStyle w:val="50"/>
              <w:jc w:val="center"/>
              <w:rPr>
                <w:rFonts w:hint="eastAsia" w:ascii="宋体" w:hAnsi="宋体" w:eastAsia="宋体" w:cs="宋体"/>
                <w:color w:val="auto"/>
                <w:sz w:val="21"/>
                <w:szCs w:val="21"/>
                <w:highlight w:val="none"/>
              </w:rPr>
            </w:pPr>
          </w:p>
        </w:tc>
        <w:tc>
          <w:tcPr>
            <w:tcW w:w="816" w:type="dxa"/>
            <w:vAlign w:val="center"/>
          </w:tcPr>
          <w:p w14:paraId="4EF8AB8A">
            <w:pPr>
              <w:pStyle w:val="50"/>
              <w:jc w:val="center"/>
              <w:rPr>
                <w:rFonts w:hint="eastAsia" w:ascii="宋体" w:hAnsi="宋体" w:eastAsia="宋体" w:cs="宋体"/>
                <w:color w:val="auto"/>
                <w:sz w:val="21"/>
                <w:szCs w:val="21"/>
                <w:highlight w:val="none"/>
              </w:rPr>
            </w:pPr>
          </w:p>
        </w:tc>
      </w:tr>
      <w:tr w14:paraId="661CA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AA4734C">
            <w:pPr>
              <w:pStyle w:val="50"/>
              <w:jc w:val="center"/>
              <w:rPr>
                <w:rFonts w:hint="eastAsia" w:ascii="宋体" w:hAnsi="宋体" w:eastAsia="宋体" w:cs="宋体"/>
                <w:color w:val="auto"/>
                <w:sz w:val="21"/>
                <w:szCs w:val="21"/>
                <w:highlight w:val="none"/>
              </w:rPr>
            </w:pPr>
            <w:bookmarkStart w:id="401" w:name="_Toc100090790"/>
            <w:bookmarkStart w:id="402" w:name="_Toc99533298"/>
            <w:r>
              <w:rPr>
                <w:rFonts w:hint="eastAsia" w:ascii="宋体" w:hAnsi="宋体" w:eastAsia="宋体" w:cs="宋体"/>
                <w:color w:val="auto"/>
                <w:sz w:val="21"/>
                <w:szCs w:val="21"/>
                <w:highlight w:val="none"/>
              </w:rPr>
              <w:t>7</w:t>
            </w:r>
            <w:bookmarkEnd w:id="401"/>
            <w:bookmarkEnd w:id="402"/>
          </w:p>
        </w:tc>
        <w:tc>
          <w:tcPr>
            <w:tcW w:w="1267" w:type="dxa"/>
            <w:vAlign w:val="center"/>
          </w:tcPr>
          <w:p w14:paraId="3F3B684D">
            <w:pPr>
              <w:pStyle w:val="50"/>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78032A99">
            <w:pPr>
              <w:pStyle w:val="50"/>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601AE572">
            <w:pPr>
              <w:pStyle w:val="50"/>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01172C19">
            <w:pPr>
              <w:pStyle w:val="50"/>
              <w:jc w:val="center"/>
              <w:rPr>
                <w:rFonts w:hint="eastAsia" w:ascii="宋体" w:hAnsi="宋体" w:eastAsia="宋体" w:cs="宋体"/>
                <w:color w:val="auto"/>
                <w:sz w:val="21"/>
                <w:szCs w:val="21"/>
                <w:highlight w:val="none"/>
              </w:rPr>
            </w:pPr>
          </w:p>
        </w:tc>
        <w:tc>
          <w:tcPr>
            <w:tcW w:w="1860" w:type="dxa"/>
            <w:vAlign w:val="center"/>
          </w:tcPr>
          <w:p w14:paraId="7E9B2A2D">
            <w:pPr>
              <w:pStyle w:val="50"/>
              <w:jc w:val="center"/>
              <w:rPr>
                <w:rFonts w:hint="eastAsia" w:ascii="宋体" w:hAnsi="宋体" w:eastAsia="宋体" w:cs="宋体"/>
                <w:color w:val="auto"/>
                <w:sz w:val="21"/>
                <w:szCs w:val="21"/>
                <w:highlight w:val="none"/>
              </w:rPr>
            </w:pPr>
          </w:p>
        </w:tc>
        <w:tc>
          <w:tcPr>
            <w:tcW w:w="1356" w:type="dxa"/>
            <w:vAlign w:val="center"/>
          </w:tcPr>
          <w:p w14:paraId="5FBF328E">
            <w:pPr>
              <w:pStyle w:val="50"/>
              <w:jc w:val="center"/>
              <w:rPr>
                <w:rFonts w:hint="eastAsia" w:ascii="宋体" w:hAnsi="宋体" w:eastAsia="宋体" w:cs="宋体"/>
                <w:color w:val="auto"/>
                <w:sz w:val="21"/>
                <w:szCs w:val="21"/>
                <w:highlight w:val="none"/>
              </w:rPr>
            </w:pPr>
          </w:p>
        </w:tc>
        <w:tc>
          <w:tcPr>
            <w:tcW w:w="816" w:type="dxa"/>
            <w:vAlign w:val="center"/>
          </w:tcPr>
          <w:p w14:paraId="718DD530">
            <w:pPr>
              <w:pStyle w:val="50"/>
              <w:jc w:val="center"/>
              <w:rPr>
                <w:rFonts w:hint="eastAsia" w:ascii="宋体" w:hAnsi="宋体" w:eastAsia="宋体" w:cs="宋体"/>
                <w:color w:val="auto"/>
                <w:sz w:val="21"/>
                <w:szCs w:val="21"/>
                <w:highlight w:val="none"/>
              </w:rPr>
            </w:pPr>
          </w:p>
        </w:tc>
      </w:tr>
      <w:tr w14:paraId="5E0A6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03F7F8C">
            <w:pPr>
              <w:pStyle w:val="50"/>
              <w:jc w:val="center"/>
              <w:rPr>
                <w:rFonts w:hint="eastAsia" w:ascii="宋体" w:hAnsi="宋体" w:eastAsia="宋体" w:cs="宋体"/>
                <w:color w:val="auto"/>
                <w:sz w:val="21"/>
                <w:szCs w:val="21"/>
                <w:highlight w:val="none"/>
              </w:rPr>
            </w:pPr>
            <w:bookmarkStart w:id="403" w:name="_Toc100090791"/>
            <w:bookmarkStart w:id="404" w:name="_Toc99533299"/>
            <w:r>
              <w:rPr>
                <w:rFonts w:hint="eastAsia" w:ascii="宋体" w:hAnsi="宋体" w:eastAsia="宋体" w:cs="宋体"/>
                <w:color w:val="auto"/>
                <w:sz w:val="21"/>
                <w:szCs w:val="21"/>
                <w:highlight w:val="none"/>
              </w:rPr>
              <w:t>8</w:t>
            </w:r>
            <w:bookmarkEnd w:id="403"/>
            <w:bookmarkEnd w:id="404"/>
          </w:p>
        </w:tc>
        <w:tc>
          <w:tcPr>
            <w:tcW w:w="1267" w:type="dxa"/>
            <w:vAlign w:val="center"/>
          </w:tcPr>
          <w:p w14:paraId="20BD29D0">
            <w:pPr>
              <w:pStyle w:val="50"/>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7C9D455C">
            <w:pPr>
              <w:pStyle w:val="50"/>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3548599B">
            <w:pPr>
              <w:pStyle w:val="50"/>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2842C962">
            <w:pPr>
              <w:pStyle w:val="50"/>
              <w:jc w:val="center"/>
              <w:rPr>
                <w:rFonts w:hint="eastAsia" w:ascii="宋体" w:hAnsi="宋体" w:eastAsia="宋体" w:cs="宋体"/>
                <w:color w:val="auto"/>
                <w:sz w:val="21"/>
                <w:szCs w:val="21"/>
                <w:highlight w:val="none"/>
              </w:rPr>
            </w:pPr>
          </w:p>
        </w:tc>
        <w:tc>
          <w:tcPr>
            <w:tcW w:w="1860" w:type="dxa"/>
            <w:vAlign w:val="center"/>
          </w:tcPr>
          <w:p w14:paraId="292DF220">
            <w:pPr>
              <w:pStyle w:val="50"/>
              <w:jc w:val="center"/>
              <w:rPr>
                <w:rFonts w:hint="eastAsia" w:ascii="宋体" w:hAnsi="宋体" w:eastAsia="宋体" w:cs="宋体"/>
                <w:color w:val="auto"/>
                <w:sz w:val="21"/>
                <w:szCs w:val="21"/>
                <w:highlight w:val="none"/>
              </w:rPr>
            </w:pPr>
          </w:p>
        </w:tc>
        <w:tc>
          <w:tcPr>
            <w:tcW w:w="1356" w:type="dxa"/>
            <w:vAlign w:val="center"/>
          </w:tcPr>
          <w:p w14:paraId="7107F6B0">
            <w:pPr>
              <w:pStyle w:val="50"/>
              <w:jc w:val="center"/>
              <w:rPr>
                <w:rFonts w:hint="eastAsia" w:ascii="宋体" w:hAnsi="宋体" w:eastAsia="宋体" w:cs="宋体"/>
                <w:color w:val="auto"/>
                <w:sz w:val="21"/>
                <w:szCs w:val="21"/>
                <w:highlight w:val="none"/>
              </w:rPr>
            </w:pPr>
          </w:p>
        </w:tc>
        <w:tc>
          <w:tcPr>
            <w:tcW w:w="816" w:type="dxa"/>
            <w:vAlign w:val="center"/>
          </w:tcPr>
          <w:p w14:paraId="247AF589">
            <w:pPr>
              <w:pStyle w:val="50"/>
              <w:jc w:val="center"/>
              <w:rPr>
                <w:rFonts w:hint="eastAsia" w:ascii="宋体" w:hAnsi="宋体" w:eastAsia="宋体" w:cs="宋体"/>
                <w:color w:val="auto"/>
                <w:sz w:val="21"/>
                <w:szCs w:val="21"/>
                <w:highlight w:val="none"/>
              </w:rPr>
            </w:pPr>
          </w:p>
        </w:tc>
      </w:tr>
      <w:tr w14:paraId="17D5B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77" w:hRule="atLeast"/>
        </w:trPr>
        <w:tc>
          <w:tcPr>
            <w:tcW w:w="773" w:type="dxa"/>
            <w:vAlign w:val="center"/>
          </w:tcPr>
          <w:p w14:paraId="4F7A90D9">
            <w:pPr>
              <w:pStyle w:val="50"/>
              <w:jc w:val="center"/>
              <w:rPr>
                <w:rFonts w:hint="eastAsia" w:ascii="宋体" w:hAnsi="宋体" w:eastAsia="宋体" w:cs="宋体"/>
                <w:color w:val="auto"/>
                <w:sz w:val="21"/>
                <w:szCs w:val="21"/>
                <w:highlight w:val="none"/>
              </w:rPr>
            </w:pPr>
            <w:bookmarkStart w:id="405" w:name="_Toc99533300"/>
            <w:bookmarkStart w:id="406" w:name="_Toc100090792"/>
            <w:r>
              <w:rPr>
                <w:rFonts w:hint="eastAsia" w:ascii="宋体" w:hAnsi="宋体" w:eastAsia="宋体" w:cs="宋体"/>
                <w:color w:val="auto"/>
                <w:sz w:val="21"/>
                <w:szCs w:val="21"/>
                <w:highlight w:val="none"/>
              </w:rPr>
              <w:t>9</w:t>
            </w:r>
            <w:bookmarkEnd w:id="405"/>
            <w:bookmarkEnd w:id="406"/>
          </w:p>
        </w:tc>
        <w:tc>
          <w:tcPr>
            <w:tcW w:w="1267" w:type="dxa"/>
            <w:vAlign w:val="center"/>
          </w:tcPr>
          <w:p w14:paraId="6C5090EC">
            <w:pPr>
              <w:pStyle w:val="50"/>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32CD2ADB">
            <w:pPr>
              <w:pStyle w:val="50"/>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0DD9EDDC">
            <w:pPr>
              <w:pStyle w:val="50"/>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05650614">
            <w:pPr>
              <w:pStyle w:val="50"/>
              <w:jc w:val="center"/>
              <w:rPr>
                <w:rFonts w:hint="eastAsia" w:ascii="宋体" w:hAnsi="宋体" w:eastAsia="宋体" w:cs="宋体"/>
                <w:color w:val="auto"/>
                <w:sz w:val="21"/>
                <w:szCs w:val="21"/>
                <w:highlight w:val="none"/>
              </w:rPr>
            </w:pPr>
          </w:p>
        </w:tc>
        <w:tc>
          <w:tcPr>
            <w:tcW w:w="1860" w:type="dxa"/>
            <w:vAlign w:val="center"/>
          </w:tcPr>
          <w:p w14:paraId="337B4053">
            <w:pPr>
              <w:pStyle w:val="50"/>
              <w:jc w:val="center"/>
              <w:rPr>
                <w:rFonts w:hint="eastAsia" w:ascii="宋体" w:hAnsi="宋体" w:eastAsia="宋体" w:cs="宋体"/>
                <w:color w:val="auto"/>
                <w:sz w:val="21"/>
                <w:szCs w:val="21"/>
                <w:highlight w:val="none"/>
              </w:rPr>
            </w:pPr>
          </w:p>
        </w:tc>
        <w:tc>
          <w:tcPr>
            <w:tcW w:w="1356" w:type="dxa"/>
            <w:vAlign w:val="center"/>
          </w:tcPr>
          <w:p w14:paraId="6968EA5F">
            <w:pPr>
              <w:pStyle w:val="50"/>
              <w:jc w:val="center"/>
              <w:rPr>
                <w:rFonts w:hint="eastAsia" w:ascii="宋体" w:hAnsi="宋体" w:eastAsia="宋体" w:cs="宋体"/>
                <w:color w:val="auto"/>
                <w:sz w:val="21"/>
                <w:szCs w:val="21"/>
                <w:highlight w:val="none"/>
              </w:rPr>
            </w:pPr>
          </w:p>
        </w:tc>
        <w:tc>
          <w:tcPr>
            <w:tcW w:w="816" w:type="dxa"/>
            <w:vAlign w:val="center"/>
          </w:tcPr>
          <w:p w14:paraId="45D99552">
            <w:pPr>
              <w:pStyle w:val="50"/>
              <w:jc w:val="center"/>
              <w:rPr>
                <w:rFonts w:hint="eastAsia" w:ascii="宋体" w:hAnsi="宋体" w:eastAsia="宋体" w:cs="宋体"/>
                <w:color w:val="auto"/>
                <w:sz w:val="21"/>
                <w:szCs w:val="21"/>
                <w:highlight w:val="none"/>
              </w:rPr>
            </w:pPr>
          </w:p>
        </w:tc>
      </w:tr>
      <w:tr w14:paraId="5F497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773" w:type="dxa"/>
            <w:vAlign w:val="center"/>
          </w:tcPr>
          <w:p w14:paraId="406250BE">
            <w:pPr>
              <w:pStyle w:val="50"/>
              <w:jc w:val="center"/>
              <w:rPr>
                <w:rFonts w:hint="eastAsia" w:ascii="宋体" w:hAnsi="宋体" w:eastAsia="宋体" w:cs="宋体"/>
                <w:color w:val="auto"/>
                <w:sz w:val="21"/>
                <w:szCs w:val="21"/>
                <w:highlight w:val="none"/>
              </w:rPr>
            </w:pPr>
            <w:bookmarkStart w:id="407" w:name="_Toc100090793"/>
            <w:bookmarkStart w:id="408" w:name="_Toc99533301"/>
            <w:r>
              <w:rPr>
                <w:rFonts w:hint="eastAsia" w:ascii="宋体" w:hAnsi="宋体" w:eastAsia="宋体" w:cs="宋体"/>
                <w:color w:val="auto"/>
                <w:sz w:val="21"/>
                <w:szCs w:val="21"/>
                <w:highlight w:val="none"/>
              </w:rPr>
              <w:t>10</w:t>
            </w:r>
            <w:bookmarkEnd w:id="407"/>
            <w:bookmarkEnd w:id="408"/>
          </w:p>
        </w:tc>
        <w:tc>
          <w:tcPr>
            <w:tcW w:w="1267" w:type="dxa"/>
            <w:vAlign w:val="center"/>
          </w:tcPr>
          <w:p w14:paraId="0D84E205">
            <w:pPr>
              <w:pStyle w:val="50"/>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79F36313">
            <w:pPr>
              <w:pStyle w:val="50"/>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193C6909">
            <w:pPr>
              <w:pStyle w:val="50"/>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6C34049E">
            <w:pPr>
              <w:pStyle w:val="50"/>
              <w:jc w:val="center"/>
              <w:rPr>
                <w:rFonts w:hint="eastAsia" w:ascii="宋体" w:hAnsi="宋体" w:eastAsia="宋体" w:cs="宋体"/>
                <w:color w:val="auto"/>
                <w:sz w:val="21"/>
                <w:szCs w:val="21"/>
                <w:highlight w:val="none"/>
              </w:rPr>
            </w:pPr>
          </w:p>
        </w:tc>
        <w:tc>
          <w:tcPr>
            <w:tcW w:w="1860" w:type="dxa"/>
            <w:vAlign w:val="center"/>
          </w:tcPr>
          <w:p w14:paraId="7790D037">
            <w:pPr>
              <w:pStyle w:val="50"/>
              <w:jc w:val="center"/>
              <w:rPr>
                <w:rFonts w:hint="eastAsia" w:ascii="宋体" w:hAnsi="宋体" w:eastAsia="宋体" w:cs="宋体"/>
                <w:color w:val="auto"/>
                <w:sz w:val="21"/>
                <w:szCs w:val="21"/>
                <w:highlight w:val="none"/>
              </w:rPr>
            </w:pPr>
          </w:p>
        </w:tc>
        <w:tc>
          <w:tcPr>
            <w:tcW w:w="1356" w:type="dxa"/>
            <w:vAlign w:val="center"/>
          </w:tcPr>
          <w:p w14:paraId="292E64B7">
            <w:pPr>
              <w:pStyle w:val="50"/>
              <w:jc w:val="center"/>
              <w:rPr>
                <w:rFonts w:hint="eastAsia" w:ascii="宋体" w:hAnsi="宋体" w:eastAsia="宋体" w:cs="宋体"/>
                <w:color w:val="auto"/>
                <w:sz w:val="21"/>
                <w:szCs w:val="21"/>
                <w:highlight w:val="none"/>
              </w:rPr>
            </w:pPr>
          </w:p>
        </w:tc>
        <w:tc>
          <w:tcPr>
            <w:tcW w:w="816" w:type="dxa"/>
            <w:vAlign w:val="center"/>
          </w:tcPr>
          <w:p w14:paraId="77E1C162">
            <w:pPr>
              <w:pStyle w:val="50"/>
              <w:jc w:val="center"/>
              <w:rPr>
                <w:rFonts w:hint="eastAsia" w:ascii="宋体" w:hAnsi="宋体" w:eastAsia="宋体" w:cs="宋体"/>
                <w:color w:val="auto"/>
                <w:sz w:val="21"/>
                <w:szCs w:val="21"/>
                <w:highlight w:val="none"/>
              </w:rPr>
            </w:pPr>
          </w:p>
        </w:tc>
      </w:tr>
    </w:tbl>
    <w:p w14:paraId="3CBF9299">
      <w:pPr>
        <w:rPr>
          <w:rFonts w:hint="eastAsia" w:cs="仿宋_GB2312"/>
          <w:color w:val="auto"/>
          <w:sz w:val="21"/>
          <w:szCs w:val="21"/>
          <w:highlight w:val="none"/>
          <w:lang w:val="en-US" w:eastAsia="zh-CN"/>
        </w:rPr>
      </w:pPr>
    </w:p>
    <w:p w14:paraId="1EAF0062">
      <w:pPr>
        <w:rPr>
          <w:rFonts w:hint="default" w:cs="仿宋_GB2312"/>
          <w:color w:val="auto"/>
          <w:sz w:val="21"/>
          <w:szCs w:val="21"/>
          <w:highlight w:val="none"/>
          <w:lang w:val="en-US"/>
        </w:rPr>
      </w:pPr>
      <w:r>
        <w:rPr>
          <w:rFonts w:hint="eastAsia" w:cs="仿宋_GB2312"/>
          <w:color w:val="auto"/>
          <w:sz w:val="21"/>
          <w:szCs w:val="21"/>
          <w:highlight w:val="none"/>
          <w:lang w:val="en-US" w:eastAsia="zh-CN"/>
        </w:rPr>
        <w:t>注：按招标文件要求在本表后附相关人员证书。</w:t>
      </w:r>
    </w:p>
    <w:p w14:paraId="3B621572">
      <w:pPr>
        <w:ind w:firstLine="420" w:firstLineChars="200"/>
        <w:rPr>
          <w:rFonts w:hint="eastAsia" w:cs="仿宋_GB2312"/>
          <w:color w:val="auto"/>
          <w:sz w:val="21"/>
          <w:szCs w:val="21"/>
          <w:highlight w:val="none"/>
          <w:lang w:val="en-US" w:eastAsia="zh-CN"/>
        </w:rPr>
      </w:pPr>
    </w:p>
    <w:p w14:paraId="178B25F9">
      <w:pPr>
        <w:ind w:firstLine="420" w:firstLineChars="200"/>
        <w:rPr>
          <w:rFonts w:hint="eastAsia" w:cs="仿宋_GB2312"/>
          <w:color w:val="auto"/>
          <w:sz w:val="21"/>
          <w:szCs w:val="21"/>
          <w:highlight w:val="none"/>
          <w:lang w:val="en-US" w:eastAsia="zh-CN"/>
        </w:rPr>
      </w:pPr>
      <w:r>
        <w:rPr>
          <w:rFonts w:hint="eastAsia" w:cs="仿宋_GB2312"/>
          <w:color w:val="auto"/>
          <w:sz w:val="21"/>
          <w:szCs w:val="21"/>
          <w:highlight w:val="none"/>
          <w:lang w:val="en-US" w:eastAsia="zh-CN"/>
        </w:rPr>
        <w:t xml:space="preserve">说明： </w:t>
      </w:r>
    </w:p>
    <w:p w14:paraId="442D33DF">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1.“在团队中职务（岗位）”栏应包括但不限于：项目负责人、项目联系人、项目服务人员或技术人员等。 </w:t>
      </w:r>
    </w:p>
    <w:p w14:paraId="4DC17E9A">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2.如投标人中标，须按本表项目组成人员操作，不得随意更换。</w:t>
      </w:r>
    </w:p>
    <w:p w14:paraId="285371E7">
      <w:pPr>
        <w:rPr>
          <w:color w:val="auto"/>
          <w:highlight w:val="none"/>
        </w:rPr>
      </w:pPr>
    </w:p>
    <w:p w14:paraId="51ED7B0D">
      <w:pPr>
        <w:rPr>
          <w:color w:val="auto"/>
          <w:highlight w:val="none"/>
        </w:rPr>
      </w:pPr>
      <w:r>
        <w:rPr>
          <w:color w:val="auto"/>
          <w:highlight w:val="none"/>
        </w:rPr>
        <w:br w:type="page"/>
      </w:r>
    </w:p>
    <w:p w14:paraId="1358285E">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409" w:name="_Toc27056"/>
      <w:bookmarkStart w:id="410" w:name="_Toc163492934"/>
      <w:r>
        <w:rPr>
          <w:rFonts w:hint="eastAsia" w:cstheme="majorBidi"/>
          <w:b/>
          <w:bCs/>
          <w:color w:val="auto"/>
          <w:kern w:val="2"/>
          <w:sz w:val="32"/>
          <w:szCs w:val="32"/>
          <w:highlight w:val="none"/>
          <w:lang w:val="en-US" w:eastAsia="zh-CN" w:bidi="ar-SA"/>
        </w:rPr>
        <w:t>九</w:t>
      </w:r>
      <w:r>
        <w:rPr>
          <w:rFonts w:hint="eastAsia" w:eastAsia="宋体" w:asciiTheme="majorHAnsi" w:hAnsiTheme="majorHAnsi" w:cstheme="majorBidi"/>
          <w:b/>
          <w:bCs/>
          <w:color w:val="auto"/>
          <w:kern w:val="2"/>
          <w:sz w:val="32"/>
          <w:szCs w:val="32"/>
          <w:highlight w:val="none"/>
          <w:lang w:val="en-US" w:eastAsia="zh-CN" w:bidi="ar-SA"/>
        </w:rPr>
        <w:t>、技术响应偏离表</w:t>
      </w:r>
      <w:bookmarkEnd w:id="409"/>
      <w:bookmarkEnd w:id="410"/>
    </w:p>
    <w:p w14:paraId="7EE50E6A">
      <w:pPr>
        <w:rPr>
          <w:rFonts w:cs="仿宋_GB2312"/>
          <w:color w:val="auto"/>
          <w:szCs w:val="24"/>
          <w:highlight w:val="none"/>
        </w:rPr>
      </w:pPr>
      <w:r>
        <w:rPr>
          <w:rFonts w:hint="eastAsia" w:cs="仿宋_GB2312"/>
          <w:color w:val="auto"/>
          <w:szCs w:val="24"/>
          <w:highlight w:val="none"/>
        </w:rPr>
        <w:t xml:space="preserve">项目名称：                                         </w:t>
      </w:r>
    </w:p>
    <w:p w14:paraId="10CF1BE4">
      <w:pPr>
        <w:rPr>
          <w:rFonts w:cs="仿宋_GB2312"/>
          <w:color w:val="auto"/>
          <w:szCs w:val="24"/>
          <w:highlight w:val="none"/>
        </w:rPr>
      </w:pPr>
      <w:r>
        <w:rPr>
          <w:rFonts w:hint="eastAsia" w:cs="仿宋_GB2312"/>
          <w:color w:val="auto"/>
          <w:szCs w:val="24"/>
          <w:highlight w:val="none"/>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cs="仿宋_GB2312"/>
          <w:color w:val="auto"/>
          <w:szCs w:val="24"/>
          <w:highlight w:val="none"/>
        </w:rPr>
        <w:t xml:space="preserve">：         </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976"/>
        <w:gridCol w:w="1758"/>
        <w:gridCol w:w="2157"/>
        <w:gridCol w:w="1937"/>
      </w:tblGrid>
      <w:tr w14:paraId="23CC5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5F892E53">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159" w:type="pct"/>
            <w:vAlign w:val="center"/>
          </w:tcPr>
          <w:p w14:paraId="48E48677">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招标文件技术</w:t>
            </w:r>
          </w:p>
          <w:p w14:paraId="0C5608DB">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要求条款</w:t>
            </w:r>
          </w:p>
        </w:tc>
        <w:tc>
          <w:tcPr>
            <w:tcW w:w="1031" w:type="pct"/>
            <w:vAlign w:val="center"/>
          </w:tcPr>
          <w:p w14:paraId="0B845CF1">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投标文件内容</w:t>
            </w:r>
          </w:p>
          <w:p w14:paraId="4F79E073">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对应简述</w:t>
            </w:r>
          </w:p>
        </w:tc>
        <w:tc>
          <w:tcPr>
            <w:tcW w:w="1265" w:type="pct"/>
            <w:vAlign w:val="center"/>
          </w:tcPr>
          <w:p w14:paraId="4AB4E9C3">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响应情况</w:t>
            </w:r>
          </w:p>
        </w:tc>
        <w:tc>
          <w:tcPr>
            <w:tcW w:w="1136" w:type="pct"/>
            <w:vAlign w:val="center"/>
          </w:tcPr>
          <w:p w14:paraId="09D725B9">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证明资料</w:t>
            </w:r>
            <w:r>
              <w:rPr>
                <w:rFonts w:hint="eastAsia" w:ascii="宋体" w:hAnsi="宋体" w:eastAsia="宋体" w:cs="宋体"/>
                <w:color w:val="auto"/>
                <w:sz w:val="21"/>
                <w:szCs w:val="21"/>
                <w:highlight w:val="none"/>
              </w:rPr>
              <w:t>及索引</w:t>
            </w:r>
          </w:p>
        </w:tc>
      </w:tr>
      <w:tr w14:paraId="39EC0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29950C57">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159" w:type="pct"/>
            <w:vAlign w:val="center"/>
          </w:tcPr>
          <w:p w14:paraId="69B288A0">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31" w:type="pct"/>
            <w:vAlign w:val="center"/>
          </w:tcPr>
          <w:p w14:paraId="0E04AD72">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265" w:type="pct"/>
            <w:vAlign w:val="center"/>
          </w:tcPr>
          <w:p w14:paraId="585AEA1C">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响应/正偏离/负偏离</w:t>
            </w:r>
          </w:p>
        </w:tc>
        <w:tc>
          <w:tcPr>
            <w:tcW w:w="1136" w:type="pct"/>
            <w:vAlign w:val="center"/>
          </w:tcPr>
          <w:p w14:paraId="02D97874">
            <w:pPr>
              <w:pStyle w:val="50"/>
              <w:jc w:val="center"/>
              <w:rPr>
                <w:rFonts w:hint="eastAsia" w:ascii="宋体" w:hAnsi="宋体" w:eastAsia="宋体" w:cs="宋体"/>
                <w:color w:val="auto"/>
                <w:sz w:val="21"/>
                <w:szCs w:val="21"/>
                <w:highlight w:val="none"/>
              </w:rPr>
            </w:pPr>
          </w:p>
        </w:tc>
      </w:tr>
      <w:tr w14:paraId="4EC68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195B6778">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159" w:type="pct"/>
            <w:vAlign w:val="center"/>
          </w:tcPr>
          <w:p w14:paraId="30E52A7F">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31" w:type="pct"/>
            <w:vAlign w:val="center"/>
          </w:tcPr>
          <w:p w14:paraId="29A6C1E1">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265" w:type="pct"/>
            <w:vAlign w:val="center"/>
          </w:tcPr>
          <w:p w14:paraId="5D92E460">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响应/正偏离/负偏离</w:t>
            </w:r>
          </w:p>
        </w:tc>
        <w:tc>
          <w:tcPr>
            <w:tcW w:w="1136" w:type="pct"/>
            <w:vAlign w:val="center"/>
          </w:tcPr>
          <w:p w14:paraId="63E16449">
            <w:pPr>
              <w:pStyle w:val="50"/>
              <w:jc w:val="center"/>
              <w:rPr>
                <w:rFonts w:hint="eastAsia" w:ascii="宋体" w:hAnsi="宋体" w:eastAsia="宋体" w:cs="宋体"/>
                <w:color w:val="auto"/>
                <w:sz w:val="21"/>
                <w:szCs w:val="21"/>
                <w:highlight w:val="none"/>
              </w:rPr>
            </w:pPr>
          </w:p>
        </w:tc>
      </w:tr>
      <w:tr w14:paraId="0C00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shd w:val="clear" w:color="auto" w:fill="auto"/>
            <w:vAlign w:val="center"/>
          </w:tcPr>
          <w:p w14:paraId="4C45FE18">
            <w:pPr>
              <w:pStyle w:val="5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159" w:type="pct"/>
            <w:shd w:val="clear" w:color="auto" w:fill="auto"/>
            <w:vAlign w:val="center"/>
          </w:tcPr>
          <w:p w14:paraId="6D1DD644">
            <w:pPr>
              <w:pStyle w:val="5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p>
        </w:tc>
        <w:tc>
          <w:tcPr>
            <w:tcW w:w="1031" w:type="pct"/>
            <w:shd w:val="clear" w:color="auto" w:fill="auto"/>
            <w:vAlign w:val="center"/>
          </w:tcPr>
          <w:p w14:paraId="2982168B">
            <w:pPr>
              <w:pStyle w:val="5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p>
        </w:tc>
        <w:tc>
          <w:tcPr>
            <w:tcW w:w="1265" w:type="pct"/>
            <w:shd w:val="clear" w:color="auto" w:fill="auto"/>
            <w:vAlign w:val="center"/>
          </w:tcPr>
          <w:p w14:paraId="78EC7D09">
            <w:pPr>
              <w:pStyle w:val="5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响应/正偏离/负偏离</w:t>
            </w:r>
          </w:p>
        </w:tc>
        <w:tc>
          <w:tcPr>
            <w:tcW w:w="1136" w:type="pct"/>
            <w:vAlign w:val="center"/>
          </w:tcPr>
          <w:p w14:paraId="46369488">
            <w:pPr>
              <w:pStyle w:val="50"/>
              <w:jc w:val="center"/>
              <w:rPr>
                <w:rFonts w:hint="eastAsia" w:ascii="宋体" w:hAnsi="宋体" w:eastAsia="宋体" w:cs="宋体"/>
                <w:color w:val="auto"/>
                <w:sz w:val="21"/>
                <w:szCs w:val="21"/>
                <w:highlight w:val="none"/>
              </w:rPr>
            </w:pPr>
          </w:p>
        </w:tc>
      </w:tr>
      <w:tr w14:paraId="28C8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43874C19">
            <w:pPr>
              <w:pStyle w:val="50"/>
              <w:jc w:val="center"/>
              <w:rPr>
                <w:rFonts w:hint="eastAsia" w:ascii="宋体" w:hAnsi="宋体" w:eastAsia="宋体" w:cs="宋体"/>
                <w:color w:val="auto"/>
                <w:sz w:val="21"/>
                <w:szCs w:val="21"/>
                <w:highlight w:val="none"/>
              </w:rPr>
            </w:pPr>
          </w:p>
        </w:tc>
        <w:tc>
          <w:tcPr>
            <w:tcW w:w="1159" w:type="pct"/>
            <w:vAlign w:val="center"/>
          </w:tcPr>
          <w:p w14:paraId="529041E2">
            <w:pPr>
              <w:pStyle w:val="50"/>
              <w:jc w:val="center"/>
              <w:rPr>
                <w:rFonts w:hint="eastAsia" w:ascii="宋体" w:hAnsi="宋体" w:eastAsia="宋体" w:cs="宋体"/>
                <w:color w:val="auto"/>
                <w:sz w:val="21"/>
                <w:szCs w:val="21"/>
                <w:highlight w:val="none"/>
              </w:rPr>
            </w:pPr>
          </w:p>
        </w:tc>
        <w:tc>
          <w:tcPr>
            <w:tcW w:w="1031" w:type="pct"/>
            <w:vAlign w:val="center"/>
          </w:tcPr>
          <w:p w14:paraId="301E476D">
            <w:pPr>
              <w:pStyle w:val="50"/>
              <w:jc w:val="center"/>
              <w:rPr>
                <w:rFonts w:hint="eastAsia" w:ascii="宋体" w:hAnsi="宋体" w:eastAsia="宋体" w:cs="宋体"/>
                <w:color w:val="auto"/>
                <w:sz w:val="21"/>
                <w:szCs w:val="21"/>
                <w:highlight w:val="none"/>
              </w:rPr>
            </w:pPr>
          </w:p>
        </w:tc>
        <w:tc>
          <w:tcPr>
            <w:tcW w:w="1265" w:type="pct"/>
            <w:vAlign w:val="center"/>
          </w:tcPr>
          <w:p w14:paraId="06F8AED7">
            <w:pPr>
              <w:pStyle w:val="50"/>
              <w:jc w:val="center"/>
              <w:rPr>
                <w:rFonts w:hint="eastAsia" w:ascii="宋体" w:hAnsi="宋体" w:eastAsia="宋体" w:cs="宋体"/>
                <w:color w:val="auto"/>
                <w:sz w:val="21"/>
                <w:szCs w:val="21"/>
                <w:highlight w:val="none"/>
              </w:rPr>
            </w:pPr>
          </w:p>
        </w:tc>
        <w:tc>
          <w:tcPr>
            <w:tcW w:w="1136" w:type="pct"/>
            <w:vAlign w:val="center"/>
          </w:tcPr>
          <w:p w14:paraId="0CE9DF45">
            <w:pPr>
              <w:pStyle w:val="50"/>
              <w:jc w:val="center"/>
              <w:rPr>
                <w:rFonts w:hint="eastAsia" w:ascii="宋体" w:hAnsi="宋体" w:eastAsia="宋体" w:cs="宋体"/>
                <w:color w:val="auto"/>
                <w:sz w:val="21"/>
                <w:szCs w:val="21"/>
                <w:highlight w:val="none"/>
              </w:rPr>
            </w:pPr>
          </w:p>
        </w:tc>
      </w:tr>
      <w:tr w14:paraId="72916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41433E5C">
            <w:pPr>
              <w:pStyle w:val="50"/>
              <w:jc w:val="center"/>
              <w:rPr>
                <w:rFonts w:hint="eastAsia" w:ascii="宋体" w:hAnsi="宋体" w:eastAsia="宋体" w:cs="宋体"/>
                <w:color w:val="auto"/>
                <w:sz w:val="21"/>
                <w:szCs w:val="21"/>
                <w:highlight w:val="none"/>
              </w:rPr>
            </w:pPr>
          </w:p>
        </w:tc>
        <w:tc>
          <w:tcPr>
            <w:tcW w:w="1159" w:type="pct"/>
            <w:vAlign w:val="center"/>
          </w:tcPr>
          <w:p w14:paraId="77107295">
            <w:pPr>
              <w:pStyle w:val="50"/>
              <w:jc w:val="center"/>
              <w:rPr>
                <w:rFonts w:hint="eastAsia" w:ascii="宋体" w:hAnsi="宋体" w:eastAsia="宋体" w:cs="宋体"/>
                <w:color w:val="auto"/>
                <w:sz w:val="21"/>
                <w:szCs w:val="21"/>
                <w:highlight w:val="none"/>
              </w:rPr>
            </w:pPr>
          </w:p>
        </w:tc>
        <w:tc>
          <w:tcPr>
            <w:tcW w:w="1031" w:type="pct"/>
            <w:vAlign w:val="center"/>
          </w:tcPr>
          <w:p w14:paraId="4D01D78E">
            <w:pPr>
              <w:pStyle w:val="50"/>
              <w:jc w:val="center"/>
              <w:rPr>
                <w:rFonts w:hint="eastAsia" w:ascii="宋体" w:hAnsi="宋体" w:eastAsia="宋体" w:cs="宋体"/>
                <w:color w:val="auto"/>
                <w:sz w:val="21"/>
                <w:szCs w:val="21"/>
                <w:highlight w:val="none"/>
              </w:rPr>
            </w:pPr>
          </w:p>
        </w:tc>
        <w:tc>
          <w:tcPr>
            <w:tcW w:w="1265" w:type="pct"/>
            <w:vAlign w:val="center"/>
          </w:tcPr>
          <w:p w14:paraId="6D546857">
            <w:pPr>
              <w:pStyle w:val="50"/>
              <w:jc w:val="center"/>
              <w:rPr>
                <w:rFonts w:hint="eastAsia" w:ascii="宋体" w:hAnsi="宋体" w:eastAsia="宋体" w:cs="宋体"/>
                <w:color w:val="auto"/>
                <w:sz w:val="21"/>
                <w:szCs w:val="21"/>
                <w:highlight w:val="none"/>
              </w:rPr>
            </w:pPr>
          </w:p>
        </w:tc>
        <w:tc>
          <w:tcPr>
            <w:tcW w:w="1136" w:type="pct"/>
            <w:vAlign w:val="center"/>
          </w:tcPr>
          <w:p w14:paraId="2E1B7D0B">
            <w:pPr>
              <w:pStyle w:val="50"/>
              <w:jc w:val="center"/>
              <w:rPr>
                <w:rFonts w:hint="eastAsia" w:ascii="宋体" w:hAnsi="宋体" w:eastAsia="宋体" w:cs="宋体"/>
                <w:color w:val="auto"/>
                <w:sz w:val="21"/>
                <w:szCs w:val="21"/>
                <w:highlight w:val="none"/>
              </w:rPr>
            </w:pPr>
          </w:p>
        </w:tc>
      </w:tr>
      <w:tr w14:paraId="39F80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6AF16AFE">
            <w:pPr>
              <w:pStyle w:val="50"/>
              <w:jc w:val="center"/>
              <w:rPr>
                <w:rFonts w:hint="eastAsia" w:ascii="宋体" w:hAnsi="宋体" w:eastAsia="宋体" w:cs="宋体"/>
                <w:color w:val="auto"/>
                <w:sz w:val="21"/>
                <w:szCs w:val="21"/>
                <w:highlight w:val="none"/>
              </w:rPr>
            </w:pPr>
          </w:p>
        </w:tc>
        <w:tc>
          <w:tcPr>
            <w:tcW w:w="1159" w:type="pct"/>
            <w:vAlign w:val="center"/>
          </w:tcPr>
          <w:p w14:paraId="5C7E043B">
            <w:pPr>
              <w:pStyle w:val="50"/>
              <w:jc w:val="center"/>
              <w:rPr>
                <w:rFonts w:hint="eastAsia" w:ascii="宋体" w:hAnsi="宋体" w:eastAsia="宋体" w:cs="宋体"/>
                <w:color w:val="auto"/>
                <w:sz w:val="21"/>
                <w:szCs w:val="21"/>
                <w:highlight w:val="none"/>
              </w:rPr>
            </w:pPr>
          </w:p>
        </w:tc>
        <w:tc>
          <w:tcPr>
            <w:tcW w:w="1031" w:type="pct"/>
            <w:vAlign w:val="center"/>
          </w:tcPr>
          <w:p w14:paraId="64166C7A">
            <w:pPr>
              <w:pStyle w:val="50"/>
              <w:jc w:val="center"/>
              <w:rPr>
                <w:rFonts w:hint="eastAsia" w:ascii="宋体" w:hAnsi="宋体" w:eastAsia="宋体" w:cs="宋体"/>
                <w:color w:val="auto"/>
                <w:sz w:val="21"/>
                <w:szCs w:val="21"/>
                <w:highlight w:val="none"/>
              </w:rPr>
            </w:pPr>
          </w:p>
        </w:tc>
        <w:tc>
          <w:tcPr>
            <w:tcW w:w="1265" w:type="pct"/>
            <w:vAlign w:val="center"/>
          </w:tcPr>
          <w:p w14:paraId="2817CCE5">
            <w:pPr>
              <w:pStyle w:val="50"/>
              <w:jc w:val="center"/>
              <w:rPr>
                <w:rFonts w:hint="eastAsia" w:ascii="宋体" w:hAnsi="宋体" w:eastAsia="宋体" w:cs="宋体"/>
                <w:color w:val="auto"/>
                <w:sz w:val="21"/>
                <w:szCs w:val="21"/>
                <w:highlight w:val="none"/>
              </w:rPr>
            </w:pPr>
          </w:p>
        </w:tc>
        <w:tc>
          <w:tcPr>
            <w:tcW w:w="1136" w:type="pct"/>
            <w:vAlign w:val="center"/>
          </w:tcPr>
          <w:p w14:paraId="184E3F96">
            <w:pPr>
              <w:pStyle w:val="50"/>
              <w:jc w:val="center"/>
              <w:rPr>
                <w:rFonts w:hint="eastAsia" w:ascii="宋体" w:hAnsi="宋体" w:eastAsia="宋体" w:cs="宋体"/>
                <w:color w:val="auto"/>
                <w:sz w:val="21"/>
                <w:szCs w:val="21"/>
                <w:highlight w:val="none"/>
              </w:rPr>
            </w:pPr>
          </w:p>
        </w:tc>
      </w:tr>
      <w:tr w14:paraId="4BD96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5DBDBE11">
            <w:pPr>
              <w:pStyle w:val="50"/>
              <w:jc w:val="center"/>
              <w:rPr>
                <w:rFonts w:hint="eastAsia" w:ascii="宋体" w:hAnsi="宋体" w:eastAsia="宋体" w:cs="宋体"/>
                <w:color w:val="auto"/>
                <w:sz w:val="21"/>
                <w:szCs w:val="21"/>
                <w:highlight w:val="none"/>
              </w:rPr>
            </w:pPr>
          </w:p>
        </w:tc>
        <w:tc>
          <w:tcPr>
            <w:tcW w:w="1159" w:type="pct"/>
            <w:vAlign w:val="center"/>
          </w:tcPr>
          <w:p w14:paraId="1F11A7BE">
            <w:pPr>
              <w:pStyle w:val="50"/>
              <w:jc w:val="center"/>
              <w:rPr>
                <w:rFonts w:hint="eastAsia" w:ascii="宋体" w:hAnsi="宋体" w:eastAsia="宋体" w:cs="宋体"/>
                <w:color w:val="auto"/>
                <w:sz w:val="21"/>
                <w:szCs w:val="21"/>
                <w:highlight w:val="none"/>
              </w:rPr>
            </w:pPr>
          </w:p>
        </w:tc>
        <w:tc>
          <w:tcPr>
            <w:tcW w:w="1031" w:type="pct"/>
            <w:vAlign w:val="center"/>
          </w:tcPr>
          <w:p w14:paraId="09342B6E">
            <w:pPr>
              <w:pStyle w:val="50"/>
              <w:jc w:val="center"/>
              <w:rPr>
                <w:rFonts w:hint="eastAsia" w:ascii="宋体" w:hAnsi="宋体" w:eastAsia="宋体" w:cs="宋体"/>
                <w:color w:val="auto"/>
                <w:sz w:val="21"/>
                <w:szCs w:val="21"/>
                <w:highlight w:val="none"/>
              </w:rPr>
            </w:pPr>
          </w:p>
        </w:tc>
        <w:tc>
          <w:tcPr>
            <w:tcW w:w="1265" w:type="pct"/>
            <w:vAlign w:val="center"/>
          </w:tcPr>
          <w:p w14:paraId="6742B646">
            <w:pPr>
              <w:pStyle w:val="50"/>
              <w:jc w:val="center"/>
              <w:rPr>
                <w:rFonts w:hint="eastAsia" w:ascii="宋体" w:hAnsi="宋体" w:eastAsia="宋体" w:cs="宋体"/>
                <w:color w:val="auto"/>
                <w:sz w:val="21"/>
                <w:szCs w:val="21"/>
                <w:highlight w:val="none"/>
              </w:rPr>
            </w:pPr>
          </w:p>
        </w:tc>
        <w:tc>
          <w:tcPr>
            <w:tcW w:w="1136" w:type="pct"/>
            <w:vAlign w:val="center"/>
          </w:tcPr>
          <w:p w14:paraId="4C72FCC2">
            <w:pPr>
              <w:pStyle w:val="50"/>
              <w:jc w:val="center"/>
              <w:rPr>
                <w:rFonts w:hint="eastAsia" w:ascii="宋体" w:hAnsi="宋体" w:eastAsia="宋体" w:cs="宋体"/>
                <w:color w:val="auto"/>
                <w:sz w:val="21"/>
                <w:szCs w:val="21"/>
                <w:highlight w:val="none"/>
              </w:rPr>
            </w:pPr>
          </w:p>
        </w:tc>
      </w:tr>
      <w:tr w14:paraId="26694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5" w:type="pct"/>
            <w:vAlign w:val="center"/>
          </w:tcPr>
          <w:p w14:paraId="0D811F11">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159" w:type="pct"/>
            <w:vAlign w:val="center"/>
          </w:tcPr>
          <w:p w14:paraId="7D0AF02A">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31" w:type="pct"/>
            <w:vAlign w:val="center"/>
          </w:tcPr>
          <w:p w14:paraId="6EC8C4F3">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265" w:type="pct"/>
            <w:vAlign w:val="center"/>
          </w:tcPr>
          <w:p w14:paraId="59EB3DF9">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136" w:type="pct"/>
            <w:vAlign w:val="center"/>
          </w:tcPr>
          <w:p w14:paraId="1BF96619">
            <w:pPr>
              <w:pStyle w:val="50"/>
              <w:jc w:val="center"/>
              <w:rPr>
                <w:rFonts w:hint="eastAsia" w:ascii="宋体" w:hAnsi="宋体" w:eastAsia="宋体" w:cs="宋体"/>
                <w:color w:val="auto"/>
                <w:sz w:val="21"/>
                <w:szCs w:val="21"/>
                <w:highlight w:val="none"/>
              </w:rPr>
            </w:pPr>
          </w:p>
        </w:tc>
      </w:tr>
    </w:tbl>
    <w:p w14:paraId="12AEBD40">
      <w:pPr>
        <w:ind w:firstLine="480" w:firstLineChars="200"/>
        <w:rPr>
          <w:rFonts w:cs="仿宋_GB2312"/>
          <w:color w:val="auto"/>
          <w:szCs w:val="24"/>
          <w:highlight w:val="none"/>
        </w:rPr>
      </w:pPr>
    </w:p>
    <w:p w14:paraId="53059121">
      <w:pPr>
        <w:ind w:firstLine="480" w:firstLineChars="20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仿宋_GB2312"/>
          <w:color w:val="auto"/>
          <w:szCs w:val="24"/>
          <w:highlight w:val="none"/>
        </w:rPr>
        <w:t>：</w:t>
      </w:r>
    </w:p>
    <w:p w14:paraId="27EF6D84">
      <w:pPr>
        <w:ind w:firstLine="420"/>
        <w:rPr>
          <w:rFonts w:cs="仿宋_GB2312"/>
          <w:color w:val="auto"/>
          <w:szCs w:val="24"/>
          <w:highlight w:val="none"/>
        </w:rPr>
      </w:pPr>
      <w:r>
        <w:rPr>
          <w:rFonts w:hint="eastAsia" w:cs="仿宋_GB2312"/>
          <w:color w:val="auto"/>
          <w:szCs w:val="24"/>
          <w:highlight w:val="none"/>
        </w:rPr>
        <w:t>日      期：</w:t>
      </w:r>
    </w:p>
    <w:p w14:paraId="34FA0C9E">
      <w:pPr>
        <w:ind w:firstLine="420"/>
        <w:rPr>
          <w:rFonts w:hint="eastAsia" w:cs="仿宋_GB2312"/>
          <w:color w:val="auto"/>
          <w:sz w:val="21"/>
          <w:szCs w:val="21"/>
          <w:highlight w:val="none"/>
          <w:lang w:val="en-US" w:eastAsia="zh-CN"/>
        </w:rPr>
      </w:pPr>
    </w:p>
    <w:p w14:paraId="695CF979">
      <w:pPr>
        <w:ind w:firstLine="420" w:firstLineChars="200"/>
        <w:rPr>
          <w:rFonts w:cs="仿宋_GB2312"/>
          <w:color w:val="auto"/>
          <w:szCs w:val="24"/>
          <w:highlight w:val="none"/>
        </w:rPr>
      </w:pPr>
      <w:r>
        <w:rPr>
          <w:rFonts w:hint="eastAsia" w:cs="仿宋_GB2312"/>
          <w:color w:val="auto"/>
          <w:sz w:val="21"/>
          <w:szCs w:val="21"/>
          <w:highlight w:val="none"/>
        </w:rPr>
        <w:t>注：投标人应按照招标文件“第三章 采购需求”</w:t>
      </w:r>
      <w:r>
        <w:rPr>
          <w:rFonts w:hint="eastAsia" w:cs="仿宋_GB2312"/>
          <w:color w:val="auto"/>
          <w:sz w:val="21"/>
          <w:szCs w:val="21"/>
          <w:highlight w:val="none"/>
          <w:lang w:val="en-US" w:eastAsia="zh-CN"/>
        </w:rPr>
        <w:t>中的技术要求</w:t>
      </w:r>
      <w:r>
        <w:rPr>
          <w:rFonts w:hint="eastAsia" w:cs="仿宋_GB2312"/>
          <w:color w:val="auto"/>
          <w:sz w:val="21"/>
          <w:szCs w:val="21"/>
          <w:highlight w:val="none"/>
        </w:rPr>
        <w:t>填写</w:t>
      </w:r>
      <w:r>
        <w:rPr>
          <w:rFonts w:hint="eastAsia" w:cs="仿宋_GB2312"/>
          <w:color w:val="auto"/>
          <w:sz w:val="21"/>
          <w:szCs w:val="21"/>
          <w:highlight w:val="none"/>
          <w:lang w:eastAsia="zh-CN"/>
        </w:rPr>
        <w:t>：</w:t>
      </w:r>
    </w:p>
    <w:p w14:paraId="2C3D9747">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1.“招标文件技术要求条款”栏应详细列明招标文件中的要求。 </w:t>
      </w:r>
    </w:p>
    <w:p w14:paraId="67B3A4D5">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2.“投标文件内容对应简述”栏填写投标人对招标文件提出的技术要求作出的明确响应，并列明具体响应数值或内容，只注明符合、满足等无具体内容表述的，将视为未实质性满足招标文件要求</w:t>
      </w:r>
      <w:r>
        <w:rPr>
          <w:rFonts w:hint="default" w:cs="仿宋_GB2312"/>
          <w:color w:val="auto"/>
          <w:sz w:val="21"/>
          <w:szCs w:val="21"/>
          <w:highlight w:val="none"/>
          <w:lang w:val="en-US" w:eastAsia="zh-CN"/>
        </w:rPr>
        <w:t>，</w:t>
      </w:r>
      <w:r>
        <w:rPr>
          <w:rFonts w:hint="eastAsia" w:cs="仿宋_GB2312"/>
          <w:b/>
          <w:bCs/>
          <w:color w:val="auto"/>
          <w:sz w:val="21"/>
          <w:szCs w:val="21"/>
          <w:highlight w:val="none"/>
          <w:lang w:val="en-US" w:eastAsia="zh-CN"/>
        </w:rPr>
        <w:t>投标</w:t>
      </w:r>
      <w:r>
        <w:rPr>
          <w:rFonts w:hint="default" w:cs="仿宋_GB2312"/>
          <w:b/>
          <w:bCs/>
          <w:color w:val="auto"/>
          <w:sz w:val="21"/>
          <w:szCs w:val="21"/>
          <w:highlight w:val="none"/>
          <w:lang w:val="en-US" w:eastAsia="zh-CN"/>
        </w:rPr>
        <w:t>无效</w:t>
      </w:r>
      <w:r>
        <w:rPr>
          <w:rFonts w:hint="eastAsia" w:cs="仿宋_GB2312"/>
          <w:color w:val="auto"/>
          <w:sz w:val="21"/>
          <w:szCs w:val="21"/>
          <w:highlight w:val="none"/>
          <w:lang w:val="en-US" w:eastAsia="zh-CN"/>
        </w:rPr>
        <w:t xml:space="preserve">。 </w:t>
      </w:r>
    </w:p>
    <w:p w14:paraId="1ADFBBD2">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3.“响应情况”栏应据实填写“响应”、“正偏离”或“负偏离”。 </w:t>
      </w:r>
    </w:p>
    <w:p w14:paraId="5D0BE6F5">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4.“证明资料及索引”栏可填写证明资料的具体内容及索引。</w:t>
      </w:r>
    </w:p>
    <w:p w14:paraId="2738FDA8">
      <w:pPr>
        <w:ind w:firstLine="420" w:firstLineChars="200"/>
        <w:rPr>
          <w:rFonts w:hint="eastAsia" w:cs="仿宋_GB2312"/>
          <w:color w:val="auto"/>
          <w:sz w:val="21"/>
          <w:szCs w:val="21"/>
          <w:highlight w:val="none"/>
          <w:lang w:val="en-US" w:eastAsia="zh-CN"/>
        </w:rPr>
      </w:pPr>
      <w:r>
        <w:rPr>
          <w:rFonts w:hint="eastAsia" w:cs="仿宋_GB2312"/>
          <w:color w:val="auto"/>
          <w:sz w:val="21"/>
          <w:szCs w:val="21"/>
          <w:highlight w:val="none"/>
          <w:lang w:val="en-US" w:eastAsia="zh-CN"/>
        </w:rPr>
        <w:t>5.对招标文件中的所有技术要求，除本表所列明的所有偏离外，均视作供应商</w:t>
      </w:r>
      <w:r>
        <w:rPr>
          <w:rFonts w:hint="default" w:cs="仿宋_GB2312"/>
          <w:color w:val="auto"/>
          <w:sz w:val="21"/>
          <w:szCs w:val="21"/>
          <w:highlight w:val="none"/>
          <w:lang w:val="en-US" w:eastAsia="zh-CN"/>
        </w:rPr>
        <w:t>已对之理解和响应。此表中若无任何文字说明，内容为空白的，</w:t>
      </w:r>
      <w:r>
        <w:rPr>
          <w:rFonts w:hint="default" w:cs="仿宋_GB2312"/>
          <w:b/>
          <w:bCs/>
          <w:color w:val="auto"/>
          <w:sz w:val="21"/>
          <w:szCs w:val="21"/>
          <w:highlight w:val="none"/>
          <w:lang w:val="en-US" w:eastAsia="zh-CN"/>
        </w:rPr>
        <w:t>投标无效</w:t>
      </w:r>
      <w:r>
        <w:rPr>
          <w:rFonts w:hint="default" w:cs="仿宋_GB2312"/>
          <w:color w:val="auto"/>
          <w:sz w:val="21"/>
          <w:szCs w:val="21"/>
          <w:highlight w:val="none"/>
          <w:lang w:val="en-US" w:eastAsia="zh-CN"/>
        </w:rPr>
        <w:t>。</w:t>
      </w:r>
    </w:p>
    <w:p w14:paraId="47044C1A">
      <w:pPr>
        <w:ind w:firstLine="420"/>
        <w:rPr>
          <w:rFonts w:hint="eastAsia" w:cs="仿宋_GB2312"/>
          <w:color w:val="auto"/>
          <w:sz w:val="21"/>
          <w:szCs w:val="21"/>
          <w:highlight w:val="none"/>
          <w:lang w:val="en-US" w:eastAsia="zh-CN"/>
        </w:rPr>
      </w:pPr>
    </w:p>
    <w:p w14:paraId="49372E23">
      <w:pPr>
        <w:ind w:firstLine="420"/>
        <w:rPr>
          <w:rFonts w:hint="eastAsia" w:cs="仿宋_GB2312"/>
          <w:color w:val="auto"/>
          <w:sz w:val="21"/>
          <w:szCs w:val="21"/>
          <w:highlight w:val="none"/>
          <w:lang w:val="en-US" w:eastAsia="zh-CN"/>
        </w:rPr>
      </w:pPr>
    </w:p>
    <w:p w14:paraId="30496E48">
      <w:pPr>
        <w:ind w:firstLine="420"/>
        <w:rPr>
          <w:rFonts w:hint="eastAsia" w:cs="仿宋_GB2312"/>
          <w:color w:val="auto"/>
          <w:sz w:val="21"/>
          <w:szCs w:val="21"/>
          <w:highlight w:val="none"/>
          <w:lang w:val="en-US" w:eastAsia="zh-CN"/>
        </w:rPr>
      </w:pPr>
    </w:p>
    <w:p w14:paraId="06C98EB9">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411" w:name="_Toc163492935"/>
      <w:bookmarkStart w:id="412" w:name="_Toc5913"/>
      <w:r>
        <w:rPr>
          <w:rFonts w:hint="eastAsia" w:cstheme="majorBidi"/>
          <w:b/>
          <w:bCs/>
          <w:color w:val="auto"/>
          <w:kern w:val="2"/>
          <w:sz w:val="32"/>
          <w:szCs w:val="32"/>
          <w:highlight w:val="none"/>
          <w:lang w:val="en-US" w:eastAsia="zh-CN" w:bidi="ar-SA"/>
        </w:rPr>
        <w:t>十</w:t>
      </w:r>
      <w:r>
        <w:rPr>
          <w:rFonts w:hint="eastAsia" w:eastAsia="宋体" w:asciiTheme="majorHAnsi" w:hAnsiTheme="majorHAnsi" w:cstheme="majorBidi"/>
          <w:b/>
          <w:bCs/>
          <w:color w:val="auto"/>
          <w:kern w:val="2"/>
          <w:sz w:val="32"/>
          <w:szCs w:val="32"/>
          <w:highlight w:val="none"/>
          <w:lang w:val="en-US" w:eastAsia="zh-CN" w:bidi="ar-SA"/>
        </w:rPr>
        <w:t>、技术方案</w:t>
      </w:r>
      <w:bookmarkEnd w:id="411"/>
      <w:bookmarkEnd w:id="412"/>
    </w:p>
    <w:p w14:paraId="3878D3F5">
      <w:pPr>
        <w:pStyle w:val="38"/>
        <w:rPr>
          <w:color w:val="auto"/>
          <w:highlight w:val="none"/>
        </w:rPr>
      </w:pPr>
      <w:r>
        <w:rPr>
          <w:rFonts w:hint="eastAsia"/>
          <w:color w:val="auto"/>
          <w:highlight w:val="none"/>
        </w:rPr>
        <w:t>投标人应按照招标文件的要求，提供详细的</w:t>
      </w:r>
      <w:r>
        <w:rPr>
          <w:rFonts w:hint="eastAsia"/>
          <w:color w:val="auto"/>
          <w:highlight w:val="none"/>
          <w:lang w:val="en-US" w:eastAsia="zh-CN"/>
        </w:rPr>
        <w:t>供货及相关</w:t>
      </w:r>
      <w:r>
        <w:rPr>
          <w:rFonts w:hint="eastAsia"/>
          <w:color w:val="auto"/>
          <w:highlight w:val="none"/>
        </w:rPr>
        <w:t>服务方案，包括文字描述或图表显示。格式自拟。</w:t>
      </w:r>
    </w:p>
    <w:p w14:paraId="7EE77353">
      <w:pPr>
        <w:pStyle w:val="38"/>
        <w:rPr>
          <w:color w:val="auto"/>
          <w:highlight w:val="none"/>
        </w:rPr>
      </w:pPr>
      <w:r>
        <w:rPr>
          <w:color w:val="auto"/>
          <w:highlight w:val="none"/>
        </w:rPr>
        <w:br w:type="page"/>
      </w:r>
    </w:p>
    <w:p w14:paraId="7AD86D6F">
      <w:pPr>
        <w:ind w:firstLine="420"/>
        <w:rPr>
          <w:rFonts w:hint="eastAsia" w:cs="仿宋_GB2312"/>
          <w:color w:val="auto"/>
          <w:sz w:val="21"/>
          <w:szCs w:val="21"/>
          <w:highlight w:val="none"/>
          <w:lang w:val="en-US" w:eastAsia="zh-CN"/>
        </w:rPr>
      </w:pPr>
      <w:bookmarkStart w:id="413" w:name="_Toc163492936"/>
    </w:p>
    <w:p w14:paraId="68D392B1">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414" w:name="_Toc26668"/>
      <w:r>
        <w:rPr>
          <w:rFonts w:hint="eastAsia" w:eastAsia="宋体" w:asciiTheme="majorHAnsi" w:hAnsiTheme="majorHAnsi" w:cstheme="majorBidi"/>
          <w:b/>
          <w:bCs/>
          <w:color w:val="auto"/>
          <w:kern w:val="2"/>
          <w:sz w:val="32"/>
          <w:szCs w:val="32"/>
          <w:highlight w:val="none"/>
          <w:lang w:val="en-US" w:eastAsia="zh-CN" w:bidi="ar-SA"/>
        </w:rPr>
        <w:t>十</w:t>
      </w:r>
      <w:r>
        <w:rPr>
          <w:rFonts w:hint="eastAsia" w:cstheme="majorBidi"/>
          <w:b/>
          <w:bCs/>
          <w:color w:val="auto"/>
          <w:kern w:val="2"/>
          <w:sz w:val="32"/>
          <w:szCs w:val="32"/>
          <w:highlight w:val="none"/>
          <w:lang w:val="en-US" w:eastAsia="zh-CN" w:bidi="ar-SA"/>
        </w:rPr>
        <w:t>一</w:t>
      </w:r>
      <w:r>
        <w:rPr>
          <w:rFonts w:hint="eastAsia" w:eastAsia="宋体" w:asciiTheme="majorHAnsi" w:hAnsiTheme="majorHAnsi" w:cstheme="majorBidi"/>
          <w:b/>
          <w:bCs/>
          <w:color w:val="auto"/>
          <w:kern w:val="2"/>
          <w:sz w:val="32"/>
          <w:szCs w:val="32"/>
          <w:highlight w:val="none"/>
          <w:lang w:val="en-US" w:eastAsia="zh-CN" w:bidi="ar-SA"/>
        </w:rPr>
        <w:t>、其他文件</w:t>
      </w:r>
      <w:bookmarkEnd w:id="413"/>
      <w:bookmarkEnd w:id="414"/>
    </w:p>
    <w:p w14:paraId="6EF40482">
      <w:pPr>
        <w:pStyle w:val="38"/>
        <w:ind w:left="0" w:leftChars="0" w:firstLine="0" w:firstLineChars="0"/>
        <w:rPr>
          <w:rFonts w:hint="eastAsia"/>
          <w:b/>
          <w:bCs/>
          <w:color w:val="auto"/>
          <w:sz w:val="24"/>
          <w:szCs w:val="24"/>
          <w:highlight w:val="none"/>
        </w:rPr>
      </w:pPr>
      <w:r>
        <w:rPr>
          <w:rFonts w:hint="eastAsia"/>
          <w:b/>
          <w:bCs/>
          <w:color w:val="auto"/>
          <w:sz w:val="24"/>
          <w:szCs w:val="24"/>
          <w:highlight w:val="none"/>
          <w:lang w:eastAsia="zh-CN"/>
        </w:rPr>
        <w:t>（</w:t>
      </w:r>
      <w:r>
        <w:rPr>
          <w:rFonts w:hint="eastAsia"/>
          <w:b/>
          <w:bCs/>
          <w:color w:val="auto"/>
          <w:sz w:val="24"/>
          <w:szCs w:val="24"/>
          <w:highlight w:val="none"/>
          <w:lang w:val="en-US" w:eastAsia="zh-CN"/>
        </w:rPr>
        <w:t>一）</w:t>
      </w:r>
      <w:r>
        <w:rPr>
          <w:rFonts w:hint="eastAsia"/>
          <w:b/>
          <w:bCs/>
          <w:color w:val="auto"/>
          <w:sz w:val="24"/>
          <w:szCs w:val="24"/>
          <w:highlight w:val="none"/>
        </w:rPr>
        <w:t>招标文件要求提供的其它商务</w:t>
      </w:r>
      <w:r>
        <w:rPr>
          <w:rFonts w:hint="eastAsia"/>
          <w:b/>
          <w:bCs/>
          <w:color w:val="auto"/>
          <w:sz w:val="24"/>
          <w:szCs w:val="24"/>
          <w:highlight w:val="none"/>
          <w:lang w:eastAsia="zh-CN"/>
        </w:rPr>
        <w:t>、</w:t>
      </w:r>
      <w:r>
        <w:rPr>
          <w:rFonts w:hint="eastAsia"/>
          <w:b/>
          <w:bCs/>
          <w:color w:val="auto"/>
          <w:sz w:val="24"/>
          <w:szCs w:val="24"/>
          <w:highlight w:val="none"/>
        </w:rPr>
        <w:t>技术资料和证明材料；</w:t>
      </w:r>
    </w:p>
    <w:p w14:paraId="1AB0431C">
      <w:pPr>
        <w:pStyle w:val="38"/>
        <w:rPr>
          <w:rFonts w:hint="eastAsia"/>
          <w:color w:val="auto"/>
          <w:sz w:val="24"/>
          <w:szCs w:val="24"/>
          <w:highlight w:val="none"/>
          <w:lang w:val="en-US" w:eastAsia="zh-CN"/>
        </w:rPr>
      </w:pPr>
      <w:r>
        <w:rPr>
          <w:rFonts w:hint="eastAsia"/>
          <w:color w:val="auto"/>
          <w:sz w:val="24"/>
          <w:szCs w:val="24"/>
          <w:highlight w:val="none"/>
          <w:lang w:val="en-US" w:eastAsia="zh-CN"/>
        </w:rPr>
        <w:t>1.1供应商信息采集表</w:t>
      </w:r>
    </w:p>
    <w:tbl>
      <w:tblPr>
        <w:tblStyle w:val="31"/>
        <w:tblW w:w="0" w:type="auto"/>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8"/>
        <w:gridCol w:w="2841"/>
        <w:gridCol w:w="2743"/>
      </w:tblGrid>
      <w:tr w14:paraId="321A6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708" w:type="dxa"/>
            <w:vAlign w:val="center"/>
          </w:tcPr>
          <w:p w14:paraId="1508E63E">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供应商名称</w:t>
            </w:r>
          </w:p>
        </w:tc>
        <w:tc>
          <w:tcPr>
            <w:tcW w:w="2841" w:type="dxa"/>
            <w:vAlign w:val="center"/>
          </w:tcPr>
          <w:p w14:paraId="525F160D">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供应商实际控制人性别</w:t>
            </w:r>
          </w:p>
        </w:tc>
        <w:tc>
          <w:tcPr>
            <w:tcW w:w="2743" w:type="dxa"/>
            <w:vAlign w:val="center"/>
          </w:tcPr>
          <w:p w14:paraId="6288AB90">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外商投资类型</w:t>
            </w:r>
          </w:p>
        </w:tc>
      </w:tr>
      <w:tr w14:paraId="0694C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5BC16E3C">
            <w:pPr>
              <w:pStyle w:val="38"/>
              <w:rPr>
                <w:rFonts w:hint="eastAsia" w:ascii="宋体" w:hAnsi="宋体" w:eastAsia="宋体" w:cs="宋体"/>
                <w:color w:val="auto"/>
                <w:sz w:val="24"/>
                <w:szCs w:val="24"/>
                <w:highlight w:val="none"/>
                <w:vertAlign w:val="baseline"/>
                <w:lang w:val="en-US" w:eastAsia="zh-CN"/>
              </w:rPr>
            </w:pPr>
          </w:p>
        </w:tc>
        <w:tc>
          <w:tcPr>
            <w:tcW w:w="2841" w:type="dxa"/>
          </w:tcPr>
          <w:p w14:paraId="471F983C">
            <w:pPr>
              <w:pStyle w:val="38"/>
              <w:rPr>
                <w:rFonts w:hint="eastAsia" w:ascii="宋体" w:hAnsi="宋体" w:eastAsia="宋体" w:cs="宋体"/>
                <w:color w:val="auto"/>
                <w:sz w:val="24"/>
                <w:szCs w:val="24"/>
                <w:highlight w:val="none"/>
                <w:vertAlign w:val="baseline"/>
                <w:lang w:val="en-US" w:eastAsia="zh-CN"/>
              </w:rPr>
            </w:pPr>
          </w:p>
        </w:tc>
        <w:tc>
          <w:tcPr>
            <w:tcW w:w="2743" w:type="dxa"/>
          </w:tcPr>
          <w:p w14:paraId="59E9D0CB">
            <w:pPr>
              <w:pStyle w:val="38"/>
              <w:rPr>
                <w:rFonts w:hint="eastAsia" w:ascii="宋体" w:hAnsi="宋体" w:eastAsia="宋体" w:cs="宋体"/>
                <w:color w:val="auto"/>
                <w:sz w:val="24"/>
                <w:szCs w:val="24"/>
                <w:highlight w:val="none"/>
                <w:vertAlign w:val="baseline"/>
                <w:lang w:val="en-US" w:eastAsia="zh-CN"/>
              </w:rPr>
            </w:pPr>
          </w:p>
        </w:tc>
      </w:tr>
      <w:tr w14:paraId="6D8FF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3BE5BC20">
            <w:pPr>
              <w:pStyle w:val="38"/>
              <w:rPr>
                <w:rFonts w:hint="eastAsia" w:ascii="宋体" w:hAnsi="宋体" w:eastAsia="宋体" w:cs="宋体"/>
                <w:color w:val="auto"/>
                <w:sz w:val="24"/>
                <w:szCs w:val="24"/>
                <w:highlight w:val="none"/>
                <w:vertAlign w:val="baseline"/>
                <w:lang w:val="en-US" w:eastAsia="zh-CN"/>
              </w:rPr>
            </w:pPr>
          </w:p>
        </w:tc>
        <w:tc>
          <w:tcPr>
            <w:tcW w:w="2841" w:type="dxa"/>
          </w:tcPr>
          <w:p w14:paraId="65335BA2">
            <w:pPr>
              <w:pStyle w:val="38"/>
              <w:rPr>
                <w:rFonts w:hint="eastAsia" w:ascii="宋体" w:hAnsi="宋体" w:eastAsia="宋体" w:cs="宋体"/>
                <w:color w:val="auto"/>
                <w:sz w:val="24"/>
                <w:szCs w:val="24"/>
                <w:highlight w:val="none"/>
                <w:vertAlign w:val="baseline"/>
                <w:lang w:val="en-US" w:eastAsia="zh-CN"/>
              </w:rPr>
            </w:pPr>
          </w:p>
        </w:tc>
        <w:tc>
          <w:tcPr>
            <w:tcW w:w="2743" w:type="dxa"/>
          </w:tcPr>
          <w:p w14:paraId="331FBFA7">
            <w:pPr>
              <w:pStyle w:val="38"/>
              <w:rPr>
                <w:rFonts w:hint="eastAsia" w:ascii="宋体" w:hAnsi="宋体" w:eastAsia="宋体" w:cs="宋体"/>
                <w:color w:val="auto"/>
                <w:sz w:val="24"/>
                <w:szCs w:val="24"/>
                <w:highlight w:val="none"/>
                <w:vertAlign w:val="baseline"/>
                <w:lang w:val="en-US" w:eastAsia="zh-CN"/>
              </w:rPr>
            </w:pPr>
          </w:p>
        </w:tc>
      </w:tr>
      <w:tr w14:paraId="1A91A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399AB141">
            <w:pPr>
              <w:pStyle w:val="38"/>
              <w:rPr>
                <w:rFonts w:hint="eastAsia" w:ascii="宋体" w:hAnsi="宋体" w:eastAsia="宋体" w:cs="宋体"/>
                <w:color w:val="auto"/>
                <w:sz w:val="24"/>
                <w:szCs w:val="24"/>
                <w:highlight w:val="none"/>
                <w:vertAlign w:val="baseline"/>
                <w:lang w:val="en-US" w:eastAsia="zh-CN"/>
              </w:rPr>
            </w:pPr>
          </w:p>
        </w:tc>
        <w:tc>
          <w:tcPr>
            <w:tcW w:w="2841" w:type="dxa"/>
          </w:tcPr>
          <w:p w14:paraId="00E4C5E8">
            <w:pPr>
              <w:pStyle w:val="38"/>
              <w:rPr>
                <w:rFonts w:hint="eastAsia" w:ascii="宋体" w:hAnsi="宋体" w:eastAsia="宋体" w:cs="宋体"/>
                <w:color w:val="auto"/>
                <w:sz w:val="24"/>
                <w:szCs w:val="24"/>
                <w:highlight w:val="none"/>
                <w:vertAlign w:val="baseline"/>
                <w:lang w:val="en-US" w:eastAsia="zh-CN"/>
              </w:rPr>
            </w:pPr>
          </w:p>
        </w:tc>
        <w:tc>
          <w:tcPr>
            <w:tcW w:w="2743" w:type="dxa"/>
          </w:tcPr>
          <w:p w14:paraId="42125693">
            <w:pPr>
              <w:pStyle w:val="38"/>
              <w:rPr>
                <w:rFonts w:hint="eastAsia" w:ascii="宋体" w:hAnsi="宋体" w:eastAsia="宋体" w:cs="宋体"/>
                <w:color w:val="auto"/>
                <w:sz w:val="24"/>
                <w:szCs w:val="24"/>
                <w:highlight w:val="none"/>
                <w:vertAlign w:val="baseline"/>
                <w:lang w:val="en-US" w:eastAsia="zh-CN"/>
              </w:rPr>
            </w:pPr>
          </w:p>
        </w:tc>
      </w:tr>
      <w:tr w14:paraId="24B46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2995954E">
            <w:pPr>
              <w:pStyle w:val="38"/>
              <w:rPr>
                <w:rFonts w:hint="eastAsia" w:ascii="宋体" w:hAnsi="宋体" w:eastAsia="宋体" w:cs="宋体"/>
                <w:color w:val="auto"/>
                <w:sz w:val="24"/>
                <w:szCs w:val="24"/>
                <w:highlight w:val="none"/>
                <w:vertAlign w:val="baseline"/>
                <w:lang w:val="en-US" w:eastAsia="zh-CN"/>
              </w:rPr>
            </w:pPr>
          </w:p>
        </w:tc>
        <w:tc>
          <w:tcPr>
            <w:tcW w:w="2841" w:type="dxa"/>
          </w:tcPr>
          <w:p w14:paraId="75889361">
            <w:pPr>
              <w:pStyle w:val="38"/>
              <w:rPr>
                <w:rFonts w:hint="eastAsia" w:ascii="宋体" w:hAnsi="宋体" w:eastAsia="宋体" w:cs="宋体"/>
                <w:color w:val="auto"/>
                <w:sz w:val="24"/>
                <w:szCs w:val="24"/>
                <w:highlight w:val="none"/>
                <w:vertAlign w:val="baseline"/>
                <w:lang w:val="en-US" w:eastAsia="zh-CN"/>
              </w:rPr>
            </w:pPr>
          </w:p>
        </w:tc>
        <w:tc>
          <w:tcPr>
            <w:tcW w:w="2743" w:type="dxa"/>
          </w:tcPr>
          <w:p w14:paraId="760C7D5C">
            <w:pPr>
              <w:pStyle w:val="38"/>
              <w:rPr>
                <w:rFonts w:hint="eastAsia" w:ascii="宋体" w:hAnsi="宋体" w:eastAsia="宋体" w:cs="宋体"/>
                <w:color w:val="auto"/>
                <w:sz w:val="24"/>
                <w:szCs w:val="24"/>
                <w:highlight w:val="none"/>
                <w:vertAlign w:val="baseline"/>
                <w:lang w:val="en-US" w:eastAsia="zh-CN"/>
              </w:rPr>
            </w:pPr>
          </w:p>
        </w:tc>
      </w:tr>
    </w:tbl>
    <w:p w14:paraId="799D1172">
      <w:pPr>
        <w:keepNext w:val="0"/>
        <w:keepLines w:val="0"/>
        <w:widowControl/>
        <w:suppressLineNumbers w:val="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注：1.供应商如为联合体，则应填写联合体各成员信息。 </w:t>
      </w:r>
    </w:p>
    <w:p w14:paraId="429C5533">
      <w:pPr>
        <w:keepNext w:val="0"/>
        <w:keepLines w:val="0"/>
        <w:widowControl/>
        <w:suppressLineNumbers w:val="0"/>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w:t>
      </w:r>
      <w:r>
        <w:rPr>
          <w:rFonts w:hint="eastAsia" w:cs="宋体"/>
          <w:color w:val="auto"/>
          <w:kern w:val="0"/>
          <w:sz w:val="21"/>
          <w:szCs w:val="21"/>
          <w:highlight w:val="none"/>
          <w:lang w:val="en-US" w:eastAsia="zh-CN" w:bidi="ar"/>
        </w:rPr>
        <w:t>“供应商实际控制人性别”</w:t>
      </w:r>
      <w:r>
        <w:rPr>
          <w:rFonts w:hint="eastAsia" w:ascii="宋体" w:hAnsi="宋体" w:eastAsia="宋体" w:cs="宋体"/>
          <w:color w:val="auto"/>
          <w:kern w:val="0"/>
          <w:sz w:val="21"/>
          <w:szCs w:val="21"/>
          <w:highlight w:val="none"/>
          <w:lang w:val="en-US" w:eastAsia="zh-CN" w:bidi="ar"/>
        </w:rPr>
        <w:t>按供应商实际控制人性别划分请填写“男”或“女”，指拥有供应商 51%以上绝对所有权的性</w:t>
      </w:r>
      <w:r>
        <w:rPr>
          <w:rFonts w:hint="eastAsia" w:cs="宋体"/>
          <w:color w:val="auto"/>
          <w:kern w:val="0"/>
          <w:sz w:val="21"/>
          <w:szCs w:val="21"/>
          <w:highlight w:val="none"/>
          <w:lang w:val="en-US" w:eastAsia="zh-CN" w:bidi="ar"/>
        </w:rPr>
        <w:t>别</w:t>
      </w:r>
      <w:r>
        <w:rPr>
          <w:rFonts w:hint="eastAsia" w:ascii="宋体" w:hAnsi="宋体" w:eastAsia="宋体" w:cs="宋体"/>
          <w:color w:val="auto"/>
          <w:kern w:val="0"/>
          <w:sz w:val="21"/>
          <w:szCs w:val="21"/>
          <w:highlight w:val="none"/>
          <w:lang w:val="en-US" w:eastAsia="zh-CN" w:bidi="ar"/>
        </w:rPr>
        <w:t>；绝对所有权拥有者可以是一个人，也可以是多人合计计算。</w:t>
      </w:r>
    </w:p>
    <w:p w14:paraId="6C85D95C">
      <w:pPr>
        <w:pStyle w:val="38"/>
        <w:ind w:left="0" w:leftChars="0" w:firstLine="420" w:firstLineChars="200"/>
        <w:rPr>
          <w:rFonts w:hint="eastAsia"/>
          <w:color w:val="auto"/>
          <w:sz w:val="21"/>
          <w:szCs w:val="21"/>
          <w:highlight w:val="none"/>
          <w:lang w:eastAsia="zh-CN"/>
        </w:rPr>
      </w:pPr>
      <w:r>
        <w:rPr>
          <w:rFonts w:hint="eastAsia" w:ascii="宋体" w:hAnsi="宋体" w:eastAsia="宋体" w:cs="宋体"/>
          <w:color w:val="auto"/>
          <w:kern w:val="0"/>
          <w:sz w:val="21"/>
          <w:szCs w:val="21"/>
          <w:highlight w:val="none"/>
          <w:lang w:val="en-US" w:eastAsia="zh-CN" w:bidi="ar"/>
        </w:rPr>
        <w:t>3.</w:t>
      </w:r>
      <w:r>
        <w:rPr>
          <w:rFonts w:hint="eastAsia"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外商投资类型</w:t>
      </w:r>
      <w:r>
        <w:rPr>
          <w:rFonts w:hint="eastAsia"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请填写“外商单独投资”、“外商部分投资”或“内资”。</w:t>
      </w:r>
    </w:p>
    <w:p w14:paraId="74B37C36">
      <w:pPr>
        <w:pStyle w:val="38"/>
        <w:rPr>
          <w:rFonts w:hint="eastAsia"/>
          <w:color w:val="auto"/>
          <w:sz w:val="28"/>
          <w:szCs w:val="28"/>
          <w:highlight w:val="none"/>
          <w:lang w:val="en-US" w:eastAsia="zh-CN"/>
        </w:rPr>
      </w:pPr>
    </w:p>
    <w:p w14:paraId="3F26FF37">
      <w:pPr>
        <w:pStyle w:val="38"/>
        <w:rPr>
          <w:rFonts w:hint="eastAsia"/>
          <w:color w:val="auto"/>
          <w:sz w:val="24"/>
          <w:szCs w:val="24"/>
          <w:highlight w:val="none"/>
          <w:lang w:val="en-US" w:eastAsia="zh-CN"/>
        </w:rPr>
      </w:pPr>
      <w:r>
        <w:rPr>
          <w:rFonts w:hint="eastAsia"/>
          <w:color w:val="auto"/>
          <w:sz w:val="24"/>
          <w:szCs w:val="24"/>
          <w:highlight w:val="none"/>
          <w:lang w:val="en-US" w:eastAsia="zh-CN"/>
        </w:rPr>
        <w:t>1.2其它商务、技术资料和证明材料</w:t>
      </w:r>
    </w:p>
    <w:p w14:paraId="110B54DA">
      <w:pPr>
        <w:pStyle w:val="38"/>
        <w:ind w:left="0" w:leftChars="0" w:firstLine="0" w:firstLineChars="0"/>
        <w:rPr>
          <w:rFonts w:hint="eastAsia"/>
          <w:b/>
          <w:bCs/>
          <w:color w:val="auto"/>
          <w:sz w:val="24"/>
          <w:szCs w:val="24"/>
          <w:highlight w:val="none"/>
          <w:lang w:eastAsia="zh-CN"/>
        </w:rPr>
      </w:pPr>
    </w:p>
    <w:p w14:paraId="7DF13FE9">
      <w:pPr>
        <w:pStyle w:val="38"/>
        <w:ind w:left="0" w:leftChars="0" w:firstLine="0" w:firstLineChars="0"/>
        <w:rPr>
          <w:rFonts w:hint="eastAsia"/>
          <w:b/>
          <w:bCs/>
          <w:color w:val="auto"/>
          <w:sz w:val="24"/>
          <w:szCs w:val="24"/>
          <w:highlight w:val="none"/>
        </w:rPr>
      </w:pPr>
      <w:r>
        <w:rPr>
          <w:rFonts w:hint="eastAsia"/>
          <w:b/>
          <w:bCs/>
          <w:color w:val="auto"/>
          <w:sz w:val="24"/>
          <w:szCs w:val="24"/>
          <w:highlight w:val="none"/>
          <w:lang w:eastAsia="zh-CN"/>
        </w:rPr>
        <w:t>（</w:t>
      </w:r>
      <w:r>
        <w:rPr>
          <w:rFonts w:hint="eastAsia"/>
          <w:b/>
          <w:bCs/>
          <w:color w:val="auto"/>
          <w:sz w:val="24"/>
          <w:szCs w:val="24"/>
          <w:highlight w:val="none"/>
          <w:lang w:val="en-US" w:eastAsia="zh-CN"/>
        </w:rPr>
        <w:t>二）</w:t>
      </w:r>
      <w:r>
        <w:rPr>
          <w:rFonts w:hint="eastAsia"/>
          <w:b/>
          <w:bCs/>
          <w:color w:val="auto"/>
          <w:sz w:val="24"/>
          <w:szCs w:val="24"/>
          <w:highlight w:val="none"/>
        </w:rPr>
        <w:t>投标人认为需要提供的其它商务</w:t>
      </w:r>
      <w:r>
        <w:rPr>
          <w:rFonts w:hint="eastAsia"/>
          <w:b/>
          <w:bCs/>
          <w:color w:val="auto"/>
          <w:sz w:val="24"/>
          <w:szCs w:val="24"/>
          <w:highlight w:val="none"/>
          <w:lang w:eastAsia="zh-CN"/>
        </w:rPr>
        <w:t>、</w:t>
      </w:r>
      <w:r>
        <w:rPr>
          <w:rFonts w:hint="eastAsia"/>
          <w:b/>
          <w:bCs/>
          <w:color w:val="auto"/>
          <w:sz w:val="24"/>
          <w:szCs w:val="24"/>
          <w:highlight w:val="none"/>
        </w:rPr>
        <w:t>技术资料和说明。</w:t>
      </w:r>
    </w:p>
    <w:p w14:paraId="3352B805">
      <w:pPr>
        <w:pStyle w:val="38"/>
        <w:rPr>
          <w:rFonts w:hint="eastAsia"/>
          <w:color w:val="auto"/>
          <w:highlight w:val="none"/>
        </w:rPr>
      </w:pPr>
    </w:p>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华文楷体">
    <w:panose1 w:val="02010600040101010101"/>
    <w:charset w:val="86"/>
    <w:family w:val="auto"/>
    <w:pitch w:val="default"/>
    <w:sig w:usb0="00000287" w:usb1="080F0000" w:usb2="00000000" w:usb3="00000000" w:csb0="0004009F" w:csb1="DFD70000"/>
  </w:font>
  <w:font w:name="FZShuSong-Z01">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Helvetica">
    <w:altName w:val="Arial"/>
    <w:panose1 w:val="020B0504020202020204"/>
    <w:charset w:val="00"/>
    <w:family w:val="swiss"/>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方正小标宋_GBK">
    <w:altName w:val="微软雅黑"/>
    <w:panose1 w:val="03000509000000000000"/>
    <w:charset w:val="86"/>
    <w:family w:val="auto"/>
    <w:pitch w:val="default"/>
    <w:sig w:usb0="00000000" w:usb1="00000000" w:usb2="00000000" w:usb3="00000000" w:csb0="00040000" w:csb1="00000000"/>
  </w:font>
  <w:font w:name="DejaVuSans">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75237">
    <w:pPr>
      <w:pStyle w:val="19"/>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4804"/>
                          </w:sdtPr>
                          <w:sdtContent>
                            <w:p w14:paraId="43E63C1D">
                              <w:pPr>
                                <w:pStyle w:val="19"/>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718A90BE"/>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147454804"/>
                    </w:sdtPr>
                    <w:sdtContent>
                      <w:p w14:paraId="43E63C1D">
                        <w:pPr>
                          <w:pStyle w:val="19"/>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718A90BE"/>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A2D5C">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3757FD">
                          <w:pPr>
                            <w:pStyle w:val="19"/>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13757FD">
                    <w:pPr>
                      <w:pStyle w:val="19"/>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41052">
    <w:pPr>
      <w:pStyle w:val="19"/>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8428888"/>
                          </w:sdtPr>
                          <w:sdtContent>
                            <w:p w14:paraId="1087FA9B">
                              <w:pPr>
                                <w:pStyle w:val="19"/>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448A7938"/>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sdt>
                    <w:sdtPr>
                      <w:id w:val="-178428888"/>
                    </w:sdtPr>
                    <w:sdtContent>
                      <w:p w14:paraId="1087FA9B">
                        <w:pPr>
                          <w:pStyle w:val="19"/>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448A7938"/>
                </w:txbxContent>
              </v:textbox>
            </v:shape>
          </w:pict>
        </mc:Fallback>
      </mc:AlternateContent>
    </w:r>
  </w:p>
  <w:p w14:paraId="4005E617">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57AC4">
    <w:pPr>
      <w:pStyle w:val="20"/>
      <w:keepNext w:val="0"/>
      <w:keepLines w:val="0"/>
      <w:pageBreakBefore w:val="0"/>
      <w:widowControl w:val="0"/>
      <w:pBdr>
        <w:bottom w:val="none" w:color="auto" w:sz="0" w:space="1"/>
      </w:pBdr>
      <w:kinsoku/>
      <w:wordWrap/>
      <w:overflowPunct/>
      <w:topLinePunct w:val="0"/>
      <w:bidi w:val="0"/>
      <w:adjustRightInd/>
      <w:snapToGrid w:val="0"/>
      <w:jc w:val="right"/>
      <w:textAlignment w:val="auto"/>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2F3D0">
    <w:pPr>
      <w:pStyle w:val="2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070575"/>
    <w:multiLevelType w:val="singleLevel"/>
    <w:tmpl w:val="9C070575"/>
    <w:lvl w:ilvl="0" w:tentative="0">
      <w:start w:val="1"/>
      <w:numFmt w:val="decimal"/>
      <w:pStyle w:val="7"/>
      <w:lvlText w:val="%1."/>
      <w:lvlJc w:val="left"/>
      <w:pPr>
        <w:tabs>
          <w:tab w:val="left" w:pos="780"/>
        </w:tabs>
        <w:ind w:left="780" w:hanging="360"/>
      </w:p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1C761375"/>
    <w:multiLevelType w:val="multilevel"/>
    <w:tmpl w:val="1C76137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47B6378"/>
    <w:multiLevelType w:val="multilevel"/>
    <w:tmpl w:val="447B6378"/>
    <w:lvl w:ilvl="0" w:tentative="0">
      <w:start w:val="1"/>
      <w:numFmt w:val="decimal"/>
      <w:pStyle w:val="40"/>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75504026"/>
    <w:multiLevelType w:val="multilevel"/>
    <w:tmpl w:val="75504026"/>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7A0F6431"/>
    <w:multiLevelType w:val="singleLevel"/>
    <w:tmpl w:val="7A0F6431"/>
    <w:lvl w:ilvl="0" w:tentative="0">
      <w:start w:val="1"/>
      <w:numFmt w:val="decimal"/>
      <w:suff w:val="space"/>
      <w:lvlText w:val="%1."/>
      <w:lvlJc w:val="left"/>
    </w:lvl>
  </w:abstractNum>
  <w:num w:numId="1">
    <w:abstractNumId w:val="0"/>
  </w:num>
  <w:num w:numId="2">
    <w:abstractNumId w:val="8"/>
  </w:num>
  <w:num w:numId="3">
    <w:abstractNumId w:val="10"/>
  </w:num>
  <w:num w:numId="4">
    <w:abstractNumId w:val="2"/>
  </w:num>
  <w:num w:numId="5">
    <w:abstractNumId w:val="6"/>
  </w:num>
  <w:num w:numId="6">
    <w:abstractNumId w:val="4"/>
  </w:num>
  <w:num w:numId="7">
    <w:abstractNumId w:val="3"/>
  </w:num>
  <w:num w:numId="8">
    <w:abstractNumId w:val="1"/>
  </w:num>
  <w:num w:numId="9">
    <w:abstractNumId w:val="5"/>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JkNTg1OTJkZTA1ZDVhNGYzMmVkNzJiZGI5ZmNhNzAifQ=="/>
  </w:docVars>
  <w:rsids>
    <w:rsidRoot w:val="00172A27"/>
    <w:rsid w:val="0000366A"/>
    <w:rsid w:val="00006F7F"/>
    <w:rsid w:val="00007003"/>
    <w:rsid w:val="000075B7"/>
    <w:rsid w:val="000237EA"/>
    <w:rsid w:val="00027CD2"/>
    <w:rsid w:val="00031E0C"/>
    <w:rsid w:val="00040832"/>
    <w:rsid w:val="00040D23"/>
    <w:rsid w:val="000439DA"/>
    <w:rsid w:val="00063604"/>
    <w:rsid w:val="0006370A"/>
    <w:rsid w:val="00066832"/>
    <w:rsid w:val="00067934"/>
    <w:rsid w:val="000720BF"/>
    <w:rsid w:val="0008641D"/>
    <w:rsid w:val="000B39A0"/>
    <w:rsid w:val="000C3E03"/>
    <w:rsid w:val="000C488D"/>
    <w:rsid w:val="000C52EC"/>
    <w:rsid w:val="000D0230"/>
    <w:rsid w:val="000D0AD3"/>
    <w:rsid w:val="000E45BD"/>
    <w:rsid w:val="000E4E33"/>
    <w:rsid w:val="000E67CF"/>
    <w:rsid w:val="000F20FD"/>
    <w:rsid w:val="000F39B0"/>
    <w:rsid w:val="001008D8"/>
    <w:rsid w:val="001022A4"/>
    <w:rsid w:val="00115EF7"/>
    <w:rsid w:val="0013642D"/>
    <w:rsid w:val="00146410"/>
    <w:rsid w:val="00150D67"/>
    <w:rsid w:val="00150EAD"/>
    <w:rsid w:val="00156600"/>
    <w:rsid w:val="00160E9C"/>
    <w:rsid w:val="00172190"/>
    <w:rsid w:val="00173480"/>
    <w:rsid w:val="00181988"/>
    <w:rsid w:val="00182557"/>
    <w:rsid w:val="0018304A"/>
    <w:rsid w:val="001904E9"/>
    <w:rsid w:val="001A77DE"/>
    <w:rsid w:val="001B36EC"/>
    <w:rsid w:val="001D7B23"/>
    <w:rsid w:val="001E2F56"/>
    <w:rsid w:val="00204A2D"/>
    <w:rsid w:val="002062E6"/>
    <w:rsid w:val="00207131"/>
    <w:rsid w:val="0022214D"/>
    <w:rsid w:val="00223585"/>
    <w:rsid w:val="002257E4"/>
    <w:rsid w:val="002317DB"/>
    <w:rsid w:val="00232245"/>
    <w:rsid w:val="0023265E"/>
    <w:rsid w:val="00235B5A"/>
    <w:rsid w:val="00251060"/>
    <w:rsid w:val="002514A3"/>
    <w:rsid w:val="00256B32"/>
    <w:rsid w:val="00256D01"/>
    <w:rsid w:val="002706F2"/>
    <w:rsid w:val="00271135"/>
    <w:rsid w:val="00285E30"/>
    <w:rsid w:val="00292BAB"/>
    <w:rsid w:val="002A1AEC"/>
    <w:rsid w:val="002A1BCB"/>
    <w:rsid w:val="002A5262"/>
    <w:rsid w:val="002A6484"/>
    <w:rsid w:val="002A79C6"/>
    <w:rsid w:val="002C06B9"/>
    <w:rsid w:val="002C0FDD"/>
    <w:rsid w:val="002C5E37"/>
    <w:rsid w:val="002D11F7"/>
    <w:rsid w:val="002D48C5"/>
    <w:rsid w:val="002E0B52"/>
    <w:rsid w:val="002E1CF4"/>
    <w:rsid w:val="002E5FED"/>
    <w:rsid w:val="002F0DA9"/>
    <w:rsid w:val="003113C1"/>
    <w:rsid w:val="00312C3A"/>
    <w:rsid w:val="0031353D"/>
    <w:rsid w:val="0032200D"/>
    <w:rsid w:val="00333B37"/>
    <w:rsid w:val="0034487B"/>
    <w:rsid w:val="00347CC6"/>
    <w:rsid w:val="00347D88"/>
    <w:rsid w:val="00350BCD"/>
    <w:rsid w:val="0035643C"/>
    <w:rsid w:val="00366226"/>
    <w:rsid w:val="003746B0"/>
    <w:rsid w:val="00374A6B"/>
    <w:rsid w:val="00383E1C"/>
    <w:rsid w:val="00390D4A"/>
    <w:rsid w:val="0039222E"/>
    <w:rsid w:val="0039288A"/>
    <w:rsid w:val="00393395"/>
    <w:rsid w:val="0039372E"/>
    <w:rsid w:val="00394AF5"/>
    <w:rsid w:val="003A19A4"/>
    <w:rsid w:val="003A1A1B"/>
    <w:rsid w:val="003A4485"/>
    <w:rsid w:val="003A4878"/>
    <w:rsid w:val="003B4310"/>
    <w:rsid w:val="003B60A6"/>
    <w:rsid w:val="003C5883"/>
    <w:rsid w:val="003C7C49"/>
    <w:rsid w:val="003D3327"/>
    <w:rsid w:val="003D6656"/>
    <w:rsid w:val="003E057C"/>
    <w:rsid w:val="003E2B14"/>
    <w:rsid w:val="003E314B"/>
    <w:rsid w:val="003F5655"/>
    <w:rsid w:val="003F5BC6"/>
    <w:rsid w:val="004021C6"/>
    <w:rsid w:val="00406BEF"/>
    <w:rsid w:val="00410595"/>
    <w:rsid w:val="00420F7C"/>
    <w:rsid w:val="0043307A"/>
    <w:rsid w:val="00433514"/>
    <w:rsid w:val="00446BB3"/>
    <w:rsid w:val="0045353D"/>
    <w:rsid w:val="004771C7"/>
    <w:rsid w:val="00481283"/>
    <w:rsid w:val="00481C3A"/>
    <w:rsid w:val="004851CA"/>
    <w:rsid w:val="0048656E"/>
    <w:rsid w:val="00493221"/>
    <w:rsid w:val="004A302C"/>
    <w:rsid w:val="004B539D"/>
    <w:rsid w:val="004C1FA1"/>
    <w:rsid w:val="004C3DCC"/>
    <w:rsid w:val="004E0BF9"/>
    <w:rsid w:val="004E0CF9"/>
    <w:rsid w:val="004F3FDD"/>
    <w:rsid w:val="004F46AB"/>
    <w:rsid w:val="00501A4A"/>
    <w:rsid w:val="005032B9"/>
    <w:rsid w:val="005100F2"/>
    <w:rsid w:val="00510300"/>
    <w:rsid w:val="00511D7B"/>
    <w:rsid w:val="00513AD5"/>
    <w:rsid w:val="00523D37"/>
    <w:rsid w:val="00524831"/>
    <w:rsid w:val="0052616B"/>
    <w:rsid w:val="00532F25"/>
    <w:rsid w:val="00541D90"/>
    <w:rsid w:val="00542258"/>
    <w:rsid w:val="0054547C"/>
    <w:rsid w:val="0054632A"/>
    <w:rsid w:val="00551EDC"/>
    <w:rsid w:val="005544D1"/>
    <w:rsid w:val="00554509"/>
    <w:rsid w:val="00561523"/>
    <w:rsid w:val="00561527"/>
    <w:rsid w:val="005714C6"/>
    <w:rsid w:val="00594E7A"/>
    <w:rsid w:val="005A146E"/>
    <w:rsid w:val="005A7208"/>
    <w:rsid w:val="005A7987"/>
    <w:rsid w:val="005B5936"/>
    <w:rsid w:val="005C0D20"/>
    <w:rsid w:val="005D050C"/>
    <w:rsid w:val="005F7A46"/>
    <w:rsid w:val="00611383"/>
    <w:rsid w:val="00620B1C"/>
    <w:rsid w:val="00626E33"/>
    <w:rsid w:val="006407ED"/>
    <w:rsid w:val="0064251F"/>
    <w:rsid w:val="00643F74"/>
    <w:rsid w:val="006503AE"/>
    <w:rsid w:val="00651EE4"/>
    <w:rsid w:val="00654524"/>
    <w:rsid w:val="00654BCF"/>
    <w:rsid w:val="0066052B"/>
    <w:rsid w:val="006630EF"/>
    <w:rsid w:val="0066446E"/>
    <w:rsid w:val="0066601A"/>
    <w:rsid w:val="006662AB"/>
    <w:rsid w:val="00674212"/>
    <w:rsid w:val="0067621A"/>
    <w:rsid w:val="006815D1"/>
    <w:rsid w:val="00687DD5"/>
    <w:rsid w:val="006923C3"/>
    <w:rsid w:val="006937E9"/>
    <w:rsid w:val="00693EF9"/>
    <w:rsid w:val="006947A5"/>
    <w:rsid w:val="006A1A11"/>
    <w:rsid w:val="006A2C75"/>
    <w:rsid w:val="006A4105"/>
    <w:rsid w:val="006B0C84"/>
    <w:rsid w:val="006B543B"/>
    <w:rsid w:val="006B7E54"/>
    <w:rsid w:val="006C0BD1"/>
    <w:rsid w:val="006C30C8"/>
    <w:rsid w:val="006C5139"/>
    <w:rsid w:val="006C69FC"/>
    <w:rsid w:val="006D069F"/>
    <w:rsid w:val="006D2C95"/>
    <w:rsid w:val="006D5F8F"/>
    <w:rsid w:val="006D6CEA"/>
    <w:rsid w:val="006E3B5C"/>
    <w:rsid w:val="006E3EB8"/>
    <w:rsid w:val="00707B1D"/>
    <w:rsid w:val="00710909"/>
    <w:rsid w:val="00716369"/>
    <w:rsid w:val="00723649"/>
    <w:rsid w:val="007265C3"/>
    <w:rsid w:val="00735F23"/>
    <w:rsid w:val="00740CEF"/>
    <w:rsid w:val="00742261"/>
    <w:rsid w:val="00752C5E"/>
    <w:rsid w:val="007531F9"/>
    <w:rsid w:val="00764378"/>
    <w:rsid w:val="0076591F"/>
    <w:rsid w:val="00766F0F"/>
    <w:rsid w:val="00773B9A"/>
    <w:rsid w:val="0077582F"/>
    <w:rsid w:val="007862C9"/>
    <w:rsid w:val="0079007B"/>
    <w:rsid w:val="007A0F22"/>
    <w:rsid w:val="007A5BE5"/>
    <w:rsid w:val="007B5C1A"/>
    <w:rsid w:val="007C03A0"/>
    <w:rsid w:val="007C2BEF"/>
    <w:rsid w:val="007D3D77"/>
    <w:rsid w:val="007E157B"/>
    <w:rsid w:val="007E2EF7"/>
    <w:rsid w:val="007E4818"/>
    <w:rsid w:val="007E6A7E"/>
    <w:rsid w:val="007F33F3"/>
    <w:rsid w:val="007F6124"/>
    <w:rsid w:val="00801BDF"/>
    <w:rsid w:val="00802B86"/>
    <w:rsid w:val="0082514B"/>
    <w:rsid w:val="00830599"/>
    <w:rsid w:val="008334B0"/>
    <w:rsid w:val="0083496F"/>
    <w:rsid w:val="0083530F"/>
    <w:rsid w:val="00836468"/>
    <w:rsid w:val="00843492"/>
    <w:rsid w:val="00845F16"/>
    <w:rsid w:val="00852AF3"/>
    <w:rsid w:val="00856D2D"/>
    <w:rsid w:val="00856F2E"/>
    <w:rsid w:val="00871560"/>
    <w:rsid w:val="00872D54"/>
    <w:rsid w:val="00872F2D"/>
    <w:rsid w:val="0087585D"/>
    <w:rsid w:val="00880E22"/>
    <w:rsid w:val="00882B6F"/>
    <w:rsid w:val="008834AE"/>
    <w:rsid w:val="00885F4D"/>
    <w:rsid w:val="008962E2"/>
    <w:rsid w:val="008A74EF"/>
    <w:rsid w:val="008B0539"/>
    <w:rsid w:val="008B1C98"/>
    <w:rsid w:val="008B5ADF"/>
    <w:rsid w:val="008D0B3B"/>
    <w:rsid w:val="008D1450"/>
    <w:rsid w:val="008D2E66"/>
    <w:rsid w:val="008D56A5"/>
    <w:rsid w:val="008E1546"/>
    <w:rsid w:val="008E189F"/>
    <w:rsid w:val="008E24ED"/>
    <w:rsid w:val="008E40FE"/>
    <w:rsid w:val="008E57AC"/>
    <w:rsid w:val="008E6D3B"/>
    <w:rsid w:val="00906396"/>
    <w:rsid w:val="0090770A"/>
    <w:rsid w:val="00916E4D"/>
    <w:rsid w:val="00917A63"/>
    <w:rsid w:val="00920750"/>
    <w:rsid w:val="00923C36"/>
    <w:rsid w:val="00924B8E"/>
    <w:rsid w:val="00930024"/>
    <w:rsid w:val="009344DE"/>
    <w:rsid w:val="009357E5"/>
    <w:rsid w:val="00936087"/>
    <w:rsid w:val="00945D17"/>
    <w:rsid w:val="00951FEE"/>
    <w:rsid w:val="00965FBF"/>
    <w:rsid w:val="00973941"/>
    <w:rsid w:val="0097751F"/>
    <w:rsid w:val="00980255"/>
    <w:rsid w:val="009804FA"/>
    <w:rsid w:val="00985B78"/>
    <w:rsid w:val="0098649F"/>
    <w:rsid w:val="00993AFA"/>
    <w:rsid w:val="0099686E"/>
    <w:rsid w:val="00996DF2"/>
    <w:rsid w:val="009A41B0"/>
    <w:rsid w:val="009A4756"/>
    <w:rsid w:val="009A4C46"/>
    <w:rsid w:val="009A4DBF"/>
    <w:rsid w:val="009B3513"/>
    <w:rsid w:val="009B39EA"/>
    <w:rsid w:val="009D3FC3"/>
    <w:rsid w:val="009D433D"/>
    <w:rsid w:val="009D4484"/>
    <w:rsid w:val="009D5889"/>
    <w:rsid w:val="009D7755"/>
    <w:rsid w:val="009F1D20"/>
    <w:rsid w:val="00A00548"/>
    <w:rsid w:val="00A00713"/>
    <w:rsid w:val="00A00731"/>
    <w:rsid w:val="00A11A5C"/>
    <w:rsid w:val="00A22235"/>
    <w:rsid w:val="00A22F7B"/>
    <w:rsid w:val="00A23801"/>
    <w:rsid w:val="00A2554C"/>
    <w:rsid w:val="00A3295D"/>
    <w:rsid w:val="00A33652"/>
    <w:rsid w:val="00A3798C"/>
    <w:rsid w:val="00A42866"/>
    <w:rsid w:val="00A461C1"/>
    <w:rsid w:val="00A46B5C"/>
    <w:rsid w:val="00A50D6E"/>
    <w:rsid w:val="00A51DD8"/>
    <w:rsid w:val="00A647EA"/>
    <w:rsid w:val="00A736C6"/>
    <w:rsid w:val="00A82472"/>
    <w:rsid w:val="00A83F1F"/>
    <w:rsid w:val="00A8416F"/>
    <w:rsid w:val="00AA0223"/>
    <w:rsid w:val="00AB28B8"/>
    <w:rsid w:val="00AB3B77"/>
    <w:rsid w:val="00AC57B7"/>
    <w:rsid w:val="00AC73C5"/>
    <w:rsid w:val="00AC755C"/>
    <w:rsid w:val="00AD0E13"/>
    <w:rsid w:val="00AD5ABF"/>
    <w:rsid w:val="00AF45C5"/>
    <w:rsid w:val="00AF5667"/>
    <w:rsid w:val="00B05DD5"/>
    <w:rsid w:val="00B12477"/>
    <w:rsid w:val="00B13343"/>
    <w:rsid w:val="00B1354B"/>
    <w:rsid w:val="00B220B2"/>
    <w:rsid w:val="00B23942"/>
    <w:rsid w:val="00B32474"/>
    <w:rsid w:val="00B4327E"/>
    <w:rsid w:val="00B467A4"/>
    <w:rsid w:val="00B5286D"/>
    <w:rsid w:val="00B545BC"/>
    <w:rsid w:val="00B61032"/>
    <w:rsid w:val="00B61D2E"/>
    <w:rsid w:val="00B71854"/>
    <w:rsid w:val="00B71DA4"/>
    <w:rsid w:val="00B7235B"/>
    <w:rsid w:val="00B76348"/>
    <w:rsid w:val="00B81261"/>
    <w:rsid w:val="00B82556"/>
    <w:rsid w:val="00B87655"/>
    <w:rsid w:val="00B87801"/>
    <w:rsid w:val="00B92871"/>
    <w:rsid w:val="00B928DA"/>
    <w:rsid w:val="00BA5AC3"/>
    <w:rsid w:val="00BA630D"/>
    <w:rsid w:val="00BB06B4"/>
    <w:rsid w:val="00BB2551"/>
    <w:rsid w:val="00BB4892"/>
    <w:rsid w:val="00BB5E9B"/>
    <w:rsid w:val="00BC1A44"/>
    <w:rsid w:val="00BC5C37"/>
    <w:rsid w:val="00BC757B"/>
    <w:rsid w:val="00BC7ED2"/>
    <w:rsid w:val="00BD0190"/>
    <w:rsid w:val="00BE212E"/>
    <w:rsid w:val="00BE4AAB"/>
    <w:rsid w:val="00BE5086"/>
    <w:rsid w:val="00BF4971"/>
    <w:rsid w:val="00C07F40"/>
    <w:rsid w:val="00C12E85"/>
    <w:rsid w:val="00C16A79"/>
    <w:rsid w:val="00C20278"/>
    <w:rsid w:val="00C22791"/>
    <w:rsid w:val="00C236DC"/>
    <w:rsid w:val="00C31B7F"/>
    <w:rsid w:val="00C32F79"/>
    <w:rsid w:val="00C33FD2"/>
    <w:rsid w:val="00C35271"/>
    <w:rsid w:val="00C4036A"/>
    <w:rsid w:val="00C50E28"/>
    <w:rsid w:val="00C62934"/>
    <w:rsid w:val="00C64428"/>
    <w:rsid w:val="00C74D6F"/>
    <w:rsid w:val="00C842DE"/>
    <w:rsid w:val="00C902FB"/>
    <w:rsid w:val="00C965AE"/>
    <w:rsid w:val="00CA0AED"/>
    <w:rsid w:val="00CA66E6"/>
    <w:rsid w:val="00CC29DE"/>
    <w:rsid w:val="00CC3B64"/>
    <w:rsid w:val="00CD37C6"/>
    <w:rsid w:val="00CD3BA4"/>
    <w:rsid w:val="00CD41AA"/>
    <w:rsid w:val="00CD6943"/>
    <w:rsid w:val="00CE6C2F"/>
    <w:rsid w:val="00CE73CC"/>
    <w:rsid w:val="00CE7E9C"/>
    <w:rsid w:val="00CF2EF3"/>
    <w:rsid w:val="00CF3298"/>
    <w:rsid w:val="00D02F3B"/>
    <w:rsid w:val="00D0657B"/>
    <w:rsid w:val="00D129CB"/>
    <w:rsid w:val="00D16A04"/>
    <w:rsid w:val="00D27C17"/>
    <w:rsid w:val="00D41B89"/>
    <w:rsid w:val="00D47F27"/>
    <w:rsid w:val="00D5541F"/>
    <w:rsid w:val="00D57923"/>
    <w:rsid w:val="00D66387"/>
    <w:rsid w:val="00D741B6"/>
    <w:rsid w:val="00D74BD0"/>
    <w:rsid w:val="00D74FED"/>
    <w:rsid w:val="00D75A81"/>
    <w:rsid w:val="00D7761F"/>
    <w:rsid w:val="00D86806"/>
    <w:rsid w:val="00D86C35"/>
    <w:rsid w:val="00DB04FB"/>
    <w:rsid w:val="00DB6DFF"/>
    <w:rsid w:val="00DC003F"/>
    <w:rsid w:val="00DE72B3"/>
    <w:rsid w:val="00DF4668"/>
    <w:rsid w:val="00E00172"/>
    <w:rsid w:val="00E0533A"/>
    <w:rsid w:val="00E0701A"/>
    <w:rsid w:val="00E131D1"/>
    <w:rsid w:val="00E17AA0"/>
    <w:rsid w:val="00E2655B"/>
    <w:rsid w:val="00E311AB"/>
    <w:rsid w:val="00E358BF"/>
    <w:rsid w:val="00E36EC8"/>
    <w:rsid w:val="00E51146"/>
    <w:rsid w:val="00E512A9"/>
    <w:rsid w:val="00E54AF9"/>
    <w:rsid w:val="00E5624E"/>
    <w:rsid w:val="00E601D4"/>
    <w:rsid w:val="00E64C88"/>
    <w:rsid w:val="00E7179D"/>
    <w:rsid w:val="00E74832"/>
    <w:rsid w:val="00E81B04"/>
    <w:rsid w:val="00E820C5"/>
    <w:rsid w:val="00E87550"/>
    <w:rsid w:val="00E9413F"/>
    <w:rsid w:val="00E973D2"/>
    <w:rsid w:val="00EA0745"/>
    <w:rsid w:val="00EC7C64"/>
    <w:rsid w:val="00ED00D6"/>
    <w:rsid w:val="00EE26DC"/>
    <w:rsid w:val="00EE3FF1"/>
    <w:rsid w:val="00EE5816"/>
    <w:rsid w:val="00F03292"/>
    <w:rsid w:val="00F0565C"/>
    <w:rsid w:val="00F121AE"/>
    <w:rsid w:val="00F15852"/>
    <w:rsid w:val="00F23F4B"/>
    <w:rsid w:val="00F462F0"/>
    <w:rsid w:val="00F46C50"/>
    <w:rsid w:val="00F56CD7"/>
    <w:rsid w:val="00F60B61"/>
    <w:rsid w:val="00F66E89"/>
    <w:rsid w:val="00F67822"/>
    <w:rsid w:val="00F70621"/>
    <w:rsid w:val="00F74182"/>
    <w:rsid w:val="00F7607A"/>
    <w:rsid w:val="00F8517B"/>
    <w:rsid w:val="00F90250"/>
    <w:rsid w:val="00F91395"/>
    <w:rsid w:val="00F961D7"/>
    <w:rsid w:val="00F97A2B"/>
    <w:rsid w:val="00FA0CA3"/>
    <w:rsid w:val="00FA3BC5"/>
    <w:rsid w:val="00FA40FE"/>
    <w:rsid w:val="00FB08DC"/>
    <w:rsid w:val="00FB0D30"/>
    <w:rsid w:val="00FB1AE0"/>
    <w:rsid w:val="00FB34C2"/>
    <w:rsid w:val="00FB42F5"/>
    <w:rsid w:val="00FD76E1"/>
    <w:rsid w:val="00FE0970"/>
    <w:rsid w:val="00FF3F3A"/>
    <w:rsid w:val="00FF400F"/>
    <w:rsid w:val="01064C9A"/>
    <w:rsid w:val="012909B7"/>
    <w:rsid w:val="01303AC5"/>
    <w:rsid w:val="013E61E2"/>
    <w:rsid w:val="014F4893"/>
    <w:rsid w:val="01554610"/>
    <w:rsid w:val="01781929"/>
    <w:rsid w:val="017C564F"/>
    <w:rsid w:val="01877B89"/>
    <w:rsid w:val="019E3125"/>
    <w:rsid w:val="01BA39DE"/>
    <w:rsid w:val="01CA216C"/>
    <w:rsid w:val="01D0068D"/>
    <w:rsid w:val="01D775B9"/>
    <w:rsid w:val="01DD3C4D"/>
    <w:rsid w:val="02026E30"/>
    <w:rsid w:val="02132174"/>
    <w:rsid w:val="02186A33"/>
    <w:rsid w:val="022278B2"/>
    <w:rsid w:val="023130F5"/>
    <w:rsid w:val="024737BC"/>
    <w:rsid w:val="024C2B81"/>
    <w:rsid w:val="026D3223"/>
    <w:rsid w:val="028604AE"/>
    <w:rsid w:val="028B75EF"/>
    <w:rsid w:val="028D5673"/>
    <w:rsid w:val="02922C89"/>
    <w:rsid w:val="029D33DC"/>
    <w:rsid w:val="02AD1871"/>
    <w:rsid w:val="02AD3196"/>
    <w:rsid w:val="02C44E0D"/>
    <w:rsid w:val="02C9326F"/>
    <w:rsid w:val="02DA63DE"/>
    <w:rsid w:val="02DF39F5"/>
    <w:rsid w:val="02EF5EA2"/>
    <w:rsid w:val="03200295"/>
    <w:rsid w:val="0361440A"/>
    <w:rsid w:val="036D7252"/>
    <w:rsid w:val="03747EC0"/>
    <w:rsid w:val="03922815"/>
    <w:rsid w:val="03990047"/>
    <w:rsid w:val="03AF1619"/>
    <w:rsid w:val="03B7227C"/>
    <w:rsid w:val="03C07382"/>
    <w:rsid w:val="03C350C4"/>
    <w:rsid w:val="03E07A24"/>
    <w:rsid w:val="03E2554B"/>
    <w:rsid w:val="03E30F7F"/>
    <w:rsid w:val="03EA08A3"/>
    <w:rsid w:val="03F62DA4"/>
    <w:rsid w:val="04001E75"/>
    <w:rsid w:val="040E4592"/>
    <w:rsid w:val="04293179"/>
    <w:rsid w:val="043833BC"/>
    <w:rsid w:val="04446205"/>
    <w:rsid w:val="044E2BE0"/>
    <w:rsid w:val="04506958"/>
    <w:rsid w:val="045126D0"/>
    <w:rsid w:val="045D72C7"/>
    <w:rsid w:val="045F303F"/>
    <w:rsid w:val="04820ADC"/>
    <w:rsid w:val="04893C18"/>
    <w:rsid w:val="04951C17"/>
    <w:rsid w:val="049F343C"/>
    <w:rsid w:val="04B14F1D"/>
    <w:rsid w:val="04F01EE9"/>
    <w:rsid w:val="04F574FF"/>
    <w:rsid w:val="05025778"/>
    <w:rsid w:val="052851DF"/>
    <w:rsid w:val="052E656D"/>
    <w:rsid w:val="053A4F12"/>
    <w:rsid w:val="053F247C"/>
    <w:rsid w:val="05595CE0"/>
    <w:rsid w:val="057C377D"/>
    <w:rsid w:val="057E74F5"/>
    <w:rsid w:val="05810D93"/>
    <w:rsid w:val="05812B41"/>
    <w:rsid w:val="05B362B9"/>
    <w:rsid w:val="05C2565F"/>
    <w:rsid w:val="05C72C4A"/>
    <w:rsid w:val="05CB2336"/>
    <w:rsid w:val="05D15877"/>
    <w:rsid w:val="05D215EF"/>
    <w:rsid w:val="05D2339D"/>
    <w:rsid w:val="05D37841"/>
    <w:rsid w:val="05E530D0"/>
    <w:rsid w:val="05EA4B8A"/>
    <w:rsid w:val="05F9301F"/>
    <w:rsid w:val="05FD48BE"/>
    <w:rsid w:val="06093262"/>
    <w:rsid w:val="06231E4A"/>
    <w:rsid w:val="06253E14"/>
    <w:rsid w:val="0633208D"/>
    <w:rsid w:val="063A16EC"/>
    <w:rsid w:val="063B53E6"/>
    <w:rsid w:val="065B7836"/>
    <w:rsid w:val="06856661"/>
    <w:rsid w:val="068576CE"/>
    <w:rsid w:val="069114AA"/>
    <w:rsid w:val="0698763E"/>
    <w:rsid w:val="06A66D03"/>
    <w:rsid w:val="06AE7966"/>
    <w:rsid w:val="06AF6DD1"/>
    <w:rsid w:val="06B07B82"/>
    <w:rsid w:val="06B64A6C"/>
    <w:rsid w:val="06DD649D"/>
    <w:rsid w:val="06E8731C"/>
    <w:rsid w:val="06F04422"/>
    <w:rsid w:val="07047ECE"/>
    <w:rsid w:val="071C5217"/>
    <w:rsid w:val="071D4AEC"/>
    <w:rsid w:val="07210A39"/>
    <w:rsid w:val="072242D3"/>
    <w:rsid w:val="072440CC"/>
    <w:rsid w:val="0737795B"/>
    <w:rsid w:val="073F4A62"/>
    <w:rsid w:val="07442078"/>
    <w:rsid w:val="07585B24"/>
    <w:rsid w:val="07783E0F"/>
    <w:rsid w:val="078A2181"/>
    <w:rsid w:val="07941252"/>
    <w:rsid w:val="07B54D24"/>
    <w:rsid w:val="07EA70C4"/>
    <w:rsid w:val="081E0B1B"/>
    <w:rsid w:val="08534C69"/>
    <w:rsid w:val="085D7896"/>
    <w:rsid w:val="08687FE8"/>
    <w:rsid w:val="08935065"/>
    <w:rsid w:val="08997D8A"/>
    <w:rsid w:val="089A2898"/>
    <w:rsid w:val="08AD2074"/>
    <w:rsid w:val="08D306C7"/>
    <w:rsid w:val="08D538D0"/>
    <w:rsid w:val="08D77648"/>
    <w:rsid w:val="08E04023"/>
    <w:rsid w:val="08E9737B"/>
    <w:rsid w:val="08F2265D"/>
    <w:rsid w:val="09077801"/>
    <w:rsid w:val="091C32AD"/>
    <w:rsid w:val="09212671"/>
    <w:rsid w:val="0926010A"/>
    <w:rsid w:val="093D1475"/>
    <w:rsid w:val="093F343F"/>
    <w:rsid w:val="09412D13"/>
    <w:rsid w:val="095B3C9B"/>
    <w:rsid w:val="095E1B17"/>
    <w:rsid w:val="09664528"/>
    <w:rsid w:val="09704318"/>
    <w:rsid w:val="09AC1C5B"/>
    <w:rsid w:val="09B039F5"/>
    <w:rsid w:val="09BD105E"/>
    <w:rsid w:val="09CE174C"/>
    <w:rsid w:val="09D122E9"/>
    <w:rsid w:val="09EA6F07"/>
    <w:rsid w:val="09EB2C7F"/>
    <w:rsid w:val="09FE29B2"/>
    <w:rsid w:val="0A140428"/>
    <w:rsid w:val="0A1C108A"/>
    <w:rsid w:val="0A2148F3"/>
    <w:rsid w:val="0A2C5771"/>
    <w:rsid w:val="0A391C3C"/>
    <w:rsid w:val="0A3D172D"/>
    <w:rsid w:val="0A3E680D"/>
    <w:rsid w:val="0A6749FB"/>
    <w:rsid w:val="0A740EC6"/>
    <w:rsid w:val="0A7964DD"/>
    <w:rsid w:val="0A825391"/>
    <w:rsid w:val="0A9D29C6"/>
    <w:rsid w:val="0A9F4195"/>
    <w:rsid w:val="0AAB338B"/>
    <w:rsid w:val="0ACC485F"/>
    <w:rsid w:val="0AD6392F"/>
    <w:rsid w:val="0AD83203"/>
    <w:rsid w:val="0AEF054D"/>
    <w:rsid w:val="0AF049F1"/>
    <w:rsid w:val="0AF45D7D"/>
    <w:rsid w:val="0B05734A"/>
    <w:rsid w:val="0B08583F"/>
    <w:rsid w:val="0B095AB3"/>
    <w:rsid w:val="0B0E131B"/>
    <w:rsid w:val="0B115FB9"/>
    <w:rsid w:val="0B1A381C"/>
    <w:rsid w:val="0B265A74"/>
    <w:rsid w:val="0B352404"/>
    <w:rsid w:val="0B376893"/>
    <w:rsid w:val="0B381EF4"/>
    <w:rsid w:val="0B386398"/>
    <w:rsid w:val="0B3A0D5F"/>
    <w:rsid w:val="0B3A3EBE"/>
    <w:rsid w:val="0B460AB5"/>
    <w:rsid w:val="0B536D2E"/>
    <w:rsid w:val="0B5C2086"/>
    <w:rsid w:val="0B674587"/>
    <w:rsid w:val="0B6A776A"/>
    <w:rsid w:val="0B6E5916"/>
    <w:rsid w:val="0B8B64C8"/>
    <w:rsid w:val="0BB24C22"/>
    <w:rsid w:val="0BD87233"/>
    <w:rsid w:val="0BF0642E"/>
    <w:rsid w:val="0BF202F5"/>
    <w:rsid w:val="0BFE313E"/>
    <w:rsid w:val="0C02649C"/>
    <w:rsid w:val="0C0B25B3"/>
    <w:rsid w:val="0C104C1F"/>
    <w:rsid w:val="0C1E6205"/>
    <w:rsid w:val="0C236700"/>
    <w:rsid w:val="0C28640C"/>
    <w:rsid w:val="0C3C5A14"/>
    <w:rsid w:val="0C5A4DAC"/>
    <w:rsid w:val="0C5E47B4"/>
    <w:rsid w:val="0C741E6A"/>
    <w:rsid w:val="0C8A677F"/>
    <w:rsid w:val="0CC04897"/>
    <w:rsid w:val="0CD12600"/>
    <w:rsid w:val="0CD520F0"/>
    <w:rsid w:val="0CD67C16"/>
    <w:rsid w:val="0CD81BE1"/>
    <w:rsid w:val="0CEB1914"/>
    <w:rsid w:val="0CFB142B"/>
    <w:rsid w:val="0D0C53E6"/>
    <w:rsid w:val="0D2210AE"/>
    <w:rsid w:val="0D466B4A"/>
    <w:rsid w:val="0D5154EF"/>
    <w:rsid w:val="0D611BD6"/>
    <w:rsid w:val="0D6B03CD"/>
    <w:rsid w:val="0D865A79"/>
    <w:rsid w:val="0D95205B"/>
    <w:rsid w:val="0D957AD2"/>
    <w:rsid w:val="0D9D0734"/>
    <w:rsid w:val="0DA90E87"/>
    <w:rsid w:val="0DB74AC1"/>
    <w:rsid w:val="0DEF71E2"/>
    <w:rsid w:val="0E0D58BA"/>
    <w:rsid w:val="0E0F1632"/>
    <w:rsid w:val="0E19425F"/>
    <w:rsid w:val="0E237412"/>
    <w:rsid w:val="0E2449B2"/>
    <w:rsid w:val="0E342E47"/>
    <w:rsid w:val="0E460DCC"/>
    <w:rsid w:val="0E653000"/>
    <w:rsid w:val="0E6D45AA"/>
    <w:rsid w:val="0E72396F"/>
    <w:rsid w:val="0E796AAB"/>
    <w:rsid w:val="0E7B2A67"/>
    <w:rsid w:val="0E7C0027"/>
    <w:rsid w:val="0E7E0566"/>
    <w:rsid w:val="0E7F6315"/>
    <w:rsid w:val="0E8D07A9"/>
    <w:rsid w:val="0EB36461"/>
    <w:rsid w:val="0EB45D35"/>
    <w:rsid w:val="0EBD108E"/>
    <w:rsid w:val="0EBD75FE"/>
    <w:rsid w:val="0ECA5559"/>
    <w:rsid w:val="0ED87C76"/>
    <w:rsid w:val="0EF600FC"/>
    <w:rsid w:val="0F1B5913"/>
    <w:rsid w:val="0F257BCC"/>
    <w:rsid w:val="0F4C0664"/>
    <w:rsid w:val="0F5337A0"/>
    <w:rsid w:val="0F711E78"/>
    <w:rsid w:val="0F7E3A23"/>
    <w:rsid w:val="0F917E25"/>
    <w:rsid w:val="0F96368D"/>
    <w:rsid w:val="0F9D4A1B"/>
    <w:rsid w:val="0FA062BA"/>
    <w:rsid w:val="0FA638D0"/>
    <w:rsid w:val="0FB35FED"/>
    <w:rsid w:val="0FD33C3D"/>
    <w:rsid w:val="0FE8213B"/>
    <w:rsid w:val="0FF52AA9"/>
    <w:rsid w:val="0FF860F6"/>
    <w:rsid w:val="0FF94348"/>
    <w:rsid w:val="0FFF1232"/>
    <w:rsid w:val="10047D52"/>
    <w:rsid w:val="10086339"/>
    <w:rsid w:val="10150A56"/>
    <w:rsid w:val="10240C99"/>
    <w:rsid w:val="102723E9"/>
    <w:rsid w:val="102B566C"/>
    <w:rsid w:val="104841C5"/>
    <w:rsid w:val="107439CE"/>
    <w:rsid w:val="10861954"/>
    <w:rsid w:val="1090632E"/>
    <w:rsid w:val="10A92DD3"/>
    <w:rsid w:val="10BD54A5"/>
    <w:rsid w:val="10C55FD8"/>
    <w:rsid w:val="10F845FF"/>
    <w:rsid w:val="1103023A"/>
    <w:rsid w:val="11036B00"/>
    <w:rsid w:val="11082369"/>
    <w:rsid w:val="11357D2A"/>
    <w:rsid w:val="113849FC"/>
    <w:rsid w:val="113A4C18"/>
    <w:rsid w:val="113C31C6"/>
    <w:rsid w:val="11421E5E"/>
    <w:rsid w:val="11422FE1"/>
    <w:rsid w:val="116E48C1"/>
    <w:rsid w:val="11845E93"/>
    <w:rsid w:val="11867E5D"/>
    <w:rsid w:val="11877731"/>
    <w:rsid w:val="11967974"/>
    <w:rsid w:val="11A2456B"/>
    <w:rsid w:val="11AE5258"/>
    <w:rsid w:val="11DF30C9"/>
    <w:rsid w:val="11FA6155"/>
    <w:rsid w:val="12130FC5"/>
    <w:rsid w:val="121C60CC"/>
    <w:rsid w:val="1222745A"/>
    <w:rsid w:val="12371157"/>
    <w:rsid w:val="127001C5"/>
    <w:rsid w:val="127759F8"/>
    <w:rsid w:val="127A0C92"/>
    <w:rsid w:val="127F48AC"/>
    <w:rsid w:val="128819B3"/>
    <w:rsid w:val="128F2D41"/>
    <w:rsid w:val="12942106"/>
    <w:rsid w:val="129E4D32"/>
    <w:rsid w:val="12A548F1"/>
    <w:rsid w:val="12B91B6C"/>
    <w:rsid w:val="12BA7692"/>
    <w:rsid w:val="12EF558E"/>
    <w:rsid w:val="12F9640D"/>
    <w:rsid w:val="13021765"/>
    <w:rsid w:val="13037AFF"/>
    <w:rsid w:val="132A4818"/>
    <w:rsid w:val="13456351"/>
    <w:rsid w:val="134C0C32"/>
    <w:rsid w:val="13541895"/>
    <w:rsid w:val="135D4BEE"/>
    <w:rsid w:val="137B79E1"/>
    <w:rsid w:val="13833F28"/>
    <w:rsid w:val="13D64F42"/>
    <w:rsid w:val="13E7095B"/>
    <w:rsid w:val="13E83E5F"/>
    <w:rsid w:val="14065285"/>
    <w:rsid w:val="144731A8"/>
    <w:rsid w:val="14717C9A"/>
    <w:rsid w:val="147F2942"/>
    <w:rsid w:val="14991C55"/>
    <w:rsid w:val="14AF7789"/>
    <w:rsid w:val="14D50D33"/>
    <w:rsid w:val="14DA401C"/>
    <w:rsid w:val="14EA0703"/>
    <w:rsid w:val="14EF1875"/>
    <w:rsid w:val="151E65FF"/>
    <w:rsid w:val="1537321C"/>
    <w:rsid w:val="154020D1"/>
    <w:rsid w:val="157B7F4A"/>
    <w:rsid w:val="1585042C"/>
    <w:rsid w:val="15A840F3"/>
    <w:rsid w:val="15AE1730"/>
    <w:rsid w:val="15B11221"/>
    <w:rsid w:val="15E37F2A"/>
    <w:rsid w:val="15FB249C"/>
    <w:rsid w:val="15FF3D3A"/>
    <w:rsid w:val="161A0B74"/>
    <w:rsid w:val="16383AE2"/>
    <w:rsid w:val="16565924"/>
    <w:rsid w:val="16571DC8"/>
    <w:rsid w:val="16646293"/>
    <w:rsid w:val="16685D83"/>
    <w:rsid w:val="167C182F"/>
    <w:rsid w:val="167C538B"/>
    <w:rsid w:val="167D1103"/>
    <w:rsid w:val="167D2FDD"/>
    <w:rsid w:val="16AE5760"/>
    <w:rsid w:val="16AE750E"/>
    <w:rsid w:val="16AF2A39"/>
    <w:rsid w:val="16B40FC8"/>
    <w:rsid w:val="16BC1C2B"/>
    <w:rsid w:val="16BD0A63"/>
    <w:rsid w:val="16C46D32"/>
    <w:rsid w:val="16E3540A"/>
    <w:rsid w:val="16E442B3"/>
    <w:rsid w:val="1711641B"/>
    <w:rsid w:val="1719707D"/>
    <w:rsid w:val="17215F32"/>
    <w:rsid w:val="172872C1"/>
    <w:rsid w:val="17457E73"/>
    <w:rsid w:val="174F6F43"/>
    <w:rsid w:val="175814CF"/>
    <w:rsid w:val="176821F4"/>
    <w:rsid w:val="17757381"/>
    <w:rsid w:val="177E1C86"/>
    <w:rsid w:val="17944956"/>
    <w:rsid w:val="179B7A92"/>
    <w:rsid w:val="17AD77C6"/>
    <w:rsid w:val="17B62B1E"/>
    <w:rsid w:val="17CB7119"/>
    <w:rsid w:val="17DB67AF"/>
    <w:rsid w:val="18041ADC"/>
    <w:rsid w:val="18495740"/>
    <w:rsid w:val="185A794E"/>
    <w:rsid w:val="18891474"/>
    <w:rsid w:val="188E6B63"/>
    <w:rsid w:val="188F0B1E"/>
    <w:rsid w:val="18975ADC"/>
    <w:rsid w:val="18C272A1"/>
    <w:rsid w:val="18D314AE"/>
    <w:rsid w:val="18DA283C"/>
    <w:rsid w:val="18F90F15"/>
    <w:rsid w:val="192D6E10"/>
    <w:rsid w:val="19373862"/>
    <w:rsid w:val="193D1CBA"/>
    <w:rsid w:val="19520625"/>
    <w:rsid w:val="19526877"/>
    <w:rsid w:val="196547FC"/>
    <w:rsid w:val="19856C4C"/>
    <w:rsid w:val="199665EC"/>
    <w:rsid w:val="199C7AF2"/>
    <w:rsid w:val="19CC03D7"/>
    <w:rsid w:val="19D2300F"/>
    <w:rsid w:val="19E80F89"/>
    <w:rsid w:val="19EC5173"/>
    <w:rsid w:val="19F872A0"/>
    <w:rsid w:val="1A352420"/>
    <w:rsid w:val="1A377809"/>
    <w:rsid w:val="1A452ACF"/>
    <w:rsid w:val="1A512FD2"/>
    <w:rsid w:val="1A5D54D3"/>
    <w:rsid w:val="1ADA2FC8"/>
    <w:rsid w:val="1AE259D8"/>
    <w:rsid w:val="1AE35507"/>
    <w:rsid w:val="1AEB2ADF"/>
    <w:rsid w:val="1AF04599"/>
    <w:rsid w:val="1AFC1190"/>
    <w:rsid w:val="1B2129A5"/>
    <w:rsid w:val="1B3B1964"/>
    <w:rsid w:val="1B3E3557"/>
    <w:rsid w:val="1B5E7755"/>
    <w:rsid w:val="1B636B19"/>
    <w:rsid w:val="1B6805D3"/>
    <w:rsid w:val="1B7E1468"/>
    <w:rsid w:val="1B825739"/>
    <w:rsid w:val="1B83540D"/>
    <w:rsid w:val="1BA62EAA"/>
    <w:rsid w:val="1BC17CE4"/>
    <w:rsid w:val="1BCC0B62"/>
    <w:rsid w:val="1BDD4B1E"/>
    <w:rsid w:val="1BE35EAC"/>
    <w:rsid w:val="1BE718C7"/>
    <w:rsid w:val="1BF43C15"/>
    <w:rsid w:val="1C146065"/>
    <w:rsid w:val="1C1B73F4"/>
    <w:rsid w:val="1C2F10F1"/>
    <w:rsid w:val="1C3B1844"/>
    <w:rsid w:val="1C406E5A"/>
    <w:rsid w:val="1C495921"/>
    <w:rsid w:val="1C542906"/>
    <w:rsid w:val="1C744D56"/>
    <w:rsid w:val="1C7A6810"/>
    <w:rsid w:val="1C7B7E93"/>
    <w:rsid w:val="1C7D1E5D"/>
    <w:rsid w:val="1C8036FB"/>
    <w:rsid w:val="1C9C6787"/>
    <w:rsid w:val="1C9D289F"/>
    <w:rsid w:val="1CD770EC"/>
    <w:rsid w:val="1CE43C8A"/>
    <w:rsid w:val="1D183933"/>
    <w:rsid w:val="1D210A3A"/>
    <w:rsid w:val="1D3764AF"/>
    <w:rsid w:val="1D4F5570"/>
    <w:rsid w:val="1D5E1C8E"/>
    <w:rsid w:val="1D61177E"/>
    <w:rsid w:val="1D7E7C3A"/>
    <w:rsid w:val="1D8D4321"/>
    <w:rsid w:val="1D9C27B6"/>
    <w:rsid w:val="1DA35CDF"/>
    <w:rsid w:val="1DAA4ED3"/>
    <w:rsid w:val="1DC615E1"/>
    <w:rsid w:val="1DC835AB"/>
    <w:rsid w:val="1DFD14A7"/>
    <w:rsid w:val="1E037E3E"/>
    <w:rsid w:val="1E242D4E"/>
    <w:rsid w:val="1E2F7187"/>
    <w:rsid w:val="1E340C41"/>
    <w:rsid w:val="1E401394"/>
    <w:rsid w:val="1E403BB4"/>
    <w:rsid w:val="1E435EE1"/>
    <w:rsid w:val="1E4A2212"/>
    <w:rsid w:val="1E6908EA"/>
    <w:rsid w:val="1E6934D0"/>
    <w:rsid w:val="1E766B63"/>
    <w:rsid w:val="1E8A6AB3"/>
    <w:rsid w:val="1E8F7C25"/>
    <w:rsid w:val="1E9B2A6E"/>
    <w:rsid w:val="1EAF02C7"/>
    <w:rsid w:val="1EBA1146"/>
    <w:rsid w:val="1EC73863"/>
    <w:rsid w:val="1ED46823"/>
    <w:rsid w:val="1EDB24C3"/>
    <w:rsid w:val="1EDF295B"/>
    <w:rsid w:val="1F046865"/>
    <w:rsid w:val="1F1D16D5"/>
    <w:rsid w:val="1F204D21"/>
    <w:rsid w:val="1F2760B0"/>
    <w:rsid w:val="1F460C2C"/>
    <w:rsid w:val="1F525822"/>
    <w:rsid w:val="1F58270D"/>
    <w:rsid w:val="1F5F1CED"/>
    <w:rsid w:val="1F707A57"/>
    <w:rsid w:val="1F7237CF"/>
    <w:rsid w:val="1F770DE5"/>
    <w:rsid w:val="1F833C2E"/>
    <w:rsid w:val="1F890B18"/>
    <w:rsid w:val="1F8D0609"/>
    <w:rsid w:val="1FB82BC8"/>
    <w:rsid w:val="1FCA53B9"/>
    <w:rsid w:val="1FD47FE6"/>
    <w:rsid w:val="1FE31481"/>
    <w:rsid w:val="1FE917AE"/>
    <w:rsid w:val="1FF16DE9"/>
    <w:rsid w:val="1FF468DA"/>
    <w:rsid w:val="200F54C2"/>
    <w:rsid w:val="201B5C14"/>
    <w:rsid w:val="20254CE5"/>
    <w:rsid w:val="2039253E"/>
    <w:rsid w:val="204A02A8"/>
    <w:rsid w:val="2059498F"/>
    <w:rsid w:val="20690166"/>
    <w:rsid w:val="20803CC9"/>
    <w:rsid w:val="209239FD"/>
    <w:rsid w:val="20CC482F"/>
    <w:rsid w:val="20E97AC1"/>
    <w:rsid w:val="20EA2A65"/>
    <w:rsid w:val="20EF2BFD"/>
    <w:rsid w:val="210112AE"/>
    <w:rsid w:val="21354AB4"/>
    <w:rsid w:val="214E2A84"/>
    <w:rsid w:val="21556257"/>
    <w:rsid w:val="215F4227"/>
    <w:rsid w:val="217F6677"/>
    <w:rsid w:val="21817CF9"/>
    <w:rsid w:val="21884BA0"/>
    <w:rsid w:val="219519F6"/>
    <w:rsid w:val="2197576F"/>
    <w:rsid w:val="219B1B95"/>
    <w:rsid w:val="21BA145D"/>
    <w:rsid w:val="21BF6A73"/>
    <w:rsid w:val="21C30312"/>
    <w:rsid w:val="21DE15EF"/>
    <w:rsid w:val="21ED1832"/>
    <w:rsid w:val="21ED5205"/>
    <w:rsid w:val="21F26E49"/>
    <w:rsid w:val="21F7445F"/>
    <w:rsid w:val="220151E4"/>
    <w:rsid w:val="22032E04"/>
    <w:rsid w:val="2217240B"/>
    <w:rsid w:val="22196184"/>
    <w:rsid w:val="222039B6"/>
    <w:rsid w:val="222B5EB7"/>
    <w:rsid w:val="2237485C"/>
    <w:rsid w:val="223E3E3C"/>
    <w:rsid w:val="224B716E"/>
    <w:rsid w:val="227635D6"/>
    <w:rsid w:val="22794E74"/>
    <w:rsid w:val="228D26CE"/>
    <w:rsid w:val="22BB723B"/>
    <w:rsid w:val="22C87E24"/>
    <w:rsid w:val="22C95DFC"/>
    <w:rsid w:val="22EC5F17"/>
    <w:rsid w:val="22EE06E2"/>
    <w:rsid w:val="22F015DA"/>
    <w:rsid w:val="22F8223D"/>
    <w:rsid w:val="22F84FC6"/>
    <w:rsid w:val="22FD3CF7"/>
    <w:rsid w:val="230230BC"/>
    <w:rsid w:val="230A01C2"/>
    <w:rsid w:val="23243032"/>
    <w:rsid w:val="235A0EEE"/>
    <w:rsid w:val="235C6C70"/>
    <w:rsid w:val="23614286"/>
    <w:rsid w:val="23712585"/>
    <w:rsid w:val="23C93BD9"/>
    <w:rsid w:val="242B03F0"/>
    <w:rsid w:val="243472A5"/>
    <w:rsid w:val="2440076D"/>
    <w:rsid w:val="249E6E14"/>
    <w:rsid w:val="24A563F4"/>
    <w:rsid w:val="24B228BF"/>
    <w:rsid w:val="24C22B02"/>
    <w:rsid w:val="24D171E9"/>
    <w:rsid w:val="24EF141E"/>
    <w:rsid w:val="25034EC9"/>
    <w:rsid w:val="250C0222"/>
    <w:rsid w:val="25461985"/>
    <w:rsid w:val="25586D6C"/>
    <w:rsid w:val="256516E0"/>
    <w:rsid w:val="256B319A"/>
    <w:rsid w:val="25781413"/>
    <w:rsid w:val="257858B7"/>
    <w:rsid w:val="258B383C"/>
    <w:rsid w:val="259455FA"/>
    <w:rsid w:val="259F4BF2"/>
    <w:rsid w:val="25A246E2"/>
    <w:rsid w:val="25AD5EB4"/>
    <w:rsid w:val="25B662E5"/>
    <w:rsid w:val="25BF5294"/>
    <w:rsid w:val="25C2759F"/>
    <w:rsid w:val="25C63DCF"/>
    <w:rsid w:val="25C74149"/>
    <w:rsid w:val="25DE267C"/>
    <w:rsid w:val="25E46AA9"/>
    <w:rsid w:val="25E66CC5"/>
    <w:rsid w:val="25FA62CC"/>
    <w:rsid w:val="26143832"/>
    <w:rsid w:val="26207C3D"/>
    <w:rsid w:val="262275D1"/>
    <w:rsid w:val="26325A66"/>
    <w:rsid w:val="263712CE"/>
    <w:rsid w:val="26456C5F"/>
    <w:rsid w:val="264D6D44"/>
    <w:rsid w:val="26635DE5"/>
    <w:rsid w:val="26977FBF"/>
    <w:rsid w:val="26AF355A"/>
    <w:rsid w:val="26B50445"/>
    <w:rsid w:val="26B54405"/>
    <w:rsid w:val="26B835BD"/>
    <w:rsid w:val="26BC17D3"/>
    <w:rsid w:val="26DC11F6"/>
    <w:rsid w:val="26E256DE"/>
    <w:rsid w:val="26EC191F"/>
    <w:rsid w:val="26F251F5"/>
    <w:rsid w:val="270C62B7"/>
    <w:rsid w:val="274730B4"/>
    <w:rsid w:val="27473793"/>
    <w:rsid w:val="27677991"/>
    <w:rsid w:val="27802801"/>
    <w:rsid w:val="278A123C"/>
    <w:rsid w:val="27963D10"/>
    <w:rsid w:val="279F537D"/>
    <w:rsid w:val="27DF5779"/>
    <w:rsid w:val="280451E0"/>
    <w:rsid w:val="280E7BD2"/>
    <w:rsid w:val="28177609"/>
    <w:rsid w:val="28186EDD"/>
    <w:rsid w:val="281C077C"/>
    <w:rsid w:val="28247630"/>
    <w:rsid w:val="282615FA"/>
    <w:rsid w:val="282910EA"/>
    <w:rsid w:val="28396E4B"/>
    <w:rsid w:val="283E4B96"/>
    <w:rsid w:val="28414686"/>
    <w:rsid w:val="28447CD2"/>
    <w:rsid w:val="284B2E0F"/>
    <w:rsid w:val="284D6B87"/>
    <w:rsid w:val="28550131"/>
    <w:rsid w:val="285A5748"/>
    <w:rsid w:val="28642123"/>
    <w:rsid w:val="28757E8C"/>
    <w:rsid w:val="287E4F92"/>
    <w:rsid w:val="28B07116"/>
    <w:rsid w:val="28B9421C"/>
    <w:rsid w:val="28CB21A2"/>
    <w:rsid w:val="28CC2935"/>
    <w:rsid w:val="28E62B38"/>
    <w:rsid w:val="28E868B0"/>
    <w:rsid w:val="28F25980"/>
    <w:rsid w:val="28F96D0F"/>
    <w:rsid w:val="290673F2"/>
    <w:rsid w:val="290B7A2E"/>
    <w:rsid w:val="2944442E"/>
    <w:rsid w:val="29493E9D"/>
    <w:rsid w:val="29606D8E"/>
    <w:rsid w:val="29622B06"/>
    <w:rsid w:val="2964062C"/>
    <w:rsid w:val="29787C34"/>
    <w:rsid w:val="298131E9"/>
    <w:rsid w:val="298760C9"/>
    <w:rsid w:val="29927747"/>
    <w:rsid w:val="29AE7AF9"/>
    <w:rsid w:val="29C54E43"/>
    <w:rsid w:val="29C9048F"/>
    <w:rsid w:val="29CB06AB"/>
    <w:rsid w:val="29DE4538"/>
    <w:rsid w:val="29FA689B"/>
    <w:rsid w:val="2A007C29"/>
    <w:rsid w:val="2A0108B7"/>
    <w:rsid w:val="2A04596B"/>
    <w:rsid w:val="2A133E00"/>
    <w:rsid w:val="2A1536D4"/>
    <w:rsid w:val="2A1A0CEB"/>
    <w:rsid w:val="2A202079"/>
    <w:rsid w:val="2A2E4796"/>
    <w:rsid w:val="2A500BB0"/>
    <w:rsid w:val="2A506E02"/>
    <w:rsid w:val="2A5C57A7"/>
    <w:rsid w:val="2A6B3832"/>
    <w:rsid w:val="2A88659C"/>
    <w:rsid w:val="2A906CB5"/>
    <w:rsid w:val="2A954815"/>
    <w:rsid w:val="2ABE1FBE"/>
    <w:rsid w:val="2AD0584D"/>
    <w:rsid w:val="2AE34860"/>
    <w:rsid w:val="2AEE4B12"/>
    <w:rsid w:val="2AFE685E"/>
    <w:rsid w:val="2B057BED"/>
    <w:rsid w:val="2B060A50"/>
    <w:rsid w:val="2B0A5203"/>
    <w:rsid w:val="2B116592"/>
    <w:rsid w:val="2B193698"/>
    <w:rsid w:val="2B1C4F36"/>
    <w:rsid w:val="2B2160A9"/>
    <w:rsid w:val="2B400C25"/>
    <w:rsid w:val="2B4714A0"/>
    <w:rsid w:val="2B471FB3"/>
    <w:rsid w:val="2B606BD1"/>
    <w:rsid w:val="2B612949"/>
    <w:rsid w:val="2B6C5576"/>
    <w:rsid w:val="2B717030"/>
    <w:rsid w:val="2B74267D"/>
    <w:rsid w:val="2B762899"/>
    <w:rsid w:val="2B7663F5"/>
    <w:rsid w:val="2B7E52A9"/>
    <w:rsid w:val="2BA50A88"/>
    <w:rsid w:val="2BAA2542"/>
    <w:rsid w:val="2BB60EE7"/>
    <w:rsid w:val="2BCA4992"/>
    <w:rsid w:val="2BE035C8"/>
    <w:rsid w:val="2BF24188"/>
    <w:rsid w:val="2BF65788"/>
    <w:rsid w:val="2BFD08C4"/>
    <w:rsid w:val="2C1D2D14"/>
    <w:rsid w:val="2C235EB7"/>
    <w:rsid w:val="2C2B5431"/>
    <w:rsid w:val="2C610E53"/>
    <w:rsid w:val="2C6646BB"/>
    <w:rsid w:val="2C9C1E8B"/>
    <w:rsid w:val="2C9F3729"/>
    <w:rsid w:val="2CAF267A"/>
    <w:rsid w:val="2CBE197F"/>
    <w:rsid w:val="2CCB6C14"/>
    <w:rsid w:val="2CE51A84"/>
    <w:rsid w:val="2CE90E48"/>
    <w:rsid w:val="2CED0939"/>
    <w:rsid w:val="2CF27CFD"/>
    <w:rsid w:val="2CF577ED"/>
    <w:rsid w:val="2CFA3055"/>
    <w:rsid w:val="2D012636"/>
    <w:rsid w:val="2D016C6B"/>
    <w:rsid w:val="2D0D2D89"/>
    <w:rsid w:val="2D2B1461"/>
    <w:rsid w:val="2D2D1B91"/>
    <w:rsid w:val="2D5B7F98"/>
    <w:rsid w:val="2D6A6CF3"/>
    <w:rsid w:val="2D746964"/>
    <w:rsid w:val="2D8D7A26"/>
    <w:rsid w:val="2DB9081B"/>
    <w:rsid w:val="2DCE2518"/>
    <w:rsid w:val="2DD218DC"/>
    <w:rsid w:val="2DDB69E3"/>
    <w:rsid w:val="2DE735DA"/>
    <w:rsid w:val="2DEF7457"/>
    <w:rsid w:val="2DFD104F"/>
    <w:rsid w:val="2E093AD9"/>
    <w:rsid w:val="2E0A0E72"/>
    <w:rsid w:val="2E112405"/>
    <w:rsid w:val="2E426A62"/>
    <w:rsid w:val="2E4637EF"/>
    <w:rsid w:val="2E4E18AB"/>
    <w:rsid w:val="2E6B420B"/>
    <w:rsid w:val="2E6C48D9"/>
    <w:rsid w:val="2E7035CF"/>
    <w:rsid w:val="2E7D3F3E"/>
    <w:rsid w:val="2E864BA1"/>
    <w:rsid w:val="2E8F4F19"/>
    <w:rsid w:val="2EA63495"/>
    <w:rsid w:val="2EB57234"/>
    <w:rsid w:val="2EC8340B"/>
    <w:rsid w:val="2ED303B5"/>
    <w:rsid w:val="2EF35FAE"/>
    <w:rsid w:val="2EF91817"/>
    <w:rsid w:val="2EFA6A37"/>
    <w:rsid w:val="2F167CA6"/>
    <w:rsid w:val="2F25260C"/>
    <w:rsid w:val="2F452CAE"/>
    <w:rsid w:val="2F4A3E20"/>
    <w:rsid w:val="2F5D70AC"/>
    <w:rsid w:val="2F6824F8"/>
    <w:rsid w:val="2F8A246F"/>
    <w:rsid w:val="2F8B61E7"/>
    <w:rsid w:val="2F904855"/>
    <w:rsid w:val="2F947791"/>
    <w:rsid w:val="2FA33530"/>
    <w:rsid w:val="2FA36C75"/>
    <w:rsid w:val="2FB83480"/>
    <w:rsid w:val="2FBE036A"/>
    <w:rsid w:val="2FFA41B9"/>
    <w:rsid w:val="301D6DE7"/>
    <w:rsid w:val="302428C3"/>
    <w:rsid w:val="30297EDA"/>
    <w:rsid w:val="303074BA"/>
    <w:rsid w:val="304E08DD"/>
    <w:rsid w:val="30601421"/>
    <w:rsid w:val="3062519A"/>
    <w:rsid w:val="306929CC"/>
    <w:rsid w:val="30696528"/>
    <w:rsid w:val="306B405E"/>
    <w:rsid w:val="30832D34"/>
    <w:rsid w:val="308C4B30"/>
    <w:rsid w:val="309612E7"/>
    <w:rsid w:val="30C714A1"/>
    <w:rsid w:val="30D53BBD"/>
    <w:rsid w:val="30EB33E1"/>
    <w:rsid w:val="30F32296"/>
    <w:rsid w:val="30F5600E"/>
    <w:rsid w:val="30FC114A"/>
    <w:rsid w:val="31012C04"/>
    <w:rsid w:val="310E0E7D"/>
    <w:rsid w:val="31104BF6"/>
    <w:rsid w:val="314A68DF"/>
    <w:rsid w:val="317A6D88"/>
    <w:rsid w:val="317F1D7B"/>
    <w:rsid w:val="318B0720"/>
    <w:rsid w:val="319E66A5"/>
    <w:rsid w:val="31A737AC"/>
    <w:rsid w:val="31A87524"/>
    <w:rsid w:val="31B00187"/>
    <w:rsid w:val="31D200FD"/>
    <w:rsid w:val="31DB3455"/>
    <w:rsid w:val="31DE4CF4"/>
    <w:rsid w:val="31E56082"/>
    <w:rsid w:val="31E64732"/>
    <w:rsid w:val="31F84559"/>
    <w:rsid w:val="3207249C"/>
    <w:rsid w:val="320F4D4B"/>
    <w:rsid w:val="32140715"/>
    <w:rsid w:val="3223427F"/>
    <w:rsid w:val="3236068C"/>
    <w:rsid w:val="324059AE"/>
    <w:rsid w:val="326351F9"/>
    <w:rsid w:val="32766A06"/>
    <w:rsid w:val="327D078A"/>
    <w:rsid w:val="32933D30"/>
    <w:rsid w:val="32A7158A"/>
    <w:rsid w:val="32B31CDC"/>
    <w:rsid w:val="32C75788"/>
    <w:rsid w:val="32E165BD"/>
    <w:rsid w:val="32FA3DAF"/>
    <w:rsid w:val="330469DC"/>
    <w:rsid w:val="33244988"/>
    <w:rsid w:val="33274478"/>
    <w:rsid w:val="332B3F69"/>
    <w:rsid w:val="334A3443"/>
    <w:rsid w:val="334F40FB"/>
    <w:rsid w:val="3353526D"/>
    <w:rsid w:val="33641229"/>
    <w:rsid w:val="338673F1"/>
    <w:rsid w:val="339D48A3"/>
    <w:rsid w:val="33AC3A1C"/>
    <w:rsid w:val="33C74846"/>
    <w:rsid w:val="33CF6FEA"/>
    <w:rsid w:val="33F64577"/>
    <w:rsid w:val="34056568"/>
    <w:rsid w:val="34296B28"/>
    <w:rsid w:val="343E7CCC"/>
    <w:rsid w:val="34525525"/>
    <w:rsid w:val="346040E6"/>
    <w:rsid w:val="34A0589E"/>
    <w:rsid w:val="34A67F96"/>
    <w:rsid w:val="34A9783B"/>
    <w:rsid w:val="34B0508B"/>
    <w:rsid w:val="34CE1050"/>
    <w:rsid w:val="34DF440A"/>
    <w:rsid w:val="350A581B"/>
    <w:rsid w:val="352E7D40"/>
    <w:rsid w:val="35426A60"/>
    <w:rsid w:val="35586B6B"/>
    <w:rsid w:val="355E7319"/>
    <w:rsid w:val="35690D78"/>
    <w:rsid w:val="358D36CE"/>
    <w:rsid w:val="3598340C"/>
    <w:rsid w:val="35A10512"/>
    <w:rsid w:val="35CE6E2D"/>
    <w:rsid w:val="35DB7EC8"/>
    <w:rsid w:val="35EE2046"/>
    <w:rsid w:val="35F41640"/>
    <w:rsid w:val="360F6FEA"/>
    <w:rsid w:val="361A6E50"/>
    <w:rsid w:val="362A0508"/>
    <w:rsid w:val="363967AA"/>
    <w:rsid w:val="36415851"/>
    <w:rsid w:val="36460158"/>
    <w:rsid w:val="36603F29"/>
    <w:rsid w:val="36745C27"/>
    <w:rsid w:val="36851BE2"/>
    <w:rsid w:val="368A0116"/>
    <w:rsid w:val="368E4F3A"/>
    <w:rsid w:val="369116D0"/>
    <w:rsid w:val="36941E25"/>
    <w:rsid w:val="36965B9D"/>
    <w:rsid w:val="369F7E9A"/>
    <w:rsid w:val="36A4650C"/>
    <w:rsid w:val="36CC15BF"/>
    <w:rsid w:val="36EF34FF"/>
    <w:rsid w:val="370C4F32"/>
    <w:rsid w:val="370E607B"/>
    <w:rsid w:val="372907BF"/>
    <w:rsid w:val="37294C63"/>
    <w:rsid w:val="37353608"/>
    <w:rsid w:val="374D6BA3"/>
    <w:rsid w:val="37500442"/>
    <w:rsid w:val="375353D0"/>
    <w:rsid w:val="375A6BCB"/>
    <w:rsid w:val="377A726D"/>
    <w:rsid w:val="377E4FAF"/>
    <w:rsid w:val="37971BCD"/>
    <w:rsid w:val="37A75B88"/>
    <w:rsid w:val="37BA3B0D"/>
    <w:rsid w:val="37CA01F4"/>
    <w:rsid w:val="37D921E5"/>
    <w:rsid w:val="37DF5322"/>
    <w:rsid w:val="37F51788"/>
    <w:rsid w:val="37F92887"/>
    <w:rsid w:val="37FC2378"/>
    <w:rsid w:val="380C2A2C"/>
    <w:rsid w:val="384B3FA8"/>
    <w:rsid w:val="3854528C"/>
    <w:rsid w:val="38547ABE"/>
    <w:rsid w:val="38565141"/>
    <w:rsid w:val="38B41380"/>
    <w:rsid w:val="38B95B73"/>
    <w:rsid w:val="38C22C79"/>
    <w:rsid w:val="38C77A8E"/>
    <w:rsid w:val="38CF183A"/>
    <w:rsid w:val="38E30E42"/>
    <w:rsid w:val="38E57239"/>
    <w:rsid w:val="38EF5A38"/>
    <w:rsid w:val="38F31085"/>
    <w:rsid w:val="39036257"/>
    <w:rsid w:val="390F1199"/>
    <w:rsid w:val="391B10B8"/>
    <w:rsid w:val="39367F12"/>
    <w:rsid w:val="393D0552"/>
    <w:rsid w:val="394538AA"/>
    <w:rsid w:val="394D5E49"/>
    <w:rsid w:val="39553AED"/>
    <w:rsid w:val="398F2E12"/>
    <w:rsid w:val="399531A9"/>
    <w:rsid w:val="39993E51"/>
    <w:rsid w:val="39A10631"/>
    <w:rsid w:val="39AD02F7"/>
    <w:rsid w:val="39B5458C"/>
    <w:rsid w:val="39B60304"/>
    <w:rsid w:val="39DA2245"/>
    <w:rsid w:val="39DA3FF3"/>
    <w:rsid w:val="39DF3CFF"/>
    <w:rsid w:val="39E81075"/>
    <w:rsid w:val="39EB5714"/>
    <w:rsid w:val="39F71049"/>
    <w:rsid w:val="39F96B6F"/>
    <w:rsid w:val="3A013C75"/>
    <w:rsid w:val="3A0472C2"/>
    <w:rsid w:val="3A073743"/>
    <w:rsid w:val="3A12378C"/>
    <w:rsid w:val="3A2B6F44"/>
    <w:rsid w:val="3A361B71"/>
    <w:rsid w:val="3A456E52"/>
    <w:rsid w:val="3A5A5133"/>
    <w:rsid w:val="3A631110"/>
    <w:rsid w:val="3A830B2E"/>
    <w:rsid w:val="3ABA2F86"/>
    <w:rsid w:val="3ABA5963"/>
    <w:rsid w:val="3AC70A1B"/>
    <w:rsid w:val="3AEA64B7"/>
    <w:rsid w:val="3AF92B9E"/>
    <w:rsid w:val="3AFA0DF0"/>
    <w:rsid w:val="3B097226"/>
    <w:rsid w:val="3B111C96"/>
    <w:rsid w:val="3B194FEF"/>
    <w:rsid w:val="3B236ECD"/>
    <w:rsid w:val="3B497682"/>
    <w:rsid w:val="3B5F6EA5"/>
    <w:rsid w:val="3B6E70E8"/>
    <w:rsid w:val="3B765F9D"/>
    <w:rsid w:val="3B7F30A4"/>
    <w:rsid w:val="3B8561E0"/>
    <w:rsid w:val="3B8B1A48"/>
    <w:rsid w:val="3BB07701"/>
    <w:rsid w:val="3BB2349B"/>
    <w:rsid w:val="3BB54D17"/>
    <w:rsid w:val="3BBF7944"/>
    <w:rsid w:val="3BC61B14"/>
    <w:rsid w:val="3BC82C9D"/>
    <w:rsid w:val="3BC9431F"/>
    <w:rsid w:val="3BE92C13"/>
    <w:rsid w:val="3BF375EE"/>
    <w:rsid w:val="3C0D4B53"/>
    <w:rsid w:val="3C0E2679"/>
    <w:rsid w:val="3C2105FF"/>
    <w:rsid w:val="3C2D2B00"/>
    <w:rsid w:val="3C372D23"/>
    <w:rsid w:val="3C447E49"/>
    <w:rsid w:val="3C494757"/>
    <w:rsid w:val="3C4B11D8"/>
    <w:rsid w:val="3C4B380F"/>
    <w:rsid w:val="3C4F6F1A"/>
    <w:rsid w:val="3C5A766D"/>
    <w:rsid w:val="3C720E5A"/>
    <w:rsid w:val="3C8B3CCA"/>
    <w:rsid w:val="3CA408E8"/>
    <w:rsid w:val="3CA52FDE"/>
    <w:rsid w:val="3CB94393"/>
    <w:rsid w:val="3CC14C1F"/>
    <w:rsid w:val="3CD0758C"/>
    <w:rsid w:val="3CE358B4"/>
    <w:rsid w:val="3CE55188"/>
    <w:rsid w:val="3CF56BC9"/>
    <w:rsid w:val="3D0A4BEF"/>
    <w:rsid w:val="3D0E2E48"/>
    <w:rsid w:val="3D1D0DC6"/>
    <w:rsid w:val="3D1F37E4"/>
    <w:rsid w:val="3D211F38"/>
    <w:rsid w:val="3D235CB1"/>
    <w:rsid w:val="3D346110"/>
    <w:rsid w:val="3D37175C"/>
    <w:rsid w:val="3D491BBB"/>
    <w:rsid w:val="3D4F2F4A"/>
    <w:rsid w:val="3D762284"/>
    <w:rsid w:val="3D826E7B"/>
    <w:rsid w:val="3D864BBD"/>
    <w:rsid w:val="3DDB0CD9"/>
    <w:rsid w:val="3DDD67A7"/>
    <w:rsid w:val="3DE23DBE"/>
    <w:rsid w:val="3DE90CA8"/>
    <w:rsid w:val="3E157CEF"/>
    <w:rsid w:val="3E667746"/>
    <w:rsid w:val="3E815385"/>
    <w:rsid w:val="3E885B96"/>
    <w:rsid w:val="3E952BDE"/>
    <w:rsid w:val="3EB43064"/>
    <w:rsid w:val="3EB92D70"/>
    <w:rsid w:val="3EBC22FE"/>
    <w:rsid w:val="3ECD4126"/>
    <w:rsid w:val="3EF1250A"/>
    <w:rsid w:val="3EF773F5"/>
    <w:rsid w:val="3F163D1F"/>
    <w:rsid w:val="3F450160"/>
    <w:rsid w:val="3F473ED8"/>
    <w:rsid w:val="3F4C14EF"/>
    <w:rsid w:val="3F4D019D"/>
    <w:rsid w:val="3F5860E5"/>
    <w:rsid w:val="3F591E5E"/>
    <w:rsid w:val="3F760C61"/>
    <w:rsid w:val="3F8213B4"/>
    <w:rsid w:val="3F827606"/>
    <w:rsid w:val="3F870779"/>
    <w:rsid w:val="3F890995"/>
    <w:rsid w:val="3F8A2017"/>
    <w:rsid w:val="3F917849"/>
    <w:rsid w:val="3F9B0612"/>
    <w:rsid w:val="3F9D1D4A"/>
    <w:rsid w:val="3FA241A2"/>
    <w:rsid w:val="3FAA4467"/>
    <w:rsid w:val="3FAC01DF"/>
    <w:rsid w:val="3FD85478"/>
    <w:rsid w:val="3FE536F1"/>
    <w:rsid w:val="3FE77469"/>
    <w:rsid w:val="40215D3E"/>
    <w:rsid w:val="403A57EB"/>
    <w:rsid w:val="404843AC"/>
    <w:rsid w:val="404B3E9C"/>
    <w:rsid w:val="4061546E"/>
    <w:rsid w:val="40664832"/>
    <w:rsid w:val="4079067E"/>
    <w:rsid w:val="4093139F"/>
    <w:rsid w:val="409343AF"/>
    <w:rsid w:val="409E3FCC"/>
    <w:rsid w:val="40D75730"/>
    <w:rsid w:val="40E63BC5"/>
    <w:rsid w:val="40EB4D37"/>
    <w:rsid w:val="40EC14AB"/>
    <w:rsid w:val="40FA4F7A"/>
    <w:rsid w:val="410D2F00"/>
    <w:rsid w:val="410D73A4"/>
    <w:rsid w:val="413C37E5"/>
    <w:rsid w:val="415648A7"/>
    <w:rsid w:val="415A71E1"/>
    <w:rsid w:val="41630D72"/>
    <w:rsid w:val="418807D8"/>
    <w:rsid w:val="418F600A"/>
    <w:rsid w:val="419B675D"/>
    <w:rsid w:val="41AA69A0"/>
    <w:rsid w:val="41B15F81"/>
    <w:rsid w:val="41C31810"/>
    <w:rsid w:val="41C55588"/>
    <w:rsid w:val="41DC7318"/>
    <w:rsid w:val="41E225DE"/>
    <w:rsid w:val="41F8595E"/>
    <w:rsid w:val="42100EF9"/>
    <w:rsid w:val="4214206C"/>
    <w:rsid w:val="42454372"/>
    <w:rsid w:val="426179A2"/>
    <w:rsid w:val="427174BE"/>
    <w:rsid w:val="42786A9F"/>
    <w:rsid w:val="428B67D2"/>
    <w:rsid w:val="428E0070"/>
    <w:rsid w:val="4294310E"/>
    <w:rsid w:val="42943344"/>
    <w:rsid w:val="42975177"/>
    <w:rsid w:val="429A07C3"/>
    <w:rsid w:val="42C615B8"/>
    <w:rsid w:val="42D77C69"/>
    <w:rsid w:val="42DC0DDB"/>
    <w:rsid w:val="42DE0FF8"/>
    <w:rsid w:val="42E56A55"/>
    <w:rsid w:val="42FC322C"/>
    <w:rsid w:val="43193DDE"/>
    <w:rsid w:val="431C38CE"/>
    <w:rsid w:val="43372938"/>
    <w:rsid w:val="43484F88"/>
    <w:rsid w:val="434A1275"/>
    <w:rsid w:val="435C1F1C"/>
    <w:rsid w:val="4387343D"/>
    <w:rsid w:val="43972F54"/>
    <w:rsid w:val="439E42E3"/>
    <w:rsid w:val="43A124B3"/>
    <w:rsid w:val="43B65AD0"/>
    <w:rsid w:val="43BB4E95"/>
    <w:rsid w:val="43C55D14"/>
    <w:rsid w:val="43D85A47"/>
    <w:rsid w:val="43E837B0"/>
    <w:rsid w:val="43E97C54"/>
    <w:rsid w:val="43F11473"/>
    <w:rsid w:val="43F839F3"/>
    <w:rsid w:val="44022AC4"/>
    <w:rsid w:val="44024872"/>
    <w:rsid w:val="44044A8E"/>
    <w:rsid w:val="44184095"/>
    <w:rsid w:val="44236B1E"/>
    <w:rsid w:val="444158E6"/>
    <w:rsid w:val="44564BBE"/>
    <w:rsid w:val="44641089"/>
    <w:rsid w:val="446948F1"/>
    <w:rsid w:val="446F3961"/>
    <w:rsid w:val="44B95F17"/>
    <w:rsid w:val="44C11AA6"/>
    <w:rsid w:val="44C75831"/>
    <w:rsid w:val="44CD7477"/>
    <w:rsid w:val="44D04970"/>
    <w:rsid w:val="44D426B2"/>
    <w:rsid w:val="44DF4BB3"/>
    <w:rsid w:val="44E346A3"/>
    <w:rsid w:val="44F3240C"/>
    <w:rsid w:val="450048CC"/>
    <w:rsid w:val="451A208F"/>
    <w:rsid w:val="452457E1"/>
    <w:rsid w:val="45350C77"/>
    <w:rsid w:val="453A628D"/>
    <w:rsid w:val="45415D40"/>
    <w:rsid w:val="45435142"/>
    <w:rsid w:val="45451DF1"/>
    <w:rsid w:val="454A4722"/>
    <w:rsid w:val="454B2248"/>
    <w:rsid w:val="45513D03"/>
    <w:rsid w:val="4554734F"/>
    <w:rsid w:val="45570447"/>
    <w:rsid w:val="45723C79"/>
    <w:rsid w:val="45967968"/>
    <w:rsid w:val="459B31D0"/>
    <w:rsid w:val="45B46417"/>
    <w:rsid w:val="45B86522"/>
    <w:rsid w:val="45DB537A"/>
    <w:rsid w:val="45DE4E6B"/>
    <w:rsid w:val="45F43872"/>
    <w:rsid w:val="46113492"/>
    <w:rsid w:val="461B3AA5"/>
    <w:rsid w:val="462C5BD6"/>
    <w:rsid w:val="462E5DF2"/>
    <w:rsid w:val="464C0026"/>
    <w:rsid w:val="46655038"/>
    <w:rsid w:val="466C06C8"/>
    <w:rsid w:val="46843C64"/>
    <w:rsid w:val="46850285"/>
    <w:rsid w:val="46955E71"/>
    <w:rsid w:val="469F45FA"/>
    <w:rsid w:val="46A240EA"/>
    <w:rsid w:val="46A460B4"/>
    <w:rsid w:val="46AF05B5"/>
    <w:rsid w:val="46C94CDE"/>
    <w:rsid w:val="46D30747"/>
    <w:rsid w:val="46E14C12"/>
    <w:rsid w:val="4706474A"/>
    <w:rsid w:val="470703F1"/>
    <w:rsid w:val="470D3C59"/>
    <w:rsid w:val="471B28B4"/>
    <w:rsid w:val="473B0E1B"/>
    <w:rsid w:val="473F27FF"/>
    <w:rsid w:val="475E1C43"/>
    <w:rsid w:val="476017C6"/>
    <w:rsid w:val="47745A86"/>
    <w:rsid w:val="47811F51"/>
    <w:rsid w:val="47841A42"/>
    <w:rsid w:val="47863A0C"/>
    <w:rsid w:val="478E2D76"/>
    <w:rsid w:val="47916CB1"/>
    <w:rsid w:val="47A65E5C"/>
    <w:rsid w:val="47CA1B4A"/>
    <w:rsid w:val="47E67FE2"/>
    <w:rsid w:val="47F0014A"/>
    <w:rsid w:val="47F60B91"/>
    <w:rsid w:val="481903DC"/>
    <w:rsid w:val="486F26F2"/>
    <w:rsid w:val="48740AF8"/>
    <w:rsid w:val="487B247F"/>
    <w:rsid w:val="488E0DCA"/>
    <w:rsid w:val="48934632"/>
    <w:rsid w:val="48B56357"/>
    <w:rsid w:val="48B955C2"/>
    <w:rsid w:val="48B9571B"/>
    <w:rsid w:val="48BA396D"/>
    <w:rsid w:val="48BB76E5"/>
    <w:rsid w:val="48C657AA"/>
    <w:rsid w:val="48F30C2D"/>
    <w:rsid w:val="490177EE"/>
    <w:rsid w:val="490D6193"/>
    <w:rsid w:val="491F7C74"/>
    <w:rsid w:val="492B090F"/>
    <w:rsid w:val="492D6240"/>
    <w:rsid w:val="49382AE4"/>
    <w:rsid w:val="49417BEA"/>
    <w:rsid w:val="494852C1"/>
    <w:rsid w:val="494E0559"/>
    <w:rsid w:val="4968786D"/>
    <w:rsid w:val="496A7A12"/>
    <w:rsid w:val="496F0BFB"/>
    <w:rsid w:val="49843F7B"/>
    <w:rsid w:val="498E0956"/>
    <w:rsid w:val="49911DC2"/>
    <w:rsid w:val="499659CF"/>
    <w:rsid w:val="499A718B"/>
    <w:rsid w:val="49B52386"/>
    <w:rsid w:val="49C202E7"/>
    <w:rsid w:val="49EC3FFA"/>
    <w:rsid w:val="49F72751"/>
    <w:rsid w:val="4A1E3C56"/>
    <w:rsid w:val="4A1E617D"/>
    <w:rsid w:val="4A2D016F"/>
    <w:rsid w:val="4A4200BE"/>
    <w:rsid w:val="4A421E6C"/>
    <w:rsid w:val="4A704B0B"/>
    <w:rsid w:val="4A730023"/>
    <w:rsid w:val="4A744C91"/>
    <w:rsid w:val="4A876DA6"/>
    <w:rsid w:val="4A8833F8"/>
    <w:rsid w:val="4A8A619F"/>
    <w:rsid w:val="4AA2290B"/>
    <w:rsid w:val="4AC05487"/>
    <w:rsid w:val="4AD46AF0"/>
    <w:rsid w:val="4ADF61DE"/>
    <w:rsid w:val="4ADF76BB"/>
    <w:rsid w:val="4AF5280D"/>
    <w:rsid w:val="4B0071C8"/>
    <w:rsid w:val="4B125FF6"/>
    <w:rsid w:val="4B1B110F"/>
    <w:rsid w:val="4B3F45FD"/>
    <w:rsid w:val="4B4614E8"/>
    <w:rsid w:val="4B6C4CC7"/>
    <w:rsid w:val="4B7D0C82"/>
    <w:rsid w:val="4B8244EA"/>
    <w:rsid w:val="4B8B339F"/>
    <w:rsid w:val="4B8F7333"/>
    <w:rsid w:val="4B92472D"/>
    <w:rsid w:val="4BA17066"/>
    <w:rsid w:val="4BDA7172"/>
    <w:rsid w:val="4C0575F5"/>
    <w:rsid w:val="4C2B503E"/>
    <w:rsid w:val="4C312198"/>
    <w:rsid w:val="4C3253A4"/>
    <w:rsid w:val="4C3677AE"/>
    <w:rsid w:val="4C40062D"/>
    <w:rsid w:val="4C481290"/>
    <w:rsid w:val="4C651E42"/>
    <w:rsid w:val="4C735D9E"/>
    <w:rsid w:val="4C765DFD"/>
    <w:rsid w:val="4C787DC7"/>
    <w:rsid w:val="4C8229F4"/>
    <w:rsid w:val="4C8C3872"/>
    <w:rsid w:val="4C987D10"/>
    <w:rsid w:val="4CA94424"/>
    <w:rsid w:val="4CAA3CF8"/>
    <w:rsid w:val="4CD62D3F"/>
    <w:rsid w:val="4CE0771A"/>
    <w:rsid w:val="4D057181"/>
    <w:rsid w:val="4D331F40"/>
    <w:rsid w:val="4D3B0DF4"/>
    <w:rsid w:val="4D534390"/>
    <w:rsid w:val="4D64659D"/>
    <w:rsid w:val="4D7F6F33"/>
    <w:rsid w:val="4D9549A9"/>
    <w:rsid w:val="4D9D16E6"/>
    <w:rsid w:val="4DA76875"/>
    <w:rsid w:val="4DB017E2"/>
    <w:rsid w:val="4DB82445"/>
    <w:rsid w:val="4DC25072"/>
    <w:rsid w:val="4DC96400"/>
    <w:rsid w:val="4DD76D6F"/>
    <w:rsid w:val="4DDC4D2C"/>
    <w:rsid w:val="4DEB281B"/>
    <w:rsid w:val="4E0D453F"/>
    <w:rsid w:val="4E10402F"/>
    <w:rsid w:val="4E121B55"/>
    <w:rsid w:val="4E1E176D"/>
    <w:rsid w:val="4E2B2C17"/>
    <w:rsid w:val="4E2D698F"/>
    <w:rsid w:val="4E505C68"/>
    <w:rsid w:val="4E573A0C"/>
    <w:rsid w:val="4E5C1022"/>
    <w:rsid w:val="4E613302"/>
    <w:rsid w:val="4E760336"/>
    <w:rsid w:val="4EAC01FC"/>
    <w:rsid w:val="4EB250E6"/>
    <w:rsid w:val="4EB33338"/>
    <w:rsid w:val="4EB946C7"/>
    <w:rsid w:val="4EBE1CDD"/>
    <w:rsid w:val="4EC05A55"/>
    <w:rsid w:val="4EC1342D"/>
    <w:rsid w:val="4ECA0682"/>
    <w:rsid w:val="4ECD0674"/>
    <w:rsid w:val="4ED60DD5"/>
    <w:rsid w:val="4EE74D90"/>
    <w:rsid w:val="4EEF633A"/>
    <w:rsid w:val="4F134939"/>
    <w:rsid w:val="4F1D6A04"/>
    <w:rsid w:val="4F2935FA"/>
    <w:rsid w:val="4F2A7373"/>
    <w:rsid w:val="4F437111"/>
    <w:rsid w:val="4F495A4B"/>
    <w:rsid w:val="4F587A3C"/>
    <w:rsid w:val="4F7A3E56"/>
    <w:rsid w:val="4F8C3B89"/>
    <w:rsid w:val="4F9547EC"/>
    <w:rsid w:val="4FCC21D8"/>
    <w:rsid w:val="4FE6773D"/>
    <w:rsid w:val="4FEB6B02"/>
    <w:rsid w:val="4FEE65F2"/>
    <w:rsid w:val="4FF27E90"/>
    <w:rsid w:val="50106568"/>
    <w:rsid w:val="501222E0"/>
    <w:rsid w:val="501F0559"/>
    <w:rsid w:val="5023629C"/>
    <w:rsid w:val="503A5393"/>
    <w:rsid w:val="5043249A"/>
    <w:rsid w:val="504D50C7"/>
    <w:rsid w:val="505521CD"/>
    <w:rsid w:val="5060304C"/>
    <w:rsid w:val="506A211C"/>
    <w:rsid w:val="507C3BFE"/>
    <w:rsid w:val="50827466"/>
    <w:rsid w:val="50AC49D2"/>
    <w:rsid w:val="50CC248F"/>
    <w:rsid w:val="50D21A70"/>
    <w:rsid w:val="50D457E8"/>
    <w:rsid w:val="50F6750C"/>
    <w:rsid w:val="50FB4B23"/>
    <w:rsid w:val="50FC2FA8"/>
    <w:rsid w:val="51160A34"/>
    <w:rsid w:val="51163F32"/>
    <w:rsid w:val="51183927"/>
    <w:rsid w:val="51226553"/>
    <w:rsid w:val="51453FF0"/>
    <w:rsid w:val="516C77CE"/>
    <w:rsid w:val="5170282E"/>
    <w:rsid w:val="519A433C"/>
    <w:rsid w:val="519B0C10"/>
    <w:rsid w:val="51AE366B"/>
    <w:rsid w:val="51D71830"/>
    <w:rsid w:val="51DF0427"/>
    <w:rsid w:val="51E23F34"/>
    <w:rsid w:val="51F83758"/>
    <w:rsid w:val="520B3E30"/>
    <w:rsid w:val="520E5B76"/>
    <w:rsid w:val="5246001F"/>
    <w:rsid w:val="528C10A0"/>
    <w:rsid w:val="52972F71"/>
    <w:rsid w:val="52B0193D"/>
    <w:rsid w:val="52BC29D7"/>
    <w:rsid w:val="52C8312A"/>
    <w:rsid w:val="52DD4E28"/>
    <w:rsid w:val="52FB52AE"/>
    <w:rsid w:val="52FB705C"/>
    <w:rsid w:val="52FC4B82"/>
    <w:rsid w:val="532E2213"/>
    <w:rsid w:val="533026AA"/>
    <w:rsid w:val="533E2F7F"/>
    <w:rsid w:val="534D3630"/>
    <w:rsid w:val="535C60FE"/>
    <w:rsid w:val="53807561"/>
    <w:rsid w:val="538708F0"/>
    <w:rsid w:val="538E7D0E"/>
    <w:rsid w:val="53A56FC8"/>
    <w:rsid w:val="53B4545D"/>
    <w:rsid w:val="53B8319F"/>
    <w:rsid w:val="53C03E02"/>
    <w:rsid w:val="53C658BC"/>
    <w:rsid w:val="53DF24DA"/>
    <w:rsid w:val="53F65A75"/>
    <w:rsid w:val="53FB308C"/>
    <w:rsid w:val="5402441A"/>
    <w:rsid w:val="542F214A"/>
    <w:rsid w:val="54302D35"/>
    <w:rsid w:val="54316AAD"/>
    <w:rsid w:val="543A3BB4"/>
    <w:rsid w:val="54640C31"/>
    <w:rsid w:val="547F3CBD"/>
    <w:rsid w:val="54994D7E"/>
    <w:rsid w:val="549E786E"/>
    <w:rsid w:val="54AB6860"/>
    <w:rsid w:val="54BB2F47"/>
    <w:rsid w:val="54BE216E"/>
    <w:rsid w:val="54BF40B9"/>
    <w:rsid w:val="54D15BFA"/>
    <w:rsid w:val="550F3292"/>
    <w:rsid w:val="5512615B"/>
    <w:rsid w:val="551B6940"/>
    <w:rsid w:val="552A3C28"/>
    <w:rsid w:val="55563AD1"/>
    <w:rsid w:val="555F460E"/>
    <w:rsid w:val="556B5B8F"/>
    <w:rsid w:val="558722C8"/>
    <w:rsid w:val="558F536E"/>
    <w:rsid w:val="55950837"/>
    <w:rsid w:val="55C027DF"/>
    <w:rsid w:val="55C2628A"/>
    <w:rsid w:val="55CE2806"/>
    <w:rsid w:val="55D50038"/>
    <w:rsid w:val="55D63DB0"/>
    <w:rsid w:val="55DB3175"/>
    <w:rsid w:val="55E55DA1"/>
    <w:rsid w:val="55EE4C56"/>
    <w:rsid w:val="55F61D5C"/>
    <w:rsid w:val="56002BDB"/>
    <w:rsid w:val="560426CB"/>
    <w:rsid w:val="56222B52"/>
    <w:rsid w:val="562A1B91"/>
    <w:rsid w:val="562B5B9A"/>
    <w:rsid w:val="56331D5B"/>
    <w:rsid w:val="56356D29"/>
    <w:rsid w:val="5637484F"/>
    <w:rsid w:val="5640122A"/>
    <w:rsid w:val="56570A4D"/>
    <w:rsid w:val="5661367A"/>
    <w:rsid w:val="56902358"/>
    <w:rsid w:val="56904BDD"/>
    <w:rsid w:val="56AB6FEB"/>
    <w:rsid w:val="56AB7BA5"/>
    <w:rsid w:val="56AF3861"/>
    <w:rsid w:val="56B85264"/>
    <w:rsid w:val="56C46C9A"/>
    <w:rsid w:val="56CA56C3"/>
    <w:rsid w:val="56CF0F2B"/>
    <w:rsid w:val="56DC53F6"/>
    <w:rsid w:val="56F40992"/>
    <w:rsid w:val="5714693E"/>
    <w:rsid w:val="575C2093"/>
    <w:rsid w:val="57664784"/>
    <w:rsid w:val="5781726E"/>
    <w:rsid w:val="578D049F"/>
    <w:rsid w:val="57BE4AFC"/>
    <w:rsid w:val="57C06AC6"/>
    <w:rsid w:val="57CE11E3"/>
    <w:rsid w:val="57CF2865"/>
    <w:rsid w:val="57E07028"/>
    <w:rsid w:val="57EC78BB"/>
    <w:rsid w:val="57F549C2"/>
    <w:rsid w:val="58010F61"/>
    <w:rsid w:val="58033583"/>
    <w:rsid w:val="581A7F84"/>
    <w:rsid w:val="58403763"/>
    <w:rsid w:val="58434227"/>
    <w:rsid w:val="584C2108"/>
    <w:rsid w:val="58550FBC"/>
    <w:rsid w:val="585D2567"/>
    <w:rsid w:val="586C6306"/>
    <w:rsid w:val="58737694"/>
    <w:rsid w:val="587F072F"/>
    <w:rsid w:val="58BA1767"/>
    <w:rsid w:val="58DC49CD"/>
    <w:rsid w:val="58DD31FA"/>
    <w:rsid w:val="59030A18"/>
    <w:rsid w:val="591A469F"/>
    <w:rsid w:val="59215342"/>
    <w:rsid w:val="59264A99"/>
    <w:rsid w:val="592941F7"/>
    <w:rsid w:val="592A3C50"/>
    <w:rsid w:val="593B46DD"/>
    <w:rsid w:val="594026BD"/>
    <w:rsid w:val="594159E5"/>
    <w:rsid w:val="59460076"/>
    <w:rsid w:val="595042A3"/>
    <w:rsid w:val="59515D8A"/>
    <w:rsid w:val="595C637A"/>
    <w:rsid w:val="5960477C"/>
    <w:rsid w:val="59682F71"/>
    <w:rsid w:val="596B66F6"/>
    <w:rsid w:val="596D2336"/>
    <w:rsid w:val="596F6178"/>
    <w:rsid w:val="59A5674B"/>
    <w:rsid w:val="59BD150F"/>
    <w:rsid w:val="59C53F20"/>
    <w:rsid w:val="59ED3476"/>
    <w:rsid w:val="5A151F73"/>
    <w:rsid w:val="5A492DA3"/>
    <w:rsid w:val="5A53777D"/>
    <w:rsid w:val="5A582FE6"/>
    <w:rsid w:val="5A601E9A"/>
    <w:rsid w:val="5A760E09"/>
    <w:rsid w:val="5AA77AC9"/>
    <w:rsid w:val="5AA91A93"/>
    <w:rsid w:val="5ABD109B"/>
    <w:rsid w:val="5ABE4B07"/>
    <w:rsid w:val="5AC266B1"/>
    <w:rsid w:val="5ACB37B8"/>
    <w:rsid w:val="5ACB7C5C"/>
    <w:rsid w:val="5AD77DB4"/>
    <w:rsid w:val="5AE44879"/>
    <w:rsid w:val="5AFA409D"/>
    <w:rsid w:val="5AFA5E4B"/>
    <w:rsid w:val="5B1769FD"/>
    <w:rsid w:val="5B2D6220"/>
    <w:rsid w:val="5B321A89"/>
    <w:rsid w:val="5B386973"/>
    <w:rsid w:val="5B4A6DD2"/>
    <w:rsid w:val="5B4E6197"/>
    <w:rsid w:val="5B657EA9"/>
    <w:rsid w:val="5B751975"/>
    <w:rsid w:val="5B8147BE"/>
    <w:rsid w:val="5B920779"/>
    <w:rsid w:val="5B9401EF"/>
    <w:rsid w:val="5BA555B3"/>
    <w:rsid w:val="5BB47AC3"/>
    <w:rsid w:val="5BB74B2C"/>
    <w:rsid w:val="5BD41E6E"/>
    <w:rsid w:val="5BEA2363"/>
    <w:rsid w:val="5BEA5EBF"/>
    <w:rsid w:val="5BEF1728"/>
    <w:rsid w:val="5BF64864"/>
    <w:rsid w:val="5BFD3E45"/>
    <w:rsid w:val="5C2869E8"/>
    <w:rsid w:val="5C2C64D8"/>
    <w:rsid w:val="5C381321"/>
    <w:rsid w:val="5C3A6E47"/>
    <w:rsid w:val="5C3B1922"/>
    <w:rsid w:val="5C5069F0"/>
    <w:rsid w:val="5C537F09"/>
    <w:rsid w:val="5C5477DD"/>
    <w:rsid w:val="5C5E2B95"/>
    <w:rsid w:val="5C7A1E91"/>
    <w:rsid w:val="5C8C6F77"/>
    <w:rsid w:val="5CA40764"/>
    <w:rsid w:val="5CAB5170"/>
    <w:rsid w:val="5CBD5382"/>
    <w:rsid w:val="5CCA5724"/>
    <w:rsid w:val="5CE62B2B"/>
    <w:rsid w:val="5CE70651"/>
    <w:rsid w:val="5CEE5E83"/>
    <w:rsid w:val="5D290C69"/>
    <w:rsid w:val="5D292A17"/>
    <w:rsid w:val="5D6972B8"/>
    <w:rsid w:val="5D706822"/>
    <w:rsid w:val="5D7F6ADB"/>
    <w:rsid w:val="5D8B3C74"/>
    <w:rsid w:val="5DAD53F7"/>
    <w:rsid w:val="5DB42C29"/>
    <w:rsid w:val="5DB669A1"/>
    <w:rsid w:val="5DBD1FCA"/>
    <w:rsid w:val="5DC0337C"/>
    <w:rsid w:val="5E084D23"/>
    <w:rsid w:val="5E092890"/>
    <w:rsid w:val="5E192A8C"/>
    <w:rsid w:val="5E1C432A"/>
    <w:rsid w:val="5E257683"/>
    <w:rsid w:val="5E282CCF"/>
    <w:rsid w:val="5E3A2E3F"/>
    <w:rsid w:val="5E510478"/>
    <w:rsid w:val="5E524438"/>
    <w:rsid w:val="5E714676"/>
    <w:rsid w:val="5E8425FB"/>
    <w:rsid w:val="5E8C6F99"/>
    <w:rsid w:val="5EAA0273"/>
    <w:rsid w:val="5ECF75EF"/>
    <w:rsid w:val="5ED54C05"/>
    <w:rsid w:val="5EF2352E"/>
    <w:rsid w:val="5EF57055"/>
    <w:rsid w:val="5EF763C6"/>
    <w:rsid w:val="5EFD0600"/>
    <w:rsid w:val="5F08322C"/>
    <w:rsid w:val="5F4E6765"/>
    <w:rsid w:val="5F5D7160"/>
    <w:rsid w:val="5F714A4F"/>
    <w:rsid w:val="5F7408C2"/>
    <w:rsid w:val="5F887EC9"/>
    <w:rsid w:val="5F893C41"/>
    <w:rsid w:val="5F8B79B9"/>
    <w:rsid w:val="5F97010C"/>
    <w:rsid w:val="5FB23198"/>
    <w:rsid w:val="5FB46F10"/>
    <w:rsid w:val="5FB90FB7"/>
    <w:rsid w:val="5FC30058"/>
    <w:rsid w:val="5FDE21DF"/>
    <w:rsid w:val="5FF27A39"/>
    <w:rsid w:val="5FFB0081"/>
    <w:rsid w:val="5FFE1F39"/>
    <w:rsid w:val="60060FEE"/>
    <w:rsid w:val="600A2554"/>
    <w:rsid w:val="60462E90"/>
    <w:rsid w:val="60571E01"/>
    <w:rsid w:val="606F72DB"/>
    <w:rsid w:val="60786190"/>
    <w:rsid w:val="608368E3"/>
    <w:rsid w:val="60A07495"/>
    <w:rsid w:val="60A30D33"/>
    <w:rsid w:val="60A96349"/>
    <w:rsid w:val="60AE00AB"/>
    <w:rsid w:val="60B31391"/>
    <w:rsid w:val="60C2740B"/>
    <w:rsid w:val="60C82547"/>
    <w:rsid w:val="60D60EA4"/>
    <w:rsid w:val="60EB4BB4"/>
    <w:rsid w:val="60F34B93"/>
    <w:rsid w:val="612945BF"/>
    <w:rsid w:val="61530A39"/>
    <w:rsid w:val="6183303E"/>
    <w:rsid w:val="61923281"/>
    <w:rsid w:val="619F1863"/>
    <w:rsid w:val="61AC3CD1"/>
    <w:rsid w:val="61CB22EF"/>
    <w:rsid w:val="61D00691"/>
    <w:rsid w:val="61DF3FED"/>
    <w:rsid w:val="61F47A98"/>
    <w:rsid w:val="61FE695C"/>
    <w:rsid w:val="621912AD"/>
    <w:rsid w:val="62326812"/>
    <w:rsid w:val="62571DD5"/>
    <w:rsid w:val="625B7377"/>
    <w:rsid w:val="626562A0"/>
    <w:rsid w:val="6278019C"/>
    <w:rsid w:val="6283706E"/>
    <w:rsid w:val="628C1A7E"/>
    <w:rsid w:val="629B7F14"/>
    <w:rsid w:val="62A96AD4"/>
    <w:rsid w:val="62AE40EB"/>
    <w:rsid w:val="62B2525D"/>
    <w:rsid w:val="62C0797A"/>
    <w:rsid w:val="62E95123"/>
    <w:rsid w:val="62FB09B2"/>
    <w:rsid w:val="62FE04A2"/>
    <w:rsid w:val="63001694"/>
    <w:rsid w:val="63185A08"/>
    <w:rsid w:val="631D29EB"/>
    <w:rsid w:val="633C6169"/>
    <w:rsid w:val="637A3FCD"/>
    <w:rsid w:val="63822EAD"/>
    <w:rsid w:val="638C7755"/>
    <w:rsid w:val="639B1A12"/>
    <w:rsid w:val="63B70D7D"/>
    <w:rsid w:val="63BC45E5"/>
    <w:rsid w:val="63D23E09"/>
    <w:rsid w:val="63F773CC"/>
    <w:rsid w:val="64055F8C"/>
    <w:rsid w:val="64300F47"/>
    <w:rsid w:val="64483336"/>
    <w:rsid w:val="644F0FB6"/>
    <w:rsid w:val="64562D15"/>
    <w:rsid w:val="646C600B"/>
    <w:rsid w:val="646F3406"/>
    <w:rsid w:val="647C2CAA"/>
    <w:rsid w:val="64942E6C"/>
    <w:rsid w:val="64AE53F9"/>
    <w:rsid w:val="64D53D36"/>
    <w:rsid w:val="64D63485"/>
    <w:rsid w:val="64E35BA2"/>
    <w:rsid w:val="64EC2CA8"/>
    <w:rsid w:val="65085608"/>
    <w:rsid w:val="65091AAC"/>
    <w:rsid w:val="650F7082"/>
    <w:rsid w:val="65110961"/>
    <w:rsid w:val="6518767F"/>
    <w:rsid w:val="65362175"/>
    <w:rsid w:val="65385EEE"/>
    <w:rsid w:val="656767D3"/>
    <w:rsid w:val="65712B94"/>
    <w:rsid w:val="657A02B4"/>
    <w:rsid w:val="65801643"/>
    <w:rsid w:val="65956E9C"/>
    <w:rsid w:val="659858FD"/>
    <w:rsid w:val="6598698C"/>
    <w:rsid w:val="65A13CC9"/>
    <w:rsid w:val="65AA25C1"/>
    <w:rsid w:val="65E120E1"/>
    <w:rsid w:val="65F91B21"/>
    <w:rsid w:val="660364FC"/>
    <w:rsid w:val="660D737A"/>
    <w:rsid w:val="661C580F"/>
    <w:rsid w:val="661E2CB4"/>
    <w:rsid w:val="661E3335"/>
    <w:rsid w:val="662621EA"/>
    <w:rsid w:val="662C6800"/>
    <w:rsid w:val="6632293D"/>
    <w:rsid w:val="664E603D"/>
    <w:rsid w:val="666F1DE3"/>
    <w:rsid w:val="667B2536"/>
    <w:rsid w:val="667D1E28"/>
    <w:rsid w:val="66A870A3"/>
    <w:rsid w:val="66AD46B9"/>
    <w:rsid w:val="66B141AA"/>
    <w:rsid w:val="66CD4D5B"/>
    <w:rsid w:val="66D32372"/>
    <w:rsid w:val="66DD6797"/>
    <w:rsid w:val="66ED4AB6"/>
    <w:rsid w:val="66F66060"/>
    <w:rsid w:val="66F67E0E"/>
    <w:rsid w:val="670818F0"/>
    <w:rsid w:val="671D183F"/>
    <w:rsid w:val="671F55B7"/>
    <w:rsid w:val="67293782"/>
    <w:rsid w:val="675114E9"/>
    <w:rsid w:val="675863D3"/>
    <w:rsid w:val="6759039D"/>
    <w:rsid w:val="679703E1"/>
    <w:rsid w:val="67984F00"/>
    <w:rsid w:val="67A965FC"/>
    <w:rsid w:val="68336E40"/>
    <w:rsid w:val="683926A8"/>
    <w:rsid w:val="68537CAF"/>
    <w:rsid w:val="685E210F"/>
    <w:rsid w:val="685F3791"/>
    <w:rsid w:val="68725BBA"/>
    <w:rsid w:val="68776D2D"/>
    <w:rsid w:val="687A4A6F"/>
    <w:rsid w:val="68B079A5"/>
    <w:rsid w:val="68BB30BE"/>
    <w:rsid w:val="68D45F2D"/>
    <w:rsid w:val="68DF62EE"/>
    <w:rsid w:val="68EA5751"/>
    <w:rsid w:val="68F570FB"/>
    <w:rsid w:val="69456E2B"/>
    <w:rsid w:val="69531548"/>
    <w:rsid w:val="696F3EA8"/>
    <w:rsid w:val="69731BEA"/>
    <w:rsid w:val="69790883"/>
    <w:rsid w:val="697A2F79"/>
    <w:rsid w:val="698B7CF9"/>
    <w:rsid w:val="698C6808"/>
    <w:rsid w:val="699266B6"/>
    <w:rsid w:val="69A47FF6"/>
    <w:rsid w:val="6A102F95"/>
    <w:rsid w:val="6A242EE4"/>
    <w:rsid w:val="6A2922A9"/>
    <w:rsid w:val="6A4415E9"/>
    <w:rsid w:val="6A5D1F52"/>
    <w:rsid w:val="6A7C062B"/>
    <w:rsid w:val="6A8D0A8A"/>
    <w:rsid w:val="6A9736B6"/>
    <w:rsid w:val="6AAB0F10"/>
    <w:rsid w:val="6ACC55B0"/>
    <w:rsid w:val="6ACD70D8"/>
    <w:rsid w:val="6AE12B83"/>
    <w:rsid w:val="6AEA7C8A"/>
    <w:rsid w:val="6AF12F2B"/>
    <w:rsid w:val="6B054AC4"/>
    <w:rsid w:val="6B1E7934"/>
    <w:rsid w:val="6B225676"/>
    <w:rsid w:val="6B422808"/>
    <w:rsid w:val="6B476E8A"/>
    <w:rsid w:val="6B4B5217"/>
    <w:rsid w:val="6B680BAF"/>
    <w:rsid w:val="6B6A0DCB"/>
    <w:rsid w:val="6B6F1F3D"/>
    <w:rsid w:val="6B8A1717"/>
    <w:rsid w:val="6B8C6F93"/>
    <w:rsid w:val="6B99345E"/>
    <w:rsid w:val="6BAD273F"/>
    <w:rsid w:val="6BBB1626"/>
    <w:rsid w:val="6BC56001"/>
    <w:rsid w:val="6BCA186A"/>
    <w:rsid w:val="6BCC7390"/>
    <w:rsid w:val="6BCE3108"/>
    <w:rsid w:val="6BD36970"/>
    <w:rsid w:val="6BD526E8"/>
    <w:rsid w:val="6C0B435C"/>
    <w:rsid w:val="6C17069E"/>
    <w:rsid w:val="6C2225DD"/>
    <w:rsid w:val="6C301153"/>
    <w:rsid w:val="6C6B0957"/>
    <w:rsid w:val="6C832144"/>
    <w:rsid w:val="6C845EBC"/>
    <w:rsid w:val="6C89702F"/>
    <w:rsid w:val="6C9C4FB4"/>
    <w:rsid w:val="6C9D0D2C"/>
    <w:rsid w:val="6CC265FC"/>
    <w:rsid w:val="6CD504C6"/>
    <w:rsid w:val="6CD52274"/>
    <w:rsid w:val="6CF92406"/>
    <w:rsid w:val="6CFC3CA5"/>
    <w:rsid w:val="6CFC5A53"/>
    <w:rsid w:val="6CFE5C6F"/>
    <w:rsid w:val="6D050DAB"/>
    <w:rsid w:val="6D147240"/>
    <w:rsid w:val="6D196605"/>
    <w:rsid w:val="6D21370B"/>
    <w:rsid w:val="6D3B18E0"/>
    <w:rsid w:val="6D413DAD"/>
    <w:rsid w:val="6D57537F"/>
    <w:rsid w:val="6D5B6C1D"/>
    <w:rsid w:val="6D6D4BA2"/>
    <w:rsid w:val="6D77332B"/>
    <w:rsid w:val="6D870514"/>
    <w:rsid w:val="6D8B5ABC"/>
    <w:rsid w:val="6D940381"/>
    <w:rsid w:val="6D9C3AFC"/>
    <w:rsid w:val="6DA22A9E"/>
    <w:rsid w:val="6DAC1227"/>
    <w:rsid w:val="6DBB76BC"/>
    <w:rsid w:val="6DD15131"/>
    <w:rsid w:val="6DD469CF"/>
    <w:rsid w:val="6DF66946"/>
    <w:rsid w:val="6E14209A"/>
    <w:rsid w:val="6E22773B"/>
    <w:rsid w:val="6E443B55"/>
    <w:rsid w:val="6E4E6782"/>
    <w:rsid w:val="6E5B2C4D"/>
    <w:rsid w:val="6E6164B5"/>
    <w:rsid w:val="6E9F4B86"/>
    <w:rsid w:val="6EA168B2"/>
    <w:rsid w:val="6EB02F99"/>
    <w:rsid w:val="6EB72460"/>
    <w:rsid w:val="6EB74327"/>
    <w:rsid w:val="6EB8556A"/>
    <w:rsid w:val="6EBC36EB"/>
    <w:rsid w:val="6ED547AD"/>
    <w:rsid w:val="6EEE586F"/>
    <w:rsid w:val="6EF72976"/>
    <w:rsid w:val="6F064E06"/>
    <w:rsid w:val="6F094457"/>
    <w:rsid w:val="6F176B74"/>
    <w:rsid w:val="6F35349E"/>
    <w:rsid w:val="6F360C58"/>
    <w:rsid w:val="6F370FC4"/>
    <w:rsid w:val="6F614293"/>
    <w:rsid w:val="6F636421"/>
    <w:rsid w:val="6F6B5112"/>
    <w:rsid w:val="6F6E6EC3"/>
    <w:rsid w:val="6F7264A0"/>
    <w:rsid w:val="6F765F90"/>
    <w:rsid w:val="6F9401C4"/>
    <w:rsid w:val="6F955129"/>
    <w:rsid w:val="6FB915A7"/>
    <w:rsid w:val="6FC14D32"/>
    <w:rsid w:val="6FCD1928"/>
    <w:rsid w:val="6FD902CD"/>
    <w:rsid w:val="6FDD39BA"/>
    <w:rsid w:val="6FDE58E3"/>
    <w:rsid w:val="6FE61F3E"/>
    <w:rsid w:val="70161521"/>
    <w:rsid w:val="701914D7"/>
    <w:rsid w:val="701C6FC8"/>
    <w:rsid w:val="702F613F"/>
    <w:rsid w:val="703244E4"/>
    <w:rsid w:val="70417925"/>
    <w:rsid w:val="705636CC"/>
    <w:rsid w:val="70720586"/>
    <w:rsid w:val="70875F7B"/>
    <w:rsid w:val="70897150"/>
    <w:rsid w:val="70A64653"/>
    <w:rsid w:val="70C8281B"/>
    <w:rsid w:val="71094BE2"/>
    <w:rsid w:val="71656047"/>
    <w:rsid w:val="718F158B"/>
    <w:rsid w:val="71A242CB"/>
    <w:rsid w:val="71C75BF9"/>
    <w:rsid w:val="71C8684B"/>
    <w:rsid w:val="71CF732E"/>
    <w:rsid w:val="71DC40A5"/>
    <w:rsid w:val="71DD22F7"/>
    <w:rsid w:val="71E116BB"/>
    <w:rsid w:val="71F4319C"/>
    <w:rsid w:val="71FC75D1"/>
    <w:rsid w:val="71FE04BF"/>
    <w:rsid w:val="720D49AF"/>
    <w:rsid w:val="720F7FD6"/>
    <w:rsid w:val="72121874"/>
    <w:rsid w:val="72181F15"/>
    <w:rsid w:val="721F290F"/>
    <w:rsid w:val="722021E3"/>
    <w:rsid w:val="7229553C"/>
    <w:rsid w:val="72323CC5"/>
    <w:rsid w:val="726F7FB0"/>
    <w:rsid w:val="72A46970"/>
    <w:rsid w:val="72AD3E9C"/>
    <w:rsid w:val="72B50B7E"/>
    <w:rsid w:val="72BB0EC2"/>
    <w:rsid w:val="72C62D8B"/>
    <w:rsid w:val="72EE22E1"/>
    <w:rsid w:val="72FD2525"/>
    <w:rsid w:val="732D2E0A"/>
    <w:rsid w:val="732E0930"/>
    <w:rsid w:val="73335F46"/>
    <w:rsid w:val="73373C88"/>
    <w:rsid w:val="735C7C30"/>
    <w:rsid w:val="73661E78"/>
    <w:rsid w:val="73697BBA"/>
    <w:rsid w:val="73775E2C"/>
    <w:rsid w:val="73A155A6"/>
    <w:rsid w:val="73A86934"/>
    <w:rsid w:val="73B250BD"/>
    <w:rsid w:val="73B40E35"/>
    <w:rsid w:val="73B61051"/>
    <w:rsid w:val="73B70925"/>
    <w:rsid w:val="73BB6668"/>
    <w:rsid w:val="73C365CB"/>
    <w:rsid w:val="73D414D7"/>
    <w:rsid w:val="73EA4857"/>
    <w:rsid w:val="73F6144E"/>
    <w:rsid w:val="742023C5"/>
    <w:rsid w:val="743D52CE"/>
    <w:rsid w:val="7443670B"/>
    <w:rsid w:val="74534AF2"/>
    <w:rsid w:val="745B7503"/>
    <w:rsid w:val="748D1686"/>
    <w:rsid w:val="74933140"/>
    <w:rsid w:val="74AE3AD6"/>
    <w:rsid w:val="74B80A8E"/>
    <w:rsid w:val="74DF00D5"/>
    <w:rsid w:val="751122B7"/>
    <w:rsid w:val="75157FF9"/>
    <w:rsid w:val="751759A6"/>
    <w:rsid w:val="75387844"/>
    <w:rsid w:val="75422471"/>
    <w:rsid w:val="75431C52"/>
    <w:rsid w:val="75644ADD"/>
    <w:rsid w:val="75674604"/>
    <w:rsid w:val="756920F3"/>
    <w:rsid w:val="756B5E6B"/>
    <w:rsid w:val="756C4E37"/>
    <w:rsid w:val="756D0E75"/>
    <w:rsid w:val="75755831"/>
    <w:rsid w:val="75866801"/>
    <w:rsid w:val="758807CB"/>
    <w:rsid w:val="75937E8D"/>
    <w:rsid w:val="75CB06B8"/>
    <w:rsid w:val="75D51537"/>
    <w:rsid w:val="75DF5F11"/>
    <w:rsid w:val="75E35A02"/>
    <w:rsid w:val="75E654F2"/>
    <w:rsid w:val="762027B2"/>
    <w:rsid w:val="762108D3"/>
    <w:rsid w:val="76312C11"/>
    <w:rsid w:val="763224E5"/>
    <w:rsid w:val="76361FD5"/>
    <w:rsid w:val="764364A0"/>
    <w:rsid w:val="76505878"/>
    <w:rsid w:val="765406AD"/>
    <w:rsid w:val="76790114"/>
    <w:rsid w:val="76794AF8"/>
    <w:rsid w:val="76850C08"/>
    <w:rsid w:val="76BB24DB"/>
    <w:rsid w:val="76C84BF7"/>
    <w:rsid w:val="76D67314"/>
    <w:rsid w:val="76DF266D"/>
    <w:rsid w:val="770B3462"/>
    <w:rsid w:val="7711659E"/>
    <w:rsid w:val="771B11CB"/>
    <w:rsid w:val="7722255A"/>
    <w:rsid w:val="77274014"/>
    <w:rsid w:val="772E2227"/>
    <w:rsid w:val="77302EC9"/>
    <w:rsid w:val="7731279D"/>
    <w:rsid w:val="77533CC6"/>
    <w:rsid w:val="775748F9"/>
    <w:rsid w:val="775D4510"/>
    <w:rsid w:val="7760252B"/>
    <w:rsid w:val="776058DA"/>
    <w:rsid w:val="77626DFA"/>
    <w:rsid w:val="777032C5"/>
    <w:rsid w:val="777803CC"/>
    <w:rsid w:val="777D1E86"/>
    <w:rsid w:val="77905715"/>
    <w:rsid w:val="779276DF"/>
    <w:rsid w:val="77F40160"/>
    <w:rsid w:val="781D568D"/>
    <w:rsid w:val="78342545"/>
    <w:rsid w:val="78362F6D"/>
    <w:rsid w:val="78412EB3"/>
    <w:rsid w:val="78627545"/>
    <w:rsid w:val="78632E2A"/>
    <w:rsid w:val="78654665"/>
    <w:rsid w:val="78654DF4"/>
    <w:rsid w:val="787B0173"/>
    <w:rsid w:val="789C661D"/>
    <w:rsid w:val="78BB0EB8"/>
    <w:rsid w:val="78E0447A"/>
    <w:rsid w:val="78EF46BD"/>
    <w:rsid w:val="78F63C9E"/>
    <w:rsid w:val="790740FD"/>
    <w:rsid w:val="791660EE"/>
    <w:rsid w:val="791D122B"/>
    <w:rsid w:val="791F31F5"/>
    <w:rsid w:val="793F5645"/>
    <w:rsid w:val="794E7636"/>
    <w:rsid w:val="797F1EE5"/>
    <w:rsid w:val="79892D64"/>
    <w:rsid w:val="798B2638"/>
    <w:rsid w:val="798E037A"/>
    <w:rsid w:val="79960FDD"/>
    <w:rsid w:val="79997202"/>
    <w:rsid w:val="799E680F"/>
    <w:rsid w:val="79B0209F"/>
    <w:rsid w:val="79C45B4A"/>
    <w:rsid w:val="79CB332B"/>
    <w:rsid w:val="79E7658E"/>
    <w:rsid w:val="7A1B3962"/>
    <w:rsid w:val="7A2111EE"/>
    <w:rsid w:val="7A2A00A3"/>
    <w:rsid w:val="7A2F56B9"/>
    <w:rsid w:val="7A623463"/>
    <w:rsid w:val="7A6D48C0"/>
    <w:rsid w:val="7A6D7F90"/>
    <w:rsid w:val="7A765096"/>
    <w:rsid w:val="7A861051"/>
    <w:rsid w:val="7A974046"/>
    <w:rsid w:val="7A9A4854"/>
    <w:rsid w:val="7AB931D5"/>
    <w:rsid w:val="7ABA14EE"/>
    <w:rsid w:val="7AC53928"/>
    <w:rsid w:val="7AC878BC"/>
    <w:rsid w:val="7ACA7190"/>
    <w:rsid w:val="7B007056"/>
    <w:rsid w:val="7B02692A"/>
    <w:rsid w:val="7B0F72C3"/>
    <w:rsid w:val="7B114DBF"/>
    <w:rsid w:val="7B2368A0"/>
    <w:rsid w:val="7B4E7DC1"/>
    <w:rsid w:val="7B5B428C"/>
    <w:rsid w:val="7B887EC5"/>
    <w:rsid w:val="7B914152"/>
    <w:rsid w:val="7B930C24"/>
    <w:rsid w:val="7BB17EFC"/>
    <w:rsid w:val="7BB5399C"/>
    <w:rsid w:val="7BC60184"/>
    <w:rsid w:val="7BD5403F"/>
    <w:rsid w:val="7BDD2EF3"/>
    <w:rsid w:val="7BE73A8B"/>
    <w:rsid w:val="7BF471EA"/>
    <w:rsid w:val="7C011556"/>
    <w:rsid w:val="7C18217D"/>
    <w:rsid w:val="7C346F6A"/>
    <w:rsid w:val="7C3C40BE"/>
    <w:rsid w:val="7C4C3220"/>
    <w:rsid w:val="7C4F37CE"/>
    <w:rsid w:val="7C507B69"/>
    <w:rsid w:val="7C596A1E"/>
    <w:rsid w:val="7C5E2286"/>
    <w:rsid w:val="7C701FB9"/>
    <w:rsid w:val="7C817D22"/>
    <w:rsid w:val="7C857813"/>
    <w:rsid w:val="7C99506C"/>
    <w:rsid w:val="7CD24A22"/>
    <w:rsid w:val="7CEA1D6C"/>
    <w:rsid w:val="7CF61768"/>
    <w:rsid w:val="7CF84488"/>
    <w:rsid w:val="7D0C7F34"/>
    <w:rsid w:val="7D0E5A5A"/>
    <w:rsid w:val="7D2C5EE0"/>
    <w:rsid w:val="7D360B0D"/>
    <w:rsid w:val="7D3A5278"/>
    <w:rsid w:val="7D406A1E"/>
    <w:rsid w:val="7D5A0C9F"/>
    <w:rsid w:val="7D637428"/>
    <w:rsid w:val="7D6F2271"/>
    <w:rsid w:val="7D741635"/>
    <w:rsid w:val="7D823D52"/>
    <w:rsid w:val="7D851A94"/>
    <w:rsid w:val="7D965A4F"/>
    <w:rsid w:val="7DA95783"/>
    <w:rsid w:val="7DB3326F"/>
    <w:rsid w:val="7DCB56F9"/>
    <w:rsid w:val="7DF34C50"/>
    <w:rsid w:val="7E0D00F2"/>
    <w:rsid w:val="7E1846B6"/>
    <w:rsid w:val="7E1A21DD"/>
    <w:rsid w:val="7E3037AE"/>
    <w:rsid w:val="7E3A287F"/>
    <w:rsid w:val="7E486D4A"/>
    <w:rsid w:val="7E5F22E5"/>
    <w:rsid w:val="7E6B4A0B"/>
    <w:rsid w:val="7E714CEC"/>
    <w:rsid w:val="7E786F03"/>
    <w:rsid w:val="7E7C7B82"/>
    <w:rsid w:val="7E8B4E88"/>
    <w:rsid w:val="7E960CC1"/>
    <w:rsid w:val="7EA36676"/>
    <w:rsid w:val="7EB702F4"/>
    <w:rsid w:val="7ECD724F"/>
    <w:rsid w:val="7ED405DD"/>
    <w:rsid w:val="7ED625A7"/>
    <w:rsid w:val="7EED715E"/>
    <w:rsid w:val="7EFD7F37"/>
    <w:rsid w:val="7F0A2251"/>
    <w:rsid w:val="7F0D3AEF"/>
    <w:rsid w:val="7F17671C"/>
    <w:rsid w:val="7F2271E4"/>
    <w:rsid w:val="7F2D7CEE"/>
    <w:rsid w:val="7F313C82"/>
    <w:rsid w:val="7F4A61E1"/>
    <w:rsid w:val="7F544D8E"/>
    <w:rsid w:val="7F596D35"/>
    <w:rsid w:val="7F5C68C8"/>
    <w:rsid w:val="7F645E05"/>
    <w:rsid w:val="7F743B6E"/>
    <w:rsid w:val="7F8C710A"/>
    <w:rsid w:val="7F962F62"/>
    <w:rsid w:val="7F967F89"/>
    <w:rsid w:val="7F9935D5"/>
    <w:rsid w:val="7FA51F7A"/>
    <w:rsid w:val="7FB328E9"/>
    <w:rsid w:val="7FC468A4"/>
    <w:rsid w:val="7FD30895"/>
    <w:rsid w:val="7FDD1714"/>
    <w:rsid w:val="7FDD5BB8"/>
    <w:rsid w:val="7FFA2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pPr>
    <w:rPr>
      <w:rFonts w:ascii="宋体" w:hAnsi="宋体" w:eastAsia="宋体" w:cstheme="minorBidi"/>
      <w:kern w:val="2"/>
      <w:sz w:val="24"/>
      <w:szCs w:val="22"/>
      <w:lang w:val="en-US" w:eastAsia="zh-CN" w:bidi="ar-SA"/>
    </w:rPr>
  </w:style>
  <w:style w:type="paragraph" w:styleId="2">
    <w:name w:val="heading 1"/>
    <w:basedOn w:val="1"/>
    <w:next w:val="1"/>
    <w:link w:val="39"/>
    <w:autoRedefine/>
    <w:qFormat/>
    <w:uiPriority w:val="9"/>
    <w:pPr>
      <w:keepNext/>
      <w:keepLines/>
      <w:spacing w:before="340" w:after="330" w:line="578" w:lineRule="auto"/>
      <w:jc w:val="center"/>
      <w:outlineLvl w:val="0"/>
    </w:pPr>
    <w:rPr>
      <w:rFonts w:eastAsia="黑体"/>
      <w:b/>
      <w:bCs/>
      <w:kern w:val="44"/>
      <w:sz w:val="44"/>
      <w:szCs w:val="44"/>
    </w:rPr>
  </w:style>
  <w:style w:type="paragraph" w:styleId="3">
    <w:name w:val="heading 2"/>
    <w:basedOn w:val="1"/>
    <w:next w:val="1"/>
    <w:link w:val="43"/>
    <w:unhideWhenUsed/>
    <w:qFormat/>
    <w:uiPriority w:val="9"/>
    <w:pPr>
      <w:keepNext/>
      <w:keepLines/>
      <w:spacing w:before="260" w:after="260" w:line="416" w:lineRule="auto"/>
      <w:outlineLvl w:val="1"/>
    </w:pPr>
    <w:rPr>
      <w:rFonts w:asciiTheme="majorHAnsi" w:hAnsiTheme="majorHAnsi" w:cstheme="majorBidi"/>
      <w:b/>
      <w:bCs/>
      <w:sz w:val="32"/>
      <w:szCs w:val="32"/>
    </w:rPr>
  </w:style>
  <w:style w:type="paragraph" w:styleId="4">
    <w:name w:val="heading 3"/>
    <w:basedOn w:val="1"/>
    <w:next w:val="1"/>
    <w:link w:val="46"/>
    <w:autoRedefine/>
    <w:unhideWhenUsed/>
    <w:qFormat/>
    <w:uiPriority w:val="9"/>
    <w:pPr>
      <w:keepNext/>
      <w:keepLines/>
      <w:spacing w:before="260" w:after="260" w:line="416" w:lineRule="auto"/>
      <w:outlineLvl w:val="2"/>
    </w:pPr>
    <w:rPr>
      <w:b/>
      <w:bCs/>
      <w:sz w:val="30"/>
      <w:szCs w:val="32"/>
    </w:rPr>
  </w:style>
  <w:style w:type="paragraph" w:styleId="5">
    <w:name w:val="heading 4"/>
    <w:basedOn w:val="1"/>
    <w:next w:val="1"/>
    <w:link w:val="47"/>
    <w:autoRedefine/>
    <w:unhideWhenUsed/>
    <w:qFormat/>
    <w:uiPriority w:val="9"/>
    <w:pPr>
      <w:keepNext/>
      <w:keepLines/>
      <w:spacing w:before="280" w:after="290" w:line="376" w:lineRule="auto"/>
      <w:outlineLvl w:val="3"/>
    </w:pPr>
    <w:rPr>
      <w:rFonts w:asciiTheme="majorHAnsi" w:hAnsiTheme="majorHAnsi" w:cstheme="majorBidi"/>
      <w:b/>
      <w:bCs/>
      <w:sz w:val="28"/>
      <w:szCs w:val="28"/>
    </w:rPr>
  </w:style>
  <w:style w:type="paragraph" w:styleId="6">
    <w:name w:val="heading 5"/>
    <w:basedOn w:val="7"/>
    <w:next w:val="8"/>
    <w:autoRedefine/>
    <w:qFormat/>
    <w:uiPriority w:val="1"/>
    <w:pPr>
      <w:tabs>
        <w:tab w:val="left" w:pos="780"/>
      </w:tabs>
      <w:ind w:left="638" w:firstLine="561"/>
      <w:outlineLvl w:val="4"/>
    </w:pPr>
    <w:rPr>
      <w:rFonts w:ascii="仿宋" w:hAnsi="仿宋" w:eastAsia="仿宋" w:cs="仿宋"/>
      <w:b/>
      <w:bCs/>
      <w:kern w:val="0"/>
      <w:sz w:val="28"/>
      <w:szCs w:val="28"/>
      <w:lang w:val="zh-CN" w:bidi="zh-CN"/>
    </w:rPr>
  </w:style>
  <w:style w:type="character" w:default="1" w:styleId="32">
    <w:name w:val="Default Paragraph Font"/>
    <w:autoRedefine/>
    <w:semiHidden/>
    <w:unhideWhenUsed/>
    <w:qFormat/>
    <w:uiPriority w:val="1"/>
  </w:style>
  <w:style w:type="table" w:default="1" w:styleId="30">
    <w:name w:val="Normal Table"/>
    <w:autoRedefine/>
    <w:semiHidden/>
    <w:unhideWhenUsed/>
    <w:qFormat/>
    <w:uiPriority w:val="99"/>
    <w:tblPr>
      <w:tblCellMar>
        <w:top w:w="0" w:type="dxa"/>
        <w:left w:w="108" w:type="dxa"/>
        <w:bottom w:w="0" w:type="dxa"/>
        <w:right w:w="108" w:type="dxa"/>
      </w:tblCellMar>
    </w:tblPr>
  </w:style>
  <w:style w:type="paragraph" w:styleId="7">
    <w:name w:val="List Number 2"/>
    <w:basedOn w:val="1"/>
    <w:autoRedefine/>
    <w:semiHidden/>
    <w:unhideWhenUsed/>
    <w:qFormat/>
    <w:uiPriority w:val="99"/>
    <w:pPr>
      <w:numPr>
        <w:ilvl w:val="0"/>
        <w:numId w:val="1"/>
      </w:numPr>
    </w:pPr>
  </w:style>
  <w:style w:type="paragraph" w:styleId="8">
    <w:name w:val="Normal (Web)"/>
    <w:basedOn w:val="1"/>
    <w:next w:val="1"/>
    <w:autoRedefine/>
    <w:qFormat/>
    <w:uiPriority w:val="99"/>
    <w:pPr>
      <w:widowControl/>
      <w:spacing w:before="100" w:beforeAutospacing="1" w:after="100" w:afterAutospacing="1"/>
    </w:pPr>
    <w:rPr>
      <w:rFonts w:cs="宋体"/>
      <w:color w:val="000000"/>
      <w:kern w:val="0"/>
      <w:szCs w:val="24"/>
    </w:rPr>
  </w:style>
  <w:style w:type="paragraph" w:styleId="9">
    <w:name w:val="toc 7"/>
    <w:basedOn w:val="1"/>
    <w:next w:val="1"/>
    <w:autoRedefine/>
    <w:unhideWhenUsed/>
    <w:qFormat/>
    <w:uiPriority w:val="39"/>
    <w:pPr>
      <w:ind w:left="1440"/>
    </w:pPr>
    <w:rPr>
      <w:rFonts w:asciiTheme="minorHAnsi" w:eastAsiaTheme="minorHAnsi"/>
      <w:sz w:val="18"/>
      <w:szCs w:val="18"/>
    </w:rPr>
  </w:style>
  <w:style w:type="paragraph" w:styleId="10">
    <w:name w:val="Normal Indent"/>
    <w:basedOn w:val="1"/>
    <w:next w:val="1"/>
    <w:autoRedefine/>
    <w:unhideWhenUsed/>
    <w:qFormat/>
    <w:uiPriority w:val="0"/>
    <w:pPr>
      <w:ind w:firstLine="420" w:firstLineChars="200"/>
    </w:pPr>
    <w:rPr>
      <w:rFonts w:ascii="Calibri" w:hAnsi="Calibri"/>
      <w:szCs w:val="22"/>
    </w:rPr>
  </w:style>
  <w:style w:type="paragraph" w:styleId="11">
    <w:name w:val="List Bullet"/>
    <w:basedOn w:val="1"/>
    <w:autoRedefine/>
    <w:unhideWhenUsed/>
    <w:qFormat/>
    <w:uiPriority w:val="99"/>
    <w:pPr>
      <w:tabs>
        <w:tab w:val="left" w:pos="360"/>
        <w:tab w:val="left" w:pos="1134"/>
      </w:tabs>
      <w:spacing w:line="240" w:lineRule="auto"/>
      <w:ind w:left="1134" w:hanging="1134"/>
      <w:contextualSpacing/>
      <w:jc w:val="both"/>
    </w:pPr>
    <w:rPr>
      <w:rFonts w:ascii="Times New Roman" w:hAnsi="Times New Roman" w:cs="Times New Roman"/>
      <w:kern w:val="0"/>
      <w:sz w:val="20"/>
      <w:szCs w:val="20"/>
    </w:rPr>
  </w:style>
  <w:style w:type="paragraph" w:styleId="12">
    <w:name w:val="annotation text"/>
    <w:basedOn w:val="1"/>
    <w:link w:val="44"/>
    <w:autoRedefine/>
    <w:qFormat/>
    <w:uiPriority w:val="0"/>
    <w:pPr>
      <w:spacing w:line="240" w:lineRule="auto"/>
    </w:pPr>
    <w:rPr>
      <w:rFonts w:eastAsiaTheme="minorEastAsia"/>
      <w:sz w:val="21"/>
      <w:szCs w:val="24"/>
    </w:rPr>
  </w:style>
  <w:style w:type="paragraph" w:styleId="13">
    <w:name w:val="Body Text"/>
    <w:basedOn w:val="1"/>
    <w:link w:val="48"/>
    <w:autoRedefine/>
    <w:qFormat/>
    <w:uiPriority w:val="99"/>
    <w:pPr>
      <w:spacing w:after="120" w:line="240" w:lineRule="auto"/>
      <w:jc w:val="both"/>
    </w:pPr>
    <w:rPr>
      <w:rFonts w:eastAsiaTheme="minorEastAsia"/>
      <w:sz w:val="21"/>
      <w:szCs w:val="24"/>
    </w:rPr>
  </w:style>
  <w:style w:type="paragraph" w:styleId="14">
    <w:name w:val="Body Text Indent"/>
    <w:basedOn w:val="1"/>
    <w:autoRedefine/>
    <w:unhideWhenUsed/>
    <w:qFormat/>
    <w:uiPriority w:val="0"/>
    <w:pPr>
      <w:ind w:firstLine="630"/>
    </w:pPr>
    <w:rPr>
      <w:rFonts w:eastAsia="仿宋_GB2312"/>
      <w:kern w:val="0"/>
      <w:sz w:val="32"/>
      <w:szCs w:val="20"/>
    </w:rPr>
  </w:style>
  <w:style w:type="paragraph" w:styleId="15">
    <w:name w:val="toc 5"/>
    <w:basedOn w:val="1"/>
    <w:next w:val="1"/>
    <w:autoRedefine/>
    <w:unhideWhenUsed/>
    <w:qFormat/>
    <w:uiPriority w:val="39"/>
    <w:pPr>
      <w:ind w:left="960"/>
    </w:pPr>
    <w:rPr>
      <w:rFonts w:asciiTheme="minorHAnsi" w:eastAsiaTheme="minorHAnsi"/>
      <w:sz w:val="18"/>
      <w:szCs w:val="18"/>
    </w:rPr>
  </w:style>
  <w:style w:type="paragraph" w:styleId="16">
    <w:name w:val="toc 3"/>
    <w:basedOn w:val="1"/>
    <w:next w:val="1"/>
    <w:autoRedefine/>
    <w:unhideWhenUsed/>
    <w:qFormat/>
    <w:uiPriority w:val="39"/>
    <w:pPr>
      <w:ind w:left="480"/>
    </w:pPr>
    <w:rPr>
      <w:rFonts w:asciiTheme="minorHAnsi" w:eastAsiaTheme="minorHAnsi"/>
      <w:i/>
      <w:iCs/>
      <w:sz w:val="20"/>
      <w:szCs w:val="20"/>
    </w:rPr>
  </w:style>
  <w:style w:type="paragraph" w:styleId="17">
    <w:name w:val="Plain Text"/>
    <w:basedOn w:val="1"/>
    <w:autoRedefine/>
    <w:unhideWhenUsed/>
    <w:qFormat/>
    <w:uiPriority w:val="0"/>
    <w:rPr>
      <w:rFonts w:ascii="宋体" w:hAnsi="Courier New"/>
      <w:kern w:val="0"/>
      <w:sz w:val="20"/>
      <w:szCs w:val="20"/>
    </w:rPr>
  </w:style>
  <w:style w:type="paragraph" w:styleId="18">
    <w:name w:val="toc 8"/>
    <w:basedOn w:val="1"/>
    <w:next w:val="1"/>
    <w:autoRedefine/>
    <w:unhideWhenUsed/>
    <w:qFormat/>
    <w:uiPriority w:val="39"/>
    <w:pPr>
      <w:ind w:left="1680"/>
    </w:pPr>
    <w:rPr>
      <w:rFonts w:asciiTheme="minorHAnsi" w:eastAsiaTheme="minorHAnsi"/>
      <w:sz w:val="18"/>
      <w:szCs w:val="18"/>
    </w:rPr>
  </w:style>
  <w:style w:type="paragraph" w:styleId="19">
    <w:name w:val="footer"/>
    <w:basedOn w:val="1"/>
    <w:link w:val="42"/>
    <w:autoRedefine/>
    <w:unhideWhenUsed/>
    <w:qFormat/>
    <w:uiPriority w:val="99"/>
    <w:pPr>
      <w:tabs>
        <w:tab w:val="center" w:pos="4153"/>
        <w:tab w:val="right" w:pos="8306"/>
      </w:tabs>
      <w:snapToGrid w:val="0"/>
      <w:spacing w:line="240" w:lineRule="auto"/>
    </w:pPr>
    <w:rPr>
      <w:sz w:val="18"/>
      <w:szCs w:val="18"/>
    </w:rPr>
  </w:style>
  <w:style w:type="paragraph" w:styleId="20">
    <w:name w:val="header"/>
    <w:basedOn w:val="1"/>
    <w:next w:val="21"/>
    <w:link w:val="41"/>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customStyle="1" w:styleId="21">
    <w:name w:val="纯文本1"/>
    <w:basedOn w:val="1"/>
    <w:qFormat/>
    <w:uiPriority w:val="0"/>
    <w:rPr>
      <w:rFonts w:hAnsi="Courier New"/>
    </w:rPr>
  </w:style>
  <w:style w:type="paragraph" w:styleId="22">
    <w:name w:val="toc 1"/>
    <w:basedOn w:val="1"/>
    <w:next w:val="1"/>
    <w:autoRedefine/>
    <w:unhideWhenUsed/>
    <w:qFormat/>
    <w:uiPriority w:val="39"/>
    <w:pPr>
      <w:spacing w:before="120" w:after="120"/>
    </w:pPr>
    <w:rPr>
      <w:rFonts w:asciiTheme="minorHAnsi" w:eastAsiaTheme="minorHAnsi"/>
      <w:b/>
      <w:bCs/>
      <w:caps/>
      <w:sz w:val="20"/>
      <w:szCs w:val="20"/>
    </w:rPr>
  </w:style>
  <w:style w:type="paragraph" w:styleId="23">
    <w:name w:val="toc 4"/>
    <w:basedOn w:val="1"/>
    <w:next w:val="1"/>
    <w:autoRedefine/>
    <w:unhideWhenUsed/>
    <w:qFormat/>
    <w:uiPriority w:val="39"/>
    <w:pPr>
      <w:ind w:left="720"/>
    </w:pPr>
    <w:rPr>
      <w:rFonts w:asciiTheme="minorHAnsi" w:eastAsiaTheme="minorHAnsi"/>
      <w:sz w:val="18"/>
      <w:szCs w:val="18"/>
    </w:rPr>
  </w:style>
  <w:style w:type="paragraph" w:styleId="24">
    <w:name w:val="footnote text"/>
    <w:basedOn w:val="1"/>
    <w:qFormat/>
    <w:uiPriority w:val="0"/>
    <w:pPr>
      <w:widowControl/>
      <w:jc w:val="left"/>
    </w:pPr>
    <w:rPr>
      <w:kern w:val="0"/>
      <w:sz w:val="20"/>
      <w:szCs w:val="20"/>
      <w:lang w:val="de-DE"/>
    </w:rPr>
  </w:style>
  <w:style w:type="paragraph" w:styleId="25">
    <w:name w:val="toc 6"/>
    <w:basedOn w:val="1"/>
    <w:next w:val="1"/>
    <w:autoRedefine/>
    <w:unhideWhenUsed/>
    <w:qFormat/>
    <w:uiPriority w:val="39"/>
    <w:pPr>
      <w:ind w:left="1200"/>
    </w:pPr>
    <w:rPr>
      <w:rFonts w:asciiTheme="minorHAnsi" w:eastAsiaTheme="minorHAnsi"/>
      <w:sz w:val="18"/>
      <w:szCs w:val="18"/>
    </w:rPr>
  </w:style>
  <w:style w:type="paragraph" w:styleId="26">
    <w:name w:val="toc 2"/>
    <w:basedOn w:val="1"/>
    <w:next w:val="1"/>
    <w:autoRedefine/>
    <w:unhideWhenUsed/>
    <w:qFormat/>
    <w:uiPriority w:val="39"/>
    <w:pPr>
      <w:ind w:left="240"/>
    </w:pPr>
    <w:rPr>
      <w:rFonts w:asciiTheme="minorHAnsi" w:eastAsiaTheme="minorHAnsi"/>
      <w:smallCaps/>
      <w:sz w:val="20"/>
      <w:szCs w:val="20"/>
    </w:rPr>
  </w:style>
  <w:style w:type="paragraph" w:styleId="27">
    <w:name w:val="toc 9"/>
    <w:basedOn w:val="1"/>
    <w:next w:val="1"/>
    <w:autoRedefine/>
    <w:unhideWhenUsed/>
    <w:qFormat/>
    <w:uiPriority w:val="39"/>
    <w:pPr>
      <w:ind w:left="1920"/>
    </w:pPr>
    <w:rPr>
      <w:rFonts w:asciiTheme="minorHAnsi" w:eastAsiaTheme="minorHAnsi"/>
      <w:sz w:val="18"/>
      <w:szCs w:val="18"/>
    </w:rPr>
  </w:style>
  <w:style w:type="paragraph" w:styleId="28">
    <w:name w:val="annotation subject"/>
    <w:basedOn w:val="12"/>
    <w:next w:val="12"/>
    <w:link w:val="52"/>
    <w:autoRedefine/>
    <w:semiHidden/>
    <w:unhideWhenUsed/>
    <w:qFormat/>
    <w:uiPriority w:val="99"/>
    <w:pPr>
      <w:spacing w:line="360" w:lineRule="auto"/>
    </w:pPr>
    <w:rPr>
      <w:rFonts w:eastAsia="宋体"/>
      <w:b/>
      <w:bCs/>
      <w:sz w:val="24"/>
      <w:szCs w:val="22"/>
    </w:rPr>
  </w:style>
  <w:style w:type="paragraph" w:styleId="29">
    <w:name w:val="Body Text First Indent 2"/>
    <w:basedOn w:val="14"/>
    <w:next w:val="1"/>
    <w:autoRedefine/>
    <w:qFormat/>
    <w:uiPriority w:val="0"/>
    <w:pPr>
      <w:snapToGrid/>
      <w:spacing w:after="120" w:line="240" w:lineRule="auto"/>
      <w:ind w:left="420" w:leftChars="200" w:right="0" w:firstLine="420" w:firstLineChars="200"/>
    </w:pPr>
    <w:rPr>
      <w:rFonts w:ascii="Times New Roman" w:eastAsia="宋体"/>
      <w:spacing w:val="0"/>
      <w:sz w:val="21"/>
      <w:szCs w:val="24"/>
    </w:rPr>
  </w:style>
  <w:style w:type="table" w:styleId="31">
    <w:name w:val="Table Grid"/>
    <w:basedOn w:val="30"/>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autoRedefine/>
    <w:qFormat/>
    <w:uiPriority w:val="0"/>
    <w:rPr>
      <w:b/>
      <w:bCs/>
    </w:rPr>
  </w:style>
  <w:style w:type="character" w:styleId="34">
    <w:name w:val="Hyperlink"/>
    <w:basedOn w:val="32"/>
    <w:autoRedefine/>
    <w:unhideWhenUsed/>
    <w:qFormat/>
    <w:uiPriority w:val="99"/>
    <w:rPr>
      <w:color w:val="0563C1" w:themeColor="hyperlink"/>
      <w:u w:val="single"/>
      <w14:textFill>
        <w14:solidFill>
          <w14:schemeClr w14:val="hlink"/>
        </w14:solidFill>
      </w14:textFill>
    </w:rPr>
  </w:style>
  <w:style w:type="character" w:styleId="35">
    <w:name w:val="annotation reference"/>
    <w:basedOn w:val="32"/>
    <w:autoRedefine/>
    <w:qFormat/>
    <w:uiPriority w:val="0"/>
    <w:rPr>
      <w:sz w:val="21"/>
      <w:szCs w:val="21"/>
    </w:rPr>
  </w:style>
  <w:style w:type="paragraph" w:customStyle="1" w:styleId="36">
    <w:name w:val="_Style 3"/>
    <w:qFormat/>
    <w:uiPriority w:val="1"/>
    <w:pPr>
      <w:widowControl w:val="0"/>
      <w:jc w:val="both"/>
    </w:pPr>
    <w:rPr>
      <w:rFonts w:ascii="Calibri" w:hAnsi="Calibri" w:eastAsia="微软雅黑" w:cs="Times New Roman"/>
      <w:kern w:val="2"/>
      <w:sz w:val="21"/>
      <w:szCs w:val="22"/>
      <w:lang w:val="en-US" w:eastAsia="zh-CN" w:bidi="ar-SA"/>
    </w:rPr>
  </w:style>
  <w:style w:type="paragraph" w:customStyle="1" w:styleId="37">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8">
    <w:name w:val="正文缩进2"/>
    <w:basedOn w:val="1"/>
    <w:autoRedefine/>
    <w:qFormat/>
    <w:uiPriority w:val="0"/>
    <w:pPr>
      <w:wordWrap w:val="0"/>
      <w:ind w:firstLine="480"/>
    </w:pPr>
    <w:rPr>
      <w:iCs/>
      <w:shd w:val="clear" w:color="auto" w:fill="FFFFFF" w:themeFill="background1"/>
      <w:lang w:val="zh-CN"/>
    </w:rPr>
  </w:style>
  <w:style w:type="character" w:customStyle="1" w:styleId="39">
    <w:name w:val="标题 1 字符"/>
    <w:basedOn w:val="32"/>
    <w:link w:val="2"/>
    <w:autoRedefine/>
    <w:qFormat/>
    <w:uiPriority w:val="9"/>
    <w:rPr>
      <w:rFonts w:eastAsia="黑体"/>
      <w:b/>
      <w:bCs/>
      <w:kern w:val="44"/>
      <w:sz w:val="44"/>
      <w:szCs w:val="44"/>
    </w:rPr>
  </w:style>
  <w:style w:type="paragraph" w:styleId="40">
    <w:name w:val="List Paragraph"/>
    <w:basedOn w:val="1"/>
    <w:autoRedefine/>
    <w:qFormat/>
    <w:uiPriority w:val="34"/>
    <w:pPr>
      <w:numPr>
        <w:ilvl w:val="0"/>
        <w:numId w:val="2"/>
      </w:numPr>
    </w:pPr>
  </w:style>
  <w:style w:type="character" w:customStyle="1" w:styleId="41">
    <w:name w:val="页眉 字符"/>
    <w:basedOn w:val="32"/>
    <w:link w:val="20"/>
    <w:autoRedefine/>
    <w:qFormat/>
    <w:uiPriority w:val="99"/>
    <w:rPr>
      <w:rFonts w:eastAsia="宋体"/>
      <w:sz w:val="18"/>
      <w:szCs w:val="18"/>
    </w:rPr>
  </w:style>
  <w:style w:type="character" w:customStyle="1" w:styleId="42">
    <w:name w:val="页脚 字符"/>
    <w:basedOn w:val="32"/>
    <w:link w:val="19"/>
    <w:autoRedefine/>
    <w:qFormat/>
    <w:uiPriority w:val="99"/>
    <w:rPr>
      <w:rFonts w:eastAsia="宋体"/>
      <w:sz w:val="18"/>
      <w:szCs w:val="18"/>
    </w:rPr>
  </w:style>
  <w:style w:type="character" w:customStyle="1" w:styleId="43">
    <w:name w:val="标题 2 字符"/>
    <w:basedOn w:val="32"/>
    <w:link w:val="3"/>
    <w:autoRedefine/>
    <w:qFormat/>
    <w:uiPriority w:val="0"/>
    <w:rPr>
      <w:rFonts w:eastAsia="宋体" w:asciiTheme="majorHAnsi" w:hAnsiTheme="majorHAnsi" w:cstheme="majorBidi"/>
      <w:b/>
      <w:bCs/>
      <w:sz w:val="32"/>
      <w:szCs w:val="32"/>
    </w:rPr>
  </w:style>
  <w:style w:type="character" w:customStyle="1" w:styleId="44">
    <w:name w:val="批注文字 字符"/>
    <w:basedOn w:val="32"/>
    <w:link w:val="12"/>
    <w:autoRedefine/>
    <w:qFormat/>
    <w:uiPriority w:val="0"/>
    <w:rPr>
      <w:szCs w:val="24"/>
    </w:rPr>
  </w:style>
  <w:style w:type="paragraph" w:customStyle="1" w:styleId="45">
    <w:name w:val="Char1 Char Char Char"/>
    <w:basedOn w:val="1"/>
    <w:autoRedefine/>
    <w:qFormat/>
    <w:uiPriority w:val="0"/>
    <w:pPr>
      <w:adjustRightInd w:val="0"/>
      <w:jc w:val="both"/>
    </w:pPr>
    <w:rPr>
      <w:rFonts w:ascii="Times New Roman" w:hAnsi="Times New Roman" w:cs="Times New Roman"/>
      <w:kern w:val="0"/>
      <w:szCs w:val="20"/>
    </w:rPr>
  </w:style>
  <w:style w:type="character" w:customStyle="1" w:styleId="46">
    <w:name w:val="标题 3 字符"/>
    <w:basedOn w:val="32"/>
    <w:link w:val="4"/>
    <w:autoRedefine/>
    <w:qFormat/>
    <w:uiPriority w:val="9"/>
    <w:rPr>
      <w:rFonts w:eastAsia="宋体"/>
      <w:b/>
      <w:bCs/>
      <w:sz w:val="30"/>
      <w:szCs w:val="32"/>
    </w:rPr>
  </w:style>
  <w:style w:type="character" w:customStyle="1" w:styleId="47">
    <w:name w:val="标题 4 字符"/>
    <w:basedOn w:val="32"/>
    <w:link w:val="5"/>
    <w:autoRedefine/>
    <w:qFormat/>
    <w:uiPriority w:val="9"/>
    <w:rPr>
      <w:rFonts w:eastAsia="宋体" w:asciiTheme="majorHAnsi" w:hAnsiTheme="majorHAnsi" w:cstheme="majorBidi"/>
      <w:b/>
      <w:bCs/>
      <w:sz w:val="28"/>
      <w:szCs w:val="28"/>
    </w:rPr>
  </w:style>
  <w:style w:type="character" w:customStyle="1" w:styleId="48">
    <w:name w:val="正文文本 字符"/>
    <w:basedOn w:val="32"/>
    <w:link w:val="13"/>
    <w:autoRedefine/>
    <w:qFormat/>
    <w:uiPriority w:val="99"/>
    <w:rPr>
      <w:szCs w:val="24"/>
    </w:rPr>
  </w:style>
  <w:style w:type="paragraph" w:customStyle="1" w:styleId="49">
    <w:name w:val="样式"/>
    <w:basedOn w:val="1"/>
    <w:autoRedefine/>
    <w:qFormat/>
    <w:uiPriority w:val="0"/>
    <w:pPr>
      <w:autoSpaceDE w:val="0"/>
      <w:autoSpaceDN w:val="0"/>
      <w:snapToGrid w:val="0"/>
      <w:spacing w:before="120" w:after="120"/>
      <w:jc w:val="both"/>
    </w:pPr>
    <w:rPr>
      <w:rFonts w:hAnsi="Times New Roman" w:cs="Times New Roman"/>
      <w:kern w:val="0"/>
      <w:szCs w:val="20"/>
    </w:rPr>
  </w:style>
  <w:style w:type="paragraph" w:styleId="50">
    <w:name w:val="No Spacing"/>
    <w:autoRedefine/>
    <w:qFormat/>
    <w:uiPriority w:val="1"/>
    <w:pPr>
      <w:widowControl w:val="0"/>
    </w:pPr>
    <w:rPr>
      <w:rFonts w:ascii="宋体" w:hAnsi="宋体" w:eastAsia="宋体" w:cstheme="minorBidi"/>
      <w:kern w:val="2"/>
      <w:sz w:val="24"/>
      <w:szCs w:val="22"/>
      <w:lang w:val="en-US" w:eastAsia="zh-CN" w:bidi="ar-SA"/>
    </w:rPr>
  </w:style>
  <w:style w:type="character" w:customStyle="1" w:styleId="51">
    <w:name w:val="未处理的提及1"/>
    <w:basedOn w:val="32"/>
    <w:autoRedefine/>
    <w:semiHidden/>
    <w:unhideWhenUsed/>
    <w:qFormat/>
    <w:uiPriority w:val="99"/>
    <w:rPr>
      <w:color w:val="605E5C"/>
      <w:shd w:val="clear" w:color="auto" w:fill="E1DFDD"/>
    </w:rPr>
  </w:style>
  <w:style w:type="character" w:customStyle="1" w:styleId="52">
    <w:name w:val="批注主题 字符"/>
    <w:basedOn w:val="44"/>
    <w:link w:val="28"/>
    <w:autoRedefine/>
    <w:semiHidden/>
    <w:qFormat/>
    <w:uiPriority w:val="99"/>
    <w:rPr>
      <w:rFonts w:ascii="宋体" w:hAnsi="宋体" w:cstheme="minorBidi"/>
      <w:b/>
      <w:bCs/>
      <w:kern w:val="2"/>
      <w:sz w:val="24"/>
      <w:szCs w:val="22"/>
    </w:rPr>
  </w:style>
  <w:style w:type="character" w:customStyle="1" w:styleId="53">
    <w:name w:val="未处理的提及2"/>
    <w:basedOn w:val="32"/>
    <w:autoRedefine/>
    <w:semiHidden/>
    <w:unhideWhenUsed/>
    <w:qFormat/>
    <w:uiPriority w:val="99"/>
    <w:rPr>
      <w:color w:val="605E5C"/>
      <w:shd w:val="clear" w:color="auto" w:fill="E1DFDD"/>
    </w:rPr>
  </w:style>
  <w:style w:type="paragraph" w:customStyle="1" w:styleId="54">
    <w:name w:val="正文_2"/>
    <w:autoRedefine/>
    <w:qFormat/>
    <w:uiPriority w:val="0"/>
    <w:pPr>
      <w:widowControl w:val="0"/>
      <w:jc w:val="both"/>
    </w:pPr>
    <w:rPr>
      <w:rFonts w:ascii="Calibri" w:hAnsi="Calibri" w:eastAsia="宋体" w:cs="Times New Roman"/>
      <w:lang w:val="en-US" w:eastAsia="zh-CN" w:bidi="ar-SA"/>
    </w:rPr>
  </w:style>
  <w:style w:type="paragraph" w:customStyle="1" w:styleId="55">
    <w:name w:val="Normal"/>
    <w:autoRedefine/>
    <w:qFormat/>
    <w:uiPriority w:val="0"/>
    <w:pPr>
      <w:widowControl w:val="0"/>
      <w:jc w:val="both"/>
    </w:pPr>
    <w:rPr>
      <w:rFonts w:ascii="Times New Roman" w:hAnsi="Times New Roman" w:eastAsia="Times New Roman" w:cs="Times New Roman"/>
      <w:lang w:val="en-US" w:eastAsia="zh-CN" w:bidi="ar-SA"/>
    </w:rPr>
  </w:style>
  <w:style w:type="paragraph" w:customStyle="1" w:styleId="56">
    <w:name w:val="正文_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7">
    <w:name w:val="正文_2_0_0"/>
    <w:autoRedefine/>
    <w:qFormat/>
    <w:uiPriority w:val="99"/>
    <w:pPr>
      <w:widowControl w:val="0"/>
      <w:jc w:val="both"/>
    </w:pPr>
    <w:rPr>
      <w:rFonts w:ascii="Calibri" w:hAnsi="Calibri" w:eastAsia="宋体" w:cs="Times New Roman"/>
      <w:lang w:val="en-US" w:eastAsia="zh-CN" w:bidi="ar-SA"/>
    </w:rPr>
  </w:style>
  <w:style w:type="paragraph" w:customStyle="1" w:styleId="58">
    <w:name w:val="正文_1_1"/>
    <w:autoRedefine/>
    <w:qFormat/>
    <w:uiPriority w:val="99"/>
    <w:pPr>
      <w:widowControl w:val="0"/>
      <w:jc w:val="both"/>
    </w:pPr>
    <w:rPr>
      <w:rFonts w:ascii="Calibri" w:hAnsi="Calibri" w:eastAsia="宋体" w:cs="Times New Roman"/>
      <w:kern w:val="2"/>
      <w:sz w:val="21"/>
      <w:szCs w:val="24"/>
      <w:lang w:val="en-US" w:eastAsia="zh-CN" w:bidi="ar-SA"/>
    </w:rPr>
  </w:style>
  <w:style w:type="paragraph" w:customStyle="1" w:styleId="59">
    <w:name w:val="Normal Indent1"/>
    <w:basedOn w:val="1"/>
    <w:autoRedefine/>
    <w:qFormat/>
    <w:uiPriority w:val="0"/>
    <w:pPr>
      <w:ind w:firstLine="420" w:firstLineChars="200"/>
    </w:pPr>
  </w:style>
  <w:style w:type="paragraph" w:customStyle="1" w:styleId="60">
    <w:name w:val="LO-Normal"/>
    <w:autoRedefine/>
    <w:qFormat/>
    <w:uiPriority w:val="0"/>
    <w:pPr>
      <w:suppressAutoHyphens/>
    </w:pPr>
    <w:rPr>
      <w:rFonts w:ascii="Times New Roman" w:hAnsi="Times New Roman" w:eastAsia="宋体" w:cs="Times New Roman"/>
      <w:sz w:val="24"/>
      <w:szCs w:val="24"/>
      <w:lang w:val="en-US" w:eastAsia="zh-CN" w:bidi="ar-SA"/>
    </w:rPr>
  </w:style>
  <w:style w:type="paragraph" w:customStyle="1" w:styleId="61">
    <w:name w:val="Normal_22"/>
    <w:autoRedefine/>
    <w:qFormat/>
    <w:uiPriority w:val="0"/>
    <w:rPr>
      <w:rFonts w:ascii="Times New Roman" w:hAnsi="Times New Roman" w:eastAsia="Times New Roman" w:cs="Times New Roman"/>
      <w:sz w:val="24"/>
      <w:szCs w:val="24"/>
      <w:lang w:bidi="ar-SA"/>
    </w:rPr>
  </w:style>
  <w:style w:type="paragraph" w:customStyle="1" w:styleId="62">
    <w:name w:val="正文_6_0"/>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63">
    <w:name w:val="正文_0_0_0 Char"/>
    <w:link w:val="64"/>
    <w:autoRedefine/>
    <w:qFormat/>
    <w:locked/>
    <w:uiPriority w:val="0"/>
    <w:rPr>
      <w:rFonts w:ascii="Calibri" w:hAnsi="Calibri" w:cs="Calibri"/>
      <w:kern w:val="2"/>
      <w:sz w:val="28"/>
      <w:szCs w:val="22"/>
      <w:lang w:val="en-US" w:eastAsia="zh-CN" w:bidi="ar-SA"/>
    </w:rPr>
  </w:style>
  <w:style w:type="paragraph" w:customStyle="1" w:styleId="64">
    <w:name w:val="正文_0_0_0_0_0"/>
    <w:link w:val="63"/>
    <w:autoRedefine/>
    <w:qFormat/>
    <w:uiPriority w:val="0"/>
    <w:pPr>
      <w:spacing w:before="120" w:after="120" w:line="360" w:lineRule="auto"/>
      <w:ind w:left="1072" w:hanging="1072"/>
      <w:jc w:val="both"/>
    </w:pPr>
    <w:rPr>
      <w:rFonts w:ascii="Calibri" w:hAnsi="Calibri" w:eastAsia="宋体" w:cs="Calibri"/>
      <w:kern w:val="2"/>
      <w:sz w:val="28"/>
      <w:szCs w:val="22"/>
      <w:lang w:val="en-US" w:eastAsia="zh-CN" w:bidi="ar-SA"/>
    </w:rPr>
  </w:style>
  <w:style w:type="paragraph" w:customStyle="1" w:styleId="65">
    <w:name w:val="正文文本_0_1"/>
    <w:basedOn w:val="66"/>
    <w:autoRedefine/>
    <w:qFormat/>
    <w:uiPriority w:val="99"/>
    <w:pPr>
      <w:spacing w:after="120"/>
    </w:pPr>
    <w:rPr>
      <w:rFonts w:ascii="Calibri" w:hAnsi="Calibri" w:eastAsia="宋体"/>
      <w:kern w:val="0"/>
      <w:sz w:val="24"/>
      <w:szCs w:val="20"/>
    </w:rPr>
  </w:style>
  <w:style w:type="paragraph" w:customStyle="1" w:styleId="66">
    <w:name w:val="正文_6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67">
    <w:name w:val="Table Paragraph_1"/>
    <w:basedOn w:val="66"/>
    <w:autoRedefine/>
    <w:qFormat/>
    <w:uiPriority w:val="0"/>
    <w:pPr>
      <w:jc w:val="left"/>
    </w:pPr>
    <w:rPr>
      <w:rFonts w:ascii="Calibri" w:hAnsi="Calibri" w:eastAsia="宋体"/>
      <w:kern w:val="0"/>
      <w:sz w:val="22"/>
      <w:lang w:eastAsia="en-US"/>
    </w:rPr>
  </w:style>
  <w:style w:type="paragraph" w:customStyle="1" w:styleId="68">
    <w:name w:val="正文_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69">
    <w:name w:val="正文1"/>
    <w:autoRedefine/>
    <w:qFormat/>
    <w:uiPriority w:val="0"/>
    <w:pPr>
      <w:widowControl w:val="0"/>
      <w:jc w:val="both"/>
    </w:pPr>
    <w:rPr>
      <w:rFonts w:ascii="Calibri" w:hAnsi="Calibri" w:eastAsia="宋体" w:cs="Times New Roman"/>
      <w:lang w:val="en-US" w:eastAsia="zh-CN" w:bidi="ar-SA"/>
    </w:rPr>
  </w:style>
  <w:style w:type="paragraph" w:customStyle="1" w:styleId="70">
    <w:name w:val="列出段落1"/>
    <w:basedOn w:val="1"/>
    <w:autoRedefine/>
    <w:qFormat/>
    <w:uiPriority w:val="0"/>
    <w:pPr>
      <w:ind w:firstLine="420" w:firstLineChars="200"/>
    </w:pPr>
    <w:rPr>
      <w:szCs w:val="21"/>
    </w:rPr>
  </w:style>
  <w:style w:type="paragraph" w:customStyle="1" w:styleId="71">
    <w:name w:val="xl31"/>
    <w:basedOn w:val="1"/>
    <w:autoRedefine/>
    <w:qFormat/>
    <w:uiPriority w:val="0"/>
    <w:pPr>
      <w:widowControl/>
      <w:spacing w:before="100" w:beforeAutospacing="1" w:after="100" w:afterAutospacing="1"/>
      <w:jc w:val="center"/>
    </w:pPr>
    <w:rPr>
      <w:b/>
      <w:bCs/>
      <w:kern w:val="0"/>
      <w:sz w:val="28"/>
      <w:szCs w:val="28"/>
    </w:rPr>
  </w:style>
  <w:style w:type="paragraph" w:customStyle="1" w:styleId="72">
    <w:name w:val="正文2"/>
    <w:basedOn w:val="1"/>
    <w:qFormat/>
    <w:uiPriority w:val="0"/>
    <w:pPr>
      <w:spacing w:before="156" w:line="360" w:lineRule="auto"/>
      <w:ind w:firstLine="510" w:firstLineChars="200"/>
    </w:pPr>
    <w:rPr>
      <w:sz w:val="24"/>
      <w:szCs w:val="20"/>
    </w:rPr>
  </w:style>
  <w:style w:type="paragraph" w:customStyle="1" w:styleId="73">
    <w:name w:val="Char Char Char Char Char Char Char1 Char"/>
    <w:basedOn w:val="1"/>
    <w:autoRedefine/>
    <w:qFormat/>
    <w:uiPriority w:val="0"/>
    <w:rPr>
      <w:rFonts w:ascii="Arial" w:hAnsi="Arial" w:eastAsia="宋体" w:cs="Arial"/>
      <w:sz w:val="24"/>
    </w:rPr>
  </w:style>
  <w:style w:type="paragraph" w:customStyle="1" w:styleId="74">
    <w:name w:val="正文缩进2格"/>
    <w:basedOn w:val="1"/>
    <w:qFormat/>
    <w:uiPriority w:val="0"/>
    <w:pPr>
      <w:spacing w:line="600" w:lineRule="exact"/>
      <w:ind w:firstLine="639" w:firstLineChars="206"/>
    </w:pPr>
    <w:rPr>
      <w:rFonts w:ascii="仿宋_GB2312" w:hAnsi="宋体" w:eastAsia="仿宋_GB2312"/>
      <w:kern w:val="0"/>
      <w:sz w:val="31"/>
      <w:szCs w:val="20"/>
    </w:rPr>
  </w:style>
  <w:style w:type="paragraph" w:customStyle="1" w:styleId="75">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123</Pages>
  <Words>2712</Words>
  <Characters>3100</Characters>
  <Lines>328</Lines>
  <Paragraphs>92</Paragraphs>
  <TotalTime>2</TotalTime>
  <ScaleCrop>false</ScaleCrop>
  <LinksUpToDate>false</LinksUpToDate>
  <CharactersWithSpaces>3277</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2024-01-02T05:57:00Z</dcterms:created>
  <dc:creator>admin</dc:creator>
  <cp:lastModifiedBy>吃花椒的邻居</cp:lastModifiedBy>
  <cp:lastPrinted>2024-12-28T09:33:00Z</cp:lastPrinted>
  <dcterms:modified xsi:type="dcterms:W3CDTF">2026-05-25T11:21:49Z</dcterms:modified>
  <cp:revision>425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550EC1DC576642AFA09A601FED02FF69_13</vt:lpwstr>
  </property>
  <property fmtid="{D5CDD505-2E9C-101B-9397-08002B2CF9AE}" pid="4" name="KSOTemplateDocerSaveRecord">
    <vt:lpwstr>eyJoZGlkIjoiOGFjZjQ0NTFjODllMmNmMDliN2FkZGQ4YzZkZmU3OTkiLCJ1c2VySWQiOiIyOTg5OTE4OTkifQ==</vt:lpwstr>
  </property>
</Properties>
</file>