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848DB">
      <w:pPr>
        <w:pStyle w:val="25"/>
        <w:tabs>
          <w:tab w:val="left" w:pos="8460"/>
        </w:tabs>
        <w:snapToGrid w:val="0"/>
        <w:spacing w:line="240" w:lineRule="auto"/>
        <w:ind w:right="-334" w:rightChars="-159"/>
        <w:jc w:val="center"/>
        <w:rPr>
          <w:rFonts w:hint="default"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44"/>
          <w:szCs w:val="44"/>
          <w:highlight w:val="none"/>
          <w:lang w:val="en-US" w:eastAsia="zh-CN"/>
        </w:rPr>
        <w:t>移动执法终端运行维护服务二次</w:t>
      </w:r>
    </w:p>
    <w:p w14:paraId="11B2F6DF">
      <w:pPr>
        <w:pStyle w:val="25"/>
        <w:tabs>
          <w:tab w:val="left" w:pos="8460"/>
        </w:tabs>
        <w:snapToGrid w:val="0"/>
        <w:spacing w:line="240" w:lineRule="auto"/>
        <w:ind w:right="-334" w:rightChars="-159"/>
        <w:jc w:val="center"/>
        <w:rPr>
          <w:rFonts w:hint="eastAsia" w:ascii="仿宋" w:hAnsi="仿宋" w:eastAsia="仿宋" w:cs="仿宋"/>
          <w:b/>
          <w:bCs w:val="0"/>
          <w:color w:val="auto"/>
          <w:kern w:val="2"/>
          <w:sz w:val="10"/>
          <w:szCs w:val="10"/>
          <w:highlight w:val="none"/>
          <w:lang w:val="en-US" w:eastAsia="zh-CN" w:bidi="ar-SA"/>
        </w:rPr>
      </w:pPr>
    </w:p>
    <w:p w14:paraId="0237047B">
      <w:pPr>
        <w:pStyle w:val="25"/>
        <w:tabs>
          <w:tab w:val="left" w:pos="8460"/>
        </w:tabs>
        <w:snapToGrid w:val="0"/>
        <w:spacing w:line="240" w:lineRule="auto"/>
        <w:ind w:right="-334" w:rightChars="-159"/>
        <w:jc w:val="center"/>
        <w:rPr>
          <w:rFonts w:hint="eastAsia" w:ascii="仿宋" w:hAnsi="仿宋" w:eastAsia="仿宋" w:cs="仿宋"/>
          <w:b/>
          <w:bCs w:val="0"/>
          <w:color w:val="auto"/>
          <w:kern w:val="2"/>
          <w:sz w:val="40"/>
          <w:szCs w:val="40"/>
          <w:highlight w:val="none"/>
          <w:lang w:val="en-US" w:eastAsia="zh-CN" w:bidi="ar-SA"/>
        </w:rPr>
      </w:pPr>
      <w:r>
        <w:rPr>
          <w:rFonts w:hint="eastAsia" w:ascii="仿宋" w:hAnsi="仿宋" w:eastAsia="仿宋" w:cs="仿宋"/>
          <w:b/>
          <w:bCs w:val="0"/>
          <w:color w:val="auto"/>
          <w:kern w:val="2"/>
          <w:sz w:val="40"/>
          <w:szCs w:val="40"/>
          <w:highlight w:val="none"/>
          <w:lang w:val="en-US" w:eastAsia="zh-CN" w:bidi="ar-SA"/>
        </w:rPr>
        <w:t>项目编号：ZFCG-QXD-2026-06-01号</w:t>
      </w:r>
    </w:p>
    <w:p w14:paraId="2DA80B76">
      <w:pPr>
        <w:pStyle w:val="25"/>
        <w:tabs>
          <w:tab w:val="left" w:pos="8460"/>
        </w:tabs>
        <w:snapToGrid w:val="0"/>
        <w:spacing w:line="360" w:lineRule="auto"/>
        <w:ind w:right="-334" w:rightChars="-159"/>
        <w:rPr>
          <w:rFonts w:hint="eastAsia" w:ascii="仿宋" w:hAnsi="仿宋" w:eastAsia="仿宋" w:cs="仿宋"/>
          <w:bCs/>
          <w:color w:val="auto"/>
          <w:kern w:val="2"/>
          <w:sz w:val="30"/>
          <w:szCs w:val="30"/>
          <w:highlight w:val="none"/>
          <w:lang w:val="en-US" w:eastAsia="zh-CN" w:bidi="ar-SA"/>
        </w:rPr>
      </w:pPr>
    </w:p>
    <w:p w14:paraId="74FCC6FC">
      <w:pPr>
        <w:snapToGrid w:val="0"/>
        <w:spacing w:line="360" w:lineRule="auto"/>
        <w:ind w:right="17"/>
        <w:jc w:val="center"/>
        <w:rPr>
          <w:rFonts w:hint="eastAsia" w:ascii="仿宋" w:hAnsi="仿宋" w:eastAsia="仿宋" w:cs="仿宋"/>
          <w:b/>
          <w:color w:val="auto"/>
          <w:spacing w:val="60"/>
          <w:sz w:val="84"/>
          <w:szCs w:val="84"/>
          <w:highlight w:val="none"/>
        </w:rPr>
      </w:pPr>
      <w:r>
        <w:rPr>
          <w:rFonts w:hint="eastAsia" w:ascii="仿宋" w:hAnsi="仿宋" w:eastAsia="仿宋" w:cs="仿宋"/>
          <w:b/>
          <w:color w:val="auto"/>
          <w:spacing w:val="60"/>
          <w:sz w:val="84"/>
          <w:szCs w:val="84"/>
          <w:highlight w:val="none"/>
          <w:lang w:val="en-US" w:eastAsia="zh-CN"/>
        </w:rPr>
        <w:t xml:space="preserve"> </w:t>
      </w:r>
      <w:r>
        <w:rPr>
          <w:rFonts w:hint="eastAsia" w:ascii="仿宋" w:hAnsi="仿宋" w:eastAsia="仿宋" w:cs="仿宋"/>
          <w:b/>
          <w:color w:val="auto"/>
          <w:spacing w:val="60"/>
          <w:sz w:val="72"/>
          <w:szCs w:val="72"/>
          <w:highlight w:val="none"/>
          <w:lang w:val="en-US" w:eastAsia="zh-CN"/>
        </w:rPr>
        <w:t xml:space="preserve">招 标 </w:t>
      </w:r>
      <w:r>
        <w:rPr>
          <w:rFonts w:hint="eastAsia" w:ascii="仿宋" w:hAnsi="仿宋" w:eastAsia="仿宋" w:cs="仿宋"/>
          <w:b/>
          <w:color w:val="auto"/>
          <w:spacing w:val="60"/>
          <w:sz w:val="72"/>
          <w:szCs w:val="72"/>
          <w:highlight w:val="none"/>
        </w:rPr>
        <w:t>文</w:t>
      </w:r>
      <w:r>
        <w:rPr>
          <w:rFonts w:hint="eastAsia" w:ascii="仿宋" w:hAnsi="仿宋" w:eastAsia="仿宋" w:cs="仿宋"/>
          <w:b/>
          <w:color w:val="auto"/>
          <w:spacing w:val="60"/>
          <w:sz w:val="72"/>
          <w:szCs w:val="72"/>
          <w:highlight w:val="none"/>
          <w:lang w:val="en-US" w:eastAsia="zh-CN"/>
        </w:rPr>
        <w:t xml:space="preserve"> </w:t>
      </w:r>
      <w:r>
        <w:rPr>
          <w:rFonts w:hint="eastAsia" w:ascii="仿宋" w:hAnsi="仿宋" w:eastAsia="仿宋" w:cs="仿宋"/>
          <w:b/>
          <w:color w:val="auto"/>
          <w:spacing w:val="60"/>
          <w:sz w:val="72"/>
          <w:szCs w:val="72"/>
          <w:highlight w:val="none"/>
        </w:rPr>
        <w:t>件</w:t>
      </w:r>
    </w:p>
    <w:p w14:paraId="79426657">
      <w:pPr>
        <w:snapToGrid w:val="0"/>
        <w:spacing w:line="360" w:lineRule="auto"/>
        <w:ind w:right="17"/>
        <w:jc w:val="center"/>
        <w:rPr>
          <w:rFonts w:hint="eastAsia" w:ascii="仿宋" w:hAnsi="仿宋" w:eastAsia="仿宋" w:cs="仿宋"/>
          <w:b/>
          <w:color w:val="auto"/>
          <w:spacing w:val="60"/>
          <w:sz w:val="84"/>
          <w:szCs w:val="84"/>
          <w:highlight w:val="none"/>
          <w:lang w:eastAsia="zh-CN"/>
        </w:rPr>
      </w:pPr>
    </w:p>
    <w:p w14:paraId="4D8B94CB">
      <w:pPr>
        <w:bidi w:val="0"/>
        <w:spacing w:line="360" w:lineRule="auto"/>
        <w:ind w:firstLine="600" w:firstLineChars="200"/>
        <w:jc w:val="left"/>
        <w:rPr>
          <w:rFonts w:hint="eastAsia" w:ascii="仿宋" w:hAnsi="仿宋" w:eastAsia="仿宋" w:cs="仿宋"/>
          <w:bCs/>
          <w:color w:val="auto"/>
          <w:kern w:val="0"/>
          <w:sz w:val="30"/>
          <w:szCs w:val="30"/>
          <w:highlight w:val="none"/>
          <w:lang w:val="en-US" w:eastAsia="zh-CN" w:bidi="ar-SA"/>
        </w:rPr>
      </w:pPr>
      <w:r>
        <w:rPr>
          <w:rFonts w:hint="eastAsia" w:ascii="仿宋" w:hAnsi="仿宋" w:eastAsia="仿宋" w:cs="仿宋"/>
          <w:bCs/>
          <w:color w:val="auto"/>
          <w:kern w:val="0"/>
          <w:sz w:val="30"/>
          <w:szCs w:val="30"/>
          <w:highlight w:val="none"/>
          <w:lang w:val="en-US" w:eastAsia="zh-CN" w:bidi="ar-SA"/>
        </w:rPr>
        <w:t>采购单位（盖章）：和田某单位</w:t>
      </w:r>
    </w:p>
    <w:p w14:paraId="44E2905D">
      <w:pPr>
        <w:bidi w:val="0"/>
        <w:spacing w:line="360" w:lineRule="auto"/>
        <w:ind w:firstLine="600" w:firstLineChars="200"/>
        <w:jc w:val="left"/>
        <w:rPr>
          <w:rFonts w:hint="eastAsia" w:ascii="仿宋" w:hAnsi="仿宋" w:eastAsia="仿宋" w:cs="仿宋"/>
          <w:bCs/>
          <w:color w:val="auto"/>
          <w:kern w:val="0"/>
          <w:sz w:val="30"/>
          <w:szCs w:val="30"/>
          <w:highlight w:val="none"/>
          <w:lang w:val="en-US" w:eastAsia="zh-CN" w:bidi="ar-SA"/>
        </w:rPr>
      </w:pPr>
      <w:r>
        <w:rPr>
          <w:rFonts w:hint="eastAsia" w:ascii="仿宋" w:hAnsi="仿宋" w:eastAsia="仿宋" w:cs="仿宋"/>
          <w:bCs/>
          <w:color w:val="auto"/>
          <w:kern w:val="0"/>
          <w:sz w:val="30"/>
          <w:szCs w:val="30"/>
          <w:highlight w:val="none"/>
          <w:lang w:val="en-US" w:eastAsia="zh-CN" w:bidi="ar-SA"/>
        </w:rPr>
        <w:t>联 系 人：余先生</w:t>
      </w:r>
    </w:p>
    <w:p w14:paraId="644050B0">
      <w:pPr>
        <w:bidi w:val="0"/>
        <w:spacing w:line="360" w:lineRule="auto"/>
        <w:ind w:firstLine="600" w:firstLineChars="200"/>
        <w:jc w:val="left"/>
        <w:rPr>
          <w:rFonts w:hint="eastAsia" w:ascii="仿宋" w:hAnsi="仿宋" w:eastAsia="仿宋" w:cs="仿宋"/>
          <w:bCs/>
          <w:color w:val="auto"/>
          <w:kern w:val="0"/>
          <w:sz w:val="30"/>
          <w:szCs w:val="30"/>
          <w:highlight w:val="none"/>
          <w:lang w:val="en-US" w:eastAsia="zh-CN" w:bidi="ar-SA"/>
        </w:rPr>
      </w:pPr>
      <w:r>
        <w:rPr>
          <w:rFonts w:hint="eastAsia" w:ascii="仿宋" w:hAnsi="仿宋" w:eastAsia="仿宋" w:cs="仿宋"/>
          <w:bCs/>
          <w:color w:val="auto"/>
          <w:kern w:val="0"/>
          <w:sz w:val="30"/>
          <w:szCs w:val="30"/>
          <w:highlight w:val="none"/>
          <w:lang w:val="en-US" w:eastAsia="zh-CN" w:bidi="ar-SA"/>
        </w:rPr>
        <w:t xml:space="preserve">电    话：0903-6875086   </w:t>
      </w:r>
    </w:p>
    <w:p w14:paraId="15D4EEF7">
      <w:pPr>
        <w:bidi w:val="0"/>
        <w:spacing w:line="360" w:lineRule="auto"/>
        <w:ind w:firstLine="600" w:firstLineChars="200"/>
        <w:jc w:val="left"/>
        <w:rPr>
          <w:rFonts w:hint="eastAsia" w:ascii="仿宋" w:hAnsi="仿宋" w:eastAsia="仿宋" w:cs="仿宋"/>
          <w:bCs/>
          <w:color w:val="auto"/>
          <w:kern w:val="0"/>
          <w:sz w:val="30"/>
          <w:szCs w:val="30"/>
          <w:highlight w:val="none"/>
          <w:lang w:val="en-US" w:eastAsia="zh-CN" w:bidi="ar-SA"/>
        </w:rPr>
      </w:pPr>
      <w:r>
        <w:rPr>
          <w:rFonts w:hint="eastAsia" w:ascii="仿宋" w:hAnsi="仿宋" w:eastAsia="仿宋" w:cs="仿宋"/>
          <w:bCs/>
          <w:color w:val="auto"/>
          <w:kern w:val="0"/>
          <w:sz w:val="30"/>
          <w:szCs w:val="30"/>
          <w:highlight w:val="none"/>
          <w:lang w:val="en-US" w:eastAsia="zh-CN" w:bidi="ar-SA"/>
        </w:rPr>
        <w:t>详细地址：和田县</w:t>
      </w:r>
    </w:p>
    <w:p w14:paraId="544A6CE3">
      <w:pPr>
        <w:bidi w:val="0"/>
        <w:spacing w:line="360" w:lineRule="auto"/>
        <w:jc w:val="left"/>
        <w:rPr>
          <w:rFonts w:hint="eastAsia" w:ascii="仿宋" w:hAnsi="仿宋" w:eastAsia="仿宋" w:cs="仿宋"/>
          <w:bCs/>
          <w:color w:val="auto"/>
          <w:kern w:val="0"/>
          <w:sz w:val="30"/>
          <w:szCs w:val="30"/>
          <w:highlight w:val="none"/>
          <w:lang w:val="en-US" w:eastAsia="zh-CN" w:bidi="ar-SA"/>
        </w:rPr>
      </w:pPr>
    </w:p>
    <w:p w14:paraId="55289485">
      <w:pPr>
        <w:pStyle w:val="22"/>
        <w:rPr>
          <w:rFonts w:hint="eastAsia" w:ascii="仿宋" w:hAnsi="仿宋" w:eastAsia="仿宋" w:cs="仿宋"/>
          <w:color w:val="auto"/>
          <w:highlight w:val="none"/>
          <w:lang w:val="en-US" w:eastAsia="zh-CN"/>
        </w:rPr>
      </w:pPr>
    </w:p>
    <w:p w14:paraId="729C60E7">
      <w:pPr>
        <w:pStyle w:val="22"/>
        <w:rPr>
          <w:rFonts w:hint="eastAsia" w:ascii="仿宋" w:hAnsi="仿宋" w:eastAsia="仿宋" w:cs="仿宋"/>
          <w:color w:val="auto"/>
          <w:highlight w:val="none"/>
          <w:lang w:val="en-US" w:eastAsia="zh-CN"/>
        </w:rPr>
      </w:pPr>
    </w:p>
    <w:p w14:paraId="15A2B2BC">
      <w:pPr>
        <w:bidi w:val="0"/>
        <w:spacing w:line="360" w:lineRule="auto"/>
        <w:ind w:firstLine="600" w:firstLineChars="200"/>
        <w:jc w:val="left"/>
        <w:rPr>
          <w:rFonts w:hint="eastAsia" w:ascii="仿宋" w:hAnsi="仿宋" w:eastAsia="仿宋" w:cs="仿宋"/>
          <w:bCs/>
          <w:color w:val="auto"/>
          <w:kern w:val="0"/>
          <w:sz w:val="30"/>
          <w:szCs w:val="30"/>
          <w:highlight w:val="none"/>
          <w:lang w:val="en-US" w:eastAsia="zh-CN" w:bidi="ar-SA"/>
        </w:rPr>
      </w:pPr>
      <w:r>
        <w:rPr>
          <w:rFonts w:hint="eastAsia" w:ascii="仿宋" w:hAnsi="仿宋" w:eastAsia="仿宋" w:cs="仿宋"/>
          <w:bCs/>
          <w:color w:val="auto"/>
          <w:kern w:val="0"/>
          <w:sz w:val="30"/>
          <w:szCs w:val="30"/>
          <w:highlight w:val="none"/>
          <w:lang w:val="en-US" w:eastAsia="zh-CN" w:bidi="ar-SA"/>
        </w:rPr>
        <w:t>代理机构(盖章)：新疆庆信达项目管理有限公司</w:t>
      </w:r>
    </w:p>
    <w:p w14:paraId="7BF50CF9">
      <w:pPr>
        <w:bidi w:val="0"/>
        <w:spacing w:line="360" w:lineRule="auto"/>
        <w:ind w:firstLine="600" w:firstLineChars="200"/>
        <w:jc w:val="left"/>
        <w:rPr>
          <w:rFonts w:hint="eastAsia" w:ascii="仿宋" w:hAnsi="仿宋" w:eastAsia="仿宋" w:cs="仿宋"/>
          <w:bCs/>
          <w:color w:val="auto"/>
          <w:kern w:val="0"/>
          <w:sz w:val="30"/>
          <w:szCs w:val="30"/>
          <w:highlight w:val="none"/>
          <w:lang w:val="en-US" w:eastAsia="zh-CN" w:bidi="ar-SA"/>
        </w:rPr>
      </w:pPr>
      <w:r>
        <w:rPr>
          <w:rFonts w:hint="eastAsia" w:ascii="仿宋" w:hAnsi="仿宋" w:eastAsia="仿宋" w:cs="仿宋"/>
          <w:bCs/>
          <w:color w:val="auto"/>
          <w:kern w:val="0"/>
          <w:sz w:val="30"/>
          <w:szCs w:val="30"/>
          <w:highlight w:val="none"/>
          <w:lang w:val="en-US" w:eastAsia="zh-CN" w:bidi="ar-SA"/>
        </w:rPr>
        <w:t>地      址：和田市人民街18号玉都国际广场金座703号</w:t>
      </w:r>
    </w:p>
    <w:p w14:paraId="0F15D70F">
      <w:pPr>
        <w:bidi w:val="0"/>
        <w:spacing w:line="360" w:lineRule="auto"/>
        <w:ind w:firstLine="600" w:firstLineChars="200"/>
        <w:jc w:val="left"/>
        <w:rPr>
          <w:rFonts w:hint="eastAsia" w:ascii="仿宋" w:hAnsi="仿宋" w:eastAsia="仿宋" w:cs="仿宋"/>
          <w:bCs/>
          <w:color w:val="auto"/>
          <w:kern w:val="0"/>
          <w:sz w:val="30"/>
          <w:szCs w:val="30"/>
          <w:highlight w:val="none"/>
          <w:lang w:val="en-US" w:eastAsia="zh-CN" w:bidi="ar-SA"/>
        </w:rPr>
      </w:pPr>
      <w:r>
        <w:rPr>
          <w:rFonts w:hint="eastAsia" w:ascii="仿宋" w:hAnsi="仿宋" w:eastAsia="仿宋" w:cs="仿宋"/>
          <w:bCs/>
          <w:color w:val="auto"/>
          <w:kern w:val="0"/>
          <w:sz w:val="30"/>
          <w:szCs w:val="30"/>
          <w:highlight w:val="none"/>
          <w:lang w:val="en-US" w:eastAsia="zh-CN" w:bidi="ar-SA"/>
        </w:rPr>
        <w:t>联    系    人：郑泽娟</w:t>
      </w:r>
    </w:p>
    <w:p w14:paraId="739A62B6">
      <w:pPr>
        <w:bidi w:val="0"/>
        <w:spacing w:line="360" w:lineRule="auto"/>
        <w:ind w:firstLine="600" w:firstLineChars="200"/>
        <w:jc w:val="left"/>
        <w:rPr>
          <w:rFonts w:hint="eastAsia" w:ascii="仿宋" w:hAnsi="仿宋" w:eastAsia="仿宋" w:cs="仿宋"/>
          <w:bCs/>
          <w:color w:val="auto"/>
          <w:kern w:val="0"/>
          <w:sz w:val="30"/>
          <w:szCs w:val="30"/>
          <w:highlight w:val="none"/>
          <w:lang w:val="en-US" w:eastAsia="zh-CN" w:bidi="ar-SA"/>
        </w:rPr>
      </w:pPr>
      <w:r>
        <w:rPr>
          <w:rFonts w:hint="eastAsia" w:ascii="仿宋" w:hAnsi="仿宋" w:eastAsia="仿宋" w:cs="仿宋"/>
          <w:bCs/>
          <w:color w:val="auto"/>
          <w:kern w:val="0"/>
          <w:sz w:val="30"/>
          <w:szCs w:val="30"/>
          <w:highlight w:val="none"/>
          <w:lang w:val="en-US" w:eastAsia="zh-CN" w:bidi="ar-SA"/>
        </w:rPr>
        <w:t>联  系  电  话：0903-7820626</w:t>
      </w:r>
    </w:p>
    <w:p w14:paraId="13E843BD">
      <w:pPr>
        <w:bidi w:val="0"/>
        <w:spacing w:line="240" w:lineRule="auto"/>
        <w:jc w:val="center"/>
        <w:rPr>
          <w:rFonts w:hint="eastAsia" w:ascii="仿宋" w:hAnsi="仿宋" w:eastAsia="仿宋" w:cs="仿宋"/>
          <w:bCs/>
          <w:color w:val="auto"/>
          <w:kern w:val="0"/>
          <w:sz w:val="24"/>
          <w:szCs w:val="24"/>
          <w:highlight w:val="none"/>
          <w:lang w:val="en-US" w:eastAsia="zh-CN" w:bidi="ar-SA"/>
        </w:rPr>
      </w:pPr>
    </w:p>
    <w:p w14:paraId="3A1AC64B">
      <w:pPr>
        <w:bidi w:val="0"/>
        <w:spacing w:line="360" w:lineRule="auto"/>
        <w:jc w:val="center"/>
        <w:rPr>
          <w:rFonts w:hint="eastAsia" w:ascii="仿宋" w:hAnsi="仿宋" w:eastAsia="仿宋" w:cs="仿宋"/>
          <w:b/>
          <w:bCs w:val="0"/>
          <w:color w:val="auto"/>
          <w:kern w:val="0"/>
          <w:sz w:val="30"/>
          <w:szCs w:val="30"/>
          <w:highlight w:val="none"/>
          <w:lang w:val="en-US" w:eastAsia="zh-CN" w:bidi="ar-SA"/>
        </w:rPr>
      </w:pPr>
      <w:r>
        <w:rPr>
          <w:rFonts w:hint="eastAsia" w:ascii="仿宋" w:hAnsi="仿宋" w:eastAsia="仿宋" w:cs="仿宋"/>
          <w:b/>
          <w:bCs w:val="0"/>
          <w:color w:val="auto"/>
          <w:kern w:val="0"/>
          <w:sz w:val="30"/>
          <w:szCs w:val="30"/>
          <w:highlight w:val="none"/>
          <w:lang w:val="en-US" w:eastAsia="zh-CN" w:bidi="ar-SA"/>
        </w:rPr>
        <w:t>二〇二六年五月</w:t>
      </w:r>
    </w:p>
    <w:p w14:paraId="6A6CD8AD">
      <w:pPr>
        <w:bidi w:val="0"/>
        <w:spacing w:line="360" w:lineRule="auto"/>
        <w:jc w:val="left"/>
        <w:rPr>
          <w:rFonts w:hint="eastAsia" w:ascii="仿宋" w:hAnsi="仿宋" w:eastAsia="仿宋" w:cs="仿宋"/>
          <w:bCs/>
          <w:color w:val="auto"/>
          <w:kern w:val="0"/>
          <w:sz w:val="30"/>
          <w:szCs w:val="30"/>
          <w:highlight w:val="none"/>
          <w:lang w:val="en-US" w:eastAsia="zh-CN" w:bidi="ar-SA"/>
        </w:rPr>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3A60B607">
      <w:pPr>
        <w:autoSpaceDE w:val="0"/>
        <w:autoSpaceDN w:val="0"/>
        <w:adjustRightInd w:val="0"/>
        <w:spacing w:line="600" w:lineRule="auto"/>
        <w:jc w:val="center"/>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目  录</w:t>
      </w:r>
    </w:p>
    <w:p w14:paraId="137805D1">
      <w:pPr>
        <w:pStyle w:val="35"/>
        <w:keepNext w:val="0"/>
        <w:keepLines w:val="0"/>
        <w:pageBreakBefore w:val="0"/>
        <w:widowControl w:val="0"/>
        <w:tabs>
          <w:tab w:val="right" w:leader="dot" w:pos="9240"/>
        </w:tabs>
        <w:kinsoku/>
        <w:wordWrap/>
        <w:overflowPunct/>
        <w:topLinePunct w:val="0"/>
        <w:autoSpaceDE/>
        <w:autoSpaceDN/>
        <w:bidi w:val="0"/>
        <w:adjustRightInd/>
        <w:snapToGrid/>
        <w:spacing w:line="600" w:lineRule="auto"/>
        <w:textAlignment w:val="auto"/>
        <w:rPr>
          <w:rFonts w:hint="eastAsia" w:ascii="仿宋" w:hAnsi="仿宋" w:eastAsia="仿宋" w:cs="仿宋"/>
          <w:color w:val="auto"/>
          <w:highlight w:val="none"/>
        </w:rPr>
      </w:pPr>
    </w:p>
    <w:p w14:paraId="44D03B31">
      <w:pPr>
        <w:pStyle w:val="35"/>
        <w:keepNext w:val="0"/>
        <w:keepLines w:val="0"/>
        <w:pageBreakBefore w:val="0"/>
        <w:widowControl w:val="0"/>
        <w:tabs>
          <w:tab w:val="right" w:leader="dot" w:pos="9240"/>
        </w:tabs>
        <w:kinsoku/>
        <w:wordWrap/>
        <w:overflowPunct/>
        <w:topLinePunct w:val="0"/>
        <w:autoSpaceDE/>
        <w:autoSpaceDN/>
        <w:bidi w:val="0"/>
        <w:adjustRightInd/>
        <w:snapToGrid/>
        <w:spacing w:line="72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TOC \o "1-9" \f \h \u </w:instrText>
      </w:r>
      <w:r>
        <w:rPr>
          <w:rFonts w:hint="eastAsia" w:ascii="仿宋" w:hAnsi="仿宋" w:eastAsia="仿宋" w:cs="仿宋"/>
          <w:color w:val="auto"/>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_Toc31121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z w:val="28"/>
          <w:szCs w:val="28"/>
          <w:highlight w:val="none"/>
          <w:lang w:val="en-US" w:eastAsia="zh-CN"/>
        </w:rPr>
        <w:t>第一部分  采购公告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end"/>
      </w:r>
    </w:p>
    <w:p w14:paraId="5051056D">
      <w:pPr>
        <w:pStyle w:val="35"/>
        <w:keepNext w:val="0"/>
        <w:keepLines w:val="0"/>
        <w:pageBreakBefore w:val="0"/>
        <w:widowControl w:val="0"/>
        <w:tabs>
          <w:tab w:val="right" w:leader="dot" w:pos="9240"/>
        </w:tabs>
        <w:kinsoku/>
        <w:wordWrap/>
        <w:overflowPunct/>
        <w:topLinePunct w:val="0"/>
        <w:autoSpaceDE/>
        <w:autoSpaceDN/>
        <w:bidi w:val="0"/>
        <w:adjustRightInd/>
        <w:snapToGrid/>
        <w:spacing w:line="72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_Toc25035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第二部分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投标人须知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end"/>
      </w:r>
    </w:p>
    <w:p w14:paraId="329CFA1D">
      <w:pPr>
        <w:pStyle w:val="35"/>
        <w:keepNext w:val="0"/>
        <w:keepLines w:val="0"/>
        <w:pageBreakBefore w:val="0"/>
        <w:widowControl w:val="0"/>
        <w:tabs>
          <w:tab w:val="right" w:leader="dot" w:pos="9240"/>
        </w:tabs>
        <w:kinsoku/>
        <w:wordWrap/>
        <w:overflowPunct/>
        <w:topLinePunct w:val="0"/>
        <w:autoSpaceDE/>
        <w:autoSpaceDN/>
        <w:bidi w:val="0"/>
        <w:adjustRightInd/>
        <w:snapToGrid/>
        <w:spacing w:line="720" w:lineRule="auto"/>
        <w:ind w:firstLine="280"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_Toc10179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投标人须知前附表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end"/>
      </w:r>
    </w:p>
    <w:p w14:paraId="67B25B6D">
      <w:pPr>
        <w:pStyle w:val="41"/>
        <w:keepNext w:val="0"/>
        <w:keepLines w:val="0"/>
        <w:pageBreakBefore w:val="0"/>
        <w:widowControl w:val="0"/>
        <w:tabs>
          <w:tab w:val="right" w:leader="dot" w:pos="9240"/>
        </w:tabs>
        <w:kinsoku/>
        <w:wordWrap/>
        <w:overflowPunct/>
        <w:topLinePunct w:val="0"/>
        <w:autoSpaceDE/>
        <w:autoSpaceDN/>
        <w:bidi w:val="0"/>
        <w:adjustRightInd/>
        <w:snapToGrid/>
        <w:spacing w:line="720" w:lineRule="auto"/>
        <w:ind w:left="0" w:leftChars="0"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_Toc27167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第一章  招 标 书</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end"/>
      </w:r>
    </w:p>
    <w:p w14:paraId="08FCC535">
      <w:pPr>
        <w:pStyle w:val="41"/>
        <w:keepNext w:val="0"/>
        <w:keepLines w:val="0"/>
        <w:pageBreakBefore w:val="0"/>
        <w:widowControl w:val="0"/>
        <w:tabs>
          <w:tab w:val="right" w:leader="dot" w:pos="9240"/>
        </w:tabs>
        <w:kinsoku/>
        <w:wordWrap/>
        <w:overflowPunct/>
        <w:topLinePunct w:val="0"/>
        <w:autoSpaceDE/>
        <w:autoSpaceDN/>
        <w:bidi w:val="0"/>
        <w:adjustRightInd/>
        <w:snapToGrid/>
        <w:spacing w:line="720" w:lineRule="auto"/>
        <w:ind w:left="0" w:leftChars="0"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_Toc26927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第二章  评标办法及标准</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end"/>
      </w:r>
    </w:p>
    <w:p w14:paraId="1178038E">
      <w:pPr>
        <w:pStyle w:val="41"/>
        <w:keepNext w:val="0"/>
        <w:keepLines w:val="0"/>
        <w:pageBreakBefore w:val="0"/>
        <w:widowControl w:val="0"/>
        <w:tabs>
          <w:tab w:val="right" w:leader="dot" w:pos="9240"/>
        </w:tabs>
        <w:kinsoku/>
        <w:wordWrap/>
        <w:overflowPunct/>
        <w:topLinePunct w:val="0"/>
        <w:autoSpaceDE/>
        <w:autoSpaceDN/>
        <w:bidi w:val="0"/>
        <w:adjustRightInd/>
        <w:snapToGrid/>
        <w:spacing w:line="720" w:lineRule="auto"/>
        <w:ind w:left="0" w:leftChars="0"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_Toc29633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第三章  采购需求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end"/>
      </w:r>
    </w:p>
    <w:p w14:paraId="10A834BB">
      <w:pPr>
        <w:pStyle w:val="35"/>
        <w:keepNext w:val="0"/>
        <w:keepLines w:val="0"/>
        <w:pageBreakBefore w:val="0"/>
        <w:widowControl w:val="0"/>
        <w:tabs>
          <w:tab w:val="right" w:leader="dot" w:pos="9240"/>
        </w:tabs>
        <w:kinsoku/>
        <w:wordWrap/>
        <w:overflowPunct/>
        <w:topLinePunct w:val="0"/>
        <w:autoSpaceDE/>
        <w:autoSpaceDN/>
        <w:bidi w:val="0"/>
        <w:adjustRightInd/>
        <w:snapToGrid/>
        <w:spacing w:line="72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_Toc13536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rPr>
        <w:t xml:space="preserve">章  </w:t>
      </w:r>
      <w:r>
        <w:rPr>
          <w:rFonts w:hint="eastAsia" w:ascii="仿宋" w:hAnsi="仿宋" w:eastAsia="仿宋" w:cs="仿宋"/>
          <w:color w:val="auto"/>
          <w:sz w:val="28"/>
          <w:szCs w:val="28"/>
          <w:highlight w:val="none"/>
          <w:lang w:eastAsia="zh-CN"/>
        </w:rPr>
        <w:t>采购合同范本</w:t>
      </w:r>
      <w:r>
        <w:rPr>
          <w:rFonts w:hint="eastAsia" w:ascii="仿宋" w:hAnsi="仿宋" w:eastAsia="仿宋" w:cs="仿宋"/>
          <w:color w:val="auto"/>
          <w:sz w:val="28"/>
          <w:szCs w:val="28"/>
          <w:highlight w:val="none"/>
        </w:rPr>
        <w:t>（仅供参考）</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end"/>
      </w:r>
    </w:p>
    <w:p w14:paraId="6C150111">
      <w:pPr>
        <w:pStyle w:val="35"/>
        <w:keepNext w:val="0"/>
        <w:keepLines w:val="0"/>
        <w:pageBreakBefore w:val="0"/>
        <w:widowControl w:val="0"/>
        <w:tabs>
          <w:tab w:val="right" w:leader="dot" w:pos="9240"/>
        </w:tabs>
        <w:kinsoku/>
        <w:wordWrap/>
        <w:overflowPunct/>
        <w:topLinePunct w:val="0"/>
        <w:autoSpaceDE/>
        <w:autoSpaceDN/>
        <w:bidi w:val="0"/>
        <w:adjustRightInd/>
        <w:snapToGrid/>
        <w:spacing w:line="720" w:lineRule="auto"/>
        <w:textAlignment w:val="auto"/>
        <w:rPr>
          <w:rFonts w:hint="eastAsia" w:ascii="仿宋" w:hAnsi="仿宋" w:eastAsia="仿宋" w:cs="仿宋"/>
          <w:color w:val="auto"/>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_Toc5124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lang w:eastAsia="zh-CN"/>
        </w:rPr>
        <w:t>章</w:t>
      </w:r>
      <w:r>
        <w:rPr>
          <w:rFonts w:hint="eastAsia" w:ascii="仿宋" w:hAnsi="仿宋" w:eastAsia="仿宋" w:cs="仿宋"/>
          <w:color w:val="auto"/>
          <w:sz w:val="28"/>
          <w:szCs w:val="28"/>
          <w:highlight w:val="none"/>
        </w:rPr>
        <w:t xml:space="preserve">  投标文件内容及格式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end"/>
      </w:r>
    </w:p>
    <w:p w14:paraId="26C8E266">
      <w:pPr>
        <w:pStyle w:val="3"/>
        <w:outlineLvl w:val="0"/>
        <w:rPr>
          <w:rFonts w:hint="eastAsia" w:ascii="仿宋" w:hAnsi="仿宋" w:eastAsia="仿宋" w:cs="仿宋"/>
          <w:color w:val="auto"/>
          <w:highlight w:val="none"/>
        </w:rPr>
      </w:pPr>
      <w:r>
        <w:rPr>
          <w:rFonts w:hint="eastAsia" w:ascii="仿宋" w:hAnsi="仿宋" w:eastAsia="仿宋" w:cs="仿宋"/>
          <w:color w:val="auto"/>
          <w:highlight w:val="none"/>
        </w:rPr>
        <w:fldChar w:fldCharType="end"/>
      </w:r>
    </w:p>
    <w:p w14:paraId="3A9A2C9A">
      <w:pPr>
        <w:autoSpaceDE w:val="0"/>
        <w:autoSpaceDN w:val="0"/>
        <w:adjustRightInd w:val="0"/>
        <w:spacing w:line="600" w:lineRule="auto"/>
        <w:ind w:left="2"/>
        <w:rPr>
          <w:rFonts w:hint="eastAsia" w:ascii="仿宋" w:hAnsi="仿宋" w:eastAsia="仿宋" w:cs="仿宋"/>
          <w:color w:val="auto"/>
          <w:kern w:val="0"/>
          <w:sz w:val="28"/>
          <w:szCs w:val="28"/>
          <w:highlight w:val="none"/>
        </w:rPr>
      </w:pPr>
    </w:p>
    <w:p w14:paraId="4C21C288">
      <w:pPr>
        <w:pStyle w:val="57"/>
        <w:rPr>
          <w:rFonts w:hint="eastAsia" w:ascii="仿宋" w:hAnsi="仿宋" w:eastAsia="仿宋" w:cs="仿宋"/>
          <w:color w:val="auto"/>
          <w:highlight w:val="none"/>
        </w:rPr>
      </w:pPr>
    </w:p>
    <w:p w14:paraId="14B9D455">
      <w:pPr>
        <w:pStyle w:val="6"/>
        <w:rPr>
          <w:rFonts w:hint="eastAsia" w:ascii="仿宋" w:hAnsi="仿宋" w:eastAsia="仿宋" w:cs="仿宋"/>
          <w:color w:val="auto"/>
          <w:kern w:val="0"/>
          <w:sz w:val="28"/>
          <w:szCs w:val="28"/>
          <w:highlight w:val="none"/>
        </w:rPr>
      </w:pPr>
    </w:p>
    <w:p w14:paraId="7415FEBF">
      <w:pPr>
        <w:rPr>
          <w:rFonts w:hint="eastAsia" w:ascii="仿宋" w:hAnsi="仿宋" w:eastAsia="仿宋" w:cs="仿宋"/>
          <w:color w:val="auto"/>
          <w:kern w:val="0"/>
          <w:sz w:val="28"/>
          <w:szCs w:val="28"/>
          <w:highlight w:val="none"/>
        </w:rPr>
      </w:pPr>
    </w:p>
    <w:p w14:paraId="73DD9850">
      <w:pPr>
        <w:rPr>
          <w:rFonts w:hint="eastAsia" w:ascii="仿宋" w:hAnsi="仿宋" w:eastAsia="仿宋" w:cs="仿宋"/>
          <w:color w:val="auto"/>
          <w:kern w:val="0"/>
          <w:sz w:val="28"/>
          <w:szCs w:val="28"/>
          <w:highlight w:val="none"/>
        </w:rPr>
      </w:pPr>
    </w:p>
    <w:p w14:paraId="086A91A9">
      <w:pPr>
        <w:pStyle w:val="93"/>
        <w:spacing w:line="360" w:lineRule="auto"/>
        <w:jc w:val="center"/>
        <w:rPr>
          <w:rFonts w:hint="eastAsia" w:ascii="仿宋" w:hAnsi="仿宋" w:eastAsia="仿宋" w:cs="仿宋"/>
          <w:b/>
          <w:bCs/>
          <w:i/>
          <w:iCs/>
          <w:color w:val="auto"/>
          <w:sz w:val="72"/>
          <w:szCs w:val="72"/>
          <w:highlight w:val="none"/>
        </w:rPr>
      </w:pPr>
      <w:bookmarkStart w:id="0" w:name="_Toc27002"/>
      <w:bookmarkStart w:id="1" w:name="_Toc19282"/>
      <w:bookmarkStart w:id="2" w:name="_Toc15770"/>
      <w:bookmarkStart w:id="3" w:name="_Toc1277"/>
      <w:bookmarkStart w:id="4" w:name="_Toc15231"/>
      <w:bookmarkStart w:id="5" w:name="_Toc30559"/>
      <w:bookmarkStart w:id="6" w:name="_Toc5064"/>
      <w:bookmarkStart w:id="7" w:name="_Toc30491"/>
      <w:bookmarkStart w:id="8" w:name="_Toc25035"/>
      <w:r>
        <w:rPr>
          <w:rFonts w:hint="eastAsia" w:ascii="仿宋" w:hAnsi="仿宋" w:eastAsia="仿宋" w:cs="仿宋"/>
          <w:b/>
          <w:bCs/>
          <w:i/>
          <w:iCs/>
          <w:color w:val="auto"/>
          <w:sz w:val="60"/>
          <w:szCs w:val="60"/>
          <w:highlight w:val="none"/>
        </w:rPr>
        <w:t>特别注意</w:t>
      </w:r>
    </w:p>
    <w:p w14:paraId="695C6D83">
      <w:pPr>
        <w:pStyle w:val="2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84" w:lineRule="auto"/>
        <w:ind w:right="0" w:rightChars="0" w:firstLine="560" w:firstLineChars="200"/>
        <w:jc w:val="left"/>
        <w:textAlignment w:val="auto"/>
        <w:rPr>
          <w:rFonts w:hint="eastAsia" w:ascii="仿宋" w:hAnsi="仿宋" w:eastAsia="仿宋" w:cs="仿宋"/>
          <w:color w:val="auto"/>
          <w:kern w:val="2"/>
          <w:sz w:val="28"/>
          <w:szCs w:val="28"/>
          <w:highlight w:val="none"/>
          <w:lang w:val="en-US" w:eastAsia="zh-CN" w:bidi="ar-SA"/>
        </w:rPr>
      </w:pPr>
    </w:p>
    <w:p w14:paraId="4952215D">
      <w:pPr>
        <w:pStyle w:val="2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32" w:lineRule="auto"/>
        <w:ind w:right="0" w:rightChars="0"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1.本项目实行网上投标，采用电子投标文件。若供应商参与投标，自行承担投标一切费用；</w:t>
      </w:r>
    </w:p>
    <w:p w14:paraId="13A98B74">
      <w:pPr>
        <w:pStyle w:val="2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32" w:lineRule="auto"/>
        <w:ind w:right="0" w:rightChars="0"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各供应商应在开标前应确保成为政采云平台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46E9B2F3">
      <w:pPr>
        <w:pStyle w:val="2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32" w:lineRule="auto"/>
        <w:ind w:right="0" w:rightChars="0"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供应商将政采云电子交易客户端下载、安装完成后，可通过账号密码或CA登录客户端进行投标文件的制作。在使用政采云投标客户端时，建议使用WIN7（64位）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53D1C520">
      <w:pPr>
        <w:pStyle w:val="2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32" w:lineRule="auto"/>
        <w:ind w:right="0" w:rightChars="0"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4.供应商在开标时须使用制作加密电子投标文件所使用的CA锁及电脑，电脑须提前配置好浏览器（使用谷歌浏览器），并确保开标期间电脑网络环境畅通，以便开标时解锁；</w:t>
      </w:r>
    </w:p>
    <w:p w14:paraId="6B641449">
      <w:pPr>
        <w:pStyle w:val="2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32" w:lineRule="auto"/>
        <w:ind w:right="0" w:rightChars="0"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5.为了保证开评标顺利进行，政采云线上开标功能完全实现，供应商开标所使用的电脑设备须具有视频及语音功能。</w:t>
      </w:r>
    </w:p>
    <w:p w14:paraId="59F8C5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lang w:val="en-US" w:eastAsia="zh-CN"/>
        </w:rPr>
        <w:t>第一部分   采购公告</w:t>
      </w:r>
    </w:p>
    <w:p w14:paraId="03BFE6D9">
      <w:pPr>
        <w:pStyle w:val="3"/>
        <w:keepNext/>
        <w:keepLines/>
        <w:pageBreakBefore w:val="0"/>
        <w:widowControl w:val="0"/>
        <w:numPr>
          <w:ilvl w:val="0"/>
          <w:numId w:val="0"/>
        </w:numPr>
        <w:tabs>
          <w:tab w:val="left" w:pos="0"/>
          <w:tab w:val="left" w:pos="3165"/>
          <w:tab w:val="center" w:pos="4153"/>
        </w:tabs>
        <w:kinsoku/>
        <w:wordWrap/>
        <w:overflowPunct/>
        <w:topLinePunct w:val="0"/>
        <w:autoSpaceDE w:val="0"/>
        <w:autoSpaceDN w:val="0"/>
        <w:bidi w:val="0"/>
        <w:adjustRightInd w:val="0"/>
        <w:snapToGrid/>
        <w:spacing w:before="0" w:after="0" w:line="240" w:lineRule="auto"/>
        <w:ind w:leftChars="0"/>
        <w:jc w:val="center"/>
        <w:textAlignment w:val="auto"/>
        <w:rPr>
          <w:rFonts w:hint="eastAsia" w:ascii="仿宋" w:hAnsi="仿宋" w:eastAsia="仿宋" w:cs="仿宋"/>
          <w:color w:val="auto"/>
          <w:sz w:val="30"/>
          <w:szCs w:val="30"/>
          <w:highlight w:val="none"/>
          <w:lang w:val="en-US"/>
        </w:rPr>
      </w:pPr>
      <w:r>
        <w:rPr>
          <w:rFonts w:hint="eastAsia" w:ascii="仿宋" w:hAnsi="仿宋" w:eastAsia="仿宋" w:cs="仿宋"/>
          <w:color w:val="auto"/>
          <w:sz w:val="30"/>
          <w:szCs w:val="30"/>
          <w:highlight w:val="none"/>
          <w:lang w:val="en-US" w:eastAsia="zh-CN"/>
        </w:rPr>
        <w:t>移动执法终端运行维护服务二次公开招标公告</w:t>
      </w:r>
    </w:p>
    <w:p w14:paraId="3ABFA3A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项目概况</w:t>
      </w:r>
    </w:p>
    <w:p w14:paraId="3608AEBC">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88" w:lineRule="auto"/>
        <w:ind w:firstLine="440" w:firstLineChars="200"/>
        <w:textAlignment w:val="auto"/>
        <w:rPr>
          <w:rFonts w:hint="eastAsia" w:ascii="仿宋" w:hAnsi="仿宋" w:eastAsia="仿宋" w:cs="仿宋"/>
          <w:color w:val="auto"/>
          <w:sz w:val="22"/>
          <w:szCs w:val="22"/>
          <w:highlight w:val="none"/>
          <w:u w:val="single"/>
          <w:lang w:eastAsia="zh-CN"/>
        </w:rPr>
      </w:pPr>
      <w:r>
        <w:rPr>
          <w:rFonts w:hint="eastAsia" w:ascii="仿宋" w:hAnsi="仿宋" w:eastAsia="仿宋" w:cs="仿宋"/>
          <w:color w:val="auto"/>
          <w:sz w:val="22"/>
          <w:szCs w:val="22"/>
          <w:highlight w:val="none"/>
          <w:u w:val="single"/>
          <w:lang w:val="en-US" w:eastAsia="zh-CN"/>
        </w:rPr>
        <w:t>移动执法终端运行维护服务二次</w:t>
      </w:r>
      <w:r>
        <w:rPr>
          <w:rFonts w:hint="eastAsia" w:ascii="仿宋" w:hAnsi="仿宋" w:eastAsia="仿宋" w:cs="仿宋"/>
          <w:color w:val="auto"/>
          <w:sz w:val="22"/>
          <w:szCs w:val="22"/>
          <w:highlight w:val="none"/>
          <w:u w:val="single"/>
          <w:lang w:eastAsia="zh-CN"/>
        </w:rPr>
        <w:t>的潜在投标人应在政采云平台</w:t>
      </w:r>
      <w:r>
        <w:rPr>
          <w:rFonts w:hint="eastAsia" w:ascii="仿宋" w:hAnsi="仿宋" w:eastAsia="仿宋" w:cs="仿宋"/>
          <w:color w:val="auto"/>
          <w:sz w:val="22"/>
          <w:szCs w:val="22"/>
          <w:highlight w:val="none"/>
          <w:u w:val="single"/>
          <w:lang w:eastAsia="zh-CN"/>
        </w:rPr>
        <w:fldChar w:fldCharType="begin"/>
      </w:r>
      <w:r>
        <w:rPr>
          <w:rFonts w:hint="eastAsia" w:ascii="仿宋" w:hAnsi="仿宋" w:eastAsia="仿宋" w:cs="仿宋"/>
          <w:color w:val="auto"/>
          <w:sz w:val="22"/>
          <w:szCs w:val="22"/>
          <w:highlight w:val="none"/>
          <w:u w:val="single"/>
          <w:lang w:eastAsia="zh-CN"/>
        </w:rPr>
        <w:instrText xml:space="preserve"> HYPERLINK "https://www.zcygov.cn/线上获取获取招标文件，并于2022年07月" </w:instrText>
      </w:r>
      <w:r>
        <w:rPr>
          <w:rFonts w:hint="eastAsia" w:ascii="仿宋" w:hAnsi="仿宋" w:eastAsia="仿宋" w:cs="仿宋"/>
          <w:color w:val="auto"/>
          <w:sz w:val="22"/>
          <w:szCs w:val="22"/>
          <w:highlight w:val="none"/>
          <w:u w:val="single"/>
          <w:lang w:eastAsia="zh-CN"/>
        </w:rPr>
        <w:fldChar w:fldCharType="separate"/>
      </w:r>
      <w:r>
        <w:rPr>
          <w:rFonts w:hint="eastAsia" w:ascii="仿宋" w:hAnsi="仿宋" w:eastAsia="仿宋" w:cs="仿宋"/>
          <w:color w:val="auto"/>
          <w:sz w:val="22"/>
          <w:szCs w:val="22"/>
          <w:highlight w:val="none"/>
          <w:u w:val="single"/>
          <w:lang w:eastAsia="zh-CN"/>
        </w:rPr>
        <w:t>https://www.zcygov.cn/线上获取</w:t>
      </w:r>
      <w:r>
        <w:rPr>
          <w:rFonts w:hint="eastAsia" w:ascii="仿宋" w:hAnsi="仿宋" w:eastAsia="仿宋" w:cs="仿宋"/>
          <w:color w:val="auto"/>
          <w:sz w:val="22"/>
          <w:szCs w:val="22"/>
          <w:highlight w:val="none"/>
          <w:u w:val="single"/>
          <w:lang w:val="en-US" w:eastAsia="zh-CN"/>
        </w:rPr>
        <w:t>采购</w:t>
      </w:r>
      <w:r>
        <w:rPr>
          <w:rFonts w:hint="eastAsia" w:ascii="仿宋" w:hAnsi="仿宋" w:eastAsia="仿宋" w:cs="仿宋"/>
          <w:color w:val="auto"/>
          <w:sz w:val="22"/>
          <w:szCs w:val="22"/>
          <w:highlight w:val="none"/>
          <w:u w:val="single"/>
          <w:lang w:eastAsia="zh-CN"/>
        </w:rPr>
        <w:t>文件，并于202</w:t>
      </w:r>
      <w:r>
        <w:rPr>
          <w:rFonts w:hint="eastAsia" w:ascii="仿宋" w:hAnsi="仿宋" w:eastAsia="仿宋" w:cs="仿宋"/>
          <w:color w:val="auto"/>
          <w:sz w:val="22"/>
          <w:szCs w:val="22"/>
          <w:highlight w:val="none"/>
          <w:u w:val="single"/>
          <w:lang w:val="en-US" w:eastAsia="zh-CN"/>
        </w:rPr>
        <w:t>6</w:t>
      </w:r>
      <w:r>
        <w:rPr>
          <w:rFonts w:hint="eastAsia" w:ascii="仿宋" w:hAnsi="仿宋" w:eastAsia="仿宋" w:cs="仿宋"/>
          <w:color w:val="auto"/>
          <w:sz w:val="22"/>
          <w:szCs w:val="22"/>
          <w:highlight w:val="none"/>
          <w:u w:val="single"/>
          <w:lang w:eastAsia="zh-CN"/>
        </w:rPr>
        <w:t>年</w:t>
      </w:r>
      <w:r>
        <w:rPr>
          <w:rFonts w:hint="eastAsia" w:ascii="仿宋" w:hAnsi="仿宋" w:eastAsia="仿宋" w:cs="仿宋"/>
          <w:color w:val="auto"/>
          <w:sz w:val="22"/>
          <w:szCs w:val="22"/>
          <w:highlight w:val="none"/>
          <w:u w:val="single"/>
          <w:lang w:val="en-US" w:eastAsia="zh-CN"/>
        </w:rPr>
        <w:t>06</w:t>
      </w:r>
      <w:r>
        <w:rPr>
          <w:rFonts w:hint="eastAsia" w:ascii="仿宋" w:hAnsi="仿宋" w:eastAsia="仿宋" w:cs="仿宋"/>
          <w:color w:val="auto"/>
          <w:sz w:val="22"/>
          <w:szCs w:val="22"/>
          <w:highlight w:val="none"/>
          <w:u w:val="single"/>
          <w:lang w:eastAsia="zh-CN"/>
        </w:rPr>
        <w:t>月</w:t>
      </w:r>
      <w:r>
        <w:rPr>
          <w:rFonts w:hint="eastAsia" w:ascii="仿宋" w:hAnsi="仿宋" w:eastAsia="仿宋" w:cs="仿宋"/>
          <w:color w:val="auto"/>
          <w:sz w:val="22"/>
          <w:szCs w:val="22"/>
          <w:highlight w:val="none"/>
          <w:u w:val="single"/>
          <w:lang w:eastAsia="zh-CN"/>
        </w:rPr>
        <w:fldChar w:fldCharType="end"/>
      </w:r>
      <w:r>
        <w:rPr>
          <w:rFonts w:hint="eastAsia" w:ascii="仿宋" w:hAnsi="仿宋" w:eastAsia="仿宋" w:cs="仿宋"/>
          <w:color w:val="auto"/>
          <w:sz w:val="22"/>
          <w:szCs w:val="22"/>
          <w:highlight w:val="none"/>
          <w:u w:val="single"/>
          <w:lang w:val="en-US" w:eastAsia="zh-CN"/>
        </w:rPr>
        <w:t>12</w:t>
      </w:r>
      <w:r>
        <w:rPr>
          <w:rFonts w:hint="eastAsia" w:ascii="仿宋" w:hAnsi="仿宋" w:eastAsia="仿宋" w:cs="仿宋"/>
          <w:color w:val="auto"/>
          <w:sz w:val="22"/>
          <w:szCs w:val="22"/>
          <w:highlight w:val="none"/>
          <w:u w:val="single"/>
          <w:lang w:eastAsia="zh-CN"/>
        </w:rPr>
        <w:t>日</w:t>
      </w:r>
      <w:r>
        <w:rPr>
          <w:rFonts w:hint="eastAsia" w:ascii="仿宋" w:hAnsi="仿宋" w:eastAsia="仿宋" w:cs="仿宋"/>
          <w:color w:val="auto"/>
          <w:sz w:val="22"/>
          <w:szCs w:val="22"/>
          <w:highlight w:val="none"/>
          <w:u w:val="single"/>
          <w:lang w:val="en-US" w:eastAsia="zh-CN"/>
        </w:rPr>
        <w:t>11</w:t>
      </w:r>
      <w:r>
        <w:rPr>
          <w:rFonts w:hint="eastAsia" w:ascii="仿宋" w:hAnsi="仿宋" w:eastAsia="仿宋" w:cs="仿宋"/>
          <w:color w:val="auto"/>
          <w:sz w:val="22"/>
          <w:szCs w:val="22"/>
          <w:highlight w:val="none"/>
          <w:u w:val="single"/>
          <w:lang w:eastAsia="zh-CN"/>
        </w:rPr>
        <w:t>:00（北京时间）前递交投标文件。</w:t>
      </w:r>
    </w:p>
    <w:p w14:paraId="7ABA082A">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outlineLvl w:val="9"/>
        <w:rPr>
          <w:rFonts w:hint="eastAsia" w:ascii="仿宋" w:hAnsi="仿宋" w:eastAsia="仿宋" w:cs="仿宋"/>
          <w:b/>
          <w:bCs/>
          <w:color w:val="auto"/>
          <w:sz w:val="22"/>
          <w:szCs w:val="22"/>
          <w:highlight w:val="none"/>
        </w:rPr>
      </w:pPr>
      <w:bookmarkStart w:id="9" w:name="_Toc35393790"/>
      <w:bookmarkStart w:id="10" w:name="_Toc28359079"/>
      <w:bookmarkStart w:id="11" w:name="_Toc35393621"/>
      <w:bookmarkStart w:id="12" w:name="_Toc28359002"/>
      <w:bookmarkStart w:id="13" w:name="_Hlk24379207"/>
      <w:r>
        <w:rPr>
          <w:rFonts w:hint="eastAsia" w:ascii="仿宋" w:hAnsi="仿宋" w:eastAsia="仿宋" w:cs="仿宋"/>
          <w:b/>
          <w:bCs/>
          <w:color w:val="auto"/>
          <w:sz w:val="22"/>
          <w:szCs w:val="22"/>
          <w:highlight w:val="none"/>
        </w:rPr>
        <w:t>一、项目基本情况</w:t>
      </w:r>
      <w:bookmarkEnd w:id="9"/>
      <w:bookmarkEnd w:id="10"/>
      <w:bookmarkEnd w:id="11"/>
      <w:bookmarkEnd w:id="12"/>
    </w:p>
    <w:p w14:paraId="7574A66C">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项目编号：</w:t>
      </w:r>
      <w:r>
        <w:rPr>
          <w:rFonts w:hint="eastAsia" w:ascii="仿宋" w:hAnsi="仿宋" w:eastAsia="仿宋" w:cs="仿宋"/>
          <w:color w:val="auto"/>
          <w:sz w:val="22"/>
          <w:szCs w:val="22"/>
          <w:highlight w:val="none"/>
          <w:lang w:val="en-US" w:eastAsia="zh-CN"/>
        </w:rPr>
        <w:t>ZFCG-QXD-2026-06-01号</w:t>
      </w:r>
    </w:p>
    <w:p w14:paraId="17C6D227">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outlineLvl w:val="9"/>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项目名称：</w:t>
      </w:r>
      <w:bookmarkEnd w:id="13"/>
      <w:bookmarkStart w:id="14" w:name="_Toc28359003"/>
      <w:bookmarkStart w:id="15" w:name="_Toc35393622"/>
      <w:bookmarkStart w:id="16" w:name="_Toc35393791"/>
      <w:bookmarkStart w:id="17" w:name="_Toc28359080"/>
      <w:r>
        <w:rPr>
          <w:rFonts w:hint="eastAsia" w:ascii="仿宋" w:hAnsi="仿宋" w:eastAsia="仿宋" w:cs="仿宋"/>
          <w:color w:val="auto"/>
          <w:sz w:val="22"/>
          <w:szCs w:val="22"/>
          <w:highlight w:val="none"/>
          <w:lang w:val="en-US" w:eastAsia="zh-CN"/>
        </w:rPr>
        <w:t>移动执法终端运行维护服务</w:t>
      </w:r>
    </w:p>
    <w:p w14:paraId="01A9FCC2">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采购方式：</w:t>
      </w:r>
      <w:r>
        <w:rPr>
          <w:rFonts w:hint="eastAsia" w:ascii="仿宋" w:hAnsi="仿宋" w:eastAsia="仿宋" w:cs="仿宋"/>
          <w:color w:val="auto"/>
          <w:sz w:val="22"/>
          <w:szCs w:val="22"/>
          <w:highlight w:val="none"/>
          <w:lang w:val="en-US" w:eastAsia="zh-CN"/>
        </w:rPr>
        <w:t>公开招标</w:t>
      </w:r>
    </w:p>
    <w:p w14:paraId="0F0938DF">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预算金额：107.484万元</w:t>
      </w:r>
    </w:p>
    <w:p w14:paraId="39C7566B">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最高限价：107.484万元</w:t>
      </w:r>
    </w:p>
    <w:p w14:paraId="32D60DF5">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资金来源：财政拨款，专项资金</w:t>
      </w:r>
    </w:p>
    <w:p w14:paraId="20C27E73">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采购需求：移动执法系统运维服务项目，本次运行维护服务内容主要包括四部分，分别是移动执法终端的运行保障及维修替换服务、管理平台运维服务、应用功能提升完善服务、安全管控能力服务。详见招标文件。</w:t>
      </w:r>
    </w:p>
    <w:p w14:paraId="0CFC1940">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合同履行期限：</w:t>
      </w:r>
      <w:r>
        <w:rPr>
          <w:rFonts w:hint="eastAsia" w:ascii="仿宋" w:hAnsi="仿宋" w:eastAsia="仿宋" w:cs="仿宋"/>
          <w:color w:val="auto"/>
          <w:sz w:val="22"/>
          <w:szCs w:val="22"/>
          <w:highlight w:val="none"/>
          <w:lang w:val="en-US" w:eastAsia="zh-CN"/>
        </w:rPr>
        <w:t>服务期12个月。（可在需求不发生变化，且采购单位预算充足的情况下，根据相关政策以及中标人服务质量与中标人续签下一年合同，最多续签两年）。</w:t>
      </w:r>
    </w:p>
    <w:p w14:paraId="5484BABC">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outlineLvl w:val="9"/>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本项目（</w:t>
      </w:r>
      <w:r>
        <w:rPr>
          <w:rFonts w:hint="eastAsia" w:ascii="仿宋" w:hAnsi="仿宋" w:eastAsia="仿宋" w:cs="仿宋"/>
          <w:color w:val="auto"/>
          <w:sz w:val="22"/>
          <w:szCs w:val="22"/>
          <w:highlight w:val="none"/>
          <w:lang w:val="en-US" w:eastAsia="zh-CN"/>
        </w:rPr>
        <w:t>否</w:t>
      </w:r>
      <w:r>
        <w:rPr>
          <w:rFonts w:hint="eastAsia" w:ascii="仿宋" w:hAnsi="仿宋" w:eastAsia="仿宋" w:cs="仿宋"/>
          <w:color w:val="auto"/>
          <w:sz w:val="22"/>
          <w:szCs w:val="22"/>
          <w:highlight w:val="none"/>
          <w:lang w:eastAsia="zh-CN"/>
        </w:rPr>
        <w:t>）接受联合体投标</w:t>
      </w:r>
    </w:p>
    <w:p w14:paraId="65B00E5A">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outlineLvl w:val="9"/>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二、</w:t>
      </w:r>
      <w:r>
        <w:rPr>
          <w:rFonts w:hint="eastAsia" w:ascii="仿宋" w:hAnsi="仿宋" w:eastAsia="仿宋" w:cs="仿宋"/>
          <w:b/>
          <w:bCs/>
          <w:color w:val="auto"/>
          <w:sz w:val="22"/>
          <w:szCs w:val="22"/>
          <w:highlight w:val="none"/>
          <w:lang w:val="en-US" w:eastAsia="zh-CN"/>
        </w:rPr>
        <w:t>供应商</w:t>
      </w:r>
      <w:r>
        <w:rPr>
          <w:rFonts w:hint="eastAsia" w:ascii="仿宋" w:hAnsi="仿宋" w:eastAsia="仿宋" w:cs="仿宋"/>
          <w:b/>
          <w:bCs/>
          <w:color w:val="auto"/>
          <w:sz w:val="22"/>
          <w:szCs w:val="22"/>
          <w:highlight w:val="none"/>
        </w:rPr>
        <w:t>的资格要求</w:t>
      </w:r>
      <w:bookmarkEnd w:id="14"/>
      <w:bookmarkEnd w:id="15"/>
      <w:bookmarkEnd w:id="16"/>
      <w:bookmarkEnd w:id="17"/>
    </w:p>
    <w:p w14:paraId="7461071D">
      <w:pPr>
        <w:pStyle w:val="28"/>
        <w:keepNext w:val="0"/>
        <w:keepLines w:val="0"/>
        <w:pageBreakBefore w:val="0"/>
        <w:widowControl w:val="0"/>
        <w:kinsoku/>
        <w:wordWrap/>
        <w:overflowPunct/>
        <w:topLinePunct w:val="0"/>
        <w:autoSpaceDE/>
        <w:autoSpaceDN/>
        <w:bidi w:val="0"/>
        <w:adjustRightInd/>
        <w:snapToGrid w:val="0"/>
        <w:spacing w:line="288" w:lineRule="auto"/>
        <w:ind w:left="239" w:leftChars="114" w:firstLine="110" w:firstLineChars="50"/>
        <w:textAlignment w:val="auto"/>
        <w:outlineLvl w:val="2"/>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1.满足《中华人民共和国政府采购法》第二十二条规定；</w:t>
      </w:r>
    </w:p>
    <w:p w14:paraId="1A3EFE8D">
      <w:pPr>
        <w:pStyle w:val="28"/>
        <w:keepNext w:val="0"/>
        <w:keepLines w:val="0"/>
        <w:pageBreakBefore w:val="0"/>
        <w:widowControl w:val="0"/>
        <w:kinsoku/>
        <w:wordWrap/>
        <w:overflowPunct/>
        <w:topLinePunct w:val="0"/>
        <w:autoSpaceDE/>
        <w:autoSpaceDN/>
        <w:bidi w:val="0"/>
        <w:adjustRightInd/>
        <w:snapToGrid w:val="0"/>
        <w:spacing w:line="288" w:lineRule="auto"/>
        <w:ind w:left="239" w:leftChars="114" w:firstLine="110" w:firstLineChars="50"/>
        <w:textAlignment w:val="auto"/>
        <w:outlineLvl w:val="2"/>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2.落实政府采购政策需满足的资格要求：</w:t>
      </w:r>
    </w:p>
    <w:p w14:paraId="567087AD">
      <w:pPr>
        <w:pStyle w:val="28"/>
        <w:keepNext w:val="0"/>
        <w:keepLines w:val="0"/>
        <w:pageBreakBefore w:val="0"/>
        <w:widowControl w:val="0"/>
        <w:kinsoku/>
        <w:wordWrap/>
        <w:overflowPunct/>
        <w:topLinePunct w:val="0"/>
        <w:autoSpaceDE/>
        <w:autoSpaceDN/>
        <w:bidi w:val="0"/>
        <w:adjustRightInd/>
        <w:snapToGrid w:val="0"/>
        <w:spacing w:line="288" w:lineRule="auto"/>
        <w:ind w:left="239" w:leftChars="114" w:firstLine="110" w:firstLineChars="50"/>
        <w:textAlignment w:val="auto"/>
        <w:outlineLvl w:val="2"/>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（1）根据《政府采购促进中小企业发展办法》（财库〔2020〕46号）的相关规定，本项目不专门面向中小企业采购，但对符合要求的中小微企业给与10%的报价扣除(含JY企业、残疾人福利单位)；</w:t>
      </w:r>
    </w:p>
    <w:p w14:paraId="029100B0">
      <w:pPr>
        <w:keepNext w:val="0"/>
        <w:keepLines w:val="0"/>
        <w:pageBreakBefore w:val="0"/>
        <w:widowControl/>
        <w:kinsoku w:val="0"/>
        <w:wordWrap/>
        <w:overflowPunct/>
        <w:topLinePunct w:val="0"/>
        <w:autoSpaceDE w:val="0"/>
        <w:autoSpaceDN w:val="0"/>
        <w:bidi w:val="0"/>
        <w:adjustRightInd w:val="0"/>
        <w:snapToGrid w:val="0"/>
        <w:spacing w:before="66" w:line="262" w:lineRule="auto"/>
        <w:ind w:left="8" w:right="74" w:firstLine="490"/>
        <w:jc w:val="left"/>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b w:val="0"/>
          <w:bCs w:val="0"/>
          <w:color w:val="auto"/>
          <w:sz w:val="22"/>
          <w:szCs w:val="22"/>
          <w:highlight w:val="none"/>
          <w:lang w:val="en-US" w:eastAsia="zh-CN"/>
        </w:rPr>
        <w:t>（2）</w:t>
      </w:r>
      <w:r>
        <w:rPr>
          <w:rFonts w:hint="eastAsia" w:ascii="仿宋" w:hAnsi="仿宋" w:eastAsia="仿宋" w:cs="仿宋"/>
          <w:snapToGrid w:val="0"/>
          <w:color w:val="000000"/>
          <w:spacing w:val="-1"/>
          <w:kern w:val="0"/>
          <w:sz w:val="24"/>
          <w:szCs w:val="24"/>
          <w:lang w:eastAsia="en-US"/>
        </w:rPr>
        <w:t>具有独立承担民事责任的能力：提供在中华人民共和国境内注册的法人或其他组</w:t>
      </w:r>
      <w:r>
        <w:rPr>
          <w:rFonts w:hint="eastAsia" w:ascii="仿宋" w:hAnsi="仿宋" w:eastAsia="仿宋" w:cs="仿宋"/>
          <w:snapToGrid w:val="0"/>
          <w:color w:val="000000"/>
          <w:spacing w:val="-4"/>
          <w:kern w:val="0"/>
          <w:sz w:val="24"/>
          <w:szCs w:val="24"/>
          <w:lang w:eastAsia="en-US"/>
        </w:rPr>
        <w:t>织的营业执照或事业单位法人证书或社会团体法人登记证书复印件，如投标人为自然人</w:t>
      </w:r>
      <w:r>
        <w:rPr>
          <w:rFonts w:hint="eastAsia" w:ascii="仿宋" w:hAnsi="仿宋" w:eastAsia="仿宋" w:cs="仿宋"/>
          <w:snapToGrid w:val="0"/>
          <w:color w:val="000000"/>
          <w:spacing w:val="-5"/>
          <w:kern w:val="0"/>
          <w:sz w:val="24"/>
          <w:szCs w:val="24"/>
          <w:lang w:eastAsia="en-US"/>
        </w:rPr>
        <w:t>的提</w:t>
      </w:r>
      <w:r>
        <w:rPr>
          <w:rFonts w:hint="eastAsia" w:ascii="仿宋" w:hAnsi="仿宋" w:eastAsia="仿宋" w:cs="仿宋"/>
          <w:snapToGrid w:val="0"/>
          <w:color w:val="000000"/>
          <w:spacing w:val="-4"/>
          <w:kern w:val="0"/>
          <w:sz w:val="24"/>
          <w:szCs w:val="24"/>
          <w:lang w:eastAsia="en-US"/>
        </w:rPr>
        <w:t>供自然人身份证明复印件；如国家另有规定的，则从其定。（分支机构投标，须取得具有法</w:t>
      </w:r>
      <w:r>
        <w:rPr>
          <w:rFonts w:hint="eastAsia" w:ascii="仿宋" w:hAnsi="仿宋" w:eastAsia="仿宋" w:cs="仿宋"/>
          <w:snapToGrid w:val="0"/>
          <w:color w:val="000000"/>
          <w:spacing w:val="-9"/>
          <w:kern w:val="0"/>
          <w:sz w:val="24"/>
          <w:szCs w:val="24"/>
          <w:lang w:eastAsia="en-US"/>
        </w:rPr>
        <w:t>人资格的总公司（总所）出具给分支机构的授权书，并提供总公司（总所）和分支机构的营业</w:t>
      </w:r>
      <w:r>
        <w:rPr>
          <w:rFonts w:hint="eastAsia" w:ascii="仿宋" w:hAnsi="仿宋" w:eastAsia="仿宋" w:cs="仿宋"/>
          <w:snapToGrid w:val="0"/>
          <w:color w:val="000000"/>
          <w:spacing w:val="-4"/>
          <w:kern w:val="0"/>
          <w:sz w:val="24"/>
          <w:szCs w:val="24"/>
          <w:lang w:eastAsia="en-US"/>
        </w:rPr>
        <w:t>执照（执业许可证）复印件。已由总公司（总所）授权的，总公司（总所）取得的相关资质</w:t>
      </w:r>
      <w:r>
        <w:rPr>
          <w:rFonts w:hint="eastAsia" w:ascii="仿宋" w:hAnsi="仿宋" w:eastAsia="仿宋" w:cs="仿宋"/>
          <w:snapToGrid w:val="0"/>
          <w:color w:val="000000"/>
          <w:kern w:val="0"/>
          <w:sz w:val="24"/>
          <w:szCs w:val="24"/>
          <w:lang w:eastAsia="en-US"/>
        </w:rPr>
        <w:t>证书对分支机构有效，法律法规或者行业另有规定的除外。</w:t>
      </w:r>
      <w:r>
        <w:rPr>
          <w:rFonts w:hint="eastAsia" w:ascii="仿宋" w:hAnsi="仿宋" w:eastAsia="仿宋" w:cs="仿宋"/>
          <w:snapToGrid w:val="0"/>
          <w:color w:val="000000"/>
          <w:spacing w:val="-16"/>
          <w:kern w:val="0"/>
          <w:sz w:val="24"/>
          <w:szCs w:val="24"/>
          <w:lang w:eastAsia="en-US"/>
        </w:rPr>
        <w:t>）；</w:t>
      </w:r>
    </w:p>
    <w:p w14:paraId="6381DFBB">
      <w:pPr>
        <w:pStyle w:val="28"/>
        <w:keepNext w:val="0"/>
        <w:keepLines w:val="0"/>
        <w:pageBreakBefore w:val="0"/>
        <w:widowControl w:val="0"/>
        <w:kinsoku/>
        <w:wordWrap/>
        <w:overflowPunct/>
        <w:topLinePunct w:val="0"/>
        <w:autoSpaceDE/>
        <w:autoSpaceDN/>
        <w:bidi w:val="0"/>
        <w:adjustRightInd/>
        <w:snapToGrid w:val="0"/>
        <w:spacing w:line="288" w:lineRule="auto"/>
        <w:ind w:left="239" w:leftChars="114" w:firstLine="110" w:firstLineChars="50"/>
        <w:textAlignment w:val="auto"/>
        <w:outlineLvl w:val="2"/>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（3）法定代表人开标应附《法定代表人身份证明书》及身份证复印件，委托代理人开标应附《法定代表人授权委托书》及被委托人身份证复印件；</w:t>
      </w:r>
    </w:p>
    <w:p w14:paraId="5A210043">
      <w:pPr>
        <w:pStyle w:val="28"/>
        <w:keepNext w:val="0"/>
        <w:keepLines w:val="0"/>
        <w:pageBreakBefore w:val="0"/>
        <w:widowControl w:val="0"/>
        <w:kinsoku/>
        <w:wordWrap/>
        <w:overflowPunct/>
        <w:topLinePunct w:val="0"/>
        <w:autoSpaceDE/>
        <w:autoSpaceDN/>
        <w:bidi w:val="0"/>
        <w:adjustRightInd/>
        <w:snapToGrid w:val="0"/>
        <w:spacing w:line="288" w:lineRule="auto"/>
        <w:ind w:left="239" w:leftChars="114" w:firstLine="110" w:firstLineChars="50"/>
        <w:textAlignment w:val="auto"/>
        <w:outlineLvl w:val="2"/>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4）提供本单位缴纳的近三个月（近三个月是指2026年02月-2026年04月）社保缴纳证明（社保证明材料须是社保局出具的缴纳证明或社保系统导出的缴纳汇总凭证；新成立不足三个月的公司以实际发生的为准，如依法不需要缴纳社会保障资金的，应提供相应文件证明）；</w:t>
      </w:r>
    </w:p>
    <w:p w14:paraId="4BF682C8">
      <w:pPr>
        <w:pStyle w:val="28"/>
        <w:keepNext w:val="0"/>
        <w:keepLines w:val="0"/>
        <w:pageBreakBefore w:val="0"/>
        <w:widowControl w:val="0"/>
        <w:kinsoku/>
        <w:wordWrap/>
        <w:overflowPunct/>
        <w:topLinePunct w:val="0"/>
        <w:autoSpaceDE/>
        <w:autoSpaceDN/>
        <w:bidi w:val="0"/>
        <w:adjustRightInd/>
        <w:snapToGrid w:val="0"/>
        <w:spacing w:line="288" w:lineRule="auto"/>
        <w:ind w:left="239" w:leftChars="114" w:firstLine="110" w:firstLineChars="50"/>
        <w:textAlignment w:val="auto"/>
        <w:outlineLvl w:val="2"/>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（5）投标人需提供2024年度或2025年度第三方审计机构出具的财务审计报告（会计周期不满一年的可不提供财务审计报告但需提供银行出具的近三个月的资信证明）；</w:t>
      </w:r>
    </w:p>
    <w:p w14:paraId="1BA5D63E">
      <w:pPr>
        <w:pStyle w:val="28"/>
        <w:keepNext w:val="0"/>
        <w:keepLines w:val="0"/>
        <w:pageBreakBefore w:val="0"/>
        <w:widowControl w:val="0"/>
        <w:kinsoku/>
        <w:wordWrap/>
        <w:overflowPunct/>
        <w:topLinePunct w:val="0"/>
        <w:autoSpaceDE/>
        <w:autoSpaceDN/>
        <w:bidi w:val="0"/>
        <w:adjustRightInd/>
        <w:snapToGrid w:val="0"/>
        <w:spacing w:line="288" w:lineRule="auto"/>
        <w:ind w:left="239" w:leftChars="114" w:firstLine="110" w:firstLineChars="50"/>
        <w:textAlignment w:val="auto"/>
        <w:outlineLvl w:val="2"/>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6）提供税务部门出具近三个月（近三个月是指2026年01月-2026年03月）依法缴纳税收的完税证明（需含增值税、印花税等税种；如当月无需缴税需提供税务机关出具的无欠税证明），新成立公司按实际发生提供税务机关出具的无欠税证明；</w:t>
      </w:r>
    </w:p>
    <w:p w14:paraId="323F3E3E">
      <w:pPr>
        <w:pStyle w:val="28"/>
        <w:keepNext w:val="0"/>
        <w:keepLines w:val="0"/>
        <w:pageBreakBefore w:val="0"/>
        <w:widowControl w:val="0"/>
        <w:kinsoku/>
        <w:wordWrap/>
        <w:overflowPunct/>
        <w:topLinePunct w:val="0"/>
        <w:autoSpaceDE/>
        <w:autoSpaceDN/>
        <w:bidi w:val="0"/>
        <w:adjustRightInd/>
        <w:snapToGrid w:val="0"/>
        <w:spacing w:line="288" w:lineRule="auto"/>
        <w:ind w:left="239" w:leftChars="114" w:firstLine="110" w:firstLineChars="50"/>
        <w:textAlignment w:val="auto"/>
        <w:outlineLvl w:val="2"/>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7）凡拟参加本次招标项目的投标人近三年内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被列入经营异常名录信息、严重违法失信名单（黑名单）信息（尚在处罚期内的）；将拒绝其参与本次政府采购活动；</w:t>
      </w:r>
    </w:p>
    <w:p w14:paraId="3CFDCFC3">
      <w:pPr>
        <w:pStyle w:val="28"/>
        <w:keepNext w:val="0"/>
        <w:keepLines w:val="0"/>
        <w:pageBreakBefore w:val="0"/>
        <w:widowControl w:val="0"/>
        <w:kinsoku/>
        <w:wordWrap/>
        <w:overflowPunct/>
        <w:topLinePunct w:val="0"/>
        <w:autoSpaceDE/>
        <w:autoSpaceDN/>
        <w:bidi w:val="0"/>
        <w:adjustRightInd/>
        <w:snapToGrid w:val="0"/>
        <w:spacing w:line="288" w:lineRule="auto"/>
        <w:ind w:left="239" w:leftChars="114" w:firstLine="110" w:firstLineChars="50"/>
        <w:textAlignment w:val="auto"/>
        <w:outlineLvl w:val="2"/>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（8）企业负责人为同一人或者存在直接控股、管理关系的不同供应商，不得参加同一合同项下的政府采购活动。否则，皆取消投标资格；</w:t>
      </w:r>
    </w:p>
    <w:p w14:paraId="79EEB50C">
      <w:pPr>
        <w:pStyle w:val="28"/>
        <w:keepNext w:val="0"/>
        <w:keepLines w:val="0"/>
        <w:pageBreakBefore w:val="0"/>
        <w:widowControl w:val="0"/>
        <w:kinsoku/>
        <w:wordWrap/>
        <w:overflowPunct/>
        <w:topLinePunct w:val="0"/>
        <w:autoSpaceDE/>
        <w:autoSpaceDN/>
        <w:bidi w:val="0"/>
        <w:adjustRightInd/>
        <w:snapToGrid w:val="0"/>
        <w:spacing w:line="288" w:lineRule="auto"/>
        <w:ind w:left="239" w:leftChars="114" w:firstLine="110" w:firstLineChars="50"/>
        <w:textAlignment w:val="auto"/>
        <w:outlineLvl w:val="2"/>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（9）本项目不接受联合体投标。</w:t>
      </w:r>
    </w:p>
    <w:p w14:paraId="15C7FFFC">
      <w:pPr>
        <w:pStyle w:val="28"/>
        <w:keepNext w:val="0"/>
        <w:keepLines w:val="0"/>
        <w:pageBreakBefore w:val="0"/>
        <w:widowControl w:val="0"/>
        <w:kinsoku/>
        <w:wordWrap/>
        <w:overflowPunct/>
        <w:topLinePunct w:val="0"/>
        <w:autoSpaceDE/>
        <w:autoSpaceDN/>
        <w:bidi w:val="0"/>
        <w:adjustRightInd/>
        <w:snapToGrid w:val="0"/>
        <w:spacing w:line="288" w:lineRule="auto"/>
        <w:ind w:left="239" w:leftChars="114" w:firstLine="110" w:firstLineChars="50"/>
        <w:textAlignment w:val="auto"/>
        <w:outlineLvl w:val="2"/>
        <w:rPr>
          <w:rFonts w:hint="eastAsia" w:ascii="仿宋" w:hAnsi="仿宋" w:eastAsia="仿宋" w:cs="仿宋"/>
          <w:b w:val="0"/>
          <w:bCs w:val="0"/>
          <w:kern w:val="2"/>
          <w:sz w:val="22"/>
          <w:szCs w:val="22"/>
          <w:lang w:val="en-US" w:eastAsia="zh-CN" w:bidi="ar-SA"/>
        </w:rPr>
      </w:pPr>
      <w:r>
        <w:rPr>
          <w:rFonts w:hint="eastAsia" w:ascii="仿宋" w:hAnsi="仿宋" w:eastAsia="仿宋" w:cs="仿宋"/>
          <w:b/>
          <w:bCs/>
          <w:color w:val="auto"/>
          <w:sz w:val="22"/>
          <w:szCs w:val="22"/>
          <w:highlight w:val="none"/>
          <w:lang w:val="en-US" w:eastAsia="zh-CN"/>
        </w:rPr>
        <w:t>3.本项目的特定资格要求：</w:t>
      </w:r>
      <w:r>
        <w:rPr>
          <w:rFonts w:hint="eastAsia" w:ascii="仿宋" w:hAnsi="仿宋" w:eastAsia="仿宋" w:cs="仿宋"/>
          <w:color w:val="000000"/>
          <w:sz w:val="22"/>
          <w:szCs w:val="18"/>
          <w:lang w:val="en-US" w:eastAsia="zh-CN"/>
        </w:rPr>
        <w:t>无</w:t>
      </w:r>
      <w:r>
        <w:rPr>
          <w:rFonts w:hint="eastAsia" w:ascii="仿宋" w:hAnsi="仿宋" w:eastAsia="仿宋" w:cs="仿宋"/>
          <w:color w:val="000000"/>
          <w:sz w:val="22"/>
          <w:szCs w:val="18"/>
        </w:rPr>
        <w:t>；</w:t>
      </w:r>
    </w:p>
    <w:p w14:paraId="38EB8802">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outlineLvl w:val="9"/>
        <w:rPr>
          <w:rFonts w:hint="eastAsia" w:ascii="仿宋" w:hAnsi="仿宋" w:eastAsia="仿宋" w:cs="仿宋"/>
          <w:b/>
          <w:bCs w:val="0"/>
          <w:i w:val="0"/>
          <w:caps w:val="0"/>
          <w:color w:val="auto"/>
          <w:spacing w:val="0"/>
          <w:sz w:val="22"/>
          <w:szCs w:val="22"/>
          <w:highlight w:val="none"/>
          <w:shd w:val="clear" w:color="auto" w:fill="FFFFFF"/>
          <w:lang w:val="en-US" w:eastAsia="zh-CN"/>
        </w:rPr>
      </w:pPr>
      <w:bookmarkStart w:id="18" w:name="_Toc35393793"/>
      <w:bookmarkStart w:id="19" w:name="_Toc35393624"/>
      <w:bookmarkStart w:id="20" w:name="_Toc28359082"/>
      <w:bookmarkStart w:id="21" w:name="_Toc28359005"/>
      <w:r>
        <w:rPr>
          <w:rFonts w:hint="eastAsia" w:ascii="仿宋" w:hAnsi="仿宋" w:eastAsia="仿宋" w:cs="仿宋"/>
          <w:b/>
          <w:bCs w:val="0"/>
          <w:i w:val="0"/>
          <w:caps w:val="0"/>
          <w:color w:val="auto"/>
          <w:spacing w:val="0"/>
          <w:sz w:val="22"/>
          <w:szCs w:val="22"/>
          <w:highlight w:val="none"/>
          <w:shd w:val="clear" w:color="auto" w:fill="FFFFFF"/>
          <w:lang w:val="en-US" w:eastAsia="zh-CN"/>
        </w:rPr>
        <w:t>三、获取采购文件</w:t>
      </w:r>
    </w:p>
    <w:p w14:paraId="34CF6B2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40" w:firstLineChars="200"/>
        <w:textAlignment w:val="auto"/>
        <w:outlineLvl w:val="9"/>
        <w:rPr>
          <w:rFonts w:hint="eastAsia" w:ascii="仿宋" w:hAnsi="仿宋" w:eastAsia="仿宋" w:cs="仿宋"/>
          <w:b w:val="0"/>
          <w:bCs/>
          <w:i w:val="0"/>
          <w:caps w:val="0"/>
          <w:color w:val="auto"/>
          <w:spacing w:val="0"/>
          <w:sz w:val="22"/>
          <w:szCs w:val="22"/>
          <w:highlight w:val="none"/>
          <w:shd w:val="clear" w:color="auto" w:fill="FFFFFF"/>
          <w:lang w:val="en-US" w:eastAsia="zh-CN"/>
        </w:rPr>
      </w:pPr>
      <w:r>
        <w:rPr>
          <w:rFonts w:hint="eastAsia" w:ascii="仿宋" w:hAnsi="仿宋" w:eastAsia="仿宋" w:cs="仿宋"/>
          <w:b w:val="0"/>
          <w:bCs/>
          <w:i w:val="0"/>
          <w:caps w:val="0"/>
          <w:color w:val="auto"/>
          <w:spacing w:val="0"/>
          <w:sz w:val="22"/>
          <w:szCs w:val="22"/>
          <w:highlight w:val="none"/>
          <w:shd w:val="clear" w:color="auto" w:fill="FFFFFF"/>
          <w:lang w:val="en-US" w:eastAsia="zh-CN"/>
        </w:rPr>
        <w:t>时间：</w:t>
      </w:r>
      <w:r>
        <w:rPr>
          <w:rFonts w:hint="eastAsia" w:ascii="仿宋" w:hAnsi="仿宋" w:eastAsia="仿宋" w:cs="仿宋"/>
          <w:b w:val="0"/>
          <w:bCs/>
          <w:i w:val="0"/>
          <w:caps w:val="0"/>
          <w:color w:val="0000FF"/>
          <w:spacing w:val="0"/>
          <w:sz w:val="22"/>
          <w:szCs w:val="22"/>
          <w:highlight w:val="none"/>
          <w:shd w:val="clear" w:color="auto" w:fill="FFFFFF"/>
          <w:lang w:val="en-US" w:eastAsia="zh-CN"/>
        </w:rPr>
        <w:t>2026年05月22日至2026年06月11日</w:t>
      </w:r>
      <w:r>
        <w:rPr>
          <w:rFonts w:hint="eastAsia" w:ascii="仿宋" w:hAnsi="仿宋" w:eastAsia="仿宋" w:cs="仿宋"/>
          <w:b w:val="0"/>
          <w:bCs/>
          <w:i w:val="0"/>
          <w:caps w:val="0"/>
          <w:color w:val="auto"/>
          <w:spacing w:val="0"/>
          <w:sz w:val="22"/>
          <w:szCs w:val="22"/>
          <w:highlight w:val="none"/>
          <w:shd w:val="clear" w:color="auto" w:fill="FFFFFF"/>
          <w:lang w:val="en-US" w:eastAsia="zh-CN"/>
        </w:rPr>
        <w:t>，每天上午00:00至12:00，下午12:00至23:59（北京时间，法定节假日除外）</w:t>
      </w:r>
    </w:p>
    <w:p w14:paraId="24A5FFE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40" w:firstLineChars="200"/>
        <w:textAlignment w:val="auto"/>
        <w:outlineLvl w:val="9"/>
        <w:rPr>
          <w:rFonts w:hint="eastAsia" w:ascii="仿宋" w:hAnsi="仿宋" w:eastAsia="仿宋" w:cs="仿宋"/>
          <w:b w:val="0"/>
          <w:bCs/>
          <w:i w:val="0"/>
          <w:caps w:val="0"/>
          <w:color w:val="auto"/>
          <w:spacing w:val="0"/>
          <w:sz w:val="22"/>
          <w:szCs w:val="22"/>
          <w:highlight w:val="none"/>
          <w:shd w:val="clear" w:color="auto" w:fill="FFFFFF"/>
          <w:lang w:val="en-US" w:eastAsia="zh-CN"/>
        </w:rPr>
      </w:pPr>
      <w:r>
        <w:rPr>
          <w:rFonts w:hint="eastAsia" w:ascii="仿宋" w:hAnsi="仿宋" w:eastAsia="仿宋" w:cs="仿宋"/>
          <w:b w:val="0"/>
          <w:bCs/>
          <w:i w:val="0"/>
          <w:caps w:val="0"/>
          <w:color w:val="auto"/>
          <w:spacing w:val="0"/>
          <w:sz w:val="22"/>
          <w:szCs w:val="22"/>
          <w:highlight w:val="none"/>
          <w:shd w:val="clear" w:color="auto" w:fill="FFFFFF"/>
          <w:lang w:val="en-US" w:eastAsia="zh-CN"/>
        </w:rPr>
        <w:t>地点：</w:t>
      </w:r>
      <w:bookmarkEnd w:id="18"/>
      <w:bookmarkEnd w:id="19"/>
      <w:bookmarkEnd w:id="20"/>
      <w:bookmarkEnd w:id="21"/>
      <w:r>
        <w:rPr>
          <w:rFonts w:hint="eastAsia" w:ascii="仿宋" w:hAnsi="仿宋" w:eastAsia="仿宋" w:cs="仿宋"/>
          <w:sz w:val="22"/>
          <w:szCs w:val="22"/>
          <w:highlight w:val="none"/>
          <w:lang w:val="en-US" w:eastAsia="zh-CN"/>
        </w:rPr>
        <w:t>供应商登陆政采云平台https://www.zcygov.cn/在线申请获取采购文件</w:t>
      </w:r>
      <w:r>
        <w:rPr>
          <w:rFonts w:hint="eastAsia" w:ascii="仿宋" w:hAnsi="仿宋" w:eastAsia="仿宋" w:cs="仿宋"/>
          <w:b w:val="0"/>
          <w:bCs/>
          <w:i w:val="0"/>
          <w:caps w:val="0"/>
          <w:color w:val="auto"/>
          <w:spacing w:val="0"/>
          <w:sz w:val="22"/>
          <w:szCs w:val="22"/>
          <w:highlight w:val="none"/>
          <w:shd w:val="clear" w:color="auto" w:fill="FFFFFF"/>
          <w:lang w:val="en-US" w:eastAsia="zh-CN"/>
        </w:rPr>
        <w:t> </w:t>
      </w:r>
    </w:p>
    <w:p w14:paraId="31C2D37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40" w:firstLineChars="200"/>
        <w:textAlignment w:val="auto"/>
        <w:outlineLvl w:val="9"/>
        <w:rPr>
          <w:rFonts w:hint="eastAsia" w:ascii="仿宋" w:hAnsi="仿宋" w:eastAsia="仿宋" w:cs="仿宋"/>
          <w:b w:val="0"/>
          <w:bCs/>
          <w:i w:val="0"/>
          <w:caps w:val="0"/>
          <w:color w:val="auto"/>
          <w:spacing w:val="0"/>
          <w:sz w:val="22"/>
          <w:szCs w:val="22"/>
          <w:highlight w:val="none"/>
          <w:shd w:val="clear" w:color="auto" w:fill="FFFFFF"/>
          <w:lang w:val="en-US" w:eastAsia="zh-CN"/>
        </w:rPr>
      </w:pPr>
      <w:r>
        <w:rPr>
          <w:rFonts w:hint="eastAsia" w:ascii="仿宋" w:hAnsi="仿宋" w:eastAsia="仿宋" w:cs="仿宋"/>
          <w:b w:val="0"/>
          <w:bCs/>
          <w:i w:val="0"/>
          <w:caps w:val="0"/>
          <w:color w:val="auto"/>
          <w:spacing w:val="0"/>
          <w:sz w:val="22"/>
          <w:szCs w:val="22"/>
          <w:highlight w:val="none"/>
          <w:shd w:val="clear" w:color="auto" w:fill="FFFFFF"/>
          <w:lang w:val="en-US" w:eastAsia="zh-CN"/>
        </w:rPr>
        <w:t>方式：</w:t>
      </w:r>
      <w:bookmarkStart w:id="22" w:name="_Toc35393627"/>
      <w:bookmarkStart w:id="23" w:name="_Toc35393796"/>
      <w:bookmarkStart w:id="24" w:name="_Toc28359085"/>
      <w:bookmarkStart w:id="25" w:name="_Toc28359008"/>
      <w:r>
        <w:rPr>
          <w:rFonts w:hint="eastAsia" w:ascii="仿宋" w:hAnsi="仿宋" w:eastAsia="仿宋" w:cs="仿宋"/>
          <w:b w:val="0"/>
          <w:bCs/>
          <w:i w:val="0"/>
          <w:caps w:val="0"/>
          <w:color w:val="auto"/>
          <w:spacing w:val="0"/>
          <w:sz w:val="22"/>
          <w:szCs w:val="22"/>
          <w:highlight w:val="none"/>
          <w:shd w:val="clear" w:color="auto" w:fill="FFFFFF"/>
          <w:lang w:val="en-US" w:eastAsia="zh-CN"/>
        </w:rPr>
        <w:t>供应商登录政采云平台https://www.zcygov.cn/在线申请获取采购文件（进入“项目采购”应用，在获取采购文件菜单中选择项目，申请获取采购文件）</w:t>
      </w:r>
    </w:p>
    <w:p w14:paraId="21637DE9">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40" w:firstLineChars="200"/>
        <w:textAlignment w:val="auto"/>
        <w:outlineLvl w:val="9"/>
        <w:rPr>
          <w:rFonts w:hint="eastAsia" w:ascii="仿宋" w:hAnsi="仿宋" w:eastAsia="仿宋" w:cs="仿宋"/>
          <w:b w:val="0"/>
          <w:bCs/>
          <w:i w:val="0"/>
          <w:caps w:val="0"/>
          <w:color w:val="auto"/>
          <w:spacing w:val="0"/>
          <w:sz w:val="22"/>
          <w:szCs w:val="22"/>
          <w:highlight w:val="none"/>
          <w:shd w:val="clear" w:color="auto" w:fill="FFFFFF"/>
          <w:lang w:val="en-US" w:eastAsia="zh-CN"/>
        </w:rPr>
      </w:pPr>
      <w:r>
        <w:rPr>
          <w:rFonts w:hint="eastAsia" w:ascii="仿宋" w:hAnsi="仿宋" w:eastAsia="仿宋" w:cs="仿宋"/>
          <w:b w:val="0"/>
          <w:bCs/>
          <w:i w:val="0"/>
          <w:caps w:val="0"/>
          <w:color w:val="auto"/>
          <w:spacing w:val="0"/>
          <w:sz w:val="22"/>
          <w:szCs w:val="22"/>
          <w:highlight w:val="none"/>
          <w:shd w:val="clear" w:color="auto" w:fill="FFFFFF"/>
          <w:lang w:val="en-US" w:eastAsia="zh-CN"/>
        </w:rPr>
        <w:t>售价（元）：0</w:t>
      </w:r>
    </w:p>
    <w:p w14:paraId="0345CF3E">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outlineLvl w:val="9"/>
        <w:rPr>
          <w:rFonts w:hint="eastAsia" w:ascii="仿宋" w:hAnsi="仿宋" w:eastAsia="仿宋" w:cs="仿宋"/>
          <w:b/>
          <w:bCs w:val="0"/>
          <w:i w:val="0"/>
          <w:caps w:val="0"/>
          <w:color w:val="auto"/>
          <w:spacing w:val="0"/>
          <w:sz w:val="22"/>
          <w:szCs w:val="22"/>
          <w:highlight w:val="none"/>
          <w:shd w:val="clear" w:color="auto" w:fill="FFFFFF"/>
          <w:lang w:val="en-US" w:eastAsia="zh-CN"/>
        </w:rPr>
      </w:pPr>
      <w:r>
        <w:rPr>
          <w:rFonts w:hint="eastAsia" w:ascii="仿宋" w:hAnsi="仿宋" w:eastAsia="仿宋" w:cs="仿宋"/>
          <w:b/>
          <w:bCs w:val="0"/>
          <w:i w:val="0"/>
          <w:caps w:val="0"/>
          <w:color w:val="auto"/>
          <w:spacing w:val="0"/>
          <w:sz w:val="22"/>
          <w:szCs w:val="22"/>
          <w:highlight w:val="none"/>
          <w:shd w:val="clear" w:color="auto" w:fill="FFFFFF"/>
          <w:lang w:val="en-US" w:eastAsia="zh-CN"/>
        </w:rPr>
        <w:t>四、提交投标文件截止时间、开标时间和地点</w:t>
      </w:r>
    </w:p>
    <w:p w14:paraId="097BDF54">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40" w:firstLineChars="200"/>
        <w:textAlignment w:val="auto"/>
        <w:outlineLvl w:val="9"/>
        <w:rPr>
          <w:rFonts w:hint="eastAsia" w:ascii="仿宋" w:hAnsi="仿宋" w:eastAsia="仿宋" w:cs="仿宋"/>
          <w:b w:val="0"/>
          <w:bCs/>
          <w:i w:val="0"/>
          <w:caps w:val="0"/>
          <w:color w:val="0000FF"/>
          <w:spacing w:val="0"/>
          <w:sz w:val="22"/>
          <w:szCs w:val="22"/>
          <w:highlight w:val="none"/>
          <w:shd w:val="clear" w:color="auto" w:fill="FFFFFF"/>
          <w:lang w:val="en-US" w:eastAsia="zh-CN"/>
        </w:rPr>
      </w:pPr>
      <w:bookmarkStart w:id="26" w:name="_Toc28359007"/>
      <w:bookmarkStart w:id="27" w:name="_Toc35393625"/>
      <w:bookmarkStart w:id="28" w:name="_Toc28359084"/>
      <w:bookmarkStart w:id="29" w:name="_Toc35393794"/>
      <w:r>
        <w:rPr>
          <w:rFonts w:hint="eastAsia" w:ascii="仿宋" w:hAnsi="仿宋" w:eastAsia="仿宋" w:cs="仿宋"/>
          <w:b w:val="0"/>
          <w:bCs/>
          <w:i w:val="0"/>
          <w:caps w:val="0"/>
          <w:color w:val="0000FF"/>
          <w:spacing w:val="0"/>
          <w:sz w:val="22"/>
          <w:szCs w:val="22"/>
          <w:highlight w:val="none"/>
          <w:shd w:val="clear" w:color="auto" w:fill="FFFFFF"/>
          <w:lang w:val="en-US" w:eastAsia="zh-CN"/>
        </w:rPr>
        <w:t>提交投标文件截止时间：2026年06月12日 11:00（北京时间）</w:t>
      </w:r>
    </w:p>
    <w:p w14:paraId="5948B0B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40" w:firstLineChars="200"/>
        <w:textAlignment w:val="auto"/>
        <w:outlineLvl w:val="9"/>
        <w:rPr>
          <w:rFonts w:hint="eastAsia" w:ascii="仿宋" w:hAnsi="仿宋" w:eastAsia="仿宋" w:cs="仿宋"/>
          <w:b w:val="0"/>
          <w:bCs/>
          <w:i w:val="0"/>
          <w:caps w:val="0"/>
          <w:color w:val="auto"/>
          <w:spacing w:val="0"/>
          <w:sz w:val="22"/>
          <w:szCs w:val="22"/>
          <w:highlight w:val="none"/>
          <w:shd w:val="clear" w:color="auto" w:fill="FFFFFF"/>
          <w:lang w:val="en-US" w:eastAsia="zh-CN"/>
        </w:rPr>
      </w:pPr>
      <w:r>
        <w:rPr>
          <w:rFonts w:hint="eastAsia" w:ascii="仿宋" w:hAnsi="仿宋" w:eastAsia="仿宋" w:cs="仿宋"/>
          <w:b w:val="0"/>
          <w:bCs/>
          <w:i w:val="0"/>
          <w:caps w:val="0"/>
          <w:color w:val="auto"/>
          <w:spacing w:val="0"/>
          <w:sz w:val="22"/>
          <w:szCs w:val="22"/>
          <w:highlight w:val="none"/>
          <w:shd w:val="clear" w:color="auto" w:fill="FFFFFF"/>
          <w:lang w:val="en-US" w:eastAsia="zh-CN"/>
        </w:rPr>
        <w:t>投标地点：新疆政府采购网政采云平台（www.zcygov.cn</w:t>
      </w:r>
      <w:r>
        <w:rPr>
          <w:rFonts w:hint="eastAsia" w:ascii="仿宋" w:hAnsi="仿宋" w:eastAsia="仿宋" w:cs="仿宋"/>
          <w:color w:val="auto"/>
          <w:sz w:val="22"/>
          <w:szCs w:val="22"/>
          <w:highlight w:val="none"/>
          <w:lang w:val="en-US" w:eastAsia="zh-CN"/>
        </w:rPr>
        <w:t>）</w:t>
      </w:r>
    </w:p>
    <w:p w14:paraId="1749B47A">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40" w:firstLineChars="200"/>
        <w:textAlignment w:val="auto"/>
        <w:outlineLvl w:val="9"/>
        <w:rPr>
          <w:rFonts w:hint="eastAsia" w:ascii="仿宋" w:hAnsi="仿宋" w:eastAsia="仿宋" w:cs="仿宋"/>
          <w:b w:val="0"/>
          <w:bCs/>
          <w:i w:val="0"/>
          <w:caps w:val="0"/>
          <w:color w:val="auto"/>
          <w:spacing w:val="0"/>
          <w:sz w:val="22"/>
          <w:szCs w:val="22"/>
          <w:highlight w:val="none"/>
          <w:shd w:val="clear" w:color="auto" w:fill="FFFFFF"/>
          <w:lang w:val="en-US" w:eastAsia="zh-CN"/>
        </w:rPr>
      </w:pPr>
      <w:r>
        <w:rPr>
          <w:rFonts w:hint="eastAsia" w:ascii="仿宋" w:hAnsi="仿宋" w:eastAsia="仿宋" w:cs="仿宋"/>
          <w:b w:val="0"/>
          <w:bCs/>
          <w:i w:val="0"/>
          <w:caps w:val="0"/>
          <w:color w:val="0000FF"/>
          <w:spacing w:val="0"/>
          <w:sz w:val="22"/>
          <w:szCs w:val="22"/>
          <w:highlight w:val="none"/>
          <w:shd w:val="clear" w:color="auto" w:fill="FFFFFF"/>
          <w:lang w:val="en-US" w:eastAsia="zh-CN"/>
        </w:rPr>
        <w:t>开标时间：2026年06月12日 11:00（北京时间）</w:t>
      </w:r>
    </w:p>
    <w:p w14:paraId="7515B9EE">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40" w:firstLineChars="200"/>
        <w:textAlignment w:val="auto"/>
        <w:outlineLvl w:val="9"/>
        <w:rPr>
          <w:rFonts w:hint="eastAsia" w:ascii="仿宋" w:hAnsi="仿宋" w:eastAsia="仿宋" w:cs="仿宋"/>
          <w:b w:val="0"/>
          <w:bCs/>
          <w:i w:val="0"/>
          <w:caps w:val="0"/>
          <w:color w:val="auto"/>
          <w:spacing w:val="0"/>
          <w:sz w:val="22"/>
          <w:szCs w:val="22"/>
          <w:highlight w:val="none"/>
          <w:shd w:val="clear" w:color="auto" w:fill="FFFFFF"/>
          <w:lang w:val="en-US" w:eastAsia="zh-CN"/>
        </w:rPr>
      </w:pPr>
      <w:r>
        <w:rPr>
          <w:rFonts w:hint="eastAsia" w:ascii="仿宋" w:hAnsi="仿宋" w:eastAsia="仿宋" w:cs="仿宋"/>
          <w:b w:val="0"/>
          <w:bCs/>
          <w:i w:val="0"/>
          <w:caps w:val="0"/>
          <w:color w:val="auto"/>
          <w:spacing w:val="0"/>
          <w:sz w:val="22"/>
          <w:szCs w:val="22"/>
          <w:highlight w:val="none"/>
          <w:shd w:val="clear" w:color="auto" w:fill="FFFFFF"/>
          <w:lang w:val="en-US" w:eastAsia="zh-CN"/>
        </w:rPr>
        <w:t>开标地点：政采云平台不见面开标大厅（网址：https://www.zcygov.cn/）</w:t>
      </w:r>
    </w:p>
    <w:p w14:paraId="691B3F8F">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outlineLvl w:val="9"/>
        <w:rPr>
          <w:rFonts w:hint="eastAsia" w:ascii="仿宋" w:hAnsi="仿宋" w:eastAsia="仿宋" w:cs="仿宋"/>
          <w:b/>
          <w:bCs w:val="0"/>
          <w:i w:val="0"/>
          <w:caps w:val="0"/>
          <w:color w:val="auto"/>
          <w:spacing w:val="0"/>
          <w:sz w:val="22"/>
          <w:szCs w:val="22"/>
          <w:highlight w:val="none"/>
          <w:shd w:val="clear" w:color="auto" w:fill="FFFFFF"/>
          <w:lang w:val="en-US" w:eastAsia="zh-CN"/>
        </w:rPr>
      </w:pPr>
      <w:r>
        <w:rPr>
          <w:rFonts w:hint="eastAsia" w:ascii="仿宋" w:hAnsi="仿宋" w:eastAsia="仿宋" w:cs="仿宋"/>
          <w:b/>
          <w:bCs w:val="0"/>
          <w:i w:val="0"/>
          <w:caps w:val="0"/>
          <w:color w:val="auto"/>
          <w:spacing w:val="0"/>
          <w:sz w:val="22"/>
          <w:szCs w:val="22"/>
          <w:highlight w:val="none"/>
          <w:shd w:val="clear" w:color="auto" w:fill="FFFFFF"/>
          <w:lang w:val="en-US" w:eastAsia="zh-CN"/>
        </w:rPr>
        <w:t>五、公告期限</w:t>
      </w:r>
      <w:bookmarkEnd w:id="26"/>
      <w:bookmarkEnd w:id="27"/>
      <w:bookmarkEnd w:id="28"/>
      <w:bookmarkEnd w:id="29"/>
    </w:p>
    <w:p w14:paraId="2A0A8009">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40" w:firstLineChars="200"/>
        <w:textAlignment w:val="auto"/>
        <w:outlineLvl w:val="9"/>
        <w:rPr>
          <w:rFonts w:hint="eastAsia" w:ascii="仿宋" w:hAnsi="仿宋" w:eastAsia="仿宋" w:cs="仿宋"/>
          <w:b w:val="0"/>
          <w:bCs/>
          <w:i w:val="0"/>
          <w:caps w:val="0"/>
          <w:color w:val="auto"/>
          <w:spacing w:val="0"/>
          <w:sz w:val="22"/>
          <w:szCs w:val="22"/>
          <w:highlight w:val="none"/>
          <w:shd w:val="clear" w:color="auto" w:fill="FFFFFF"/>
          <w:lang w:val="en-US" w:eastAsia="zh-CN"/>
        </w:rPr>
      </w:pPr>
      <w:r>
        <w:rPr>
          <w:rFonts w:hint="eastAsia" w:ascii="仿宋" w:hAnsi="仿宋" w:eastAsia="仿宋" w:cs="仿宋"/>
          <w:b w:val="0"/>
          <w:bCs/>
          <w:i w:val="0"/>
          <w:caps w:val="0"/>
          <w:color w:val="auto"/>
          <w:spacing w:val="0"/>
          <w:sz w:val="22"/>
          <w:szCs w:val="22"/>
          <w:highlight w:val="none"/>
          <w:shd w:val="clear" w:color="auto" w:fill="FFFFFF"/>
          <w:lang w:val="en-US" w:eastAsia="zh-CN"/>
        </w:rPr>
        <w:t>自本公告发布之日起5个工作日</w:t>
      </w:r>
    </w:p>
    <w:p w14:paraId="496AE878">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outlineLvl w:val="9"/>
        <w:rPr>
          <w:rFonts w:hint="eastAsia" w:ascii="仿宋" w:hAnsi="仿宋" w:eastAsia="仿宋" w:cs="仿宋"/>
          <w:b/>
          <w:bCs w:val="0"/>
          <w:i w:val="0"/>
          <w:caps w:val="0"/>
          <w:color w:val="auto"/>
          <w:spacing w:val="0"/>
          <w:sz w:val="22"/>
          <w:szCs w:val="22"/>
          <w:highlight w:val="none"/>
          <w:shd w:val="clear" w:color="auto" w:fill="FFFFFF"/>
          <w:lang w:val="en-US" w:eastAsia="zh-CN"/>
        </w:rPr>
      </w:pPr>
      <w:bookmarkStart w:id="30" w:name="_Toc35393795"/>
      <w:bookmarkStart w:id="31" w:name="_Toc35393626"/>
      <w:r>
        <w:rPr>
          <w:rFonts w:hint="eastAsia" w:ascii="仿宋" w:hAnsi="仿宋" w:eastAsia="仿宋" w:cs="仿宋"/>
          <w:b/>
          <w:bCs w:val="0"/>
          <w:i w:val="0"/>
          <w:caps w:val="0"/>
          <w:color w:val="auto"/>
          <w:spacing w:val="0"/>
          <w:sz w:val="22"/>
          <w:szCs w:val="22"/>
          <w:highlight w:val="none"/>
          <w:shd w:val="clear" w:color="auto" w:fill="FFFFFF"/>
          <w:lang w:val="en-US" w:eastAsia="zh-CN"/>
        </w:rPr>
        <w:t>六、其他补充事宜</w:t>
      </w:r>
      <w:bookmarkEnd w:id="30"/>
      <w:bookmarkEnd w:id="31"/>
    </w:p>
    <w:bookmarkEnd w:id="22"/>
    <w:bookmarkEnd w:id="23"/>
    <w:bookmarkEnd w:id="24"/>
    <w:bookmarkEnd w:id="25"/>
    <w:p w14:paraId="134EBFF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40" w:firstLineChars="200"/>
        <w:textAlignment w:val="auto"/>
        <w:outlineLvl w:val="9"/>
        <w:rPr>
          <w:rFonts w:hint="eastAsia" w:ascii="仿宋" w:hAnsi="仿宋" w:eastAsia="仿宋" w:cs="仿宋"/>
          <w:b w:val="0"/>
          <w:bCs/>
          <w:i w:val="0"/>
          <w:caps w:val="0"/>
          <w:color w:val="auto"/>
          <w:spacing w:val="0"/>
          <w:sz w:val="22"/>
          <w:szCs w:val="22"/>
          <w:highlight w:val="none"/>
          <w:shd w:val="clear" w:color="auto" w:fill="FFFFFF"/>
          <w:lang w:val="en-US" w:eastAsia="zh-CN"/>
        </w:rPr>
      </w:pPr>
      <w:r>
        <w:rPr>
          <w:rFonts w:hint="eastAsia" w:ascii="仿宋" w:hAnsi="仿宋" w:eastAsia="仿宋" w:cs="仿宋"/>
          <w:b w:val="0"/>
          <w:bCs/>
          <w:i w:val="0"/>
          <w:caps w:val="0"/>
          <w:color w:val="auto"/>
          <w:spacing w:val="0"/>
          <w:sz w:val="22"/>
          <w:szCs w:val="22"/>
          <w:highlight w:val="none"/>
          <w:shd w:val="clear" w:color="auto" w:fill="FFFFFF"/>
          <w:lang w:val="en-US" w:eastAsia="zh-CN"/>
        </w:rPr>
        <w:t> 1、本项目实行网上投标，采用电子投标文件。若供应商参与投标，自行承担投标一切费用；</w:t>
      </w:r>
    </w:p>
    <w:p w14:paraId="22444D2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40" w:firstLineChars="200"/>
        <w:textAlignment w:val="auto"/>
        <w:outlineLvl w:val="9"/>
        <w:rPr>
          <w:rFonts w:hint="eastAsia" w:ascii="仿宋" w:hAnsi="仿宋" w:eastAsia="仿宋" w:cs="仿宋"/>
          <w:b w:val="0"/>
          <w:bCs/>
          <w:i w:val="0"/>
          <w:caps w:val="0"/>
          <w:color w:val="auto"/>
          <w:spacing w:val="0"/>
          <w:sz w:val="22"/>
          <w:szCs w:val="22"/>
          <w:highlight w:val="none"/>
          <w:shd w:val="clear" w:color="auto" w:fill="FFFFFF"/>
          <w:lang w:val="en-US" w:eastAsia="zh-CN"/>
        </w:rPr>
      </w:pPr>
      <w:r>
        <w:rPr>
          <w:rFonts w:hint="eastAsia" w:ascii="仿宋" w:hAnsi="仿宋" w:eastAsia="仿宋" w:cs="仿宋"/>
          <w:b w:val="0"/>
          <w:bCs/>
          <w:i w:val="0"/>
          <w:caps w:val="0"/>
          <w:color w:val="auto"/>
          <w:spacing w:val="0"/>
          <w:sz w:val="22"/>
          <w:szCs w:val="22"/>
          <w:highlight w:val="none"/>
          <w:shd w:val="clear" w:color="auto" w:fill="FFFFFF"/>
          <w:lang w:val="en-US" w:eastAsia="zh-CN"/>
        </w:rPr>
        <w:t>2、各供应商应在开标前应确保成为政采云平台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3EB0807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40" w:firstLineChars="200"/>
        <w:textAlignment w:val="auto"/>
        <w:outlineLvl w:val="9"/>
        <w:rPr>
          <w:rFonts w:hint="eastAsia" w:ascii="仿宋" w:hAnsi="仿宋" w:eastAsia="仿宋" w:cs="仿宋"/>
          <w:b w:val="0"/>
          <w:bCs/>
          <w:i w:val="0"/>
          <w:caps w:val="0"/>
          <w:color w:val="auto"/>
          <w:spacing w:val="0"/>
          <w:sz w:val="22"/>
          <w:szCs w:val="22"/>
          <w:highlight w:val="none"/>
          <w:shd w:val="clear" w:color="auto" w:fill="FFFFFF"/>
          <w:lang w:val="en-US" w:eastAsia="zh-CN"/>
        </w:rPr>
      </w:pPr>
      <w:r>
        <w:rPr>
          <w:rFonts w:hint="eastAsia" w:ascii="仿宋" w:hAnsi="仿宋" w:eastAsia="仿宋" w:cs="仿宋"/>
          <w:b w:val="0"/>
          <w:bCs/>
          <w:i w:val="0"/>
          <w:caps w:val="0"/>
          <w:color w:val="auto"/>
          <w:spacing w:val="0"/>
          <w:sz w:val="22"/>
          <w:szCs w:val="22"/>
          <w:highlight w:val="none"/>
          <w:shd w:val="clear" w:color="auto" w:fill="FFFFFF"/>
          <w:lang w:val="en-US" w:eastAsia="zh-CN"/>
        </w:rPr>
        <w:t>3、供应商将政采云电子交易客户端下载、安装完成后，可通过账号密码或CA登录客户端进行投标文件的制作。在使用政采云投标客户端时，建议使用WIN7（64位）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4B35970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40" w:firstLineChars="200"/>
        <w:textAlignment w:val="auto"/>
        <w:outlineLvl w:val="9"/>
        <w:rPr>
          <w:rFonts w:hint="eastAsia" w:ascii="仿宋" w:hAnsi="仿宋" w:eastAsia="仿宋" w:cs="仿宋"/>
          <w:b w:val="0"/>
          <w:bCs/>
          <w:i w:val="0"/>
          <w:caps w:val="0"/>
          <w:color w:val="auto"/>
          <w:spacing w:val="0"/>
          <w:sz w:val="22"/>
          <w:szCs w:val="22"/>
          <w:highlight w:val="none"/>
          <w:shd w:val="clear" w:color="auto" w:fill="FFFFFF"/>
          <w:lang w:val="en-US" w:eastAsia="zh-CN"/>
        </w:rPr>
      </w:pPr>
      <w:r>
        <w:rPr>
          <w:rFonts w:hint="eastAsia" w:ascii="仿宋" w:hAnsi="仿宋" w:eastAsia="仿宋" w:cs="仿宋"/>
          <w:b w:val="0"/>
          <w:bCs/>
          <w:i w:val="0"/>
          <w:caps w:val="0"/>
          <w:color w:val="auto"/>
          <w:spacing w:val="0"/>
          <w:sz w:val="22"/>
          <w:szCs w:val="22"/>
          <w:highlight w:val="none"/>
          <w:shd w:val="clear" w:color="auto" w:fill="FFFFFF"/>
          <w:lang w:val="en-US" w:eastAsia="zh-CN"/>
        </w:rPr>
        <w:t>4、供应商在开标时须使用制作加密电子投标文件所使用的CA锁及电脑，电脑须提前配置好浏览器（使用谷歌浏览器），并确保开标期间电脑网络环境畅通，以便开标时解锁；</w:t>
      </w:r>
    </w:p>
    <w:p w14:paraId="6870062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40" w:firstLineChars="200"/>
        <w:textAlignment w:val="auto"/>
        <w:outlineLvl w:val="9"/>
        <w:rPr>
          <w:rFonts w:hint="eastAsia" w:ascii="仿宋" w:hAnsi="仿宋" w:eastAsia="仿宋" w:cs="仿宋"/>
          <w:b/>
          <w:bCs w:val="0"/>
          <w:i w:val="0"/>
          <w:caps w:val="0"/>
          <w:color w:val="auto"/>
          <w:spacing w:val="0"/>
          <w:sz w:val="22"/>
          <w:szCs w:val="22"/>
          <w:highlight w:val="none"/>
          <w:shd w:val="clear" w:color="auto" w:fill="FFFFFF"/>
          <w:lang w:val="en-US" w:eastAsia="zh-CN"/>
        </w:rPr>
      </w:pPr>
      <w:r>
        <w:rPr>
          <w:rFonts w:hint="eastAsia" w:ascii="仿宋" w:hAnsi="仿宋" w:eastAsia="仿宋" w:cs="仿宋"/>
          <w:b w:val="0"/>
          <w:bCs/>
          <w:i w:val="0"/>
          <w:caps w:val="0"/>
          <w:color w:val="auto"/>
          <w:spacing w:val="0"/>
          <w:sz w:val="22"/>
          <w:szCs w:val="22"/>
          <w:highlight w:val="none"/>
          <w:shd w:val="clear" w:color="auto" w:fill="FFFFFF"/>
          <w:lang w:val="en-US" w:eastAsia="zh-CN"/>
        </w:rPr>
        <w:t>5、为了保证开评标顺利进行，政采云线上开标功能完全实现，供应商开标所使用的电脑设备须具有视频及语音功能。</w:t>
      </w:r>
    </w:p>
    <w:p w14:paraId="5929111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auto"/>
        <w:outlineLvl w:val="9"/>
        <w:rPr>
          <w:rFonts w:hint="eastAsia" w:ascii="仿宋" w:hAnsi="仿宋" w:eastAsia="仿宋" w:cs="仿宋"/>
          <w:b/>
          <w:bCs w:val="0"/>
          <w:i w:val="0"/>
          <w:caps w:val="0"/>
          <w:color w:val="auto"/>
          <w:spacing w:val="0"/>
          <w:sz w:val="22"/>
          <w:szCs w:val="22"/>
          <w:highlight w:val="none"/>
          <w:shd w:val="clear" w:color="auto" w:fill="FFFFFF"/>
          <w:lang w:val="en-US" w:eastAsia="zh-CN"/>
        </w:rPr>
      </w:pPr>
      <w:r>
        <w:rPr>
          <w:rFonts w:hint="eastAsia" w:ascii="仿宋" w:hAnsi="仿宋" w:eastAsia="仿宋" w:cs="仿宋"/>
          <w:b/>
          <w:bCs w:val="0"/>
          <w:i w:val="0"/>
          <w:caps w:val="0"/>
          <w:color w:val="auto"/>
          <w:spacing w:val="0"/>
          <w:sz w:val="22"/>
          <w:szCs w:val="22"/>
          <w:highlight w:val="none"/>
          <w:shd w:val="clear" w:color="auto" w:fill="FFFFFF"/>
          <w:lang w:val="en-US" w:eastAsia="zh-CN"/>
        </w:rPr>
        <w:t>特别提示：</w:t>
      </w:r>
    </w:p>
    <w:p w14:paraId="28E8525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40" w:firstLineChars="200"/>
        <w:jc w:val="left"/>
        <w:textAlignment w:val="auto"/>
        <w:outlineLvl w:val="9"/>
        <w:rPr>
          <w:rFonts w:hint="eastAsia" w:ascii="仿宋" w:hAnsi="仿宋" w:eastAsia="仿宋" w:cs="仿宋"/>
          <w:b w:val="0"/>
          <w:bCs/>
          <w:i w:val="0"/>
          <w:caps w:val="0"/>
          <w:color w:val="auto"/>
          <w:spacing w:val="0"/>
          <w:sz w:val="22"/>
          <w:szCs w:val="22"/>
          <w:highlight w:val="none"/>
          <w:shd w:val="clear" w:color="auto" w:fill="FFFFFF"/>
          <w:lang w:val="en-US" w:eastAsia="zh-CN"/>
        </w:rPr>
      </w:pPr>
      <w:r>
        <w:rPr>
          <w:rFonts w:hint="eastAsia" w:ascii="仿宋" w:hAnsi="仿宋" w:eastAsia="仿宋" w:cs="仿宋"/>
          <w:b w:val="0"/>
          <w:bCs/>
          <w:i w:val="0"/>
          <w:caps w:val="0"/>
          <w:color w:val="auto"/>
          <w:spacing w:val="0"/>
          <w:sz w:val="22"/>
          <w:szCs w:val="22"/>
          <w:highlight w:val="none"/>
          <w:shd w:val="clear" w:color="auto" w:fill="FFFFFF"/>
          <w:lang w:val="en-US" w:eastAsia="zh-CN"/>
        </w:rPr>
        <w:t>1、采购限额标准以上，200万元以下的货物和服务采购项目、400万元以下的工程采购项目，适宜由中小企业提供的，采购人应当专门面向中小企业采购。</w:t>
      </w:r>
    </w:p>
    <w:p w14:paraId="19C56F2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40" w:firstLineChars="200"/>
        <w:jc w:val="left"/>
        <w:textAlignment w:val="auto"/>
        <w:outlineLvl w:val="9"/>
        <w:rPr>
          <w:rFonts w:hint="eastAsia" w:ascii="仿宋" w:hAnsi="仿宋" w:eastAsia="仿宋" w:cs="仿宋"/>
          <w:b w:val="0"/>
          <w:bCs/>
          <w:i w:val="0"/>
          <w:caps w:val="0"/>
          <w:color w:val="auto"/>
          <w:spacing w:val="0"/>
          <w:sz w:val="22"/>
          <w:szCs w:val="22"/>
          <w:highlight w:val="none"/>
          <w:shd w:val="clear" w:color="auto" w:fill="FFFFFF"/>
          <w:lang w:val="en-US" w:eastAsia="zh-CN"/>
        </w:rPr>
      </w:pPr>
      <w:r>
        <w:rPr>
          <w:rFonts w:hint="eastAsia" w:ascii="仿宋" w:hAnsi="仿宋" w:eastAsia="仿宋" w:cs="仿宋"/>
          <w:b w:val="0"/>
          <w:bCs/>
          <w:i w:val="0"/>
          <w:caps w:val="0"/>
          <w:color w:val="auto"/>
          <w:spacing w:val="0"/>
          <w:sz w:val="22"/>
          <w:szCs w:val="22"/>
          <w:highlight w:val="none"/>
          <w:shd w:val="clear" w:color="auto" w:fill="FFFFFF"/>
          <w:lang w:val="en-US" w:eastAsia="zh-CN"/>
        </w:rPr>
        <w:t>2、超过200万元的货物和服务采购项目，预留该部分采购项目预算总额的30%以上专门面向中小企业采购，其中预留给小微企业的比例不低于60%。</w:t>
      </w:r>
    </w:p>
    <w:p w14:paraId="432C52D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40" w:firstLineChars="200"/>
        <w:jc w:val="left"/>
        <w:textAlignment w:val="auto"/>
        <w:outlineLvl w:val="9"/>
        <w:rPr>
          <w:rFonts w:hint="eastAsia" w:ascii="仿宋" w:hAnsi="仿宋" w:eastAsia="仿宋" w:cs="仿宋"/>
          <w:b w:val="0"/>
          <w:bCs/>
          <w:i w:val="0"/>
          <w:caps w:val="0"/>
          <w:color w:val="auto"/>
          <w:spacing w:val="0"/>
          <w:sz w:val="22"/>
          <w:szCs w:val="22"/>
          <w:highlight w:val="none"/>
          <w:shd w:val="clear" w:color="auto" w:fill="FFFFFF"/>
          <w:lang w:val="en-US" w:eastAsia="zh-CN"/>
        </w:rPr>
      </w:pPr>
      <w:r>
        <w:rPr>
          <w:rFonts w:hint="eastAsia" w:ascii="仿宋" w:hAnsi="仿宋" w:eastAsia="仿宋" w:cs="仿宋"/>
          <w:b w:val="0"/>
          <w:bCs/>
          <w:i w:val="0"/>
          <w:caps w:val="0"/>
          <w:color w:val="auto"/>
          <w:spacing w:val="0"/>
          <w:sz w:val="22"/>
          <w:szCs w:val="22"/>
          <w:highlight w:val="none"/>
          <w:shd w:val="clear" w:color="auto" w:fill="FFFFFF"/>
          <w:lang w:val="en-US" w:eastAsia="zh-CN"/>
        </w:rPr>
        <w:t>3、超过400万元的工程采购项目中适宜由中小企业提供的，预留该部分采购项目预算总额的40%以上专门面向中小企业采购，其中预留给小微企业的比例不低于60%。</w:t>
      </w:r>
    </w:p>
    <w:p w14:paraId="6450919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40" w:firstLineChars="200"/>
        <w:jc w:val="left"/>
        <w:textAlignment w:val="auto"/>
        <w:outlineLvl w:val="9"/>
        <w:rPr>
          <w:rFonts w:hint="eastAsia" w:ascii="仿宋" w:hAnsi="仿宋" w:eastAsia="仿宋" w:cs="仿宋"/>
          <w:b w:val="0"/>
          <w:bCs/>
          <w:i w:val="0"/>
          <w:caps w:val="0"/>
          <w:color w:val="auto"/>
          <w:spacing w:val="0"/>
          <w:sz w:val="22"/>
          <w:szCs w:val="22"/>
          <w:highlight w:val="none"/>
          <w:shd w:val="clear" w:color="auto" w:fill="FFFFFF"/>
          <w:lang w:val="en-US" w:eastAsia="zh-CN"/>
        </w:rPr>
      </w:pPr>
      <w:r>
        <w:rPr>
          <w:rFonts w:hint="eastAsia" w:ascii="仿宋" w:hAnsi="仿宋" w:eastAsia="仿宋" w:cs="仿宋"/>
          <w:b w:val="0"/>
          <w:bCs/>
          <w:i w:val="0"/>
          <w:caps w:val="0"/>
          <w:color w:val="auto"/>
          <w:spacing w:val="0"/>
          <w:sz w:val="22"/>
          <w:szCs w:val="22"/>
          <w:highlight w:val="none"/>
          <w:shd w:val="clear" w:color="auto" w:fill="FFFFFF"/>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CC91C2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40" w:firstLineChars="200"/>
        <w:textAlignment w:val="auto"/>
        <w:outlineLvl w:val="9"/>
        <w:rPr>
          <w:rFonts w:hint="eastAsia" w:ascii="仿宋" w:hAnsi="仿宋" w:eastAsia="仿宋" w:cs="仿宋"/>
          <w:b w:val="0"/>
          <w:bCs/>
          <w:i w:val="0"/>
          <w:caps w:val="0"/>
          <w:color w:val="auto"/>
          <w:spacing w:val="0"/>
          <w:sz w:val="22"/>
          <w:szCs w:val="22"/>
          <w:highlight w:val="none"/>
          <w:shd w:val="clear" w:color="auto" w:fill="FFFFFF"/>
          <w:lang w:val="en-US" w:eastAsia="zh-CN"/>
        </w:rPr>
      </w:pPr>
      <w:r>
        <w:rPr>
          <w:rFonts w:hint="eastAsia" w:ascii="仿宋" w:hAnsi="仿宋" w:eastAsia="仿宋" w:cs="仿宋"/>
          <w:b w:val="0"/>
          <w:bCs/>
          <w:i w:val="0"/>
          <w:caps w:val="0"/>
          <w:color w:val="auto"/>
          <w:spacing w:val="0"/>
          <w:sz w:val="22"/>
          <w:szCs w:val="22"/>
          <w:highlight w:val="none"/>
          <w:shd w:val="clear" w:color="auto" w:fill="FFFFFF"/>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76CC6D7">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outlineLvl w:val="9"/>
        <w:rPr>
          <w:rFonts w:hint="eastAsia" w:ascii="仿宋" w:hAnsi="仿宋" w:eastAsia="仿宋" w:cs="仿宋"/>
          <w:b w:val="0"/>
          <w:bCs/>
          <w:i w:val="0"/>
          <w:caps w:val="0"/>
          <w:color w:val="auto"/>
          <w:spacing w:val="0"/>
          <w:sz w:val="22"/>
          <w:szCs w:val="22"/>
          <w:highlight w:val="none"/>
          <w:shd w:val="clear" w:color="auto" w:fill="FFFFFF"/>
          <w:lang w:val="en-US" w:eastAsia="zh-CN"/>
        </w:rPr>
      </w:pPr>
      <w:r>
        <w:rPr>
          <w:rFonts w:hint="eastAsia" w:ascii="仿宋" w:hAnsi="仿宋" w:eastAsia="仿宋" w:cs="仿宋"/>
          <w:b/>
          <w:bCs w:val="0"/>
          <w:i w:val="0"/>
          <w:caps w:val="0"/>
          <w:color w:val="auto"/>
          <w:spacing w:val="0"/>
          <w:sz w:val="22"/>
          <w:szCs w:val="22"/>
          <w:highlight w:val="none"/>
          <w:shd w:val="clear" w:color="auto" w:fill="FFFFFF"/>
          <w:lang w:val="en-US" w:eastAsia="zh-CN"/>
        </w:rPr>
        <w:t>七、对本次招标提出询问，请按以下方式联系</w:t>
      </w:r>
    </w:p>
    <w:p w14:paraId="05F4008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40" w:firstLineChars="200"/>
        <w:textAlignment w:val="auto"/>
        <w:outlineLvl w:val="9"/>
        <w:rPr>
          <w:rFonts w:hint="eastAsia" w:ascii="仿宋" w:hAnsi="仿宋" w:eastAsia="仿宋" w:cs="仿宋"/>
          <w:b w:val="0"/>
          <w:bCs/>
          <w:i w:val="0"/>
          <w:caps w:val="0"/>
          <w:color w:val="auto"/>
          <w:spacing w:val="0"/>
          <w:sz w:val="22"/>
          <w:szCs w:val="22"/>
          <w:highlight w:val="none"/>
          <w:shd w:val="clear" w:color="auto" w:fill="FFFFFF"/>
          <w:lang w:val="en-US" w:eastAsia="zh-CN"/>
        </w:rPr>
      </w:pPr>
      <w:r>
        <w:rPr>
          <w:rFonts w:hint="eastAsia" w:ascii="仿宋" w:hAnsi="仿宋" w:eastAsia="仿宋" w:cs="仿宋"/>
          <w:b w:val="0"/>
          <w:bCs/>
          <w:i w:val="0"/>
          <w:caps w:val="0"/>
          <w:color w:val="auto"/>
          <w:spacing w:val="0"/>
          <w:sz w:val="22"/>
          <w:szCs w:val="22"/>
          <w:highlight w:val="none"/>
          <w:shd w:val="clear" w:color="auto" w:fill="FFFFFF"/>
          <w:lang w:val="en-US" w:eastAsia="zh-CN"/>
        </w:rPr>
        <w:t>1.采购人信息</w:t>
      </w:r>
    </w:p>
    <w:p w14:paraId="410A9EE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40" w:firstLineChars="200"/>
        <w:textAlignment w:val="auto"/>
        <w:outlineLvl w:val="9"/>
        <w:rPr>
          <w:rFonts w:hint="eastAsia" w:ascii="仿宋" w:hAnsi="仿宋" w:eastAsia="仿宋" w:cs="仿宋"/>
          <w:b w:val="0"/>
          <w:bCs/>
          <w:i w:val="0"/>
          <w:caps w:val="0"/>
          <w:color w:val="auto"/>
          <w:spacing w:val="0"/>
          <w:sz w:val="22"/>
          <w:szCs w:val="22"/>
          <w:highlight w:val="none"/>
          <w:shd w:val="clear" w:color="auto" w:fill="FFFFFF"/>
          <w:lang w:val="en-US" w:eastAsia="zh-CN"/>
        </w:rPr>
      </w:pPr>
      <w:r>
        <w:rPr>
          <w:rFonts w:hint="eastAsia" w:ascii="仿宋" w:hAnsi="仿宋" w:eastAsia="仿宋" w:cs="仿宋"/>
          <w:b w:val="0"/>
          <w:bCs/>
          <w:i w:val="0"/>
          <w:caps w:val="0"/>
          <w:color w:val="auto"/>
          <w:spacing w:val="0"/>
          <w:sz w:val="22"/>
          <w:szCs w:val="22"/>
          <w:highlight w:val="none"/>
          <w:shd w:val="clear" w:color="auto" w:fill="FFFFFF"/>
          <w:lang w:val="en-US" w:eastAsia="zh-CN"/>
        </w:rPr>
        <w:t>名    称：</w:t>
      </w:r>
      <w:r>
        <w:rPr>
          <w:rFonts w:hint="eastAsia" w:ascii="仿宋" w:hAnsi="仿宋" w:eastAsia="仿宋" w:cs="仿宋"/>
          <w:b w:val="0"/>
          <w:color w:val="auto"/>
          <w:kern w:val="2"/>
          <w:sz w:val="22"/>
          <w:szCs w:val="22"/>
          <w:highlight w:val="none"/>
          <w:lang w:val="en-US" w:eastAsia="zh-CN" w:bidi="ar-SA"/>
        </w:rPr>
        <w:t>和田某单位</w:t>
      </w:r>
    </w:p>
    <w:p w14:paraId="17AC306D">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40" w:firstLineChars="200"/>
        <w:textAlignment w:val="auto"/>
        <w:outlineLvl w:val="9"/>
        <w:rPr>
          <w:rFonts w:hint="eastAsia" w:ascii="仿宋" w:hAnsi="仿宋" w:eastAsia="仿宋" w:cs="仿宋"/>
          <w:b w:val="0"/>
          <w:bCs/>
          <w:i w:val="0"/>
          <w:caps w:val="0"/>
          <w:color w:val="auto"/>
          <w:spacing w:val="0"/>
          <w:sz w:val="22"/>
          <w:szCs w:val="22"/>
          <w:highlight w:val="none"/>
          <w:shd w:val="clear" w:color="auto" w:fill="FFFFFF"/>
          <w:lang w:val="en-US" w:eastAsia="zh-CN"/>
        </w:rPr>
      </w:pPr>
      <w:r>
        <w:rPr>
          <w:rFonts w:hint="eastAsia" w:ascii="仿宋" w:hAnsi="仿宋" w:eastAsia="仿宋" w:cs="仿宋"/>
          <w:b w:val="0"/>
          <w:bCs/>
          <w:i w:val="0"/>
          <w:caps w:val="0"/>
          <w:color w:val="auto"/>
          <w:spacing w:val="0"/>
          <w:sz w:val="22"/>
          <w:szCs w:val="22"/>
          <w:highlight w:val="none"/>
          <w:shd w:val="clear" w:color="auto" w:fill="FFFFFF"/>
          <w:lang w:val="en-US" w:eastAsia="zh-CN"/>
        </w:rPr>
        <w:t>地    址：</w:t>
      </w:r>
      <w:r>
        <w:rPr>
          <w:rFonts w:hint="eastAsia" w:ascii="仿宋" w:hAnsi="仿宋" w:eastAsia="仿宋" w:cs="仿宋"/>
          <w:b w:val="0"/>
          <w:color w:val="auto"/>
          <w:kern w:val="2"/>
          <w:sz w:val="22"/>
          <w:szCs w:val="22"/>
          <w:highlight w:val="none"/>
          <w:lang w:val="en-US" w:eastAsia="zh-CN" w:bidi="ar-SA"/>
        </w:rPr>
        <w:t>和田县</w:t>
      </w:r>
    </w:p>
    <w:p w14:paraId="7721777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40" w:firstLineChars="200"/>
        <w:textAlignment w:val="auto"/>
        <w:outlineLvl w:val="9"/>
        <w:rPr>
          <w:rFonts w:hint="eastAsia" w:ascii="仿宋" w:hAnsi="仿宋" w:eastAsia="仿宋" w:cs="仿宋"/>
          <w:b w:val="0"/>
          <w:bCs/>
          <w:i w:val="0"/>
          <w:caps w:val="0"/>
          <w:color w:val="auto"/>
          <w:spacing w:val="0"/>
          <w:sz w:val="22"/>
          <w:szCs w:val="22"/>
          <w:highlight w:val="none"/>
          <w:shd w:val="clear" w:color="auto" w:fill="FFFFFF"/>
          <w:lang w:val="en-US" w:eastAsia="zh-CN"/>
        </w:rPr>
      </w:pPr>
      <w:r>
        <w:rPr>
          <w:rFonts w:hint="eastAsia" w:ascii="仿宋" w:hAnsi="仿宋" w:eastAsia="仿宋" w:cs="仿宋"/>
          <w:b w:val="0"/>
          <w:bCs/>
          <w:i w:val="0"/>
          <w:caps w:val="0"/>
          <w:color w:val="auto"/>
          <w:spacing w:val="0"/>
          <w:sz w:val="22"/>
          <w:szCs w:val="22"/>
          <w:highlight w:val="none"/>
          <w:shd w:val="clear" w:color="auto" w:fill="FFFFFF"/>
          <w:lang w:val="en-US" w:eastAsia="zh-CN"/>
        </w:rPr>
        <w:t>联 系 人：</w:t>
      </w:r>
      <w:r>
        <w:rPr>
          <w:rFonts w:hint="eastAsia" w:ascii="仿宋" w:hAnsi="仿宋" w:eastAsia="仿宋" w:cs="仿宋"/>
          <w:b w:val="0"/>
          <w:color w:val="auto"/>
          <w:kern w:val="2"/>
          <w:sz w:val="22"/>
          <w:szCs w:val="22"/>
          <w:highlight w:val="none"/>
          <w:lang w:val="en-US" w:eastAsia="zh-CN" w:bidi="ar-SA"/>
        </w:rPr>
        <w:t>余先生</w:t>
      </w:r>
    </w:p>
    <w:p w14:paraId="557D5E5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40" w:firstLineChars="200"/>
        <w:textAlignment w:val="auto"/>
        <w:outlineLvl w:val="9"/>
        <w:rPr>
          <w:rFonts w:hint="eastAsia" w:ascii="仿宋" w:hAnsi="仿宋" w:eastAsia="仿宋" w:cs="仿宋"/>
          <w:b w:val="0"/>
          <w:color w:val="auto"/>
          <w:kern w:val="2"/>
          <w:sz w:val="22"/>
          <w:szCs w:val="22"/>
          <w:highlight w:val="none"/>
          <w:lang w:val="en-US" w:eastAsia="zh-CN" w:bidi="ar-SA"/>
        </w:rPr>
      </w:pPr>
      <w:r>
        <w:rPr>
          <w:rFonts w:hint="eastAsia" w:ascii="仿宋" w:hAnsi="仿宋" w:eastAsia="仿宋" w:cs="仿宋"/>
          <w:b w:val="0"/>
          <w:color w:val="auto"/>
          <w:kern w:val="2"/>
          <w:sz w:val="22"/>
          <w:szCs w:val="22"/>
          <w:highlight w:val="none"/>
          <w:lang w:val="en-US" w:eastAsia="zh-CN" w:bidi="ar-SA"/>
        </w:rPr>
        <w:t xml:space="preserve">联系方式：0903-6875086   </w:t>
      </w:r>
    </w:p>
    <w:p w14:paraId="4DF2EDD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40" w:firstLineChars="200"/>
        <w:textAlignment w:val="auto"/>
        <w:outlineLvl w:val="9"/>
        <w:rPr>
          <w:rFonts w:hint="eastAsia" w:ascii="仿宋" w:hAnsi="仿宋" w:eastAsia="仿宋" w:cs="仿宋"/>
          <w:b w:val="0"/>
          <w:bCs/>
          <w:i w:val="0"/>
          <w:caps w:val="0"/>
          <w:color w:val="auto"/>
          <w:spacing w:val="0"/>
          <w:sz w:val="22"/>
          <w:szCs w:val="22"/>
          <w:highlight w:val="none"/>
          <w:shd w:val="clear" w:color="auto" w:fill="FFFFFF"/>
          <w:lang w:val="en-US" w:eastAsia="zh-CN"/>
        </w:rPr>
      </w:pPr>
    </w:p>
    <w:p w14:paraId="4A78151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40" w:firstLineChars="200"/>
        <w:textAlignment w:val="auto"/>
        <w:outlineLvl w:val="9"/>
        <w:rPr>
          <w:rFonts w:hint="eastAsia" w:ascii="仿宋" w:hAnsi="仿宋" w:eastAsia="仿宋" w:cs="仿宋"/>
          <w:b w:val="0"/>
          <w:bCs/>
          <w:i w:val="0"/>
          <w:caps w:val="0"/>
          <w:color w:val="auto"/>
          <w:spacing w:val="0"/>
          <w:sz w:val="22"/>
          <w:szCs w:val="22"/>
          <w:highlight w:val="none"/>
          <w:shd w:val="clear" w:color="auto" w:fill="FFFFFF"/>
          <w:lang w:val="en-US" w:eastAsia="zh-CN"/>
        </w:rPr>
      </w:pPr>
      <w:r>
        <w:rPr>
          <w:rFonts w:hint="eastAsia" w:ascii="仿宋" w:hAnsi="仿宋" w:eastAsia="仿宋" w:cs="仿宋"/>
          <w:b w:val="0"/>
          <w:bCs/>
          <w:i w:val="0"/>
          <w:caps w:val="0"/>
          <w:color w:val="auto"/>
          <w:spacing w:val="0"/>
          <w:sz w:val="22"/>
          <w:szCs w:val="22"/>
          <w:highlight w:val="none"/>
          <w:shd w:val="clear" w:color="auto" w:fill="FFFFFF"/>
          <w:lang w:val="en-US" w:eastAsia="zh-CN"/>
        </w:rPr>
        <w:t>2.采购代理机构信息</w:t>
      </w:r>
    </w:p>
    <w:p w14:paraId="3CCB807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40" w:firstLineChars="200"/>
        <w:textAlignment w:val="auto"/>
        <w:outlineLvl w:val="9"/>
        <w:rPr>
          <w:rFonts w:hint="eastAsia" w:ascii="仿宋" w:hAnsi="仿宋" w:eastAsia="仿宋" w:cs="仿宋"/>
          <w:b w:val="0"/>
          <w:bCs/>
          <w:i w:val="0"/>
          <w:caps w:val="0"/>
          <w:color w:val="auto"/>
          <w:spacing w:val="0"/>
          <w:sz w:val="22"/>
          <w:szCs w:val="22"/>
          <w:highlight w:val="none"/>
          <w:shd w:val="clear" w:color="auto" w:fill="FFFFFF"/>
          <w:lang w:val="en-US" w:eastAsia="zh-CN"/>
        </w:rPr>
      </w:pPr>
      <w:r>
        <w:rPr>
          <w:rFonts w:hint="eastAsia" w:ascii="仿宋" w:hAnsi="仿宋" w:eastAsia="仿宋" w:cs="仿宋"/>
          <w:b w:val="0"/>
          <w:bCs/>
          <w:i w:val="0"/>
          <w:caps w:val="0"/>
          <w:color w:val="auto"/>
          <w:spacing w:val="0"/>
          <w:sz w:val="22"/>
          <w:szCs w:val="22"/>
          <w:highlight w:val="none"/>
          <w:shd w:val="clear" w:color="auto" w:fill="FFFFFF"/>
          <w:lang w:val="en-US" w:eastAsia="zh-CN"/>
        </w:rPr>
        <w:t>名    称：新疆庆信达项目管理有限公司　</w:t>
      </w:r>
    </w:p>
    <w:p w14:paraId="29561027">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40" w:firstLineChars="200"/>
        <w:textAlignment w:val="auto"/>
        <w:outlineLvl w:val="9"/>
        <w:rPr>
          <w:rFonts w:hint="eastAsia" w:ascii="仿宋" w:hAnsi="仿宋" w:eastAsia="仿宋" w:cs="仿宋"/>
          <w:b w:val="0"/>
          <w:bCs/>
          <w:i w:val="0"/>
          <w:caps w:val="0"/>
          <w:color w:val="auto"/>
          <w:spacing w:val="0"/>
          <w:sz w:val="22"/>
          <w:szCs w:val="22"/>
          <w:highlight w:val="none"/>
          <w:shd w:val="clear" w:color="auto" w:fill="FFFFFF"/>
          <w:lang w:val="en-US" w:eastAsia="zh-CN"/>
        </w:rPr>
      </w:pPr>
      <w:r>
        <w:rPr>
          <w:rFonts w:hint="eastAsia" w:ascii="仿宋" w:hAnsi="仿宋" w:eastAsia="仿宋" w:cs="仿宋"/>
          <w:b w:val="0"/>
          <w:bCs/>
          <w:i w:val="0"/>
          <w:caps w:val="0"/>
          <w:color w:val="auto"/>
          <w:spacing w:val="0"/>
          <w:sz w:val="22"/>
          <w:szCs w:val="22"/>
          <w:highlight w:val="none"/>
          <w:shd w:val="clear" w:color="auto" w:fill="FFFFFF"/>
          <w:lang w:val="en-US" w:eastAsia="zh-CN"/>
        </w:rPr>
        <w:t>地    址：和田市人民街18号玉都国际广场金座703号</w:t>
      </w:r>
    </w:p>
    <w:p w14:paraId="5B522A5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40" w:firstLineChars="200"/>
        <w:textAlignment w:val="auto"/>
        <w:outlineLvl w:val="9"/>
        <w:rPr>
          <w:rFonts w:hint="eastAsia" w:ascii="仿宋" w:hAnsi="仿宋" w:eastAsia="仿宋" w:cs="仿宋"/>
          <w:b w:val="0"/>
          <w:bCs/>
          <w:i w:val="0"/>
          <w:caps w:val="0"/>
          <w:color w:val="auto"/>
          <w:spacing w:val="0"/>
          <w:sz w:val="22"/>
          <w:szCs w:val="22"/>
          <w:highlight w:val="none"/>
          <w:shd w:val="clear" w:color="auto" w:fill="FFFFFF"/>
          <w:lang w:val="en-US" w:eastAsia="zh-CN"/>
        </w:rPr>
      </w:pPr>
      <w:r>
        <w:rPr>
          <w:rFonts w:hint="eastAsia" w:ascii="仿宋" w:hAnsi="仿宋" w:eastAsia="仿宋" w:cs="仿宋"/>
          <w:b w:val="0"/>
          <w:bCs/>
          <w:i w:val="0"/>
          <w:caps w:val="0"/>
          <w:color w:val="auto"/>
          <w:spacing w:val="0"/>
          <w:sz w:val="22"/>
          <w:szCs w:val="22"/>
          <w:highlight w:val="none"/>
          <w:shd w:val="clear" w:color="auto" w:fill="FFFFFF"/>
          <w:lang w:val="en-US" w:eastAsia="zh-CN"/>
        </w:rPr>
        <w:t>联系方式：0903-7820626</w:t>
      </w:r>
    </w:p>
    <w:p w14:paraId="7E48FD2D">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40" w:firstLineChars="200"/>
        <w:textAlignment w:val="auto"/>
        <w:outlineLvl w:val="9"/>
        <w:rPr>
          <w:rFonts w:hint="eastAsia" w:ascii="仿宋" w:hAnsi="仿宋" w:eastAsia="仿宋" w:cs="仿宋"/>
          <w:b w:val="0"/>
          <w:bCs/>
          <w:i w:val="0"/>
          <w:caps w:val="0"/>
          <w:color w:val="auto"/>
          <w:spacing w:val="0"/>
          <w:sz w:val="22"/>
          <w:szCs w:val="22"/>
          <w:highlight w:val="none"/>
          <w:shd w:val="clear" w:color="auto" w:fill="FFFFFF"/>
          <w:lang w:val="en-US" w:eastAsia="zh-CN"/>
        </w:rPr>
      </w:pPr>
    </w:p>
    <w:p w14:paraId="60D73CD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40" w:firstLineChars="200"/>
        <w:textAlignment w:val="auto"/>
        <w:outlineLvl w:val="9"/>
        <w:rPr>
          <w:rFonts w:hint="eastAsia" w:ascii="仿宋" w:hAnsi="仿宋" w:eastAsia="仿宋" w:cs="仿宋"/>
          <w:b w:val="0"/>
          <w:bCs/>
          <w:i w:val="0"/>
          <w:caps w:val="0"/>
          <w:color w:val="auto"/>
          <w:spacing w:val="0"/>
          <w:sz w:val="22"/>
          <w:szCs w:val="22"/>
          <w:highlight w:val="none"/>
          <w:shd w:val="clear" w:color="auto" w:fill="FFFFFF"/>
          <w:lang w:val="en-US" w:eastAsia="zh-CN"/>
        </w:rPr>
      </w:pPr>
      <w:r>
        <w:rPr>
          <w:rFonts w:hint="eastAsia" w:ascii="仿宋" w:hAnsi="仿宋" w:eastAsia="仿宋" w:cs="仿宋"/>
          <w:b w:val="0"/>
          <w:bCs/>
          <w:i w:val="0"/>
          <w:caps w:val="0"/>
          <w:color w:val="auto"/>
          <w:spacing w:val="0"/>
          <w:sz w:val="22"/>
          <w:szCs w:val="22"/>
          <w:highlight w:val="none"/>
          <w:shd w:val="clear" w:color="auto" w:fill="FFFFFF"/>
          <w:lang w:val="en-US" w:eastAsia="zh-CN"/>
        </w:rPr>
        <w:t>3.项目联系方式</w:t>
      </w:r>
    </w:p>
    <w:p w14:paraId="46252417">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40" w:firstLineChars="200"/>
        <w:textAlignment w:val="auto"/>
        <w:outlineLvl w:val="9"/>
        <w:rPr>
          <w:rFonts w:hint="eastAsia" w:ascii="仿宋" w:hAnsi="仿宋" w:eastAsia="仿宋" w:cs="仿宋"/>
          <w:b w:val="0"/>
          <w:bCs/>
          <w:i w:val="0"/>
          <w:caps w:val="0"/>
          <w:color w:val="auto"/>
          <w:spacing w:val="0"/>
          <w:sz w:val="22"/>
          <w:szCs w:val="22"/>
          <w:highlight w:val="none"/>
          <w:shd w:val="clear" w:color="auto" w:fill="FFFFFF"/>
          <w:lang w:val="en-US" w:eastAsia="zh-CN"/>
        </w:rPr>
      </w:pPr>
      <w:r>
        <w:rPr>
          <w:rFonts w:hint="eastAsia" w:ascii="仿宋" w:hAnsi="仿宋" w:eastAsia="仿宋" w:cs="仿宋"/>
          <w:b w:val="0"/>
          <w:bCs/>
          <w:i w:val="0"/>
          <w:caps w:val="0"/>
          <w:color w:val="auto"/>
          <w:spacing w:val="0"/>
          <w:sz w:val="22"/>
          <w:szCs w:val="22"/>
          <w:highlight w:val="none"/>
          <w:shd w:val="clear" w:color="auto" w:fill="FFFFFF"/>
          <w:lang w:val="en-US" w:eastAsia="zh-CN"/>
        </w:rPr>
        <w:t>项目联系人：郑泽娟</w:t>
      </w:r>
    </w:p>
    <w:p w14:paraId="5F97AA7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40" w:firstLineChars="200"/>
        <w:textAlignment w:val="auto"/>
        <w:outlineLvl w:val="9"/>
        <w:rPr>
          <w:rFonts w:hint="eastAsia" w:ascii="仿宋" w:hAnsi="仿宋" w:eastAsia="仿宋" w:cs="仿宋"/>
          <w:b w:val="0"/>
          <w:bCs/>
          <w:i w:val="0"/>
          <w:caps w:val="0"/>
          <w:color w:val="auto"/>
          <w:spacing w:val="0"/>
          <w:sz w:val="22"/>
          <w:szCs w:val="22"/>
          <w:highlight w:val="none"/>
          <w:shd w:val="clear" w:color="auto" w:fill="FFFFFF"/>
          <w:lang w:val="en-US" w:eastAsia="zh-CN"/>
        </w:rPr>
      </w:pPr>
      <w:r>
        <w:rPr>
          <w:rFonts w:hint="eastAsia" w:ascii="仿宋" w:hAnsi="仿宋" w:eastAsia="仿宋" w:cs="仿宋"/>
          <w:b w:val="0"/>
          <w:bCs/>
          <w:i w:val="0"/>
          <w:caps w:val="0"/>
          <w:color w:val="auto"/>
          <w:spacing w:val="0"/>
          <w:sz w:val="22"/>
          <w:szCs w:val="22"/>
          <w:highlight w:val="none"/>
          <w:shd w:val="clear" w:color="auto" w:fill="FFFFFF"/>
          <w:lang w:val="en-US" w:eastAsia="zh-CN"/>
        </w:rPr>
        <w:t>电　　  话：</w:t>
      </w:r>
      <w:r>
        <w:rPr>
          <w:rFonts w:hint="eastAsia" w:ascii="仿宋" w:hAnsi="仿宋" w:eastAsia="仿宋" w:cs="仿宋"/>
          <w:b w:val="0"/>
          <w:color w:val="auto"/>
          <w:kern w:val="2"/>
          <w:sz w:val="22"/>
          <w:szCs w:val="22"/>
          <w:highlight w:val="none"/>
          <w:lang w:val="en-US" w:eastAsia="zh-CN" w:bidi="ar-SA"/>
        </w:rPr>
        <w:t>0903-7820626</w:t>
      </w:r>
    </w:p>
    <w:p w14:paraId="53D6B50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color w:val="auto"/>
          <w:sz w:val="36"/>
          <w:szCs w:val="36"/>
          <w:highlight w:val="none"/>
          <w:lang w:eastAsia="zh-CN"/>
        </w:rPr>
      </w:pPr>
    </w:p>
    <w:p w14:paraId="0737EE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color w:val="auto"/>
          <w:sz w:val="36"/>
          <w:szCs w:val="36"/>
          <w:highlight w:val="none"/>
          <w:lang w:eastAsia="zh-CN"/>
        </w:rPr>
      </w:pPr>
    </w:p>
    <w:p w14:paraId="5E5A348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仿宋" w:hAnsi="仿宋" w:eastAsia="仿宋" w:cs="仿宋"/>
          <w:b/>
          <w:color w:val="auto"/>
          <w:sz w:val="36"/>
          <w:szCs w:val="36"/>
          <w:highlight w:val="none"/>
          <w:lang w:eastAsia="zh-CN"/>
        </w:rPr>
      </w:pPr>
    </w:p>
    <w:p w14:paraId="12EA72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6"/>
          <w:szCs w:val="36"/>
          <w:highlight w:val="none"/>
          <w:lang w:eastAsia="zh-CN"/>
        </w:rPr>
        <w:t>第二部分</w:t>
      </w:r>
      <w:r>
        <w:rPr>
          <w:rFonts w:hint="eastAsia" w:ascii="仿宋" w:hAnsi="仿宋" w:eastAsia="仿宋" w:cs="仿宋"/>
          <w:b/>
          <w:color w:val="auto"/>
          <w:sz w:val="36"/>
          <w:szCs w:val="36"/>
          <w:highlight w:val="none"/>
          <w:lang w:val="en-US" w:eastAsia="zh-CN"/>
        </w:rPr>
        <w:t xml:space="preserve">   </w:t>
      </w:r>
      <w:r>
        <w:rPr>
          <w:rFonts w:hint="eastAsia" w:ascii="仿宋" w:hAnsi="仿宋" w:eastAsia="仿宋" w:cs="仿宋"/>
          <w:b/>
          <w:color w:val="auto"/>
          <w:sz w:val="36"/>
          <w:szCs w:val="36"/>
          <w:highlight w:val="none"/>
          <w:lang w:eastAsia="zh-CN"/>
        </w:rPr>
        <w:t>投标人须知</w:t>
      </w:r>
      <w:bookmarkEnd w:id="0"/>
      <w:bookmarkEnd w:id="1"/>
      <w:bookmarkEnd w:id="2"/>
      <w:bookmarkEnd w:id="3"/>
      <w:bookmarkEnd w:id="4"/>
      <w:bookmarkEnd w:id="5"/>
      <w:bookmarkEnd w:id="6"/>
      <w:bookmarkEnd w:id="7"/>
      <w:bookmarkEnd w:id="8"/>
    </w:p>
    <w:p w14:paraId="19598F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color w:val="auto"/>
          <w:sz w:val="30"/>
          <w:szCs w:val="30"/>
          <w:highlight w:val="none"/>
        </w:rPr>
      </w:pPr>
      <w:bookmarkStart w:id="32" w:name="_Toc10040"/>
      <w:bookmarkStart w:id="33" w:name="_Toc24832"/>
      <w:bookmarkStart w:id="34" w:name="_Toc18219"/>
      <w:bookmarkStart w:id="35" w:name="_Toc21348_WPSOffice_Level1"/>
      <w:bookmarkStart w:id="36" w:name="_Toc14053"/>
      <w:bookmarkStart w:id="37" w:name="_Toc7237"/>
      <w:bookmarkStart w:id="38" w:name="_Toc17655"/>
      <w:bookmarkStart w:id="39" w:name="_Toc12827"/>
      <w:bookmarkStart w:id="40" w:name="_Toc9144"/>
      <w:bookmarkStart w:id="41" w:name="_Toc10179"/>
      <w:bookmarkStart w:id="42" w:name="_Toc8971"/>
      <w:bookmarkStart w:id="43" w:name="_Toc29111"/>
      <w:r>
        <w:rPr>
          <w:rFonts w:hint="eastAsia" w:ascii="仿宋" w:hAnsi="仿宋" w:eastAsia="仿宋" w:cs="仿宋"/>
          <w:b/>
          <w:color w:val="auto"/>
          <w:sz w:val="30"/>
          <w:szCs w:val="30"/>
          <w:highlight w:val="none"/>
        </w:rPr>
        <w:t>投标人须知前附表</w:t>
      </w:r>
      <w:bookmarkEnd w:id="32"/>
      <w:bookmarkEnd w:id="33"/>
      <w:bookmarkEnd w:id="34"/>
      <w:bookmarkEnd w:id="35"/>
      <w:bookmarkEnd w:id="36"/>
      <w:bookmarkEnd w:id="37"/>
      <w:bookmarkEnd w:id="38"/>
      <w:bookmarkEnd w:id="39"/>
      <w:bookmarkEnd w:id="40"/>
      <w:bookmarkEnd w:id="41"/>
      <w:bookmarkEnd w:id="42"/>
      <w:bookmarkEnd w:id="43"/>
    </w:p>
    <w:tbl>
      <w:tblPr>
        <w:tblStyle w:val="48"/>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47"/>
        <w:gridCol w:w="7416"/>
      </w:tblGrid>
      <w:tr w14:paraId="14AB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38" w:type="dxa"/>
            <w:vAlign w:val="center"/>
          </w:tcPr>
          <w:p w14:paraId="0473BAA6">
            <w:pPr>
              <w:keepNext w:val="0"/>
              <w:keepLines w:val="0"/>
              <w:pageBreakBefore w:val="0"/>
              <w:kinsoku/>
              <w:wordWrap/>
              <w:overflowPunct/>
              <w:topLinePunct w:val="0"/>
              <w:autoSpaceDE/>
              <w:autoSpaceDN/>
              <w:bidi w:val="0"/>
              <w:adjustRightInd w:val="0"/>
              <w:snapToGrid w:val="0"/>
              <w:spacing w:line="243" w:lineRule="auto"/>
              <w:ind w:lef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947" w:type="dxa"/>
            <w:vAlign w:val="center"/>
          </w:tcPr>
          <w:p w14:paraId="4A90BB56">
            <w:pPr>
              <w:keepNext w:val="0"/>
              <w:keepLines w:val="0"/>
              <w:pageBreakBefore w:val="0"/>
              <w:kinsoku/>
              <w:wordWrap/>
              <w:overflowPunct/>
              <w:topLinePunct w:val="0"/>
              <w:autoSpaceDE/>
              <w:autoSpaceDN/>
              <w:bidi w:val="0"/>
              <w:adjustRightInd w:val="0"/>
              <w:snapToGrid w:val="0"/>
              <w:spacing w:line="243" w:lineRule="auto"/>
              <w:ind w:lef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款</w:t>
            </w:r>
          </w:p>
        </w:tc>
        <w:tc>
          <w:tcPr>
            <w:tcW w:w="7416" w:type="dxa"/>
            <w:vAlign w:val="center"/>
          </w:tcPr>
          <w:p w14:paraId="17E3BB77">
            <w:pPr>
              <w:keepNext w:val="0"/>
              <w:keepLines w:val="0"/>
              <w:pageBreakBefore w:val="0"/>
              <w:kinsoku/>
              <w:wordWrap/>
              <w:overflowPunct/>
              <w:topLinePunct w:val="0"/>
              <w:autoSpaceDE/>
              <w:autoSpaceDN/>
              <w:bidi w:val="0"/>
              <w:adjustRightInd w:val="0"/>
              <w:snapToGrid w:val="0"/>
              <w:spacing w:line="243" w:lineRule="auto"/>
              <w:ind w:lef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内     容</w:t>
            </w:r>
          </w:p>
        </w:tc>
      </w:tr>
      <w:tr w14:paraId="4F1A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38" w:type="dxa"/>
            <w:vAlign w:val="center"/>
          </w:tcPr>
          <w:p w14:paraId="645BD934">
            <w:pPr>
              <w:keepNext w:val="0"/>
              <w:keepLines w:val="0"/>
              <w:pageBreakBefore w:val="0"/>
              <w:kinsoku/>
              <w:wordWrap/>
              <w:overflowPunct/>
              <w:topLinePunct w:val="0"/>
              <w:autoSpaceDE/>
              <w:autoSpaceDN/>
              <w:bidi w:val="0"/>
              <w:adjustRightInd w:val="0"/>
              <w:snapToGrid w:val="0"/>
              <w:spacing w:line="243"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947" w:type="dxa"/>
            <w:vAlign w:val="center"/>
          </w:tcPr>
          <w:p w14:paraId="0D20D296">
            <w:pPr>
              <w:keepNext w:val="0"/>
              <w:keepLines w:val="0"/>
              <w:pageBreakBefore w:val="0"/>
              <w:kinsoku/>
              <w:wordWrap/>
              <w:overflowPunct/>
              <w:topLinePunct w:val="0"/>
              <w:autoSpaceDE/>
              <w:autoSpaceDN/>
              <w:bidi w:val="0"/>
              <w:adjustRightInd w:val="0"/>
              <w:snapToGrid w:val="0"/>
              <w:spacing w:before="24" w:beforeLines="10" w:after="24" w:afterLines="10" w:line="243"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购</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人</w:t>
            </w:r>
          </w:p>
        </w:tc>
        <w:tc>
          <w:tcPr>
            <w:tcW w:w="7416" w:type="dxa"/>
            <w:vAlign w:val="center"/>
          </w:tcPr>
          <w:p w14:paraId="5A425B83">
            <w:pPr>
              <w:keepNext w:val="0"/>
              <w:keepLines w:val="0"/>
              <w:pageBreakBefore w:val="0"/>
              <w:kinsoku/>
              <w:wordWrap/>
              <w:overflowPunct/>
              <w:topLinePunct w:val="0"/>
              <w:autoSpaceDE/>
              <w:autoSpaceDN/>
              <w:bidi w:val="0"/>
              <w:adjustRightInd w:val="0"/>
              <w:snapToGrid w:val="0"/>
              <w:spacing w:before="24" w:beforeLines="10" w:after="24" w:afterLines="10" w:line="243" w:lineRule="auto"/>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  称：</w:t>
            </w:r>
            <w:r>
              <w:rPr>
                <w:rFonts w:hint="eastAsia" w:ascii="仿宋" w:hAnsi="仿宋" w:eastAsia="仿宋" w:cs="仿宋"/>
                <w:color w:val="auto"/>
                <w:sz w:val="24"/>
                <w:szCs w:val="24"/>
                <w:highlight w:val="none"/>
                <w:lang w:val="en-US" w:eastAsia="zh-CN"/>
              </w:rPr>
              <w:t>和田某单位</w:t>
            </w:r>
          </w:p>
          <w:p w14:paraId="5DA32E89">
            <w:pPr>
              <w:keepNext w:val="0"/>
              <w:keepLines w:val="0"/>
              <w:pageBreakBefore w:val="0"/>
              <w:kinsoku/>
              <w:wordWrap/>
              <w:overflowPunct/>
              <w:topLinePunct w:val="0"/>
              <w:autoSpaceDE/>
              <w:autoSpaceDN/>
              <w:bidi w:val="0"/>
              <w:adjustRightInd w:val="0"/>
              <w:snapToGrid w:val="0"/>
              <w:spacing w:before="24" w:beforeLines="10" w:after="24" w:afterLines="10" w:line="243" w:lineRule="auto"/>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联系人：</w:t>
            </w:r>
            <w:r>
              <w:rPr>
                <w:rFonts w:hint="eastAsia" w:ascii="仿宋" w:hAnsi="仿宋" w:eastAsia="仿宋" w:cs="仿宋"/>
                <w:b w:val="0"/>
                <w:color w:val="auto"/>
                <w:kern w:val="2"/>
                <w:sz w:val="24"/>
                <w:szCs w:val="24"/>
                <w:highlight w:val="none"/>
                <w:lang w:val="en-US" w:eastAsia="zh-CN" w:bidi="ar-SA"/>
              </w:rPr>
              <w:t>余先生</w:t>
            </w:r>
          </w:p>
          <w:p w14:paraId="4344F9FB">
            <w:pPr>
              <w:keepNext w:val="0"/>
              <w:keepLines w:val="0"/>
              <w:pageBreakBefore w:val="0"/>
              <w:kinsoku/>
              <w:wordWrap/>
              <w:overflowPunct/>
              <w:topLinePunct w:val="0"/>
              <w:autoSpaceDE/>
              <w:autoSpaceDN/>
              <w:bidi w:val="0"/>
              <w:adjustRightInd w:val="0"/>
              <w:snapToGrid w:val="0"/>
              <w:spacing w:before="24" w:beforeLines="10" w:after="24" w:afterLines="10" w:line="243" w:lineRule="auto"/>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电  话：0903-6875086   </w:t>
            </w:r>
          </w:p>
          <w:p w14:paraId="2BF52555">
            <w:pPr>
              <w:keepNext w:val="0"/>
              <w:keepLines w:val="0"/>
              <w:pageBreakBefore w:val="0"/>
              <w:kinsoku/>
              <w:wordWrap/>
              <w:overflowPunct/>
              <w:topLinePunct w:val="0"/>
              <w:autoSpaceDE/>
              <w:autoSpaceDN/>
              <w:bidi w:val="0"/>
              <w:adjustRightInd w:val="0"/>
              <w:snapToGrid w:val="0"/>
              <w:spacing w:before="24" w:beforeLines="10" w:after="24" w:afterLines="10" w:line="243" w:lineRule="auto"/>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地  址：</w:t>
            </w:r>
            <w:r>
              <w:rPr>
                <w:rFonts w:hint="eastAsia" w:ascii="仿宋" w:hAnsi="仿宋" w:eastAsia="仿宋" w:cs="仿宋"/>
                <w:b w:val="0"/>
                <w:color w:val="auto"/>
                <w:kern w:val="2"/>
                <w:sz w:val="24"/>
                <w:szCs w:val="24"/>
                <w:highlight w:val="none"/>
                <w:lang w:val="en-US" w:eastAsia="zh-CN" w:bidi="ar-SA"/>
              </w:rPr>
              <w:t>和田县</w:t>
            </w:r>
          </w:p>
        </w:tc>
      </w:tr>
      <w:tr w14:paraId="13F2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38" w:type="dxa"/>
            <w:vAlign w:val="center"/>
          </w:tcPr>
          <w:p w14:paraId="0B2B3746">
            <w:pPr>
              <w:keepNext w:val="0"/>
              <w:keepLines w:val="0"/>
              <w:pageBreakBefore w:val="0"/>
              <w:kinsoku/>
              <w:wordWrap/>
              <w:overflowPunct/>
              <w:topLinePunct w:val="0"/>
              <w:autoSpaceDE/>
              <w:autoSpaceDN/>
              <w:bidi w:val="0"/>
              <w:adjustRightInd w:val="0"/>
              <w:snapToGrid w:val="0"/>
              <w:spacing w:line="243"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947" w:type="dxa"/>
            <w:vAlign w:val="center"/>
          </w:tcPr>
          <w:p w14:paraId="5F2FD544">
            <w:pPr>
              <w:keepNext w:val="0"/>
              <w:keepLines w:val="0"/>
              <w:pageBreakBefore w:val="0"/>
              <w:kinsoku/>
              <w:wordWrap/>
              <w:overflowPunct/>
              <w:topLinePunct w:val="0"/>
              <w:autoSpaceDE/>
              <w:autoSpaceDN/>
              <w:bidi w:val="0"/>
              <w:adjustRightInd w:val="0"/>
              <w:snapToGrid w:val="0"/>
              <w:spacing w:before="24" w:beforeLines="10" w:after="24" w:afterLines="10" w:line="243"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代理机构</w:t>
            </w:r>
          </w:p>
        </w:tc>
        <w:tc>
          <w:tcPr>
            <w:tcW w:w="7416" w:type="dxa"/>
            <w:vAlign w:val="center"/>
          </w:tcPr>
          <w:p w14:paraId="71001287">
            <w:pPr>
              <w:keepNext w:val="0"/>
              <w:keepLines w:val="0"/>
              <w:pageBreakBefore w:val="0"/>
              <w:kinsoku/>
              <w:wordWrap/>
              <w:overflowPunct/>
              <w:topLinePunct w:val="0"/>
              <w:autoSpaceDE/>
              <w:autoSpaceDN/>
              <w:bidi w:val="0"/>
              <w:adjustRightInd w:val="0"/>
              <w:snapToGrid w:val="0"/>
              <w:spacing w:before="24" w:beforeLines="10" w:after="24" w:afterLines="10" w:line="243" w:lineRule="auto"/>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名  称：</w:t>
            </w:r>
            <w:r>
              <w:rPr>
                <w:rFonts w:hint="eastAsia" w:ascii="仿宋" w:hAnsi="仿宋" w:eastAsia="仿宋" w:cs="仿宋"/>
                <w:color w:val="auto"/>
                <w:sz w:val="24"/>
                <w:szCs w:val="24"/>
                <w:highlight w:val="none"/>
                <w:lang w:val="en-US" w:eastAsia="zh-CN"/>
              </w:rPr>
              <w:t>新疆庆信达项目管理有限公司</w:t>
            </w:r>
          </w:p>
          <w:p w14:paraId="08BC2183">
            <w:pPr>
              <w:keepNext w:val="0"/>
              <w:keepLines w:val="0"/>
              <w:pageBreakBefore w:val="0"/>
              <w:kinsoku/>
              <w:wordWrap/>
              <w:overflowPunct/>
              <w:topLinePunct w:val="0"/>
              <w:autoSpaceDE/>
              <w:autoSpaceDN/>
              <w:bidi w:val="0"/>
              <w:adjustRightInd w:val="0"/>
              <w:snapToGrid w:val="0"/>
              <w:spacing w:before="24" w:beforeLines="10" w:after="24" w:afterLines="10" w:line="243" w:lineRule="auto"/>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地  址：</w:t>
            </w:r>
            <w:r>
              <w:rPr>
                <w:rFonts w:hint="eastAsia" w:ascii="仿宋" w:hAnsi="仿宋" w:eastAsia="仿宋" w:cs="仿宋"/>
                <w:color w:val="auto"/>
                <w:sz w:val="24"/>
                <w:szCs w:val="24"/>
                <w:highlight w:val="none"/>
                <w:lang w:val="en-US" w:eastAsia="zh-CN"/>
              </w:rPr>
              <w:t>和田市人民街18号玉都国际广场金座703号</w:t>
            </w:r>
          </w:p>
          <w:p w14:paraId="64433A87">
            <w:pPr>
              <w:keepNext w:val="0"/>
              <w:keepLines w:val="0"/>
              <w:pageBreakBefore w:val="0"/>
              <w:kinsoku/>
              <w:wordWrap/>
              <w:overflowPunct/>
              <w:topLinePunct w:val="0"/>
              <w:autoSpaceDE/>
              <w:autoSpaceDN/>
              <w:bidi w:val="0"/>
              <w:adjustRightInd w:val="0"/>
              <w:snapToGrid w:val="0"/>
              <w:spacing w:before="24" w:beforeLines="10" w:after="24" w:afterLines="10" w:line="243" w:lineRule="auto"/>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联系</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郑泽娟</w:t>
            </w:r>
          </w:p>
          <w:p w14:paraId="5ED9A223">
            <w:pPr>
              <w:keepNext w:val="0"/>
              <w:keepLines w:val="0"/>
              <w:pageBreakBefore w:val="0"/>
              <w:kinsoku/>
              <w:wordWrap/>
              <w:overflowPunct/>
              <w:topLinePunct w:val="0"/>
              <w:autoSpaceDE/>
              <w:autoSpaceDN/>
              <w:bidi w:val="0"/>
              <w:adjustRightInd w:val="0"/>
              <w:snapToGrid w:val="0"/>
              <w:spacing w:before="24" w:beforeLines="10" w:after="24" w:afterLines="10" w:line="243" w:lineRule="auto"/>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电  话：</w:t>
            </w:r>
            <w:r>
              <w:rPr>
                <w:rFonts w:hint="eastAsia" w:ascii="仿宋" w:hAnsi="仿宋" w:eastAsia="仿宋" w:cs="仿宋"/>
                <w:color w:val="auto"/>
                <w:sz w:val="24"/>
                <w:szCs w:val="24"/>
                <w:highlight w:val="none"/>
                <w:lang w:val="en-US" w:eastAsia="zh-CN"/>
              </w:rPr>
              <w:t>0903-7820626</w:t>
            </w:r>
          </w:p>
        </w:tc>
      </w:tr>
      <w:tr w14:paraId="3254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38" w:type="dxa"/>
            <w:vAlign w:val="center"/>
          </w:tcPr>
          <w:p w14:paraId="1F9183F2">
            <w:pPr>
              <w:keepNext w:val="0"/>
              <w:keepLines w:val="0"/>
              <w:pageBreakBefore w:val="0"/>
              <w:kinsoku/>
              <w:wordWrap/>
              <w:overflowPunct/>
              <w:topLinePunct w:val="0"/>
              <w:autoSpaceDE/>
              <w:autoSpaceDN/>
              <w:bidi w:val="0"/>
              <w:adjustRightInd w:val="0"/>
              <w:snapToGrid w:val="0"/>
              <w:spacing w:line="243" w:lineRule="auto"/>
              <w:ind w:lef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p>
        </w:tc>
        <w:tc>
          <w:tcPr>
            <w:tcW w:w="1947" w:type="dxa"/>
            <w:vAlign w:val="center"/>
          </w:tcPr>
          <w:p w14:paraId="397D08B0">
            <w:pPr>
              <w:keepNext w:val="0"/>
              <w:keepLines w:val="0"/>
              <w:pageBreakBefore w:val="0"/>
              <w:widowControl w:val="0"/>
              <w:kinsoku/>
              <w:wordWrap/>
              <w:overflowPunct/>
              <w:topLinePunct w:val="0"/>
              <w:autoSpaceDE/>
              <w:autoSpaceDN/>
              <w:bidi w:val="0"/>
              <w:adjustRightInd w:val="0"/>
              <w:snapToGrid w:val="0"/>
              <w:spacing w:line="243" w:lineRule="auto"/>
              <w:ind w:lef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p>
        </w:tc>
        <w:tc>
          <w:tcPr>
            <w:tcW w:w="7416" w:type="dxa"/>
            <w:vAlign w:val="center"/>
          </w:tcPr>
          <w:p w14:paraId="4DFB00B9">
            <w:pPr>
              <w:keepNext w:val="0"/>
              <w:keepLines w:val="0"/>
              <w:pageBreakBefore w:val="0"/>
              <w:widowControl w:val="0"/>
              <w:kinsoku/>
              <w:wordWrap/>
              <w:overflowPunct/>
              <w:topLinePunct w:val="0"/>
              <w:autoSpaceDE/>
              <w:autoSpaceDN/>
              <w:bidi w:val="0"/>
              <w:adjustRightInd w:val="0"/>
              <w:snapToGrid w:val="0"/>
              <w:spacing w:line="243" w:lineRule="auto"/>
              <w:ind w:left="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移动执法终端运行维护服务二次</w:t>
            </w:r>
          </w:p>
        </w:tc>
      </w:tr>
      <w:tr w14:paraId="5956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38" w:type="dxa"/>
            <w:vAlign w:val="center"/>
          </w:tcPr>
          <w:p w14:paraId="24193BED">
            <w:pPr>
              <w:keepNext w:val="0"/>
              <w:keepLines w:val="0"/>
              <w:pageBreakBefore w:val="0"/>
              <w:kinsoku/>
              <w:wordWrap/>
              <w:overflowPunct/>
              <w:topLinePunct w:val="0"/>
              <w:autoSpaceDE/>
              <w:autoSpaceDN/>
              <w:bidi w:val="0"/>
              <w:adjustRightInd w:val="0"/>
              <w:snapToGrid w:val="0"/>
              <w:spacing w:line="243" w:lineRule="auto"/>
              <w:ind w:left="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p>
        </w:tc>
        <w:tc>
          <w:tcPr>
            <w:tcW w:w="1947" w:type="dxa"/>
            <w:vAlign w:val="center"/>
          </w:tcPr>
          <w:p w14:paraId="3AED14F8">
            <w:pPr>
              <w:keepNext w:val="0"/>
              <w:keepLines w:val="0"/>
              <w:pageBreakBefore w:val="0"/>
              <w:widowControl w:val="0"/>
              <w:kinsoku/>
              <w:wordWrap/>
              <w:overflowPunct/>
              <w:topLinePunct w:val="0"/>
              <w:autoSpaceDE/>
              <w:autoSpaceDN/>
              <w:bidi w:val="0"/>
              <w:adjustRightInd w:val="0"/>
              <w:snapToGrid w:val="0"/>
              <w:spacing w:line="243"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采购方式</w:t>
            </w:r>
          </w:p>
        </w:tc>
        <w:tc>
          <w:tcPr>
            <w:tcW w:w="7416" w:type="dxa"/>
            <w:vAlign w:val="center"/>
          </w:tcPr>
          <w:p w14:paraId="7C3EC62C">
            <w:pPr>
              <w:keepNext w:val="0"/>
              <w:keepLines w:val="0"/>
              <w:pageBreakBefore w:val="0"/>
              <w:widowControl w:val="0"/>
              <w:kinsoku/>
              <w:wordWrap/>
              <w:overflowPunct/>
              <w:topLinePunct w:val="0"/>
              <w:autoSpaceDE/>
              <w:autoSpaceDN/>
              <w:bidi w:val="0"/>
              <w:adjustRightInd w:val="0"/>
              <w:snapToGrid w:val="0"/>
              <w:spacing w:line="243"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公开招标</w:t>
            </w:r>
          </w:p>
        </w:tc>
      </w:tr>
      <w:tr w14:paraId="10C5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38" w:type="dxa"/>
            <w:vAlign w:val="center"/>
          </w:tcPr>
          <w:p w14:paraId="412DC006">
            <w:pPr>
              <w:keepNext w:val="0"/>
              <w:keepLines w:val="0"/>
              <w:pageBreakBefore w:val="0"/>
              <w:kinsoku/>
              <w:wordWrap/>
              <w:overflowPunct/>
              <w:topLinePunct w:val="0"/>
              <w:autoSpaceDE/>
              <w:autoSpaceDN/>
              <w:bidi w:val="0"/>
              <w:adjustRightInd w:val="0"/>
              <w:snapToGrid w:val="0"/>
              <w:spacing w:line="243" w:lineRule="auto"/>
              <w:ind w:lef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5</w:t>
            </w:r>
          </w:p>
        </w:tc>
        <w:tc>
          <w:tcPr>
            <w:tcW w:w="1947" w:type="dxa"/>
            <w:vAlign w:val="center"/>
          </w:tcPr>
          <w:p w14:paraId="3F0B7B73">
            <w:pPr>
              <w:keepNext w:val="0"/>
              <w:keepLines w:val="0"/>
              <w:pageBreakBefore w:val="0"/>
              <w:widowControl w:val="0"/>
              <w:kinsoku/>
              <w:wordWrap/>
              <w:overflowPunct/>
              <w:topLinePunct w:val="0"/>
              <w:autoSpaceDE/>
              <w:autoSpaceDN/>
              <w:bidi w:val="0"/>
              <w:adjustRightInd w:val="0"/>
              <w:snapToGrid w:val="0"/>
              <w:spacing w:line="243"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w:t>
            </w:r>
          </w:p>
        </w:tc>
        <w:tc>
          <w:tcPr>
            <w:tcW w:w="7416" w:type="dxa"/>
            <w:vAlign w:val="center"/>
          </w:tcPr>
          <w:p w14:paraId="3F36513A">
            <w:pPr>
              <w:keepNext w:val="0"/>
              <w:keepLines w:val="0"/>
              <w:pageBreakBefore w:val="0"/>
              <w:widowControl w:val="0"/>
              <w:kinsoku/>
              <w:wordWrap/>
              <w:overflowPunct/>
              <w:topLinePunct w:val="0"/>
              <w:autoSpaceDE/>
              <w:autoSpaceDN/>
              <w:bidi w:val="0"/>
              <w:adjustRightInd w:val="0"/>
              <w:snapToGrid w:val="0"/>
              <w:spacing w:line="243" w:lineRule="auto"/>
              <w:ind w:lef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移动执法系统运维服务项目，本次运行维护服务内容主要包括四部分，分别是移动执法终端的运行保障及维修替换服务、管理平台运维服务、应用功能提升完善服务、安全管控能力服务。具体详见采购需求清单。</w:t>
            </w:r>
          </w:p>
        </w:tc>
      </w:tr>
      <w:tr w14:paraId="20C8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vAlign w:val="center"/>
          </w:tcPr>
          <w:p w14:paraId="7CED128C">
            <w:pPr>
              <w:keepNext w:val="0"/>
              <w:keepLines w:val="0"/>
              <w:pageBreakBefore w:val="0"/>
              <w:kinsoku/>
              <w:wordWrap/>
              <w:overflowPunct/>
              <w:topLinePunct w:val="0"/>
              <w:autoSpaceDE/>
              <w:autoSpaceDN/>
              <w:bidi w:val="0"/>
              <w:adjustRightInd w:val="0"/>
              <w:snapToGrid w:val="0"/>
              <w:spacing w:line="243" w:lineRule="auto"/>
              <w:ind w:left="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1947" w:type="dxa"/>
            <w:vAlign w:val="center"/>
          </w:tcPr>
          <w:p w14:paraId="1F75634E">
            <w:pPr>
              <w:keepNext w:val="0"/>
              <w:keepLines w:val="0"/>
              <w:pageBreakBefore w:val="0"/>
              <w:kinsoku/>
              <w:wordWrap/>
              <w:overflowPunct/>
              <w:topLinePunct w:val="0"/>
              <w:autoSpaceDE/>
              <w:autoSpaceDN/>
              <w:bidi w:val="0"/>
              <w:adjustRightInd w:val="0"/>
              <w:snapToGrid w:val="0"/>
              <w:spacing w:line="243" w:lineRule="auto"/>
              <w:jc w:val="center"/>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服务期</w:t>
            </w:r>
          </w:p>
        </w:tc>
        <w:tc>
          <w:tcPr>
            <w:tcW w:w="7416" w:type="dxa"/>
            <w:vAlign w:val="center"/>
          </w:tcPr>
          <w:p w14:paraId="65993C0E">
            <w:pPr>
              <w:keepNext w:val="0"/>
              <w:keepLines w:val="0"/>
              <w:pageBreakBefore w:val="0"/>
              <w:kinsoku/>
              <w:wordWrap/>
              <w:overflowPunct/>
              <w:topLinePunct w:val="0"/>
              <w:autoSpaceDE/>
              <w:autoSpaceDN/>
              <w:bidi w:val="0"/>
              <w:adjustRightInd w:val="0"/>
              <w:snapToGrid w:val="0"/>
              <w:spacing w:line="243" w:lineRule="auto"/>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服务期12个月。（可在需求不发生变化，且采购单位预算充足的情况下，根据相关政策以及中标人服务质量与中标人续签下一年合同，最多续签两年）。</w:t>
            </w:r>
          </w:p>
        </w:tc>
      </w:tr>
      <w:tr w14:paraId="2583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vAlign w:val="center"/>
          </w:tcPr>
          <w:p w14:paraId="7CC25DC8">
            <w:pPr>
              <w:keepNext w:val="0"/>
              <w:keepLines w:val="0"/>
              <w:pageBreakBefore w:val="0"/>
              <w:kinsoku/>
              <w:wordWrap/>
              <w:overflowPunct/>
              <w:topLinePunct w:val="0"/>
              <w:autoSpaceDE/>
              <w:autoSpaceDN/>
              <w:bidi w:val="0"/>
              <w:adjustRightInd w:val="0"/>
              <w:snapToGrid w:val="0"/>
              <w:spacing w:line="243" w:lineRule="auto"/>
              <w:ind w:left="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w:t>
            </w:r>
          </w:p>
        </w:tc>
        <w:tc>
          <w:tcPr>
            <w:tcW w:w="1947" w:type="dxa"/>
            <w:vAlign w:val="center"/>
          </w:tcPr>
          <w:p w14:paraId="25451B6B">
            <w:pPr>
              <w:keepNext w:val="0"/>
              <w:keepLines w:val="0"/>
              <w:pageBreakBefore w:val="0"/>
              <w:kinsoku/>
              <w:wordWrap/>
              <w:overflowPunct/>
              <w:topLinePunct w:val="0"/>
              <w:autoSpaceDE/>
              <w:autoSpaceDN/>
              <w:bidi w:val="0"/>
              <w:adjustRightInd w:val="0"/>
              <w:snapToGrid w:val="0"/>
              <w:spacing w:line="243"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采购预算</w:t>
            </w:r>
          </w:p>
        </w:tc>
        <w:tc>
          <w:tcPr>
            <w:tcW w:w="7416" w:type="dxa"/>
            <w:vAlign w:val="center"/>
          </w:tcPr>
          <w:p w14:paraId="034B4903">
            <w:pPr>
              <w:keepNext w:val="0"/>
              <w:keepLines w:val="0"/>
              <w:pageBreakBefore w:val="0"/>
              <w:kinsoku/>
              <w:wordWrap/>
              <w:overflowPunct/>
              <w:topLinePunct w:val="0"/>
              <w:autoSpaceDE/>
              <w:autoSpaceDN/>
              <w:bidi w:val="0"/>
              <w:adjustRightInd w:val="0"/>
              <w:snapToGrid w:val="0"/>
              <w:spacing w:line="243"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b/>
                <w:bCs/>
                <w:color w:val="auto"/>
                <w:kern w:val="2"/>
                <w:sz w:val="24"/>
                <w:szCs w:val="24"/>
                <w:highlight w:val="none"/>
                <w:vertAlign w:val="baseline"/>
                <w:lang w:val="en-US" w:eastAsia="zh-CN" w:bidi="ar-SA"/>
              </w:rPr>
              <w:t>本项目预算价：</w:t>
            </w:r>
            <w:r>
              <w:rPr>
                <w:rFonts w:hint="eastAsia" w:ascii="仿宋" w:hAnsi="仿宋" w:eastAsia="仿宋" w:cs="仿宋"/>
                <w:b w:val="0"/>
                <w:bCs w:val="0"/>
                <w:color w:val="0000FF"/>
                <w:kern w:val="2"/>
                <w:sz w:val="24"/>
                <w:szCs w:val="24"/>
                <w:highlight w:val="none"/>
                <w:vertAlign w:val="baseline"/>
                <w:lang w:val="en-US" w:eastAsia="zh-CN" w:bidi="ar-SA"/>
              </w:rPr>
              <w:t>107.484</w:t>
            </w:r>
            <w:r>
              <w:rPr>
                <w:rFonts w:hint="eastAsia" w:ascii="仿宋" w:hAnsi="仿宋" w:eastAsia="仿宋" w:cs="仿宋"/>
                <w:b/>
                <w:bCs/>
                <w:color w:val="0000FF"/>
                <w:kern w:val="2"/>
                <w:sz w:val="24"/>
                <w:szCs w:val="24"/>
                <w:highlight w:val="none"/>
                <w:vertAlign w:val="baseline"/>
                <w:lang w:val="en-US" w:eastAsia="zh-CN" w:bidi="ar-SA"/>
              </w:rPr>
              <w:t>万元（大写：壹佰零柒万肆仟捌佰肆拾元整</w:t>
            </w:r>
            <w:r>
              <w:rPr>
                <w:rFonts w:hint="eastAsia" w:ascii="仿宋" w:hAnsi="仿宋" w:eastAsia="仿宋" w:cs="仿宋"/>
                <w:b/>
                <w:bCs/>
                <w:color w:val="auto"/>
                <w:kern w:val="2"/>
                <w:sz w:val="24"/>
                <w:szCs w:val="24"/>
                <w:highlight w:val="none"/>
                <w:vertAlign w:val="baseline"/>
                <w:lang w:val="en-US" w:eastAsia="zh-CN" w:bidi="ar-SA"/>
              </w:rPr>
              <w:t>）；</w:t>
            </w:r>
            <w:r>
              <w:rPr>
                <w:rFonts w:hint="eastAsia" w:ascii="仿宋" w:hAnsi="仿宋" w:eastAsia="仿宋" w:cs="仿宋"/>
                <w:b w:val="0"/>
                <w:bCs w:val="0"/>
                <w:color w:val="auto"/>
                <w:kern w:val="2"/>
                <w:sz w:val="24"/>
                <w:szCs w:val="24"/>
                <w:highlight w:val="none"/>
                <w:vertAlign w:val="baseline"/>
                <w:lang w:val="en-US" w:eastAsia="zh-CN" w:bidi="ar-SA"/>
              </w:rPr>
              <w:t>此采购预算为最高限价，如超过最高限价的报价为无效报价。投标人的报价明显低于其他投标报价或者明显低于最高限价，经评标委员会评审认为低于成本价的，视为无效报价，作否决投标处理。</w:t>
            </w:r>
          </w:p>
        </w:tc>
      </w:tr>
      <w:tr w14:paraId="650D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838" w:type="dxa"/>
            <w:vAlign w:val="center"/>
          </w:tcPr>
          <w:p w14:paraId="57243170">
            <w:pPr>
              <w:keepNext w:val="0"/>
              <w:keepLines w:val="0"/>
              <w:pageBreakBefore w:val="0"/>
              <w:kinsoku/>
              <w:wordWrap/>
              <w:overflowPunct/>
              <w:topLinePunct w:val="0"/>
              <w:autoSpaceDE/>
              <w:autoSpaceDN/>
              <w:bidi w:val="0"/>
              <w:adjustRightInd w:val="0"/>
              <w:snapToGrid w:val="0"/>
              <w:spacing w:line="243"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8</w:t>
            </w:r>
          </w:p>
        </w:tc>
        <w:tc>
          <w:tcPr>
            <w:tcW w:w="1947" w:type="dxa"/>
            <w:vAlign w:val="center"/>
          </w:tcPr>
          <w:p w14:paraId="2883F1E0">
            <w:pPr>
              <w:keepNext w:val="0"/>
              <w:keepLines w:val="0"/>
              <w:pageBreakBefore w:val="0"/>
              <w:widowControl/>
              <w:kinsoku/>
              <w:wordWrap/>
              <w:overflowPunct/>
              <w:topLinePunct w:val="0"/>
              <w:autoSpaceDE/>
              <w:autoSpaceDN/>
              <w:bidi w:val="0"/>
              <w:adjustRightInd w:val="0"/>
              <w:snapToGrid w:val="0"/>
              <w:spacing w:line="243" w:lineRule="auto"/>
              <w:ind w:left="0" w:leftChars="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color w:val="auto"/>
                <w:sz w:val="24"/>
                <w:szCs w:val="24"/>
                <w:highlight w:val="none"/>
              </w:rPr>
              <w:t>投标保证金</w:t>
            </w:r>
          </w:p>
        </w:tc>
        <w:tc>
          <w:tcPr>
            <w:tcW w:w="7416" w:type="dxa"/>
            <w:vAlign w:val="center"/>
          </w:tcPr>
          <w:p w14:paraId="25ABE20C">
            <w:pPr>
              <w:keepNext w:val="0"/>
              <w:keepLines w:val="0"/>
              <w:pageBreakBefore w:val="0"/>
              <w:kinsoku/>
              <w:wordWrap/>
              <w:overflowPunct/>
              <w:topLinePunct w:val="0"/>
              <w:autoSpaceDE/>
              <w:autoSpaceDN/>
              <w:bidi w:val="0"/>
              <w:adjustRightInd w:val="0"/>
              <w:snapToGrid w:val="0"/>
              <w:spacing w:line="243" w:lineRule="auto"/>
              <w:ind w:left="0" w:leftChars="0"/>
              <w:jc w:val="lef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1、投标保证金金额：</w:t>
            </w:r>
            <w:r>
              <w:rPr>
                <w:rFonts w:hint="eastAsia" w:ascii="仿宋" w:hAnsi="仿宋" w:eastAsia="仿宋" w:cs="仿宋"/>
                <w:b/>
                <w:bCs/>
                <w:color w:val="auto"/>
                <w:kern w:val="0"/>
                <w:sz w:val="24"/>
                <w:szCs w:val="24"/>
                <w:highlight w:val="none"/>
                <w:lang w:val="en-US" w:eastAsia="zh-CN"/>
              </w:rPr>
              <w:t>10000.00元（大写：壹万元整）</w:t>
            </w:r>
          </w:p>
          <w:p w14:paraId="7E053E7C">
            <w:pPr>
              <w:keepNext w:val="0"/>
              <w:keepLines w:val="0"/>
              <w:pageBreakBefore w:val="0"/>
              <w:widowControl/>
              <w:kinsoku/>
              <w:wordWrap/>
              <w:overflowPunct/>
              <w:topLinePunct w:val="0"/>
              <w:autoSpaceDE/>
              <w:autoSpaceDN/>
              <w:bidi w:val="0"/>
              <w:adjustRightInd w:val="0"/>
              <w:snapToGrid w:val="0"/>
              <w:spacing w:line="243" w:lineRule="auto"/>
              <w:ind w:left="241" w:hanging="241" w:hangingChars="1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缴纳形式：以支票、汇票、本票或者金融机构、担保机构出具的保函、转账等非现金形式提交</w:t>
            </w:r>
          </w:p>
          <w:p w14:paraId="708671D7">
            <w:pPr>
              <w:keepNext w:val="0"/>
              <w:keepLines w:val="0"/>
              <w:pageBreakBefore w:val="0"/>
              <w:widowControl w:val="0"/>
              <w:kinsoku/>
              <w:wordWrap/>
              <w:overflowPunct/>
              <w:topLinePunct w:val="0"/>
              <w:autoSpaceDE/>
              <w:autoSpaceDN/>
              <w:bidi w:val="0"/>
              <w:adjustRightInd w:val="0"/>
              <w:snapToGrid w:val="0"/>
              <w:spacing w:line="243" w:lineRule="auto"/>
              <w:ind w:left="0" w:right="0" w:firstLine="0" w:firstLine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2、供应商应于</w:t>
            </w:r>
            <w:r>
              <w:rPr>
                <w:rFonts w:hint="eastAsia" w:ascii="仿宋" w:hAnsi="仿宋" w:eastAsia="仿宋" w:cs="仿宋"/>
                <w:color w:val="0000FF"/>
                <w:sz w:val="24"/>
                <w:szCs w:val="24"/>
                <w:lang w:val="en-US" w:eastAsia="zh-CN"/>
              </w:rPr>
              <w:t>2026年06月12日</w:t>
            </w:r>
            <w:r>
              <w:rPr>
                <w:rFonts w:hint="eastAsia" w:ascii="仿宋" w:hAnsi="仿宋" w:eastAsia="仿宋" w:cs="仿宋"/>
                <w:color w:val="0000FF"/>
                <w:kern w:val="2"/>
                <w:sz w:val="24"/>
                <w:szCs w:val="24"/>
                <w:highlight w:val="none"/>
                <w:lang w:val="en-US" w:eastAsia="zh-CN" w:bidi="ar-SA"/>
              </w:rPr>
              <w:t>11：00</w:t>
            </w:r>
            <w:r>
              <w:rPr>
                <w:rFonts w:hint="eastAsia" w:ascii="仿宋" w:hAnsi="仿宋" w:eastAsia="仿宋" w:cs="仿宋"/>
                <w:color w:val="auto"/>
                <w:kern w:val="2"/>
                <w:sz w:val="24"/>
                <w:szCs w:val="24"/>
                <w:highlight w:val="none"/>
                <w:lang w:val="en-US" w:eastAsia="zh-CN" w:bidi="ar-SA"/>
              </w:rPr>
              <w:t>（北京时间）前，将投标保证金缴纳至采购代理机构指定账户，</w:t>
            </w:r>
            <w:r>
              <w:rPr>
                <w:rFonts w:hint="eastAsia" w:ascii="仿宋" w:hAnsi="仿宋" w:eastAsia="仿宋" w:cs="仿宋"/>
                <w:b w:val="0"/>
                <w:bCs w:val="0"/>
                <w:color w:val="auto"/>
                <w:sz w:val="24"/>
                <w:szCs w:val="24"/>
                <w:highlight w:val="none"/>
                <w:lang w:val="en-US" w:eastAsia="zh-CN"/>
              </w:rPr>
              <w:t>超过时间则不予认可</w:t>
            </w:r>
            <w:r>
              <w:rPr>
                <w:rFonts w:hint="eastAsia" w:ascii="仿宋" w:hAnsi="仿宋" w:eastAsia="仿宋" w:cs="仿宋"/>
                <w:color w:val="auto"/>
                <w:kern w:val="2"/>
                <w:sz w:val="24"/>
                <w:szCs w:val="24"/>
                <w:highlight w:val="none"/>
                <w:lang w:val="en-US" w:eastAsia="zh-CN" w:bidi="ar-SA"/>
              </w:rPr>
              <w:t>。</w:t>
            </w:r>
          </w:p>
          <w:p w14:paraId="70FDC149">
            <w:pPr>
              <w:keepNext w:val="0"/>
              <w:keepLines w:val="0"/>
              <w:pageBreakBefore w:val="0"/>
              <w:widowControl w:val="0"/>
              <w:kinsoku/>
              <w:wordWrap/>
              <w:overflowPunct/>
              <w:topLinePunct w:val="0"/>
              <w:autoSpaceDE/>
              <w:autoSpaceDN/>
              <w:bidi w:val="0"/>
              <w:adjustRightInd w:val="0"/>
              <w:snapToGrid w:val="0"/>
              <w:spacing w:line="243" w:lineRule="auto"/>
              <w:ind w:left="0" w:right="0" w:firstLine="0" w:firstLineChars="0"/>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账户名称：新疆庆信达项目管理有限公司</w:t>
            </w:r>
          </w:p>
          <w:p w14:paraId="1EF491C7">
            <w:pPr>
              <w:keepNext w:val="0"/>
              <w:keepLines w:val="0"/>
              <w:pageBreakBefore w:val="0"/>
              <w:widowControl w:val="0"/>
              <w:kinsoku/>
              <w:wordWrap/>
              <w:overflowPunct/>
              <w:topLinePunct w:val="0"/>
              <w:autoSpaceDE/>
              <w:autoSpaceDN/>
              <w:bidi w:val="0"/>
              <w:adjustRightInd w:val="0"/>
              <w:snapToGrid w:val="0"/>
              <w:spacing w:line="243" w:lineRule="auto"/>
              <w:ind w:left="0" w:right="0" w:firstLine="0" w:firstLineChars="0"/>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账    户：107672786077</w:t>
            </w:r>
          </w:p>
          <w:p w14:paraId="6DD7DB7C">
            <w:pPr>
              <w:keepNext w:val="0"/>
              <w:keepLines w:val="0"/>
              <w:pageBreakBefore w:val="0"/>
              <w:widowControl w:val="0"/>
              <w:kinsoku/>
              <w:wordWrap/>
              <w:overflowPunct/>
              <w:topLinePunct w:val="0"/>
              <w:autoSpaceDE/>
              <w:autoSpaceDN/>
              <w:bidi w:val="0"/>
              <w:adjustRightInd w:val="0"/>
              <w:snapToGrid w:val="0"/>
              <w:spacing w:line="243" w:lineRule="auto"/>
              <w:ind w:left="0" w:right="0" w:firstLine="0" w:firstLineChars="0"/>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开户银行：中国银行股份有限公司和田市乌鲁木齐北路支行</w:t>
            </w:r>
          </w:p>
          <w:p w14:paraId="725A49BC">
            <w:pPr>
              <w:keepNext w:val="0"/>
              <w:keepLines w:val="0"/>
              <w:pageBreakBefore w:val="0"/>
              <w:widowControl w:val="0"/>
              <w:kinsoku/>
              <w:wordWrap/>
              <w:overflowPunct/>
              <w:topLinePunct w:val="0"/>
              <w:autoSpaceDE/>
              <w:autoSpaceDN/>
              <w:bidi w:val="0"/>
              <w:adjustRightInd w:val="0"/>
              <w:snapToGrid w:val="0"/>
              <w:spacing w:line="243" w:lineRule="auto"/>
              <w:ind w:left="0" w:right="0" w:firstLine="0" w:firstLineChars="0"/>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开户行号：104896001037</w:t>
            </w:r>
          </w:p>
          <w:p w14:paraId="4A5FDBAD">
            <w:pPr>
              <w:keepNext w:val="0"/>
              <w:keepLines w:val="0"/>
              <w:pageBreakBefore w:val="0"/>
              <w:widowControl w:val="0"/>
              <w:kinsoku/>
              <w:wordWrap/>
              <w:overflowPunct/>
              <w:topLinePunct w:val="0"/>
              <w:autoSpaceDE/>
              <w:autoSpaceDN/>
              <w:bidi w:val="0"/>
              <w:adjustRightInd w:val="0"/>
              <w:snapToGrid w:val="0"/>
              <w:spacing w:line="243" w:lineRule="auto"/>
              <w:ind w:left="0" w:right="0" w:firstLine="0" w:firstLineChars="0"/>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联系方式：0903-7820626</w:t>
            </w:r>
          </w:p>
          <w:p w14:paraId="181DDC34">
            <w:pPr>
              <w:keepNext w:val="0"/>
              <w:keepLines w:val="0"/>
              <w:pageBreakBefore w:val="0"/>
              <w:widowControl w:val="0"/>
              <w:kinsoku/>
              <w:wordWrap/>
              <w:overflowPunct/>
              <w:topLinePunct w:val="0"/>
              <w:autoSpaceDE/>
              <w:autoSpaceDN/>
              <w:bidi w:val="0"/>
              <w:adjustRightInd w:val="0"/>
              <w:snapToGrid w:val="0"/>
              <w:spacing w:line="243" w:lineRule="auto"/>
              <w:ind w:left="0" w:right="0" w:firstLine="0" w:firstLine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注：</w:t>
            </w:r>
            <w:r>
              <w:rPr>
                <w:rFonts w:hint="eastAsia" w:ascii="仿宋" w:hAnsi="仿宋" w:eastAsia="仿宋" w:cs="仿宋"/>
                <w:color w:val="auto"/>
                <w:kern w:val="2"/>
                <w:sz w:val="24"/>
                <w:szCs w:val="24"/>
                <w:highlight w:val="none"/>
                <w:lang w:val="en-US" w:eastAsia="zh-CN" w:bidi="ar-SA"/>
              </w:rPr>
              <w:t>1.如果发现供应商有围标、串标行为，其响应无效，且投标保证金将被没收，不予退还；</w:t>
            </w:r>
          </w:p>
          <w:p w14:paraId="2DCFAC37">
            <w:pPr>
              <w:keepNext w:val="0"/>
              <w:keepLines w:val="0"/>
              <w:pageBreakBefore w:val="0"/>
              <w:widowControl w:val="0"/>
              <w:kinsoku/>
              <w:wordWrap/>
              <w:overflowPunct/>
              <w:topLinePunct w:val="0"/>
              <w:autoSpaceDE/>
              <w:autoSpaceDN/>
              <w:bidi w:val="0"/>
              <w:adjustRightInd w:val="0"/>
              <w:snapToGrid w:val="0"/>
              <w:spacing w:line="243" w:lineRule="auto"/>
              <w:ind w:left="0" w:right="0" w:firstLine="240" w:firstLineChars="1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2.投标保证金未按规定时间缴纳或提交金额不足的，将被视为无效响应,其响应文件将不予接受。供应商应充分考虑资金在途时间；</w:t>
            </w:r>
          </w:p>
          <w:p w14:paraId="18C830DF">
            <w:pPr>
              <w:keepNext w:val="0"/>
              <w:keepLines w:val="0"/>
              <w:pageBreakBefore w:val="0"/>
              <w:widowControl w:val="0"/>
              <w:kinsoku/>
              <w:wordWrap/>
              <w:overflowPunct/>
              <w:topLinePunct w:val="0"/>
              <w:autoSpaceDE/>
              <w:autoSpaceDN/>
              <w:bidi w:val="0"/>
              <w:adjustRightInd w:val="0"/>
              <w:snapToGrid w:val="0"/>
              <w:spacing w:line="243" w:lineRule="auto"/>
              <w:ind w:left="0" w:right="0" w:firstLine="240" w:firstLineChars="1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3.供应商递交保证金时请在用途栏注明“项目名称（可简写）/项目编号、汇款事由（投标保证金）”，对因未注明项目名称及汇款事由而造成保证金不能及时到账的，后果由供应商自负。</w:t>
            </w:r>
          </w:p>
          <w:p w14:paraId="3813DD2C">
            <w:pPr>
              <w:keepNext w:val="0"/>
              <w:keepLines w:val="0"/>
              <w:pageBreakBefore w:val="0"/>
              <w:widowControl w:val="0"/>
              <w:kinsoku/>
              <w:wordWrap/>
              <w:overflowPunct/>
              <w:topLinePunct w:val="0"/>
              <w:autoSpaceDE/>
              <w:autoSpaceDN/>
              <w:bidi w:val="0"/>
              <w:adjustRightInd w:val="0"/>
              <w:snapToGrid w:val="0"/>
              <w:spacing w:line="243" w:lineRule="auto"/>
              <w:ind w:left="0" w:right="0" w:firstLine="240" w:firstLineChars="1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14:paraId="7B99AD8E">
            <w:pPr>
              <w:keepNext w:val="0"/>
              <w:keepLines w:val="0"/>
              <w:pageBreakBefore w:val="0"/>
              <w:kinsoku/>
              <w:wordWrap/>
              <w:overflowPunct/>
              <w:topLinePunct w:val="0"/>
              <w:autoSpaceDE/>
              <w:autoSpaceDN/>
              <w:bidi w:val="0"/>
              <w:adjustRightInd w:val="0"/>
              <w:snapToGrid w:val="0"/>
              <w:spacing w:line="243" w:lineRule="auto"/>
              <w:ind w:left="0" w:left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保函投保金额（元）：</w:t>
            </w:r>
            <w:r>
              <w:rPr>
                <w:rFonts w:hint="eastAsia" w:ascii="仿宋" w:hAnsi="仿宋" w:eastAsia="仿宋" w:cs="仿宋"/>
                <w:b/>
                <w:bCs/>
                <w:color w:val="0000FF"/>
                <w:kern w:val="0"/>
                <w:sz w:val="24"/>
                <w:szCs w:val="24"/>
                <w:highlight w:val="none"/>
                <w:lang w:val="en-US" w:eastAsia="zh-CN"/>
              </w:rPr>
              <w:t>10000.00元（大写：壹万元整</w:t>
            </w:r>
            <w:r>
              <w:rPr>
                <w:rFonts w:hint="eastAsia" w:ascii="仿宋" w:hAnsi="仿宋" w:eastAsia="仿宋" w:cs="仿宋"/>
                <w:b/>
                <w:bCs/>
                <w:color w:val="auto"/>
                <w:kern w:val="0"/>
                <w:sz w:val="24"/>
                <w:szCs w:val="24"/>
                <w:highlight w:val="none"/>
                <w:lang w:val="en-US" w:eastAsia="zh-CN"/>
              </w:rPr>
              <w:t>）</w:t>
            </w:r>
          </w:p>
          <w:p w14:paraId="6F84B450">
            <w:pPr>
              <w:pStyle w:val="22"/>
              <w:keepNext w:val="0"/>
              <w:keepLines w:val="0"/>
              <w:pageBreakBefore w:val="0"/>
              <w:widowControl w:val="0"/>
              <w:kinsoku/>
              <w:wordWrap/>
              <w:overflowPunct/>
              <w:topLinePunct w:val="0"/>
              <w:autoSpaceDE/>
              <w:autoSpaceDN/>
              <w:bidi w:val="0"/>
              <w:adjustRightInd w:val="0"/>
              <w:snapToGrid w:val="0"/>
              <w:spacing w:line="243"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保函承保期限：90日历天</w:t>
            </w:r>
          </w:p>
          <w:p w14:paraId="6D7566FC">
            <w:pPr>
              <w:keepNext w:val="0"/>
              <w:keepLines w:val="0"/>
              <w:pageBreakBefore w:val="0"/>
              <w:widowControl/>
              <w:numPr>
                <w:ilvl w:val="0"/>
                <w:numId w:val="0"/>
              </w:numPr>
              <w:kinsoku/>
              <w:wordWrap/>
              <w:overflowPunct/>
              <w:topLinePunct w:val="0"/>
              <w:autoSpaceDE/>
              <w:autoSpaceDN/>
              <w:bidi w:val="0"/>
              <w:adjustRightInd w:val="0"/>
              <w:snapToGrid w:val="0"/>
              <w:spacing w:line="243"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3、投标保证金缴纳方式：《关于促进政府采购公平竞争优化营商环境的通知》[财库〔2019〕38号文]。请各投标企业充分考虑当前营商环境情况，选择切实可行的方式缴纳。</w:t>
            </w:r>
          </w:p>
          <w:p w14:paraId="737674A9">
            <w:pPr>
              <w:pStyle w:val="22"/>
              <w:keepNext w:val="0"/>
              <w:keepLines w:val="0"/>
              <w:pageBreakBefore w:val="0"/>
              <w:numPr>
                <w:ilvl w:val="0"/>
                <w:numId w:val="0"/>
              </w:numPr>
              <w:kinsoku/>
              <w:wordWrap/>
              <w:overflowPunct/>
              <w:topLinePunct w:val="0"/>
              <w:autoSpaceDE/>
              <w:autoSpaceDN/>
              <w:bidi w:val="0"/>
              <w:adjustRightInd w:val="0"/>
              <w:snapToGrid w:val="0"/>
              <w:spacing w:line="243" w:lineRule="auto"/>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w:t>
            </w:r>
            <w:r>
              <w:rPr>
                <w:rFonts w:hint="eastAsia" w:ascii="仿宋" w:hAnsi="仿宋" w:eastAsia="仿宋" w:cs="仿宋"/>
                <w:b/>
                <w:bCs/>
                <w:color w:val="auto"/>
                <w:kern w:val="2"/>
                <w:sz w:val="24"/>
                <w:szCs w:val="24"/>
                <w:highlight w:val="none"/>
                <w:lang w:val="en-US" w:eastAsia="zh-CN" w:bidi="ar-SA"/>
              </w:rPr>
              <w:t>退保证金说明：</w:t>
            </w:r>
            <w:r>
              <w:rPr>
                <w:rFonts w:hint="eastAsia" w:ascii="仿宋" w:hAnsi="仿宋" w:eastAsia="仿宋" w:cs="仿宋"/>
                <w:b w:val="0"/>
                <w:bCs w:val="0"/>
                <w:color w:val="auto"/>
                <w:kern w:val="2"/>
                <w:sz w:val="24"/>
                <w:szCs w:val="24"/>
                <w:highlight w:val="none"/>
                <w:lang w:val="en-US" w:eastAsia="zh-CN" w:bidi="ar-SA"/>
              </w:rPr>
              <w:t>为确保投标保证金的及时退还，开标结束后投标企业需提供保证金汇款凭证、银行出具的“基本存款账户信息”或开户许可证（注明开户行行号、联系方式）加盖公司鲜章，交至或邮寄（EMS）新疆庆信达项目管理有限公司（联系电话：0903-7820626）。</w:t>
            </w:r>
          </w:p>
          <w:p w14:paraId="65D0BD92">
            <w:pPr>
              <w:pStyle w:val="22"/>
              <w:keepNext w:val="0"/>
              <w:keepLines w:val="0"/>
              <w:pageBreakBefore w:val="0"/>
              <w:numPr>
                <w:ilvl w:val="0"/>
                <w:numId w:val="0"/>
              </w:numPr>
              <w:kinsoku/>
              <w:wordWrap/>
              <w:overflowPunct/>
              <w:topLinePunct w:val="0"/>
              <w:autoSpaceDE/>
              <w:autoSpaceDN/>
              <w:bidi w:val="0"/>
              <w:adjustRightInd w:val="0"/>
              <w:snapToGrid w:val="0"/>
              <w:spacing w:line="243" w:lineRule="auto"/>
              <w:ind w:left="0" w:lef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kern w:val="2"/>
                <w:sz w:val="24"/>
                <w:szCs w:val="24"/>
                <w:highlight w:val="none"/>
                <w:lang w:val="en-US" w:eastAsia="zh-CN" w:bidi="ar-SA"/>
              </w:rPr>
              <w:t>（</w:t>
            </w:r>
            <w:r>
              <w:rPr>
                <w:rFonts w:hint="eastAsia" w:ascii="仿宋" w:hAnsi="仿宋" w:eastAsia="仿宋" w:cs="仿宋"/>
                <w:b/>
                <w:bCs/>
                <w:color w:val="auto"/>
                <w:kern w:val="2"/>
                <w:sz w:val="24"/>
                <w:szCs w:val="24"/>
                <w:highlight w:val="none"/>
                <w:lang w:val="en-US" w:eastAsia="zh-CN" w:bidi="ar-SA"/>
              </w:rPr>
              <w:t>注：</w:t>
            </w:r>
            <w:r>
              <w:rPr>
                <w:rFonts w:hint="eastAsia" w:ascii="仿宋" w:hAnsi="仿宋" w:eastAsia="仿宋" w:cs="仿宋"/>
                <w:b w:val="0"/>
                <w:bCs w:val="0"/>
                <w:color w:val="auto"/>
                <w:kern w:val="2"/>
                <w:sz w:val="24"/>
                <w:szCs w:val="24"/>
                <w:highlight w:val="none"/>
                <w:lang w:val="en-US" w:eastAsia="zh-CN" w:bidi="ar-SA"/>
              </w:rPr>
              <w:t>废标项目投标保证金在后续项目再次招标时系统不作统计，请投标企业及时办理退款），中标企业签订政府采购合同后，携带合同原件一份及以上资料办理退投标保证金事宜。</w:t>
            </w:r>
          </w:p>
        </w:tc>
      </w:tr>
      <w:tr w14:paraId="6D03D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25A5B7B4">
            <w:pPr>
              <w:keepNext w:val="0"/>
              <w:keepLines w:val="0"/>
              <w:pageBreakBefore w:val="0"/>
              <w:kinsoku/>
              <w:wordWrap/>
              <w:overflowPunct/>
              <w:topLinePunct w:val="0"/>
              <w:autoSpaceDE/>
              <w:autoSpaceDN/>
              <w:bidi w:val="0"/>
              <w:adjustRightInd w:val="0"/>
              <w:snapToGrid w:val="0"/>
              <w:spacing w:line="243"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9</w:t>
            </w:r>
          </w:p>
        </w:tc>
        <w:tc>
          <w:tcPr>
            <w:tcW w:w="1947" w:type="dxa"/>
            <w:vAlign w:val="center"/>
          </w:tcPr>
          <w:p w14:paraId="42D318FE">
            <w:pPr>
              <w:keepNext w:val="0"/>
              <w:keepLines w:val="0"/>
              <w:pageBreakBefore w:val="0"/>
              <w:kinsoku/>
              <w:wordWrap/>
              <w:overflowPunct/>
              <w:topLinePunct w:val="0"/>
              <w:autoSpaceDE/>
              <w:autoSpaceDN/>
              <w:bidi w:val="0"/>
              <w:adjustRightInd w:val="0"/>
              <w:snapToGrid w:val="0"/>
              <w:spacing w:line="243" w:lineRule="auto"/>
              <w:ind w:left="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资格要求</w:t>
            </w:r>
          </w:p>
          <w:p w14:paraId="50E2844B">
            <w:pPr>
              <w:keepNext w:val="0"/>
              <w:keepLines w:val="0"/>
              <w:pageBreakBefore w:val="0"/>
              <w:kinsoku/>
              <w:wordWrap/>
              <w:overflowPunct/>
              <w:topLinePunct w:val="0"/>
              <w:autoSpaceDE/>
              <w:autoSpaceDN/>
              <w:bidi w:val="0"/>
              <w:adjustRightInd w:val="0"/>
              <w:snapToGrid w:val="0"/>
              <w:spacing w:line="243" w:lineRule="auto"/>
              <w:ind w:left="0"/>
              <w:jc w:val="center"/>
              <w:textAlignment w:val="auto"/>
              <w:rPr>
                <w:rFonts w:hint="eastAsia" w:ascii="仿宋" w:hAnsi="仿宋" w:eastAsia="仿宋" w:cs="仿宋"/>
                <w:color w:val="auto"/>
                <w:sz w:val="24"/>
                <w:szCs w:val="24"/>
                <w:highlight w:val="none"/>
              </w:rPr>
            </w:pPr>
          </w:p>
        </w:tc>
        <w:tc>
          <w:tcPr>
            <w:tcW w:w="7416" w:type="dxa"/>
            <w:vAlign w:val="center"/>
          </w:tcPr>
          <w:p w14:paraId="5AB8679D">
            <w:pPr>
              <w:keepNext w:val="0"/>
              <w:keepLines w:val="0"/>
              <w:pageBreakBefore w:val="0"/>
              <w:widowControl w:val="0"/>
              <w:kinsoku/>
              <w:wordWrap/>
              <w:overflowPunct/>
              <w:topLinePunct w:val="0"/>
              <w:autoSpaceDE/>
              <w:autoSpaceDN/>
              <w:bidi w:val="0"/>
              <w:adjustRightInd w:val="0"/>
              <w:snapToGrid w:val="0"/>
              <w:spacing w:line="243" w:lineRule="auto"/>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1.满足《中华人民共和国政府采购法》第二十二条规定；</w:t>
            </w:r>
          </w:p>
          <w:p w14:paraId="0EA8545C">
            <w:pPr>
              <w:keepNext w:val="0"/>
              <w:keepLines w:val="0"/>
              <w:pageBreakBefore w:val="0"/>
              <w:widowControl w:val="0"/>
              <w:kinsoku/>
              <w:wordWrap/>
              <w:overflowPunct/>
              <w:topLinePunct w:val="0"/>
              <w:autoSpaceDE/>
              <w:autoSpaceDN/>
              <w:bidi w:val="0"/>
              <w:adjustRightInd w:val="0"/>
              <w:snapToGrid w:val="0"/>
              <w:spacing w:line="243" w:lineRule="auto"/>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2.落实政府采购政策需满足的资格要求：</w:t>
            </w:r>
          </w:p>
          <w:p w14:paraId="793111AA">
            <w:pPr>
              <w:pStyle w:val="166"/>
              <w:spacing w:line="0" w:lineRule="atLeast"/>
              <w:ind w:left="0" w:leftChars="0" w:firstLine="0" w:firstLineChars="0"/>
              <w:rPr>
                <w:rFonts w:hint="eastAsia" w:ascii="仿宋" w:hAnsi="仿宋" w:eastAsia="仿宋" w:cs="仿宋"/>
                <w:b w:val="0"/>
                <w:bCs w:val="0"/>
                <w:color w:val="auto"/>
                <w:kern w:val="2"/>
                <w:sz w:val="24"/>
                <w:szCs w:val="24"/>
                <w:highlight w:val="none"/>
                <w:lang w:val="en-US" w:eastAsia="zh-Hans" w:bidi="ar-SA"/>
              </w:rPr>
            </w:pPr>
            <w:r>
              <w:rPr>
                <w:rFonts w:hint="eastAsia" w:ascii="仿宋" w:hAnsi="仿宋" w:eastAsia="仿宋" w:cs="仿宋"/>
                <w:b w:val="0"/>
                <w:bCs w:val="0"/>
                <w:color w:val="auto"/>
                <w:kern w:val="2"/>
                <w:sz w:val="24"/>
                <w:szCs w:val="24"/>
                <w:highlight w:val="none"/>
                <w:lang w:val="en-US" w:eastAsia="zh-CN" w:bidi="ar-SA"/>
              </w:rPr>
              <w:t>（1）根据《政府采购促进中小企业发展办法》（财库〔2020〕46号）的相关规定，本项目不专门面向中小企业采购，但对符合要求的中小微企业给与10%的报价扣除，用扣除后的价格参与评审。</w:t>
            </w:r>
          </w:p>
          <w:p w14:paraId="7D4F112D">
            <w:pPr>
              <w:keepNext w:val="0"/>
              <w:keepLines w:val="0"/>
              <w:pageBreakBefore w:val="0"/>
              <w:widowControl/>
              <w:kinsoku w:val="0"/>
              <w:wordWrap/>
              <w:overflowPunct/>
              <w:topLinePunct w:val="0"/>
              <w:autoSpaceDE w:val="0"/>
              <w:autoSpaceDN w:val="0"/>
              <w:bidi w:val="0"/>
              <w:adjustRightInd w:val="0"/>
              <w:snapToGrid w:val="0"/>
              <w:spacing w:before="66" w:line="262" w:lineRule="auto"/>
              <w:ind w:left="8" w:right="74" w:firstLine="490"/>
              <w:jc w:val="left"/>
              <w:textAlignment w:val="baseline"/>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w:t>
            </w:r>
            <w:r>
              <w:rPr>
                <w:rFonts w:hint="eastAsia" w:ascii="仿宋" w:hAnsi="仿宋" w:eastAsia="仿宋" w:cs="仿宋"/>
                <w:snapToGrid w:val="0"/>
                <w:color w:val="000000"/>
                <w:spacing w:val="-1"/>
                <w:kern w:val="0"/>
                <w:sz w:val="24"/>
                <w:szCs w:val="24"/>
                <w:lang w:eastAsia="en-US"/>
              </w:rPr>
              <w:t>具有独立承担民事责任的能力：提供在中华人民共和国境内注册的法人或其他组</w:t>
            </w:r>
            <w:r>
              <w:rPr>
                <w:rFonts w:hint="eastAsia" w:ascii="仿宋" w:hAnsi="仿宋" w:eastAsia="仿宋" w:cs="仿宋"/>
                <w:snapToGrid w:val="0"/>
                <w:color w:val="000000"/>
                <w:spacing w:val="-4"/>
                <w:kern w:val="0"/>
                <w:sz w:val="24"/>
                <w:szCs w:val="24"/>
                <w:lang w:eastAsia="en-US"/>
              </w:rPr>
              <w:t>织的营业执照或事业单位法人证书或社会团体法人登记证书复印件，如投标人为自然人</w:t>
            </w:r>
            <w:r>
              <w:rPr>
                <w:rFonts w:hint="eastAsia" w:ascii="仿宋" w:hAnsi="仿宋" w:eastAsia="仿宋" w:cs="仿宋"/>
                <w:snapToGrid w:val="0"/>
                <w:color w:val="000000"/>
                <w:spacing w:val="-5"/>
                <w:kern w:val="0"/>
                <w:sz w:val="24"/>
                <w:szCs w:val="24"/>
                <w:lang w:eastAsia="en-US"/>
              </w:rPr>
              <w:t>的提</w:t>
            </w:r>
            <w:r>
              <w:rPr>
                <w:rFonts w:hint="eastAsia" w:ascii="仿宋" w:hAnsi="仿宋" w:eastAsia="仿宋" w:cs="仿宋"/>
                <w:snapToGrid w:val="0"/>
                <w:color w:val="000000"/>
                <w:spacing w:val="-4"/>
                <w:kern w:val="0"/>
                <w:sz w:val="24"/>
                <w:szCs w:val="24"/>
                <w:lang w:eastAsia="en-US"/>
              </w:rPr>
              <w:t>供自然人身份证明复印件；如国家另有规定的，则从其定。（分支机构投标，须取得具有法</w:t>
            </w:r>
            <w:r>
              <w:rPr>
                <w:rFonts w:hint="eastAsia" w:ascii="仿宋" w:hAnsi="仿宋" w:eastAsia="仿宋" w:cs="仿宋"/>
                <w:snapToGrid w:val="0"/>
                <w:color w:val="000000"/>
                <w:spacing w:val="-9"/>
                <w:kern w:val="0"/>
                <w:sz w:val="24"/>
                <w:szCs w:val="24"/>
                <w:lang w:eastAsia="en-US"/>
              </w:rPr>
              <w:t>人资格的总公司（总所）出具给分支机构的授权书，并提供总公司（总所）和分支机构的营业</w:t>
            </w:r>
            <w:r>
              <w:rPr>
                <w:rFonts w:hint="eastAsia" w:ascii="仿宋" w:hAnsi="仿宋" w:eastAsia="仿宋" w:cs="仿宋"/>
                <w:snapToGrid w:val="0"/>
                <w:color w:val="000000"/>
                <w:spacing w:val="-4"/>
                <w:kern w:val="0"/>
                <w:sz w:val="24"/>
                <w:szCs w:val="24"/>
                <w:lang w:eastAsia="en-US"/>
              </w:rPr>
              <w:t>执照（执业许可证）复印件。已由总公司（总所）授权的，总公司（总所）取得的相关资质</w:t>
            </w:r>
            <w:r>
              <w:rPr>
                <w:rFonts w:hint="eastAsia" w:ascii="仿宋" w:hAnsi="仿宋" w:eastAsia="仿宋" w:cs="仿宋"/>
                <w:snapToGrid w:val="0"/>
                <w:color w:val="000000"/>
                <w:kern w:val="0"/>
                <w:sz w:val="24"/>
                <w:szCs w:val="24"/>
                <w:lang w:eastAsia="en-US"/>
              </w:rPr>
              <w:t>证书对分支机构有效，法律法规或者行业另有规定的除外。</w:t>
            </w:r>
            <w:r>
              <w:rPr>
                <w:rFonts w:hint="eastAsia" w:ascii="仿宋" w:hAnsi="仿宋" w:eastAsia="仿宋" w:cs="仿宋"/>
                <w:snapToGrid w:val="0"/>
                <w:color w:val="000000"/>
                <w:spacing w:val="-16"/>
                <w:kern w:val="0"/>
                <w:sz w:val="24"/>
                <w:szCs w:val="24"/>
                <w:lang w:eastAsia="en-US"/>
              </w:rPr>
              <w:t>）；</w:t>
            </w:r>
          </w:p>
          <w:p w14:paraId="07ABE491">
            <w:pPr>
              <w:keepNext w:val="0"/>
              <w:keepLines w:val="0"/>
              <w:pageBreakBefore w:val="0"/>
              <w:widowControl w:val="0"/>
              <w:kinsoku/>
              <w:wordWrap/>
              <w:overflowPunct/>
              <w:topLinePunct w:val="0"/>
              <w:autoSpaceDE/>
              <w:autoSpaceDN/>
              <w:bidi w:val="0"/>
              <w:adjustRightInd w:val="0"/>
              <w:snapToGrid w:val="0"/>
              <w:spacing w:line="243" w:lineRule="auto"/>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（3）法定代表人开标应附《法定代表人身份证明书》及身份证复印件，委托代理人开标应附《法定代表人授权委托书》及被委托人身份证复印件；</w:t>
            </w:r>
          </w:p>
          <w:p w14:paraId="1833B5BF">
            <w:pPr>
              <w:keepNext w:val="0"/>
              <w:keepLines w:val="0"/>
              <w:pageBreakBefore w:val="0"/>
              <w:widowControl w:val="0"/>
              <w:kinsoku/>
              <w:wordWrap/>
              <w:overflowPunct/>
              <w:topLinePunct w:val="0"/>
              <w:autoSpaceDE/>
              <w:autoSpaceDN/>
              <w:bidi w:val="0"/>
              <w:adjustRightInd w:val="0"/>
              <w:snapToGrid w:val="0"/>
              <w:spacing w:line="243" w:lineRule="auto"/>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提供本单位缴纳的近三个月（近三个月是指2026年02月-2026年04月）社保缴纳证明（社保证明材料须是社保局出具的缴纳证明或社保系统导出的缴纳汇总凭证；新成立不足三个月的公司以实际发生的为准，如依法不需要缴纳社会保障资金的，应提供相应文件证明）；</w:t>
            </w:r>
          </w:p>
          <w:p w14:paraId="1FA71B65">
            <w:pPr>
              <w:keepNext w:val="0"/>
              <w:keepLines w:val="0"/>
              <w:pageBreakBefore w:val="0"/>
              <w:widowControl w:val="0"/>
              <w:kinsoku/>
              <w:wordWrap/>
              <w:overflowPunct/>
              <w:topLinePunct w:val="0"/>
              <w:autoSpaceDE/>
              <w:autoSpaceDN/>
              <w:bidi w:val="0"/>
              <w:adjustRightInd w:val="0"/>
              <w:snapToGrid w:val="0"/>
              <w:spacing w:line="243" w:lineRule="auto"/>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（5）投标人需提供2024年度或2025年度第三方审计机构出具的财务审计报告（会计周期不满一年的可不提供财务审计报告但需提供银行出具的近三个月的资信证明）；</w:t>
            </w:r>
          </w:p>
          <w:p w14:paraId="7C46D883">
            <w:pPr>
              <w:keepNext w:val="0"/>
              <w:keepLines w:val="0"/>
              <w:pageBreakBefore w:val="0"/>
              <w:widowControl w:val="0"/>
              <w:kinsoku/>
              <w:wordWrap/>
              <w:overflowPunct/>
              <w:topLinePunct w:val="0"/>
              <w:autoSpaceDE/>
              <w:autoSpaceDN/>
              <w:bidi w:val="0"/>
              <w:adjustRightInd w:val="0"/>
              <w:snapToGrid w:val="0"/>
              <w:spacing w:line="243" w:lineRule="auto"/>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提供税务部门出具近三个月（近三个月是指2026年01月-2026年03月）依法缴纳税收的完税证明（需含增值税、印花税等税种；如当月无需缴税需提供税务机关出具的无欠税证明），新成立公司按实际发生提供税务机关出具的无欠税证明；</w:t>
            </w:r>
          </w:p>
          <w:p w14:paraId="06037027">
            <w:pPr>
              <w:keepNext w:val="0"/>
              <w:keepLines w:val="0"/>
              <w:pageBreakBefore w:val="0"/>
              <w:widowControl w:val="0"/>
              <w:kinsoku/>
              <w:wordWrap/>
              <w:overflowPunct/>
              <w:topLinePunct w:val="0"/>
              <w:autoSpaceDE/>
              <w:autoSpaceDN/>
              <w:bidi w:val="0"/>
              <w:adjustRightInd w:val="0"/>
              <w:snapToGrid w:val="0"/>
              <w:spacing w:line="243" w:lineRule="auto"/>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7）凡拟参加本次招标项目的投标人近三年内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被列入经营异常名录信息、严重违法失信名单（黑名单）信息（尚在处罚期内的）；将拒绝其参与本次政府采购活动；</w:t>
            </w:r>
          </w:p>
          <w:p w14:paraId="7D12226A">
            <w:pPr>
              <w:keepNext w:val="0"/>
              <w:keepLines w:val="0"/>
              <w:pageBreakBefore w:val="0"/>
              <w:widowControl w:val="0"/>
              <w:kinsoku/>
              <w:wordWrap/>
              <w:overflowPunct/>
              <w:topLinePunct w:val="0"/>
              <w:autoSpaceDE/>
              <w:autoSpaceDN/>
              <w:bidi w:val="0"/>
              <w:adjustRightInd w:val="0"/>
              <w:snapToGrid w:val="0"/>
              <w:spacing w:line="243" w:lineRule="auto"/>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（8）企业负责人为同一人或者存在直接控股、管理关系的不同供应商，不得参加同一合同项下的政府采购活动。否则，皆取消投标资格；</w:t>
            </w:r>
          </w:p>
          <w:p w14:paraId="2DFAC057">
            <w:pPr>
              <w:keepNext w:val="0"/>
              <w:keepLines w:val="0"/>
              <w:pageBreakBefore w:val="0"/>
              <w:widowControl w:val="0"/>
              <w:kinsoku/>
              <w:wordWrap/>
              <w:overflowPunct/>
              <w:topLinePunct w:val="0"/>
              <w:autoSpaceDE/>
              <w:autoSpaceDN/>
              <w:bidi w:val="0"/>
              <w:adjustRightInd w:val="0"/>
              <w:snapToGrid w:val="0"/>
              <w:spacing w:line="243" w:lineRule="auto"/>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（9）本项目不接受联合体投标。</w:t>
            </w:r>
          </w:p>
          <w:p w14:paraId="67BEEEA2">
            <w:pPr>
              <w:keepNext w:val="0"/>
              <w:keepLines w:val="0"/>
              <w:pageBreakBefore w:val="0"/>
              <w:widowControl w:val="0"/>
              <w:kinsoku/>
              <w:wordWrap/>
              <w:overflowPunct/>
              <w:topLinePunct w:val="0"/>
              <w:autoSpaceDE/>
              <w:autoSpaceDN/>
              <w:bidi w:val="0"/>
              <w:adjustRightInd w:val="0"/>
              <w:snapToGrid w:val="0"/>
              <w:spacing w:line="243" w:lineRule="auto"/>
              <w:jc w:val="both"/>
              <w:textAlignment w:val="auto"/>
              <w:outlineLvl w:val="9"/>
              <w:rPr>
                <w:rFonts w:hint="eastAsia" w:ascii="仿宋" w:hAnsi="仿宋" w:eastAsia="仿宋" w:cs="仿宋"/>
                <w:i w:val="0"/>
                <w:caps w:val="0"/>
                <w:color w:val="auto"/>
                <w:spacing w:val="0"/>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3.本项目的特定资格要求：无</w:t>
            </w:r>
            <w:r>
              <w:rPr>
                <w:rFonts w:hint="eastAsia" w:ascii="仿宋" w:hAnsi="仿宋" w:eastAsia="仿宋" w:cs="仿宋"/>
                <w:color w:val="000000"/>
                <w:sz w:val="24"/>
              </w:rPr>
              <w:t>；</w:t>
            </w:r>
          </w:p>
        </w:tc>
      </w:tr>
      <w:tr w14:paraId="1CCD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2760B1CA">
            <w:pPr>
              <w:keepNext w:val="0"/>
              <w:keepLines w:val="0"/>
              <w:pageBreakBefore w:val="0"/>
              <w:kinsoku/>
              <w:wordWrap/>
              <w:overflowPunct/>
              <w:topLinePunct w:val="0"/>
              <w:autoSpaceDE/>
              <w:autoSpaceDN/>
              <w:bidi w:val="0"/>
              <w:adjustRightInd w:val="0"/>
              <w:snapToGrid w:val="0"/>
              <w:spacing w:line="243"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10</w:t>
            </w:r>
          </w:p>
        </w:tc>
        <w:tc>
          <w:tcPr>
            <w:tcW w:w="1947" w:type="dxa"/>
            <w:vAlign w:val="center"/>
          </w:tcPr>
          <w:p w14:paraId="17B05549">
            <w:pPr>
              <w:pStyle w:val="89"/>
              <w:keepNext w:val="0"/>
              <w:keepLines w:val="0"/>
              <w:pageBreakBefore w:val="0"/>
              <w:kinsoku/>
              <w:wordWrap/>
              <w:overflowPunct/>
              <w:topLinePunct w:val="0"/>
              <w:autoSpaceDE/>
              <w:autoSpaceDN/>
              <w:bidi w:val="0"/>
              <w:adjustRightInd w:val="0"/>
              <w:snapToGrid w:val="0"/>
              <w:spacing w:line="243" w:lineRule="auto"/>
              <w:ind w:left="38" w:lef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rPr>
              <w:t>信用情况</w:t>
            </w:r>
          </w:p>
        </w:tc>
        <w:tc>
          <w:tcPr>
            <w:tcW w:w="7416" w:type="dxa"/>
            <w:vAlign w:val="center"/>
          </w:tcPr>
          <w:p w14:paraId="067A87C9">
            <w:pPr>
              <w:keepNext w:val="0"/>
              <w:keepLines w:val="0"/>
              <w:pageBreakBefore w:val="0"/>
              <w:widowControl/>
              <w:kinsoku/>
              <w:wordWrap/>
              <w:overflowPunct/>
              <w:topLinePunct w:val="0"/>
              <w:autoSpaceDE/>
              <w:autoSpaceDN/>
              <w:bidi w:val="0"/>
              <w:adjustRightInd w:val="0"/>
              <w:snapToGrid w:val="0"/>
              <w:spacing w:line="243"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信用记录查询时间及方式：</w:t>
            </w:r>
          </w:p>
          <w:p w14:paraId="38B2C0CA">
            <w:pPr>
              <w:keepNext w:val="0"/>
              <w:keepLines w:val="0"/>
              <w:pageBreakBefore w:val="0"/>
              <w:widowControl/>
              <w:kinsoku/>
              <w:wordWrap/>
              <w:overflowPunct/>
              <w:topLinePunct w:val="0"/>
              <w:autoSpaceDE/>
              <w:autoSpaceDN/>
              <w:bidi w:val="0"/>
              <w:adjustRightInd w:val="0"/>
              <w:snapToGrid w:val="0"/>
              <w:spacing w:line="243"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（1）查询时间：自</w:t>
            </w:r>
            <w:r>
              <w:rPr>
                <w:rFonts w:hint="eastAsia" w:ascii="仿宋" w:hAnsi="仿宋" w:eastAsia="仿宋" w:cs="仿宋"/>
                <w:color w:val="auto"/>
                <w:sz w:val="24"/>
                <w:szCs w:val="24"/>
                <w:highlight w:val="none"/>
                <w:lang w:val="en-US" w:eastAsia="zh-CN"/>
              </w:rPr>
              <w:t>本项目</w:t>
            </w:r>
            <w:r>
              <w:rPr>
                <w:rFonts w:hint="eastAsia" w:ascii="仿宋" w:hAnsi="仿宋" w:eastAsia="仿宋" w:cs="仿宋"/>
                <w:color w:val="auto"/>
                <w:sz w:val="24"/>
                <w:szCs w:val="24"/>
                <w:highlight w:val="none"/>
              </w:rPr>
              <w:t>招标公告发布</w:t>
            </w:r>
            <w:r>
              <w:rPr>
                <w:rFonts w:hint="eastAsia" w:ascii="仿宋" w:hAnsi="仿宋" w:eastAsia="仿宋" w:cs="仿宋"/>
                <w:color w:val="auto"/>
                <w:sz w:val="24"/>
                <w:szCs w:val="24"/>
                <w:highlight w:val="none"/>
                <w:lang w:val="en-US" w:eastAsia="zh-CN"/>
              </w:rPr>
              <w:t>之日</w:t>
            </w:r>
            <w:r>
              <w:rPr>
                <w:rFonts w:hint="eastAsia" w:ascii="仿宋" w:hAnsi="仿宋" w:eastAsia="仿宋" w:cs="仿宋"/>
                <w:color w:val="auto"/>
                <w:sz w:val="24"/>
                <w:szCs w:val="24"/>
                <w:highlight w:val="none"/>
              </w:rPr>
              <w:t>起至开标</w:t>
            </w:r>
            <w:r>
              <w:rPr>
                <w:rFonts w:hint="eastAsia" w:ascii="仿宋" w:hAnsi="仿宋" w:eastAsia="仿宋" w:cs="仿宋"/>
                <w:color w:val="auto"/>
                <w:sz w:val="24"/>
                <w:szCs w:val="24"/>
                <w:highlight w:val="none"/>
                <w:lang w:val="en-US" w:eastAsia="zh-CN"/>
              </w:rPr>
              <w:t>时间</w:t>
            </w:r>
            <w:r>
              <w:rPr>
                <w:rFonts w:hint="eastAsia" w:ascii="仿宋" w:hAnsi="仿宋" w:eastAsia="仿宋" w:cs="仿宋"/>
                <w:color w:val="auto"/>
                <w:sz w:val="24"/>
                <w:szCs w:val="24"/>
                <w:highlight w:val="none"/>
              </w:rPr>
              <w:t>止，超出此时间范围将被视为无效投标。</w:t>
            </w:r>
          </w:p>
          <w:p w14:paraId="291D05BB">
            <w:pPr>
              <w:keepNext w:val="0"/>
              <w:keepLines w:val="0"/>
              <w:pageBreakBefore w:val="0"/>
              <w:widowControl/>
              <w:kinsoku/>
              <w:wordWrap/>
              <w:overflowPunct/>
              <w:topLinePunct w:val="0"/>
              <w:autoSpaceDE/>
              <w:autoSpaceDN/>
              <w:bidi w:val="0"/>
              <w:adjustRightInd w:val="0"/>
              <w:snapToGrid w:val="0"/>
              <w:spacing w:line="243"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（2）查询方式：投标人自行通过“</w:t>
            </w:r>
            <w:r>
              <w:rPr>
                <w:rFonts w:hint="eastAsia" w:ascii="仿宋" w:hAnsi="仿宋" w:eastAsia="仿宋" w:cs="仿宋"/>
                <w:color w:val="auto"/>
                <w:kern w:val="2"/>
                <w:sz w:val="24"/>
                <w:szCs w:val="24"/>
                <w:highlight w:val="none"/>
                <w:shd w:val="clear" w:color="auto" w:fill="FFFFFF"/>
                <w:lang w:val="en-US" w:eastAsia="zh-CN" w:bidi="ar-SA"/>
              </w:rPr>
              <w:t>信用中国</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kern w:val="2"/>
                <w:sz w:val="24"/>
                <w:szCs w:val="24"/>
                <w:highlight w:val="none"/>
                <w:shd w:val="clear" w:color="auto" w:fill="FFFFFF"/>
                <w:lang w:val="en-US" w:eastAsia="zh-CN" w:bidi="ar-SA"/>
              </w:rPr>
              <w:t>中国政府采购网</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国家企业信用信息公示系统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查询，并按招标文件要求提供网页</w:t>
            </w:r>
            <w:r>
              <w:rPr>
                <w:rFonts w:hint="eastAsia" w:ascii="仿宋" w:hAnsi="仿宋" w:eastAsia="仿宋" w:cs="仿宋"/>
                <w:color w:val="auto"/>
                <w:sz w:val="24"/>
                <w:szCs w:val="24"/>
                <w:highlight w:val="none"/>
                <w:lang w:eastAsia="zh-CN"/>
              </w:rPr>
              <w:t>查询</w:t>
            </w:r>
            <w:r>
              <w:rPr>
                <w:rFonts w:hint="eastAsia" w:ascii="仿宋" w:hAnsi="仿宋" w:eastAsia="仿宋" w:cs="仿宋"/>
                <w:color w:val="auto"/>
                <w:sz w:val="24"/>
                <w:szCs w:val="24"/>
                <w:highlight w:val="none"/>
              </w:rPr>
              <w:t>材料。</w:t>
            </w:r>
            <w:r>
              <w:rPr>
                <w:rFonts w:hint="eastAsia" w:ascii="仿宋" w:hAnsi="仿宋" w:eastAsia="仿宋" w:cs="仿宋"/>
                <w:color w:val="auto"/>
                <w:kern w:val="2"/>
                <w:sz w:val="24"/>
                <w:szCs w:val="24"/>
                <w:highlight w:val="none"/>
                <w:shd w:val="clear" w:color="auto" w:fill="FFFFFF"/>
                <w:lang w:val="en-US" w:eastAsia="zh-CN" w:bidi="ar-SA"/>
              </w:rPr>
              <w:t>被列入失信被执行人、企业经营异常名录、重大税收违法案件当事人名单、政府采购严重违法失信名单、政府采购严重违法失信行为记录名单、</w:t>
            </w:r>
            <w:r>
              <w:rPr>
                <w:rFonts w:hint="eastAsia" w:ascii="仿宋" w:hAnsi="仿宋" w:eastAsia="仿宋" w:cs="仿宋"/>
                <w:b w:val="0"/>
                <w:bCs w:val="0"/>
                <w:color w:val="auto"/>
                <w:sz w:val="24"/>
                <w:szCs w:val="24"/>
                <w:highlight w:val="none"/>
                <w:lang w:val="en-US" w:eastAsia="zh-CN"/>
              </w:rPr>
              <w:t>经营异常名录信息、严重违法失信名单（黑名单）信息</w:t>
            </w:r>
            <w:r>
              <w:rPr>
                <w:rFonts w:hint="eastAsia" w:ascii="仿宋" w:hAnsi="仿宋" w:eastAsia="仿宋" w:cs="仿宋"/>
                <w:color w:val="auto"/>
                <w:kern w:val="2"/>
                <w:sz w:val="24"/>
                <w:szCs w:val="24"/>
                <w:highlight w:val="none"/>
                <w:shd w:val="clear" w:color="auto" w:fill="FFFFFF"/>
                <w:lang w:val="en-US" w:eastAsia="zh-CN" w:bidi="ar-SA"/>
              </w:rPr>
              <w:t>（尚在处罚期内的）</w:t>
            </w:r>
            <w:r>
              <w:rPr>
                <w:rFonts w:hint="eastAsia" w:ascii="仿宋" w:hAnsi="仿宋" w:eastAsia="仿宋" w:cs="仿宋"/>
                <w:color w:val="auto"/>
                <w:sz w:val="24"/>
                <w:szCs w:val="24"/>
                <w:highlight w:val="none"/>
              </w:rPr>
              <w:t>,其他不符合《中华人民共和国政府采购法》第二十二条规定条件的供应商，其投标文件将被视为无效投标。</w:t>
            </w:r>
          </w:p>
          <w:p w14:paraId="2E8DC8CF">
            <w:pPr>
              <w:keepNext w:val="0"/>
              <w:keepLines w:val="0"/>
              <w:pageBreakBefore w:val="0"/>
              <w:widowControl/>
              <w:kinsoku/>
              <w:wordWrap/>
              <w:overflowPunct/>
              <w:topLinePunct w:val="0"/>
              <w:autoSpaceDE/>
              <w:autoSpaceDN/>
              <w:bidi w:val="0"/>
              <w:adjustRightInd w:val="0"/>
              <w:snapToGrid w:val="0"/>
              <w:spacing w:line="243" w:lineRule="auto"/>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本项目不接受失信企业投标</w:t>
            </w:r>
            <w:r>
              <w:rPr>
                <w:rFonts w:hint="eastAsia" w:ascii="仿宋" w:hAnsi="仿宋" w:eastAsia="仿宋" w:cs="仿宋"/>
                <w:color w:val="auto"/>
                <w:sz w:val="24"/>
                <w:szCs w:val="24"/>
                <w:highlight w:val="none"/>
                <w:lang w:eastAsia="zh-CN"/>
              </w:rPr>
              <w:t>！</w:t>
            </w:r>
          </w:p>
        </w:tc>
      </w:tr>
      <w:tr w14:paraId="3F990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7D3312BF">
            <w:pPr>
              <w:keepNext w:val="0"/>
              <w:keepLines w:val="0"/>
              <w:pageBreakBefore w:val="0"/>
              <w:kinsoku/>
              <w:wordWrap/>
              <w:overflowPunct/>
              <w:topLinePunct w:val="0"/>
              <w:autoSpaceDE/>
              <w:autoSpaceDN/>
              <w:bidi w:val="0"/>
              <w:adjustRightInd w:val="0"/>
              <w:snapToGrid w:val="0"/>
              <w:spacing w:line="243"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11</w:t>
            </w:r>
          </w:p>
        </w:tc>
        <w:tc>
          <w:tcPr>
            <w:tcW w:w="1947" w:type="dxa"/>
            <w:vAlign w:val="center"/>
          </w:tcPr>
          <w:p w14:paraId="418D4474">
            <w:pPr>
              <w:keepNext w:val="0"/>
              <w:keepLines w:val="0"/>
              <w:pageBreakBefore w:val="0"/>
              <w:widowControl w:val="0"/>
              <w:kinsoku/>
              <w:wordWrap/>
              <w:overflowPunct/>
              <w:topLinePunct w:val="0"/>
              <w:autoSpaceDE/>
              <w:autoSpaceDN/>
              <w:bidi w:val="0"/>
              <w:adjustRightInd w:val="0"/>
              <w:snapToGrid w:val="0"/>
              <w:spacing w:line="243" w:lineRule="auto"/>
              <w:ind w:left="0" w:leftChars="0"/>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val="0"/>
                <w:bCs w:val="0"/>
                <w:color w:val="auto"/>
                <w:kern w:val="2"/>
                <w:sz w:val="24"/>
                <w:szCs w:val="24"/>
                <w:highlight w:val="none"/>
              </w:rPr>
              <w:t>标前准备</w:t>
            </w:r>
          </w:p>
        </w:tc>
        <w:tc>
          <w:tcPr>
            <w:tcW w:w="7416" w:type="dxa"/>
            <w:vAlign w:val="center"/>
          </w:tcPr>
          <w:p w14:paraId="77392E85">
            <w:pPr>
              <w:keepNext w:val="0"/>
              <w:keepLines w:val="0"/>
              <w:pageBreakBefore w:val="0"/>
              <w:widowControl w:val="0"/>
              <w:numPr>
                <w:ilvl w:val="0"/>
                <w:numId w:val="0"/>
              </w:numPr>
              <w:kinsoku/>
              <w:wordWrap/>
              <w:overflowPunct/>
              <w:topLinePunct w:val="0"/>
              <w:autoSpaceDE/>
              <w:autoSpaceDN/>
              <w:bidi w:val="0"/>
              <w:adjustRightInd w:val="0"/>
              <w:snapToGrid w:val="0"/>
              <w:spacing w:line="243"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本项目实行网上投标，采用电子投标文件。若供应商参与投标，自行承担投标一切费用。</w:t>
            </w:r>
          </w:p>
          <w:p w14:paraId="5ED2CF1E">
            <w:pPr>
              <w:keepNext w:val="0"/>
              <w:keepLines w:val="0"/>
              <w:pageBreakBefore w:val="0"/>
              <w:widowControl w:val="0"/>
              <w:numPr>
                <w:ilvl w:val="0"/>
                <w:numId w:val="0"/>
              </w:numPr>
              <w:kinsoku/>
              <w:wordWrap/>
              <w:overflowPunct/>
              <w:topLinePunct w:val="0"/>
              <w:autoSpaceDE/>
              <w:autoSpaceDN/>
              <w:bidi w:val="0"/>
              <w:adjustRightInd w:val="0"/>
              <w:snapToGrid w:val="0"/>
              <w:spacing w:line="243" w:lineRule="auto"/>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各供应商应在开标前应确保成为新疆维吾尔自治区政府采购网正式注册入库供应商，并完成 CA 数字证书申领。因未注册入库、未办理 CA 数字证书等原因造成无法投标或投标失败等后果由供应商自行承担。</w:t>
            </w:r>
          </w:p>
          <w:p w14:paraId="1F6CD4AB">
            <w:pPr>
              <w:keepNext w:val="0"/>
              <w:keepLines w:val="0"/>
              <w:pageBreakBefore w:val="0"/>
              <w:widowControl w:val="0"/>
              <w:numPr>
                <w:ilvl w:val="0"/>
                <w:numId w:val="0"/>
              </w:numPr>
              <w:kinsoku/>
              <w:wordWrap/>
              <w:overflowPunct/>
              <w:topLinePunct w:val="0"/>
              <w:autoSpaceDE/>
              <w:autoSpaceDN/>
              <w:bidi w:val="0"/>
              <w:adjustRightInd w:val="0"/>
              <w:snapToGrid w:val="0"/>
              <w:spacing w:line="243" w:lineRule="auto"/>
              <w:ind w:left="0" w:leftChars="0" w:firstLine="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rPr>
              <w:t>3、本项目为电子招投标，投标人需要使用 CA 加 密设备，有意向参与新疆区域电子开评标的供应商，请访问新疆数字证书认证中心官方网站（https://www.xjca.com.cn/）或下载 新疆政务 通 ;APP 自 行 进 行 申 领 。 如 需 咨 询 ， 请 联 系 新 疆 CA 服 务 热 线 0991-28192904、供应商将政采云电子交易客户端下载、安装完成后，可通过账号密码或 CA 登录客户端进行投标文件制作。在使用政采云投标客户端时，建议使用 WIN7 及以上操作系统。客户端请至新疆政府采购网（https://www.zcygov.cn/）下载专区查看，如有问题可拨打政采云客户服务热线 400-881-7190 进行咨询。</w:t>
            </w:r>
          </w:p>
        </w:tc>
      </w:tr>
      <w:tr w14:paraId="388C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38" w:type="dxa"/>
            <w:vMerge w:val="restart"/>
            <w:vAlign w:val="center"/>
          </w:tcPr>
          <w:p w14:paraId="1EE21A94">
            <w:pPr>
              <w:keepNext w:val="0"/>
              <w:keepLines w:val="0"/>
              <w:pageBreakBefore w:val="0"/>
              <w:kinsoku/>
              <w:wordWrap/>
              <w:overflowPunct/>
              <w:topLinePunct w:val="0"/>
              <w:autoSpaceDE/>
              <w:autoSpaceDN/>
              <w:bidi w:val="0"/>
              <w:adjustRightInd w:val="0"/>
              <w:snapToGrid w:val="0"/>
              <w:spacing w:line="243"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12</w:t>
            </w:r>
          </w:p>
        </w:tc>
        <w:tc>
          <w:tcPr>
            <w:tcW w:w="1947" w:type="dxa"/>
            <w:vMerge w:val="restart"/>
            <w:vAlign w:val="center"/>
          </w:tcPr>
          <w:p w14:paraId="64C00636">
            <w:pPr>
              <w:keepNext w:val="0"/>
              <w:keepLines w:val="0"/>
              <w:pageBreakBefore w:val="0"/>
              <w:widowControl w:val="0"/>
              <w:kinsoku/>
              <w:wordWrap/>
              <w:overflowPunct/>
              <w:topLinePunct w:val="0"/>
              <w:autoSpaceDE/>
              <w:autoSpaceDN/>
              <w:bidi w:val="0"/>
              <w:adjustRightInd w:val="0"/>
              <w:snapToGrid w:val="0"/>
              <w:spacing w:line="243" w:lineRule="auto"/>
              <w:ind w:left="0"/>
              <w:jc w:val="center"/>
              <w:textAlignment w:val="auto"/>
              <w:rPr>
                <w:rFonts w:hint="eastAsia" w:ascii="仿宋" w:hAnsi="仿宋" w:eastAsia="仿宋" w:cs="仿宋"/>
                <w:b/>
                <w:bCs/>
                <w:color w:val="auto"/>
                <w:sz w:val="24"/>
                <w:szCs w:val="24"/>
                <w:highlight w:val="none"/>
                <w:lang w:val="en-US"/>
              </w:rPr>
            </w:pPr>
            <w:r>
              <w:rPr>
                <w:rFonts w:hint="eastAsia" w:ascii="仿宋" w:hAnsi="仿宋" w:eastAsia="仿宋" w:cs="仿宋"/>
                <w:color w:val="auto"/>
                <w:sz w:val="24"/>
                <w:szCs w:val="24"/>
                <w:highlight w:val="none"/>
                <w:lang w:val="en-US" w:eastAsia="zh-CN"/>
              </w:rPr>
              <w:t>交付期及交付方式及交付地点</w:t>
            </w:r>
          </w:p>
        </w:tc>
        <w:tc>
          <w:tcPr>
            <w:tcW w:w="7416" w:type="dxa"/>
            <w:vAlign w:val="center"/>
          </w:tcPr>
          <w:p w14:paraId="0E1AAE0F">
            <w:pPr>
              <w:keepNext w:val="0"/>
              <w:keepLines w:val="0"/>
              <w:pageBreakBefore w:val="0"/>
              <w:widowControl w:val="0"/>
              <w:numPr>
                <w:ilvl w:val="0"/>
                <w:numId w:val="0"/>
              </w:numPr>
              <w:kinsoku/>
              <w:wordWrap/>
              <w:overflowPunct/>
              <w:topLinePunct w:val="0"/>
              <w:autoSpaceDE/>
              <w:autoSpaceDN/>
              <w:bidi w:val="0"/>
              <w:adjustRightInd w:val="0"/>
              <w:snapToGrid w:val="0"/>
              <w:spacing w:line="243" w:lineRule="auto"/>
              <w:ind w:left="0" w:leftChars="0"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交付期：移动执法终端的运行保障及维修替换服务需自合同签订之日起30个工作日内完成。</w:t>
            </w:r>
          </w:p>
        </w:tc>
      </w:tr>
      <w:tr w14:paraId="2C6F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38" w:type="dxa"/>
            <w:vMerge w:val="continue"/>
            <w:vAlign w:val="center"/>
          </w:tcPr>
          <w:p w14:paraId="0EB7ED71">
            <w:pPr>
              <w:keepNext w:val="0"/>
              <w:keepLines w:val="0"/>
              <w:pageBreakBefore w:val="0"/>
              <w:kinsoku/>
              <w:wordWrap/>
              <w:overflowPunct/>
              <w:topLinePunct w:val="0"/>
              <w:autoSpaceDE/>
              <w:autoSpaceDN/>
              <w:bidi w:val="0"/>
              <w:adjustRightInd w:val="0"/>
              <w:snapToGrid w:val="0"/>
              <w:spacing w:line="243" w:lineRule="auto"/>
              <w:ind w:left="0" w:leftChars="0"/>
              <w:jc w:val="center"/>
              <w:textAlignment w:val="auto"/>
              <w:rPr>
                <w:rFonts w:hint="eastAsia" w:ascii="仿宋" w:hAnsi="仿宋" w:eastAsia="仿宋" w:cs="仿宋"/>
                <w:color w:val="auto"/>
                <w:sz w:val="24"/>
                <w:szCs w:val="24"/>
                <w:highlight w:val="none"/>
                <w:lang w:val="en-US" w:eastAsia="zh-CN"/>
              </w:rPr>
            </w:pPr>
          </w:p>
        </w:tc>
        <w:tc>
          <w:tcPr>
            <w:tcW w:w="1947" w:type="dxa"/>
            <w:vMerge w:val="continue"/>
            <w:vAlign w:val="center"/>
          </w:tcPr>
          <w:p w14:paraId="0A01A311">
            <w:pPr>
              <w:keepNext w:val="0"/>
              <w:keepLines w:val="0"/>
              <w:pageBreakBefore w:val="0"/>
              <w:widowControl w:val="0"/>
              <w:kinsoku/>
              <w:wordWrap/>
              <w:overflowPunct/>
              <w:topLinePunct w:val="0"/>
              <w:autoSpaceDE/>
              <w:autoSpaceDN/>
              <w:bidi w:val="0"/>
              <w:adjustRightInd w:val="0"/>
              <w:snapToGrid w:val="0"/>
              <w:spacing w:line="243" w:lineRule="auto"/>
              <w:ind w:left="0"/>
              <w:jc w:val="center"/>
              <w:textAlignment w:val="auto"/>
              <w:rPr>
                <w:rFonts w:hint="eastAsia" w:ascii="仿宋" w:hAnsi="仿宋" w:eastAsia="仿宋" w:cs="仿宋"/>
                <w:color w:val="auto"/>
                <w:sz w:val="24"/>
                <w:szCs w:val="24"/>
                <w:highlight w:val="none"/>
                <w:lang w:val="en-US" w:eastAsia="zh-CN"/>
              </w:rPr>
            </w:pPr>
          </w:p>
        </w:tc>
        <w:tc>
          <w:tcPr>
            <w:tcW w:w="7416" w:type="dxa"/>
            <w:vAlign w:val="center"/>
          </w:tcPr>
          <w:p w14:paraId="297C3E21">
            <w:pPr>
              <w:keepNext w:val="0"/>
              <w:keepLines w:val="0"/>
              <w:pageBreakBefore w:val="0"/>
              <w:widowControl w:val="0"/>
              <w:numPr>
                <w:ilvl w:val="0"/>
                <w:numId w:val="0"/>
              </w:numPr>
              <w:kinsoku/>
              <w:wordWrap/>
              <w:overflowPunct/>
              <w:topLinePunct w:val="0"/>
              <w:autoSpaceDE/>
              <w:autoSpaceDN/>
              <w:bidi w:val="0"/>
              <w:adjustRightInd w:val="0"/>
              <w:snapToGrid w:val="0"/>
              <w:spacing w:line="243" w:lineRule="auto"/>
              <w:ind w:left="0" w:leftChars="0"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交付方式：甲方指定</w:t>
            </w:r>
          </w:p>
        </w:tc>
      </w:tr>
      <w:tr w14:paraId="4F96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38" w:type="dxa"/>
            <w:vMerge w:val="continue"/>
            <w:vAlign w:val="center"/>
          </w:tcPr>
          <w:p w14:paraId="31D8ECAD">
            <w:pPr>
              <w:keepNext w:val="0"/>
              <w:keepLines w:val="0"/>
              <w:pageBreakBefore w:val="0"/>
              <w:kinsoku/>
              <w:wordWrap/>
              <w:overflowPunct/>
              <w:topLinePunct w:val="0"/>
              <w:autoSpaceDE/>
              <w:autoSpaceDN/>
              <w:bidi w:val="0"/>
              <w:adjustRightInd w:val="0"/>
              <w:snapToGrid w:val="0"/>
              <w:spacing w:line="243" w:lineRule="auto"/>
              <w:ind w:left="0" w:leftChars="0"/>
              <w:jc w:val="center"/>
              <w:textAlignment w:val="auto"/>
              <w:rPr>
                <w:rFonts w:hint="eastAsia" w:ascii="仿宋" w:hAnsi="仿宋" w:eastAsia="仿宋" w:cs="仿宋"/>
                <w:color w:val="auto"/>
                <w:sz w:val="24"/>
                <w:szCs w:val="24"/>
                <w:highlight w:val="none"/>
                <w:lang w:val="en-US" w:eastAsia="zh-CN"/>
              </w:rPr>
            </w:pPr>
          </w:p>
        </w:tc>
        <w:tc>
          <w:tcPr>
            <w:tcW w:w="1947" w:type="dxa"/>
            <w:vMerge w:val="continue"/>
            <w:vAlign w:val="center"/>
          </w:tcPr>
          <w:p w14:paraId="5C997063">
            <w:pPr>
              <w:keepNext w:val="0"/>
              <w:keepLines w:val="0"/>
              <w:pageBreakBefore w:val="0"/>
              <w:widowControl w:val="0"/>
              <w:kinsoku/>
              <w:wordWrap/>
              <w:overflowPunct/>
              <w:topLinePunct w:val="0"/>
              <w:autoSpaceDE/>
              <w:autoSpaceDN/>
              <w:bidi w:val="0"/>
              <w:adjustRightInd w:val="0"/>
              <w:snapToGrid w:val="0"/>
              <w:spacing w:line="243" w:lineRule="auto"/>
              <w:ind w:left="0"/>
              <w:jc w:val="center"/>
              <w:textAlignment w:val="auto"/>
              <w:rPr>
                <w:rFonts w:hint="eastAsia" w:ascii="仿宋" w:hAnsi="仿宋" w:eastAsia="仿宋" w:cs="仿宋"/>
                <w:color w:val="auto"/>
                <w:sz w:val="24"/>
                <w:szCs w:val="24"/>
                <w:highlight w:val="none"/>
                <w:lang w:val="en-US" w:eastAsia="zh-CN"/>
              </w:rPr>
            </w:pPr>
          </w:p>
        </w:tc>
        <w:tc>
          <w:tcPr>
            <w:tcW w:w="7416" w:type="dxa"/>
            <w:vAlign w:val="center"/>
          </w:tcPr>
          <w:p w14:paraId="6C0E7C46">
            <w:pPr>
              <w:keepNext w:val="0"/>
              <w:keepLines w:val="0"/>
              <w:pageBreakBefore w:val="0"/>
              <w:widowControl w:val="0"/>
              <w:numPr>
                <w:ilvl w:val="0"/>
                <w:numId w:val="0"/>
              </w:numPr>
              <w:kinsoku/>
              <w:wordWrap/>
              <w:overflowPunct/>
              <w:topLinePunct w:val="0"/>
              <w:autoSpaceDE/>
              <w:autoSpaceDN/>
              <w:bidi w:val="0"/>
              <w:adjustRightInd w:val="0"/>
              <w:snapToGrid w:val="0"/>
              <w:spacing w:line="243" w:lineRule="auto"/>
              <w:ind w:left="0" w:leftChars="0"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交付地点：甲方指定</w:t>
            </w:r>
          </w:p>
        </w:tc>
      </w:tr>
      <w:tr w14:paraId="384A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38" w:type="dxa"/>
            <w:vAlign w:val="center"/>
          </w:tcPr>
          <w:p w14:paraId="15EC0005">
            <w:pPr>
              <w:keepNext w:val="0"/>
              <w:keepLines w:val="0"/>
              <w:pageBreakBefore w:val="0"/>
              <w:kinsoku/>
              <w:wordWrap/>
              <w:overflowPunct/>
              <w:topLinePunct w:val="0"/>
              <w:autoSpaceDE/>
              <w:autoSpaceDN/>
              <w:bidi w:val="0"/>
              <w:adjustRightInd w:val="0"/>
              <w:snapToGrid w:val="0"/>
              <w:spacing w:line="243"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13</w:t>
            </w:r>
          </w:p>
        </w:tc>
        <w:tc>
          <w:tcPr>
            <w:tcW w:w="1947" w:type="dxa"/>
            <w:vAlign w:val="center"/>
          </w:tcPr>
          <w:p w14:paraId="7C8BAEF0">
            <w:pPr>
              <w:keepNext w:val="0"/>
              <w:keepLines w:val="0"/>
              <w:pageBreakBefore w:val="0"/>
              <w:widowControl w:val="0"/>
              <w:kinsoku/>
              <w:wordWrap/>
              <w:overflowPunct/>
              <w:topLinePunct w:val="0"/>
              <w:autoSpaceDE/>
              <w:autoSpaceDN/>
              <w:bidi w:val="0"/>
              <w:adjustRightInd w:val="0"/>
              <w:snapToGrid w:val="0"/>
              <w:spacing w:line="243"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付款方式</w:t>
            </w:r>
          </w:p>
        </w:tc>
        <w:tc>
          <w:tcPr>
            <w:tcW w:w="7416" w:type="dxa"/>
            <w:vAlign w:val="center"/>
          </w:tcPr>
          <w:p w14:paraId="7F762B43">
            <w:pPr>
              <w:keepNext w:val="0"/>
              <w:keepLines w:val="0"/>
              <w:pageBreakBefore w:val="0"/>
              <w:widowControl w:val="0"/>
              <w:kinsoku/>
              <w:wordWrap/>
              <w:overflowPunct/>
              <w:topLinePunct w:val="0"/>
              <w:autoSpaceDE/>
              <w:autoSpaceDN/>
              <w:bidi w:val="0"/>
              <w:adjustRightInd w:val="0"/>
              <w:snapToGrid w:val="0"/>
              <w:spacing w:line="243"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第一次付款：签订合同后，支付合同金额的80%的预付款。</w:t>
            </w:r>
          </w:p>
          <w:p w14:paraId="444592ED">
            <w:pPr>
              <w:keepNext w:val="0"/>
              <w:keepLines w:val="0"/>
              <w:pageBreakBefore w:val="0"/>
              <w:widowControl w:val="0"/>
              <w:kinsoku/>
              <w:wordWrap/>
              <w:overflowPunct/>
              <w:topLinePunct w:val="0"/>
              <w:autoSpaceDE/>
              <w:autoSpaceDN/>
              <w:bidi w:val="0"/>
              <w:adjustRightInd w:val="0"/>
              <w:snapToGrid w:val="0"/>
              <w:spacing w:line="243"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第二次付款：根据甲方内部管理规定，满足终验条件，乙方提交全部验收材料，通过甲方组织的验收后，支付至合同金额的 100%。</w:t>
            </w:r>
          </w:p>
          <w:p w14:paraId="4F07067F">
            <w:pPr>
              <w:keepNext w:val="0"/>
              <w:keepLines w:val="0"/>
              <w:pageBreakBefore w:val="0"/>
              <w:widowControl w:val="0"/>
              <w:kinsoku/>
              <w:wordWrap/>
              <w:overflowPunct/>
              <w:topLinePunct w:val="0"/>
              <w:autoSpaceDE/>
              <w:autoSpaceDN/>
              <w:bidi w:val="0"/>
              <w:adjustRightInd w:val="0"/>
              <w:snapToGrid w:val="0"/>
              <w:spacing w:line="243" w:lineRule="auto"/>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lang w:val="en-US" w:eastAsia="zh-CN"/>
              </w:rPr>
              <w:t>在预算和资金不变的情况下，本合同续展两年。</w:t>
            </w:r>
          </w:p>
        </w:tc>
      </w:tr>
      <w:tr w14:paraId="722C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38" w:type="dxa"/>
            <w:vAlign w:val="center"/>
          </w:tcPr>
          <w:p w14:paraId="3F545994">
            <w:pPr>
              <w:keepNext w:val="0"/>
              <w:keepLines w:val="0"/>
              <w:pageBreakBefore w:val="0"/>
              <w:kinsoku/>
              <w:wordWrap/>
              <w:overflowPunct/>
              <w:topLinePunct w:val="0"/>
              <w:autoSpaceDE/>
              <w:autoSpaceDN/>
              <w:bidi w:val="0"/>
              <w:adjustRightInd w:val="0"/>
              <w:snapToGrid w:val="0"/>
              <w:spacing w:line="243"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14</w:t>
            </w:r>
          </w:p>
        </w:tc>
        <w:tc>
          <w:tcPr>
            <w:tcW w:w="1947" w:type="dxa"/>
            <w:vAlign w:val="center"/>
          </w:tcPr>
          <w:p w14:paraId="27E73DB9">
            <w:pPr>
              <w:keepNext w:val="0"/>
              <w:keepLines w:val="0"/>
              <w:pageBreakBefore w:val="0"/>
              <w:widowControl w:val="0"/>
              <w:kinsoku/>
              <w:wordWrap/>
              <w:overflowPunct/>
              <w:topLinePunct w:val="0"/>
              <w:autoSpaceDE/>
              <w:autoSpaceDN/>
              <w:bidi w:val="0"/>
              <w:adjustRightInd w:val="0"/>
              <w:snapToGrid w:val="0"/>
              <w:spacing w:line="243" w:lineRule="auto"/>
              <w:ind w:left="0"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7416" w:type="dxa"/>
            <w:vAlign w:val="center"/>
          </w:tcPr>
          <w:p w14:paraId="7CE06986">
            <w:pPr>
              <w:keepNext w:val="0"/>
              <w:keepLines w:val="0"/>
              <w:pageBreakBefore w:val="0"/>
              <w:widowControl w:val="0"/>
              <w:kinsoku/>
              <w:wordWrap/>
              <w:overflowPunct/>
              <w:topLinePunct w:val="0"/>
              <w:autoSpaceDE/>
              <w:autoSpaceDN/>
              <w:bidi w:val="0"/>
              <w:adjustRightInd w:val="0"/>
              <w:snapToGrid w:val="0"/>
              <w:spacing w:line="243" w:lineRule="auto"/>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90</w:t>
            </w:r>
            <w:r>
              <w:rPr>
                <w:rFonts w:hint="eastAsia" w:ascii="仿宋" w:hAnsi="仿宋" w:eastAsia="仿宋" w:cs="仿宋"/>
                <w:color w:val="auto"/>
                <w:sz w:val="24"/>
                <w:szCs w:val="24"/>
                <w:highlight w:val="none"/>
                <w:lang w:eastAsia="zh-CN"/>
              </w:rPr>
              <w:t>日历天</w:t>
            </w:r>
            <w:r>
              <w:rPr>
                <w:rFonts w:hint="eastAsia" w:ascii="仿宋" w:hAnsi="仿宋" w:eastAsia="仿宋" w:cs="仿宋"/>
                <w:color w:val="auto"/>
                <w:sz w:val="24"/>
                <w:szCs w:val="24"/>
                <w:highlight w:val="none"/>
              </w:rPr>
              <w:t>（从投标截止之日算起）</w:t>
            </w:r>
          </w:p>
        </w:tc>
      </w:tr>
      <w:tr w14:paraId="306D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838" w:type="dxa"/>
            <w:vAlign w:val="center"/>
          </w:tcPr>
          <w:p w14:paraId="5D477B70">
            <w:pPr>
              <w:keepNext w:val="0"/>
              <w:keepLines w:val="0"/>
              <w:pageBreakBefore w:val="0"/>
              <w:kinsoku/>
              <w:wordWrap/>
              <w:overflowPunct/>
              <w:topLinePunct w:val="0"/>
              <w:autoSpaceDE/>
              <w:autoSpaceDN/>
              <w:bidi w:val="0"/>
              <w:adjustRightInd w:val="0"/>
              <w:snapToGrid w:val="0"/>
              <w:spacing w:line="243" w:lineRule="auto"/>
              <w:ind w:left="0" w:leftChars="0" w:right="0" w:rightChars="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15</w:t>
            </w:r>
          </w:p>
        </w:tc>
        <w:tc>
          <w:tcPr>
            <w:tcW w:w="1947" w:type="dxa"/>
            <w:vAlign w:val="center"/>
          </w:tcPr>
          <w:p w14:paraId="06C16C6B">
            <w:pPr>
              <w:keepNext w:val="0"/>
              <w:keepLines w:val="0"/>
              <w:pageBreakBefore w:val="0"/>
              <w:kinsoku/>
              <w:wordWrap/>
              <w:overflowPunct/>
              <w:topLinePunct w:val="0"/>
              <w:autoSpaceDE/>
              <w:autoSpaceDN/>
              <w:bidi w:val="0"/>
              <w:adjustRightInd w:val="0"/>
              <w:snapToGrid w:val="0"/>
              <w:spacing w:line="243" w:lineRule="auto"/>
              <w:ind w:lef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投标人对招标文件提出质疑的时间</w:t>
            </w:r>
          </w:p>
        </w:tc>
        <w:tc>
          <w:tcPr>
            <w:tcW w:w="7416" w:type="dxa"/>
            <w:vAlign w:val="center"/>
          </w:tcPr>
          <w:p w14:paraId="685FBA19">
            <w:pPr>
              <w:keepNext w:val="0"/>
              <w:keepLines w:val="0"/>
              <w:pageBreakBefore w:val="0"/>
              <w:widowControl w:val="0"/>
              <w:kinsoku/>
              <w:wordWrap/>
              <w:overflowPunct/>
              <w:topLinePunct w:val="0"/>
              <w:autoSpaceDE/>
              <w:autoSpaceDN/>
              <w:bidi w:val="0"/>
              <w:adjustRightInd w:val="0"/>
              <w:snapToGrid w:val="0"/>
              <w:spacing w:line="243" w:lineRule="auto"/>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提出质疑函的时限：对采购文件提出质疑的，应当在获取采购文件或者采购文件公告期限届满之日起7个工作日内提出。</w:t>
            </w:r>
          </w:p>
          <w:p w14:paraId="6E3380FE">
            <w:pPr>
              <w:keepNext w:val="0"/>
              <w:keepLines w:val="0"/>
              <w:pageBreakBefore w:val="0"/>
              <w:widowControl w:val="0"/>
              <w:kinsoku/>
              <w:wordWrap/>
              <w:overflowPunct/>
              <w:topLinePunct w:val="0"/>
              <w:autoSpaceDE/>
              <w:autoSpaceDN/>
              <w:bidi w:val="0"/>
              <w:adjustRightInd w:val="0"/>
              <w:snapToGrid w:val="0"/>
              <w:spacing w:line="243" w:lineRule="auto"/>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接收质疑函的方式：将PDF格式电子版质疑文件加盖公章扫描发送至3521573009@qq.com邮箱。</w:t>
            </w:r>
          </w:p>
          <w:p w14:paraId="017B0621">
            <w:pPr>
              <w:keepNext w:val="0"/>
              <w:keepLines w:val="0"/>
              <w:pageBreakBefore w:val="0"/>
              <w:widowControl w:val="0"/>
              <w:kinsoku/>
              <w:wordWrap/>
              <w:overflowPunct/>
              <w:topLinePunct w:val="0"/>
              <w:autoSpaceDE/>
              <w:autoSpaceDN/>
              <w:bidi w:val="0"/>
              <w:adjustRightInd w:val="0"/>
              <w:snapToGrid w:val="0"/>
              <w:spacing w:line="243" w:lineRule="auto"/>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接受质疑的单位：新疆庆信达项目管理有限公司</w:t>
            </w:r>
          </w:p>
          <w:p w14:paraId="1463604C">
            <w:pPr>
              <w:keepNext w:val="0"/>
              <w:keepLines w:val="0"/>
              <w:pageBreakBefore w:val="0"/>
              <w:widowControl w:val="0"/>
              <w:kinsoku/>
              <w:wordWrap/>
              <w:overflowPunct/>
              <w:topLinePunct w:val="0"/>
              <w:autoSpaceDE/>
              <w:autoSpaceDN/>
              <w:bidi w:val="0"/>
              <w:adjustRightInd w:val="0"/>
              <w:snapToGrid w:val="0"/>
              <w:spacing w:line="243" w:lineRule="auto"/>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联系电话：0903-7820626  </w:t>
            </w:r>
          </w:p>
          <w:p w14:paraId="558B2515">
            <w:pPr>
              <w:keepNext w:val="0"/>
              <w:keepLines w:val="0"/>
              <w:pageBreakBefore w:val="0"/>
              <w:widowControl w:val="0"/>
              <w:kinsoku/>
              <w:wordWrap/>
              <w:overflowPunct/>
              <w:topLinePunct w:val="0"/>
              <w:autoSpaceDE/>
              <w:autoSpaceDN/>
              <w:bidi w:val="0"/>
              <w:adjustRightInd w:val="0"/>
              <w:snapToGrid w:val="0"/>
              <w:spacing w:line="243" w:lineRule="auto"/>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地址：和田市人民街18号玉都国际广场金座703号</w:t>
            </w:r>
          </w:p>
          <w:p w14:paraId="3F29452E">
            <w:pPr>
              <w:pStyle w:val="59"/>
              <w:keepNext w:val="0"/>
              <w:keepLines w:val="0"/>
              <w:pageBreakBefore w:val="0"/>
              <w:widowControl w:val="0"/>
              <w:numPr>
                <w:ilvl w:val="0"/>
                <w:numId w:val="0"/>
              </w:numPr>
              <w:kinsoku/>
              <w:wordWrap/>
              <w:overflowPunct/>
              <w:topLinePunct w:val="0"/>
              <w:autoSpaceDE/>
              <w:autoSpaceDN/>
              <w:bidi w:val="0"/>
              <w:adjustRightInd w:val="0"/>
              <w:snapToGrid w:val="0"/>
              <w:spacing w:line="243"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注：</w:t>
            </w:r>
            <w:r>
              <w:rPr>
                <w:rFonts w:hint="eastAsia" w:ascii="仿宋" w:hAnsi="仿宋" w:eastAsia="仿宋" w:cs="仿宋"/>
                <w:b w:val="0"/>
                <w:bCs w:val="0"/>
                <w:color w:val="auto"/>
                <w:kern w:val="2"/>
                <w:sz w:val="24"/>
                <w:szCs w:val="24"/>
                <w:highlight w:val="none"/>
                <w:lang w:val="en-US" w:eastAsia="zh-CN" w:bidi="ar-SA"/>
              </w:rPr>
              <w:t>供应商认为采购文件、采购过程、中标或者成交结果使自己的权益受到损害的，可以根据中华人民共和国财政部令第94号中第十条，以书面形式向采购人、采购代理机构一次性针对同一采购程序环节提出质疑。</w:t>
            </w:r>
          </w:p>
          <w:p w14:paraId="6739556D">
            <w:pPr>
              <w:pStyle w:val="59"/>
              <w:keepNext w:val="0"/>
              <w:keepLines w:val="0"/>
              <w:pageBreakBefore w:val="0"/>
              <w:widowControl w:val="0"/>
              <w:numPr>
                <w:ilvl w:val="0"/>
                <w:numId w:val="0"/>
              </w:numPr>
              <w:kinsoku/>
              <w:wordWrap/>
              <w:overflowPunct/>
              <w:topLinePunct w:val="0"/>
              <w:autoSpaceDE/>
              <w:autoSpaceDN/>
              <w:bidi w:val="0"/>
              <w:adjustRightInd w:val="0"/>
              <w:snapToGrid w:val="0"/>
              <w:spacing w:line="243" w:lineRule="auto"/>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根据中华人民共和国政府采购法实施条例（中华人民共和国国务院令第658号）第七十一条有政府采购法第七十一条、第七十二条规定的违法行为之一，影响或者可能影响中标、成交结果的，依照下列规定处理中的第二条(二)已确定中标或者成交供应商但尚未签订政府采购合同的，中标或者成交结果无效，从合格的中标或者成交候选人中另行确定中标或者成交供应商；没有合格的中标或者成交候选人的，重新开展政府采购活动。</w:t>
            </w:r>
          </w:p>
        </w:tc>
      </w:tr>
      <w:tr w14:paraId="2605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838" w:type="dxa"/>
            <w:vAlign w:val="center"/>
          </w:tcPr>
          <w:p w14:paraId="5BB32870">
            <w:pPr>
              <w:keepNext w:val="0"/>
              <w:keepLines w:val="0"/>
              <w:pageBreakBefore w:val="0"/>
              <w:kinsoku/>
              <w:wordWrap/>
              <w:overflowPunct/>
              <w:topLinePunct w:val="0"/>
              <w:autoSpaceDE/>
              <w:autoSpaceDN/>
              <w:bidi w:val="0"/>
              <w:adjustRightInd w:val="0"/>
              <w:snapToGrid w:val="0"/>
              <w:spacing w:line="243" w:lineRule="auto"/>
              <w:ind w:left="0" w:leftChars="0" w:right="0" w:rightChars="0"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1947" w:type="dxa"/>
            <w:shd w:val="clear" w:color="auto" w:fill="auto"/>
            <w:vAlign w:val="center"/>
          </w:tcPr>
          <w:p w14:paraId="7CF8BD20">
            <w:pPr>
              <w:keepNext w:val="0"/>
              <w:keepLines w:val="0"/>
              <w:pageBreakBefore w:val="0"/>
              <w:widowControl w:val="0"/>
              <w:shd w:val="clear" w:color="auto" w:fill="auto"/>
              <w:kinsoku/>
              <w:wordWrap/>
              <w:overflowPunct/>
              <w:topLinePunct w:val="0"/>
              <w:autoSpaceDE/>
              <w:autoSpaceDN/>
              <w:bidi w:val="0"/>
              <w:adjustRightInd w:val="0"/>
              <w:snapToGrid w:val="0"/>
              <w:spacing w:line="243" w:lineRule="auto"/>
              <w:ind w:left="120" w:leftChars="0" w:right="62" w:rightChars="0" w:hanging="120" w:hangingChars="50"/>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szCs w:val="24"/>
                <w:highlight w:val="none"/>
              </w:rPr>
              <w:t>投诉</w:t>
            </w:r>
          </w:p>
        </w:tc>
        <w:tc>
          <w:tcPr>
            <w:tcW w:w="7416" w:type="dxa"/>
            <w:shd w:val="clear" w:color="auto" w:fill="auto"/>
            <w:vAlign w:val="center"/>
          </w:tcPr>
          <w:p w14:paraId="791A35AE">
            <w:pPr>
              <w:pStyle w:val="14"/>
              <w:keepNext w:val="0"/>
              <w:keepLines w:val="0"/>
              <w:pageBreakBefore w:val="0"/>
              <w:widowControl w:val="0"/>
              <w:kinsoku/>
              <w:wordWrap/>
              <w:overflowPunct/>
              <w:topLinePunct w:val="0"/>
              <w:autoSpaceDE/>
              <w:autoSpaceDN/>
              <w:bidi w:val="0"/>
              <w:adjustRightInd w:val="0"/>
              <w:snapToGrid w:val="0"/>
              <w:spacing w:line="243" w:lineRule="auto"/>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（1）质疑供应商对采购人、采购代理机构的答复不满意或者采购人、采购代理机构未在规定的时间内作出答复的，可以在答复期满后十五个工作日内向同级政府采购监督管理部门投诉。</w:t>
            </w:r>
          </w:p>
          <w:p w14:paraId="76D4B407">
            <w:pPr>
              <w:pStyle w:val="14"/>
              <w:keepNext w:val="0"/>
              <w:keepLines w:val="0"/>
              <w:pageBreakBefore w:val="0"/>
              <w:widowControl w:val="0"/>
              <w:kinsoku/>
              <w:wordWrap/>
              <w:overflowPunct/>
              <w:topLinePunct w:val="0"/>
              <w:autoSpaceDE/>
              <w:autoSpaceDN/>
              <w:bidi w:val="0"/>
              <w:adjustRightInd w:val="0"/>
              <w:snapToGrid w:val="0"/>
              <w:spacing w:line="243" w:lineRule="auto"/>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质疑、投诉应当采用书面或邮件形式，质疑书、投诉书均应明确阐述招标文件、采购过程或中标结果中使自己合法权益受到损害的实质性内容，提供相关事实、依据和证据及其来源或线索，便于有关单位调查、答复和处理。</w:t>
            </w:r>
          </w:p>
          <w:p w14:paraId="791FCF4D">
            <w:pPr>
              <w:pStyle w:val="14"/>
              <w:keepNext w:val="0"/>
              <w:keepLines w:val="0"/>
              <w:pageBreakBefore w:val="0"/>
              <w:widowControl w:val="0"/>
              <w:kinsoku/>
              <w:wordWrap/>
              <w:overflowPunct/>
              <w:topLinePunct w:val="0"/>
              <w:autoSpaceDE/>
              <w:autoSpaceDN/>
              <w:bidi w:val="0"/>
              <w:adjustRightInd w:val="0"/>
              <w:snapToGrid w:val="0"/>
              <w:spacing w:line="243" w:lineRule="auto"/>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注：</w:t>
            </w:r>
            <w:r>
              <w:rPr>
                <w:rFonts w:hint="eastAsia" w:ascii="仿宋" w:hAnsi="仿宋" w:eastAsia="仿宋" w:cs="仿宋"/>
                <w:color w:val="auto"/>
                <w:sz w:val="24"/>
                <w:szCs w:val="24"/>
                <w:highlight w:val="none"/>
                <w:lang w:val="en-US" w:eastAsia="zh-CN"/>
              </w:rPr>
              <w:t xml:space="preserve">根据《中华人民共和国政府采购法实施条例》的规定，供应商投诉事项不得超出已质疑事项的范围。  </w:t>
            </w:r>
          </w:p>
        </w:tc>
      </w:tr>
      <w:tr w14:paraId="318B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838" w:type="dxa"/>
            <w:vAlign w:val="center"/>
          </w:tcPr>
          <w:p w14:paraId="541633BC">
            <w:pPr>
              <w:keepNext w:val="0"/>
              <w:keepLines w:val="0"/>
              <w:pageBreakBefore w:val="0"/>
              <w:kinsoku/>
              <w:wordWrap/>
              <w:overflowPunct/>
              <w:topLinePunct w:val="0"/>
              <w:autoSpaceDE/>
              <w:autoSpaceDN/>
              <w:bidi w:val="0"/>
              <w:adjustRightInd w:val="0"/>
              <w:snapToGrid w:val="0"/>
              <w:spacing w:line="243" w:lineRule="auto"/>
              <w:ind w:left="0" w:leftChars="0" w:right="0" w:rightChars="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17</w:t>
            </w:r>
          </w:p>
        </w:tc>
        <w:tc>
          <w:tcPr>
            <w:tcW w:w="1947" w:type="dxa"/>
            <w:vAlign w:val="center"/>
          </w:tcPr>
          <w:p w14:paraId="5DBC478B">
            <w:pPr>
              <w:keepNext w:val="0"/>
              <w:keepLines w:val="0"/>
              <w:pageBreakBefore w:val="0"/>
              <w:widowControl w:val="0"/>
              <w:kinsoku/>
              <w:wordWrap/>
              <w:overflowPunct/>
              <w:topLinePunct w:val="0"/>
              <w:autoSpaceDE/>
              <w:autoSpaceDN/>
              <w:bidi w:val="0"/>
              <w:adjustRightInd w:val="0"/>
              <w:snapToGrid w:val="0"/>
              <w:spacing w:line="243" w:lineRule="auto"/>
              <w:ind w:left="0" w:leftChars="0"/>
              <w:jc w:val="center"/>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招标</w:t>
            </w:r>
            <w:r>
              <w:rPr>
                <w:rFonts w:hint="eastAsia" w:ascii="仿宋" w:hAnsi="仿宋" w:eastAsia="仿宋" w:cs="仿宋"/>
                <w:b w:val="0"/>
                <w:bCs w:val="0"/>
                <w:color w:val="auto"/>
                <w:sz w:val="24"/>
                <w:szCs w:val="24"/>
                <w:highlight w:val="none"/>
              </w:rPr>
              <w:t>文件</w:t>
            </w:r>
            <w:r>
              <w:rPr>
                <w:rFonts w:hint="eastAsia" w:ascii="仿宋" w:hAnsi="仿宋" w:eastAsia="仿宋" w:cs="仿宋"/>
                <w:b w:val="0"/>
                <w:bCs w:val="0"/>
                <w:color w:val="auto"/>
                <w:sz w:val="24"/>
                <w:szCs w:val="24"/>
                <w:highlight w:val="none"/>
                <w:lang w:eastAsia="zh-CN"/>
              </w:rPr>
              <w:t>发放</w:t>
            </w:r>
          </w:p>
        </w:tc>
        <w:tc>
          <w:tcPr>
            <w:tcW w:w="7416" w:type="dxa"/>
            <w:vAlign w:val="center"/>
          </w:tcPr>
          <w:p w14:paraId="3245FF40">
            <w:pPr>
              <w:keepNext w:val="0"/>
              <w:keepLines w:val="0"/>
              <w:pageBreakBefore w:val="0"/>
              <w:widowControl w:val="0"/>
              <w:kinsoku/>
              <w:wordWrap/>
              <w:overflowPunct/>
              <w:topLinePunct w:val="0"/>
              <w:autoSpaceDE/>
              <w:autoSpaceDN/>
              <w:bidi w:val="0"/>
              <w:adjustRightInd w:val="0"/>
              <w:snapToGrid w:val="0"/>
              <w:spacing w:line="243" w:lineRule="auto"/>
              <w:ind w:left="0"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供应商登陆政采云平台</w:t>
            </w:r>
            <w:r>
              <w:rPr>
                <w:rFonts w:hint="eastAsia" w:ascii="仿宋" w:hAnsi="仿宋" w:eastAsia="仿宋" w:cs="仿宋"/>
                <w:b w:val="0"/>
                <w:bCs w:val="0"/>
                <w:color w:val="auto"/>
                <w:sz w:val="24"/>
                <w:szCs w:val="24"/>
                <w:highlight w:val="none"/>
                <w:lang w:val="en-US" w:eastAsia="zh-CN"/>
              </w:rPr>
              <w:fldChar w:fldCharType="begin"/>
            </w:r>
            <w:r>
              <w:rPr>
                <w:rFonts w:hint="eastAsia" w:ascii="仿宋" w:hAnsi="仿宋" w:eastAsia="仿宋" w:cs="仿宋"/>
                <w:b w:val="0"/>
                <w:bCs w:val="0"/>
                <w:color w:val="auto"/>
                <w:sz w:val="24"/>
                <w:szCs w:val="24"/>
                <w:highlight w:val="none"/>
                <w:lang w:val="en-US" w:eastAsia="zh-CN"/>
              </w:rPr>
              <w:instrText xml:space="preserve"> HYPERLINK "https://www.zcygov.cn/" </w:instrText>
            </w:r>
            <w:r>
              <w:rPr>
                <w:rFonts w:hint="eastAsia" w:ascii="仿宋" w:hAnsi="仿宋" w:eastAsia="仿宋" w:cs="仿宋"/>
                <w:b w:val="0"/>
                <w:bCs w:val="0"/>
                <w:color w:val="auto"/>
                <w:sz w:val="24"/>
                <w:szCs w:val="24"/>
                <w:highlight w:val="none"/>
                <w:lang w:val="en-US" w:eastAsia="zh-CN"/>
              </w:rPr>
              <w:fldChar w:fldCharType="separate"/>
            </w:r>
            <w:r>
              <w:rPr>
                <w:rFonts w:hint="eastAsia" w:ascii="仿宋" w:hAnsi="仿宋" w:eastAsia="仿宋" w:cs="仿宋"/>
                <w:b w:val="0"/>
                <w:bCs w:val="0"/>
                <w:color w:val="auto"/>
                <w:sz w:val="24"/>
                <w:szCs w:val="24"/>
                <w:highlight w:val="none"/>
                <w:lang w:val="en-US" w:eastAsia="zh-CN"/>
              </w:rPr>
              <w:t>https://www.zcygov.cn/</w:t>
            </w:r>
            <w:r>
              <w:rPr>
                <w:rFonts w:hint="eastAsia" w:ascii="仿宋" w:hAnsi="仿宋" w:eastAsia="仿宋" w:cs="仿宋"/>
                <w:b w:val="0"/>
                <w:bCs w:val="0"/>
                <w:color w:val="auto"/>
                <w:sz w:val="24"/>
                <w:szCs w:val="24"/>
                <w:highlight w:val="none"/>
                <w:lang w:val="en-US" w:eastAsia="zh-CN"/>
              </w:rPr>
              <w:fldChar w:fldCharType="end"/>
            </w:r>
            <w:r>
              <w:rPr>
                <w:rFonts w:hint="eastAsia" w:ascii="仿宋" w:hAnsi="仿宋" w:eastAsia="仿宋" w:cs="仿宋"/>
                <w:b w:val="0"/>
                <w:bCs w:val="0"/>
                <w:color w:val="auto"/>
                <w:sz w:val="24"/>
                <w:szCs w:val="24"/>
                <w:highlight w:val="none"/>
                <w:lang w:val="en-US" w:eastAsia="zh-CN"/>
              </w:rPr>
              <w:t>在线申请获取采购文件（进入“项目采购”应用，在获取采购文件菜单中选择项目，申请获取采购文件）</w:t>
            </w:r>
          </w:p>
        </w:tc>
      </w:tr>
      <w:tr w14:paraId="1CA9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38" w:type="dxa"/>
            <w:vAlign w:val="center"/>
          </w:tcPr>
          <w:p w14:paraId="5F2C67FF">
            <w:pPr>
              <w:keepNext w:val="0"/>
              <w:keepLines w:val="0"/>
              <w:pageBreakBefore w:val="0"/>
              <w:kinsoku/>
              <w:wordWrap/>
              <w:overflowPunct/>
              <w:topLinePunct w:val="0"/>
              <w:autoSpaceDE/>
              <w:autoSpaceDN/>
              <w:bidi w:val="0"/>
              <w:adjustRightInd w:val="0"/>
              <w:snapToGrid w:val="0"/>
              <w:spacing w:line="243"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18</w:t>
            </w:r>
          </w:p>
        </w:tc>
        <w:tc>
          <w:tcPr>
            <w:tcW w:w="1947" w:type="dxa"/>
            <w:vAlign w:val="center"/>
          </w:tcPr>
          <w:p w14:paraId="19874B8D">
            <w:pPr>
              <w:keepNext w:val="0"/>
              <w:keepLines w:val="0"/>
              <w:pageBreakBefore w:val="0"/>
              <w:widowControl w:val="0"/>
              <w:kinsoku/>
              <w:wordWrap/>
              <w:overflowPunct/>
              <w:topLinePunct w:val="0"/>
              <w:autoSpaceDE/>
              <w:autoSpaceDN/>
              <w:bidi w:val="0"/>
              <w:adjustRightInd w:val="0"/>
              <w:snapToGrid w:val="0"/>
              <w:spacing w:line="243" w:lineRule="auto"/>
              <w:ind w:left="0" w:leftChars="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构成招标文件</w:t>
            </w:r>
          </w:p>
          <w:p w14:paraId="4F1E815F">
            <w:pPr>
              <w:keepNext w:val="0"/>
              <w:keepLines w:val="0"/>
              <w:pageBreakBefore w:val="0"/>
              <w:widowControl w:val="0"/>
              <w:kinsoku/>
              <w:wordWrap/>
              <w:overflowPunct/>
              <w:topLinePunct w:val="0"/>
              <w:autoSpaceDE/>
              <w:autoSpaceDN/>
              <w:bidi w:val="0"/>
              <w:adjustRightInd w:val="0"/>
              <w:snapToGrid w:val="0"/>
              <w:spacing w:line="243" w:lineRule="auto"/>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的其他文件</w:t>
            </w:r>
          </w:p>
        </w:tc>
        <w:tc>
          <w:tcPr>
            <w:tcW w:w="7416" w:type="dxa"/>
            <w:vAlign w:val="center"/>
          </w:tcPr>
          <w:p w14:paraId="2F028F9D">
            <w:pPr>
              <w:keepNext w:val="0"/>
              <w:keepLines w:val="0"/>
              <w:pageBreakBefore w:val="0"/>
              <w:widowControl w:val="0"/>
              <w:kinsoku/>
              <w:wordWrap/>
              <w:overflowPunct/>
              <w:topLinePunct w:val="0"/>
              <w:autoSpaceDE/>
              <w:autoSpaceDN/>
              <w:bidi w:val="0"/>
              <w:adjustRightInd w:val="0"/>
              <w:snapToGrid w:val="0"/>
              <w:spacing w:line="243" w:lineRule="auto"/>
              <w:ind w:left="0" w:leftChars="0" w:right="0" w:rightChars="0"/>
              <w:jc w:val="left"/>
              <w:textAlignment w:val="auto"/>
              <w:rPr>
                <w:rFonts w:hint="eastAsia" w:ascii="仿宋" w:hAnsi="仿宋" w:eastAsia="仿宋" w:cs="仿宋"/>
                <w:b/>
                <w:bCs w:val="0"/>
                <w:color w:val="auto"/>
                <w:sz w:val="24"/>
                <w:szCs w:val="24"/>
                <w:highlight w:val="none"/>
                <w:u w:val="none"/>
                <w:lang w:val="en-US" w:eastAsia="zh-CN"/>
              </w:rPr>
            </w:pPr>
            <w:r>
              <w:rPr>
                <w:rFonts w:hint="eastAsia" w:ascii="仿宋" w:hAnsi="仿宋" w:eastAsia="仿宋" w:cs="仿宋"/>
                <w:bCs/>
                <w:color w:val="auto"/>
                <w:sz w:val="24"/>
                <w:szCs w:val="24"/>
                <w:highlight w:val="none"/>
              </w:rPr>
              <w:t>招标文件的澄清、修改书及有关补充通知为招标文件的有效组成部分</w:t>
            </w:r>
            <w:r>
              <w:rPr>
                <w:rFonts w:hint="eastAsia" w:ascii="仿宋" w:hAnsi="仿宋" w:eastAsia="仿宋" w:cs="仿宋"/>
                <w:bCs/>
                <w:color w:val="auto"/>
                <w:sz w:val="24"/>
                <w:szCs w:val="24"/>
                <w:highlight w:val="none"/>
                <w:lang w:eastAsia="zh-CN"/>
              </w:rPr>
              <w:t>。</w:t>
            </w:r>
          </w:p>
        </w:tc>
      </w:tr>
      <w:tr w14:paraId="4B7F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38" w:type="dxa"/>
            <w:vAlign w:val="center"/>
          </w:tcPr>
          <w:p w14:paraId="7AC353C9">
            <w:pPr>
              <w:keepNext w:val="0"/>
              <w:keepLines w:val="0"/>
              <w:pageBreakBefore w:val="0"/>
              <w:kinsoku/>
              <w:wordWrap/>
              <w:overflowPunct/>
              <w:topLinePunct w:val="0"/>
              <w:autoSpaceDE/>
              <w:autoSpaceDN/>
              <w:bidi w:val="0"/>
              <w:adjustRightInd w:val="0"/>
              <w:snapToGrid w:val="0"/>
              <w:spacing w:line="243" w:lineRule="auto"/>
              <w:ind w:left="0"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1947" w:type="dxa"/>
            <w:vAlign w:val="center"/>
          </w:tcPr>
          <w:p w14:paraId="033A8952">
            <w:pPr>
              <w:keepNext w:val="0"/>
              <w:keepLines w:val="0"/>
              <w:pageBreakBefore w:val="0"/>
              <w:widowControl w:val="0"/>
              <w:kinsoku/>
              <w:wordWrap/>
              <w:overflowPunct/>
              <w:topLinePunct w:val="0"/>
              <w:autoSpaceDE/>
              <w:autoSpaceDN/>
              <w:bidi w:val="0"/>
              <w:adjustRightInd w:val="0"/>
              <w:snapToGrid w:val="0"/>
              <w:spacing w:line="243"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zh-CN" w:eastAsia="zh-CN"/>
              </w:rPr>
              <w:t>联合体投标</w:t>
            </w:r>
          </w:p>
        </w:tc>
        <w:tc>
          <w:tcPr>
            <w:tcW w:w="7416" w:type="dxa"/>
            <w:vAlign w:val="center"/>
          </w:tcPr>
          <w:p w14:paraId="63FDF212">
            <w:pPr>
              <w:keepNext w:val="0"/>
              <w:keepLines w:val="0"/>
              <w:pageBreakBefore w:val="0"/>
              <w:widowControl w:val="0"/>
              <w:kinsoku/>
              <w:wordWrap/>
              <w:overflowPunct/>
              <w:topLinePunct w:val="0"/>
              <w:autoSpaceDE/>
              <w:autoSpaceDN/>
              <w:bidi w:val="0"/>
              <w:adjustRightInd w:val="0"/>
              <w:snapToGrid w:val="0"/>
              <w:spacing w:line="243" w:lineRule="auto"/>
              <w:jc w:val="left"/>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color w:val="auto"/>
                <w:sz w:val="24"/>
                <w:szCs w:val="24"/>
                <w:lang w:val="en-US" w:eastAsia="zh-CN"/>
              </w:rPr>
              <w:t>不接受联合体投标</w:t>
            </w:r>
          </w:p>
        </w:tc>
      </w:tr>
      <w:tr w14:paraId="0FD1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38" w:type="dxa"/>
            <w:vAlign w:val="center"/>
          </w:tcPr>
          <w:p w14:paraId="378303E3">
            <w:pPr>
              <w:keepNext w:val="0"/>
              <w:keepLines w:val="0"/>
              <w:pageBreakBefore w:val="0"/>
              <w:kinsoku/>
              <w:wordWrap/>
              <w:overflowPunct/>
              <w:topLinePunct w:val="0"/>
              <w:autoSpaceDE/>
              <w:autoSpaceDN/>
              <w:bidi w:val="0"/>
              <w:adjustRightInd w:val="0"/>
              <w:snapToGrid w:val="0"/>
              <w:spacing w:line="243" w:lineRule="auto"/>
              <w:ind w:left="0"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1947" w:type="dxa"/>
            <w:vAlign w:val="center"/>
          </w:tcPr>
          <w:p w14:paraId="4665980A">
            <w:pPr>
              <w:keepNext w:val="0"/>
              <w:keepLines w:val="0"/>
              <w:pageBreakBefore w:val="0"/>
              <w:widowControl w:val="0"/>
              <w:kinsoku/>
              <w:wordWrap/>
              <w:overflowPunct/>
              <w:topLinePunct w:val="0"/>
              <w:autoSpaceDE/>
              <w:autoSpaceDN/>
              <w:bidi w:val="0"/>
              <w:adjustRightInd w:val="0"/>
              <w:snapToGrid w:val="0"/>
              <w:spacing w:line="243" w:lineRule="auto"/>
              <w:jc w:val="center"/>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lang w:val="zh-CN" w:eastAsia="zh-CN"/>
              </w:rPr>
              <w:t>转包</w:t>
            </w:r>
            <w:r>
              <w:rPr>
                <w:rFonts w:hint="eastAsia" w:ascii="仿宋" w:hAnsi="仿宋" w:eastAsia="仿宋" w:cs="仿宋"/>
                <w:color w:val="auto"/>
                <w:sz w:val="24"/>
                <w:szCs w:val="24"/>
                <w:lang w:val="en-US" w:eastAsia="zh-CN"/>
              </w:rPr>
              <w:t>/分包</w:t>
            </w:r>
          </w:p>
        </w:tc>
        <w:tc>
          <w:tcPr>
            <w:tcW w:w="7416" w:type="dxa"/>
            <w:vAlign w:val="center"/>
          </w:tcPr>
          <w:p w14:paraId="7FAA7FC3">
            <w:pPr>
              <w:keepNext w:val="0"/>
              <w:keepLines w:val="0"/>
              <w:pageBreakBefore w:val="0"/>
              <w:widowControl w:val="0"/>
              <w:kinsoku/>
              <w:wordWrap/>
              <w:overflowPunct/>
              <w:topLinePunct w:val="0"/>
              <w:autoSpaceDE/>
              <w:autoSpaceDN/>
              <w:bidi w:val="0"/>
              <w:adjustRightInd w:val="0"/>
              <w:snapToGrid w:val="0"/>
              <w:spacing w:line="243" w:lineRule="auto"/>
              <w:jc w:val="left"/>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color w:val="auto"/>
                <w:sz w:val="24"/>
                <w:szCs w:val="24"/>
                <w:lang w:val="en-US" w:eastAsia="zh-CN"/>
              </w:rPr>
              <w:t>不允许</w:t>
            </w:r>
          </w:p>
        </w:tc>
      </w:tr>
      <w:tr w14:paraId="1668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838" w:type="dxa"/>
            <w:vAlign w:val="center"/>
          </w:tcPr>
          <w:p w14:paraId="47F5E2A7">
            <w:pPr>
              <w:keepNext w:val="0"/>
              <w:keepLines w:val="0"/>
              <w:pageBreakBefore w:val="0"/>
              <w:kinsoku/>
              <w:wordWrap/>
              <w:overflowPunct/>
              <w:topLinePunct w:val="0"/>
              <w:autoSpaceDE/>
              <w:autoSpaceDN/>
              <w:bidi w:val="0"/>
              <w:adjustRightInd w:val="0"/>
              <w:snapToGrid w:val="0"/>
              <w:spacing w:line="243" w:lineRule="auto"/>
              <w:ind w:left="0"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1947" w:type="dxa"/>
            <w:shd w:val="clear" w:color="auto" w:fill="auto"/>
            <w:vAlign w:val="center"/>
          </w:tcPr>
          <w:p w14:paraId="6A51C9DD">
            <w:pPr>
              <w:keepNext w:val="0"/>
              <w:keepLines w:val="0"/>
              <w:pageBreakBefore w:val="0"/>
              <w:widowControl w:val="0"/>
              <w:kinsoku/>
              <w:wordWrap/>
              <w:overflowPunct/>
              <w:topLinePunct w:val="0"/>
              <w:autoSpaceDE/>
              <w:autoSpaceDN/>
              <w:bidi w:val="0"/>
              <w:adjustRightInd w:val="0"/>
              <w:snapToGrid w:val="0"/>
              <w:spacing w:line="243" w:lineRule="auto"/>
              <w:jc w:val="center"/>
              <w:textAlignment w:val="auto"/>
              <w:rPr>
                <w:rFonts w:hint="eastAsia" w:ascii="仿宋" w:hAnsi="仿宋" w:eastAsia="仿宋" w:cs="仿宋"/>
                <w:b/>
                <w:bCs/>
                <w:color w:val="auto"/>
                <w:kern w:val="2"/>
                <w:sz w:val="24"/>
                <w:szCs w:val="24"/>
                <w:lang w:val="zh-CN" w:eastAsia="zh-CN" w:bidi="ar-SA"/>
              </w:rPr>
            </w:pPr>
            <w:r>
              <w:rPr>
                <w:rFonts w:hint="eastAsia" w:ascii="仿宋" w:hAnsi="仿宋" w:eastAsia="仿宋" w:cs="仿宋"/>
                <w:b/>
                <w:bCs/>
                <w:color w:val="auto"/>
                <w:sz w:val="24"/>
                <w:szCs w:val="24"/>
              </w:rPr>
              <w:t>踏勘现场</w:t>
            </w:r>
          </w:p>
        </w:tc>
        <w:tc>
          <w:tcPr>
            <w:tcW w:w="7416" w:type="dxa"/>
            <w:shd w:val="clear" w:color="auto" w:fill="auto"/>
            <w:vAlign w:val="center"/>
          </w:tcPr>
          <w:p w14:paraId="4D0F2EB0">
            <w:pPr>
              <w:keepNext w:val="0"/>
              <w:keepLines w:val="0"/>
              <w:pageBreakBefore w:val="0"/>
              <w:widowControl w:val="0"/>
              <w:kinsoku/>
              <w:wordWrap/>
              <w:overflowPunct/>
              <w:topLinePunct w:val="0"/>
              <w:autoSpaceDE/>
              <w:autoSpaceDN/>
              <w:bidi w:val="0"/>
              <w:adjustRightInd w:val="0"/>
              <w:snapToGrid w:val="0"/>
              <w:spacing w:line="243" w:lineRule="auto"/>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sym w:font="Wingdings" w:char="00FE"/>
            </w:r>
            <w:r>
              <w:rPr>
                <w:rFonts w:hint="eastAsia" w:ascii="仿宋" w:hAnsi="仿宋" w:eastAsia="仿宋" w:cs="仿宋"/>
                <w:b/>
                <w:bCs/>
                <w:color w:val="auto"/>
                <w:sz w:val="24"/>
                <w:szCs w:val="24"/>
              </w:rPr>
              <w:t>不组织</w:t>
            </w:r>
          </w:p>
          <w:p w14:paraId="12C47434">
            <w:pPr>
              <w:pStyle w:val="22"/>
              <w:keepNext w:val="0"/>
              <w:keepLines w:val="0"/>
              <w:pageBreakBefore w:val="0"/>
              <w:widowControl w:val="0"/>
              <w:kinsoku/>
              <w:wordWrap/>
              <w:overflowPunct/>
              <w:topLinePunct w:val="0"/>
              <w:autoSpaceDE/>
              <w:autoSpaceDN/>
              <w:bidi w:val="0"/>
              <w:adjustRightInd w:val="0"/>
              <w:snapToGrid w:val="0"/>
              <w:spacing w:line="243"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rPr>
              <w:sym w:font="Wingdings" w:char="00A8"/>
            </w:r>
            <w:r>
              <w:rPr>
                <w:rFonts w:hint="eastAsia" w:ascii="仿宋" w:hAnsi="仿宋" w:eastAsia="仿宋" w:cs="仿宋"/>
                <w:b/>
                <w:bCs/>
                <w:color w:val="auto"/>
                <w:sz w:val="24"/>
                <w:szCs w:val="24"/>
              </w:rPr>
              <w:t>组织，踏勘时间：</w:t>
            </w:r>
            <w:r>
              <w:rPr>
                <w:rFonts w:hint="eastAsia" w:ascii="仿宋" w:hAnsi="仿宋" w:eastAsia="仿宋" w:cs="仿宋"/>
                <w:b/>
                <w:bCs/>
                <w:color w:val="auto"/>
                <w:sz w:val="24"/>
                <w:szCs w:val="24"/>
                <w:lang w:val="en-US" w:eastAsia="zh-CN"/>
              </w:rPr>
              <w:t>/</w:t>
            </w:r>
          </w:p>
          <w:p w14:paraId="75992209">
            <w:pPr>
              <w:pStyle w:val="22"/>
              <w:keepNext w:val="0"/>
              <w:keepLines w:val="0"/>
              <w:pageBreakBefore w:val="0"/>
              <w:widowControl w:val="0"/>
              <w:kinsoku/>
              <w:wordWrap/>
              <w:overflowPunct/>
              <w:topLinePunct w:val="0"/>
              <w:autoSpaceDE/>
              <w:autoSpaceDN/>
              <w:bidi w:val="0"/>
              <w:adjustRightInd w:val="0"/>
              <w:snapToGrid w:val="0"/>
              <w:spacing w:line="243" w:lineRule="auto"/>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踏勘地点：</w:t>
            </w:r>
            <w:r>
              <w:rPr>
                <w:rFonts w:hint="eastAsia" w:ascii="仿宋" w:hAnsi="仿宋" w:eastAsia="仿宋" w:cs="仿宋"/>
                <w:b/>
                <w:bCs/>
                <w:color w:val="auto"/>
                <w:sz w:val="24"/>
                <w:szCs w:val="24"/>
                <w:lang w:val="en-US" w:eastAsia="zh-CN"/>
              </w:rPr>
              <w:t>/</w:t>
            </w:r>
          </w:p>
          <w:p w14:paraId="5FCC9475">
            <w:pPr>
              <w:pStyle w:val="22"/>
              <w:keepNext w:val="0"/>
              <w:keepLines w:val="0"/>
              <w:pageBreakBefore w:val="0"/>
              <w:widowControl w:val="0"/>
              <w:kinsoku/>
              <w:wordWrap/>
              <w:overflowPunct/>
              <w:topLinePunct w:val="0"/>
              <w:autoSpaceDE/>
              <w:autoSpaceDN/>
              <w:bidi w:val="0"/>
              <w:adjustRightInd w:val="0"/>
              <w:snapToGrid w:val="0"/>
              <w:spacing w:line="243"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rPr>
              <w:t>联</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系</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人：</w:t>
            </w:r>
            <w:r>
              <w:rPr>
                <w:rFonts w:hint="eastAsia" w:ascii="仿宋" w:hAnsi="仿宋" w:eastAsia="仿宋" w:cs="仿宋"/>
                <w:b/>
                <w:bCs/>
                <w:color w:val="auto"/>
                <w:sz w:val="24"/>
                <w:szCs w:val="24"/>
                <w:lang w:val="en-US" w:eastAsia="zh-CN"/>
              </w:rPr>
              <w:t>/</w:t>
            </w:r>
          </w:p>
          <w:p w14:paraId="39025C18">
            <w:pPr>
              <w:pStyle w:val="22"/>
              <w:keepNext w:val="0"/>
              <w:keepLines w:val="0"/>
              <w:pageBreakBefore w:val="0"/>
              <w:widowControl w:val="0"/>
              <w:kinsoku/>
              <w:wordWrap/>
              <w:overflowPunct/>
              <w:topLinePunct w:val="0"/>
              <w:autoSpaceDE/>
              <w:autoSpaceDN/>
              <w:bidi w:val="0"/>
              <w:adjustRightInd w:val="0"/>
              <w:snapToGrid w:val="0"/>
              <w:spacing w:line="243" w:lineRule="auto"/>
              <w:textAlignment w:val="auto"/>
              <w:rPr>
                <w:rFonts w:hint="eastAsia" w:ascii="仿宋" w:hAnsi="仿宋" w:eastAsia="仿宋" w:cs="仿宋"/>
                <w:sz w:val="24"/>
                <w:szCs w:val="24"/>
                <w:lang w:val="en-US" w:eastAsia="zh-CN"/>
              </w:rPr>
            </w:pPr>
            <w:r>
              <w:rPr>
                <w:rFonts w:hint="eastAsia" w:ascii="仿宋" w:hAnsi="仿宋" w:eastAsia="仿宋" w:cs="仿宋"/>
                <w:b/>
                <w:bCs/>
                <w:color w:val="auto"/>
                <w:sz w:val="24"/>
                <w:szCs w:val="24"/>
              </w:rPr>
              <w:t>联系电话：</w:t>
            </w:r>
            <w:r>
              <w:rPr>
                <w:rFonts w:hint="eastAsia" w:ascii="仿宋" w:hAnsi="仿宋" w:eastAsia="仿宋" w:cs="仿宋"/>
                <w:b/>
                <w:bCs/>
                <w:color w:val="auto"/>
                <w:sz w:val="24"/>
                <w:szCs w:val="24"/>
                <w:lang w:val="en-US" w:eastAsia="zh-CN"/>
              </w:rPr>
              <w:t>/</w:t>
            </w:r>
          </w:p>
          <w:p w14:paraId="137679BA">
            <w:pPr>
              <w:keepNext w:val="0"/>
              <w:keepLines w:val="0"/>
              <w:pageBreakBefore w:val="0"/>
              <w:widowControl w:val="0"/>
              <w:kinsoku/>
              <w:wordWrap/>
              <w:overflowPunct/>
              <w:topLinePunct w:val="0"/>
              <w:autoSpaceDE/>
              <w:autoSpaceDN/>
              <w:bidi w:val="0"/>
              <w:adjustRightInd w:val="0"/>
              <w:snapToGrid w:val="0"/>
              <w:spacing w:line="243" w:lineRule="auto"/>
              <w:jc w:val="left"/>
              <w:textAlignment w:val="auto"/>
              <w:rPr>
                <w:rFonts w:hint="eastAsia" w:ascii="仿宋" w:hAnsi="仿宋" w:eastAsia="仿宋" w:cs="仿宋"/>
                <w:sz w:val="24"/>
                <w:szCs w:val="24"/>
                <w:lang w:val="en-US" w:eastAsia="zh-CN"/>
              </w:rPr>
            </w:pPr>
            <w:r>
              <w:rPr>
                <w:rFonts w:hint="eastAsia" w:ascii="仿宋" w:hAnsi="仿宋" w:eastAsia="仿宋" w:cs="仿宋"/>
                <w:b/>
                <w:bCs/>
                <w:color w:val="auto"/>
                <w:sz w:val="24"/>
                <w:szCs w:val="24"/>
              </w:rPr>
              <w:t>踏勘要求：</w:t>
            </w:r>
            <w:r>
              <w:rPr>
                <w:rFonts w:hint="eastAsia" w:ascii="仿宋" w:hAnsi="仿宋" w:eastAsia="仿宋" w:cs="仿宋"/>
                <w:b/>
                <w:bCs/>
                <w:color w:val="auto"/>
                <w:sz w:val="24"/>
                <w:szCs w:val="24"/>
                <w:lang w:val="en-US" w:eastAsia="zh-CN"/>
              </w:rPr>
              <w:t>/</w:t>
            </w:r>
          </w:p>
        </w:tc>
      </w:tr>
      <w:tr w14:paraId="7A7D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8" w:type="dxa"/>
            <w:vAlign w:val="center"/>
          </w:tcPr>
          <w:p w14:paraId="5F9F77D3">
            <w:pPr>
              <w:keepNext w:val="0"/>
              <w:keepLines w:val="0"/>
              <w:pageBreakBefore w:val="0"/>
              <w:kinsoku/>
              <w:wordWrap/>
              <w:overflowPunct/>
              <w:topLinePunct w:val="0"/>
              <w:autoSpaceDE/>
              <w:autoSpaceDN/>
              <w:bidi w:val="0"/>
              <w:adjustRightInd w:val="0"/>
              <w:snapToGrid w:val="0"/>
              <w:spacing w:line="243"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22</w:t>
            </w:r>
          </w:p>
        </w:tc>
        <w:tc>
          <w:tcPr>
            <w:tcW w:w="1947" w:type="dxa"/>
            <w:vAlign w:val="center"/>
          </w:tcPr>
          <w:p w14:paraId="48AB302C">
            <w:pPr>
              <w:keepNext w:val="0"/>
              <w:keepLines w:val="0"/>
              <w:pageBreakBefore w:val="0"/>
              <w:widowControl w:val="0"/>
              <w:kinsoku/>
              <w:wordWrap/>
              <w:overflowPunct/>
              <w:topLinePunct w:val="0"/>
              <w:autoSpaceDE/>
              <w:autoSpaceDN/>
              <w:bidi w:val="0"/>
              <w:adjustRightInd w:val="0"/>
              <w:snapToGrid w:val="0"/>
              <w:spacing w:line="243" w:lineRule="auto"/>
              <w:ind w:left="0" w:leftChars="0" w:right="0" w:rightChars="0"/>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投标截止时间</w:t>
            </w:r>
          </w:p>
        </w:tc>
        <w:tc>
          <w:tcPr>
            <w:tcW w:w="7416" w:type="dxa"/>
            <w:vAlign w:val="center"/>
          </w:tcPr>
          <w:p w14:paraId="18EEC736">
            <w:pPr>
              <w:keepNext w:val="0"/>
              <w:keepLines w:val="0"/>
              <w:pageBreakBefore w:val="0"/>
              <w:widowControl w:val="0"/>
              <w:kinsoku/>
              <w:wordWrap/>
              <w:overflowPunct/>
              <w:topLinePunct w:val="0"/>
              <w:autoSpaceDE/>
              <w:autoSpaceDN/>
              <w:bidi w:val="0"/>
              <w:adjustRightInd w:val="0"/>
              <w:snapToGrid w:val="0"/>
              <w:spacing w:line="243" w:lineRule="auto"/>
              <w:ind w:left="0" w:leftChars="0" w:right="0" w:rightChars="0"/>
              <w:jc w:val="lef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i w:val="0"/>
                <w:caps w:val="0"/>
                <w:color w:val="0000FF"/>
                <w:spacing w:val="0"/>
                <w:sz w:val="24"/>
                <w:szCs w:val="24"/>
                <w:highlight w:val="none"/>
                <w:shd w:val="clear" w:color="auto" w:fill="FFFFFF"/>
                <w:lang w:val="en-US" w:eastAsia="zh-CN"/>
              </w:rPr>
              <w:t>2026年06月12日</w:t>
            </w:r>
            <w:r>
              <w:rPr>
                <w:rFonts w:hint="eastAsia" w:ascii="仿宋" w:hAnsi="仿宋" w:eastAsia="仿宋" w:cs="仿宋"/>
                <w:b/>
                <w:bCs/>
                <w:color w:val="0000FF"/>
                <w:kern w:val="2"/>
                <w:sz w:val="24"/>
                <w:szCs w:val="24"/>
                <w:highlight w:val="none"/>
                <w:lang w:val="en-US" w:eastAsia="zh-CN" w:bidi="ar-SA"/>
              </w:rPr>
              <w:t>11:00（北京时间）</w:t>
            </w:r>
          </w:p>
        </w:tc>
      </w:tr>
      <w:tr w14:paraId="575B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838" w:type="dxa"/>
            <w:vAlign w:val="center"/>
          </w:tcPr>
          <w:p w14:paraId="69AA5FBD">
            <w:pPr>
              <w:keepNext w:val="0"/>
              <w:keepLines w:val="0"/>
              <w:pageBreakBefore w:val="0"/>
              <w:kinsoku/>
              <w:wordWrap/>
              <w:overflowPunct/>
              <w:topLinePunct w:val="0"/>
              <w:autoSpaceDE/>
              <w:autoSpaceDN/>
              <w:bidi w:val="0"/>
              <w:adjustRightInd w:val="0"/>
              <w:snapToGrid w:val="0"/>
              <w:spacing w:line="243"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23</w:t>
            </w:r>
          </w:p>
        </w:tc>
        <w:tc>
          <w:tcPr>
            <w:tcW w:w="1947" w:type="dxa"/>
            <w:vAlign w:val="center"/>
          </w:tcPr>
          <w:p w14:paraId="600C765F">
            <w:pPr>
              <w:keepNext w:val="0"/>
              <w:keepLines w:val="0"/>
              <w:pageBreakBefore w:val="0"/>
              <w:kinsoku/>
              <w:wordWrap/>
              <w:overflowPunct/>
              <w:topLinePunct w:val="0"/>
              <w:autoSpaceDE/>
              <w:autoSpaceDN/>
              <w:bidi w:val="0"/>
              <w:adjustRightInd w:val="0"/>
              <w:snapToGrid w:val="0"/>
              <w:spacing w:line="243"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递交投标文件的地点</w:t>
            </w:r>
            <w:r>
              <w:rPr>
                <w:rFonts w:hint="eastAsia" w:ascii="仿宋" w:hAnsi="仿宋" w:eastAsia="仿宋" w:cs="仿宋"/>
                <w:color w:val="auto"/>
                <w:sz w:val="24"/>
                <w:szCs w:val="24"/>
                <w:highlight w:val="none"/>
                <w:lang w:eastAsia="zh-CN"/>
              </w:rPr>
              <w:t>及方式</w:t>
            </w:r>
          </w:p>
        </w:tc>
        <w:tc>
          <w:tcPr>
            <w:tcW w:w="7416" w:type="dxa"/>
            <w:vAlign w:val="center"/>
          </w:tcPr>
          <w:p w14:paraId="1C245A90">
            <w:pPr>
              <w:keepNext w:val="0"/>
              <w:keepLines w:val="0"/>
              <w:pageBreakBefore w:val="0"/>
              <w:widowControl w:val="0"/>
              <w:numPr>
                <w:ilvl w:val="0"/>
                <w:numId w:val="0"/>
              </w:numPr>
              <w:kinsoku/>
              <w:wordWrap/>
              <w:overflowPunct/>
              <w:topLinePunct w:val="0"/>
              <w:autoSpaceDE/>
              <w:autoSpaceDN/>
              <w:bidi w:val="0"/>
              <w:adjustRightInd w:val="0"/>
              <w:snapToGrid w:val="0"/>
              <w:spacing w:line="243" w:lineRule="auto"/>
              <w:ind w:leftChars="0"/>
              <w:textAlignment w:val="auto"/>
              <w:rPr>
                <w:rFonts w:hint="eastAsia" w:ascii="仿宋" w:hAnsi="仿宋" w:eastAsia="仿宋" w:cs="仿宋"/>
                <w:i w:val="0"/>
                <w:caps w:val="0"/>
                <w:color w:val="auto"/>
                <w:spacing w:val="0"/>
                <w:kern w:val="2"/>
                <w:sz w:val="24"/>
                <w:szCs w:val="24"/>
                <w:highlight w:val="none"/>
                <w:lang w:val="en-US" w:eastAsia="zh-CN" w:bidi="ar-SA"/>
              </w:rPr>
            </w:pPr>
            <w:r>
              <w:rPr>
                <w:rFonts w:hint="eastAsia" w:ascii="仿宋" w:hAnsi="仿宋" w:eastAsia="仿宋" w:cs="仿宋"/>
                <w:b w:val="0"/>
                <w:bCs/>
                <w:i w:val="0"/>
                <w:caps w:val="0"/>
                <w:color w:val="auto"/>
                <w:spacing w:val="0"/>
                <w:sz w:val="24"/>
                <w:szCs w:val="24"/>
                <w:highlight w:val="none"/>
                <w:shd w:val="clear" w:color="auto" w:fill="FFFFFF"/>
                <w:lang w:val="en-US" w:eastAsia="zh-CN"/>
              </w:rPr>
              <w:t>新疆政府采购网政采云平台（www.zcygov.cn</w:t>
            </w:r>
            <w:r>
              <w:rPr>
                <w:rFonts w:hint="eastAsia" w:ascii="仿宋" w:hAnsi="仿宋" w:eastAsia="仿宋" w:cs="仿宋"/>
                <w:color w:val="auto"/>
                <w:sz w:val="24"/>
                <w:szCs w:val="24"/>
                <w:highlight w:val="none"/>
                <w:lang w:val="en-US" w:eastAsia="zh-CN"/>
              </w:rPr>
              <w:t>）</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投标人应于</w:t>
            </w:r>
            <w:r>
              <w:rPr>
                <w:rFonts w:hint="eastAsia" w:ascii="仿宋" w:hAnsi="仿宋" w:eastAsia="仿宋" w:cs="仿宋"/>
                <w:bCs/>
                <w:color w:val="auto"/>
                <w:sz w:val="24"/>
                <w:szCs w:val="24"/>
                <w:highlight w:val="none"/>
                <w:u w:val="single"/>
                <w:lang w:val="en-US" w:eastAsia="zh-CN"/>
              </w:rPr>
              <w:t>2</w:t>
            </w:r>
            <w:r>
              <w:rPr>
                <w:rFonts w:hint="eastAsia" w:ascii="仿宋" w:hAnsi="仿宋" w:eastAsia="仿宋" w:cs="仿宋"/>
                <w:bCs/>
                <w:color w:val="0000FF"/>
                <w:sz w:val="24"/>
                <w:szCs w:val="24"/>
                <w:highlight w:val="none"/>
                <w:u w:val="single"/>
                <w:lang w:val="en-US" w:eastAsia="zh-CN"/>
              </w:rPr>
              <w:t>026</w:t>
            </w:r>
            <w:r>
              <w:rPr>
                <w:rFonts w:hint="eastAsia" w:ascii="仿宋" w:hAnsi="仿宋" w:eastAsia="仿宋" w:cs="仿宋"/>
                <w:bCs/>
                <w:color w:val="0000FF"/>
                <w:sz w:val="24"/>
                <w:szCs w:val="24"/>
                <w:highlight w:val="none"/>
                <w:lang w:val="en-US" w:eastAsia="zh-CN"/>
              </w:rPr>
              <w:t>年</w:t>
            </w:r>
            <w:r>
              <w:rPr>
                <w:rFonts w:hint="eastAsia" w:ascii="仿宋" w:hAnsi="仿宋" w:eastAsia="仿宋" w:cs="仿宋"/>
                <w:bCs/>
                <w:color w:val="0000FF"/>
                <w:sz w:val="24"/>
                <w:szCs w:val="24"/>
                <w:highlight w:val="none"/>
                <w:u w:val="single"/>
                <w:lang w:val="en-US" w:eastAsia="zh-CN"/>
              </w:rPr>
              <w:t xml:space="preserve"> 06</w:t>
            </w:r>
            <w:r>
              <w:rPr>
                <w:rFonts w:hint="eastAsia" w:ascii="仿宋" w:hAnsi="仿宋" w:eastAsia="仿宋" w:cs="仿宋"/>
                <w:bCs/>
                <w:color w:val="0000FF"/>
                <w:sz w:val="24"/>
                <w:szCs w:val="24"/>
                <w:highlight w:val="none"/>
                <w:lang w:val="en-US" w:eastAsia="zh-CN"/>
              </w:rPr>
              <w:t>月</w:t>
            </w:r>
            <w:r>
              <w:rPr>
                <w:rFonts w:hint="eastAsia" w:ascii="仿宋" w:hAnsi="仿宋" w:eastAsia="仿宋" w:cs="仿宋"/>
                <w:bCs/>
                <w:color w:val="0000FF"/>
                <w:sz w:val="24"/>
                <w:szCs w:val="24"/>
                <w:highlight w:val="none"/>
                <w:u w:val="single"/>
                <w:lang w:val="en-US" w:eastAsia="zh-CN"/>
              </w:rPr>
              <w:t xml:space="preserve"> 12</w:t>
            </w:r>
            <w:r>
              <w:rPr>
                <w:rFonts w:hint="eastAsia" w:ascii="仿宋" w:hAnsi="仿宋" w:eastAsia="仿宋" w:cs="仿宋"/>
                <w:bCs/>
                <w:color w:val="0000FF"/>
                <w:sz w:val="24"/>
                <w:szCs w:val="24"/>
                <w:highlight w:val="none"/>
                <w:lang w:val="en-US" w:eastAsia="zh-CN"/>
              </w:rPr>
              <w:t>日</w:t>
            </w:r>
            <w:r>
              <w:rPr>
                <w:rFonts w:hint="eastAsia" w:ascii="仿宋" w:hAnsi="仿宋" w:eastAsia="仿宋" w:cs="仿宋"/>
                <w:bCs/>
                <w:color w:val="0000FF"/>
                <w:sz w:val="24"/>
                <w:szCs w:val="24"/>
                <w:highlight w:val="none"/>
                <w:u w:val="single"/>
                <w:lang w:val="en-US" w:eastAsia="zh-CN"/>
              </w:rPr>
              <w:t xml:space="preserve"> 11:00</w:t>
            </w:r>
            <w:r>
              <w:rPr>
                <w:rFonts w:hint="eastAsia" w:ascii="仿宋" w:hAnsi="仿宋" w:eastAsia="仿宋" w:cs="仿宋"/>
                <w:b w:val="0"/>
                <w:bCs/>
                <w:color w:val="0000FF"/>
                <w:sz w:val="24"/>
                <w:szCs w:val="24"/>
                <w:highlight w:val="none"/>
                <w:u w:val="none"/>
                <w:lang w:eastAsia="zh-CN"/>
              </w:rPr>
              <w:t>时</w:t>
            </w:r>
            <w:r>
              <w:rPr>
                <w:rFonts w:hint="eastAsia" w:ascii="仿宋" w:hAnsi="仿宋" w:eastAsia="仿宋" w:cs="仿宋"/>
                <w:b w:val="0"/>
                <w:bCs/>
                <w:color w:val="auto"/>
                <w:sz w:val="24"/>
                <w:szCs w:val="24"/>
                <w:highlight w:val="none"/>
                <w:u w:val="none"/>
                <w:lang w:eastAsia="zh-CN"/>
              </w:rPr>
              <w:t>整之前</w:t>
            </w:r>
            <w:r>
              <w:rPr>
                <w:rFonts w:hint="eastAsia" w:ascii="仿宋" w:hAnsi="仿宋" w:eastAsia="仿宋" w:cs="仿宋"/>
                <w:b w:val="0"/>
                <w:bCs/>
                <w:color w:val="auto"/>
                <w:sz w:val="24"/>
                <w:szCs w:val="24"/>
                <w:highlight w:val="none"/>
              </w:rPr>
              <w:t>将</w:t>
            </w:r>
            <w:r>
              <w:rPr>
                <w:rFonts w:hint="eastAsia" w:ascii="仿宋" w:hAnsi="仿宋" w:eastAsia="仿宋" w:cs="仿宋"/>
                <w:bCs/>
                <w:color w:val="auto"/>
                <w:sz w:val="24"/>
                <w:szCs w:val="24"/>
                <w:highlight w:val="none"/>
              </w:rPr>
              <w:t>电子投标文件上传到“政采云”平台。应按照本项目招标文件和政采云平台的要求编制、加密传输投标文件。供应商在使用系统进行投标的过程中遇到涉及平台使用的任何问题，可致电政采云平台技术支持热线咨询，联系方式：</w:t>
            </w:r>
            <w:r>
              <w:rPr>
                <w:rFonts w:hint="eastAsia" w:ascii="仿宋" w:hAnsi="仿宋" w:eastAsia="仿宋" w:cs="仿宋"/>
                <w:bCs/>
                <w:color w:val="auto"/>
                <w:sz w:val="24"/>
                <w:szCs w:val="24"/>
                <w:highlight w:val="none"/>
                <w:lang w:eastAsia="zh-CN"/>
              </w:rPr>
              <w:t>95763</w:t>
            </w:r>
            <w:r>
              <w:rPr>
                <w:rFonts w:hint="eastAsia" w:ascii="仿宋" w:hAnsi="仿宋" w:eastAsia="仿宋" w:cs="仿宋"/>
                <w:bCs/>
                <w:color w:val="auto"/>
                <w:sz w:val="24"/>
                <w:szCs w:val="24"/>
                <w:highlight w:val="none"/>
              </w:rPr>
              <w:t>。</w:t>
            </w:r>
          </w:p>
        </w:tc>
      </w:tr>
      <w:tr w14:paraId="218B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838" w:type="dxa"/>
            <w:vAlign w:val="center"/>
          </w:tcPr>
          <w:p w14:paraId="56EE9296">
            <w:pPr>
              <w:keepNext w:val="0"/>
              <w:keepLines w:val="0"/>
              <w:pageBreakBefore w:val="0"/>
              <w:kinsoku/>
              <w:wordWrap/>
              <w:overflowPunct/>
              <w:topLinePunct w:val="0"/>
              <w:autoSpaceDE/>
              <w:autoSpaceDN/>
              <w:bidi w:val="0"/>
              <w:adjustRightInd w:val="0"/>
              <w:snapToGrid w:val="0"/>
              <w:spacing w:line="243"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24</w:t>
            </w:r>
          </w:p>
        </w:tc>
        <w:tc>
          <w:tcPr>
            <w:tcW w:w="1947" w:type="dxa"/>
            <w:vAlign w:val="center"/>
          </w:tcPr>
          <w:p w14:paraId="36E8916B">
            <w:pPr>
              <w:keepNext w:val="0"/>
              <w:keepLines w:val="0"/>
              <w:pageBreakBefore w:val="0"/>
              <w:widowControl w:val="0"/>
              <w:kinsoku/>
              <w:wordWrap/>
              <w:overflowPunct/>
              <w:topLinePunct w:val="0"/>
              <w:autoSpaceDE/>
              <w:autoSpaceDN/>
              <w:bidi w:val="0"/>
              <w:adjustRightInd w:val="0"/>
              <w:snapToGrid w:val="0"/>
              <w:spacing w:line="243" w:lineRule="auto"/>
              <w:ind w:left="0" w:leftChars="0" w:firstLine="0" w:firstLineChars="0"/>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投标</w:t>
            </w:r>
            <w:r>
              <w:rPr>
                <w:rFonts w:hint="eastAsia" w:ascii="仿宋" w:hAnsi="仿宋" w:eastAsia="仿宋" w:cs="仿宋"/>
                <w:b/>
                <w:bCs w:val="0"/>
                <w:color w:val="auto"/>
                <w:sz w:val="24"/>
                <w:szCs w:val="24"/>
                <w:highlight w:val="none"/>
              </w:rPr>
              <w:t>文件</w:t>
            </w:r>
          </w:p>
          <w:p w14:paraId="7E84EFBF">
            <w:pPr>
              <w:keepNext w:val="0"/>
              <w:keepLines w:val="0"/>
              <w:pageBreakBefore w:val="0"/>
              <w:widowControl w:val="0"/>
              <w:kinsoku/>
              <w:wordWrap/>
              <w:overflowPunct/>
              <w:topLinePunct w:val="0"/>
              <w:autoSpaceDE/>
              <w:autoSpaceDN/>
              <w:bidi w:val="0"/>
              <w:adjustRightInd w:val="0"/>
              <w:snapToGrid w:val="0"/>
              <w:spacing w:line="243" w:lineRule="auto"/>
              <w:ind w:left="0" w:leftChars="0" w:firstLine="0" w:firstLineChars="0"/>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解密时间</w:t>
            </w:r>
          </w:p>
        </w:tc>
        <w:tc>
          <w:tcPr>
            <w:tcW w:w="7416" w:type="dxa"/>
            <w:vAlign w:val="center"/>
          </w:tcPr>
          <w:p w14:paraId="5AC5CC9E">
            <w:pPr>
              <w:keepNext w:val="0"/>
              <w:keepLines w:val="0"/>
              <w:pageBreakBefore w:val="0"/>
              <w:widowControl w:val="0"/>
              <w:kinsoku/>
              <w:wordWrap/>
              <w:overflowPunct/>
              <w:topLinePunct w:val="0"/>
              <w:autoSpaceDE/>
              <w:autoSpaceDN/>
              <w:bidi w:val="0"/>
              <w:adjustRightInd w:val="0"/>
              <w:snapToGrid w:val="0"/>
              <w:spacing w:line="243" w:lineRule="auto"/>
              <w:ind w:left="0" w:leftChars="0" w:firstLine="0" w:firstLineChars="0"/>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0000FF"/>
                <w:sz w:val="24"/>
                <w:szCs w:val="24"/>
                <w:highlight w:val="none"/>
              </w:rPr>
              <w:t>开标时间后</w:t>
            </w:r>
            <w:r>
              <w:rPr>
                <w:rFonts w:hint="eastAsia" w:ascii="仿宋" w:hAnsi="仿宋" w:eastAsia="仿宋" w:cs="仿宋"/>
                <w:b/>
                <w:bCs w:val="0"/>
                <w:color w:val="0000FF"/>
                <w:sz w:val="24"/>
                <w:szCs w:val="24"/>
                <w:highlight w:val="none"/>
                <w:lang w:val="en-US" w:eastAsia="zh-CN"/>
              </w:rPr>
              <w:t>30分钟</w:t>
            </w:r>
            <w:r>
              <w:rPr>
                <w:rFonts w:hint="eastAsia" w:ascii="仿宋" w:hAnsi="仿宋" w:eastAsia="仿宋" w:cs="仿宋"/>
                <w:b/>
                <w:bCs w:val="0"/>
                <w:color w:val="0000FF"/>
                <w:sz w:val="24"/>
                <w:szCs w:val="24"/>
                <w:highlight w:val="none"/>
              </w:rPr>
              <w:t>内（202</w:t>
            </w:r>
            <w:r>
              <w:rPr>
                <w:rFonts w:hint="eastAsia" w:ascii="仿宋" w:hAnsi="仿宋" w:eastAsia="仿宋" w:cs="仿宋"/>
                <w:b/>
                <w:bCs w:val="0"/>
                <w:color w:val="0000FF"/>
                <w:sz w:val="24"/>
                <w:szCs w:val="24"/>
                <w:highlight w:val="none"/>
                <w:lang w:val="en-US" w:eastAsia="zh-CN"/>
              </w:rPr>
              <w:t>6</w:t>
            </w:r>
            <w:r>
              <w:rPr>
                <w:rFonts w:hint="eastAsia" w:ascii="仿宋" w:hAnsi="仿宋" w:eastAsia="仿宋" w:cs="仿宋"/>
                <w:b/>
                <w:bCs w:val="0"/>
                <w:color w:val="0000FF"/>
                <w:sz w:val="24"/>
                <w:szCs w:val="24"/>
                <w:highlight w:val="none"/>
              </w:rPr>
              <w:t>年</w:t>
            </w:r>
            <w:r>
              <w:rPr>
                <w:rFonts w:hint="eastAsia" w:ascii="仿宋" w:hAnsi="仿宋" w:eastAsia="仿宋" w:cs="仿宋"/>
                <w:b/>
                <w:bCs w:val="0"/>
                <w:color w:val="0000FF"/>
                <w:sz w:val="24"/>
                <w:szCs w:val="24"/>
                <w:highlight w:val="none"/>
                <w:lang w:val="en-US" w:eastAsia="zh-CN"/>
              </w:rPr>
              <w:t>06</w:t>
            </w:r>
            <w:r>
              <w:rPr>
                <w:rFonts w:hint="eastAsia" w:ascii="仿宋" w:hAnsi="仿宋" w:eastAsia="仿宋" w:cs="仿宋"/>
                <w:b/>
                <w:bCs w:val="0"/>
                <w:color w:val="0000FF"/>
                <w:sz w:val="24"/>
                <w:szCs w:val="24"/>
                <w:highlight w:val="none"/>
              </w:rPr>
              <w:t>月</w:t>
            </w:r>
            <w:r>
              <w:rPr>
                <w:rFonts w:hint="eastAsia" w:ascii="仿宋" w:hAnsi="仿宋" w:eastAsia="仿宋" w:cs="仿宋"/>
                <w:b/>
                <w:bCs w:val="0"/>
                <w:color w:val="0000FF"/>
                <w:sz w:val="24"/>
                <w:szCs w:val="24"/>
                <w:highlight w:val="none"/>
                <w:lang w:val="en-US" w:eastAsia="zh-CN"/>
              </w:rPr>
              <w:t>12</w:t>
            </w:r>
            <w:r>
              <w:rPr>
                <w:rFonts w:hint="eastAsia" w:ascii="仿宋" w:hAnsi="仿宋" w:eastAsia="仿宋" w:cs="仿宋"/>
                <w:b/>
                <w:bCs w:val="0"/>
                <w:color w:val="0000FF"/>
                <w:sz w:val="24"/>
                <w:szCs w:val="24"/>
                <w:highlight w:val="none"/>
              </w:rPr>
              <w:t>日</w:t>
            </w:r>
            <w:r>
              <w:rPr>
                <w:rFonts w:hint="eastAsia" w:ascii="仿宋" w:hAnsi="仿宋" w:eastAsia="仿宋" w:cs="仿宋"/>
                <w:b/>
                <w:bCs w:val="0"/>
                <w:color w:val="0000FF"/>
                <w:sz w:val="24"/>
                <w:szCs w:val="24"/>
                <w:highlight w:val="none"/>
                <w:lang w:val="en-US" w:eastAsia="zh-CN"/>
              </w:rPr>
              <w:t>上午11</w:t>
            </w:r>
            <w:r>
              <w:rPr>
                <w:rFonts w:hint="eastAsia" w:ascii="仿宋" w:hAnsi="仿宋" w:eastAsia="仿宋" w:cs="仿宋"/>
                <w:b/>
                <w:bCs w:val="0"/>
                <w:color w:val="0000FF"/>
                <w:sz w:val="24"/>
                <w:szCs w:val="24"/>
                <w:highlight w:val="none"/>
              </w:rPr>
              <w:t>:</w:t>
            </w:r>
            <w:r>
              <w:rPr>
                <w:rFonts w:hint="eastAsia" w:ascii="仿宋" w:hAnsi="仿宋" w:eastAsia="仿宋" w:cs="仿宋"/>
                <w:b/>
                <w:bCs w:val="0"/>
                <w:color w:val="0000FF"/>
                <w:sz w:val="24"/>
                <w:szCs w:val="24"/>
                <w:highlight w:val="none"/>
                <w:lang w:val="en-US" w:eastAsia="zh-CN"/>
              </w:rPr>
              <w:t>00-11：30</w:t>
            </w:r>
            <w:r>
              <w:rPr>
                <w:rFonts w:hint="eastAsia" w:ascii="仿宋" w:hAnsi="仿宋" w:eastAsia="仿宋" w:cs="仿宋"/>
                <w:b/>
                <w:bCs w:val="0"/>
                <w:color w:val="0000FF"/>
                <w:sz w:val="24"/>
                <w:szCs w:val="24"/>
                <w:highlight w:val="none"/>
              </w:rPr>
              <w:t>前）供应商可以登录“政采云”平台，用“项目采购-开标评标”功能进行解密投标文件。若供应商在规定时间内202</w:t>
            </w:r>
            <w:r>
              <w:rPr>
                <w:rFonts w:hint="eastAsia" w:ascii="仿宋" w:hAnsi="仿宋" w:eastAsia="仿宋" w:cs="仿宋"/>
                <w:b/>
                <w:bCs w:val="0"/>
                <w:color w:val="0000FF"/>
                <w:sz w:val="24"/>
                <w:szCs w:val="24"/>
                <w:highlight w:val="none"/>
                <w:lang w:val="en-US" w:eastAsia="zh-CN"/>
              </w:rPr>
              <w:t>6</w:t>
            </w:r>
            <w:r>
              <w:rPr>
                <w:rFonts w:hint="eastAsia" w:ascii="仿宋" w:hAnsi="仿宋" w:eastAsia="仿宋" w:cs="仿宋"/>
                <w:b/>
                <w:bCs w:val="0"/>
                <w:color w:val="0000FF"/>
                <w:sz w:val="24"/>
                <w:szCs w:val="24"/>
                <w:highlight w:val="none"/>
              </w:rPr>
              <w:t>年</w:t>
            </w:r>
            <w:r>
              <w:rPr>
                <w:rFonts w:hint="eastAsia" w:ascii="仿宋" w:hAnsi="仿宋" w:eastAsia="仿宋" w:cs="仿宋"/>
                <w:b/>
                <w:bCs w:val="0"/>
                <w:color w:val="0000FF"/>
                <w:sz w:val="24"/>
                <w:szCs w:val="24"/>
                <w:highlight w:val="none"/>
                <w:lang w:val="en-US" w:eastAsia="zh-CN"/>
              </w:rPr>
              <w:t>06</w:t>
            </w:r>
            <w:r>
              <w:rPr>
                <w:rFonts w:hint="eastAsia" w:ascii="仿宋" w:hAnsi="仿宋" w:eastAsia="仿宋" w:cs="仿宋"/>
                <w:b/>
                <w:bCs w:val="0"/>
                <w:color w:val="0000FF"/>
                <w:sz w:val="24"/>
                <w:szCs w:val="24"/>
                <w:highlight w:val="none"/>
              </w:rPr>
              <w:t>月</w:t>
            </w:r>
            <w:r>
              <w:rPr>
                <w:rFonts w:hint="eastAsia" w:ascii="仿宋" w:hAnsi="仿宋" w:eastAsia="仿宋" w:cs="仿宋"/>
                <w:b/>
                <w:bCs w:val="0"/>
                <w:color w:val="0000FF"/>
                <w:sz w:val="24"/>
                <w:szCs w:val="24"/>
                <w:highlight w:val="none"/>
                <w:lang w:val="en-US" w:eastAsia="zh-CN"/>
              </w:rPr>
              <w:t>12</w:t>
            </w:r>
            <w:r>
              <w:rPr>
                <w:rFonts w:hint="eastAsia" w:ascii="仿宋" w:hAnsi="仿宋" w:eastAsia="仿宋" w:cs="仿宋"/>
                <w:b/>
                <w:bCs w:val="0"/>
                <w:color w:val="0000FF"/>
                <w:sz w:val="24"/>
                <w:szCs w:val="24"/>
                <w:highlight w:val="none"/>
              </w:rPr>
              <w:t>日</w:t>
            </w:r>
            <w:r>
              <w:rPr>
                <w:rFonts w:hint="eastAsia" w:ascii="仿宋" w:hAnsi="仿宋" w:eastAsia="仿宋" w:cs="仿宋"/>
                <w:b/>
                <w:bCs w:val="0"/>
                <w:color w:val="0000FF"/>
                <w:sz w:val="24"/>
                <w:szCs w:val="24"/>
                <w:highlight w:val="none"/>
                <w:lang w:val="en-US" w:eastAsia="zh-CN"/>
              </w:rPr>
              <w:t>上</w:t>
            </w:r>
            <w:r>
              <w:rPr>
                <w:rFonts w:hint="eastAsia" w:ascii="仿宋" w:hAnsi="仿宋" w:eastAsia="仿宋" w:cs="仿宋"/>
                <w:b/>
                <w:bCs w:val="0"/>
                <w:color w:val="0000FF"/>
                <w:sz w:val="24"/>
                <w:szCs w:val="24"/>
                <w:highlight w:val="none"/>
                <w:lang w:eastAsia="zh-CN"/>
              </w:rPr>
              <w:t>午</w:t>
            </w:r>
            <w:r>
              <w:rPr>
                <w:rFonts w:hint="eastAsia" w:ascii="仿宋" w:hAnsi="仿宋" w:eastAsia="仿宋" w:cs="仿宋"/>
                <w:b/>
                <w:bCs w:val="0"/>
                <w:color w:val="0000FF"/>
                <w:sz w:val="24"/>
                <w:szCs w:val="24"/>
                <w:highlight w:val="none"/>
                <w:lang w:val="en-US" w:eastAsia="zh-CN"/>
              </w:rPr>
              <w:t>11</w:t>
            </w:r>
            <w:r>
              <w:rPr>
                <w:rFonts w:hint="eastAsia" w:ascii="仿宋" w:hAnsi="仿宋" w:eastAsia="仿宋" w:cs="仿宋"/>
                <w:b/>
                <w:bCs w:val="0"/>
                <w:color w:val="0000FF"/>
                <w:sz w:val="24"/>
                <w:szCs w:val="24"/>
                <w:highlight w:val="none"/>
              </w:rPr>
              <w:t>:</w:t>
            </w:r>
            <w:r>
              <w:rPr>
                <w:rFonts w:hint="eastAsia" w:ascii="仿宋" w:hAnsi="仿宋" w:eastAsia="仿宋" w:cs="仿宋"/>
                <w:b/>
                <w:bCs w:val="0"/>
                <w:color w:val="0000FF"/>
                <w:sz w:val="24"/>
                <w:szCs w:val="24"/>
                <w:highlight w:val="none"/>
                <w:lang w:val="en-US" w:eastAsia="zh-CN"/>
              </w:rPr>
              <w:t>30</w:t>
            </w:r>
            <w:r>
              <w:rPr>
                <w:rFonts w:hint="eastAsia" w:ascii="仿宋" w:hAnsi="仿宋" w:eastAsia="仿宋" w:cs="仿宋"/>
                <w:b/>
                <w:bCs w:val="0"/>
                <w:color w:val="0000FF"/>
                <w:sz w:val="24"/>
                <w:szCs w:val="24"/>
                <w:highlight w:val="none"/>
              </w:rPr>
              <w:t>前）未按时解密的，视为投标文件撤回。</w:t>
            </w:r>
          </w:p>
        </w:tc>
      </w:tr>
      <w:tr w14:paraId="0E47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838" w:type="dxa"/>
            <w:vAlign w:val="center"/>
          </w:tcPr>
          <w:p w14:paraId="15E0D3E6">
            <w:pPr>
              <w:keepNext w:val="0"/>
              <w:keepLines w:val="0"/>
              <w:pageBreakBefore w:val="0"/>
              <w:kinsoku/>
              <w:wordWrap/>
              <w:overflowPunct/>
              <w:topLinePunct w:val="0"/>
              <w:autoSpaceDE/>
              <w:autoSpaceDN/>
              <w:bidi w:val="0"/>
              <w:adjustRightInd w:val="0"/>
              <w:snapToGrid w:val="0"/>
              <w:spacing w:line="243"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25</w:t>
            </w:r>
          </w:p>
        </w:tc>
        <w:tc>
          <w:tcPr>
            <w:tcW w:w="1947" w:type="dxa"/>
            <w:vAlign w:val="center"/>
          </w:tcPr>
          <w:p w14:paraId="65ADB7EB">
            <w:pPr>
              <w:keepNext w:val="0"/>
              <w:keepLines w:val="0"/>
              <w:pageBreakBefore w:val="0"/>
              <w:widowControl/>
              <w:suppressLineNumbers w:val="0"/>
              <w:kinsoku/>
              <w:wordWrap/>
              <w:overflowPunct/>
              <w:topLinePunct w:val="0"/>
              <w:autoSpaceDE/>
              <w:autoSpaceDN/>
              <w:bidi w:val="0"/>
              <w:adjustRightInd w:val="0"/>
              <w:snapToGrid w:val="0"/>
              <w:spacing w:line="243" w:lineRule="auto"/>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评标委员</w:t>
            </w:r>
          </w:p>
          <w:p w14:paraId="2FBB01D4">
            <w:pPr>
              <w:keepNext w:val="0"/>
              <w:keepLines w:val="0"/>
              <w:pageBreakBefore w:val="0"/>
              <w:widowControl/>
              <w:suppressLineNumbers w:val="0"/>
              <w:kinsoku/>
              <w:wordWrap/>
              <w:overflowPunct/>
              <w:topLinePunct w:val="0"/>
              <w:autoSpaceDE/>
              <w:autoSpaceDN/>
              <w:bidi w:val="0"/>
              <w:adjustRightInd w:val="0"/>
              <w:snapToGrid w:val="0"/>
              <w:spacing w:line="243" w:lineRule="auto"/>
              <w:jc w:val="center"/>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val="0"/>
                <w:bCs w:val="0"/>
                <w:color w:val="auto"/>
                <w:kern w:val="0"/>
                <w:sz w:val="24"/>
                <w:szCs w:val="24"/>
                <w:highlight w:val="none"/>
                <w:lang w:val="en-US" w:eastAsia="zh-CN" w:bidi="ar"/>
              </w:rPr>
              <w:t>会的组成</w:t>
            </w:r>
          </w:p>
        </w:tc>
        <w:tc>
          <w:tcPr>
            <w:tcW w:w="7416" w:type="dxa"/>
            <w:vAlign w:val="center"/>
          </w:tcPr>
          <w:p w14:paraId="5FB2B412">
            <w:pPr>
              <w:keepNext w:val="0"/>
              <w:keepLines w:val="0"/>
              <w:pageBreakBefore w:val="0"/>
              <w:widowControl/>
              <w:suppressLineNumbers w:val="0"/>
              <w:kinsoku/>
              <w:wordWrap/>
              <w:overflowPunct/>
              <w:topLinePunct w:val="0"/>
              <w:autoSpaceDE/>
              <w:autoSpaceDN/>
              <w:bidi w:val="0"/>
              <w:adjustRightInd w:val="0"/>
              <w:snapToGrid w:val="0"/>
              <w:spacing w:line="243" w:lineRule="auto"/>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评标委员会的构成：</w:t>
            </w:r>
            <w:r>
              <w:rPr>
                <w:rFonts w:hint="eastAsia" w:ascii="仿宋" w:hAnsi="仿宋" w:eastAsia="仿宋" w:cs="仿宋"/>
                <w:color w:val="auto"/>
                <w:kern w:val="0"/>
                <w:sz w:val="24"/>
                <w:szCs w:val="24"/>
                <w:highlight w:val="none"/>
                <w:u w:val="single"/>
                <w:lang w:val="en-US" w:eastAsia="zh-CN" w:bidi="ar"/>
              </w:rPr>
              <w:t xml:space="preserve"> 5 </w:t>
            </w:r>
            <w:r>
              <w:rPr>
                <w:rFonts w:hint="eastAsia" w:ascii="仿宋" w:hAnsi="仿宋" w:eastAsia="仿宋" w:cs="仿宋"/>
                <w:color w:val="auto"/>
                <w:kern w:val="0"/>
                <w:sz w:val="24"/>
                <w:szCs w:val="24"/>
                <w:highlight w:val="none"/>
                <w:lang w:val="en-US" w:eastAsia="zh-CN" w:bidi="ar"/>
              </w:rPr>
              <w:t>人或</w:t>
            </w:r>
            <w:r>
              <w:rPr>
                <w:rFonts w:hint="eastAsia" w:ascii="仿宋" w:hAnsi="仿宋" w:eastAsia="仿宋" w:cs="仿宋"/>
                <w:color w:val="auto"/>
                <w:kern w:val="0"/>
                <w:sz w:val="24"/>
                <w:szCs w:val="24"/>
                <w:highlight w:val="none"/>
                <w:u w:val="single"/>
                <w:lang w:val="en-US" w:eastAsia="zh-CN" w:bidi="ar"/>
              </w:rPr>
              <w:t xml:space="preserve"> 5 </w:t>
            </w:r>
            <w:r>
              <w:rPr>
                <w:rFonts w:hint="eastAsia" w:ascii="仿宋" w:hAnsi="仿宋" w:eastAsia="仿宋" w:cs="仿宋"/>
                <w:color w:val="auto"/>
                <w:kern w:val="0"/>
                <w:sz w:val="24"/>
                <w:szCs w:val="24"/>
                <w:highlight w:val="none"/>
                <w:lang w:val="en-US" w:eastAsia="zh-CN" w:bidi="ar"/>
              </w:rPr>
              <w:t>人以上单数组成（其中采购人代表</w:t>
            </w:r>
            <w:r>
              <w:rPr>
                <w:rFonts w:hint="eastAsia" w:ascii="仿宋" w:hAnsi="仿宋" w:eastAsia="仿宋" w:cs="仿宋"/>
                <w:color w:val="auto"/>
                <w:kern w:val="0"/>
                <w:sz w:val="24"/>
                <w:szCs w:val="24"/>
                <w:highlight w:val="none"/>
                <w:u w:val="single"/>
                <w:lang w:val="en-US" w:eastAsia="zh-CN" w:bidi="ar"/>
              </w:rPr>
              <w:t xml:space="preserve"> 1</w:t>
            </w:r>
            <w:r>
              <w:rPr>
                <w:rFonts w:hint="eastAsia" w:ascii="仿宋" w:hAnsi="仿宋" w:eastAsia="仿宋" w:cs="仿宋"/>
                <w:color w:val="auto"/>
                <w:kern w:val="0"/>
                <w:sz w:val="24"/>
                <w:szCs w:val="24"/>
                <w:highlight w:val="none"/>
                <w:lang w:val="en-US" w:eastAsia="zh-CN" w:bidi="ar"/>
              </w:rPr>
              <w:t>人，评审专家</w:t>
            </w:r>
            <w:r>
              <w:rPr>
                <w:rFonts w:hint="eastAsia" w:ascii="仿宋" w:hAnsi="仿宋" w:eastAsia="仿宋" w:cs="仿宋"/>
                <w:color w:val="auto"/>
                <w:kern w:val="0"/>
                <w:sz w:val="24"/>
                <w:szCs w:val="24"/>
                <w:highlight w:val="none"/>
                <w:u w:val="single"/>
                <w:lang w:val="en-US" w:eastAsia="zh-CN" w:bidi="ar"/>
              </w:rPr>
              <w:t xml:space="preserve"> 4 </w:t>
            </w:r>
            <w:r>
              <w:rPr>
                <w:rFonts w:hint="eastAsia" w:ascii="仿宋" w:hAnsi="仿宋" w:eastAsia="仿宋" w:cs="仿宋"/>
                <w:color w:val="auto"/>
                <w:kern w:val="0"/>
                <w:sz w:val="24"/>
                <w:szCs w:val="24"/>
                <w:highlight w:val="none"/>
                <w:lang w:val="en-US" w:eastAsia="zh-CN" w:bidi="ar"/>
              </w:rPr>
              <w:t>人）；</w:t>
            </w:r>
          </w:p>
          <w:p w14:paraId="63813296">
            <w:pPr>
              <w:keepNext w:val="0"/>
              <w:keepLines w:val="0"/>
              <w:pageBreakBefore w:val="0"/>
              <w:widowControl/>
              <w:suppressLineNumbers w:val="0"/>
              <w:kinsoku/>
              <w:wordWrap/>
              <w:overflowPunct/>
              <w:topLinePunct w:val="0"/>
              <w:autoSpaceDE/>
              <w:autoSpaceDN/>
              <w:bidi w:val="0"/>
              <w:adjustRightInd w:val="0"/>
              <w:snapToGrid w:val="0"/>
              <w:spacing w:line="243" w:lineRule="auto"/>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color w:val="auto"/>
                <w:kern w:val="0"/>
                <w:sz w:val="24"/>
                <w:szCs w:val="24"/>
                <w:highlight w:val="none"/>
                <w:lang w:val="en-US" w:eastAsia="zh-CN" w:bidi="ar"/>
              </w:rPr>
              <w:t>评标专家确定方式：由招标代理在开标前</w:t>
            </w:r>
            <w:r>
              <w:rPr>
                <w:rFonts w:hint="eastAsia" w:ascii="仿宋" w:hAnsi="仿宋" w:eastAsia="仿宋" w:cs="仿宋"/>
                <w:color w:val="auto"/>
                <w:kern w:val="0"/>
                <w:sz w:val="24"/>
                <w:szCs w:val="24"/>
                <w:highlight w:val="none"/>
                <w:u w:val="single"/>
                <w:lang w:val="en-US" w:eastAsia="zh-CN" w:bidi="ar"/>
              </w:rPr>
              <w:t xml:space="preserve"> 48 </w:t>
            </w:r>
            <w:r>
              <w:rPr>
                <w:rFonts w:hint="eastAsia" w:ascii="仿宋" w:hAnsi="仿宋" w:eastAsia="仿宋" w:cs="仿宋"/>
                <w:color w:val="auto"/>
                <w:kern w:val="0"/>
                <w:sz w:val="24"/>
                <w:szCs w:val="24"/>
                <w:highlight w:val="none"/>
                <w:lang w:val="en-US" w:eastAsia="zh-CN" w:bidi="ar"/>
              </w:rPr>
              <w:t>小时在政采云专家库中随机抽取此次评标专家。</w:t>
            </w:r>
          </w:p>
        </w:tc>
      </w:tr>
      <w:tr w14:paraId="6673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838" w:type="dxa"/>
            <w:vAlign w:val="center"/>
          </w:tcPr>
          <w:p w14:paraId="0076B868">
            <w:pPr>
              <w:keepNext w:val="0"/>
              <w:keepLines w:val="0"/>
              <w:pageBreakBefore w:val="0"/>
              <w:kinsoku/>
              <w:wordWrap/>
              <w:overflowPunct/>
              <w:topLinePunct w:val="0"/>
              <w:autoSpaceDE/>
              <w:autoSpaceDN/>
              <w:bidi w:val="0"/>
              <w:adjustRightInd w:val="0"/>
              <w:snapToGrid w:val="0"/>
              <w:spacing w:line="243"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26</w:t>
            </w:r>
          </w:p>
        </w:tc>
        <w:tc>
          <w:tcPr>
            <w:tcW w:w="1947" w:type="dxa"/>
            <w:vAlign w:val="center"/>
          </w:tcPr>
          <w:p w14:paraId="2D4CEC3D">
            <w:pPr>
              <w:keepNext w:val="0"/>
              <w:keepLines w:val="0"/>
              <w:pageBreakBefore w:val="0"/>
              <w:widowControl w:val="0"/>
              <w:kinsoku/>
              <w:wordWrap/>
              <w:overflowPunct/>
              <w:topLinePunct w:val="0"/>
              <w:autoSpaceDE/>
              <w:autoSpaceDN/>
              <w:bidi w:val="0"/>
              <w:adjustRightInd w:val="0"/>
              <w:snapToGrid w:val="0"/>
              <w:spacing w:line="243"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FF0000"/>
                <w:sz w:val="24"/>
                <w:szCs w:val="24"/>
                <w:highlight w:val="none"/>
              </w:rPr>
              <w:t>报价</w:t>
            </w:r>
          </w:p>
        </w:tc>
        <w:tc>
          <w:tcPr>
            <w:tcW w:w="7416" w:type="dxa"/>
            <w:vAlign w:val="center"/>
          </w:tcPr>
          <w:p w14:paraId="2717EF28">
            <w:pPr>
              <w:keepNext w:val="0"/>
              <w:keepLines w:val="0"/>
              <w:pageBreakBefore w:val="0"/>
              <w:kinsoku/>
              <w:wordWrap/>
              <w:overflowPunct/>
              <w:topLinePunct w:val="0"/>
              <w:autoSpaceDE/>
              <w:autoSpaceDN/>
              <w:bidi w:val="0"/>
              <w:adjustRightInd w:val="0"/>
              <w:snapToGrid w:val="0"/>
              <w:spacing w:line="243" w:lineRule="auto"/>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投标报价不得高于采购预算价及最高限价，如高于采购预算价及最高限价视为无效投标报价；2、供应商的投标报价应包含本项目采购运输、安装、调试、试运行相关服务的全部费用，采购人不再另行支付其他费用。</w:t>
            </w:r>
          </w:p>
        </w:tc>
      </w:tr>
      <w:tr w14:paraId="6FD7B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5C692507">
            <w:pPr>
              <w:keepNext w:val="0"/>
              <w:keepLines w:val="0"/>
              <w:pageBreakBefore w:val="0"/>
              <w:kinsoku/>
              <w:wordWrap/>
              <w:overflowPunct/>
              <w:topLinePunct w:val="0"/>
              <w:autoSpaceDE/>
              <w:autoSpaceDN/>
              <w:bidi w:val="0"/>
              <w:adjustRightInd w:val="0"/>
              <w:snapToGrid w:val="0"/>
              <w:spacing w:line="243" w:lineRule="auto"/>
              <w:ind w:left="0" w:leftChars="0" w:right="0" w:rightChars="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27</w:t>
            </w:r>
          </w:p>
        </w:tc>
        <w:tc>
          <w:tcPr>
            <w:tcW w:w="1947" w:type="dxa"/>
            <w:vAlign w:val="center"/>
          </w:tcPr>
          <w:p w14:paraId="36B7BF98">
            <w:pPr>
              <w:keepNext w:val="0"/>
              <w:keepLines w:val="0"/>
              <w:pageBreakBefore w:val="0"/>
              <w:widowControl w:val="0"/>
              <w:kinsoku/>
              <w:wordWrap/>
              <w:overflowPunct/>
              <w:topLinePunct w:val="0"/>
              <w:autoSpaceDE/>
              <w:autoSpaceDN/>
              <w:bidi w:val="0"/>
              <w:adjustRightInd w:val="0"/>
              <w:snapToGrid w:val="0"/>
              <w:spacing w:line="243"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招标代理费</w:t>
            </w:r>
          </w:p>
        </w:tc>
        <w:tc>
          <w:tcPr>
            <w:tcW w:w="7416" w:type="dxa"/>
            <w:vAlign w:val="center"/>
          </w:tcPr>
          <w:p w14:paraId="3B9F19BA">
            <w:pPr>
              <w:keepNext w:val="0"/>
              <w:keepLines w:val="0"/>
              <w:pageBreakBefore w:val="0"/>
              <w:kinsoku/>
              <w:wordWrap/>
              <w:overflowPunct/>
              <w:topLinePunct w:val="0"/>
              <w:autoSpaceDE/>
              <w:autoSpaceDN/>
              <w:bidi w:val="0"/>
              <w:adjustRightInd w:val="0"/>
              <w:snapToGrid w:val="0"/>
              <w:spacing w:line="243" w:lineRule="auto"/>
              <w:ind w:left="0" w:leftChars="0" w:right="0"/>
              <w:jc w:val="lef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本次招标代理服务费由中标企业支付，参照国家计委(计价格</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2002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1980号)文件及相关补充规定的收费标准计取</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在此基础上下浮20%为</w:t>
            </w:r>
            <w:r>
              <w:rPr>
                <w:rFonts w:hint="eastAsia" w:ascii="仿宋" w:hAnsi="仿宋" w:eastAsia="仿宋" w:cs="仿宋"/>
                <w:bCs/>
                <w:color w:val="auto"/>
                <w:sz w:val="24"/>
                <w:szCs w:val="24"/>
                <w:highlight w:val="none"/>
              </w:rPr>
              <w:t>本次</w:t>
            </w:r>
            <w:r>
              <w:rPr>
                <w:rFonts w:hint="eastAsia" w:ascii="仿宋" w:hAnsi="仿宋" w:eastAsia="仿宋" w:cs="仿宋"/>
                <w:bCs/>
                <w:color w:val="auto"/>
                <w:sz w:val="24"/>
                <w:szCs w:val="24"/>
                <w:highlight w:val="none"/>
                <w:lang w:val="en-US" w:eastAsia="zh-CN"/>
              </w:rPr>
              <w:t>最终</w:t>
            </w:r>
            <w:r>
              <w:rPr>
                <w:rFonts w:hint="eastAsia" w:ascii="仿宋" w:hAnsi="仿宋" w:eastAsia="仿宋" w:cs="仿宋"/>
                <w:bCs/>
                <w:color w:val="auto"/>
                <w:sz w:val="24"/>
                <w:szCs w:val="24"/>
                <w:highlight w:val="none"/>
              </w:rPr>
              <w:t>招标代理服务费</w:t>
            </w:r>
            <w:r>
              <w:rPr>
                <w:rFonts w:hint="eastAsia" w:ascii="仿宋" w:hAnsi="仿宋" w:eastAsia="仿宋" w:cs="仿宋"/>
                <w:bCs/>
                <w:color w:val="auto"/>
                <w:sz w:val="24"/>
                <w:szCs w:val="24"/>
                <w:highlight w:val="none"/>
                <w:lang w:eastAsia="zh-CN"/>
              </w:rPr>
              <w:t>；</w:t>
            </w:r>
          </w:p>
          <w:p w14:paraId="31176D38">
            <w:pPr>
              <w:keepNext w:val="0"/>
              <w:keepLines w:val="0"/>
              <w:pageBreakBefore w:val="0"/>
              <w:kinsoku/>
              <w:wordWrap/>
              <w:overflowPunct/>
              <w:topLinePunct w:val="0"/>
              <w:autoSpaceDE/>
              <w:autoSpaceDN/>
              <w:bidi w:val="0"/>
              <w:adjustRightInd w:val="0"/>
              <w:snapToGrid w:val="0"/>
              <w:spacing w:line="243" w:lineRule="auto"/>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val="0"/>
                <w:color w:val="auto"/>
                <w:sz w:val="24"/>
                <w:szCs w:val="24"/>
                <w:highlight w:val="none"/>
                <w:lang w:eastAsia="zh-CN"/>
              </w:rPr>
              <w:t>中标企业在领取中标通知书时一次性足额支付！</w:t>
            </w:r>
          </w:p>
        </w:tc>
      </w:tr>
      <w:tr w14:paraId="2C88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38" w:type="dxa"/>
            <w:vAlign w:val="center"/>
          </w:tcPr>
          <w:p w14:paraId="0A646A71">
            <w:pPr>
              <w:keepNext w:val="0"/>
              <w:keepLines w:val="0"/>
              <w:pageBreakBefore w:val="0"/>
              <w:kinsoku/>
              <w:wordWrap/>
              <w:overflowPunct/>
              <w:topLinePunct w:val="0"/>
              <w:autoSpaceDE/>
              <w:autoSpaceDN/>
              <w:bidi w:val="0"/>
              <w:adjustRightInd w:val="0"/>
              <w:snapToGrid w:val="0"/>
              <w:spacing w:line="243"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28</w:t>
            </w:r>
          </w:p>
        </w:tc>
        <w:tc>
          <w:tcPr>
            <w:tcW w:w="1947" w:type="dxa"/>
            <w:vAlign w:val="center"/>
          </w:tcPr>
          <w:p w14:paraId="5FE3DD95">
            <w:pPr>
              <w:keepNext w:val="0"/>
              <w:keepLines w:val="0"/>
              <w:pageBreakBefore w:val="0"/>
              <w:widowControl w:val="0"/>
              <w:kinsoku/>
              <w:wordWrap/>
              <w:overflowPunct/>
              <w:topLinePunct w:val="0"/>
              <w:autoSpaceDE/>
              <w:autoSpaceDN/>
              <w:bidi w:val="0"/>
              <w:adjustRightInd w:val="0"/>
              <w:snapToGrid w:val="0"/>
              <w:spacing w:line="243" w:lineRule="auto"/>
              <w:ind w:left="0" w:leftChars="0" w:right="0" w:rightChars="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本项目评标办法</w:t>
            </w:r>
          </w:p>
        </w:tc>
        <w:tc>
          <w:tcPr>
            <w:tcW w:w="7416" w:type="dxa"/>
            <w:vAlign w:val="center"/>
          </w:tcPr>
          <w:p w14:paraId="15BA3C5E">
            <w:pPr>
              <w:keepNext w:val="0"/>
              <w:keepLines w:val="0"/>
              <w:pageBreakBefore w:val="0"/>
              <w:widowControl w:val="0"/>
              <w:kinsoku/>
              <w:wordWrap/>
              <w:overflowPunct/>
              <w:topLinePunct w:val="0"/>
              <w:autoSpaceDE/>
              <w:autoSpaceDN/>
              <w:bidi w:val="0"/>
              <w:adjustRightInd w:val="0"/>
              <w:snapToGrid w:val="0"/>
              <w:spacing w:line="243" w:lineRule="auto"/>
              <w:ind w:left="0" w:leftChars="0" w:right="0" w:rightChars="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本项目采用综合评分法</w:t>
            </w:r>
          </w:p>
        </w:tc>
      </w:tr>
      <w:tr w14:paraId="0379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4" w:hRule="atLeast"/>
          <w:jc w:val="center"/>
        </w:trPr>
        <w:tc>
          <w:tcPr>
            <w:tcW w:w="838" w:type="dxa"/>
            <w:vAlign w:val="center"/>
          </w:tcPr>
          <w:p w14:paraId="21AAD847">
            <w:pPr>
              <w:keepNext w:val="0"/>
              <w:keepLines w:val="0"/>
              <w:pageBreakBefore w:val="0"/>
              <w:kinsoku/>
              <w:wordWrap/>
              <w:overflowPunct/>
              <w:topLinePunct w:val="0"/>
              <w:autoSpaceDE/>
              <w:autoSpaceDN/>
              <w:bidi w:val="0"/>
              <w:adjustRightInd w:val="0"/>
              <w:snapToGrid w:val="0"/>
              <w:spacing w:line="243" w:lineRule="auto"/>
              <w:ind w:left="0" w:leftChars="0" w:right="0" w:rightChars="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29</w:t>
            </w:r>
          </w:p>
        </w:tc>
        <w:tc>
          <w:tcPr>
            <w:tcW w:w="1947" w:type="dxa"/>
            <w:vAlign w:val="center"/>
          </w:tcPr>
          <w:p w14:paraId="3E26B914">
            <w:pPr>
              <w:keepNext w:val="0"/>
              <w:keepLines w:val="0"/>
              <w:pageBreakBefore w:val="0"/>
              <w:widowControl w:val="0"/>
              <w:kinsoku/>
              <w:wordWrap/>
              <w:overflowPunct/>
              <w:topLinePunct w:val="0"/>
              <w:autoSpaceDE/>
              <w:autoSpaceDN/>
              <w:bidi w:val="0"/>
              <w:adjustRightInd w:val="0"/>
              <w:snapToGrid w:val="0"/>
              <w:spacing w:line="243" w:lineRule="auto"/>
              <w:ind w:left="0" w:leftChars="0" w:right="0" w:rightChars="0"/>
              <w:jc w:val="center"/>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rPr>
              <w:t>不予退还保证金的情形</w:t>
            </w:r>
          </w:p>
        </w:tc>
        <w:tc>
          <w:tcPr>
            <w:tcW w:w="7416" w:type="dxa"/>
            <w:vAlign w:val="center"/>
          </w:tcPr>
          <w:p w14:paraId="1F136A57">
            <w:pPr>
              <w:keepNext w:val="0"/>
              <w:keepLines w:val="0"/>
              <w:pageBreakBefore w:val="0"/>
              <w:widowControl w:val="0"/>
              <w:kinsoku/>
              <w:wordWrap/>
              <w:overflowPunct/>
              <w:topLinePunct w:val="0"/>
              <w:autoSpaceDE/>
              <w:autoSpaceDN/>
              <w:bidi w:val="0"/>
              <w:adjustRightInd w:val="0"/>
              <w:snapToGrid w:val="0"/>
              <w:spacing w:line="243"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有下列情形之一的，保证金不予退还：</w:t>
            </w:r>
          </w:p>
          <w:p w14:paraId="0903F9F0">
            <w:pPr>
              <w:keepNext w:val="0"/>
              <w:keepLines w:val="0"/>
              <w:pageBreakBefore w:val="0"/>
              <w:widowControl w:val="0"/>
              <w:kinsoku/>
              <w:wordWrap/>
              <w:overflowPunct/>
              <w:topLinePunct w:val="0"/>
              <w:autoSpaceDE/>
              <w:autoSpaceDN/>
              <w:bidi w:val="0"/>
              <w:adjustRightInd w:val="0"/>
              <w:snapToGrid w:val="0"/>
              <w:spacing w:line="243"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（1）供应商在提交投标文件截止时间后撤回投标文件的；</w:t>
            </w:r>
          </w:p>
          <w:p w14:paraId="707A6067">
            <w:pPr>
              <w:keepNext w:val="0"/>
              <w:keepLines w:val="0"/>
              <w:pageBreakBefore w:val="0"/>
              <w:widowControl w:val="0"/>
              <w:kinsoku/>
              <w:wordWrap/>
              <w:overflowPunct/>
              <w:topLinePunct w:val="0"/>
              <w:autoSpaceDE/>
              <w:autoSpaceDN/>
              <w:bidi w:val="0"/>
              <w:adjustRightInd w:val="0"/>
              <w:snapToGrid w:val="0"/>
              <w:spacing w:line="243"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（2）供应商在投标文件中提供虚假材料的；</w:t>
            </w:r>
          </w:p>
          <w:p w14:paraId="38E4330C">
            <w:pPr>
              <w:keepNext w:val="0"/>
              <w:keepLines w:val="0"/>
              <w:pageBreakBefore w:val="0"/>
              <w:widowControl w:val="0"/>
              <w:kinsoku/>
              <w:wordWrap/>
              <w:overflowPunct/>
              <w:topLinePunct w:val="0"/>
              <w:autoSpaceDE/>
              <w:autoSpaceDN/>
              <w:bidi w:val="0"/>
              <w:adjustRightInd w:val="0"/>
              <w:snapToGrid w:val="0"/>
              <w:spacing w:line="243"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（3）除因不可抗力或招标文件认可的情形以外，成交供应商不与采购人签订合同的；</w:t>
            </w:r>
          </w:p>
          <w:p w14:paraId="3421AB98">
            <w:pPr>
              <w:keepNext w:val="0"/>
              <w:keepLines w:val="0"/>
              <w:pageBreakBefore w:val="0"/>
              <w:widowControl w:val="0"/>
              <w:kinsoku/>
              <w:wordWrap/>
              <w:overflowPunct/>
              <w:topLinePunct w:val="0"/>
              <w:autoSpaceDE/>
              <w:autoSpaceDN/>
              <w:bidi w:val="0"/>
              <w:adjustRightInd w:val="0"/>
              <w:snapToGrid w:val="0"/>
              <w:spacing w:line="243"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（4）供应商与采购人、其他供应商或者采购代理机构恶意串通的；</w:t>
            </w:r>
          </w:p>
          <w:p w14:paraId="24CDB4A2">
            <w:pPr>
              <w:keepNext w:val="0"/>
              <w:keepLines w:val="0"/>
              <w:pageBreakBefore w:val="0"/>
              <w:widowControl w:val="0"/>
              <w:kinsoku/>
              <w:wordWrap/>
              <w:overflowPunct/>
              <w:topLinePunct w:val="0"/>
              <w:autoSpaceDE/>
              <w:autoSpaceDN/>
              <w:bidi w:val="0"/>
              <w:adjustRightInd w:val="0"/>
              <w:snapToGrid w:val="0"/>
              <w:spacing w:line="243" w:lineRule="auto"/>
              <w:ind w:left="0" w:leftChars="0" w:right="0" w:rightChars="0"/>
              <w:jc w:val="left"/>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rPr>
              <w:t>（5）招标文件规定的其他情形。</w:t>
            </w:r>
          </w:p>
        </w:tc>
      </w:tr>
      <w:tr w14:paraId="5F9C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838" w:type="dxa"/>
            <w:vAlign w:val="center"/>
          </w:tcPr>
          <w:p w14:paraId="378C768F">
            <w:pPr>
              <w:keepNext w:val="0"/>
              <w:keepLines w:val="0"/>
              <w:pageBreakBefore w:val="0"/>
              <w:kinsoku/>
              <w:wordWrap/>
              <w:overflowPunct/>
              <w:topLinePunct w:val="0"/>
              <w:autoSpaceDE/>
              <w:autoSpaceDN/>
              <w:bidi w:val="0"/>
              <w:adjustRightInd w:val="0"/>
              <w:snapToGrid w:val="0"/>
              <w:spacing w:line="243" w:lineRule="auto"/>
              <w:ind w:left="0" w:leftChars="0" w:right="0" w:rightChars="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30</w:t>
            </w:r>
          </w:p>
        </w:tc>
        <w:tc>
          <w:tcPr>
            <w:tcW w:w="1947" w:type="dxa"/>
            <w:vAlign w:val="center"/>
          </w:tcPr>
          <w:p w14:paraId="29FBE0C7">
            <w:pPr>
              <w:keepNext w:val="0"/>
              <w:keepLines w:val="0"/>
              <w:pageBreakBefore w:val="0"/>
              <w:widowControl w:val="0"/>
              <w:kinsoku/>
              <w:wordWrap/>
              <w:overflowPunct/>
              <w:topLinePunct w:val="0"/>
              <w:autoSpaceDE/>
              <w:autoSpaceDN/>
              <w:bidi w:val="0"/>
              <w:adjustRightInd w:val="0"/>
              <w:snapToGrid w:val="0"/>
              <w:spacing w:line="243"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color w:val="auto"/>
                <w:sz w:val="24"/>
                <w:szCs w:val="24"/>
                <w:highlight w:val="none"/>
              </w:rPr>
              <w:t>履约保证金</w:t>
            </w:r>
          </w:p>
        </w:tc>
        <w:tc>
          <w:tcPr>
            <w:tcW w:w="7416" w:type="dxa"/>
            <w:vAlign w:val="center"/>
          </w:tcPr>
          <w:p w14:paraId="0B0A21A0">
            <w:pPr>
              <w:keepNext w:val="0"/>
              <w:keepLines w:val="0"/>
              <w:pageBreakBefore w:val="0"/>
              <w:widowControl w:val="0"/>
              <w:kinsoku/>
              <w:wordWrap/>
              <w:overflowPunct/>
              <w:topLinePunct w:val="0"/>
              <w:autoSpaceDE/>
              <w:autoSpaceDN/>
              <w:bidi w:val="0"/>
              <w:adjustRightInd w:val="0"/>
              <w:snapToGrid w:val="0"/>
              <w:spacing w:line="243"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根据《中华人民共和国政府采购法实施条例》第四十八条  履约保证金的数额不得超过政府采购合同金额的10%，中标人与招标人签订合同前提交履约保证金，具体缴纳金额中标人与招标人签订合同前约定。</w:t>
            </w:r>
            <w:r>
              <w:rPr>
                <w:rFonts w:hint="eastAsia" w:ascii="仿宋" w:hAnsi="仿宋" w:eastAsia="仿宋" w:cs="仿宋"/>
                <w:color w:val="auto"/>
                <w:sz w:val="24"/>
                <w:szCs w:val="24"/>
                <w:lang w:val="en-US" w:eastAsia="zh-CN"/>
              </w:rPr>
              <w:t>如</w:t>
            </w:r>
            <w:r>
              <w:rPr>
                <w:rFonts w:hint="eastAsia" w:ascii="仿宋" w:hAnsi="仿宋" w:eastAsia="仿宋" w:cs="仿宋"/>
                <w:color w:val="auto"/>
                <w:sz w:val="24"/>
                <w:szCs w:val="24"/>
                <w:highlight w:val="none"/>
                <w:lang w:val="en-US" w:eastAsia="zh-CN"/>
              </w:rPr>
              <w:t>中标人</w:t>
            </w:r>
            <w:r>
              <w:rPr>
                <w:rFonts w:hint="eastAsia" w:ascii="仿宋" w:hAnsi="仿宋" w:eastAsia="仿宋" w:cs="仿宋"/>
                <w:color w:val="auto"/>
                <w:sz w:val="24"/>
                <w:szCs w:val="24"/>
                <w:lang w:val="en-US" w:eastAsia="zh-CN"/>
              </w:rPr>
              <w:t>未按招标文件及合同规定</w:t>
            </w:r>
            <w:r>
              <w:rPr>
                <w:rFonts w:hint="eastAsia" w:ascii="仿宋" w:hAnsi="仿宋" w:eastAsia="仿宋" w:cs="仿宋"/>
                <w:color w:val="auto"/>
                <w:kern w:val="0"/>
                <w:sz w:val="24"/>
                <w:szCs w:val="24"/>
                <w:highlight w:val="none"/>
                <w:lang w:val="en-US" w:eastAsia="zh-CN" w:bidi="ar"/>
              </w:rPr>
              <w:t>的内容、期限供货/服务、配合验收等则扣除履约保证金</w:t>
            </w:r>
            <w:r>
              <w:rPr>
                <w:rFonts w:hint="eastAsia" w:ascii="仿宋" w:hAnsi="仿宋" w:eastAsia="仿宋" w:cs="仿宋"/>
                <w:color w:val="auto"/>
                <w:sz w:val="24"/>
                <w:szCs w:val="24"/>
                <w:lang w:val="en-US" w:eastAsia="zh-CN"/>
              </w:rPr>
              <w:t>。</w:t>
            </w:r>
          </w:p>
          <w:p w14:paraId="6AA61429">
            <w:pPr>
              <w:keepNext w:val="0"/>
              <w:keepLines w:val="0"/>
              <w:pageBreakBefore w:val="0"/>
              <w:widowControl w:val="0"/>
              <w:kinsoku/>
              <w:wordWrap/>
              <w:overflowPunct/>
              <w:topLinePunct w:val="0"/>
              <w:autoSpaceDE/>
              <w:autoSpaceDN/>
              <w:bidi w:val="0"/>
              <w:adjustRightInd w:val="0"/>
              <w:snapToGrid w:val="0"/>
              <w:spacing w:line="243" w:lineRule="auto"/>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履约保证金形式：支票、汇票、本票、或者金融机构、担保机构出具的保函等非现金形式提交（履约赔付地点为项目所在地）。</w:t>
            </w:r>
          </w:p>
        </w:tc>
      </w:tr>
      <w:tr w14:paraId="516C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8" w:hRule="atLeast"/>
          <w:jc w:val="center"/>
        </w:trPr>
        <w:tc>
          <w:tcPr>
            <w:tcW w:w="838" w:type="dxa"/>
            <w:vAlign w:val="center"/>
          </w:tcPr>
          <w:p w14:paraId="1635675D">
            <w:pPr>
              <w:keepNext w:val="0"/>
              <w:keepLines w:val="0"/>
              <w:pageBreakBefore w:val="0"/>
              <w:kinsoku/>
              <w:wordWrap/>
              <w:overflowPunct/>
              <w:topLinePunct w:val="0"/>
              <w:autoSpaceDE/>
              <w:autoSpaceDN/>
              <w:bidi w:val="0"/>
              <w:adjustRightInd w:val="0"/>
              <w:snapToGrid w:val="0"/>
              <w:spacing w:line="243" w:lineRule="auto"/>
              <w:ind w:left="0" w:leftChars="0" w:right="0" w:rightChars="0"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w:t>
            </w:r>
          </w:p>
        </w:tc>
        <w:tc>
          <w:tcPr>
            <w:tcW w:w="1947" w:type="dxa"/>
            <w:vAlign w:val="center"/>
          </w:tcPr>
          <w:p w14:paraId="65434CB7">
            <w:pPr>
              <w:keepNext w:val="0"/>
              <w:keepLines w:val="0"/>
              <w:pageBreakBefore w:val="0"/>
              <w:widowControl w:val="0"/>
              <w:kinsoku/>
              <w:wordWrap/>
              <w:overflowPunct/>
              <w:topLinePunct w:val="0"/>
              <w:autoSpaceDE/>
              <w:autoSpaceDN/>
              <w:bidi w:val="0"/>
              <w:adjustRightInd w:val="0"/>
              <w:snapToGrid w:val="0"/>
              <w:spacing w:line="243"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落实的政府采购政策</w:t>
            </w:r>
          </w:p>
        </w:tc>
        <w:tc>
          <w:tcPr>
            <w:tcW w:w="7416" w:type="dxa"/>
            <w:vAlign w:val="center"/>
          </w:tcPr>
          <w:p w14:paraId="5C4B0DE3">
            <w:pPr>
              <w:pStyle w:val="166"/>
              <w:spacing w:line="0" w:lineRule="atLeast"/>
              <w:rPr>
                <w:rFonts w:hint="eastAsia" w:ascii="仿宋" w:hAnsi="仿宋" w:eastAsia="仿宋" w:cs="仿宋"/>
                <w:color w:val="auto"/>
                <w:kern w:val="2"/>
                <w:highlight w:val="none"/>
              </w:rPr>
            </w:pPr>
            <w:r>
              <w:rPr>
                <w:rFonts w:hint="eastAsia" w:ascii="仿宋" w:hAnsi="仿宋" w:eastAsia="仿宋" w:cs="仿宋"/>
                <w:color w:val="auto"/>
                <w:kern w:val="2"/>
                <w:highlight w:val="none"/>
              </w:rPr>
              <w:t>1、小微型企业价格扣除</w:t>
            </w:r>
          </w:p>
          <w:p w14:paraId="1CFB97F4">
            <w:pPr>
              <w:pStyle w:val="166"/>
              <w:spacing w:line="0" w:lineRule="atLeast"/>
              <w:ind w:firstLine="360" w:firstLineChars="150"/>
              <w:rPr>
                <w:rFonts w:hint="eastAsia" w:ascii="仿宋" w:hAnsi="仿宋" w:eastAsia="仿宋" w:cs="仿宋"/>
                <w:color w:val="auto"/>
                <w:kern w:val="2"/>
                <w:highlight w:val="none"/>
                <w:lang w:val="en-US" w:eastAsia="zh-Hans"/>
              </w:rPr>
            </w:pPr>
            <w:r>
              <w:rPr>
                <w:rFonts w:hint="eastAsia" w:ascii="仿宋" w:hAnsi="仿宋" w:eastAsia="仿宋" w:cs="仿宋"/>
                <w:color w:val="auto"/>
                <w:kern w:val="2"/>
                <w:highlight w:val="none"/>
              </w:rPr>
              <w:t>（1）本项目不专门面向中小企业采购，但对符合要求的中小微企业给与10%的报价扣除，用扣除后的价格参与评审。</w:t>
            </w:r>
          </w:p>
          <w:p w14:paraId="5E0C8B2F">
            <w:pPr>
              <w:pStyle w:val="166"/>
              <w:spacing w:line="0" w:lineRule="atLeast"/>
              <w:ind w:firstLine="360" w:firstLineChars="150"/>
              <w:rPr>
                <w:rFonts w:hint="eastAsia" w:ascii="仿宋" w:hAnsi="仿宋" w:eastAsia="仿宋" w:cs="仿宋"/>
                <w:color w:val="auto"/>
                <w:kern w:val="2"/>
                <w:highlight w:val="none"/>
              </w:rPr>
            </w:pPr>
            <w:r>
              <w:rPr>
                <w:rFonts w:hint="eastAsia" w:ascii="仿宋" w:hAnsi="仿宋" w:eastAsia="仿宋" w:cs="仿宋"/>
                <w:color w:val="auto"/>
                <w:kern w:val="2"/>
                <w:highlight w:val="none"/>
              </w:rPr>
              <w:t>（2）供应商需按照采购文件的要求提供相应的《企业声明函》。</w:t>
            </w:r>
          </w:p>
          <w:p w14:paraId="149CEEE8">
            <w:pPr>
              <w:pStyle w:val="166"/>
              <w:spacing w:line="0" w:lineRule="atLeast"/>
              <w:ind w:firstLine="360" w:firstLineChars="150"/>
              <w:rPr>
                <w:rFonts w:hint="eastAsia" w:ascii="仿宋" w:hAnsi="仿宋" w:eastAsia="仿宋" w:cs="仿宋"/>
                <w:color w:val="auto"/>
                <w:kern w:val="2"/>
                <w:highlight w:val="none"/>
              </w:rPr>
            </w:pPr>
            <w:r>
              <w:rPr>
                <w:rFonts w:hint="eastAsia" w:ascii="仿宋" w:hAnsi="仿宋" w:eastAsia="仿宋" w:cs="仿宋"/>
                <w:color w:val="auto"/>
                <w:kern w:val="2"/>
                <w:highlight w:val="none"/>
              </w:rPr>
              <w:t>（3）企业标准请参照《关于印发中小企业划型标准规定的通知》（工信部联企业[2011]300号）文件规定自行填写。</w:t>
            </w:r>
          </w:p>
          <w:p w14:paraId="0F8ACB88">
            <w:pPr>
              <w:pStyle w:val="166"/>
              <w:spacing w:line="0" w:lineRule="atLeast"/>
              <w:ind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2、残疾人福利单位价格扣除</w:t>
            </w:r>
          </w:p>
          <w:p w14:paraId="12A2AE36">
            <w:pPr>
              <w:pStyle w:val="166"/>
              <w:spacing w:line="0" w:lineRule="atLeast"/>
              <w:ind w:left="120" w:leftChars="57" w:firstLine="360" w:firstLineChars="150"/>
              <w:rPr>
                <w:rFonts w:hint="eastAsia" w:ascii="仿宋" w:hAnsi="仿宋" w:eastAsia="仿宋" w:cs="仿宋"/>
                <w:color w:val="auto"/>
                <w:kern w:val="2"/>
                <w:highlight w:val="none"/>
              </w:rPr>
            </w:pPr>
            <w:r>
              <w:rPr>
                <w:rFonts w:hint="eastAsia" w:ascii="仿宋" w:hAnsi="仿宋" w:eastAsia="仿宋" w:cs="仿宋"/>
                <w:color w:val="auto"/>
                <w:kern w:val="2"/>
                <w:highlight w:val="none"/>
              </w:rPr>
              <w:t>（1）本项目对残疾人福利性单位视同小型、微型企业，给予</w:t>
            </w:r>
            <w:r>
              <w:rPr>
                <w:rFonts w:hint="eastAsia" w:ascii="仿宋" w:hAnsi="仿宋" w:eastAsia="仿宋" w:cs="仿宋"/>
                <w:color w:val="auto"/>
                <w:kern w:val="2"/>
                <w:highlight w:val="none"/>
                <w:lang w:val="en-US" w:eastAsia="zh-CN"/>
              </w:rPr>
              <w:t>10</w:t>
            </w:r>
            <w:r>
              <w:rPr>
                <w:rFonts w:hint="eastAsia" w:ascii="仿宋" w:hAnsi="仿宋" w:eastAsia="仿宋" w:cs="仿宋"/>
                <w:color w:val="auto"/>
                <w:kern w:val="2"/>
                <w:highlight w:val="none"/>
              </w:rPr>
              <w:t>%的价格扣除，用扣除后的价格参与评审。</w:t>
            </w:r>
          </w:p>
          <w:p w14:paraId="025C2696">
            <w:pPr>
              <w:pStyle w:val="166"/>
              <w:spacing w:line="0" w:lineRule="atLeast"/>
              <w:ind w:left="120" w:leftChars="57" w:firstLine="360" w:firstLineChars="150"/>
              <w:rPr>
                <w:rFonts w:hint="eastAsia" w:ascii="仿宋" w:hAnsi="仿宋" w:eastAsia="仿宋" w:cs="仿宋"/>
                <w:color w:val="auto"/>
                <w:kern w:val="2"/>
                <w:highlight w:val="none"/>
              </w:rPr>
            </w:pPr>
            <w:r>
              <w:rPr>
                <w:rFonts w:hint="eastAsia" w:ascii="仿宋" w:hAnsi="仿宋" w:eastAsia="仿宋" w:cs="仿宋"/>
                <w:color w:val="auto"/>
                <w:kern w:val="2"/>
                <w:highlight w:val="none"/>
              </w:rPr>
              <w:t>（2）残疾人福利单位需按照采购文件的要求提供《残疾人福利性单位声明函》。</w:t>
            </w:r>
          </w:p>
          <w:p w14:paraId="6B0C2A02">
            <w:pPr>
              <w:pStyle w:val="166"/>
              <w:spacing w:line="0" w:lineRule="atLeast"/>
              <w:ind w:left="120" w:leftChars="57" w:firstLine="360" w:firstLineChars="150"/>
              <w:rPr>
                <w:rFonts w:hint="eastAsia" w:ascii="仿宋" w:hAnsi="仿宋" w:eastAsia="仿宋" w:cs="仿宋"/>
                <w:color w:val="auto"/>
                <w:kern w:val="2"/>
                <w:highlight w:val="none"/>
              </w:rPr>
            </w:pPr>
            <w:r>
              <w:rPr>
                <w:rFonts w:hint="eastAsia" w:ascii="仿宋" w:hAnsi="仿宋" w:eastAsia="仿宋" w:cs="仿宋"/>
                <w:color w:val="auto"/>
                <w:kern w:val="2"/>
                <w:highlight w:val="none"/>
              </w:rPr>
              <w:t>（3）残疾人福利单位标准请参照《关于促进残疾人就业政府采购政策的通知》（财库〔2017〕141号）。</w:t>
            </w:r>
          </w:p>
          <w:p w14:paraId="2CAEA87E">
            <w:pPr>
              <w:pStyle w:val="166"/>
              <w:spacing w:line="0" w:lineRule="atLeast"/>
              <w:ind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3、监狱和戒毒企业价格扣除</w:t>
            </w:r>
          </w:p>
          <w:p w14:paraId="712CF082">
            <w:pPr>
              <w:pStyle w:val="166"/>
              <w:spacing w:line="0" w:lineRule="atLeast"/>
              <w:ind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（1）本项目对</w:t>
            </w:r>
            <w:r>
              <w:rPr>
                <w:rFonts w:hint="eastAsia" w:ascii="仿宋" w:hAnsi="仿宋" w:eastAsia="仿宋" w:cs="仿宋"/>
                <w:color w:val="auto"/>
                <w:kern w:val="2"/>
                <w:highlight w:val="none"/>
                <w:lang w:val="en-US" w:eastAsia="zh-CN"/>
              </w:rPr>
              <w:t>JY</w:t>
            </w:r>
            <w:r>
              <w:rPr>
                <w:rFonts w:hint="eastAsia" w:ascii="仿宋" w:hAnsi="仿宋" w:eastAsia="仿宋" w:cs="仿宋"/>
                <w:color w:val="auto"/>
                <w:kern w:val="2"/>
                <w:highlight w:val="none"/>
              </w:rPr>
              <w:t>和戒毒企业（简称</w:t>
            </w:r>
            <w:r>
              <w:rPr>
                <w:rFonts w:hint="eastAsia" w:ascii="仿宋" w:hAnsi="仿宋" w:eastAsia="仿宋" w:cs="仿宋"/>
                <w:color w:val="auto"/>
                <w:kern w:val="2"/>
                <w:highlight w:val="none"/>
                <w:lang w:val="en-US" w:eastAsia="zh-CN"/>
              </w:rPr>
              <w:t>JY</w:t>
            </w:r>
            <w:r>
              <w:rPr>
                <w:rFonts w:hint="eastAsia" w:ascii="仿宋" w:hAnsi="仿宋" w:eastAsia="仿宋" w:cs="仿宋"/>
                <w:color w:val="auto"/>
                <w:kern w:val="2"/>
                <w:highlight w:val="none"/>
              </w:rPr>
              <w:t>企业）视同小型、微型企业，给予</w:t>
            </w:r>
            <w:r>
              <w:rPr>
                <w:rFonts w:hint="eastAsia" w:ascii="仿宋" w:hAnsi="仿宋" w:eastAsia="仿宋" w:cs="仿宋"/>
                <w:color w:val="auto"/>
                <w:kern w:val="2"/>
                <w:highlight w:val="none"/>
                <w:lang w:val="en-US" w:eastAsia="zh-CN"/>
              </w:rPr>
              <w:t>10</w:t>
            </w:r>
            <w:r>
              <w:rPr>
                <w:rFonts w:hint="eastAsia" w:ascii="仿宋" w:hAnsi="仿宋" w:eastAsia="仿宋" w:cs="仿宋"/>
                <w:color w:val="auto"/>
                <w:kern w:val="2"/>
                <w:highlight w:val="none"/>
              </w:rPr>
              <w:t>%的价格扣除，用扣除后的价格参与评审。</w:t>
            </w:r>
          </w:p>
          <w:p w14:paraId="07D8E1FF">
            <w:pPr>
              <w:pStyle w:val="166"/>
              <w:spacing w:line="0" w:lineRule="atLeast"/>
              <w:ind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（2）</w:t>
            </w:r>
            <w:r>
              <w:rPr>
                <w:rFonts w:hint="eastAsia" w:ascii="仿宋" w:hAnsi="仿宋" w:eastAsia="仿宋" w:cs="仿宋"/>
                <w:color w:val="auto"/>
                <w:kern w:val="2"/>
                <w:highlight w:val="none"/>
                <w:lang w:val="en-US" w:eastAsia="zh-CN"/>
              </w:rPr>
              <w:t>JY</w:t>
            </w:r>
            <w:r>
              <w:rPr>
                <w:rFonts w:hint="eastAsia" w:ascii="仿宋" w:hAnsi="仿宋" w:eastAsia="仿宋" w:cs="仿宋"/>
                <w:color w:val="auto"/>
                <w:kern w:val="2"/>
                <w:highlight w:val="none"/>
              </w:rPr>
              <w:t>企业参加政府采购活动时，需提供由省级以上</w:t>
            </w:r>
            <w:r>
              <w:rPr>
                <w:rFonts w:hint="eastAsia" w:ascii="仿宋" w:hAnsi="仿宋" w:eastAsia="仿宋" w:cs="仿宋"/>
                <w:color w:val="auto"/>
                <w:kern w:val="2"/>
                <w:highlight w:val="none"/>
                <w:lang w:val="en-US" w:eastAsia="zh-CN"/>
              </w:rPr>
              <w:t>JY</w:t>
            </w:r>
            <w:r>
              <w:rPr>
                <w:rFonts w:hint="eastAsia" w:ascii="仿宋" w:hAnsi="仿宋" w:eastAsia="仿宋" w:cs="仿宋"/>
                <w:color w:val="auto"/>
                <w:kern w:val="2"/>
                <w:highlight w:val="none"/>
              </w:rPr>
              <w:t>管理局、戒毒管理局(含新疆生产建设兵团)出具的属于监狱企业的证明文件。</w:t>
            </w:r>
            <w:r>
              <w:rPr>
                <w:rFonts w:hint="eastAsia" w:ascii="仿宋" w:hAnsi="仿宋" w:eastAsia="仿宋" w:cs="仿宋"/>
                <w:color w:val="auto"/>
                <w:highlight w:val="none"/>
              </w:rPr>
              <w:t>供应商如不提供上述证明文件，价格将不做相应扣除</w:t>
            </w:r>
            <w:r>
              <w:rPr>
                <w:rFonts w:hint="eastAsia" w:ascii="仿宋" w:hAnsi="仿宋" w:eastAsia="仿宋" w:cs="仿宋"/>
                <w:color w:val="auto"/>
                <w:kern w:val="2"/>
                <w:highlight w:val="none"/>
              </w:rPr>
              <w:t>。</w:t>
            </w:r>
          </w:p>
          <w:p w14:paraId="2C3E3561">
            <w:pPr>
              <w:pStyle w:val="166"/>
              <w:spacing w:line="0" w:lineRule="atLeast"/>
              <w:ind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（3）监狱企业标准请参照《关于政府采购支持监狱企业发展有关问题的通知》（财库[2014]68号）。</w:t>
            </w:r>
          </w:p>
          <w:p w14:paraId="3FAD5479">
            <w:pPr>
              <w:pStyle w:val="166"/>
              <w:spacing w:line="400" w:lineRule="exact"/>
              <w:ind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highlight w:val="none"/>
              </w:rPr>
              <w:t>4、小微型企业</w:t>
            </w:r>
            <w:r>
              <w:rPr>
                <w:rFonts w:hint="eastAsia" w:ascii="仿宋" w:hAnsi="仿宋" w:eastAsia="仿宋" w:cs="仿宋"/>
                <w:color w:val="auto"/>
                <w:kern w:val="2"/>
                <w:highlight w:val="none"/>
                <w:lang w:eastAsia="zh-CN"/>
              </w:rPr>
              <w:t>、</w:t>
            </w:r>
            <w:r>
              <w:rPr>
                <w:rFonts w:hint="eastAsia" w:ascii="仿宋" w:hAnsi="仿宋" w:eastAsia="仿宋" w:cs="仿宋"/>
                <w:color w:val="auto"/>
                <w:kern w:val="2"/>
                <w:highlight w:val="none"/>
              </w:rPr>
              <w:t>残疾人福利单位、监狱企业属于小型、微型企业的，不重复享受政策。</w:t>
            </w:r>
          </w:p>
        </w:tc>
      </w:tr>
      <w:tr w14:paraId="0CAE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838" w:type="dxa"/>
            <w:vAlign w:val="center"/>
          </w:tcPr>
          <w:p w14:paraId="387E9C9B">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32</w:t>
            </w:r>
          </w:p>
        </w:tc>
        <w:tc>
          <w:tcPr>
            <w:tcW w:w="1947" w:type="dxa"/>
            <w:vAlign w:val="center"/>
          </w:tcPr>
          <w:p w14:paraId="74A9D5BE">
            <w:pPr>
              <w:keepNext w:val="0"/>
              <w:keepLines w:val="0"/>
              <w:pageBreakBefore w:val="0"/>
              <w:widowControl w:val="0"/>
              <w:kinsoku/>
              <w:wordWrap/>
              <w:overflowPunct/>
              <w:topLinePunct w:val="0"/>
              <w:autoSpaceDE/>
              <w:autoSpaceDN/>
              <w:bidi w:val="0"/>
              <w:adjustRightInd w:val="0"/>
              <w:snapToGrid w:val="0"/>
              <w:spacing w:line="216" w:lineRule="auto"/>
              <w:ind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政府采购政策</w:t>
            </w:r>
          </w:p>
          <w:p w14:paraId="2F506571">
            <w:pPr>
              <w:keepNext w:val="0"/>
              <w:keepLines w:val="0"/>
              <w:pageBreakBefore w:val="0"/>
              <w:widowControl w:val="0"/>
              <w:kinsoku/>
              <w:wordWrap/>
              <w:overflowPunct/>
              <w:topLinePunct w:val="0"/>
              <w:autoSpaceDE/>
              <w:autoSpaceDN/>
              <w:bidi w:val="0"/>
              <w:adjustRightInd w:val="0"/>
              <w:snapToGrid w:val="0"/>
              <w:spacing w:line="216" w:lineRule="auto"/>
              <w:ind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支持</w:t>
            </w:r>
          </w:p>
        </w:tc>
        <w:tc>
          <w:tcPr>
            <w:tcW w:w="7416" w:type="dxa"/>
            <w:vAlign w:val="top"/>
          </w:tcPr>
          <w:p w14:paraId="62C9A572">
            <w:pPr>
              <w:keepNext w:val="0"/>
              <w:keepLines w:val="0"/>
              <w:pageBreakBefore w:val="0"/>
              <w:widowControl w:val="0"/>
              <w:kinsoku/>
              <w:wordWrap/>
              <w:overflowPunct/>
              <w:topLinePunct w:val="0"/>
              <w:autoSpaceDE/>
              <w:autoSpaceDN/>
              <w:bidi w:val="0"/>
              <w:adjustRightInd w:val="0"/>
              <w:snapToGrid w:val="0"/>
              <w:spacing w:line="216" w:lineRule="auto"/>
              <w:ind w:right="0" w:rightChars="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根据《中华人民共和国政府采购法》、财政部、 工信部《政府采购促进中小企业发展管理办法》（财 库〔2020〕46 号）、《关于进一步加大政府采购支持中小企业力度的通知财库〔2022〕19 号》等有关法律法规执行；</w:t>
            </w:r>
          </w:p>
          <w:p w14:paraId="355FEA3E">
            <w:pPr>
              <w:keepNext w:val="0"/>
              <w:keepLines w:val="0"/>
              <w:pageBreakBefore w:val="0"/>
              <w:widowControl w:val="0"/>
              <w:kinsoku/>
              <w:wordWrap/>
              <w:overflowPunct/>
              <w:topLinePunct w:val="0"/>
              <w:autoSpaceDE/>
              <w:autoSpaceDN/>
              <w:bidi w:val="0"/>
              <w:adjustRightInd w:val="0"/>
              <w:snapToGrid w:val="0"/>
              <w:spacing w:line="216" w:lineRule="auto"/>
              <w:ind w:right="0" w:rightChars="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本项目不专门面向中小企业采购，但对符合要求的中小微企业给与</w:t>
            </w:r>
          </w:p>
          <w:p w14:paraId="3157A4DD">
            <w:pPr>
              <w:keepNext w:val="0"/>
              <w:keepLines w:val="0"/>
              <w:pageBreakBefore w:val="0"/>
              <w:widowControl w:val="0"/>
              <w:kinsoku/>
              <w:wordWrap/>
              <w:overflowPunct/>
              <w:topLinePunct w:val="0"/>
              <w:autoSpaceDE/>
              <w:autoSpaceDN/>
              <w:bidi w:val="0"/>
              <w:adjustRightInd w:val="0"/>
              <w:snapToGrid w:val="0"/>
              <w:spacing w:line="216" w:lineRule="auto"/>
              <w:ind w:right="0" w:rightChars="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10%的报价扣除。</w:t>
            </w:r>
          </w:p>
          <w:p w14:paraId="2EB162F5">
            <w:pPr>
              <w:keepNext w:val="0"/>
              <w:keepLines w:val="0"/>
              <w:pageBreakBefore w:val="0"/>
              <w:widowControl w:val="0"/>
              <w:kinsoku/>
              <w:wordWrap/>
              <w:overflowPunct/>
              <w:topLinePunct w:val="0"/>
              <w:autoSpaceDE/>
              <w:autoSpaceDN/>
              <w:bidi w:val="0"/>
              <w:adjustRightInd w:val="0"/>
              <w:snapToGrid w:val="0"/>
              <w:spacing w:line="216" w:lineRule="auto"/>
              <w:ind w:right="0" w:rightChars="0"/>
              <w:jc w:val="both"/>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
              </w:rPr>
              <w:t>本项目所属行业：</w:t>
            </w:r>
            <w:r>
              <w:rPr>
                <w:rFonts w:hint="eastAsia" w:ascii="仿宋" w:hAnsi="仿宋" w:eastAsia="仿宋" w:cs="仿宋"/>
                <w:b/>
                <w:bCs/>
                <w:color w:val="auto"/>
                <w:kern w:val="0"/>
                <w:sz w:val="24"/>
                <w:szCs w:val="24"/>
                <w:highlight w:val="none"/>
                <w:u w:val="single"/>
              </w:rPr>
              <w:t>软件和信息技术服务业</w:t>
            </w:r>
            <w:r>
              <w:rPr>
                <w:rFonts w:hint="eastAsia" w:ascii="仿宋" w:hAnsi="仿宋" w:eastAsia="仿宋" w:cs="仿宋"/>
                <w:color w:val="auto"/>
                <w:kern w:val="0"/>
                <w:sz w:val="24"/>
                <w:szCs w:val="24"/>
                <w:highlight w:val="none"/>
                <w:lang w:val="en-US" w:eastAsia="zh-CN" w:bidi="ar"/>
              </w:rPr>
              <w:t xml:space="preserve">。                 </w:t>
            </w:r>
          </w:p>
        </w:tc>
      </w:tr>
      <w:tr w14:paraId="1DE3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6917443D">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33</w:t>
            </w:r>
          </w:p>
        </w:tc>
        <w:tc>
          <w:tcPr>
            <w:tcW w:w="1947" w:type="dxa"/>
            <w:vAlign w:val="center"/>
          </w:tcPr>
          <w:p w14:paraId="292D9FD4">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bidi="ar-SA"/>
              </w:rPr>
              <w:t>关于小微企业报价扣除比例说明</w:t>
            </w:r>
          </w:p>
        </w:tc>
        <w:tc>
          <w:tcPr>
            <w:tcW w:w="7416" w:type="dxa"/>
            <w:vAlign w:val="top"/>
          </w:tcPr>
          <w:p w14:paraId="1B653781">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jc w:val="left"/>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（1）本项目不专门面向中小（微）企业采购。</w:t>
            </w:r>
          </w:p>
          <w:p w14:paraId="749F9D31">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（2）在政府采购活动中，JY企业视同小型、微型企业，享受预留份额、评审中价格扣除等政府采购促进中小（微）企业发展的政府采购政策。向JY企业采购的金额，计入面向中小（微）企业采购的统计数据。</w:t>
            </w:r>
          </w:p>
          <w:p w14:paraId="168BD8DC">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jc w:val="lef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bidi="ar-SA"/>
              </w:rPr>
              <w:t>（3）在政府采购活动中，残疾人福利性单位视同小型、微型企业，享受预留份额、评审中价格扣除等促进中小（微）企业发展的政府采购政策。向残疾人福利性单位采购的金额，计入面向中小（微）企业采购的统计数据。残疾人福利性单位属于小型、微型企业的，不重复享受政策。</w:t>
            </w:r>
          </w:p>
        </w:tc>
      </w:tr>
      <w:tr w14:paraId="3480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55DE7BE2">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34</w:t>
            </w:r>
          </w:p>
        </w:tc>
        <w:tc>
          <w:tcPr>
            <w:tcW w:w="1947" w:type="dxa"/>
            <w:vAlign w:val="center"/>
          </w:tcPr>
          <w:p w14:paraId="48A4E98B">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低于成本价</w:t>
            </w:r>
          </w:p>
          <w:p w14:paraId="54214446">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不正当竞争</w:t>
            </w:r>
          </w:p>
          <w:p w14:paraId="60338420">
            <w:pPr>
              <w:keepNext w:val="0"/>
              <w:keepLines w:val="0"/>
              <w:pageBreakBefore w:val="0"/>
              <w:widowControl w:val="0"/>
              <w:kinsoku/>
              <w:wordWrap/>
              <w:overflowPunct/>
              <w:topLinePunct w:val="0"/>
              <w:autoSpaceDE/>
              <w:autoSpaceDN/>
              <w:bidi w:val="0"/>
              <w:adjustRightInd w:val="0"/>
              <w:snapToGrid w:val="0"/>
              <w:spacing w:line="216" w:lineRule="auto"/>
              <w:ind w:left="0" w:leftChars="0" w:right="0" w:righ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sz w:val="24"/>
                <w:szCs w:val="24"/>
              </w:rPr>
              <w:t>预防措施</w:t>
            </w:r>
          </w:p>
        </w:tc>
        <w:tc>
          <w:tcPr>
            <w:tcW w:w="7416" w:type="dxa"/>
            <w:vAlign w:val="top"/>
          </w:tcPr>
          <w:p w14:paraId="7FF8E010">
            <w:pPr>
              <w:keepNext w:val="0"/>
              <w:keepLines w:val="0"/>
              <w:pageBreakBefore w:val="0"/>
              <w:widowControl w:val="0"/>
              <w:kinsoku/>
              <w:wordWrap/>
              <w:overflowPunct/>
              <w:topLinePunct w:val="0"/>
              <w:autoSpaceDE/>
              <w:autoSpaceDN/>
              <w:bidi w:val="0"/>
              <w:adjustRightInd w:val="0"/>
              <w:snapToGrid w:val="0"/>
              <w:spacing w:line="216" w:lineRule="auto"/>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根据中华人民共和国《政府采购货物和服务招标投标管理办法》（财政部令第87号）第六十条规定：</w:t>
            </w:r>
          </w:p>
          <w:p w14:paraId="05291772">
            <w:pPr>
              <w:keepNext w:val="0"/>
              <w:keepLines w:val="0"/>
              <w:pageBreakBefore w:val="0"/>
              <w:widowControl w:val="0"/>
              <w:kinsoku/>
              <w:wordWrap/>
              <w:overflowPunct/>
              <w:topLinePunct w:val="0"/>
              <w:autoSpaceDE/>
              <w:autoSpaceDN/>
              <w:bidi w:val="0"/>
              <w:adjustRightInd w:val="0"/>
              <w:snapToGrid w:val="0"/>
              <w:spacing w:line="216" w:lineRule="auto"/>
              <w:textAlignment w:val="auto"/>
              <w:rPr>
                <w:rFonts w:hint="eastAsia" w:ascii="仿宋" w:hAnsi="仿宋" w:eastAsia="仿宋" w:cs="仿宋"/>
                <w:sz w:val="24"/>
                <w:szCs w:val="24"/>
              </w:rPr>
            </w:pPr>
            <w:r>
              <w:rPr>
                <w:rFonts w:hint="eastAsia" w:ascii="仿宋" w:hAnsi="仿宋" w:eastAsia="仿宋" w:cs="仿宋"/>
                <w:sz w:val="24"/>
                <w:szCs w:val="24"/>
              </w:rPr>
              <w:t>（一）政府采购评审中出现下列情形之一的，评审委员会应当启动异常低价投标（响应）审查程序：</w:t>
            </w:r>
          </w:p>
          <w:p w14:paraId="7C556B1A">
            <w:pPr>
              <w:keepNext w:val="0"/>
              <w:keepLines w:val="0"/>
              <w:pageBreakBefore w:val="0"/>
              <w:widowControl w:val="0"/>
              <w:kinsoku/>
              <w:wordWrap/>
              <w:overflowPunct/>
              <w:topLinePunct w:val="0"/>
              <w:autoSpaceDE/>
              <w:autoSpaceDN/>
              <w:bidi w:val="0"/>
              <w:adjustRightInd w:val="0"/>
              <w:snapToGrid w:val="0"/>
              <w:spacing w:line="216" w:lineRule="auto"/>
              <w:textAlignment w:val="auto"/>
              <w:rPr>
                <w:rFonts w:hint="eastAsia" w:ascii="仿宋" w:hAnsi="仿宋" w:eastAsia="仿宋" w:cs="仿宋"/>
                <w:sz w:val="24"/>
                <w:szCs w:val="24"/>
              </w:rPr>
            </w:pPr>
            <w:r>
              <w:rPr>
                <w:rFonts w:hint="eastAsia" w:ascii="仿宋" w:hAnsi="仿宋" w:eastAsia="仿宋" w:cs="仿宋"/>
                <w:sz w:val="24"/>
                <w:szCs w:val="24"/>
              </w:rPr>
              <w:t>1.投标（响应）报价低于全部通过符合性审查供应商投标（响应）报价 平均值 50%的，即投标（响应）报价&lt;全部通过符合性审查供应商投标（响应）报价平均值×50%；</w:t>
            </w:r>
          </w:p>
          <w:p w14:paraId="7AD8D6E8">
            <w:pPr>
              <w:keepNext w:val="0"/>
              <w:keepLines w:val="0"/>
              <w:pageBreakBefore w:val="0"/>
              <w:widowControl w:val="0"/>
              <w:kinsoku/>
              <w:wordWrap/>
              <w:overflowPunct/>
              <w:topLinePunct w:val="0"/>
              <w:autoSpaceDE/>
              <w:autoSpaceDN/>
              <w:bidi w:val="0"/>
              <w:adjustRightInd w:val="0"/>
              <w:snapToGrid w:val="0"/>
              <w:spacing w:line="216" w:lineRule="auto"/>
              <w:textAlignment w:val="auto"/>
              <w:rPr>
                <w:rFonts w:hint="eastAsia" w:ascii="仿宋" w:hAnsi="仿宋" w:eastAsia="仿宋" w:cs="仿宋"/>
                <w:sz w:val="24"/>
                <w:szCs w:val="24"/>
              </w:rPr>
            </w:pPr>
            <w:r>
              <w:rPr>
                <w:rFonts w:hint="eastAsia" w:ascii="仿宋" w:hAnsi="仿宋" w:eastAsia="仿宋" w:cs="仿宋"/>
                <w:sz w:val="24"/>
                <w:szCs w:val="24"/>
              </w:rPr>
              <w:t>2.投标（响应）报价低于通过符合性审查的次低报价供应商投标（响应） 报价 50%的，即投标（响应）报价&lt;通过符合性审查的次低报价供应商投标（响应）报价×50%；</w:t>
            </w:r>
          </w:p>
          <w:p w14:paraId="27D6965A">
            <w:pPr>
              <w:keepNext w:val="0"/>
              <w:keepLines w:val="0"/>
              <w:pageBreakBefore w:val="0"/>
              <w:widowControl w:val="0"/>
              <w:kinsoku/>
              <w:wordWrap/>
              <w:overflowPunct/>
              <w:topLinePunct w:val="0"/>
              <w:autoSpaceDE/>
              <w:autoSpaceDN/>
              <w:bidi w:val="0"/>
              <w:adjustRightInd w:val="0"/>
              <w:snapToGrid w:val="0"/>
              <w:spacing w:line="216" w:lineRule="auto"/>
              <w:textAlignment w:val="auto"/>
              <w:rPr>
                <w:rFonts w:hint="eastAsia" w:ascii="仿宋" w:hAnsi="仿宋" w:eastAsia="仿宋" w:cs="仿宋"/>
                <w:sz w:val="24"/>
                <w:szCs w:val="24"/>
              </w:rPr>
            </w:pPr>
            <w:r>
              <w:rPr>
                <w:rFonts w:hint="eastAsia" w:ascii="仿宋" w:hAnsi="仿宋" w:eastAsia="仿宋" w:cs="仿宋"/>
                <w:sz w:val="24"/>
                <w:szCs w:val="24"/>
              </w:rPr>
              <w:t>3.投标（响应）报价低于采购项目最高限价 45%的，即投标（响应）报价&lt;采购项目最高限价×45%；</w:t>
            </w:r>
          </w:p>
          <w:p w14:paraId="034736F9">
            <w:pPr>
              <w:keepNext w:val="0"/>
              <w:keepLines w:val="0"/>
              <w:pageBreakBefore w:val="0"/>
              <w:widowControl w:val="0"/>
              <w:kinsoku/>
              <w:wordWrap/>
              <w:overflowPunct/>
              <w:topLinePunct w:val="0"/>
              <w:autoSpaceDE/>
              <w:autoSpaceDN/>
              <w:bidi w:val="0"/>
              <w:adjustRightInd w:val="0"/>
              <w:snapToGrid w:val="0"/>
              <w:spacing w:line="216" w:lineRule="auto"/>
              <w:textAlignment w:val="auto"/>
              <w:rPr>
                <w:rFonts w:hint="eastAsia" w:ascii="仿宋" w:hAnsi="仿宋" w:eastAsia="仿宋" w:cs="仿宋"/>
                <w:sz w:val="24"/>
                <w:szCs w:val="24"/>
              </w:rPr>
            </w:pPr>
            <w:r>
              <w:rPr>
                <w:rFonts w:hint="eastAsia" w:ascii="仿宋" w:hAnsi="仿宋" w:eastAsia="仿宋" w:cs="仿宋"/>
                <w:sz w:val="24"/>
                <w:szCs w:val="24"/>
              </w:rPr>
              <w:t>4.评审委员会基于专业判断，认为供应商报价过低，有可能影响产品质量或者不能诚信履约的其他情形。采购人可以结合具体项目实际情况，提高上述第 1 项至第 3 项中启动异常低价投标（响应）审查的数值标准，但是最高不得超过 65%。相关法律法规对供应商报价有规定的，从其规定。</w:t>
            </w:r>
          </w:p>
          <w:p w14:paraId="672A179B">
            <w:pPr>
              <w:keepNext w:val="0"/>
              <w:keepLines w:val="0"/>
              <w:pageBreakBefore w:val="0"/>
              <w:widowControl w:val="0"/>
              <w:kinsoku/>
              <w:wordWrap/>
              <w:overflowPunct/>
              <w:topLinePunct w:val="0"/>
              <w:autoSpaceDE/>
              <w:autoSpaceDN/>
              <w:bidi w:val="0"/>
              <w:adjustRightInd w:val="0"/>
              <w:snapToGrid w:val="0"/>
              <w:spacing w:line="216" w:lineRule="auto"/>
              <w:textAlignment w:val="auto"/>
              <w:rPr>
                <w:rFonts w:hint="eastAsia" w:ascii="仿宋" w:hAnsi="仿宋" w:eastAsia="仿宋" w:cs="仿宋"/>
                <w:sz w:val="24"/>
                <w:szCs w:val="24"/>
              </w:rPr>
            </w:pPr>
            <w:r>
              <w:rPr>
                <w:rFonts w:hint="eastAsia" w:ascii="仿宋" w:hAnsi="仿宋" w:eastAsia="仿宋" w:cs="仿宋"/>
                <w:sz w:val="24"/>
                <w:szCs w:val="24"/>
              </w:rPr>
              <w:t>（二）评审委员会启动异常低价投标（响应）审查后，属于前述第 1 项 至第 4 项情形的，应当要求相关供应商在评审现场合理的时间内对投标（响应）价格作出解释，提供项目具体成本测算等与报价合理性相关的 书面说明及必要的证明材料，包括但不限于原材料成本、人工成本、制 造费用等，给予相关供应商的合理时间一般不少于30分钟。其中，属于第 3 项情形，供应商已随投标（响应）文件一并提交相关书面说明及必要的证明材料的，在评审现场可不再重复提交。</w:t>
            </w:r>
          </w:p>
          <w:p w14:paraId="59B02CED">
            <w:pPr>
              <w:keepNext w:val="0"/>
              <w:keepLines w:val="0"/>
              <w:pageBreakBefore w:val="0"/>
              <w:widowControl w:val="0"/>
              <w:kinsoku/>
              <w:wordWrap/>
              <w:overflowPunct/>
              <w:topLinePunct w:val="0"/>
              <w:autoSpaceDE/>
              <w:autoSpaceDN/>
              <w:bidi w:val="0"/>
              <w:adjustRightInd w:val="0"/>
              <w:snapToGrid w:val="0"/>
              <w:spacing w:line="216" w:lineRule="auto"/>
              <w:textAlignment w:val="auto"/>
              <w:rPr>
                <w:rFonts w:hint="eastAsia" w:ascii="仿宋" w:hAnsi="仿宋" w:eastAsia="仿宋" w:cs="仿宋"/>
                <w:sz w:val="24"/>
                <w:szCs w:val="24"/>
              </w:rPr>
            </w:pPr>
            <w:r>
              <w:rPr>
                <w:rFonts w:hint="eastAsia" w:ascii="仿宋" w:hAnsi="仿宋" w:eastAsia="仿宋" w:cs="仿宋"/>
                <w:sz w:val="24"/>
                <w:szCs w:val="24"/>
              </w:rPr>
              <w:t>评审委员会依据专业经验，参考同类项目中标（成交）价格、类似产品 市场价格水平、行业人工费用标准、国家有关部门指导行业协会发布的 行业平均成本等情况，对报价合理性进行判断。投标（响应）供应商不 能提供书面说明、证明材料，或者提供的书面说明、证明材料不能证明其报价合理性的，评审委员会应当将其作为无效投标（响应）处理。</w:t>
            </w:r>
          </w:p>
          <w:p w14:paraId="46585C7E">
            <w:pPr>
              <w:keepNext w:val="0"/>
              <w:keepLines w:val="0"/>
              <w:pageBreakBefore w:val="0"/>
              <w:widowControl w:val="0"/>
              <w:kinsoku/>
              <w:wordWrap/>
              <w:overflowPunct/>
              <w:topLinePunct w:val="0"/>
              <w:autoSpaceDE/>
              <w:autoSpaceDN/>
              <w:bidi w:val="0"/>
              <w:adjustRightInd w:val="0"/>
              <w:snapToGrid w:val="0"/>
              <w:spacing w:line="216" w:lineRule="auto"/>
              <w:textAlignment w:val="auto"/>
              <w:rPr>
                <w:rFonts w:hint="eastAsia" w:ascii="仿宋" w:hAnsi="仿宋" w:eastAsia="仿宋" w:cs="仿宋"/>
                <w:sz w:val="24"/>
                <w:szCs w:val="24"/>
              </w:rPr>
            </w:pPr>
            <w:r>
              <w:rPr>
                <w:rFonts w:hint="eastAsia" w:ascii="仿宋" w:hAnsi="仿宋" w:eastAsia="仿宋" w:cs="仿宋"/>
                <w:sz w:val="24"/>
                <w:szCs w:val="24"/>
              </w:rPr>
              <w:t>采购人、采购代理机构应当为评审委员会在评审现场及时获取同类项目 中标（成交）价格、类似产品市场价格水平、行业人工费用标准、国家 有关部门指导行业协会发布的行业平均成本等相关信息资料提供便利。 评审委员会借助互联网等渠道查询相关信息的，应当严格遵守评审工作纪律，不得实施影响评审公正的行为。</w:t>
            </w:r>
          </w:p>
          <w:p w14:paraId="40D8C931">
            <w:pPr>
              <w:keepNext w:val="0"/>
              <w:keepLines w:val="0"/>
              <w:pageBreakBefore w:val="0"/>
              <w:widowControl w:val="0"/>
              <w:kinsoku/>
              <w:wordWrap/>
              <w:overflowPunct/>
              <w:topLinePunct w:val="0"/>
              <w:autoSpaceDE/>
              <w:autoSpaceDN/>
              <w:bidi w:val="0"/>
              <w:adjustRightInd w:val="0"/>
              <w:snapToGrid w:val="0"/>
              <w:spacing w:line="216" w:lineRule="auto"/>
              <w:textAlignment w:val="auto"/>
              <w:rPr>
                <w:rFonts w:hint="eastAsia" w:ascii="仿宋" w:hAnsi="仿宋" w:eastAsia="仿宋" w:cs="仿宋"/>
                <w:sz w:val="24"/>
                <w:szCs w:val="24"/>
              </w:rPr>
            </w:pPr>
            <w:r>
              <w:rPr>
                <w:rFonts w:hint="eastAsia" w:ascii="仿宋" w:hAnsi="仿宋" w:eastAsia="仿宋" w:cs="仿宋"/>
                <w:sz w:val="24"/>
                <w:szCs w:val="24"/>
              </w:rPr>
              <w:t>异常低价投标（响应）审查的启动原因、审查意见和审查结果应当在评 审报告中记录，并随供应商提供的相关书面说明及证明材料，以及评审委员会有关互联网浏览、查询历史一并归档。</w:t>
            </w:r>
          </w:p>
          <w:p w14:paraId="44C23D89">
            <w:pPr>
              <w:keepNext w:val="0"/>
              <w:keepLines w:val="0"/>
              <w:pageBreakBefore w:val="0"/>
              <w:widowControl w:val="0"/>
              <w:kinsoku/>
              <w:wordWrap/>
              <w:overflowPunct/>
              <w:topLinePunct w:val="0"/>
              <w:autoSpaceDE/>
              <w:autoSpaceDN/>
              <w:bidi w:val="0"/>
              <w:adjustRightInd w:val="0"/>
              <w:snapToGrid w:val="0"/>
              <w:spacing w:line="216" w:lineRule="auto"/>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sz w:val="24"/>
                <w:szCs w:val="24"/>
              </w:rPr>
              <w:t>（三）各级财政部门应当加强对评审专家的指导和监管，进一步压实评 审专家的责任。财政部门在投诉处理、监督检查中发现评审委员会未按规定对异常低价开展审查的，依法予以纠正并追究评审专家的法律责任。</w:t>
            </w:r>
          </w:p>
        </w:tc>
      </w:tr>
      <w:tr w14:paraId="7F8C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38" w:type="dxa"/>
            <w:vAlign w:val="center"/>
          </w:tcPr>
          <w:p w14:paraId="506141DC">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35</w:t>
            </w:r>
          </w:p>
        </w:tc>
        <w:tc>
          <w:tcPr>
            <w:tcW w:w="1947" w:type="dxa"/>
            <w:vAlign w:val="center"/>
          </w:tcPr>
          <w:p w14:paraId="6E3C6161">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补充说明</w:t>
            </w:r>
          </w:p>
        </w:tc>
        <w:tc>
          <w:tcPr>
            <w:tcW w:w="7416" w:type="dxa"/>
            <w:vAlign w:val="center"/>
          </w:tcPr>
          <w:p w14:paraId="0052CBB1">
            <w:pPr>
              <w:keepNext w:val="0"/>
              <w:keepLines w:val="0"/>
              <w:pageBreakBefore w:val="0"/>
              <w:widowControl w:val="0"/>
              <w:numPr>
                <w:ilvl w:val="0"/>
                <w:numId w:val="0"/>
              </w:numPr>
              <w:kinsoku/>
              <w:wordWrap/>
              <w:overflowPunct/>
              <w:topLinePunct w:val="0"/>
              <w:autoSpaceDE/>
              <w:autoSpaceDN/>
              <w:bidi w:val="0"/>
              <w:adjustRightInd w:val="0"/>
              <w:snapToGrid w:val="0"/>
              <w:spacing w:line="216"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一、</w:t>
            </w:r>
            <w:r>
              <w:rPr>
                <w:rFonts w:hint="eastAsia" w:ascii="仿宋" w:hAnsi="仿宋" w:eastAsia="仿宋" w:cs="仿宋"/>
                <w:b w:val="0"/>
                <w:bCs w:val="0"/>
                <w:sz w:val="24"/>
                <w:szCs w:val="24"/>
                <w:lang w:val="en-US" w:eastAsia="zh-CN"/>
              </w:rPr>
              <w:t>（1）所有投标人的报价高于最高限价视为无效报价（即作否决投标处理）。</w:t>
            </w:r>
          </w:p>
          <w:p w14:paraId="77C3012A">
            <w:pPr>
              <w:keepNext w:val="0"/>
              <w:keepLines w:val="0"/>
              <w:pageBreakBefore w:val="0"/>
              <w:widowControl w:val="0"/>
              <w:kinsoku/>
              <w:wordWrap/>
              <w:overflowPunct/>
              <w:topLinePunct w:val="0"/>
              <w:autoSpaceDE/>
              <w:autoSpaceDN/>
              <w:bidi w:val="0"/>
              <w:adjustRightInd w:val="0"/>
              <w:snapToGrid w:val="0"/>
              <w:spacing w:line="216"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r>
              <w:rPr>
                <w:rFonts w:hint="eastAsia" w:ascii="仿宋" w:hAnsi="仿宋" w:eastAsia="仿宋" w:cs="仿宋"/>
                <w:b w:val="0"/>
                <w:bCs w:val="0"/>
                <w:color w:val="auto"/>
                <w:sz w:val="24"/>
                <w:szCs w:val="24"/>
                <w:highlight w:val="none"/>
                <w:lang w:val="en-US" w:eastAsia="zh-CN"/>
              </w:rPr>
              <w:t>本项目更正补充公告请自行登录新疆政府采购网查看下载，更正补充公告一经发布，视为以书面形式通知所有人，因供应商自身原因导致未领取的自行承担由此带来的后果</w:t>
            </w:r>
            <w:r>
              <w:rPr>
                <w:rFonts w:hint="eastAsia" w:ascii="仿宋" w:hAnsi="仿宋" w:eastAsia="仿宋" w:cs="仿宋"/>
                <w:b w:val="0"/>
                <w:bCs w:val="0"/>
                <w:sz w:val="24"/>
                <w:szCs w:val="24"/>
                <w:lang w:val="en-US" w:eastAsia="zh-CN"/>
              </w:rPr>
              <w:t>。</w:t>
            </w:r>
          </w:p>
          <w:p w14:paraId="4E47F3A7">
            <w:pPr>
              <w:keepNext w:val="0"/>
              <w:keepLines w:val="0"/>
              <w:pageBreakBefore w:val="0"/>
              <w:widowControl w:val="0"/>
              <w:kinsoku/>
              <w:wordWrap/>
              <w:overflowPunct/>
              <w:topLinePunct w:val="0"/>
              <w:autoSpaceDE/>
              <w:autoSpaceDN/>
              <w:bidi w:val="0"/>
              <w:adjustRightInd w:val="0"/>
              <w:snapToGrid w:val="0"/>
              <w:spacing w:line="216"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r>
              <w:rPr>
                <w:rFonts w:hint="eastAsia" w:ascii="仿宋" w:hAnsi="仿宋" w:eastAsia="仿宋" w:cs="仿宋"/>
                <w:b w:val="0"/>
                <w:bCs w:val="0"/>
                <w:color w:val="auto"/>
                <w:sz w:val="24"/>
                <w:szCs w:val="24"/>
                <w:highlight w:val="none"/>
                <w:lang w:val="en-US" w:eastAsia="zh-CN"/>
              </w:rPr>
              <w:t>投标供应商制作投标文件的CA锁必须和开标解密的CA锁为同一把锁，在解密过程中因为CA锁不同而导致解密失败的，由投标供应商自行承担</w:t>
            </w:r>
            <w:r>
              <w:rPr>
                <w:rFonts w:hint="eastAsia" w:ascii="仿宋" w:hAnsi="仿宋" w:eastAsia="仿宋" w:cs="仿宋"/>
                <w:b w:val="0"/>
                <w:bCs w:val="0"/>
                <w:sz w:val="24"/>
                <w:szCs w:val="24"/>
                <w:lang w:val="en-US" w:eastAsia="zh-CN"/>
              </w:rPr>
              <w:t>。</w:t>
            </w:r>
          </w:p>
          <w:p w14:paraId="3C646E2D">
            <w:pPr>
              <w:keepNext w:val="0"/>
              <w:keepLines w:val="0"/>
              <w:pageBreakBefore w:val="0"/>
              <w:widowControl w:val="0"/>
              <w:kinsoku/>
              <w:wordWrap/>
              <w:overflowPunct/>
              <w:topLinePunct w:val="0"/>
              <w:autoSpaceDE/>
              <w:autoSpaceDN/>
              <w:bidi w:val="0"/>
              <w:adjustRightInd w:val="0"/>
              <w:snapToGrid w:val="0"/>
              <w:spacing w:line="216"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二、（1）</w:t>
            </w:r>
            <w:r>
              <w:rPr>
                <w:rFonts w:hint="eastAsia" w:ascii="仿宋" w:hAnsi="仿宋" w:eastAsia="仿宋" w:cs="仿宋"/>
                <w:b w:val="0"/>
                <w:bCs w:val="0"/>
                <w:color w:val="auto"/>
                <w:sz w:val="24"/>
                <w:szCs w:val="24"/>
                <w:highlight w:val="none"/>
                <w:lang w:val="en-US" w:eastAsia="zh-CN"/>
              </w:rPr>
              <w:t>招标文件中部分废标、无效标、投标被拒绝等字样的条款，为招标着重提醒各投标人注意的条款。投标人应认真查看招标文件中的每一个条款及要求，因误读招标文件而造成的后果，招标人概不负责</w:t>
            </w:r>
            <w:r>
              <w:rPr>
                <w:rFonts w:hint="eastAsia" w:ascii="仿宋" w:hAnsi="仿宋" w:eastAsia="仿宋" w:cs="仿宋"/>
                <w:b w:val="0"/>
                <w:bCs w:val="0"/>
                <w:sz w:val="24"/>
                <w:szCs w:val="24"/>
                <w:lang w:val="en-US" w:eastAsia="zh-CN"/>
              </w:rPr>
              <w:t>。</w:t>
            </w:r>
          </w:p>
          <w:p w14:paraId="13249360">
            <w:pPr>
              <w:keepNext w:val="0"/>
              <w:keepLines w:val="0"/>
              <w:pageBreakBefore w:val="0"/>
              <w:widowControl w:val="0"/>
              <w:kinsoku/>
              <w:wordWrap/>
              <w:overflowPunct/>
              <w:topLinePunct w:val="0"/>
              <w:autoSpaceDE/>
              <w:autoSpaceDN/>
              <w:bidi w:val="0"/>
              <w:adjustRightInd w:val="0"/>
              <w:snapToGrid w:val="0"/>
              <w:spacing w:line="216"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r>
              <w:rPr>
                <w:rFonts w:hint="eastAsia" w:ascii="仿宋" w:hAnsi="仿宋" w:eastAsia="仿宋" w:cs="仿宋"/>
                <w:b w:val="0"/>
                <w:bCs w:val="0"/>
                <w:color w:val="auto"/>
                <w:sz w:val="24"/>
                <w:szCs w:val="24"/>
                <w:highlight w:val="none"/>
              </w:rPr>
              <w:t>投标文件中有弄虚作假的内容，其投标文件作废（如假证书、假业绩、隐瞒不良行为记录、夸大荣誉、使用非本单位在职员工的相关</w:t>
            </w:r>
            <w:r>
              <w:rPr>
                <w:rFonts w:hint="eastAsia" w:ascii="仿宋" w:hAnsi="仿宋" w:eastAsia="仿宋" w:cs="仿宋"/>
                <w:b w:val="0"/>
                <w:bCs w:val="0"/>
                <w:color w:val="auto"/>
                <w:sz w:val="24"/>
                <w:szCs w:val="24"/>
                <w:highlight w:val="none"/>
                <w:lang w:val="en-US" w:eastAsia="zh-CN"/>
              </w:rPr>
              <w:t>证件及不符合招标文件规定的条款等）；在签订合同之前，招标人如发现投标人的投标文件有弄虚作假内容，招标人可拒绝与其签订合同，并将其列入政府采购黑名单库</w:t>
            </w:r>
            <w:r>
              <w:rPr>
                <w:rFonts w:hint="eastAsia" w:ascii="仿宋" w:hAnsi="仿宋" w:eastAsia="仿宋" w:cs="仿宋"/>
                <w:b w:val="0"/>
                <w:bCs w:val="0"/>
                <w:sz w:val="24"/>
                <w:szCs w:val="24"/>
                <w:lang w:val="en-US" w:eastAsia="zh-CN"/>
              </w:rPr>
              <w:t>。</w:t>
            </w:r>
          </w:p>
          <w:p w14:paraId="288EBE76">
            <w:pPr>
              <w:keepNext w:val="0"/>
              <w:keepLines w:val="0"/>
              <w:pageBreakBefore w:val="0"/>
              <w:widowControl w:val="0"/>
              <w:kinsoku/>
              <w:wordWrap/>
              <w:overflowPunct/>
              <w:topLinePunct w:val="0"/>
              <w:autoSpaceDE/>
              <w:autoSpaceDN/>
              <w:bidi w:val="0"/>
              <w:adjustRightInd w:val="0"/>
              <w:snapToGrid w:val="0"/>
              <w:spacing w:line="216"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投标人应保证在本项目使用的任何产品和服务（包括部分使用）时，不会产生因第三方提出侵犯其专利权、商标权、著作权或其它知识产权而引起的法律和经济纠纷，如因专利权、商标权、著作权或其它知识产权而引起法律和经济纠纷，由投标人承担所有相关责任的同时不得耽误本项目实施。</w:t>
            </w:r>
          </w:p>
          <w:p w14:paraId="6E4ADC0C">
            <w:pPr>
              <w:keepNext w:val="0"/>
              <w:keepLines w:val="0"/>
              <w:pageBreakBefore w:val="0"/>
              <w:widowControl w:val="0"/>
              <w:kinsoku/>
              <w:wordWrap/>
              <w:overflowPunct/>
              <w:topLinePunct w:val="0"/>
              <w:autoSpaceDE/>
              <w:autoSpaceDN/>
              <w:bidi w:val="0"/>
              <w:adjustRightInd w:val="0"/>
              <w:snapToGrid w:val="0"/>
              <w:spacing w:line="216"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sz w:val="24"/>
                <w:szCs w:val="24"/>
                <w:lang w:val="en-US" w:eastAsia="zh-CN"/>
              </w:rPr>
              <w:t>（4）</w:t>
            </w:r>
            <w:r>
              <w:rPr>
                <w:rFonts w:hint="eastAsia" w:ascii="仿宋" w:hAnsi="仿宋" w:eastAsia="仿宋" w:cs="仿宋"/>
                <w:color w:val="auto"/>
                <w:sz w:val="24"/>
                <w:szCs w:val="24"/>
                <w:highlight w:val="none"/>
                <w:lang w:val="en-US" w:eastAsia="zh-CN"/>
              </w:rPr>
              <w:t>所有投标单位对招标文件中所有条款如有疑问或异议请在招标文件规定的截止时间前以书面形式提出，否则不予受理</w:t>
            </w:r>
            <w:r>
              <w:rPr>
                <w:rFonts w:hint="eastAsia" w:ascii="仿宋" w:hAnsi="仿宋" w:eastAsia="仿宋" w:cs="仿宋"/>
                <w:b w:val="0"/>
                <w:bCs w:val="0"/>
                <w:color w:val="auto"/>
                <w:sz w:val="24"/>
                <w:szCs w:val="24"/>
                <w:highlight w:val="none"/>
                <w:lang w:val="en-US" w:eastAsia="zh-CN"/>
              </w:rPr>
              <w:t>。</w:t>
            </w:r>
          </w:p>
          <w:p w14:paraId="5FA70B99">
            <w:pPr>
              <w:keepNext w:val="0"/>
              <w:keepLines w:val="0"/>
              <w:pageBreakBefore w:val="0"/>
              <w:widowControl w:val="0"/>
              <w:kinsoku/>
              <w:wordWrap/>
              <w:overflowPunct/>
              <w:topLinePunct w:val="0"/>
              <w:autoSpaceDE/>
              <w:autoSpaceDN/>
              <w:bidi w:val="0"/>
              <w:adjustRightInd w:val="0"/>
              <w:snapToGrid w:val="0"/>
              <w:spacing w:line="216" w:lineRule="auto"/>
              <w:textAlignment w:val="auto"/>
              <w:rPr>
                <w:rFonts w:hint="eastAsia" w:ascii="仿宋" w:hAnsi="仿宋" w:eastAsia="仿宋" w:cs="仿宋"/>
                <w:color w:val="auto"/>
                <w:highlight w:val="none"/>
                <w:lang w:val="en-US" w:eastAsia="zh-CN"/>
              </w:rPr>
            </w:pPr>
            <w:r>
              <w:rPr>
                <w:rFonts w:hint="eastAsia" w:ascii="仿宋" w:hAnsi="仿宋" w:eastAsia="仿宋" w:cs="仿宋"/>
                <w:b/>
                <w:bCs w:val="0"/>
                <w:color w:val="auto"/>
                <w:sz w:val="24"/>
                <w:szCs w:val="24"/>
                <w:highlight w:val="none"/>
                <w:lang w:val="en-US" w:eastAsia="zh-CN"/>
              </w:rPr>
              <w:t>（5）本项目不接受进口产品，如违反做否决投标处理。</w:t>
            </w:r>
          </w:p>
        </w:tc>
      </w:tr>
      <w:tr w14:paraId="0781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85" w:type="dxa"/>
            <w:gridSpan w:val="2"/>
            <w:shd w:val="clear" w:color="auto" w:fill="auto"/>
            <w:vAlign w:val="center"/>
          </w:tcPr>
          <w:p w14:paraId="124BCF98">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ascii="仿宋" w:hAnsi="仿宋" w:eastAsia="仿宋" w:cs="仿宋"/>
                <w:b w:val="0"/>
                <w:bCs w:val="0"/>
                <w:color w:val="auto"/>
                <w:kern w:val="2"/>
                <w:sz w:val="24"/>
                <w:szCs w:val="24"/>
                <w:highlight w:val="none"/>
                <w:lang w:val="en-US" w:eastAsia="zh-CN" w:bidi="ar-SA"/>
              </w:rPr>
            </w:pPr>
            <w:bookmarkStart w:id="44" w:name="_Toc2805"/>
            <w:bookmarkStart w:id="45" w:name="_Toc13351"/>
            <w:r>
              <w:rPr>
                <w:rFonts w:hint="eastAsia" w:ascii="仿宋" w:hAnsi="仿宋" w:eastAsia="仿宋" w:cs="仿宋"/>
                <w:b/>
                <w:bCs/>
                <w:color w:val="auto"/>
                <w:sz w:val="24"/>
                <w:szCs w:val="24"/>
                <w:highlight w:val="none"/>
              </w:rPr>
              <w:t>备注</w:t>
            </w:r>
          </w:p>
        </w:tc>
        <w:tc>
          <w:tcPr>
            <w:tcW w:w="7416" w:type="dxa"/>
            <w:shd w:val="clear" w:color="auto" w:fill="auto"/>
            <w:vAlign w:val="center"/>
          </w:tcPr>
          <w:p w14:paraId="5F0398B5">
            <w:pPr>
              <w:keepNext w:val="0"/>
              <w:keepLines w:val="0"/>
              <w:pageBreakBefore w:val="0"/>
              <w:widowControl w:val="0"/>
              <w:kinsoku/>
              <w:wordWrap/>
              <w:overflowPunct/>
              <w:topLinePunct w:val="0"/>
              <w:autoSpaceDE/>
              <w:autoSpaceDN/>
              <w:bidi w:val="0"/>
              <w:adjustRightInd w:val="0"/>
              <w:snapToGrid w:val="0"/>
              <w:spacing w:line="216" w:lineRule="auto"/>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bCs/>
                <w:color w:val="auto"/>
                <w:sz w:val="24"/>
                <w:szCs w:val="24"/>
                <w:highlight w:val="none"/>
              </w:rPr>
              <w:t>本须知前附表内容与招标文件的内容相对应</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如有矛盾，应以投标须知前附表为准。</w:t>
            </w:r>
          </w:p>
        </w:tc>
      </w:tr>
    </w:tbl>
    <w:p w14:paraId="1B431185">
      <w:pPr>
        <w:numPr>
          <w:ilvl w:val="0"/>
          <w:numId w:val="0"/>
        </w:numPr>
        <w:spacing w:line="360" w:lineRule="auto"/>
        <w:jc w:val="center"/>
        <w:outlineLvl w:val="1"/>
        <w:rPr>
          <w:rFonts w:hint="eastAsia" w:ascii="仿宋" w:hAnsi="仿宋" w:eastAsia="仿宋" w:cs="仿宋"/>
          <w:b/>
          <w:color w:val="auto"/>
          <w:sz w:val="36"/>
          <w:szCs w:val="36"/>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E0B9560">
      <w:pPr>
        <w:numPr>
          <w:ilvl w:val="0"/>
          <w:numId w:val="0"/>
        </w:numPr>
        <w:spacing w:line="360" w:lineRule="auto"/>
        <w:jc w:val="center"/>
        <w:outlineLvl w:val="1"/>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lang w:val="en-US" w:eastAsia="zh-CN"/>
        </w:rPr>
        <w:t>第一章   招 标 书</w:t>
      </w:r>
    </w:p>
    <w:p w14:paraId="3097C02E">
      <w:pPr>
        <w:numPr>
          <w:ilvl w:val="0"/>
          <w:numId w:val="0"/>
        </w:numPr>
        <w:spacing w:line="360" w:lineRule="auto"/>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一、</w:t>
      </w:r>
      <w:r>
        <w:rPr>
          <w:rFonts w:hint="eastAsia" w:ascii="仿宋" w:hAnsi="仿宋" w:eastAsia="仿宋" w:cs="仿宋"/>
          <w:b/>
          <w:color w:val="auto"/>
          <w:sz w:val="28"/>
          <w:szCs w:val="28"/>
          <w:highlight w:val="none"/>
        </w:rPr>
        <w:t xml:space="preserve">  </w:t>
      </w:r>
      <w:bookmarkStart w:id="46" w:name="_Toc3855"/>
      <w:bookmarkStart w:id="47" w:name="_Toc20677"/>
      <w:r>
        <w:rPr>
          <w:rFonts w:hint="eastAsia" w:ascii="仿宋" w:hAnsi="仿宋" w:eastAsia="仿宋" w:cs="仿宋"/>
          <w:b/>
          <w:color w:val="auto"/>
          <w:sz w:val="28"/>
          <w:szCs w:val="28"/>
          <w:highlight w:val="none"/>
        </w:rPr>
        <w:t>总  则</w:t>
      </w:r>
      <w:bookmarkEnd w:id="46"/>
      <w:bookmarkEnd w:id="47"/>
    </w:p>
    <w:p w14:paraId="40B4A6FD">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1、适用范围</w:t>
      </w:r>
    </w:p>
    <w:p w14:paraId="1BD6293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1.1本招标文件仅适用于本次招标采购中所叙述项目的货物及服务采购。</w:t>
      </w:r>
    </w:p>
    <w:p w14:paraId="0713317B">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2、投标人资格要求：</w:t>
      </w:r>
    </w:p>
    <w:p w14:paraId="1B5E0477">
      <w:pPr>
        <w:spacing w:line="360" w:lineRule="auto"/>
        <w:ind w:firstLine="480" w:firstLineChars="20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1.满足《中华人民共和国政府采购法》第二十二条规定；</w:t>
      </w:r>
    </w:p>
    <w:p w14:paraId="21E006CE">
      <w:pPr>
        <w:spacing w:line="360" w:lineRule="auto"/>
        <w:ind w:firstLine="480" w:firstLineChars="20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2.落实政府采购政策需满足的资格要求：</w:t>
      </w:r>
    </w:p>
    <w:p w14:paraId="523554AB">
      <w:pPr>
        <w:spacing w:line="360" w:lineRule="auto"/>
        <w:ind w:firstLine="480" w:firstLineChars="20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根据《政府采购促进中小企业发展办法》（财库〔2020〕46号）的相关规定，本项目不专门面向中小企业(含JY企业、残疾人福利单位)采购，但对符合要求的中小微企业给与10%的报价扣除，用扣除后的价格参与评审；</w:t>
      </w:r>
    </w:p>
    <w:p w14:paraId="1EF558AF">
      <w:pPr>
        <w:keepNext w:val="0"/>
        <w:keepLines w:val="0"/>
        <w:pageBreakBefore w:val="0"/>
        <w:widowControl/>
        <w:kinsoku w:val="0"/>
        <w:wordWrap/>
        <w:overflowPunct/>
        <w:topLinePunct w:val="0"/>
        <w:autoSpaceDE w:val="0"/>
        <w:autoSpaceDN w:val="0"/>
        <w:bidi w:val="0"/>
        <w:adjustRightInd w:val="0"/>
        <w:snapToGrid w:val="0"/>
        <w:spacing w:before="66" w:line="262" w:lineRule="auto"/>
        <w:ind w:left="8" w:right="74" w:firstLine="490"/>
        <w:jc w:val="left"/>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snapToGrid w:val="0"/>
          <w:color w:val="000000"/>
          <w:spacing w:val="-1"/>
          <w:kern w:val="0"/>
          <w:sz w:val="24"/>
          <w:szCs w:val="24"/>
          <w:lang w:eastAsia="en-US"/>
        </w:rPr>
        <w:t>具有独立承担民事责任的能力：提供在中华人民共和国境内注册的法人或其他组</w:t>
      </w:r>
      <w:r>
        <w:rPr>
          <w:rFonts w:hint="eastAsia" w:ascii="仿宋" w:hAnsi="仿宋" w:eastAsia="仿宋" w:cs="仿宋"/>
          <w:snapToGrid w:val="0"/>
          <w:color w:val="000000"/>
          <w:spacing w:val="-4"/>
          <w:kern w:val="0"/>
          <w:sz w:val="24"/>
          <w:szCs w:val="24"/>
          <w:lang w:eastAsia="en-US"/>
        </w:rPr>
        <w:t>织的营业执照或事业单位法人证书或社会团体法人登记证书复印件，如投标人为自然人</w:t>
      </w:r>
      <w:r>
        <w:rPr>
          <w:rFonts w:hint="eastAsia" w:ascii="仿宋" w:hAnsi="仿宋" w:eastAsia="仿宋" w:cs="仿宋"/>
          <w:snapToGrid w:val="0"/>
          <w:color w:val="000000"/>
          <w:spacing w:val="-5"/>
          <w:kern w:val="0"/>
          <w:sz w:val="24"/>
          <w:szCs w:val="24"/>
          <w:lang w:eastAsia="en-US"/>
        </w:rPr>
        <w:t>的提</w:t>
      </w:r>
      <w:r>
        <w:rPr>
          <w:rFonts w:hint="eastAsia" w:ascii="仿宋" w:hAnsi="仿宋" w:eastAsia="仿宋" w:cs="仿宋"/>
          <w:snapToGrid w:val="0"/>
          <w:color w:val="000000"/>
          <w:spacing w:val="-4"/>
          <w:kern w:val="0"/>
          <w:sz w:val="24"/>
          <w:szCs w:val="24"/>
          <w:lang w:eastAsia="en-US"/>
        </w:rPr>
        <w:t>供自然人身份证明复印件；如国家另有规定的，则从其定。（分支机构投标，须取得具有法</w:t>
      </w:r>
      <w:r>
        <w:rPr>
          <w:rFonts w:hint="eastAsia" w:ascii="仿宋" w:hAnsi="仿宋" w:eastAsia="仿宋" w:cs="仿宋"/>
          <w:snapToGrid w:val="0"/>
          <w:color w:val="000000"/>
          <w:spacing w:val="-9"/>
          <w:kern w:val="0"/>
          <w:sz w:val="24"/>
          <w:szCs w:val="24"/>
          <w:lang w:eastAsia="en-US"/>
        </w:rPr>
        <w:t>人资格的总公司（总所）出具给分支机构的授权书，并提供总公司（总所）和分支机构的营业</w:t>
      </w:r>
      <w:r>
        <w:rPr>
          <w:rFonts w:hint="eastAsia" w:ascii="仿宋" w:hAnsi="仿宋" w:eastAsia="仿宋" w:cs="仿宋"/>
          <w:snapToGrid w:val="0"/>
          <w:color w:val="000000"/>
          <w:spacing w:val="-4"/>
          <w:kern w:val="0"/>
          <w:sz w:val="24"/>
          <w:szCs w:val="24"/>
          <w:lang w:eastAsia="en-US"/>
        </w:rPr>
        <w:t>执照（执业许可证）复印件。已由总公司（总所）授权的，总公司（总所）取得的相关资质</w:t>
      </w:r>
      <w:r>
        <w:rPr>
          <w:rFonts w:hint="eastAsia" w:ascii="仿宋" w:hAnsi="仿宋" w:eastAsia="仿宋" w:cs="仿宋"/>
          <w:snapToGrid w:val="0"/>
          <w:color w:val="000000"/>
          <w:kern w:val="0"/>
          <w:sz w:val="24"/>
          <w:szCs w:val="24"/>
          <w:lang w:eastAsia="en-US"/>
        </w:rPr>
        <w:t>证书对分支机构有效，法律法规或者行业另有规定的除外。</w:t>
      </w:r>
      <w:r>
        <w:rPr>
          <w:rFonts w:hint="eastAsia" w:ascii="仿宋" w:hAnsi="仿宋" w:eastAsia="仿宋" w:cs="仿宋"/>
          <w:snapToGrid w:val="0"/>
          <w:color w:val="000000"/>
          <w:spacing w:val="-16"/>
          <w:kern w:val="0"/>
          <w:sz w:val="24"/>
          <w:szCs w:val="24"/>
          <w:lang w:eastAsia="en-US"/>
        </w:rPr>
        <w:t>）；</w:t>
      </w:r>
    </w:p>
    <w:p w14:paraId="74E20945">
      <w:pPr>
        <w:spacing w:line="360" w:lineRule="auto"/>
        <w:ind w:firstLine="480" w:firstLineChars="20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（3）法定代表人开标应附《法定代表人身份证明书》及身份证复印件，委托代理人开标应附《法定代表人授权委托书》及被委托人身份证复印件；</w:t>
      </w:r>
    </w:p>
    <w:p w14:paraId="780F5058">
      <w:pPr>
        <w:spacing w:line="360" w:lineRule="auto"/>
        <w:ind w:firstLine="480" w:firstLineChars="20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提供本单位缴纳的近三个月（近三个月是指2026年02月-2026年04月）社保缴纳证明（社保证明材料须是社保局出具的缴纳证明或社保系统导出的缴纳汇总凭证；新成立不足三个月的公司以实际发生的为准，如依法不需要缴纳社会保障资金的，应提供相应文件证明）；</w:t>
      </w:r>
    </w:p>
    <w:p w14:paraId="1447297E">
      <w:pPr>
        <w:spacing w:line="360" w:lineRule="auto"/>
        <w:ind w:firstLine="480" w:firstLineChars="20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（5）投标人需提供2024年度或2025年度第三方审计机构出具的财务审计报告（会计周期不满一年的可不提供财务审计报告但需提供银行出具的近三个月的资信证明）；</w:t>
      </w:r>
    </w:p>
    <w:p w14:paraId="24E1DE0B">
      <w:pPr>
        <w:spacing w:line="360" w:lineRule="auto"/>
        <w:ind w:firstLine="480" w:firstLineChars="20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供税务部门出具近三个月（近三个月是指2026年01月-2026年03月）依法缴纳税收的完税证明（需含增值税、印花税等税种；如当月无需缴税需提供税务机关出具的无欠税证明），新成立公司按实际发生提供税务机关出具的无欠税证明；</w:t>
      </w:r>
    </w:p>
    <w:p w14:paraId="5AD794D7">
      <w:pPr>
        <w:spacing w:line="360" w:lineRule="auto"/>
        <w:ind w:firstLine="480" w:firstLineChars="20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凡拟参加本次招标项目的投标人近三年内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被列入经营异常名录信息、严重违法失信名单（黑名单）信息（尚在处罚期内的）；将拒绝其参与本次政府采购活动；</w:t>
      </w:r>
    </w:p>
    <w:p w14:paraId="2C8BD060">
      <w:pPr>
        <w:spacing w:line="360" w:lineRule="auto"/>
        <w:ind w:firstLine="480" w:firstLineChars="20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（8）企业负责人为同一人或者存在直接控股、管理关系的不同供应商，不得参加同一合同项下的政府采购活动。否则，皆取消投标资格；</w:t>
      </w:r>
    </w:p>
    <w:p w14:paraId="0FC8467A">
      <w:pPr>
        <w:spacing w:line="360" w:lineRule="auto"/>
        <w:ind w:firstLine="480" w:firstLineChars="20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（9）本项目不接受联合体投标。</w:t>
      </w:r>
    </w:p>
    <w:p w14:paraId="09303FF6">
      <w:pPr>
        <w:spacing w:line="360" w:lineRule="auto"/>
        <w:ind w:firstLine="480" w:firstLineChars="20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3.本项目的特定资格要求：</w:t>
      </w:r>
      <w:r>
        <w:rPr>
          <w:rFonts w:hint="eastAsia" w:ascii="仿宋" w:hAnsi="仿宋" w:eastAsia="仿宋" w:cs="仿宋"/>
          <w:color w:val="000000"/>
          <w:sz w:val="24"/>
          <w:lang w:val="en-US" w:eastAsia="zh-CN"/>
        </w:rPr>
        <w:t>无</w:t>
      </w:r>
      <w:r>
        <w:rPr>
          <w:rFonts w:hint="eastAsia" w:ascii="仿宋" w:hAnsi="仿宋" w:eastAsia="仿宋" w:cs="仿宋"/>
          <w:color w:val="000000"/>
          <w:sz w:val="24"/>
        </w:rPr>
        <w:t>；</w:t>
      </w:r>
    </w:p>
    <w:p w14:paraId="71174BA2">
      <w:pPr>
        <w:spacing w:line="360" w:lineRule="auto"/>
        <w:ind w:firstLine="482" w:firstLineChars="20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3、定义</w:t>
      </w:r>
    </w:p>
    <w:p w14:paraId="4F0070B5">
      <w:pPr>
        <w:autoSpaceDE w:val="0"/>
        <w:autoSpaceDN w:val="0"/>
        <w:adjustRightInd w:val="0"/>
        <w:spacing w:line="360" w:lineRule="auto"/>
        <w:ind w:left="1092" w:leftChars="257" w:hanging="552"/>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rPr>
        <w:t>3.1 “采购人</w:t>
      </w:r>
      <w:r>
        <w:rPr>
          <w:rFonts w:hint="eastAsia" w:ascii="仿宋" w:hAnsi="仿宋" w:eastAsia="仿宋" w:cs="仿宋"/>
          <w:color w:val="auto"/>
          <w:kern w:val="0"/>
          <w:sz w:val="24"/>
          <w:szCs w:val="24"/>
          <w:highlight w:val="none"/>
        </w:rPr>
        <w:t>”为</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b w:val="0"/>
          <w:color w:val="auto"/>
          <w:kern w:val="2"/>
          <w:sz w:val="24"/>
          <w:szCs w:val="24"/>
          <w:highlight w:val="none"/>
          <w:lang w:val="en-US" w:eastAsia="zh-CN" w:bidi="ar-SA"/>
        </w:rPr>
        <w:t>和田某单位</w:t>
      </w:r>
    </w:p>
    <w:p w14:paraId="1F135BC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“合格投标人”系指报名合格、购买了招标文件、提交了投标文件的投标人，中标后即为中标人，签订合同后即为卖方。</w:t>
      </w:r>
    </w:p>
    <w:p w14:paraId="171FCD9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“招标机构”为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 w:val="0"/>
          <w:bCs/>
          <w:i w:val="0"/>
          <w:caps w:val="0"/>
          <w:color w:val="auto"/>
          <w:spacing w:val="0"/>
          <w:sz w:val="24"/>
          <w:szCs w:val="24"/>
          <w:highlight w:val="none"/>
          <w:shd w:val="clear" w:color="auto" w:fill="FFFFFF"/>
          <w:lang w:val="en-US" w:eastAsia="zh-CN"/>
        </w:rPr>
        <w:t>新疆庆信达项目管理有限公司</w:t>
      </w:r>
    </w:p>
    <w:p w14:paraId="011E7FF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 “货物”系指卖方按合同要求，须向买方提供的一切产品及其它技术资料和材料。</w:t>
      </w:r>
    </w:p>
    <w:p w14:paraId="491E054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 “服务”系指合同规定卖方须承担的技术协助、本地化开发、安装、调试和交付使用后免费维护期内应履行的义务及</w:t>
      </w:r>
      <w:r>
        <w:rPr>
          <w:rFonts w:hint="eastAsia" w:ascii="仿宋" w:hAnsi="仿宋" w:eastAsia="仿宋" w:cs="仿宋"/>
          <w:color w:val="auto"/>
          <w:sz w:val="24"/>
          <w:szCs w:val="24"/>
          <w:highlight w:val="none"/>
          <w:lang w:val="en-US" w:eastAsia="zh-CN"/>
        </w:rPr>
        <w:t>质量保证</w:t>
      </w:r>
      <w:r>
        <w:rPr>
          <w:rFonts w:hint="eastAsia" w:ascii="仿宋" w:hAnsi="仿宋" w:eastAsia="仿宋" w:cs="仿宋"/>
          <w:color w:val="auto"/>
          <w:sz w:val="24"/>
          <w:szCs w:val="24"/>
          <w:highlight w:val="none"/>
        </w:rPr>
        <w:t>服务等其他类似的义务。</w:t>
      </w:r>
    </w:p>
    <w:p w14:paraId="4D17C3A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 “卖方”系指提供合同货物和服务的法人。</w:t>
      </w:r>
    </w:p>
    <w:p w14:paraId="0E007D8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 “买方”系指购买货物的单位。</w:t>
      </w:r>
    </w:p>
    <w:p w14:paraId="0C748B96">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4、投标费用</w:t>
      </w:r>
    </w:p>
    <w:p w14:paraId="36F3504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 无论投标结果如何，投标人须自行承担所有与参加投标有关的全部费用。</w:t>
      </w:r>
    </w:p>
    <w:p w14:paraId="7533E30F">
      <w:pPr>
        <w:spacing w:line="360" w:lineRule="auto"/>
        <w:ind w:firstLine="48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2</w:t>
      </w:r>
      <w:r>
        <w:rPr>
          <w:rFonts w:hint="eastAsia" w:ascii="仿宋" w:hAnsi="仿宋" w:eastAsia="仿宋" w:cs="仿宋"/>
          <w:b/>
          <w:bCs/>
          <w:color w:val="auto"/>
          <w:sz w:val="24"/>
          <w:szCs w:val="24"/>
          <w:highlight w:val="none"/>
        </w:rPr>
        <w:t>踏勘现场</w:t>
      </w:r>
    </w:p>
    <w:p w14:paraId="74112F7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4.2</w:t>
      </w:r>
      <w:r>
        <w:rPr>
          <w:rFonts w:hint="eastAsia" w:ascii="仿宋" w:hAnsi="仿宋" w:eastAsia="仿宋" w:cs="仿宋"/>
          <w:color w:val="auto"/>
          <w:sz w:val="24"/>
          <w:szCs w:val="24"/>
          <w:highlight w:val="none"/>
        </w:rPr>
        <w:t>.1如有需要（详见</w:t>
      </w:r>
      <w:r>
        <w:rPr>
          <w:rFonts w:hint="eastAsia" w:ascii="仿宋" w:hAnsi="仿宋" w:eastAsia="仿宋" w:cs="仿宋"/>
          <w:color w:val="auto"/>
          <w:sz w:val="24"/>
          <w:szCs w:val="24"/>
          <w:highlight w:val="none"/>
          <w:lang w:val="en-US" w:eastAsia="zh-CN"/>
        </w:rPr>
        <w:t>须知前附表</w:t>
      </w:r>
      <w:r>
        <w:rPr>
          <w:rFonts w:hint="eastAsia" w:ascii="仿宋" w:hAnsi="仿宋" w:eastAsia="仿宋" w:cs="仿宋"/>
          <w:color w:val="auto"/>
          <w:sz w:val="24"/>
          <w:szCs w:val="24"/>
          <w:highlight w:val="none"/>
        </w:rPr>
        <w:t>），采购人或</w:t>
      </w:r>
      <w:r>
        <w:rPr>
          <w:rFonts w:hint="eastAsia" w:ascii="仿宋" w:hAnsi="仿宋" w:eastAsia="仿宋" w:cs="仿宋"/>
          <w:color w:val="auto"/>
          <w:sz w:val="24"/>
          <w:szCs w:val="24"/>
          <w:highlight w:val="none"/>
          <w:lang w:val="en-US" w:eastAsia="zh-CN"/>
        </w:rPr>
        <w:t>采购代理机构</w:t>
      </w:r>
      <w:r>
        <w:rPr>
          <w:rFonts w:hint="eastAsia" w:ascii="仿宋" w:hAnsi="仿宋" w:eastAsia="仿宋" w:cs="仿宋"/>
          <w:color w:val="auto"/>
          <w:sz w:val="24"/>
          <w:szCs w:val="24"/>
          <w:highlight w:val="none"/>
        </w:rPr>
        <w:t>将组织投标人对项目现场及周围环境进行踏勘，以便投标人获取有关编制投标文件和签署合同所需的资料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踏勘现场所发生的费用由投标人自行承担。投标人应按招标文件所约定的时间、地点踏勘现场。</w:t>
      </w:r>
    </w:p>
    <w:p w14:paraId="7E741AF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4.2</w:t>
      </w:r>
      <w:r>
        <w:rPr>
          <w:rFonts w:hint="eastAsia" w:ascii="仿宋" w:hAnsi="仿宋" w:eastAsia="仿宋" w:cs="仿宋"/>
          <w:color w:val="auto"/>
          <w:sz w:val="24"/>
          <w:szCs w:val="24"/>
          <w:highlight w:val="none"/>
        </w:rPr>
        <w:t>.2投标人及其人员经过采购人的允许，可以进入采购人的项目现场踏勘。若招标文件要求投标人于统一时间地点踏勘现场的，投标人应当按时前往。</w:t>
      </w:r>
    </w:p>
    <w:p w14:paraId="26C3D8E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4.2</w:t>
      </w:r>
      <w:r>
        <w:rPr>
          <w:rFonts w:hint="eastAsia" w:ascii="仿宋" w:hAnsi="仿宋" w:eastAsia="仿宋" w:cs="仿宋"/>
          <w:color w:val="auto"/>
          <w:sz w:val="24"/>
          <w:szCs w:val="24"/>
          <w:highlight w:val="none"/>
        </w:rPr>
        <w:t>.3采购人应当通过采购</w:t>
      </w:r>
      <w:r>
        <w:rPr>
          <w:rFonts w:hint="eastAsia" w:ascii="仿宋" w:hAnsi="仿宋" w:eastAsia="仿宋" w:cs="仿宋"/>
          <w:color w:val="auto"/>
          <w:sz w:val="24"/>
          <w:szCs w:val="24"/>
          <w:highlight w:val="none"/>
          <w:lang w:val="en-US" w:eastAsia="zh-CN"/>
        </w:rPr>
        <w:t>代理</w:t>
      </w:r>
      <w:r>
        <w:rPr>
          <w:rFonts w:hint="eastAsia" w:ascii="仿宋" w:hAnsi="仿宋" w:eastAsia="仿宋" w:cs="仿宋"/>
          <w:color w:val="auto"/>
          <w:sz w:val="24"/>
          <w:szCs w:val="24"/>
          <w:highlight w:val="none"/>
        </w:rPr>
        <w:t>机构向投标人提供有关现场的书面资料和数据。</w:t>
      </w:r>
    </w:p>
    <w:p w14:paraId="41563D6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4.2</w:t>
      </w:r>
      <w:r>
        <w:rPr>
          <w:rFonts w:hint="eastAsia" w:ascii="仿宋" w:hAnsi="仿宋" w:eastAsia="仿宋" w:cs="仿宋"/>
          <w:color w:val="auto"/>
          <w:sz w:val="24"/>
          <w:szCs w:val="24"/>
          <w:highlight w:val="none"/>
        </w:rPr>
        <w:t>.4任何人或任何组织在踏勘现场时向投标人提供的任何书面资料或口头承诺，未经采购</w:t>
      </w:r>
      <w:r>
        <w:rPr>
          <w:rFonts w:hint="eastAsia" w:ascii="仿宋" w:hAnsi="仿宋" w:eastAsia="仿宋" w:cs="仿宋"/>
          <w:color w:val="auto"/>
          <w:sz w:val="24"/>
          <w:szCs w:val="24"/>
          <w:highlight w:val="none"/>
          <w:lang w:val="en-US" w:eastAsia="zh-CN"/>
        </w:rPr>
        <w:t>代理</w:t>
      </w:r>
      <w:r>
        <w:rPr>
          <w:rFonts w:hint="eastAsia" w:ascii="仿宋" w:hAnsi="仿宋" w:eastAsia="仿宋" w:cs="仿宋"/>
          <w:color w:val="auto"/>
          <w:sz w:val="24"/>
          <w:szCs w:val="24"/>
          <w:highlight w:val="none"/>
        </w:rPr>
        <w:t>机构</w:t>
      </w:r>
      <w:r>
        <w:rPr>
          <w:rFonts w:hint="eastAsia" w:ascii="仿宋" w:hAnsi="仿宋" w:eastAsia="仿宋" w:cs="仿宋"/>
          <w:color w:val="auto"/>
          <w:sz w:val="24"/>
          <w:szCs w:val="24"/>
          <w:highlight w:val="none"/>
          <w:lang w:val="en-US" w:eastAsia="zh-CN"/>
        </w:rPr>
        <w:t>在网上发布或</w:t>
      </w:r>
      <w:r>
        <w:rPr>
          <w:rFonts w:hint="eastAsia" w:ascii="仿宋" w:hAnsi="仿宋" w:eastAsia="仿宋" w:cs="仿宋"/>
          <w:color w:val="auto"/>
          <w:sz w:val="24"/>
          <w:szCs w:val="24"/>
          <w:highlight w:val="none"/>
        </w:rPr>
        <w:t>书面通知，均作无效处理。</w:t>
      </w:r>
    </w:p>
    <w:p w14:paraId="6BD746E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4.2</w:t>
      </w:r>
      <w:r>
        <w:rPr>
          <w:rFonts w:hint="eastAsia" w:ascii="仿宋" w:hAnsi="仿宋" w:eastAsia="仿宋" w:cs="仿宋"/>
          <w:color w:val="auto"/>
          <w:sz w:val="24"/>
          <w:szCs w:val="24"/>
          <w:highlight w:val="none"/>
        </w:rPr>
        <w:t>.5未参与踏勘现场不作为否定投标人资格的理由。</w:t>
      </w:r>
    </w:p>
    <w:p w14:paraId="4B68B46D">
      <w:pPr>
        <w:numPr>
          <w:ilvl w:val="0"/>
          <w:numId w:val="0"/>
        </w:numPr>
        <w:spacing w:line="360" w:lineRule="auto"/>
        <w:jc w:val="center"/>
        <w:outlineLvl w:val="2"/>
        <w:rPr>
          <w:rFonts w:hint="eastAsia" w:ascii="仿宋" w:hAnsi="仿宋" w:eastAsia="仿宋" w:cs="仿宋"/>
          <w:b/>
          <w:color w:val="auto"/>
          <w:sz w:val="28"/>
          <w:szCs w:val="28"/>
          <w:highlight w:val="none"/>
        </w:rPr>
      </w:pPr>
      <w:bookmarkStart w:id="48" w:name="_Toc29853"/>
      <w:bookmarkStart w:id="49" w:name="_Toc1575"/>
      <w:r>
        <w:rPr>
          <w:rFonts w:hint="eastAsia" w:ascii="仿宋" w:hAnsi="仿宋" w:eastAsia="仿宋" w:cs="仿宋"/>
          <w:b/>
          <w:color w:val="auto"/>
          <w:sz w:val="28"/>
          <w:szCs w:val="28"/>
          <w:highlight w:val="none"/>
          <w:lang w:eastAsia="zh-CN"/>
        </w:rPr>
        <w:t>二、</w:t>
      </w:r>
      <w:r>
        <w:rPr>
          <w:rFonts w:hint="eastAsia" w:ascii="仿宋" w:hAnsi="仿宋" w:eastAsia="仿宋" w:cs="仿宋"/>
          <w:b/>
          <w:color w:val="auto"/>
          <w:sz w:val="28"/>
          <w:szCs w:val="28"/>
          <w:highlight w:val="none"/>
        </w:rPr>
        <w:t>招标文件</w:t>
      </w:r>
      <w:bookmarkEnd w:id="48"/>
      <w:bookmarkEnd w:id="49"/>
    </w:p>
    <w:p w14:paraId="0BCFA5D1">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5、招标文件</w:t>
      </w:r>
    </w:p>
    <w:p w14:paraId="2853098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招标文件用以阐明所招标的内容，招标投标程序及合同条款，包括：</w:t>
      </w:r>
    </w:p>
    <w:p w14:paraId="285C370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5.1.1  招标公告</w:t>
      </w:r>
    </w:p>
    <w:p w14:paraId="4E5F3E2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5.1.2  投标人须知前附表</w:t>
      </w:r>
    </w:p>
    <w:p w14:paraId="3B6CFE9E">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5.1.3  </w:t>
      </w:r>
      <w:r>
        <w:rPr>
          <w:rFonts w:hint="eastAsia" w:ascii="仿宋" w:hAnsi="仿宋" w:eastAsia="仿宋" w:cs="仿宋"/>
          <w:color w:val="auto"/>
          <w:sz w:val="24"/>
          <w:szCs w:val="24"/>
          <w:highlight w:val="none"/>
          <w:lang w:val="en-US" w:eastAsia="zh-CN"/>
        </w:rPr>
        <w:t>招标书</w:t>
      </w:r>
    </w:p>
    <w:p w14:paraId="2F38C96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5.1.4  </w:t>
      </w:r>
      <w:r>
        <w:rPr>
          <w:rFonts w:hint="eastAsia" w:ascii="仿宋" w:hAnsi="仿宋" w:eastAsia="仿宋" w:cs="仿宋"/>
          <w:color w:val="auto"/>
          <w:sz w:val="24"/>
          <w:szCs w:val="24"/>
          <w:highlight w:val="none"/>
          <w:lang w:val="en-US" w:eastAsia="zh-CN"/>
        </w:rPr>
        <w:t>总则</w:t>
      </w:r>
    </w:p>
    <w:p w14:paraId="19F7920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5.1.5  采购需求</w:t>
      </w:r>
    </w:p>
    <w:p w14:paraId="5C9DFD2B">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5.1.6  合同条款</w:t>
      </w:r>
    </w:p>
    <w:p w14:paraId="3E41401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5.1.7  投标文件格式</w:t>
      </w:r>
    </w:p>
    <w:p w14:paraId="36A11C4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 供应商应认真阅读招标文件中所有的事项、格式、条款和规范等要求，从而对招标文件作出实质性响应。如果没有按照招标文件要求提交全部招标响应文件或资料，没有对招标文件作出实质性响应，其风险应由供应商自行承担。</w:t>
      </w:r>
    </w:p>
    <w:p w14:paraId="11A2CC8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5.3招标文件以中文编写。</w:t>
      </w:r>
    </w:p>
    <w:p w14:paraId="34336EAE">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6、招标文件的澄清</w:t>
      </w:r>
    </w:p>
    <w:p w14:paraId="58F73D3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 招标文件澄清的目的是澄清、解答投标人在查阅招标文件后或现场踏勘中可能提出的与投标有关的疑问或询问。</w:t>
      </w:r>
    </w:p>
    <w:p w14:paraId="0161D52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供应商对招标文件有疑问的，可以向招标代理机构提出询问，招标代理机构将及时做出答复；</w:t>
      </w:r>
    </w:p>
    <w:p w14:paraId="7463778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供应商对招标文件有质疑的，应当在获取采购文件或者采购文件公告期限届满之日起 7 个工作日内，以书面形式向招标机构提出质疑；招标机构应当在收到书面质疑之日起 7 个工作日内作出答复，并以书面形式通知质疑供应商和其他有关供应商。</w:t>
      </w:r>
    </w:p>
    <w:p w14:paraId="1AA6B32E">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7、招标文件的修改</w:t>
      </w:r>
    </w:p>
    <w:p w14:paraId="50B3A416">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7.1 对招标文件进行必要的修改，招标代理机构将在投标截止时间</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日前以书面形式通知所有购买招标文件的供应商。该修改的内容为招标文件的组成部分</w:t>
      </w:r>
      <w:r>
        <w:rPr>
          <w:rFonts w:hint="eastAsia" w:ascii="仿宋" w:hAnsi="仿宋" w:eastAsia="仿宋" w:cs="仿宋"/>
          <w:color w:val="auto"/>
          <w:sz w:val="24"/>
          <w:szCs w:val="24"/>
          <w:highlight w:val="none"/>
          <w:lang w:eastAsia="zh-CN"/>
        </w:rPr>
        <w:t>。</w:t>
      </w:r>
    </w:p>
    <w:p w14:paraId="7A6F1B3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 供应商在规定的时间内未对招标文件提出澄清要求的，招标代理机构将视其为同意。</w:t>
      </w:r>
    </w:p>
    <w:p w14:paraId="3320C39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 在投标截止时间前，招标机构可视具体情况延长招标截止时间，并将变更时间书面通知所有购买招标文件的供应商。</w:t>
      </w:r>
    </w:p>
    <w:p w14:paraId="2864E46E">
      <w:pPr>
        <w:spacing w:line="360" w:lineRule="auto"/>
        <w:ind w:firstLine="562" w:firstLineChars="200"/>
        <w:jc w:val="center"/>
        <w:outlineLvl w:val="2"/>
        <w:rPr>
          <w:rFonts w:hint="eastAsia" w:ascii="仿宋" w:hAnsi="仿宋" w:eastAsia="仿宋" w:cs="仿宋"/>
          <w:b/>
          <w:bCs/>
          <w:color w:val="auto"/>
          <w:sz w:val="28"/>
          <w:szCs w:val="28"/>
          <w:highlight w:val="none"/>
        </w:rPr>
      </w:pPr>
      <w:bookmarkStart w:id="50" w:name="_Toc4675"/>
      <w:bookmarkStart w:id="51" w:name="_Toc24935"/>
      <w:r>
        <w:rPr>
          <w:rFonts w:hint="eastAsia" w:ascii="仿宋" w:hAnsi="仿宋" w:eastAsia="仿宋" w:cs="仿宋"/>
          <w:b/>
          <w:bCs/>
          <w:color w:val="auto"/>
          <w:sz w:val="28"/>
          <w:szCs w:val="28"/>
          <w:highlight w:val="none"/>
        </w:rPr>
        <w:t>三、投标文件的编写</w:t>
      </w:r>
      <w:bookmarkEnd w:id="50"/>
      <w:bookmarkEnd w:id="51"/>
    </w:p>
    <w:p w14:paraId="78DC4D49">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8．要求</w:t>
      </w:r>
    </w:p>
    <w:p w14:paraId="56F2E889">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 供应商应仔细阅读招标文件的所有内容，按招标文件的要求提供招标响应文件，并保证所提供的全部资料的真实性，以使其招标响应对招标文件作出实质性响应，否则，其招标可能被拒绝。</w:t>
      </w:r>
    </w:p>
    <w:p w14:paraId="4EB1BCBF">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9．招标语言</w:t>
      </w:r>
    </w:p>
    <w:p w14:paraId="42559EC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  投标人的投标文件以及投标人与招标机构就有关招标活动的所有来往函电均应使用中文。如果投标文件或与投标有关的其它文件、信件及来往函电以其他语言书写，投标人应将其译成中文。</w:t>
      </w:r>
    </w:p>
    <w:p w14:paraId="79F1AE72">
      <w:pPr>
        <w:widowControl/>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9.2投标文件中使用的计量单位除招标文件中有特殊规定外，一律使用法定计量单位。</w:t>
      </w:r>
    </w:p>
    <w:p w14:paraId="48570E9D">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10、投标文件的格式 </w:t>
      </w:r>
    </w:p>
    <w:p w14:paraId="3BBB34C4">
      <w:p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10.1投标人应按招标文件提供的格式及投标报价说明完整地填写所提供的产品、服务、数量及价格。</w:t>
      </w:r>
    </w:p>
    <w:p w14:paraId="5EE52F0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10.2如投标人认为需要对招标文件的有关内容做详细的阐述而招标文件中提供的投标文件格式又不能满足，投标人可以在投标文件相关格式后另行添加表格或文字，对招标文件的有关内容做详细的阐述。但阐述的内容不能偏离招标文件的实质性内容，且应完整、表达清晰、准确。如果阐述的内容偏离了招标文件的实质性内容，投标文件按</w:t>
      </w:r>
      <w:r>
        <w:rPr>
          <w:rFonts w:hint="eastAsia" w:ascii="仿宋" w:hAnsi="仿宋" w:eastAsia="仿宋" w:cs="仿宋"/>
          <w:color w:val="auto"/>
          <w:sz w:val="24"/>
          <w:szCs w:val="24"/>
          <w:highlight w:val="none"/>
          <w:lang w:val="en-US" w:eastAsia="zh-CN"/>
        </w:rPr>
        <w:t>否决投标</w:t>
      </w:r>
      <w:r>
        <w:rPr>
          <w:rFonts w:hint="eastAsia" w:ascii="仿宋" w:hAnsi="仿宋" w:eastAsia="仿宋" w:cs="仿宋"/>
          <w:color w:val="auto"/>
          <w:sz w:val="24"/>
          <w:szCs w:val="24"/>
          <w:highlight w:val="none"/>
        </w:rPr>
        <w:t>处理。</w:t>
      </w:r>
    </w:p>
    <w:p w14:paraId="1875BB40">
      <w:pPr>
        <w:numPr>
          <w:ilvl w:val="0"/>
          <w:numId w:val="4"/>
        </w:numPr>
        <w:spacing w:line="360" w:lineRule="auto"/>
        <w:ind w:left="481" w:lef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投标文件由以下部分构成</w:t>
      </w:r>
    </w:p>
    <w:p w14:paraId="4DA7A312">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本项目所涉投标文件格式请详见第</w:t>
      </w: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章，未给出的格式请自拟。</w:t>
      </w:r>
    </w:p>
    <w:p w14:paraId="67E011A1">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rPr>
        <w:t>投标文件由</w:t>
      </w:r>
      <w:r>
        <w:rPr>
          <w:rFonts w:hint="eastAsia" w:ascii="仿宋" w:hAnsi="仿宋" w:eastAsia="仿宋" w:cs="仿宋"/>
          <w:b/>
          <w:bCs/>
          <w:color w:val="auto"/>
          <w:sz w:val="24"/>
          <w:szCs w:val="24"/>
          <w:highlight w:val="none"/>
          <w:lang w:val="en-US" w:eastAsia="zh-CN"/>
        </w:rPr>
        <w:t>经济报价部分、</w:t>
      </w:r>
      <w:r>
        <w:rPr>
          <w:rFonts w:hint="eastAsia" w:ascii="仿宋" w:hAnsi="仿宋" w:eastAsia="仿宋" w:cs="仿宋"/>
          <w:b/>
          <w:bCs/>
          <w:color w:val="auto"/>
          <w:sz w:val="24"/>
          <w:szCs w:val="24"/>
          <w:highlight w:val="none"/>
        </w:rPr>
        <w:t>商务部分、技术部分</w:t>
      </w:r>
      <w:r>
        <w:rPr>
          <w:rFonts w:hint="eastAsia" w:ascii="仿宋" w:hAnsi="仿宋" w:eastAsia="仿宋" w:cs="仿宋"/>
          <w:b/>
          <w:bCs/>
          <w:color w:val="auto"/>
          <w:sz w:val="24"/>
          <w:szCs w:val="24"/>
          <w:highlight w:val="none"/>
          <w:lang w:val="en-US" w:eastAsia="zh-CN"/>
        </w:rPr>
        <w:t>及</w:t>
      </w:r>
      <w:r>
        <w:rPr>
          <w:rFonts w:hint="eastAsia" w:ascii="仿宋" w:hAnsi="仿宋" w:eastAsia="仿宋" w:cs="仿宋"/>
          <w:b/>
          <w:bCs/>
          <w:color w:val="auto"/>
          <w:sz w:val="24"/>
          <w:szCs w:val="24"/>
          <w:highlight w:val="none"/>
        </w:rPr>
        <w:t>其他部分组成</w:t>
      </w:r>
      <w:r>
        <w:rPr>
          <w:rFonts w:hint="eastAsia" w:ascii="仿宋" w:hAnsi="仿宋" w:eastAsia="仿宋" w:cs="仿宋"/>
          <w:b/>
          <w:bCs/>
          <w:color w:val="auto"/>
          <w:sz w:val="24"/>
          <w:szCs w:val="24"/>
          <w:highlight w:val="none"/>
          <w:lang w:eastAsia="zh-CN"/>
        </w:rPr>
        <w:t>。</w:t>
      </w:r>
    </w:p>
    <w:p w14:paraId="02FAD1E8">
      <w:pPr>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bCs/>
          <w:color w:val="auto"/>
          <w:sz w:val="24"/>
          <w:szCs w:val="24"/>
          <w:highlight w:val="none"/>
        </w:rPr>
        <w:t>注：电子投标文件按政采云平台供应商电子招投标操作指南。建议根据招标文件合格供应商的资格要求、投标文件的编制及</w:t>
      </w:r>
      <w:r>
        <w:rPr>
          <w:rFonts w:hint="eastAsia" w:ascii="仿宋" w:hAnsi="仿宋" w:eastAsia="仿宋" w:cs="仿宋"/>
          <w:b/>
          <w:bCs/>
          <w:color w:val="auto"/>
          <w:sz w:val="24"/>
          <w:szCs w:val="24"/>
          <w:highlight w:val="none"/>
          <w:lang w:val="en-US" w:eastAsia="zh-CN"/>
        </w:rPr>
        <w:t>资格评审、响应性评审</w:t>
      </w:r>
      <w:r>
        <w:rPr>
          <w:rFonts w:hint="eastAsia" w:ascii="仿宋" w:hAnsi="仿宋" w:eastAsia="仿宋" w:cs="仿宋"/>
          <w:b/>
          <w:bCs/>
          <w:color w:val="auto"/>
          <w:sz w:val="24"/>
          <w:szCs w:val="24"/>
          <w:highlight w:val="none"/>
        </w:rPr>
        <w:t>等内容一一关联投标文件按统一格式、顺序编写。</w:t>
      </w:r>
    </w:p>
    <w:p w14:paraId="5A94157F">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12、投标报价</w:t>
      </w:r>
    </w:p>
    <w:p w14:paraId="388DF59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报价方应在招标报价表上标明单价和总价。单价和总价要相符。价格不一致时，根据《中华人民共和国财政部令第87号--政府采购货物和服务招标投标管理办法》第五十九条投标文件报价出现前后不一致的，除招标文件另有规定外，按照下列规定修正：</w:t>
      </w:r>
    </w:p>
    <w:p w14:paraId="012B209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（一）投标文件中开标一览表（报价表）内容与投标文件中相应内容不一致的，以开标一览表（报价表）为准；</w:t>
      </w:r>
    </w:p>
    <w:p w14:paraId="1936F28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（二）大写金额和小写金额不一致的，以大写金额为准；</w:t>
      </w:r>
    </w:p>
    <w:p w14:paraId="31D0207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（三）单价金额小数点或者百分比有明显错位的，以开标一览表的总价为准，并修改单价；</w:t>
      </w:r>
    </w:p>
    <w:p w14:paraId="42A9DB1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（四）总价金额与单价汇总金额不一致的，以单价金额计算结果为准。</w:t>
      </w:r>
    </w:p>
    <w:p w14:paraId="44E328FE">
      <w:p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12.2 供应商应在投标报价表中标明其提供的所有货物及其相关工作范围内所在费用的总价，不接受有任何选择性招标报价。</w:t>
      </w:r>
    </w:p>
    <w:p w14:paraId="42FEEE6F">
      <w:pPr>
        <w:pStyle w:val="22"/>
        <w:tabs>
          <w:tab w:val="left" w:pos="9214"/>
        </w:tabs>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12.3</w:t>
      </w:r>
      <w:r>
        <w:rPr>
          <w:rFonts w:hint="eastAsia" w:ascii="仿宋" w:hAnsi="仿宋" w:eastAsia="仿宋" w:cs="仿宋"/>
          <w:color w:val="auto"/>
          <w:sz w:val="24"/>
          <w:szCs w:val="24"/>
          <w:highlight w:val="none"/>
        </w:rPr>
        <w:t>报价时应对下列几点特别注明：</w:t>
      </w:r>
    </w:p>
    <w:p w14:paraId="2FD93358">
      <w:pPr>
        <w:pStyle w:val="22"/>
        <w:tabs>
          <w:tab w:val="left" w:pos="9214"/>
        </w:tabs>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12.3.1招标文件中特别要求的备品备件、易损件和专用工具的费用；</w:t>
      </w:r>
    </w:p>
    <w:p w14:paraId="2896B218">
      <w:pPr>
        <w:pStyle w:val="22"/>
        <w:tabs>
          <w:tab w:val="left" w:pos="9214"/>
        </w:tabs>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12.3.2招标文件中特别要求的货物的采购、供应、运输、保险费、税费和相关售后服务等费用及其它附带服务的全部费用；</w:t>
      </w:r>
    </w:p>
    <w:p w14:paraId="5A6B2F7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12.3.3国内供货人提供在中华人民共和国制造的，或已在中华人民共和国境内的国外产地的已经</w:t>
      </w:r>
      <w:r>
        <w:rPr>
          <w:rStyle w:val="126"/>
          <w:rFonts w:hint="eastAsia" w:ascii="仿宋" w:hAnsi="仿宋" w:eastAsia="仿宋" w:cs="仿宋"/>
          <w:color w:val="auto"/>
          <w:sz w:val="24"/>
          <w:szCs w:val="24"/>
          <w:highlight w:val="none"/>
        </w:rPr>
        <w:t>进口的货物的国内投标，其货物的交货价，包括制造、组装该货物所使用的零部件及原材料已付的全部关税、销售税和其他税（其关税和其他税不分别填写，计入货价内即可）。</w:t>
      </w:r>
    </w:p>
    <w:p w14:paraId="0D9E9F2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 算术性修正。算术性修正是指对招标响应文件的报价明细进行校核，并对其算术上和运算上的差错给予修正。修正的原则如下：</w:t>
      </w:r>
    </w:p>
    <w:p w14:paraId="58456BC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12.4.1 当以数字表示的金额与文字表示的金额有差异时，以文字表示的金额为准；</w:t>
      </w:r>
    </w:p>
    <w:p w14:paraId="3F239CD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12.4.2 当单价与数量相乘不等于合价时，以单价计算为准。如果单价有明显的小数点位置差错，应以标出的合价为准，同时对单价予以修正；</w:t>
      </w:r>
    </w:p>
    <w:p w14:paraId="2F2048F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12.4.3 当各明细部分的价格累计不等于合价时，应以各明细的累计计数为准，修正合价。</w:t>
      </w:r>
    </w:p>
    <w:p w14:paraId="59852DD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12.4.4 按以上原则对算术性差错修正，应取得供应商的同意，并确认修正后最终招标报价。如果供应商拒绝确认，则其招标响应文件将不予以评审并按废标处理，没收其投标担保。</w:t>
      </w:r>
    </w:p>
    <w:p w14:paraId="44ACBD0D">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13、投标人应逐条详细阅读招标文件有关要求，表明所提供的服务是否对招标文件做出实质性响应。</w:t>
      </w:r>
    </w:p>
    <w:p w14:paraId="594D8DB6">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14、投标有效期</w:t>
      </w:r>
    </w:p>
    <w:p w14:paraId="478A3D2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投标</w:t>
      </w:r>
      <w:r>
        <w:rPr>
          <w:rFonts w:hint="eastAsia" w:ascii="仿宋" w:hAnsi="仿宋" w:eastAsia="仿宋" w:cs="仿宋"/>
          <w:color w:val="auto"/>
          <w:sz w:val="24"/>
          <w:szCs w:val="24"/>
          <w:highlight w:val="none"/>
          <w:lang w:eastAsia="zh-CN"/>
        </w:rPr>
        <w:t>有效期</w:t>
      </w:r>
      <w:r>
        <w:rPr>
          <w:rFonts w:hint="eastAsia" w:ascii="仿宋" w:hAnsi="仿宋" w:eastAsia="仿宋" w:cs="仿宋"/>
          <w:color w:val="auto"/>
          <w:sz w:val="24"/>
          <w:szCs w:val="24"/>
          <w:highlight w:val="none"/>
        </w:rPr>
        <w:t>从实际开标之日起</w:t>
      </w:r>
      <w:r>
        <w:rPr>
          <w:rFonts w:hint="eastAsia" w:ascii="仿宋" w:hAnsi="仿宋" w:eastAsia="仿宋" w:cs="仿宋"/>
          <w:color w:val="auto"/>
          <w:sz w:val="24"/>
          <w:szCs w:val="24"/>
          <w:highlight w:val="none"/>
          <w:u w:val="single"/>
        </w:rPr>
        <w:t xml:space="preserve"> 90</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日历天</w:t>
      </w:r>
      <w:r>
        <w:rPr>
          <w:rFonts w:hint="eastAsia" w:ascii="仿宋" w:hAnsi="仿宋" w:eastAsia="仿宋" w:cs="仿宋"/>
          <w:color w:val="auto"/>
          <w:sz w:val="24"/>
          <w:szCs w:val="24"/>
          <w:highlight w:val="none"/>
        </w:rPr>
        <w:t>内有效。有效期不足的投标文件将被拒绝。</w:t>
      </w:r>
    </w:p>
    <w:p w14:paraId="5E0D033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如遇特殊情况，在原投标有效期届满之前，招标人可与投标人协商延长投标有效期，并经投标人确认。</w:t>
      </w:r>
    </w:p>
    <w:p w14:paraId="7F3EB15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14.3投标人可拒绝接受延期要求而不会导致投标保证金被没收。同意延长有效期的投标人需要相应延长投标保证金的有效期，但不能修改投标文件。 </w:t>
      </w:r>
    </w:p>
    <w:p w14:paraId="35F44A8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14.4中标人的投标文件自开标之日起至合同履行完毕止均应保持有效。</w:t>
      </w:r>
    </w:p>
    <w:p w14:paraId="76A38BA0">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15、投标文件的签署、递交、准备和解密时间要求</w:t>
      </w:r>
    </w:p>
    <w:p w14:paraId="3603F11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15.1投标人应按本招标文件规定的格式和顺序编制、装订投标文件并标注页码，投标文件内容不完整、编排混乱导致投标文件被误读、漏读或者查找不到相关内容的，是投标人的责任。</w:t>
      </w:r>
    </w:p>
    <w:p w14:paraId="53AC24C5">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15.2投标人应于提交投标文件截止时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w:t>
      </w:r>
      <w:r>
        <w:rPr>
          <w:rFonts w:hint="eastAsia" w:ascii="仿宋" w:hAnsi="仿宋" w:eastAsia="仿宋" w:cs="仿宋"/>
          <w:b/>
          <w:bCs/>
          <w:color w:val="auto"/>
          <w:sz w:val="24"/>
          <w:szCs w:val="24"/>
          <w:highlight w:val="none"/>
          <w:lang w:eastAsia="zh-CN"/>
        </w:rPr>
        <w:t>95763</w:t>
      </w:r>
      <w:r>
        <w:rPr>
          <w:rFonts w:hint="eastAsia" w:ascii="仿宋" w:hAnsi="仿宋" w:eastAsia="仿宋" w:cs="仿宋"/>
          <w:b/>
          <w:bCs/>
          <w:color w:val="auto"/>
          <w:sz w:val="24"/>
          <w:szCs w:val="24"/>
          <w:highlight w:val="none"/>
        </w:rPr>
        <w:t>。</w:t>
      </w:r>
    </w:p>
    <w:p w14:paraId="757788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15.3投标文件须由投标人在规定位置盖章并由法定代表人或法定代表人的授权委托人签署，投标人应写全称。</w:t>
      </w:r>
    </w:p>
    <w:p w14:paraId="686AC02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15.4投标文件不得涂改，若有修改错漏处，须加盖单位公章或者法定代表人或授权委托人签字或盖章。投标文件因字迹潦草或表达不清所引起的后果由投标人负责。</w:t>
      </w:r>
    </w:p>
    <w:p w14:paraId="3BA1A8F2">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15.5</w:t>
      </w:r>
      <w:r>
        <w:rPr>
          <w:rFonts w:hint="eastAsia" w:ascii="仿宋" w:hAnsi="仿宋" w:eastAsia="仿宋" w:cs="仿宋"/>
          <w:b/>
          <w:bCs/>
          <w:color w:val="auto"/>
          <w:sz w:val="24"/>
          <w:szCs w:val="24"/>
          <w:highlight w:val="none"/>
        </w:rPr>
        <w:t xml:space="preserve">、本项目实行网上投标，采用电子投标文件。若供应商参与投标，自行承担投标一切费用。 </w:t>
      </w:r>
    </w:p>
    <w:p w14:paraId="5DE6486A">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15.6</w:t>
      </w:r>
      <w:r>
        <w:rPr>
          <w:rFonts w:hint="eastAsia" w:ascii="仿宋" w:hAnsi="仿宋" w:eastAsia="仿宋" w:cs="仿宋"/>
          <w:b/>
          <w:bCs/>
          <w:color w:val="auto"/>
          <w:sz w:val="24"/>
          <w:szCs w:val="24"/>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14:paraId="65DDFFC8">
      <w:pPr>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15.7</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758BB20E">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15.8</w:t>
      </w:r>
      <w:r>
        <w:rPr>
          <w:rFonts w:hint="eastAsia" w:ascii="仿宋" w:hAnsi="仿宋" w:eastAsia="仿宋" w:cs="仿宋"/>
          <w:b/>
          <w:bCs/>
          <w:color w:val="auto"/>
          <w:sz w:val="24"/>
          <w:szCs w:val="24"/>
          <w:highlight w:val="none"/>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仿宋" w:hAnsi="仿宋" w:eastAsia="仿宋" w:cs="仿宋"/>
          <w:b/>
          <w:bCs/>
          <w:color w:val="auto"/>
          <w:sz w:val="24"/>
          <w:szCs w:val="24"/>
          <w:highlight w:val="none"/>
          <w:lang w:eastAsia="zh-CN"/>
        </w:rPr>
        <w:t>95763</w:t>
      </w:r>
      <w:r>
        <w:rPr>
          <w:rFonts w:hint="eastAsia" w:ascii="仿宋" w:hAnsi="仿宋" w:eastAsia="仿宋" w:cs="仿宋"/>
          <w:b/>
          <w:bCs/>
          <w:color w:val="auto"/>
          <w:sz w:val="24"/>
          <w:szCs w:val="24"/>
          <w:highlight w:val="none"/>
        </w:rPr>
        <w:t>进行咨询。</w:t>
      </w:r>
    </w:p>
    <w:p w14:paraId="52463E58">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15.9开标时间后</w:t>
      </w:r>
      <w:r>
        <w:rPr>
          <w:rFonts w:hint="eastAsia" w:ascii="仿宋" w:hAnsi="仿宋" w:eastAsia="仿宋" w:cs="仿宋"/>
          <w:b/>
          <w:bCs/>
          <w:color w:val="0000FF"/>
          <w:sz w:val="24"/>
          <w:szCs w:val="24"/>
          <w:highlight w:val="none"/>
          <w:lang w:val="en-US" w:eastAsia="zh-CN"/>
        </w:rPr>
        <w:t>30</w:t>
      </w:r>
      <w:r>
        <w:rPr>
          <w:rFonts w:hint="eastAsia" w:ascii="仿宋" w:hAnsi="仿宋" w:eastAsia="仿宋" w:cs="仿宋"/>
          <w:b/>
          <w:bCs/>
          <w:color w:val="0000FF"/>
          <w:sz w:val="24"/>
          <w:szCs w:val="24"/>
          <w:highlight w:val="none"/>
        </w:rPr>
        <w:t>分钟内（</w:t>
      </w:r>
      <w:r>
        <w:rPr>
          <w:rFonts w:hint="eastAsia" w:ascii="仿宋" w:hAnsi="仿宋" w:eastAsia="仿宋" w:cs="仿宋"/>
          <w:b/>
          <w:bCs/>
          <w:color w:val="0000FF"/>
          <w:sz w:val="24"/>
          <w:szCs w:val="24"/>
          <w:highlight w:val="none"/>
          <w:lang w:val="en-US" w:eastAsia="zh-CN"/>
        </w:rPr>
        <w:t>2026</w:t>
      </w:r>
      <w:r>
        <w:rPr>
          <w:rFonts w:hint="eastAsia" w:ascii="仿宋" w:hAnsi="仿宋" w:eastAsia="仿宋" w:cs="仿宋"/>
          <w:b/>
          <w:bCs/>
          <w:color w:val="0000FF"/>
          <w:sz w:val="24"/>
          <w:szCs w:val="24"/>
          <w:highlight w:val="none"/>
          <w:lang w:eastAsia="zh-CN"/>
        </w:rPr>
        <w:t>年</w:t>
      </w:r>
      <w:r>
        <w:rPr>
          <w:rFonts w:hint="eastAsia" w:ascii="仿宋" w:hAnsi="仿宋" w:eastAsia="仿宋" w:cs="仿宋"/>
          <w:b/>
          <w:bCs/>
          <w:color w:val="0000FF"/>
          <w:sz w:val="24"/>
          <w:szCs w:val="24"/>
          <w:highlight w:val="none"/>
          <w:lang w:val="en-US" w:eastAsia="zh-CN"/>
        </w:rPr>
        <w:t>06</w:t>
      </w:r>
      <w:r>
        <w:rPr>
          <w:rFonts w:hint="eastAsia" w:ascii="仿宋" w:hAnsi="仿宋" w:eastAsia="仿宋" w:cs="仿宋"/>
          <w:b/>
          <w:bCs/>
          <w:color w:val="0000FF"/>
          <w:sz w:val="24"/>
          <w:szCs w:val="24"/>
          <w:highlight w:val="none"/>
          <w:lang w:eastAsia="zh-CN"/>
        </w:rPr>
        <w:t>月</w:t>
      </w:r>
      <w:r>
        <w:rPr>
          <w:rFonts w:hint="eastAsia" w:ascii="仿宋" w:hAnsi="仿宋" w:eastAsia="仿宋" w:cs="仿宋"/>
          <w:b/>
          <w:bCs/>
          <w:color w:val="0000FF"/>
          <w:sz w:val="24"/>
          <w:szCs w:val="24"/>
          <w:highlight w:val="none"/>
          <w:lang w:val="en-US" w:eastAsia="zh-CN"/>
        </w:rPr>
        <w:t>12</w:t>
      </w:r>
      <w:r>
        <w:rPr>
          <w:rFonts w:hint="eastAsia" w:ascii="仿宋" w:hAnsi="仿宋" w:eastAsia="仿宋" w:cs="仿宋"/>
          <w:b/>
          <w:bCs/>
          <w:color w:val="0000FF"/>
          <w:sz w:val="24"/>
          <w:szCs w:val="24"/>
          <w:highlight w:val="none"/>
          <w:lang w:eastAsia="zh-CN"/>
        </w:rPr>
        <w:t>日上午</w:t>
      </w:r>
      <w:r>
        <w:rPr>
          <w:rFonts w:hint="eastAsia" w:ascii="仿宋" w:hAnsi="仿宋" w:eastAsia="仿宋" w:cs="仿宋"/>
          <w:b/>
          <w:bCs/>
          <w:color w:val="0000FF"/>
          <w:sz w:val="24"/>
          <w:szCs w:val="24"/>
          <w:highlight w:val="none"/>
          <w:lang w:val="en-US" w:eastAsia="zh-CN"/>
        </w:rPr>
        <w:t>11</w:t>
      </w:r>
      <w:r>
        <w:rPr>
          <w:rFonts w:hint="eastAsia" w:ascii="仿宋" w:hAnsi="仿宋" w:eastAsia="仿宋" w:cs="仿宋"/>
          <w:b/>
          <w:bCs/>
          <w:color w:val="0000FF"/>
          <w:sz w:val="24"/>
          <w:szCs w:val="24"/>
          <w:highlight w:val="none"/>
        </w:rPr>
        <w:t>:</w:t>
      </w:r>
      <w:r>
        <w:rPr>
          <w:rFonts w:hint="eastAsia" w:ascii="仿宋" w:hAnsi="仿宋" w:eastAsia="仿宋" w:cs="仿宋"/>
          <w:b/>
          <w:bCs/>
          <w:color w:val="0000FF"/>
          <w:sz w:val="24"/>
          <w:szCs w:val="24"/>
          <w:highlight w:val="none"/>
          <w:lang w:val="en-US" w:eastAsia="zh-CN"/>
        </w:rPr>
        <w:t>00</w:t>
      </w:r>
      <w:r>
        <w:rPr>
          <w:rFonts w:hint="eastAsia" w:ascii="仿宋" w:hAnsi="仿宋" w:eastAsia="仿宋" w:cs="仿宋"/>
          <w:b/>
          <w:bCs/>
          <w:color w:val="0000FF"/>
          <w:sz w:val="24"/>
          <w:szCs w:val="24"/>
          <w:highlight w:val="none"/>
        </w:rPr>
        <w:t>-</w:t>
      </w:r>
      <w:r>
        <w:rPr>
          <w:rFonts w:hint="eastAsia" w:ascii="仿宋" w:hAnsi="仿宋" w:eastAsia="仿宋" w:cs="仿宋"/>
          <w:b/>
          <w:bCs/>
          <w:color w:val="0000FF"/>
          <w:sz w:val="24"/>
          <w:szCs w:val="24"/>
          <w:highlight w:val="none"/>
          <w:lang w:val="en-US" w:eastAsia="zh-CN"/>
        </w:rPr>
        <w:t>11</w:t>
      </w:r>
      <w:r>
        <w:rPr>
          <w:rFonts w:hint="eastAsia" w:ascii="仿宋" w:hAnsi="仿宋" w:eastAsia="仿宋" w:cs="仿宋"/>
          <w:b/>
          <w:bCs/>
          <w:color w:val="0000FF"/>
          <w:sz w:val="24"/>
          <w:szCs w:val="24"/>
          <w:highlight w:val="none"/>
        </w:rPr>
        <w:t>：</w:t>
      </w:r>
      <w:r>
        <w:rPr>
          <w:rFonts w:hint="eastAsia" w:ascii="仿宋" w:hAnsi="仿宋" w:eastAsia="仿宋" w:cs="仿宋"/>
          <w:b/>
          <w:bCs/>
          <w:color w:val="0000FF"/>
          <w:sz w:val="24"/>
          <w:szCs w:val="24"/>
          <w:highlight w:val="none"/>
          <w:lang w:val="en-US" w:eastAsia="zh-CN"/>
        </w:rPr>
        <w:t>30</w:t>
      </w:r>
      <w:r>
        <w:rPr>
          <w:rFonts w:hint="eastAsia" w:ascii="仿宋" w:hAnsi="仿宋" w:eastAsia="仿宋" w:cs="仿宋"/>
          <w:b/>
          <w:bCs/>
          <w:color w:val="0000FF"/>
          <w:sz w:val="24"/>
          <w:szCs w:val="24"/>
          <w:highlight w:val="none"/>
        </w:rPr>
        <w:t>前</w:t>
      </w:r>
      <w:r>
        <w:rPr>
          <w:rFonts w:hint="eastAsia" w:ascii="仿宋" w:hAnsi="仿宋" w:eastAsia="仿宋" w:cs="仿宋"/>
          <w:b/>
          <w:bCs/>
          <w:color w:val="auto"/>
          <w:sz w:val="24"/>
          <w:szCs w:val="24"/>
          <w:highlight w:val="none"/>
        </w:rPr>
        <w:t>）供应商可以登录“政采云”平台，用“项目采购-开标评标”功能进行解密投标文件。若供应商在规定时间内（</w:t>
      </w:r>
      <w:r>
        <w:rPr>
          <w:rFonts w:hint="eastAsia" w:ascii="仿宋" w:hAnsi="仿宋" w:eastAsia="仿宋" w:cs="仿宋"/>
          <w:b/>
          <w:bCs/>
          <w:color w:val="0000FF"/>
          <w:sz w:val="24"/>
          <w:szCs w:val="24"/>
          <w:highlight w:val="none"/>
          <w:lang w:val="en-US" w:eastAsia="zh-CN"/>
        </w:rPr>
        <w:t>2026</w:t>
      </w:r>
      <w:r>
        <w:rPr>
          <w:rFonts w:hint="eastAsia" w:ascii="仿宋" w:hAnsi="仿宋" w:eastAsia="仿宋" w:cs="仿宋"/>
          <w:b/>
          <w:bCs/>
          <w:color w:val="0000FF"/>
          <w:sz w:val="24"/>
          <w:szCs w:val="24"/>
          <w:highlight w:val="none"/>
          <w:lang w:eastAsia="zh-CN"/>
        </w:rPr>
        <w:t>年</w:t>
      </w:r>
      <w:r>
        <w:rPr>
          <w:rFonts w:hint="eastAsia" w:ascii="仿宋" w:hAnsi="仿宋" w:eastAsia="仿宋" w:cs="仿宋"/>
          <w:b/>
          <w:bCs/>
          <w:color w:val="0000FF"/>
          <w:sz w:val="24"/>
          <w:szCs w:val="24"/>
          <w:highlight w:val="none"/>
          <w:lang w:val="en-US" w:eastAsia="zh-CN"/>
        </w:rPr>
        <w:t>6</w:t>
      </w:r>
      <w:r>
        <w:rPr>
          <w:rFonts w:hint="eastAsia" w:ascii="仿宋" w:hAnsi="仿宋" w:eastAsia="仿宋" w:cs="仿宋"/>
          <w:b/>
          <w:bCs/>
          <w:color w:val="0000FF"/>
          <w:sz w:val="24"/>
          <w:szCs w:val="24"/>
          <w:highlight w:val="none"/>
          <w:lang w:eastAsia="zh-CN"/>
        </w:rPr>
        <w:t>月</w:t>
      </w:r>
      <w:r>
        <w:rPr>
          <w:rFonts w:hint="eastAsia" w:ascii="仿宋" w:hAnsi="仿宋" w:eastAsia="仿宋" w:cs="仿宋"/>
          <w:b/>
          <w:bCs/>
          <w:color w:val="0000FF"/>
          <w:sz w:val="24"/>
          <w:szCs w:val="24"/>
          <w:highlight w:val="none"/>
          <w:lang w:val="en-US" w:eastAsia="zh-CN"/>
        </w:rPr>
        <w:t>12</w:t>
      </w:r>
      <w:r>
        <w:rPr>
          <w:rFonts w:hint="eastAsia" w:ascii="仿宋" w:hAnsi="仿宋" w:eastAsia="仿宋" w:cs="仿宋"/>
          <w:b/>
          <w:bCs/>
          <w:color w:val="0000FF"/>
          <w:sz w:val="24"/>
          <w:szCs w:val="24"/>
          <w:highlight w:val="none"/>
          <w:lang w:eastAsia="zh-CN"/>
        </w:rPr>
        <w:t>日</w:t>
      </w:r>
      <w:r>
        <w:rPr>
          <w:rFonts w:hint="eastAsia" w:ascii="仿宋" w:hAnsi="仿宋" w:eastAsia="仿宋" w:cs="仿宋"/>
          <w:b/>
          <w:bCs/>
          <w:color w:val="0000FF"/>
          <w:sz w:val="24"/>
          <w:szCs w:val="24"/>
          <w:highlight w:val="none"/>
          <w:lang w:val="en-US" w:eastAsia="zh-CN"/>
        </w:rPr>
        <w:t>上午11</w:t>
      </w:r>
      <w:r>
        <w:rPr>
          <w:rFonts w:hint="eastAsia" w:ascii="仿宋" w:hAnsi="仿宋" w:eastAsia="仿宋" w:cs="仿宋"/>
          <w:b/>
          <w:bCs/>
          <w:color w:val="0000FF"/>
          <w:sz w:val="24"/>
          <w:szCs w:val="24"/>
          <w:highlight w:val="none"/>
        </w:rPr>
        <w:t>:</w:t>
      </w:r>
      <w:r>
        <w:rPr>
          <w:rFonts w:hint="eastAsia" w:ascii="仿宋" w:hAnsi="仿宋" w:eastAsia="仿宋" w:cs="仿宋"/>
          <w:b/>
          <w:bCs/>
          <w:color w:val="0000FF"/>
          <w:sz w:val="24"/>
          <w:szCs w:val="24"/>
          <w:highlight w:val="none"/>
          <w:lang w:val="en-US" w:eastAsia="zh-CN"/>
        </w:rPr>
        <w:t>30</w:t>
      </w:r>
      <w:r>
        <w:rPr>
          <w:rFonts w:hint="eastAsia" w:ascii="仿宋" w:hAnsi="仿宋" w:eastAsia="仿宋" w:cs="仿宋"/>
          <w:b/>
          <w:bCs/>
          <w:color w:val="0000FF"/>
          <w:sz w:val="24"/>
          <w:szCs w:val="24"/>
          <w:highlight w:val="none"/>
        </w:rPr>
        <w:t>前）未按时解</w:t>
      </w:r>
      <w:r>
        <w:rPr>
          <w:rFonts w:hint="eastAsia" w:ascii="仿宋" w:hAnsi="仿宋" w:eastAsia="仿宋" w:cs="仿宋"/>
          <w:b/>
          <w:bCs/>
          <w:color w:val="auto"/>
          <w:sz w:val="24"/>
          <w:szCs w:val="24"/>
          <w:highlight w:val="none"/>
        </w:rPr>
        <w:t>密的，视为投标文件撤回。</w:t>
      </w:r>
    </w:p>
    <w:p w14:paraId="5CFC2785">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16、投标保证金</w:t>
      </w:r>
    </w:p>
    <w:p w14:paraId="29493C4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 投标保证金数额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详见投标人须知前附表第</w:t>
      </w:r>
      <w:r>
        <w:rPr>
          <w:rFonts w:hint="eastAsia" w:ascii="仿宋" w:hAnsi="仿宋" w:eastAsia="仿宋" w:cs="仿宋"/>
          <w:b/>
          <w:color w:val="auto"/>
          <w:sz w:val="24"/>
          <w:szCs w:val="24"/>
          <w:highlight w:val="none"/>
          <w:u w:val="single"/>
          <w:lang w:val="en-US" w:eastAsia="zh-CN"/>
        </w:rPr>
        <w:t>8</w:t>
      </w:r>
      <w:r>
        <w:rPr>
          <w:rFonts w:hint="eastAsia" w:ascii="仿宋" w:hAnsi="仿宋" w:eastAsia="仿宋" w:cs="仿宋"/>
          <w:b/>
          <w:color w:val="auto"/>
          <w:sz w:val="24"/>
          <w:szCs w:val="24"/>
          <w:highlight w:val="none"/>
          <w:u w:val="single"/>
        </w:rPr>
        <w:t>条。</w:t>
      </w:r>
    </w:p>
    <w:p w14:paraId="314C1E1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 投标保证金用于应对本次招标因投标人违规、违约而产生的风险。</w:t>
      </w:r>
    </w:p>
    <w:p w14:paraId="2E457B17">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16.3 投标人必须于投标截止时间之前</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（详</w:t>
      </w:r>
      <w:r>
        <w:rPr>
          <w:rFonts w:hint="eastAsia" w:ascii="仿宋" w:hAnsi="仿宋" w:eastAsia="仿宋" w:cs="仿宋"/>
          <w:b/>
          <w:color w:val="auto"/>
          <w:sz w:val="24"/>
          <w:szCs w:val="24"/>
          <w:highlight w:val="none"/>
          <w:u w:val="single"/>
        </w:rPr>
        <w:t>见投标人须知前附表第</w:t>
      </w:r>
      <w:r>
        <w:rPr>
          <w:rFonts w:hint="eastAsia" w:ascii="仿宋" w:hAnsi="仿宋" w:eastAsia="仿宋" w:cs="仿宋"/>
          <w:b/>
          <w:color w:val="auto"/>
          <w:sz w:val="24"/>
          <w:szCs w:val="24"/>
          <w:highlight w:val="none"/>
          <w:u w:val="single"/>
          <w:lang w:val="en-US" w:eastAsia="zh-CN"/>
        </w:rPr>
        <w:t>24</w:t>
      </w:r>
      <w:r>
        <w:rPr>
          <w:rFonts w:hint="eastAsia" w:ascii="仿宋" w:hAnsi="仿宋" w:eastAsia="仿宋" w:cs="仿宋"/>
          <w:b/>
          <w:color w:val="auto"/>
          <w:sz w:val="24"/>
          <w:szCs w:val="24"/>
          <w:highlight w:val="none"/>
          <w:u w:val="single"/>
        </w:rPr>
        <w:t>条规定）</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按将投标保证金交纳至规定的帐号，对未按要求提交投标保证金的投标书，招标机构将视为不响应投标予以拒绝。</w:t>
      </w:r>
    </w:p>
    <w:p w14:paraId="0974229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16.4 </w:t>
      </w:r>
      <w:r>
        <w:rPr>
          <w:rFonts w:hint="eastAsia" w:ascii="仿宋" w:hAnsi="仿宋" w:eastAsia="仿宋" w:cs="仿宋"/>
          <w:color w:val="auto"/>
          <w:sz w:val="24"/>
          <w:szCs w:val="24"/>
          <w:highlight w:val="none"/>
          <w:lang w:val="en-US" w:eastAsia="zh-CN"/>
        </w:rPr>
        <w:t>2、</w:t>
      </w:r>
      <w:r>
        <w:rPr>
          <w:rFonts w:hint="eastAsia" w:ascii="仿宋" w:hAnsi="仿宋" w:eastAsia="仿宋" w:cs="仿宋"/>
          <w:b w:val="0"/>
          <w:bCs/>
          <w:i w:val="0"/>
          <w:caps w:val="0"/>
          <w:color w:val="auto"/>
          <w:spacing w:val="0"/>
          <w:sz w:val="24"/>
          <w:szCs w:val="24"/>
          <w:highlight w:val="none"/>
          <w:shd w:val="clear" w:color="auto" w:fill="FFFFFF"/>
          <w:lang w:val="en-US" w:eastAsia="zh-CN"/>
        </w:rPr>
        <w:t>投标保证金缴纳方式：支票、汇票、本票或者金融机构、担保机构出具的保函、转账等非现金形式，《关于促进政府采购公平竞争优化营商环境的通知》[财库〔2019〕38号文]。请各投标企业充分考虑当前营商环境情况，选择切实可行的方式缴纳</w:t>
      </w:r>
      <w:r>
        <w:rPr>
          <w:rFonts w:hint="eastAsia" w:ascii="仿宋" w:hAnsi="仿宋" w:eastAsia="仿宋" w:cs="仿宋"/>
          <w:color w:val="auto"/>
          <w:sz w:val="24"/>
          <w:szCs w:val="24"/>
          <w:highlight w:val="none"/>
        </w:rPr>
        <w:t>。</w:t>
      </w:r>
    </w:p>
    <w:p w14:paraId="11B3D99B">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16.5在招标方规定的投标有效期满之前，招标方将以书面形式 发出《中标通知书》，《中标通知书》一经发出即发生法律效力。</w:t>
      </w:r>
    </w:p>
    <w:p w14:paraId="69AC8D9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16.6 发生以下情况投标保证金可能被没收：</w:t>
      </w:r>
    </w:p>
    <w:p w14:paraId="744DC6F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16.6.1 投标人在投标有效期内撤回投标的；</w:t>
      </w:r>
    </w:p>
    <w:p w14:paraId="1D5CF0D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16.6.2 中标人未能做到：中标后，无正当理由放弃中标资格。</w:t>
      </w:r>
    </w:p>
    <w:p w14:paraId="23C421E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16.6.3 投标人在投标过程中有违反有关法律法规行为的。</w:t>
      </w:r>
    </w:p>
    <w:p w14:paraId="3EF1DB8F">
      <w:pPr>
        <w:numPr>
          <w:ilvl w:val="0"/>
          <w:numId w:val="0"/>
        </w:numPr>
        <w:spacing w:line="360" w:lineRule="auto"/>
        <w:jc w:val="center"/>
        <w:outlineLvl w:val="2"/>
        <w:rPr>
          <w:rFonts w:hint="eastAsia" w:ascii="仿宋" w:hAnsi="仿宋" w:eastAsia="仿宋" w:cs="仿宋"/>
          <w:b/>
          <w:color w:val="auto"/>
          <w:sz w:val="28"/>
          <w:szCs w:val="28"/>
          <w:highlight w:val="none"/>
        </w:rPr>
      </w:pPr>
      <w:bookmarkStart w:id="52" w:name="_Toc22295"/>
      <w:bookmarkStart w:id="53" w:name="_Toc22171"/>
      <w:r>
        <w:rPr>
          <w:rFonts w:hint="eastAsia" w:ascii="仿宋" w:hAnsi="仿宋" w:eastAsia="仿宋" w:cs="仿宋"/>
          <w:b/>
          <w:color w:val="auto"/>
          <w:sz w:val="28"/>
          <w:szCs w:val="28"/>
          <w:highlight w:val="none"/>
          <w:lang w:eastAsia="zh-CN"/>
        </w:rPr>
        <w:t>四、</w:t>
      </w:r>
      <w:r>
        <w:rPr>
          <w:rFonts w:hint="eastAsia" w:ascii="仿宋" w:hAnsi="仿宋" w:eastAsia="仿宋" w:cs="仿宋"/>
          <w:b/>
          <w:color w:val="auto"/>
          <w:sz w:val="28"/>
          <w:szCs w:val="28"/>
          <w:highlight w:val="none"/>
        </w:rPr>
        <w:t>投标文件的递交</w:t>
      </w:r>
      <w:bookmarkEnd w:id="52"/>
      <w:bookmarkEnd w:id="53"/>
    </w:p>
    <w:p w14:paraId="78A7FD51">
      <w:pPr>
        <w:keepNext w:val="0"/>
        <w:keepLines w:val="0"/>
        <w:pageBreakBefore w:val="0"/>
        <w:widowControl/>
        <w:kinsoku/>
        <w:wordWrap/>
        <w:overflowPunct/>
        <w:topLinePunct w:val="0"/>
        <w:bidi w:val="0"/>
        <w:spacing w:line="360" w:lineRule="auto"/>
        <w:ind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17.1.投标文件的准备和解密</w:t>
      </w:r>
    </w:p>
    <w:p w14:paraId="329CDE8A">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17.</w:t>
      </w:r>
      <w:r>
        <w:rPr>
          <w:rFonts w:hint="eastAsia" w:ascii="仿宋" w:hAnsi="仿宋" w:eastAsia="仿宋" w:cs="仿宋"/>
          <w:b/>
          <w:bCs/>
          <w:color w:val="auto"/>
          <w:kern w:val="0"/>
          <w:sz w:val="24"/>
          <w:szCs w:val="24"/>
          <w:highlight w:val="none"/>
        </w:rPr>
        <w:t>1、本项目实行网上投标，采用电子投标文件。若供应商参与投标，自行承担投标一切费用。</w:t>
      </w:r>
    </w:p>
    <w:p w14:paraId="19B4C8E2">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17.</w:t>
      </w:r>
      <w:r>
        <w:rPr>
          <w:rFonts w:hint="eastAsia" w:ascii="仿宋" w:hAnsi="仿宋" w:eastAsia="仿宋" w:cs="仿宋"/>
          <w:b/>
          <w:bCs/>
          <w:color w:val="auto"/>
          <w:kern w:val="0"/>
          <w:sz w:val="24"/>
          <w:szCs w:val="24"/>
          <w:highlight w:val="none"/>
        </w:rPr>
        <w:t xml:space="preserve">2、各供应商应在开标前应确保成为新疆维吾尔自治区政府采购网正式注册入库供应商，并完成CA数字证书申领。因未注册入库、未办理CA数字证书等原因造成无法投标或投标失败等后果由供应商自行承担。 </w:t>
      </w:r>
    </w:p>
    <w:p w14:paraId="3AF1FC47">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17.</w:t>
      </w:r>
      <w:r>
        <w:rPr>
          <w:rFonts w:hint="eastAsia" w:ascii="仿宋" w:hAnsi="仿宋" w:eastAsia="仿宋" w:cs="仿宋"/>
          <w:b/>
          <w:bCs/>
          <w:color w:val="auto"/>
          <w:kern w:val="0"/>
          <w:sz w:val="24"/>
          <w:szCs w:val="24"/>
          <w:highlight w:val="none"/>
        </w:rPr>
        <w:t>3、</w:t>
      </w:r>
      <w:r>
        <w:rPr>
          <w:rFonts w:hint="eastAsia" w:ascii="仿宋" w:hAnsi="仿宋" w:eastAsia="仿宋" w:cs="仿宋"/>
          <w:b/>
          <w:bCs/>
          <w:color w:val="auto"/>
          <w:kern w:val="0"/>
          <w:sz w:val="24"/>
          <w:szCs w:val="24"/>
          <w:highlight w:val="none"/>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69266F2E">
      <w:pPr>
        <w:keepNext w:val="0"/>
        <w:keepLines w:val="0"/>
        <w:pageBreakBefore w:val="0"/>
        <w:widowControl/>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xml:space="preserve"> </w:t>
      </w:r>
      <w:r>
        <w:rPr>
          <w:rFonts w:hint="eastAsia" w:ascii="仿宋" w:hAnsi="仿宋" w:eastAsia="仿宋" w:cs="仿宋"/>
          <w:b/>
          <w:bCs/>
          <w:color w:val="auto"/>
          <w:kern w:val="0"/>
          <w:sz w:val="24"/>
          <w:szCs w:val="24"/>
          <w:highlight w:val="none"/>
          <w:lang w:val="en-US" w:eastAsia="zh-CN"/>
        </w:rPr>
        <w:t xml:space="preserve">  17.</w:t>
      </w:r>
      <w:r>
        <w:rPr>
          <w:rFonts w:hint="eastAsia" w:ascii="仿宋" w:hAnsi="仿宋" w:eastAsia="仿宋" w:cs="仿宋"/>
          <w:b/>
          <w:bCs/>
          <w:color w:val="auto"/>
          <w:kern w:val="0"/>
          <w:sz w:val="24"/>
          <w:szCs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仿宋" w:hAnsi="仿宋" w:eastAsia="仿宋" w:cs="仿宋"/>
          <w:b/>
          <w:bCs/>
          <w:color w:val="auto"/>
          <w:kern w:val="0"/>
          <w:sz w:val="24"/>
          <w:szCs w:val="24"/>
          <w:highlight w:val="none"/>
          <w:lang w:eastAsia="zh-CN"/>
        </w:rPr>
        <w:t>95763</w:t>
      </w:r>
      <w:r>
        <w:rPr>
          <w:rFonts w:hint="eastAsia" w:ascii="仿宋" w:hAnsi="仿宋" w:eastAsia="仿宋" w:cs="仿宋"/>
          <w:b/>
          <w:bCs/>
          <w:color w:val="auto"/>
          <w:kern w:val="0"/>
          <w:sz w:val="24"/>
          <w:szCs w:val="24"/>
          <w:highlight w:val="none"/>
        </w:rPr>
        <w:t>进行咨询。</w:t>
      </w:r>
    </w:p>
    <w:p w14:paraId="5342D9DC">
      <w:pPr>
        <w:keepNext w:val="0"/>
        <w:keepLines w:val="0"/>
        <w:pageBreakBefore w:val="0"/>
        <w:widowControl/>
        <w:kinsoku/>
        <w:wordWrap/>
        <w:overflowPunct/>
        <w:topLinePunct w:val="0"/>
        <w:bidi w:val="0"/>
        <w:spacing w:line="360" w:lineRule="auto"/>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rPr>
        <w:t>17.1.</w:t>
      </w:r>
      <w:r>
        <w:rPr>
          <w:rFonts w:hint="eastAsia" w:ascii="仿宋" w:hAnsi="仿宋" w:eastAsia="仿宋" w:cs="仿宋"/>
          <w:b/>
          <w:bCs/>
          <w:color w:val="auto"/>
          <w:kern w:val="0"/>
          <w:sz w:val="24"/>
          <w:szCs w:val="24"/>
          <w:highlight w:val="none"/>
          <w:lang w:val="en-US" w:eastAsia="zh-CN"/>
        </w:rPr>
        <w:t>5</w:t>
      </w:r>
      <w:r>
        <w:rPr>
          <w:rFonts w:hint="eastAsia" w:ascii="仿宋" w:hAnsi="仿宋" w:eastAsia="仿宋" w:cs="仿宋"/>
          <w:b/>
          <w:bCs/>
          <w:color w:val="auto"/>
          <w:sz w:val="24"/>
          <w:szCs w:val="24"/>
          <w:highlight w:val="none"/>
        </w:rPr>
        <w:t>开标时间后</w:t>
      </w:r>
      <w:r>
        <w:rPr>
          <w:rFonts w:hint="eastAsia" w:ascii="仿宋" w:hAnsi="仿宋" w:eastAsia="仿宋" w:cs="仿宋"/>
          <w:b/>
          <w:bCs/>
          <w:color w:val="0000FF"/>
          <w:sz w:val="24"/>
          <w:szCs w:val="24"/>
          <w:highlight w:val="none"/>
          <w:lang w:val="en-US" w:eastAsia="zh-CN"/>
        </w:rPr>
        <w:t>30</w:t>
      </w:r>
      <w:r>
        <w:rPr>
          <w:rFonts w:hint="eastAsia" w:ascii="仿宋" w:hAnsi="仿宋" w:eastAsia="仿宋" w:cs="仿宋"/>
          <w:b/>
          <w:bCs/>
          <w:color w:val="0000FF"/>
          <w:sz w:val="24"/>
          <w:szCs w:val="24"/>
          <w:highlight w:val="none"/>
        </w:rPr>
        <w:t>分钟内（</w:t>
      </w:r>
      <w:r>
        <w:rPr>
          <w:rFonts w:hint="eastAsia" w:ascii="仿宋" w:hAnsi="仿宋" w:eastAsia="仿宋" w:cs="仿宋"/>
          <w:b/>
          <w:bCs/>
          <w:color w:val="0000FF"/>
          <w:sz w:val="24"/>
          <w:szCs w:val="24"/>
          <w:highlight w:val="none"/>
          <w:lang w:val="en-US" w:eastAsia="zh-CN"/>
        </w:rPr>
        <w:t>2026</w:t>
      </w:r>
      <w:r>
        <w:rPr>
          <w:rFonts w:hint="eastAsia" w:ascii="仿宋" w:hAnsi="仿宋" w:eastAsia="仿宋" w:cs="仿宋"/>
          <w:b/>
          <w:bCs/>
          <w:color w:val="0000FF"/>
          <w:sz w:val="24"/>
          <w:szCs w:val="24"/>
          <w:highlight w:val="none"/>
          <w:lang w:eastAsia="zh-CN"/>
        </w:rPr>
        <w:t>年</w:t>
      </w:r>
      <w:r>
        <w:rPr>
          <w:rFonts w:hint="eastAsia" w:ascii="仿宋" w:hAnsi="仿宋" w:eastAsia="仿宋" w:cs="仿宋"/>
          <w:b/>
          <w:bCs/>
          <w:color w:val="0000FF"/>
          <w:sz w:val="24"/>
          <w:szCs w:val="24"/>
          <w:highlight w:val="none"/>
          <w:lang w:val="en-US" w:eastAsia="zh-CN"/>
        </w:rPr>
        <w:t>06</w:t>
      </w:r>
      <w:r>
        <w:rPr>
          <w:rFonts w:hint="eastAsia" w:ascii="仿宋" w:hAnsi="仿宋" w:eastAsia="仿宋" w:cs="仿宋"/>
          <w:b/>
          <w:bCs/>
          <w:color w:val="0000FF"/>
          <w:sz w:val="24"/>
          <w:szCs w:val="24"/>
          <w:highlight w:val="none"/>
          <w:lang w:eastAsia="zh-CN"/>
        </w:rPr>
        <w:t>月</w:t>
      </w:r>
      <w:r>
        <w:rPr>
          <w:rFonts w:hint="eastAsia" w:ascii="仿宋" w:hAnsi="仿宋" w:eastAsia="仿宋" w:cs="仿宋"/>
          <w:b/>
          <w:bCs/>
          <w:color w:val="0000FF"/>
          <w:sz w:val="24"/>
          <w:szCs w:val="24"/>
          <w:highlight w:val="none"/>
          <w:lang w:val="en-US" w:eastAsia="zh-CN"/>
        </w:rPr>
        <w:t>12</w:t>
      </w:r>
      <w:r>
        <w:rPr>
          <w:rFonts w:hint="eastAsia" w:ascii="仿宋" w:hAnsi="仿宋" w:eastAsia="仿宋" w:cs="仿宋"/>
          <w:b/>
          <w:bCs/>
          <w:color w:val="0000FF"/>
          <w:sz w:val="24"/>
          <w:szCs w:val="24"/>
          <w:highlight w:val="none"/>
          <w:lang w:eastAsia="zh-CN"/>
        </w:rPr>
        <w:t>日上午</w:t>
      </w:r>
      <w:r>
        <w:rPr>
          <w:rFonts w:hint="eastAsia" w:ascii="仿宋" w:hAnsi="仿宋" w:eastAsia="仿宋" w:cs="仿宋"/>
          <w:b/>
          <w:bCs/>
          <w:color w:val="0000FF"/>
          <w:sz w:val="24"/>
          <w:szCs w:val="24"/>
          <w:highlight w:val="none"/>
          <w:lang w:val="en-US" w:eastAsia="zh-CN"/>
        </w:rPr>
        <w:t>11</w:t>
      </w:r>
      <w:r>
        <w:rPr>
          <w:rFonts w:hint="eastAsia" w:ascii="仿宋" w:hAnsi="仿宋" w:eastAsia="仿宋" w:cs="仿宋"/>
          <w:b/>
          <w:bCs/>
          <w:color w:val="0000FF"/>
          <w:sz w:val="24"/>
          <w:szCs w:val="24"/>
          <w:highlight w:val="none"/>
        </w:rPr>
        <w:t>:</w:t>
      </w:r>
      <w:r>
        <w:rPr>
          <w:rFonts w:hint="eastAsia" w:ascii="仿宋" w:hAnsi="仿宋" w:eastAsia="仿宋" w:cs="仿宋"/>
          <w:b/>
          <w:bCs/>
          <w:color w:val="0000FF"/>
          <w:sz w:val="24"/>
          <w:szCs w:val="24"/>
          <w:highlight w:val="none"/>
          <w:lang w:val="en-US" w:eastAsia="zh-CN"/>
        </w:rPr>
        <w:t>00</w:t>
      </w:r>
      <w:r>
        <w:rPr>
          <w:rFonts w:hint="eastAsia" w:ascii="仿宋" w:hAnsi="仿宋" w:eastAsia="仿宋" w:cs="仿宋"/>
          <w:b/>
          <w:bCs/>
          <w:color w:val="0000FF"/>
          <w:sz w:val="24"/>
          <w:szCs w:val="24"/>
          <w:highlight w:val="none"/>
        </w:rPr>
        <w:t>-</w:t>
      </w:r>
      <w:r>
        <w:rPr>
          <w:rFonts w:hint="eastAsia" w:ascii="仿宋" w:hAnsi="仿宋" w:eastAsia="仿宋" w:cs="仿宋"/>
          <w:b/>
          <w:bCs/>
          <w:color w:val="0000FF"/>
          <w:sz w:val="24"/>
          <w:szCs w:val="24"/>
          <w:highlight w:val="none"/>
          <w:lang w:val="en-US" w:eastAsia="zh-CN"/>
        </w:rPr>
        <w:t>11</w:t>
      </w:r>
      <w:r>
        <w:rPr>
          <w:rFonts w:hint="eastAsia" w:ascii="仿宋" w:hAnsi="仿宋" w:eastAsia="仿宋" w:cs="仿宋"/>
          <w:b/>
          <w:bCs/>
          <w:color w:val="0000FF"/>
          <w:sz w:val="24"/>
          <w:szCs w:val="24"/>
          <w:highlight w:val="none"/>
        </w:rPr>
        <w:t>：</w:t>
      </w:r>
      <w:r>
        <w:rPr>
          <w:rFonts w:hint="eastAsia" w:ascii="仿宋" w:hAnsi="仿宋" w:eastAsia="仿宋" w:cs="仿宋"/>
          <w:b/>
          <w:bCs/>
          <w:color w:val="0000FF"/>
          <w:sz w:val="24"/>
          <w:szCs w:val="24"/>
          <w:highlight w:val="none"/>
          <w:lang w:val="en-US" w:eastAsia="zh-CN"/>
        </w:rPr>
        <w:t>30</w:t>
      </w:r>
      <w:r>
        <w:rPr>
          <w:rFonts w:hint="eastAsia" w:ascii="仿宋" w:hAnsi="仿宋" w:eastAsia="仿宋" w:cs="仿宋"/>
          <w:b/>
          <w:bCs/>
          <w:color w:val="0000FF"/>
          <w:sz w:val="24"/>
          <w:szCs w:val="24"/>
          <w:highlight w:val="none"/>
        </w:rPr>
        <w:t>前）</w:t>
      </w:r>
      <w:r>
        <w:rPr>
          <w:rFonts w:hint="eastAsia" w:ascii="仿宋" w:hAnsi="仿宋" w:eastAsia="仿宋" w:cs="仿宋"/>
          <w:b/>
          <w:bCs/>
          <w:color w:val="auto"/>
          <w:sz w:val="24"/>
          <w:szCs w:val="24"/>
          <w:highlight w:val="none"/>
        </w:rPr>
        <w:t>供应商可以登录“政采云”平台，用“项目采购-开标评标”功能进行解密投标文件。若供应商在规定时间内</w:t>
      </w:r>
      <w:r>
        <w:rPr>
          <w:rFonts w:hint="eastAsia" w:ascii="仿宋" w:hAnsi="仿宋" w:eastAsia="仿宋" w:cs="仿宋"/>
          <w:b/>
          <w:bCs/>
          <w:color w:val="0000FF"/>
          <w:sz w:val="24"/>
          <w:szCs w:val="24"/>
          <w:highlight w:val="none"/>
        </w:rPr>
        <w:t>（</w:t>
      </w:r>
      <w:r>
        <w:rPr>
          <w:rFonts w:hint="eastAsia" w:ascii="仿宋" w:hAnsi="仿宋" w:eastAsia="仿宋" w:cs="仿宋"/>
          <w:b/>
          <w:bCs/>
          <w:color w:val="0000FF"/>
          <w:sz w:val="24"/>
          <w:szCs w:val="24"/>
          <w:highlight w:val="none"/>
          <w:lang w:val="en-US" w:eastAsia="zh-CN"/>
        </w:rPr>
        <w:t>2026</w:t>
      </w:r>
      <w:r>
        <w:rPr>
          <w:rFonts w:hint="eastAsia" w:ascii="仿宋" w:hAnsi="仿宋" w:eastAsia="仿宋" w:cs="仿宋"/>
          <w:b/>
          <w:bCs/>
          <w:color w:val="0000FF"/>
          <w:sz w:val="24"/>
          <w:szCs w:val="24"/>
          <w:highlight w:val="none"/>
          <w:lang w:eastAsia="zh-CN"/>
        </w:rPr>
        <w:t>年</w:t>
      </w:r>
      <w:r>
        <w:rPr>
          <w:rFonts w:hint="eastAsia" w:ascii="仿宋" w:hAnsi="仿宋" w:eastAsia="仿宋" w:cs="仿宋"/>
          <w:b/>
          <w:bCs/>
          <w:color w:val="0000FF"/>
          <w:sz w:val="24"/>
          <w:szCs w:val="24"/>
          <w:highlight w:val="none"/>
          <w:lang w:val="en-US" w:eastAsia="zh-CN"/>
        </w:rPr>
        <w:t>06</w:t>
      </w:r>
      <w:r>
        <w:rPr>
          <w:rFonts w:hint="eastAsia" w:ascii="仿宋" w:hAnsi="仿宋" w:eastAsia="仿宋" w:cs="仿宋"/>
          <w:b/>
          <w:bCs/>
          <w:color w:val="0000FF"/>
          <w:sz w:val="24"/>
          <w:szCs w:val="24"/>
          <w:highlight w:val="none"/>
          <w:lang w:eastAsia="zh-CN"/>
        </w:rPr>
        <w:t>月</w:t>
      </w:r>
      <w:r>
        <w:rPr>
          <w:rFonts w:hint="eastAsia" w:ascii="仿宋" w:hAnsi="仿宋" w:eastAsia="仿宋" w:cs="仿宋"/>
          <w:b/>
          <w:bCs/>
          <w:color w:val="0000FF"/>
          <w:sz w:val="24"/>
          <w:szCs w:val="24"/>
          <w:highlight w:val="none"/>
          <w:lang w:val="en-US" w:eastAsia="zh-CN"/>
        </w:rPr>
        <w:t>12</w:t>
      </w:r>
      <w:r>
        <w:rPr>
          <w:rFonts w:hint="eastAsia" w:ascii="仿宋" w:hAnsi="仿宋" w:eastAsia="仿宋" w:cs="仿宋"/>
          <w:b/>
          <w:bCs/>
          <w:color w:val="0000FF"/>
          <w:sz w:val="24"/>
          <w:szCs w:val="24"/>
          <w:highlight w:val="none"/>
          <w:lang w:eastAsia="zh-CN"/>
        </w:rPr>
        <w:t>日</w:t>
      </w:r>
      <w:r>
        <w:rPr>
          <w:rFonts w:hint="eastAsia" w:ascii="仿宋" w:hAnsi="仿宋" w:eastAsia="仿宋" w:cs="仿宋"/>
          <w:b/>
          <w:bCs/>
          <w:color w:val="0000FF"/>
          <w:sz w:val="24"/>
          <w:szCs w:val="24"/>
          <w:highlight w:val="none"/>
          <w:lang w:val="en-US" w:eastAsia="zh-CN"/>
        </w:rPr>
        <w:t>上午11</w:t>
      </w:r>
      <w:r>
        <w:rPr>
          <w:rFonts w:hint="eastAsia" w:ascii="仿宋" w:hAnsi="仿宋" w:eastAsia="仿宋" w:cs="仿宋"/>
          <w:b/>
          <w:bCs/>
          <w:color w:val="0000FF"/>
          <w:sz w:val="24"/>
          <w:szCs w:val="24"/>
          <w:highlight w:val="none"/>
        </w:rPr>
        <w:t>:</w:t>
      </w:r>
      <w:r>
        <w:rPr>
          <w:rFonts w:hint="eastAsia" w:ascii="仿宋" w:hAnsi="仿宋" w:eastAsia="仿宋" w:cs="仿宋"/>
          <w:b/>
          <w:bCs/>
          <w:color w:val="0000FF"/>
          <w:sz w:val="24"/>
          <w:szCs w:val="24"/>
          <w:highlight w:val="none"/>
          <w:lang w:val="en-US" w:eastAsia="zh-CN"/>
        </w:rPr>
        <w:t>30</w:t>
      </w:r>
      <w:r>
        <w:rPr>
          <w:rFonts w:hint="eastAsia" w:ascii="仿宋" w:hAnsi="仿宋" w:eastAsia="仿宋" w:cs="仿宋"/>
          <w:b/>
          <w:bCs/>
          <w:color w:val="0000FF"/>
          <w:sz w:val="24"/>
          <w:szCs w:val="24"/>
          <w:highlight w:val="none"/>
        </w:rPr>
        <w:t>前）</w:t>
      </w:r>
      <w:r>
        <w:rPr>
          <w:rFonts w:hint="eastAsia" w:ascii="仿宋" w:hAnsi="仿宋" w:eastAsia="仿宋" w:cs="仿宋"/>
          <w:b/>
          <w:bCs/>
          <w:color w:val="auto"/>
          <w:sz w:val="24"/>
          <w:szCs w:val="24"/>
          <w:highlight w:val="none"/>
        </w:rPr>
        <w:t>未按时解密的，视为投标文件撤回。</w:t>
      </w:r>
    </w:p>
    <w:p w14:paraId="135633E6">
      <w:pPr>
        <w:keepNext w:val="0"/>
        <w:keepLines w:val="0"/>
        <w:pageBreakBefore w:val="0"/>
        <w:widowControl/>
        <w:kinsoku/>
        <w:wordWrap/>
        <w:overflowPunct/>
        <w:topLinePunct w:val="0"/>
        <w:bidi w:val="0"/>
        <w:spacing w:line="360" w:lineRule="auto"/>
        <w:ind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17.1.</w:t>
      </w:r>
      <w:r>
        <w:rPr>
          <w:rFonts w:hint="eastAsia" w:ascii="仿宋" w:hAnsi="仿宋" w:eastAsia="仿宋" w:cs="仿宋"/>
          <w:b/>
          <w:bCs/>
          <w:color w:val="auto"/>
          <w:kern w:val="0"/>
          <w:sz w:val="24"/>
          <w:szCs w:val="24"/>
          <w:highlight w:val="none"/>
          <w:lang w:val="en-US" w:eastAsia="zh-CN"/>
        </w:rPr>
        <w:t>6</w:t>
      </w:r>
      <w:r>
        <w:rPr>
          <w:rFonts w:hint="eastAsia" w:ascii="仿宋" w:hAnsi="仿宋" w:eastAsia="仿宋" w:cs="仿宋"/>
          <w:b/>
          <w:bCs/>
          <w:color w:val="auto"/>
          <w:kern w:val="0"/>
          <w:sz w:val="24"/>
          <w:szCs w:val="24"/>
          <w:highlight w:val="none"/>
        </w:rPr>
        <w:t>因系统（非投标供应商行为）的原因，造成投标供应商未能在规定的解密时限内解密的，请及时与招标代理机构或与新疆政府采购网投标客户端进行联系。</w:t>
      </w:r>
    </w:p>
    <w:p w14:paraId="3180C564">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17.1.</w:t>
      </w:r>
      <w:r>
        <w:rPr>
          <w:rFonts w:hint="eastAsia" w:ascii="仿宋" w:hAnsi="仿宋" w:eastAsia="仿宋" w:cs="仿宋"/>
          <w:b/>
          <w:bCs/>
          <w:color w:val="auto"/>
          <w:kern w:val="0"/>
          <w:sz w:val="24"/>
          <w:szCs w:val="24"/>
          <w:highlight w:val="none"/>
          <w:lang w:val="en-US" w:eastAsia="zh-CN"/>
        </w:rPr>
        <w:t>7</w:t>
      </w:r>
      <w:r>
        <w:rPr>
          <w:rFonts w:hint="eastAsia" w:ascii="仿宋" w:hAnsi="仿宋" w:eastAsia="仿宋" w:cs="仿宋"/>
          <w:b/>
          <w:bCs/>
          <w:color w:val="auto"/>
          <w:kern w:val="0"/>
          <w:sz w:val="24"/>
          <w:szCs w:val="24"/>
          <w:highlight w:val="none"/>
        </w:rPr>
        <w:t>投标文件未按规定上传的，视为其自动放弃投标。</w:t>
      </w:r>
    </w:p>
    <w:p w14:paraId="2BEB6888">
      <w:pPr>
        <w:keepNext w:val="0"/>
        <w:keepLines w:val="0"/>
        <w:pageBreakBefore w:val="0"/>
        <w:widowControl/>
        <w:shd w:val="clear" w:color="auto" w:fill="FFFFFF"/>
        <w:kinsoku/>
        <w:wordWrap/>
        <w:overflowPunct/>
        <w:topLinePunct w:val="0"/>
        <w:bidi w:val="0"/>
        <w:snapToGrid w:val="0"/>
        <w:spacing w:line="360" w:lineRule="auto"/>
        <w:ind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17.2</w:t>
      </w:r>
      <w:r>
        <w:rPr>
          <w:rFonts w:hint="eastAsia" w:ascii="仿宋" w:hAnsi="仿宋" w:eastAsia="仿宋" w:cs="仿宋"/>
          <w:b/>
          <w:bCs/>
          <w:color w:val="auto"/>
          <w:kern w:val="0"/>
          <w:sz w:val="24"/>
          <w:szCs w:val="24"/>
          <w:highlight w:val="none"/>
        </w:rPr>
        <w:t xml:space="preserve">. </w:t>
      </w:r>
      <w:r>
        <w:rPr>
          <w:rFonts w:hint="eastAsia" w:ascii="仿宋" w:hAnsi="仿宋" w:eastAsia="仿宋" w:cs="仿宋"/>
          <w:b/>
          <w:color w:val="auto"/>
          <w:kern w:val="0"/>
          <w:sz w:val="24"/>
          <w:szCs w:val="24"/>
          <w:highlight w:val="none"/>
        </w:rPr>
        <w:t>投标文件的修改与撤回</w:t>
      </w:r>
    </w:p>
    <w:p w14:paraId="4059CFD0">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17.2.1投标人在投标截止时间前，可以对所递交的投标文件进行补充、修改或者撤回，并书面通知采购人或者采购代理机构。补充、修改的内容应当按照招标文件要求签署、盖章</w:t>
      </w:r>
      <w:r>
        <w:rPr>
          <w:rFonts w:hint="eastAsia" w:ascii="仿宋" w:hAnsi="仿宋" w:eastAsia="仿宋" w:cs="仿宋"/>
          <w:color w:val="auto"/>
          <w:kern w:val="0"/>
          <w:sz w:val="24"/>
          <w:szCs w:val="24"/>
          <w:highlight w:val="none"/>
          <w:lang w:val="en-US" w:eastAsia="zh-CN"/>
        </w:rPr>
        <w:t>后</w:t>
      </w:r>
      <w:r>
        <w:rPr>
          <w:rFonts w:hint="eastAsia" w:ascii="仿宋" w:hAnsi="仿宋" w:eastAsia="仿宋" w:cs="仿宋"/>
          <w:color w:val="auto"/>
          <w:kern w:val="0"/>
          <w:sz w:val="24"/>
          <w:szCs w:val="24"/>
          <w:highlight w:val="none"/>
        </w:rPr>
        <w:t>，作为投标文件的组成部分。</w:t>
      </w:r>
    </w:p>
    <w:p w14:paraId="61B6210A">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17.2.2投标人在投标截止期后不得修改、撤回投标文件。</w:t>
      </w:r>
      <w:r>
        <w:rPr>
          <w:rFonts w:hint="eastAsia" w:ascii="仿宋" w:hAnsi="仿宋" w:eastAsia="仿宋" w:cs="仿宋"/>
          <w:b/>
          <w:color w:val="auto"/>
          <w:kern w:val="0"/>
          <w:sz w:val="24"/>
          <w:szCs w:val="24"/>
          <w:highlight w:val="none"/>
        </w:rPr>
        <w:t>投标人在投标截止期后修改投标文件的，其投标无效。</w:t>
      </w:r>
    </w:p>
    <w:p w14:paraId="0AFA1A74">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17.2.3若供应商在规定的时间内（“投标人须知前附表”中</w:t>
      </w:r>
      <w:r>
        <w:rPr>
          <w:rFonts w:hint="eastAsia" w:ascii="仿宋" w:hAnsi="仿宋" w:eastAsia="仿宋" w:cs="仿宋"/>
          <w:b/>
          <w:bCs/>
          <w:color w:val="auto"/>
          <w:kern w:val="0"/>
          <w:sz w:val="24"/>
          <w:szCs w:val="24"/>
          <w:highlight w:val="none"/>
          <w:lang w:eastAsia="zh-CN"/>
        </w:rPr>
        <w:t>的</w:t>
      </w:r>
      <w:r>
        <w:rPr>
          <w:rFonts w:hint="eastAsia" w:ascii="仿宋" w:hAnsi="仿宋" w:eastAsia="仿宋" w:cs="仿宋"/>
          <w:b/>
          <w:bCs/>
          <w:color w:val="auto"/>
          <w:kern w:val="0"/>
          <w:sz w:val="24"/>
          <w:szCs w:val="24"/>
          <w:highlight w:val="none"/>
        </w:rPr>
        <w:t>规定）未能解密的，也将被视为供应商对其投标文件的撤回。</w:t>
      </w:r>
    </w:p>
    <w:p w14:paraId="46AC8055">
      <w:pPr>
        <w:numPr>
          <w:ilvl w:val="0"/>
          <w:numId w:val="0"/>
        </w:numPr>
        <w:spacing w:line="360" w:lineRule="auto"/>
        <w:jc w:val="center"/>
        <w:outlineLvl w:val="2"/>
        <w:rPr>
          <w:rFonts w:hint="eastAsia" w:ascii="仿宋" w:hAnsi="仿宋" w:eastAsia="仿宋" w:cs="仿宋"/>
          <w:b/>
          <w:color w:val="auto"/>
          <w:sz w:val="28"/>
          <w:szCs w:val="28"/>
          <w:highlight w:val="none"/>
        </w:rPr>
      </w:pPr>
      <w:bookmarkStart w:id="54" w:name="_Toc17234"/>
      <w:bookmarkStart w:id="55" w:name="_Toc18548"/>
      <w:r>
        <w:rPr>
          <w:rFonts w:hint="eastAsia" w:ascii="仿宋" w:hAnsi="仿宋" w:eastAsia="仿宋" w:cs="仿宋"/>
          <w:b/>
          <w:color w:val="auto"/>
          <w:sz w:val="28"/>
          <w:szCs w:val="28"/>
          <w:highlight w:val="none"/>
          <w:lang w:eastAsia="zh-CN"/>
        </w:rPr>
        <w:t>五、</w:t>
      </w:r>
      <w:r>
        <w:rPr>
          <w:rFonts w:hint="eastAsia" w:ascii="仿宋" w:hAnsi="仿宋" w:eastAsia="仿宋" w:cs="仿宋"/>
          <w:b/>
          <w:color w:val="auto"/>
          <w:sz w:val="28"/>
          <w:szCs w:val="28"/>
          <w:highlight w:val="none"/>
        </w:rPr>
        <w:t>开   标</w:t>
      </w:r>
      <w:bookmarkEnd w:id="54"/>
      <w:bookmarkEnd w:id="55"/>
    </w:p>
    <w:p w14:paraId="5791F5AF">
      <w:pPr>
        <w:spacing w:line="360" w:lineRule="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kern w:val="0"/>
          <w:sz w:val="24"/>
          <w:szCs w:val="24"/>
          <w:highlight w:val="none"/>
        </w:rPr>
        <w:t>8</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开标</w:t>
      </w:r>
    </w:p>
    <w:p w14:paraId="08E3404E">
      <w:pPr>
        <w:spacing w:line="360" w:lineRule="auto"/>
        <w:rPr>
          <w:rFonts w:hint="eastAsia" w:ascii="仿宋" w:hAnsi="仿宋" w:eastAsia="仿宋" w:cs="仿宋"/>
          <w:b w:val="0"/>
          <w:bCs w:val="0"/>
          <w:color w:val="auto"/>
          <w:kern w:val="0"/>
          <w:sz w:val="24"/>
          <w:szCs w:val="24"/>
          <w:highlight w:val="none"/>
        </w:rPr>
      </w:pPr>
      <w:bookmarkStart w:id="56" w:name="_Toc12791"/>
      <w:bookmarkStart w:id="57" w:name="_Toc11241"/>
      <w:r>
        <w:rPr>
          <w:rFonts w:hint="eastAsia" w:ascii="仿宋" w:hAnsi="仿宋" w:eastAsia="仿宋" w:cs="仿宋"/>
          <w:b w:val="0"/>
          <w:bCs w:val="0"/>
          <w:color w:val="auto"/>
          <w:kern w:val="0"/>
          <w:sz w:val="24"/>
          <w:szCs w:val="24"/>
          <w:highlight w:val="none"/>
        </w:rPr>
        <w:t>18.1. 开标</w:t>
      </w:r>
    </w:p>
    <w:p w14:paraId="31DE3030">
      <w:pPr>
        <w:spacing w:line="360" w:lineRule="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18.1.1 本次采用不见面方式网上开标。</w:t>
      </w:r>
    </w:p>
    <w:p w14:paraId="327F9B0F">
      <w:pPr>
        <w:spacing w:line="360" w:lineRule="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18.1.2开标由招标代理机构主持，招标人、投标人和有关方面代表参加。</w:t>
      </w:r>
    </w:p>
    <w:p w14:paraId="12775C44">
      <w:pPr>
        <w:spacing w:line="360" w:lineRule="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18.1.3开标时，由采购代理机构工作人员当众在不见面开标大厅解密，宣布投标人名称、投标价格和招标文件规定的需要宣布的其他内容。投标人不足3家的，不得开标。</w:t>
      </w:r>
    </w:p>
    <w:p w14:paraId="77AE899C">
      <w:pPr>
        <w:spacing w:line="360" w:lineRule="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 xml:space="preserve">18.1.4开标时，投标报价以系统显示投标报价为准。 </w:t>
      </w:r>
    </w:p>
    <w:p w14:paraId="56B5842A">
      <w:pPr>
        <w:spacing w:line="360" w:lineRule="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18.1.5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158B274B">
      <w:pPr>
        <w:spacing w:line="360" w:lineRule="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18.1.6投标人代表在开标过程中未提出异议的，视为认可本次开标及开标过程的全部事宜。</w:t>
      </w:r>
    </w:p>
    <w:p w14:paraId="6457CCE5">
      <w:pPr>
        <w:numPr>
          <w:ilvl w:val="0"/>
          <w:numId w:val="0"/>
        </w:numPr>
        <w:spacing w:line="360" w:lineRule="auto"/>
        <w:jc w:val="center"/>
        <w:outlineLvl w:val="2"/>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eastAsia="zh-CN"/>
        </w:rPr>
        <w:t>六、</w:t>
      </w:r>
      <w:r>
        <w:rPr>
          <w:rFonts w:hint="eastAsia" w:ascii="仿宋" w:hAnsi="仿宋" w:eastAsia="仿宋" w:cs="仿宋"/>
          <w:b/>
          <w:bCs/>
          <w:color w:val="auto"/>
          <w:kern w:val="0"/>
          <w:sz w:val="28"/>
          <w:szCs w:val="28"/>
          <w:highlight w:val="none"/>
        </w:rPr>
        <w:t>评标、定标</w:t>
      </w:r>
      <w:bookmarkEnd w:id="56"/>
      <w:bookmarkEnd w:id="57"/>
    </w:p>
    <w:p w14:paraId="6B9CA137">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19、评标</w:t>
      </w:r>
    </w:p>
    <w:p w14:paraId="74E2FC2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19.1  评标委员会  </w:t>
      </w:r>
    </w:p>
    <w:p w14:paraId="49E3101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19.1.1 评标委员会或评标小组（以下简称评标委员会）的评标工作由招标单位负责组织，具体评标事务由评标委员会负责，并独立履行其法规规定的职责。</w:t>
      </w:r>
    </w:p>
    <w:p w14:paraId="10B8A9A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19.1.2 评标委员会由招标人和专家库中熟悉相关技术的专家组成，成员人数为</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人以上（含</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人）的单数，其中熟悉相关技术方面的专家不得少于成员总数的三之二。评标委员会设负责人的，评标委员会负责人由评标委员会推举产生或者由招标人确定。评标委员会负责人与评标委员会的其他成员有同等的表决权。开标前随机抽取确定，并在招标结果确定前保密。</w:t>
      </w:r>
    </w:p>
    <w:p w14:paraId="3DB3A2E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19.1.3  评标委员会或评标小组负责具体的评标事务，并独立履行以下职责：</w:t>
      </w:r>
    </w:p>
    <w:p w14:paraId="7741ED0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19.1.3.1 审查投标文件是否符合招标文件的要求，并作出评价；</w:t>
      </w:r>
    </w:p>
    <w:p w14:paraId="4092831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19.1.3.2 可以要求投标供应商对投标文件有关事项作出解释或澄清；</w:t>
      </w:r>
    </w:p>
    <w:p w14:paraId="52F2482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19.1.3.3 推荐中标候选供应商名单，或者受招标人委托按照事先确定的最低价的评标办法直接确定中标人；</w:t>
      </w:r>
    </w:p>
    <w:p w14:paraId="17E8DAE4">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19.1.3.4 向招标单位或者有关部门报告非法干预评标工作的行为。</w:t>
      </w:r>
    </w:p>
    <w:p w14:paraId="4C600FB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评标委员会成员应当履行下列义务：</w:t>
      </w:r>
    </w:p>
    <w:p w14:paraId="1BF5C66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.1 遵纪守法，客观、公正、廉洁地履行职责；</w:t>
      </w:r>
    </w:p>
    <w:p w14:paraId="722B8D5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.2 按照招标文件规定的评标办法和评标标准进行评标，对评审意见承担个人责任；</w:t>
      </w:r>
    </w:p>
    <w:p w14:paraId="5D8FD03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.3 对评标过程和结果，以及投标人的商业秘密保密；</w:t>
      </w:r>
    </w:p>
    <w:p w14:paraId="0984C4F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.4 参与评标报告的起草；</w:t>
      </w:r>
    </w:p>
    <w:p w14:paraId="3653963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.5 配合财政部门的投诉处理工作；</w:t>
      </w:r>
    </w:p>
    <w:p w14:paraId="2EF4C14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.6 配合招标单位答复投标供应商提出的质疑。</w:t>
      </w:r>
    </w:p>
    <w:p w14:paraId="7CFD8362">
      <w:pPr>
        <w:spacing w:line="360" w:lineRule="auto"/>
        <w:ind w:left="479" w:leftChars="228" w:firstLine="0" w:firstLineChars="0"/>
        <w:rPr>
          <w:rFonts w:hint="eastAsia" w:ascii="仿宋" w:hAnsi="仿宋" w:eastAsia="仿宋" w:cs="仿宋"/>
          <w:b/>
          <w:bCs/>
          <w:color w:val="auto"/>
          <w:kern w:val="0"/>
          <w:sz w:val="24"/>
          <w:szCs w:val="24"/>
          <w:highlight w:val="none"/>
        </w:rPr>
      </w:pPr>
      <w:r>
        <w:rPr>
          <w:rFonts w:hint="eastAsia" w:ascii="仿宋" w:hAnsi="仿宋" w:eastAsia="仿宋" w:cs="仿宋"/>
          <w:color w:val="auto"/>
          <w:sz w:val="24"/>
          <w:szCs w:val="24"/>
          <w:highlight w:val="none"/>
        </w:rPr>
        <w:t>19.2按国家计委等七部委颁发的《评标委员会和评标方法暂行规定》，结合本</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特点，</w:t>
      </w:r>
      <w:r>
        <w:rPr>
          <w:rFonts w:hint="eastAsia" w:ascii="仿宋" w:hAnsi="仿宋" w:eastAsia="仿宋" w:cs="仿宋"/>
          <w:b/>
          <w:bCs/>
          <w:color w:val="auto"/>
          <w:kern w:val="0"/>
          <w:sz w:val="24"/>
          <w:szCs w:val="24"/>
          <w:highlight w:val="none"/>
        </w:rPr>
        <w:t>本项目采用综合评分法，综合评分因素的主要因素为价格、技术、信誉、业绩、服务以及对招标文件的响应程度等。每一投标人的最终得分为所有评委评分的算数平均值。（总分100分：其中商务部分和技术部分占</w:t>
      </w:r>
      <w:r>
        <w:rPr>
          <w:rFonts w:hint="eastAsia" w:ascii="仿宋" w:hAnsi="仿宋" w:eastAsia="仿宋" w:cs="仿宋"/>
          <w:b/>
          <w:bCs/>
          <w:color w:val="auto"/>
          <w:kern w:val="0"/>
          <w:sz w:val="24"/>
          <w:szCs w:val="24"/>
          <w:highlight w:val="none"/>
          <w:lang w:val="en-US" w:eastAsia="zh-CN"/>
        </w:rPr>
        <w:t>7</w:t>
      </w:r>
      <w:r>
        <w:rPr>
          <w:rFonts w:hint="eastAsia" w:ascii="仿宋" w:hAnsi="仿宋" w:eastAsia="仿宋" w:cs="仿宋"/>
          <w:b/>
          <w:bCs/>
          <w:color w:val="auto"/>
          <w:kern w:val="0"/>
          <w:sz w:val="24"/>
          <w:szCs w:val="24"/>
          <w:highlight w:val="none"/>
        </w:rPr>
        <w:t>0分，投标报价占</w:t>
      </w:r>
      <w:r>
        <w:rPr>
          <w:rFonts w:hint="eastAsia" w:ascii="仿宋" w:hAnsi="仿宋" w:eastAsia="仿宋" w:cs="仿宋"/>
          <w:b/>
          <w:bCs/>
          <w:color w:val="auto"/>
          <w:kern w:val="0"/>
          <w:sz w:val="24"/>
          <w:szCs w:val="24"/>
          <w:highlight w:val="none"/>
          <w:lang w:val="en-US" w:eastAsia="zh-CN"/>
        </w:rPr>
        <w:t>3</w:t>
      </w:r>
      <w:r>
        <w:rPr>
          <w:rFonts w:hint="eastAsia" w:ascii="仿宋" w:hAnsi="仿宋" w:eastAsia="仿宋" w:cs="仿宋"/>
          <w:b/>
          <w:bCs/>
          <w:color w:val="auto"/>
          <w:kern w:val="0"/>
          <w:sz w:val="24"/>
          <w:szCs w:val="24"/>
          <w:highlight w:val="none"/>
        </w:rPr>
        <w:t>0分），最终合计得分最高的投标人作为第一中标候选人，以此类推确定第二、第三中标候选人。</w:t>
      </w:r>
    </w:p>
    <w:p w14:paraId="17C0C73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 评标的依据为招标文件和投标文件。</w:t>
      </w:r>
    </w:p>
    <w:p w14:paraId="362E347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19.4 评标过程的保密性。开标后，直到授予投标人合同为止，凡是属于审查、澄清、评价和比较的有关资料以及授标建议等均不得向投标人或其他无关的人员透露。</w:t>
      </w:r>
    </w:p>
    <w:p w14:paraId="73478ED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19.5 投标人在评标过程中所进行的试图影响评标结果、有悖于招标规则的活动，可能导致取消其中标资格。</w:t>
      </w:r>
    </w:p>
    <w:p w14:paraId="7F1AF6F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19.6 与招标文件有重大偏离的投标文件将被拒绝。且此重大偏离在开标后不许修改。</w:t>
      </w:r>
    </w:p>
    <w:p w14:paraId="66620CA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评标委员会应当审查每一投标文件是否对招标文件提出的所有实质性要求和条件作出响应。未能在实质上响应招标的投标，将作</w:t>
      </w:r>
      <w:r>
        <w:rPr>
          <w:rFonts w:hint="eastAsia" w:ascii="仿宋" w:hAnsi="仿宋" w:eastAsia="仿宋" w:cs="仿宋"/>
          <w:color w:val="auto"/>
          <w:sz w:val="24"/>
          <w:szCs w:val="24"/>
          <w:highlight w:val="none"/>
          <w:lang w:val="en-US" w:eastAsia="zh-CN"/>
        </w:rPr>
        <w:t>否决投标</w:t>
      </w:r>
      <w:r>
        <w:rPr>
          <w:rFonts w:hint="eastAsia" w:ascii="仿宋" w:hAnsi="仿宋" w:eastAsia="仿宋" w:cs="仿宋"/>
          <w:color w:val="auto"/>
          <w:sz w:val="24"/>
          <w:szCs w:val="24"/>
          <w:highlight w:val="none"/>
        </w:rPr>
        <w:t>处理。</w:t>
      </w:r>
    </w:p>
    <w:p w14:paraId="11AE809F">
      <w:pPr>
        <w:pStyle w:val="153"/>
        <w:spacing w:line="360" w:lineRule="auto"/>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20、</w:t>
      </w:r>
      <w:r>
        <w:rPr>
          <w:rFonts w:hint="eastAsia" w:ascii="仿宋" w:hAnsi="仿宋" w:eastAsia="仿宋" w:cs="仿宋"/>
          <w:b/>
          <w:bCs/>
          <w:color w:val="auto"/>
          <w:sz w:val="24"/>
          <w:szCs w:val="24"/>
          <w:highlight w:val="none"/>
        </w:rPr>
        <w:t>投标人资格审查和投标文件符合性审查</w:t>
      </w:r>
    </w:p>
    <w:p w14:paraId="7A5398EB">
      <w:pPr>
        <w:pStyle w:val="15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1投标人资格审查指依据法律、法规和招标文件的规定，对投标文件中的资格、资信证明等进行审查，以确定投标人是否具备投标资格；投标文件符合性审查指依据招标文件的规定，从投标文件的有效性、完整性和对招标文件的响应程度进行审查，以确定是否对招标文件的实质性要求作出响应。</w:t>
      </w:r>
    </w:p>
    <w:p w14:paraId="72FA0EE8">
      <w:pPr>
        <w:pStyle w:val="15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.2投标人未通过资格审查的不得进入投标文件符合性审查；投标人未通过符合性审查的，不得进入投标文件的综合比较与评价。</w:t>
      </w:r>
    </w:p>
    <w:p w14:paraId="3AB8A93F">
      <w:pPr>
        <w:pStyle w:val="15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3如本项目使用最低评标价法，提供相同品牌相同规格类型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w:t>
      </w:r>
      <w:r>
        <w:rPr>
          <w:rFonts w:hint="eastAsia" w:ascii="仿宋" w:hAnsi="仿宋" w:eastAsia="仿宋" w:cs="仿宋"/>
          <w:b/>
          <w:bCs/>
          <w:color w:val="auto"/>
          <w:sz w:val="24"/>
          <w:szCs w:val="24"/>
          <w:highlight w:val="none"/>
        </w:rPr>
        <w:t>其他投标无效</w:t>
      </w:r>
      <w:r>
        <w:rPr>
          <w:rFonts w:hint="eastAsia" w:ascii="仿宋" w:hAnsi="仿宋" w:eastAsia="仿宋" w:cs="仿宋"/>
          <w:bCs/>
          <w:color w:val="auto"/>
          <w:sz w:val="24"/>
          <w:szCs w:val="24"/>
          <w:highlight w:val="none"/>
        </w:rPr>
        <w:t>。</w:t>
      </w:r>
    </w:p>
    <w:p w14:paraId="0A2C6C3F">
      <w:pPr>
        <w:pStyle w:val="15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4如本项目使用综合评分法，提供相同品牌相同规格类型产品且通过资格审查、符合性审查的不同投标人，按一家投标人计算，评审后得分最高的同品牌同规格类型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14:paraId="329C829B">
      <w:pPr>
        <w:pStyle w:val="15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.5如一个分包内包含多种产品的，采购人或采购代理机构将在</w:t>
      </w:r>
      <w:r>
        <w:rPr>
          <w:rFonts w:hint="eastAsia" w:ascii="仿宋" w:hAnsi="仿宋" w:eastAsia="仿宋" w:cs="仿宋"/>
          <w:bCs/>
          <w:color w:val="auto"/>
          <w:sz w:val="24"/>
          <w:szCs w:val="24"/>
          <w:highlight w:val="none"/>
          <w:u w:val="none"/>
        </w:rPr>
        <w:t>投标人须知前附表中</w:t>
      </w:r>
      <w:r>
        <w:rPr>
          <w:rFonts w:hint="eastAsia" w:ascii="仿宋" w:hAnsi="仿宋" w:eastAsia="仿宋" w:cs="仿宋"/>
          <w:bCs/>
          <w:color w:val="auto"/>
          <w:sz w:val="24"/>
          <w:szCs w:val="24"/>
          <w:highlight w:val="none"/>
        </w:rPr>
        <w:t>载明核心产品，多家投标人提供的所有核心产品品牌均相同的， 按相关条规定处理。</w:t>
      </w:r>
    </w:p>
    <w:p w14:paraId="1C2BACBA">
      <w:pPr>
        <w:pStyle w:val="15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6投标人所投产品如被列入财政部与国家主管部门颁发的节能产品目录或环境标志产品目录，应提供相关证明，在评标时予以优先采购，具体优先采购办法见第五章评标方法和标准。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rPr>
        <w:t>无效投标</w:t>
      </w:r>
      <w:r>
        <w:rPr>
          <w:rFonts w:hint="eastAsia" w:ascii="仿宋" w:hAnsi="仿宋" w:eastAsia="仿宋" w:cs="仿宋"/>
          <w:bCs/>
          <w:color w:val="auto"/>
          <w:sz w:val="24"/>
          <w:szCs w:val="24"/>
          <w:highlight w:val="none"/>
        </w:rPr>
        <w:t>被拒绝。</w:t>
      </w:r>
    </w:p>
    <w:p w14:paraId="447BCAEB">
      <w:pPr>
        <w:pStyle w:val="15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.7</w:t>
      </w:r>
      <w:r>
        <w:rPr>
          <w:rFonts w:hint="eastAsia" w:ascii="仿宋" w:hAnsi="仿宋" w:eastAsia="仿宋" w:cs="仿宋"/>
          <w:color w:val="auto"/>
          <w:sz w:val="24"/>
          <w:szCs w:val="24"/>
          <w:highlight w:val="none"/>
        </w:rPr>
        <w:t>投标人不良信用记录以采购人或采购代理机构查询结果为准。</w:t>
      </w:r>
    </w:p>
    <w:p w14:paraId="6ECA5F97">
      <w:pPr>
        <w:pStyle w:val="15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.8</w:t>
      </w:r>
      <w:r>
        <w:rPr>
          <w:rFonts w:hint="eastAsia" w:ascii="仿宋" w:hAnsi="仿宋" w:eastAsia="仿宋" w:cs="仿宋"/>
          <w:b/>
          <w:color w:val="auto"/>
          <w:sz w:val="24"/>
          <w:szCs w:val="24"/>
          <w:highlight w:val="none"/>
        </w:rPr>
        <w:t>资格审查</w:t>
      </w:r>
      <w:r>
        <w:rPr>
          <w:rFonts w:hint="eastAsia" w:ascii="仿宋" w:hAnsi="仿宋" w:eastAsia="仿宋" w:cs="仿宋"/>
          <w:b/>
          <w:color w:val="auto"/>
          <w:sz w:val="24"/>
          <w:szCs w:val="24"/>
          <w:highlight w:val="none"/>
          <w:lang w:val="en-US" w:eastAsia="zh-CN"/>
        </w:rPr>
        <w:t>及</w:t>
      </w:r>
      <w:r>
        <w:rPr>
          <w:rFonts w:hint="eastAsia" w:ascii="仿宋" w:hAnsi="仿宋" w:eastAsia="仿宋" w:cs="仿宋"/>
          <w:b/>
          <w:color w:val="auto"/>
          <w:sz w:val="24"/>
          <w:szCs w:val="24"/>
          <w:highlight w:val="none"/>
        </w:rPr>
        <w:t>符合性审查标准详见第</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章</w:t>
      </w:r>
      <w:r>
        <w:rPr>
          <w:rFonts w:hint="eastAsia" w:ascii="仿宋" w:hAnsi="仿宋" w:eastAsia="仿宋" w:cs="仿宋"/>
          <w:b/>
          <w:color w:val="auto"/>
          <w:sz w:val="24"/>
          <w:szCs w:val="24"/>
          <w:highlight w:val="none"/>
          <w:lang w:val="en-US" w:eastAsia="zh-CN"/>
        </w:rPr>
        <w:t>评标办法及标准</w:t>
      </w:r>
      <w:r>
        <w:rPr>
          <w:rFonts w:hint="eastAsia" w:ascii="仿宋" w:hAnsi="仿宋" w:eastAsia="仿宋" w:cs="仿宋"/>
          <w:b/>
          <w:color w:val="auto"/>
          <w:sz w:val="24"/>
          <w:szCs w:val="24"/>
          <w:highlight w:val="none"/>
        </w:rPr>
        <w:t>。</w:t>
      </w:r>
    </w:p>
    <w:p w14:paraId="2902D0F6">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21、投标文件的澄清</w:t>
      </w:r>
    </w:p>
    <w:p w14:paraId="39C9E37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 评标委员会在评标过程中有权随时请投标人就投标文件中含混之处加以澄清或答疑。</w:t>
      </w:r>
    </w:p>
    <w:p w14:paraId="33D878B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 投标人对要求澄清的问题应以书面形式明确答复，并应有法人授权代表的签署。</w:t>
      </w:r>
    </w:p>
    <w:p w14:paraId="5A830F5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 投标人的澄清文件是投标文件的组成部分，并取代投标文件中被澄清的部分。</w:t>
      </w:r>
    </w:p>
    <w:p w14:paraId="0FD452B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21.4 投标文件的澄清不得改变投标的实质内容。</w:t>
      </w:r>
    </w:p>
    <w:p w14:paraId="2FA9DF2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21.5 如果投标人在投标文件中未对招标文件中的条款或参数要求提出偏离意见或澄清将视同投标人同意招标文件的全部或部分要求。</w:t>
      </w:r>
    </w:p>
    <w:p w14:paraId="712B5831">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22、定标</w:t>
      </w:r>
    </w:p>
    <w:p w14:paraId="69CCA1D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评标委员会有权选择和拒绝投标人中标，且无需向投标人进行任何有关评标的解释工作。在确定中标人之前，供应商试图在投标文件审查、澄清、比较和评标时对评标委员会、采购人和采购代理机构施加任何影响都可能导致其投标无效。</w:t>
      </w:r>
    </w:p>
    <w:p w14:paraId="063770C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 招标人根据评标委员会的评标报告，应以排名第一的中标候选人为中标人。排名第一的中标候选人放弃中标或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14:paraId="14B50DFE">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23、中标的标准</w:t>
      </w:r>
    </w:p>
    <w:p w14:paraId="06416BC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 资格审查文件完整无缺；</w:t>
      </w:r>
    </w:p>
    <w:p w14:paraId="05A0037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 已交纳投标保证金；</w:t>
      </w:r>
    </w:p>
    <w:p w14:paraId="2CD089A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 报价合理，承诺条件优惠；</w:t>
      </w:r>
    </w:p>
    <w:p w14:paraId="7C553FA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23.4 投标文件与招标文件无重大偏离；</w:t>
      </w:r>
    </w:p>
    <w:p w14:paraId="495DB10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23.5 有较强的技术力量，能提供完善的技术服务；</w:t>
      </w:r>
    </w:p>
    <w:p w14:paraId="3EABD31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23.6 其他；</w:t>
      </w:r>
    </w:p>
    <w:p w14:paraId="21E4D30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14:paraId="48EE928D">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24、中标通知</w:t>
      </w:r>
    </w:p>
    <w:p w14:paraId="15AE45E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 评标结束后，招标人将当众宣布评标结果，并在“新疆政府采购网”（网址：http://www.ccgp-xinjiang.gov.cn/）上予以</w:t>
      </w:r>
      <w:r>
        <w:rPr>
          <w:rFonts w:hint="eastAsia" w:ascii="仿宋" w:hAnsi="仿宋" w:eastAsia="仿宋" w:cs="仿宋"/>
          <w:color w:val="auto"/>
          <w:sz w:val="24"/>
          <w:szCs w:val="24"/>
          <w:highlight w:val="none"/>
          <w:lang w:val="en-US" w:eastAsia="zh-CN"/>
        </w:rPr>
        <w:t>公示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公示期</w:t>
      </w:r>
      <w:r>
        <w:rPr>
          <w:rFonts w:hint="eastAsia" w:ascii="仿宋" w:hAnsi="仿宋" w:eastAsia="仿宋" w:cs="仿宋"/>
          <w:color w:val="auto"/>
          <w:sz w:val="24"/>
          <w:szCs w:val="24"/>
          <w:highlight w:val="none"/>
        </w:rPr>
        <w:t>1个工作日；</w:t>
      </w:r>
    </w:p>
    <w:p w14:paraId="28056D1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 招标代理机构根据定标结果，在投标有效期届满前，以书面形式向中标单位发出中标通知书。</w:t>
      </w:r>
    </w:p>
    <w:p w14:paraId="1ED2E36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 招标代理机构将定标结果及时通知未中标单位并退还投标保证金。无需解释落标原因。</w:t>
      </w:r>
    </w:p>
    <w:p w14:paraId="5F688CA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 招标人有权在定标之前拒绝任何有不正当行为或扰乱正常招标工作的投标人，由此对投标人造成的损失不负任何责任，同时对此无需做任何解释。</w:t>
      </w:r>
    </w:p>
    <w:p w14:paraId="31E6E3BF">
      <w:pPr>
        <w:widowControl/>
        <w:spacing w:line="360" w:lineRule="auto"/>
        <w:ind w:firstLine="236" w:firstLineChars="98"/>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rPr>
        <w:t xml:space="preserve">  </w:t>
      </w:r>
      <w:r>
        <w:rPr>
          <w:rFonts w:hint="eastAsia" w:ascii="仿宋" w:hAnsi="仿宋" w:eastAsia="仿宋" w:cs="仿宋"/>
          <w:b w:val="0"/>
          <w:bCs/>
          <w:color w:val="auto"/>
          <w:kern w:val="0"/>
          <w:sz w:val="24"/>
          <w:szCs w:val="24"/>
          <w:highlight w:val="none"/>
        </w:rPr>
        <w:t>25、</w:t>
      </w:r>
      <w:r>
        <w:rPr>
          <w:rFonts w:hint="eastAsia" w:ascii="仿宋" w:hAnsi="仿宋" w:eastAsia="仿宋" w:cs="仿宋"/>
          <w:b w:val="0"/>
          <w:bCs/>
          <w:color w:val="auto"/>
          <w:sz w:val="24"/>
          <w:szCs w:val="24"/>
          <w:highlight w:val="none"/>
        </w:rPr>
        <w:t>付款方式</w:t>
      </w:r>
      <w:r>
        <w:rPr>
          <w:rFonts w:hint="eastAsia" w:ascii="仿宋" w:hAnsi="仿宋" w:eastAsia="仿宋" w:cs="仿宋"/>
          <w:b w:val="0"/>
          <w:bCs/>
          <w:color w:val="auto"/>
          <w:kern w:val="0"/>
          <w:sz w:val="24"/>
          <w:szCs w:val="24"/>
          <w:highlight w:val="none"/>
        </w:rPr>
        <w:t>：</w:t>
      </w:r>
      <w:r>
        <w:rPr>
          <w:rFonts w:hint="eastAsia" w:ascii="仿宋" w:hAnsi="仿宋" w:eastAsia="仿宋" w:cs="仿宋"/>
          <w:b w:val="0"/>
          <w:bCs/>
          <w:color w:val="auto"/>
          <w:sz w:val="24"/>
          <w:szCs w:val="24"/>
          <w:highlight w:val="none"/>
          <w:lang w:val="en-US" w:eastAsia="zh-CN"/>
        </w:rPr>
        <w:t>与甲方签订合同为准</w:t>
      </w:r>
      <w:r>
        <w:rPr>
          <w:rFonts w:hint="eastAsia" w:ascii="仿宋" w:hAnsi="仿宋" w:eastAsia="仿宋" w:cs="仿宋"/>
          <w:b w:val="0"/>
          <w:bCs/>
          <w:color w:val="auto"/>
          <w:kern w:val="0"/>
          <w:sz w:val="24"/>
          <w:szCs w:val="24"/>
          <w:highlight w:val="none"/>
          <w:lang w:val="en-US" w:eastAsia="zh-CN"/>
        </w:rPr>
        <w:t>。</w:t>
      </w:r>
    </w:p>
    <w:p w14:paraId="5B3D2B62">
      <w:pPr>
        <w:numPr>
          <w:ilvl w:val="0"/>
          <w:numId w:val="0"/>
        </w:numPr>
        <w:spacing w:line="600" w:lineRule="auto"/>
        <w:jc w:val="center"/>
        <w:outlineLvl w:val="2"/>
        <w:rPr>
          <w:rFonts w:hint="eastAsia" w:ascii="仿宋" w:hAnsi="仿宋" w:eastAsia="仿宋" w:cs="仿宋"/>
          <w:b/>
          <w:color w:val="auto"/>
          <w:sz w:val="28"/>
          <w:szCs w:val="28"/>
          <w:highlight w:val="none"/>
        </w:rPr>
      </w:pPr>
      <w:bookmarkStart w:id="58" w:name="_Toc24055"/>
      <w:bookmarkStart w:id="59" w:name="_Toc4609"/>
      <w:r>
        <w:rPr>
          <w:rFonts w:hint="eastAsia" w:ascii="仿宋" w:hAnsi="仿宋" w:eastAsia="仿宋" w:cs="仿宋"/>
          <w:b/>
          <w:color w:val="auto"/>
          <w:sz w:val="28"/>
          <w:szCs w:val="28"/>
          <w:highlight w:val="none"/>
          <w:lang w:eastAsia="zh-CN"/>
        </w:rPr>
        <w:t>七、</w:t>
      </w:r>
      <w:r>
        <w:rPr>
          <w:rFonts w:hint="eastAsia" w:ascii="仿宋" w:hAnsi="仿宋" w:eastAsia="仿宋" w:cs="仿宋"/>
          <w:b/>
          <w:color w:val="auto"/>
          <w:sz w:val="28"/>
          <w:szCs w:val="28"/>
          <w:highlight w:val="none"/>
        </w:rPr>
        <w:t>签定合同</w:t>
      </w:r>
      <w:bookmarkEnd w:id="58"/>
      <w:bookmarkEnd w:id="59"/>
    </w:p>
    <w:p w14:paraId="677AF184">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26、签定合同</w:t>
      </w:r>
    </w:p>
    <w:p w14:paraId="376F6285">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26.1 中标人依据《中标通知书》与采购人签订采购合同，签订时间为《中标通知书》发出之日起</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日内</w:t>
      </w:r>
      <w:r>
        <w:rPr>
          <w:rFonts w:hint="eastAsia" w:ascii="仿宋" w:hAnsi="仿宋" w:eastAsia="仿宋" w:cs="仿宋"/>
          <w:color w:val="auto"/>
          <w:sz w:val="24"/>
          <w:szCs w:val="24"/>
          <w:highlight w:val="none"/>
          <w:lang w:eastAsia="zh-CN"/>
        </w:rPr>
        <w:t>。</w:t>
      </w:r>
    </w:p>
    <w:p w14:paraId="6F9B6AA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26.2 中标合同不得转让。合同分包需在投标文件中予以说明，并需经招标人同意。否则，招标人有权取消中标人的中标资格。</w:t>
      </w:r>
    </w:p>
    <w:p w14:paraId="32141F7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26.3 招标人如遇中标人违约，可从侯选中标人中重新选定中标人，并签定经济合同。</w:t>
      </w:r>
    </w:p>
    <w:p w14:paraId="5F6FDAB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26.4 合同的制订由招标人、中标人、招标代理机构三方参加，为确保合同双方的利益均等，由招标代理机构在合同制订过程中进行协调。</w:t>
      </w:r>
    </w:p>
    <w:p w14:paraId="65EE2894">
      <w:pPr>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26.5 合同需经招标人、中标人双方签字盖章后即生效。招标人、中标人亦可自愿申请公证。</w:t>
      </w:r>
    </w:p>
    <w:p w14:paraId="4578FC45">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27、合同的组成</w:t>
      </w:r>
    </w:p>
    <w:p w14:paraId="2740B41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 下列文件均为合同不可分割部分：</w:t>
      </w:r>
    </w:p>
    <w:p w14:paraId="69B7337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27.1.1 专用合同；</w:t>
      </w:r>
    </w:p>
    <w:p w14:paraId="259D466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27.1.2 合同条款；</w:t>
      </w:r>
    </w:p>
    <w:p w14:paraId="4A04983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27.1.3 中标通知书；</w:t>
      </w:r>
    </w:p>
    <w:p w14:paraId="73C94F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27.1.4 乙方中标的投标文件；</w:t>
      </w:r>
    </w:p>
    <w:p w14:paraId="02438E6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27.1.5 招标文件；</w:t>
      </w:r>
    </w:p>
    <w:p w14:paraId="20E1DC6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27.1.6 评标答疑记录。</w:t>
      </w:r>
    </w:p>
    <w:p w14:paraId="79F893F0">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28、履约保证金</w:t>
      </w:r>
    </w:p>
    <w:p w14:paraId="3A5DB8E1">
      <w:pPr>
        <w:pStyle w:val="16"/>
        <w:overflowPunct w:val="0"/>
        <w:spacing w:line="360" w:lineRule="auto"/>
        <w:ind w:firstLine="0"/>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 xml:space="preserve">     28.1 </w:t>
      </w:r>
      <w:r>
        <w:rPr>
          <w:rFonts w:hint="eastAsia" w:ascii="仿宋" w:hAnsi="仿宋" w:eastAsia="仿宋" w:cs="仿宋"/>
          <w:color w:val="auto"/>
          <w:sz w:val="24"/>
          <w:szCs w:val="24"/>
          <w:highlight w:val="none"/>
          <w:lang w:val="en-US" w:eastAsia="zh-CN"/>
        </w:rPr>
        <w:t>根据《中华人民共和国政府采购法实施条例》第四十八条  履约保证金的数额不得超过政府采购合同金额的10%，中标人与招标人签订合同前提交履约保证金，具体缴纳金额中标人与招标人签订合同前约定。</w:t>
      </w:r>
      <w:r>
        <w:rPr>
          <w:rFonts w:hint="eastAsia" w:ascii="仿宋" w:hAnsi="仿宋" w:eastAsia="仿宋" w:cs="仿宋"/>
          <w:color w:val="auto"/>
          <w:sz w:val="24"/>
          <w:szCs w:val="24"/>
          <w:lang w:val="en-US" w:eastAsia="zh-CN"/>
        </w:rPr>
        <w:t>如</w:t>
      </w:r>
      <w:r>
        <w:rPr>
          <w:rFonts w:hint="eastAsia" w:ascii="仿宋" w:hAnsi="仿宋" w:eastAsia="仿宋" w:cs="仿宋"/>
          <w:color w:val="auto"/>
          <w:sz w:val="24"/>
          <w:szCs w:val="24"/>
          <w:highlight w:val="none"/>
          <w:lang w:val="en-US" w:eastAsia="zh-CN"/>
        </w:rPr>
        <w:t>中标人</w:t>
      </w:r>
      <w:r>
        <w:rPr>
          <w:rFonts w:hint="eastAsia" w:ascii="仿宋" w:hAnsi="仿宋" w:eastAsia="仿宋" w:cs="仿宋"/>
          <w:color w:val="auto"/>
          <w:sz w:val="24"/>
          <w:szCs w:val="24"/>
          <w:lang w:val="en-US" w:eastAsia="zh-CN"/>
        </w:rPr>
        <w:t>未按招标文件及合同规定</w:t>
      </w:r>
      <w:r>
        <w:rPr>
          <w:rFonts w:hint="eastAsia" w:ascii="仿宋" w:hAnsi="仿宋" w:eastAsia="仿宋" w:cs="仿宋"/>
          <w:color w:val="auto"/>
          <w:kern w:val="0"/>
          <w:sz w:val="24"/>
          <w:szCs w:val="24"/>
          <w:highlight w:val="none"/>
          <w:lang w:val="en-US" w:eastAsia="zh-CN" w:bidi="ar"/>
        </w:rPr>
        <w:t>的内容、期限供货/服务、配合验收等则扣除履约保</w:t>
      </w:r>
      <w:r>
        <w:rPr>
          <w:rFonts w:hint="eastAsia" w:ascii="仿宋" w:hAnsi="仿宋" w:eastAsia="仿宋" w:cs="仿宋"/>
          <w:b w:val="0"/>
          <w:bCs w:val="0"/>
          <w:color w:val="auto"/>
          <w:kern w:val="0"/>
          <w:sz w:val="24"/>
          <w:szCs w:val="24"/>
          <w:highlight w:val="none"/>
          <w:lang w:val="en-US" w:eastAsia="zh-CN" w:bidi="ar"/>
        </w:rPr>
        <w:t>证金</w:t>
      </w:r>
      <w:r>
        <w:rPr>
          <w:rFonts w:hint="eastAsia" w:ascii="仿宋" w:hAnsi="仿宋" w:eastAsia="仿宋" w:cs="仿宋"/>
          <w:b w:val="0"/>
          <w:bCs w:val="0"/>
          <w:color w:val="auto"/>
          <w:sz w:val="24"/>
          <w:szCs w:val="24"/>
          <w:highlight w:val="none"/>
        </w:rPr>
        <w:t>。</w:t>
      </w:r>
    </w:p>
    <w:p w14:paraId="758717F8">
      <w:pPr>
        <w:pStyle w:val="16"/>
        <w:overflowPunct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28.2 履约保证金（无息）将在乙方履行完成合同所有义务后凭乙方的收款收据在五天内退返乙方。</w:t>
      </w:r>
    </w:p>
    <w:p w14:paraId="056497BA">
      <w:pPr>
        <w:numPr>
          <w:ilvl w:val="0"/>
          <w:numId w:val="0"/>
        </w:numPr>
        <w:spacing w:line="360" w:lineRule="auto"/>
        <w:jc w:val="center"/>
        <w:outlineLvl w:val="2"/>
        <w:rPr>
          <w:rFonts w:hint="eastAsia" w:ascii="仿宋" w:hAnsi="仿宋" w:eastAsia="仿宋" w:cs="仿宋"/>
          <w:b/>
          <w:bCs w:val="0"/>
          <w:color w:val="auto"/>
          <w:sz w:val="28"/>
          <w:szCs w:val="28"/>
          <w:highlight w:val="none"/>
          <w:lang w:eastAsia="zh-CN"/>
        </w:rPr>
      </w:pPr>
      <w:bookmarkStart w:id="60" w:name="_Toc18703"/>
      <w:bookmarkStart w:id="61" w:name="_Toc28496"/>
    </w:p>
    <w:p w14:paraId="4046014C">
      <w:pPr>
        <w:numPr>
          <w:ilvl w:val="0"/>
          <w:numId w:val="0"/>
        </w:numPr>
        <w:spacing w:line="360" w:lineRule="auto"/>
        <w:jc w:val="center"/>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八、</w:t>
      </w:r>
      <w:r>
        <w:rPr>
          <w:rFonts w:hint="eastAsia" w:ascii="仿宋" w:hAnsi="仿宋" w:eastAsia="仿宋" w:cs="仿宋"/>
          <w:b/>
          <w:bCs w:val="0"/>
          <w:color w:val="auto"/>
          <w:sz w:val="28"/>
          <w:szCs w:val="28"/>
          <w:highlight w:val="none"/>
        </w:rPr>
        <w:t>法律责任</w:t>
      </w:r>
    </w:p>
    <w:p w14:paraId="7465FFBD">
      <w:pPr>
        <w:spacing w:line="360" w:lineRule="auto"/>
        <w:ind w:left="714" w:leftChars="1" w:hanging="712" w:hangingChars="297"/>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29</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法律责任</w:t>
      </w:r>
    </w:p>
    <w:p w14:paraId="2C10BEEA">
      <w:pPr>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29.1</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 xml:space="preserve">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14:paraId="58C9B476">
      <w:pPr>
        <w:spacing w:line="360" w:lineRule="auto"/>
        <w:ind w:left="714" w:leftChars="1" w:hanging="712" w:hangingChars="297"/>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（一）提供虚假材料谋取中标的； </w:t>
      </w:r>
    </w:p>
    <w:p w14:paraId="327642DC">
      <w:pPr>
        <w:spacing w:line="360" w:lineRule="auto"/>
        <w:ind w:left="714" w:leftChars="1" w:hanging="712" w:hangingChars="297"/>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（二）采取不正当手段诋毁、排挤其他投标人的；</w:t>
      </w:r>
    </w:p>
    <w:p w14:paraId="04D3267A">
      <w:pPr>
        <w:spacing w:line="360" w:lineRule="auto"/>
        <w:ind w:left="714" w:leftChars="1" w:hanging="712" w:hangingChars="297"/>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（三）与招标人、采购人、其他投标人恶意串通的； </w:t>
      </w:r>
    </w:p>
    <w:p w14:paraId="70405A10">
      <w:pPr>
        <w:spacing w:line="360" w:lineRule="auto"/>
        <w:ind w:left="714" w:leftChars="1" w:hanging="712" w:hangingChars="297"/>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（四）向招标人、采购人行贿或者提供其他不正当利益的； </w:t>
      </w:r>
    </w:p>
    <w:p w14:paraId="46D03758">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（五）在招标过程中与招标人、采购人进行协商谈判、不按照招标文件、投标文件订立合同，或者与采购人另行订立背离合同实质性内容的协议的； </w:t>
      </w:r>
    </w:p>
    <w:p w14:paraId="201EF332">
      <w:pPr>
        <w:spacing w:line="360" w:lineRule="auto"/>
        <w:ind w:left="714" w:leftChars="1" w:hanging="712" w:hangingChars="297"/>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（六）拒绝有关部门监督检查或者提供虚假情况的。 </w:t>
      </w:r>
    </w:p>
    <w:p w14:paraId="4F2F8392">
      <w:pPr>
        <w:spacing w:line="360" w:lineRule="auto"/>
        <w:ind w:left="714" w:leftChars="1" w:hanging="712" w:hangingChars="297"/>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投标人有前款第（一）至（五）项情形之一的，中标无效。 </w:t>
      </w:r>
    </w:p>
    <w:p w14:paraId="395AE120">
      <w:pPr>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29.2</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中标人有下列情形之一的，招标人不予退还其交纳的投标保证金；情节严重的，由财政部门将其列入不良行为记录名单，在一至三年内禁止参加政府采购活动，并予以通报：</w:t>
      </w:r>
    </w:p>
    <w:p w14:paraId="7612B392">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（一）中标后无正当理由不与采购人签订合同的；</w:t>
      </w:r>
    </w:p>
    <w:p w14:paraId="43AF8D49">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（二）将中标项目转让给他人，或者在投标文件中未说明，且未经招标人同意，将中标项目分包给他人的；</w:t>
      </w:r>
    </w:p>
    <w:p w14:paraId="24E7EBD2">
      <w:pPr>
        <w:pStyle w:val="22"/>
        <w:tabs>
          <w:tab w:val="left" w:pos="9214"/>
        </w:tabs>
        <w:spacing w:after="0" w:line="360" w:lineRule="auto"/>
        <w:rPr>
          <w:rFonts w:hint="eastAsia" w:ascii="仿宋" w:hAnsi="仿宋" w:eastAsia="仿宋" w:cs="仿宋"/>
          <w:b/>
          <w:bCs w:val="0"/>
          <w:color w:val="auto"/>
          <w:sz w:val="24"/>
          <w:szCs w:val="24"/>
          <w:highlight w:val="none"/>
        </w:rPr>
      </w:pPr>
      <w:r>
        <w:rPr>
          <w:rFonts w:hint="eastAsia" w:ascii="仿宋" w:hAnsi="仿宋" w:eastAsia="仿宋" w:cs="仿宋"/>
          <w:b w:val="0"/>
          <w:bCs/>
          <w:color w:val="auto"/>
          <w:sz w:val="24"/>
          <w:szCs w:val="24"/>
          <w:highlight w:val="none"/>
        </w:rPr>
        <w:t xml:space="preserve">   （三）拒绝履行合同义务的。</w:t>
      </w:r>
    </w:p>
    <w:p w14:paraId="49BD7205">
      <w:pPr>
        <w:keepNext w:val="0"/>
        <w:keepLines w:val="0"/>
        <w:pageBreakBefore w:val="0"/>
        <w:widowControl w:val="0"/>
        <w:numPr>
          <w:ilvl w:val="0"/>
          <w:numId w:val="0"/>
        </w:numPr>
        <w:kinsoku/>
        <w:wordWrap/>
        <w:topLinePunct w:val="0"/>
        <w:autoSpaceDE/>
        <w:autoSpaceDN/>
        <w:bidi w:val="0"/>
        <w:snapToGrid/>
        <w:spacing w:line="332" w:lineRule="auto"/>
        <w:jc w:val="center"/>
        <w:textAlignment w:val="auto"/>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九、</w:t>
      </w:r>
      <w:r>
        <w:rPr>
          <w:rFonts w:hint="eastAsia" w:ascii="仿宋" w:hAnsi="仿宋" w:eastAsia="仿宋" w:cs="仿宋"/>
          <w:b/>
          <w:color w:val="auto"/>
          <w:sz w:val="28"/>
          <w:szCs w:val="28"/>
          <w:highlight w:val="none"/>
        </w:rPr>
        <w:t>特别提示</w:t>
      </w:r>
      <w:bookmarkEnd w:id="60"/>
      <w:bookmarkEnd w:id="61"/>
    </w:p>
    <w:p w14:paraId="20B3BA25">
      <w:pPr>
        <w:keepNext w:val="0"/>
        <w:keepLines w:val="0"/>
        <w:pageBreakBefore w:val="0"/>
        <w:widowControl w:val="0"/>
        <w:kinsoku/>
        <w:wordWrap/>
        <w:topLinePunct w:val="0"/>
        <w:autoSpaceDE/>
        <w:autoSpaceDN/>
        <w:bidi w:val="0"/>
        <w:snapToGrid/>
        <w:spacing w:line="33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30、投标人应认真研读招标文件，充分考虑招标文件中的技术要求和合同条款后编制投标文件。</w:t>
      </w:r>
    </w:p>
    <w:p w14:paraId="09C60467">
      <w:pPr>
        <w:keepNext w:val="0"/>
        <w:keepLines w:val="0"/>
        <w:pageBreakBefore w:val="0"/>
        <w:widowControl w:val="0"/>
        <w:kinsoku/>
        <w:wordWrap/>
        <w:topLinePunct w:val="0"/>
        <w:autoSpaceDE/>
        <w:autoSpaceDN/>
        <w:bidi w:val="0"/>
        <w:snapToGrid/>
        <w:spacing w:line="33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31、如招标文件中未提供的各类表格样式，投标人可另行设计表格样式，但力求内容完整，表达清晰、准确。</w:t>
      </w:r>
    </w:p>
    <w:p w14:paraId="6435452B">
      <w:pPr>
        <w:keepNext w:val="0"/>
        <w:keepLines w:val="0"/>
        <w:pageBreakBefore w:val="0"/>
        <w:widowControl w:val="0"/>
        <w:kinsoku/>
        <w:wordWrap/>
        <w:topLinePunct w:val="0"/>
        <w:autoSpaceDE/>
        <w:autoSpaceDN/>
        <w:bidi w:val="0"/>
        <w:snapToGrid/>
        <w:spacing w:line="33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 xml:space="preserve">、本项目实行网上投标，采用电子投标文件。若供应商参与投标，自行承担投标一切费用。 </w:t>
      </w:r>
    </w:p>
    <w:p w14:paraId="6802B1C1">
      <w:pPr>
        <w:keepNext w:val="0"/>
        <w:keepLines w:val="0"/>
        <w:pageBreakBefore w:val="0"/>
        <w:widowControl w:val="0"/>
        <w:kinsoku/>
        <w:wordWrap/>
        <w:topLinePunct w:val="0"/>
        <w:autoSpaceDE/>
        <w:autoSpaceDN/>
        <w:bidi w:val="0"/>
        <w:snapToGrid/>
        <w:spacing w:line="33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14:paraId="2FEF405E">
      <w:pPr>
        <w:keepNext w:val="0"/>
        <w:keepLines w:val="0"/>
        <w:pageBreakBefore w:val="0"/>
        <w:widowControl w:val="0"/>
        <w:kinsoku/>
        <w:wordWrap/>
        <w:topLinePunct w:val="0"/>
        <w:autoSpaceDE/>
        <w:autoSpaceDN/>
        <w:bidi w:val="0"/>
        <w:snapToGrid/>
        <w:spacing w:line="332"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606665F5">
      <w:pPr>
        <w:keepNext w:val="0"/>
        <w:keepLines w:val="0"/>
        <w:pageBreakBefore w:val="0"/>
        <w:widowControl w:val="0"/>
        <w:kinsoku/>
        <w:wordWrap/>
        <w:topLinePunct w:val="0"/>
        <w:autoSpaceDE/>
        <w:autoSpaceDN/>
        <w:bidi w:val="0"/>
        <w:snapToGrid/>
        <w:spacing w:line="33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仿宋" w:hAnsi="仿宋" w:eastAsia="仿宋" w:cs="仿宋"/>
          <w:color w:val="auto"/>
          <w:sz w:val="24"/>
          <w:szCs w:val="24"/>
          <w:highlight w:val="none"/>
          <w:lang w:eastAsia="zh-CN"/>
        </w:rPr>
        <w:t>95763</w:t>
      </w:r>
      <w:r>
        <w:rPr>
          <w:rFonts w:hint="eastAsia" w:ascii="仿宋" w:hAnsi="仿宋" w:eastAsia="仿宋" w:cs="仿宋"/>
          <w:color w:val="auto"/>
          <w:sz w:val="24"/>
          <w:szCs w:val="24"/>
          <w:highlight w:val="none"/>
        </w:rPr>
        <w:t>进行咨询。</w:t>
      </w:r>
    </w:p>
    <w:p w14:paraId="5E1BAEA8">
      <w:pPr>
        <w:keepNext w:val="0"/>
        <w:keepLines w:val="0"/>
        <w:pageBreakBefore w:val="0"/>
        <w:widowControl w:val="0"/>
        <w:kinsoku/>
        <w:wordWrap/>
        <w:topLinePunct w:val="0"/>
        <w:autoSpaceDE/>
        <w:autoSpaceDN/>
        <w:bidi w:val="0"/>
        <w:snapToGrid/>
        <w:spacing w:line="33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、本招标文件是根据《中华人民共和国招标投标法》规定编制的，解释权属</w:t>
      </w:r>
      <w:r>
        <w:rPr>
          <w:rFonts w:hint="eastAsia" w:ascii="仿宋" w:hAnsi="仿宋" w:eastAsia="仿宋" w:cs="仿宋"/>
          <w:color w:val="auto"/>
          <w:sz w:val="24"/>
          <w:szCs w:val="24"/>
          <w:highlight w:val="none"/>
          <w:lang w:eastAsia="zh-CN"/>
        </w:rPr>
        <w:t>新疆</w:t>
      </w:r>
      <w:r>
        <w:rPr>
          <w:rFonts w:hint="eastAsia" w:ascii="仿宋" w:hAnsi="仿宋" w:eastAsia="仿宋" w:cs="仿宋"/>
          <w:color w:val="auto"/>
          <w:sz w:val="24"/>
          <w:szCs w:val="24"/>
          <w:highlight w:val="none"/>
          <w:lang w:val="en-US" w:eastAsia="zh-CN"/>
        </w:rPr>
        <w:t>庆信达</w:t>
      </w:r>
      <w:r>
        <w:rPr>
          <w:rFonts w:hint="eastAsia" w:ascii="仿宋" w:hAnsi="仿宋" w:eastAsia="仿宋" w:cs="仿宋"/>
          <w:color w:val="auto"/>
          <w:sz w:val="24"/>
          <w:szCs w:val="24"/>
          <w:highlight w:val="none"/>
          <w:lang w:eastAsia="zh-CN"/>
        </w:rPr>
        <w:t>项目管理有限公司</w:t>
      </w:r>
      <w:r>
        <w:rPr>
          <w:rFonts w:hint="eastAsia" w:ascii="仿宋" w:hAnsi="仿宋" w:eastAsia="仿宋" w:cs="仿宋"/>
          <w:color w:val="auto"/>
          <w:sz w:val="24"/>
          <w:szCs w:val="24"/>
          <w:highlight w:val="none"/>
        </w:rPr>
        <w:t>。</w:t>
      </w:r>
    </w:p>
    <w:p w14:paraId="7EC8E520">
      <w:pPr>
        <w:keepNext w:val="0"/>
        <w:keepLines w:val="0"/>
        <w:pageBreakBefore w:val="0"/>
        <w:widowControl w:val="0"/>
        <w:kinsoku/>
        <w:wordWrap/>
        <w:topLinePunct w:val="0"/>
        <w:autoSpaceDE/>
        <w:autoSpaceDN/>
        <w:bidi w:val="0"/>
        <w:snapToGrid/>
        <w:spacing w:line="332" w:lineRule="auto"/>
        <w:jc w:val="center"/>
        <w:textAlignment w:val="auto"/>
        <w:outlineLvl w:val="2"/>
        <w:rPr>
          <w:rFonts w:hint="eastAsia" w:ascii="仿宋" w:hAnsi="仿宋" w:eastAsia="仿宋" w:cs="仿宋"/>
          <w:b/>
          <w:color w:val="auto"/>
          <w:sz w:val="28"/>
          <w:szCs w:val="28"/>
          <w:highlight w:val="none"/>
        </w:rPr>
      </w:pPr>
      <w:bookmarkStart w:id="62" w:name="_Toc15933"/>
      <w:bookmarkStart w:id="63" w:name="_Toc22021"/>
      <w:r>
        <w:rPr>
          <w:rFonts w:hint="eastAsia" w:ascii="仿宋" w:hAnsi="仿宋" w:eastAsia="仿宋" w:cs="仿宋"/>
          <w:b/>
          <w:color w:val="auto"/>
          <w:sz w:val="28"/>
          <w:szCs w:val="28"/>
          <w:highlight w:val="none"/>
        </w:rPr>
        <w:t>十、招标失败条件</w:t>
      </w:r>
      <w:bookmarkEnd w:id="62"/>
      <w:bookmarkEnd w:id="63"/>
    </w:p>
    <w:p w14:paraId="61FD5082">
      <w:pPr>
        <w:pStyle w:val="28"/>
        <w:keepNext w:val="0"/>
        <w:keepLines w:val="0"/>
        <w:pageBreakBefore w:val="0"/>
        <w:widowControl w:val="0"/>
        <w:tabs>
          <w:tab w:val="left" w:pos="720"/>
          <w:tab w:val="left" w:pos="900"/>
          <w:tab w:val="left" w:pos="1260"/>
        </w:tabs>
        <w:kinsoku/>
        <w:wordWrap/>
        <w:topLinePunct w:val="0"/>
        <w:autoSpaceDE/>
        <w:autoSpaceDN/>
        <w:bidi w:val="0"/>
        <w:adjustRightInd w:val="0"/>
        <w:snapToGrid/>
        <w:spacing w:line="332"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34.出现影响采购公正的违法、违规行为的；</w:t>
      </w:r>
    </w:p>
    <w:p w14:paraId="04C13E1B">
      <w:pPr>
        <w:pStyle w:val="28"/>
        <w:keepNext w:val="0"/>
        <w:keepLines w:val="0"/>
        <w:pageBreakBefore w:val="0"/>
        <w:widowControl w:val="0"/>
        <w:tabs>
          <w:tab w:val="left" w:pos="720"/>
          <w:tab w:val="left" w:pos="900"/>
          <w:tab w:val="left" w:pos="1260"/>
        </w:tabs>
        <w:kinsoku/>
        <w:wordWrap/>
        <w:topLinePunct w:val="0"/>
        <w:autoSpaceDE/>
        <w:autoSpaceDN/>
        <w:bidi w:val="0"/>
        <w:adjustRightInd w:val="0"/>
        <w:snapToGrid/>
        <w:spacing w:line="332"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35.因重大变故，采购任务取消的；</w:t>
      </w:r>
    </w:p>
    <w:p w14:paraId="0059FD91">
      <w:pPr>
        <w:pStyle w:val="28"/>
        <w:keepNext w:val="0"/>
        <w:keepLines w:val="0"/>
        <w:pageBreakBefore w:val="0"/>
        <w:widowControl w:val="0"/>
        <w:tabs>
          <w:tab w:val="left" w:pos="720"/>
          <w:tab w:val="left" w:pos="900"/>
          <w:tab w:val="left" w:pos="1260"/>
        </w:tabs>
        <w:kinsoku/>
        <w:wordWrap/>
        <w:topLinePunct w:val="0"/>
        <w:autoSpaceDE/>
        <w:autoSpaceDN/>
        <w:bidi w:val="0"/>
        <w:adjustRightInd w:val="0"/>
        <w:snapToGrid/>
        <w:spacing w:line="332"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36.招标响应文件截止时间后，实际参与的供应商不足法定家数的；</w:t>
      </w:r>
    </w:p>
    <w:p w14:paraId="5478C457">
      <w:pPr>
        <w:pStyle w:val="28"/>
        <w:keepNext w:val="0"/>
        <w:keepLines w:val="0"/>
        <w:pageBreakBefore w:val="0"/>
        <w:widowControl w:val="0"/>
        <w:tabs>
          <w:tab w:val="left" w:pos="720"/>
          <w:tab w:val="left" w:pos="900"/>
          <w:tab w:val="left" w:pos="1260"/>
        </w:tabs>
        <w:kinsoku/>
        <w:wordWrap/>
        <w:topLinePunct w:val="0"/>
        <w:autoSpaceDE/>
        <w:autoSpaceDN/>
        <w:bidi w:val="0"/>
        <w:adjustRightInd w:val="0"/>
        <w:snapToGrid/>
        <w:spacing w:line="332"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37.最终报价均超过采购预算的；</w:t>
      </w:r>
    </w:p>
    <w:p w14:paraId="721AB0C3">
      <w:pPr>
        <w:pStyle w:val="16"/>
        <w:keepNext w:val="0"/>
        <w:keepLines w:val="0"/>
        <w:pageBreakBefore w:val="0"/>
        <w:widowControl w:val="0"/>
        <w:kinsoku/>
        <w:wordWrap/>
        <w:overflowPunct w:val="0"/>
        <w:topLinePunct w:val="0"/>
        <w:autoSpaceDE/>
        <w:autoSpaceDN/>
        <w:bidi w:val="0"/>
        <w:snapToGrid/>
        <w:spacing w:line="332"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bCs/>
          <w:color w:val="auto"/>
          <w:szCs w:val="24"/>
          <w:highlight w:val="none"/>
        </w:rPr>
        <w:t>38.对招标文件作出实质性响应的供应商不足法定家数的；</w:t>
      </w:r>
    </w:p>
    <w:p w14:paraId="0282652D">
      <w:pPr>
        <w:spacing w:line="360" w:lineRule="auto"/>
        <w:jc w:val="center"/>
        <w:outlineLvl w:val="2"/>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十一、质疑及答复</w:t>
      </w:r>
    </w:p>
    <w:p w14:paraId="288C0A64">
      <w:pPr>
        <w:keepNext w:val="0"/>
        <w:keepLines w:val="0"/>
        <w:pageBreakBefore w:val="0"/>
        <w:widowControl w:val="0"/>
        <w:kinsoku/>
        <w:wordWrap/>
        <w:overflowPunct/>
        <w:topLinePunct w:val="0"/>
        <w:autoSpaceDE/>
        <w:autoSpaceDN/>
        <w:bidi w:val="0"/>
        <w:adjustRightInd/>
        <w:snapToGrid/>
        <w:spacing w:line="408"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39、质疑的提出</w:t>
      </w:r>
      <w:r>
        <w:rPr>
          <w:rFonts w:hint="eastAsia" w:ascii="仿宋" w:hAnsi="仿宋" w:eastAsia="仿宋" w:cs="仿宋"/>
          <w:color w:val="auto"/>
          <w:sz w:val="24"/>
          <w:szCs w:val="24"/>
          <w:highlight w:val="none"/>
        </w:rPr>
        <w:tab/>
      </w:r>
    </w:p>
    <w:p w14:paraId="738CD59B">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39.1 本采购文件中所称质疑及答复，是指参加本次采购活动的供应商对政府采购活动中的采购文件、采购过程和中标结果向采购方提出质疑，采购方答复质疑的行为。</w:t>
      </w:r>
    </w:p>
    <w:p w14:paraId="561186B3">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39.2 供应商认为采购文件、采购过程和中标结果使自己的权益受到损害的，可以在知道或者应知其权益受到损害之日起 </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 xml:space="preserve"> 个工作日内，以书面形式向采购方提出质疑。</w:t>
      </w:r>
    </w:p>
    <w:p w14:paraId="137A50E3">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39.2.1供应商应知其权益受到损害之日，是指：</w:t>
      </w:r>
    </w:p>
    <w:p w14:paraId="43134B4D">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（一）对可以质疑的采购文件提出质疑的，为收到采购文件之日或者采购文件公告期限届满之日；</w:t>
      </w:r>
    </w:p>
    <w:p w14:paraId="7EF89A20">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（二）对采购过程提出质疑的，为各采购程序环节结束之日；</w:t>
      </w:r>
    </w:p>
    <w:p w14:paraId="2E51BC88">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（三）对中标结果提出质疑的，为中标结果公告期限届满之日。</w:t>
      </w:r>
    </w:p>
    <w:p w14:paraId="4DD46BAB">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39.3 对可以质疑的采购文件提出质疑的，质疑人为参与本项目的报价方或潜在报价方。可质疑的文件为采购公告以及采购文件（包括属于其组成部分的澄清、修改、补充文件和评审标准、合同文本等）。</w:t>
      </w:r>
    </w:p>
    <w:p w14:paraId="5E7E5B4C">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39.4 对采购过程和中标结果提出质疑的，质疑人为直接参与本项目的报价方。采购过程,即从采购项目信息公告发布起到中标结果公告止，包括采购文件的发出、提交投标文件、投标文件开启、评审等各个采购程序环节。</w:t>
      </w:r>
    </w:p>
    <w:p w14:paraId="487F621A">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39.5   提出质疑应当符合下列条件：</w:t>
      </w:r>
    </w:p>
    <w:p w14:paraId="7D547112">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（一）质疑主体应当符合有关规定；</w:t>
      </w:r>
    </w:p>
    <w:p w14:paraId="4AB71793">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（二）在质疑法定期限内提出；</w:t>
      </w:r>
    </w:p>
    <w:p w14:paraId="7711CA71">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（三）属于可以提出质疑的政府采购事项受理范围和本项目采购人的管辖权范围；</w:t>
      </w:r>
    </w:p>
    <w:p w14:paraId="0F455B44">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（四）政府采购法律、法规、规章规定的其他条件。</w:t>
      </w:r>
    </w:p>
    <w:p w14:paraId="4DC46F8E">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47C558F4">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39.7 质疑人所提供的证明材料应当具有真实性、合法性以及与质疑事项的关联性和证明力，否则不能作为认定该质疑事项成立的依据。</w:t>
      </w:r>
    </w:p>
    <w:p w14:paraId="7B9241CC">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39.8 质疑人提出质疑时应当提交质疑函。质疑函包括下列内容：</w:t>
      </w:r>
    </w:p>
    <w:p w14:paraId="4157EA82">
      <w:pPr>
        <w:keepNext w:val="0"/>
        <w:keepLines w:val="0"/>
        <w:pageBreakBefore w:val="0"/>
        <w:widowControl w:val="0"/>
        <w:kinsoku/>
        <w:wordWrap/>
        <w:overflowPunct/>
        <w:topLinePunct w:val="0"/>
        <w:autoSpaceDE/>
        <w:autoSpaceDN/>
        <w:bidi w:val="0"/>
        <w:adjustRightInd/>
        <w:snapToGrid/>
        <w:spacing w:line="372"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（一）提出质疑的质疑人的名称、地址、邮编、联系人及联系电话等；</w:t>
      </w:r>
    </w:p>
    <w:p w14:paraId="2C8899A2">
      <w:pPr>
        <w:keepNext w:val="0"/>
        <w:keepLines w:val="0"/>
        <w:pageBreakBefore w:val="0"/>
        <w:widowControl w:val="0"/>
        <w:kinsoku/>
        <w:wordWrap/>
        <w:overflowPunct/>
        <w:topLinePunct w:val="0"/>
        <w:autoSpaceDE/>
        <w:autoSpaceDN/>
        <w:bidi w:val="0"/>
        <w:adjustRightInd/>
        <w:snapToGrid/>
        <w:spacing w:line="372"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（二）质疑项目的名称、编号；</w:t>
      </w:r>
    </w:p>
    <w:p w14:paraId="4523DBF1">
      <w:pPr>
        <w:keepNext w:val="0"/>
        <w:keepLines w:val="0"/>
        <w:pageBreakBefore w:val="0"/>
        <w:widowControl w:val="0"/>
        <w:kinsoku/>
        <w:wordWrap/>
        <w:overflowPunct/>
        <w:topLinePunct w:val="0"/>
        <w:autoSpaceDE/>
        <w:autoSpaceDN/>
        <w:bidi w:val="0"/>
        <w:adjustRightInd/>
        <w:snapToGrid/>
        <w:spacing w:line="372"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（三）质疑事项；</w:t>
      </w:r>
    </w:p>
    <w:p w14:paraId="62623762">
      <w:pPr>
        <w:keepNext w:val="0"/>
        <w:keepLines w:val="0"/>
        <w:pageBreakBefore w:val="0"/>
        <w:widowControl w:val="0"/>
        <w:kinsoku/>
        <w:wordWrap/>
        <w:overflowPunct/>
        <w:topLinePunct w:val="0"/>
        <w:autoSpaceDE/>
        <w:autoSpaceDN/>
        <w:bidi w:val="0"/>
        <w:adjustRightInd/>
        <w:snapToGrid/>
        <w:spacing w:line="372"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（四）事实依据和证明材料；</w:t>
      </w:r>
    </w:p>
    <w:p w14:paraId="0EAEED6A">
      <w:pPr>
        <w:keepNext w:val="0"/>
        <w:keepLines w:val="0"/>
        <w:pageBreakBefore w:val="0"/>
        <w:widowControl w:val="0"/>
        <w:kinsoku/>
        <w:wordWrap/>
        <w:overflowPunct/>
        <w:topLinePunct w:val="0"/>
        <w:autoSpaceDE/>
        <w:autoSpaceDN/>
        <w:bidi w:val="0"/>
        <w:adjustRightInd/>
        <w:snapToGrid/>
        <w:spacing w:line="372"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（五）法律依据；</w:t>
      </w:r>
    </w:p>
    <w:p w14:paraId="24B4AA72">
      <w:pPr>
        <w:keepNext w:val="0"/>
        <w:keepLines w:val="0"/>
        <w:pageBreakBefore w:val="0"/>
        <w:widowControl w:val="0"/>
        <w:kinsoku/>
        <w:wordWrap/>
        <w:overflowPunct/>
        <w:topLinePunct w:val="0"/>
        <w:autoSpaceDE/>
        <w:autoSpaceDN/>
        <w:bidi w:val="0"/>
        <w:adjustRightInd/>
        <w:snapToGrid/>
        <w:spacing w:line="372"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（六）提出质疑的日期。</w:t>
      </w:r>
    </w:p>
    <w:p w14:paraId="379624F2">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39.9  质疑函采用实名制。质疑人为自然人的应当由本人签字，并附有效身份证明文件；质疑人为法人或者非法人组织的应当由法定代表人或者负责人签字并加盖公章，并附有效身份证明文件。</w:t>
      </w:r>
    </w:p>
    <w:p w14:paraId="77C76FA2">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39.10 质疑人可以委托代理人进行质疑。代理人应当提交授权委托书。授权委托书应当载明委托代理的具体权限、期限和相关事项。</w:t>
      </w:r>
    </w:p>
    <w:p w14:paraId="1ECCE411">
      <w:pPr>
        <w:keepNext w:val="0"/>
        <w:keepLines w:val="0"/>
        <w:pageBreakBefore w:val="0"/>
        <w:widowControl w:val="0"/>
        <w:kinsoku/>
        <w:wordWrap/>
        <w:overflowPunct/>
        <w:topLinePunct w:val="0"/>
        <w:autoSpaceDE/>
        <w:autoSpaceDN/>
        <w:bidi w:val="0"/>
        <w:adjustRightInd/>
        <w:snapToGrid/>
        <w:spacing w:line="372"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40、质疑的审查和受理</w:t>
      </w:r>
    </w:p>
    <w:p w14:paraId="0C82AE36">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40.1 采购方在收到质疑函后应当及时审查是否符合质疑受理条件，对符合质疑受理条件的，及时予以受理。</w:t>
      </w:r>
    </w:p>
    <w:p w14:paraId="2446DA5D">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对不符合质疑受理条件的，分别按照下列不同情形予以处理：</w:t>
      </w:r>
    </w:p>
    <w:p w14:paraId="7DC32AA5">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14:paraId="6DAA0A17">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（二）质疑主体不符合有关规定的，告知质疑人不予受理；</w:t>
      </w:r>
    </w:p>
    <w:p w14:paraId="0E40871C">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（三）超过质疑法定期限提出质疑的，告知质疑人不予受理；</w:t>
      </w:r>
    </w:p>
    <w:p w14:paraId="517F82C4">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（四）对不属于可以提出质疑的政府采购事项提出质疑的，告知质疑人不予受理；</w:t>
      </w:r>
    </w:p>
    <w:p w14:paraId="0F8F2E12">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（五）质疑不属于本项目采购方管辖的，告知质疑人向有管辖权的采购人提出质疑；</w:t>
      </w:r>
    </w:p>
    <w:p w14:paraId="29A918A8">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（六）质疑不符合其他条件的，告知质疑人不予受理。</w:t>
      </w:r>
    </w:p>
    <w:p w14:paraId="4F846722">
      <w:pPr>
        <w:keepNext w:val="0"/>
        <w:keepLines w:val="0"/>
        <w:pageBreakBefore w:val="0"/>
        <w:widowControl w:val="0"/>
        <w:kinsoku/>
        <w:wordWrap/>
        <w:overflowPunct/>
        <w:topLinePunct w:val="0"/>
        <w:autoSpaceDE/>
        <w:autoSpaceDN/>
        <w:bidi w:val="0"/>
        <w:adjustRightInd/>
        <w:snapToGrid/>
        <w:spacing w:line="372"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41、质疑的处理和答复</w:t>
      </w:r>
    </w:p>
    <w:p w14:paraId="25F280B4">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41.1 按照《政府采购质疑和投诉办法（财政部94号令）》处理及答复质疑。</w:t>
      </w:r>
    </w:p>
    <w:p w14:paraId="1F503CE0">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41.2 采购方受理质疑后，将及时把质疑函发送给被质疑人，并要求其在一定限期人提交书面答复，同时提供有关证据、依据和相关材料。</w:t>
      </w:r>
    </w:p>
    <w:p w14:paraId="445BC12E">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41.3 对于质疑事项中涉及的问题较多、情况比较复杂的，为了全面查清事实、取得充分的证据，采购方认为有必要时，可以进行调查取证或者组织质证。</w:t>
      </w:r>
    </w:p>
    <w:p w14:paraId="30196D0C">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41.4对评审过程、中标结果提出质疑的，采购方可以组织原评审委员会协助答复质疑。</w:t>
      </w:r>
    </w:p>
    <w:p w14:paraId="0DDBEEA2">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41.5质疑处理过程中，质疑人书面申请撤回质疑的，将终止质疑处理程序。</w:t>
      </w:r>
    </w:p>
    <w:p w14:paraId="33909BAC">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41.6质疑人拒绝配合采购方依法对质疑进行调查处理的，采购方将按质疑人自动撤回质疑处理；被质疑人拒绝配合采购方依法对质疑进行调查处理的，采购方将视同其认可质疑事项。</w:t>
      </w:r>
    </w:p>
    <w:p w14:paraId="78B6C784">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41.7 采购方将在正式受理质疑后 7 个工作日内作出答复，但处理质疑需要进行调查取证、组织专家评审、质疑人及被质疑人提交或补正材料等所需时间，不计算在质疑处理期限内。</w:t>
      </w:r>
    </w:p>
    <w:p w14:paraId="117BC51D">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41.8 采购方经调查、论证、核实，认定质疑不能成立的，继续开展采购活动；认定质疑成立的，按照以下情况处理：</w:t>
      </w:r>
    </w:p>
    <w:p w14:paraId="419B10D3">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14:paraId="23334613">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14:paraId="4A6ABC9D">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41.9 采购方将书面答复质疑，质疑答复包括下列内容：</w:t>
      </w:r>
    </w:p>
    <w:p w14:paraId="37C70D96">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（一）质疑人名称；</w:t>
      </w:r>
    </w:p>
    <w:p w14:paraId="173842D6">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（二）收到质疑函的日期、质疑项目名称及编号;</w:t>
      </w:r>
    </w:p>
    <w:p w14:paraId="100D7FB9">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（三）质疑事项、质疑答复的具体内容、事实依据和法律依据；</w:t>
      </w:r>
    </w:p>
    <w:p w14:paraId="667D76F3">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（四）告知质疑人依法投诉的权利；</w:t>
      </w:r>
    </w:p>
    <w:p w14:paraId="34976D77">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（五）质疑答复日期。</w:t>
      </w:r>
    </w:p>
    <w:p w14:paraId="440E5C78">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41.10 质疑人有下列行为之一的，属于虚假、恶意质疑，将由采购方建议财政部门将其列入不良行为记录名单，禁止其 1 至 3 年内参加政府采购活动：</w:t>
      </w:r>
    </w:p>
    <w:p w14:paraId="099E2D3F">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（一）受理后发现投诉不符合法定受理条件；</w:t>
      </w:r>
    </w:p>
    <w:p w14:paraId="1167E77B">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（二）投诉事项缺乏事实依据，投诉事项不成立；</w:t>
      </w:r>
    </w:p>
    <w:p w14:paraId="3BFEC936">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（三）投诉人捏造事实或者提供虚假材料；</w:t>
      </w:r>
    </w:p>
    <w:p w14:paraId="54FB9064">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（四）投诉人以非法手段取得证明材料。证据来源的合法性存在明显疑问，投诉人无法证明其取得方式合法的，视为以非法手段取得证明材料。</w:t>
      </w:r>
    </w:p>
    <w:p w14:paraId="2F38ED2B">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（五）法律法规规定的其他违法情形。</w:t>
      </w:r>
    </w:p>
    <w:p w14:paraId="18857912">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14:paraId="454721E0">
      <w:pPr>
        <w:pStyle w:val="84"/>
        <w:spacing w:line="450" w:lineRule="exact"/>
        <w:jc w:val="center"/>
        <w:outlineLvl w:val="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质</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疑</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函</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范本</w:t>
      </w:r>
      <w:r>
        <w:rPr>
          <w:rFonts w:hint="eastAsia" w:ascii="仿宋" w:hAnsi="仿宋" w:eastAsia="仿宋" w:cs="仿宋"/>
          <w:b/>
          <w:bCs/>
          <w:color w:val="auto"/>
          <w:sz w:val="28"/>
          <w:szCs w:val="28"/>
          <w:highlight w:val="none"/>
          <w:lang w:eastAsia="zh-CN"/>
        </w:rPr>
        <w:t>）</w:t>
      </w:r>
    </w:p>
    <w:p w14:paraId="7F63CD66">
      <w:pPr>
        <w:spacing w:line="480" w:lineRule="auto"/>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none"/>
        </w:rPr>
        <w:t xml:space="preserve">    </w:t>
      </w:r>
    </w:p>
    <w:p w14:paraId="00515F98">
      <w:pPr>
        <w:spacing w:line="48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依据政府采购相关法规，我公司对</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的项目（项目编号：</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）评审活动存在疑问，特提出质疑（详见下表）。</w:t>
      </w:r>
    </w:p>
    <w:p w14:paraId="30970935">
      <w:pPr>
        <w:spacing w:line="48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我公司和本人对此质疑函内容的真实性负责，并愿意承担由此引起的相应处理和法律责任。</w:t>
      </w:r>
    </w:p>
    <w:p w14:paraId="155FBAA2">
      <w:pPr>
        <w:spacing w:line="48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法定代表人（签字并盖名章）：</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身份证号码：</w:t>
      </w:r>
    </w:p>
    <w:p w14:paraId="0EC6947F">
      <w:pPr>
        <w:spacing w:line="48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固话：</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传真：</w:t>
      </w:r>
      <w:r>
        <w:rPr>
          <w:rFonts w:hint="eastAsia" w:ascii="仿宋" w:hAnsi="仿宋" w:eastAsia="仿宋" w:cs="仿宋"/>
          <w:color w:val="auto"/>
          <w:kern w:val="0"/>
          <w:sz w:val="24"/>
          <w:szCs w:val="24"/>
          <w:highlight w:val="none"/>
        </w:rPr>
        <w:tab/>
      </w:r>
    </w:p>
    <w:p w14:paraId="3CD8CF83">
      <w:pPr>
        <w:spacing w:line="48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手机：</w:t>
      </w:r>
    </w:p>
    <w:p w14:paraId="26F5E4E4">
      <w:pPr>
        <w:spacing w:line="48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本项目授权委托人（签字并盖名章）：</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身份证号码：</w:t>
      </w:r>
    </w:p>
    <w:p w14:paraId="643804CF">
      <w:pPr>
        <w:spacing w:line="48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固话：</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传真：</w:t>
      </w:r>
    </w:p>
    <w:p w14:paraId="1C56D12B">
      <w:pPr>
        <w:spacing w:line="48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手机：</w:t>
      </w:r>
    </w:p>
    <w:p w14:paraId="76ADE1D5">
      <w:pPr>
        <w:spacing w:line="48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公司地址：</w:t>
      </w:r>
      <w:r>
        <w:rPr>
          <w:rFonts w:hint="eastAsia" w:ascii="仿宋" w:hAnsi="仿宋" w:eastAsia="仿宋" w:cs="仿宋"/>
          <w:color w:val="auto"/>
          <w:kern w:val="0"/>
          <w:sz w:val="24"/>
          <w:szCs w:val="24"/>
          <w:highlight w:val="none"/>
        </w:rPr>
        <w:tab/>
      </w:r>
    </w:p>
    <w:p w14:paraId="0A9C03EE">
      <w:pPr>
        <w:spacing w:line="48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邮编：</w:t>
      </w:r>
    </w:p>
    <w:p w14:paraId="4CF345A4">
      <w:pPr>
        <w:spacing w:line="48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质疑人（公章）</w:t>
      </w:r>
    </w:p>
    <w:p w14:paraId="6E687792">
      <w:pPr>
        <w:spacing w:line="48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 xml:space="preserve">  月 </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日</w:t>
      </w:r>
    </w:p>
    <w:p w14:paraId="6CB3C480">
      <w:pPr>
        <w:spacing w:line="360" w:lineRule="auto"/>
        <w:jc w:val="center"/>
        <w:rPr>
          <w:rFonts w:hint="eastAsia" w:ascii="仿宋" w:hAnsi="仿宋" w:eastAsia="仿宋" w:cs="仿宋"/>
          <w:color w:val="auto"/>
          <w:kern w:val="0"/>
          <w:sz w:val="24"/>
          <w:szCs w:val="24"/>
          <w:highlight w:val="none"/>
        </w:rPr>
      </w:pPr>
    </w:p>
    <w:p w14:paraId="2BB32182">
      <w:pP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br w:type="page"/>
      </w:r>
    </w:p>
    <w:p w14:paraId="335B283C">
      <w:pPr>
        <w:spacing w:line="360" w:lineRule="auto"/>
        <w:jc w:val="center"/>
        <w:outlineLvl w:val="0"/>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质疑内容</w:t>
      </w:r>
    </w:p>
    <w:p w14:paraId="05F9767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44F93DF5">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项目编号：</w:t>
      </w:r>
      <w:r>
        <w:rPr>
          <w:rFonts w:hint="eastAsia" w:ascii="仿宋" w:hAnsi="仿宋" w:eastAsia="仿宋" w:cs="仿宋"/>
          <w:color w:val="auto"/>
          <w:sz w:val="24"/>
          <w:szCs w:val="24"/>
          <w:highlight w:val="none"/>
          <w:u w:val="single"/>
        </w:rPr>
        <w:t xml:space="preserve">                        </w:t>
      </w:r>
    </w:p>
    <w:tbl>
      <w:tblPr>
        <w:tblStyle w:val="48"/>
        <w:tblW w:w="93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0"/>
        <w:gridCol w:w="7409"/>
      </w:tblGrid>
      <w:tr w14:paraId="1DAA0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1950" w:type="dxa"/>
            <w:vMerge w:val="restart"/>
            <w:noWrap w:val="0"/>
            <w:vAlign w:val="center"/>
          </w:tcPr>
          <w:p w14:paraId="22FB6FE6">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具体内容</w:t>
            </w:r>
          </w:p>
        </w:tc>
        <w:tc>
          <w:tcPr>
            <w:tcW w:w="7409" w:type="dxa"/>
            <w:noWrap w:val="0"/>
            <w:vAlign w:val="center"/>
          </w:tcPr>
          <w:p w14:paraId="7F309EDB">
            <w:pPr>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质疑事项：</w:t>
            </w:r>
          </w:p>
        </w:tc>
      </w:tr>
      <w:tr w14:paraId="76D22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1950" w:type="dxa"/>
            <w:vMerge w:val="continue"/>
            <w:noWrap w:val="0"/>
            <w:vAlign w:val="center"/>
          </w:tcPr>
          <w:p w14:paraId="3F277869">
            <w:pPr>
              <w:spacing w:line="360" w:lineRule="auto"/>
              <w:jc w:val="center"/>
              <w:rPr>
                <w:rFonts w:hint="eastAsia" w:ascii="仿宋" w:hAnsi="仿宋" w:eastAsia="仿宋" w:cs="仿宋"/>
                <w:color w:val="auto"/>
                <w:kern w:val="0"/>
                <w:sz w:val="24"/>
                <w:szCs w:val="24"/>
                <w:highlight w:val="none"/>
              </w:rPr>
            </w:pPr>
          </w:p>
        </w:tc>
        <w:tc>
          <w:tcPr>
            <w:tcW w:w="7409" w:type="dxa"/>
            <w:noWrap w:val="0"/>
            <w:vAlign w:val="center"/>
          </w:tcPr>
          <w:p w14:paraId="42793E74">
            <w:pPr>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主要内容：</w:t>
            </w:r>
          </w:p>
        </w:tc>
      </w:tr>
      <w:tr w14:paraId="7026C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1950" w:type="dxa"/>
            <w:vMerge w:val="continue"/>
            <w:noWrap w:val="0"/>
            <w:vAlign w:val="center"/>
          </w:tcPr>
          <w:p w14:paraId="70CC2C44">
            <w:pPr>
              <w:spacing w:line="360" w:lineRule="auto"/>
              <w:jc w:val="center"/>
              <w:rPr>
                <w:rFonts w:hint="eastAsia" w:ascii="仿宋" w:hAnsi="仿宋" w:eastAsia="仿宋" w:cs="仿宋"/>
                <w:color w:val="auto"/>
                <w:kern w:val="0"/>
                <w:sz w:val="24"/>
                <w:szCs w:val="24"/>
                <w:highlight w:val="none"/>
              </w:rPr>
            </w:pPr>
          </w:p>
        </w:tc>
        <w:tc>
          <w:tcPr>
            <w:tcW w:w="7409" w:type="dxa"/>
            <w:noWrap w:val="0"/>
            <w:vAlign w:val="center"/>
          </w:tcPr>
          <w:p w14:paraId="734171CB">
            <w:pPr>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事实依据：</w:t>
            </w:r>
          </w:p>
        </w:tc>
      </w:tr>
      <w:tr w14:paraId="40662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1950" w:type="dxa"/>
            <w:vMerge w:val="continue"/>
            <w:noWrap w:val="0"/>
            <w:vAlign w:val="center"/>
          </w:tcPr>
          <w:p w14:paraId="053544AD">
            <w:pPr>
              <w:spacing w:line="360" w:lineRule="auto"/>
              <w:jc w:val="center"/>
              <w:rPr>
                <w:rFonts w:hint="eastAsia" w:ascii="仿宋" w:hAnsi="仿宋" w:eastAsia="仿宋" w:cs="仿宋"/>
                <w:color w:val="auto"/>
                <w:kern w:val="0"/>
                <w:sz w:val="24"/>
                <w:szCs w:val="24"/>
                <w:highlight w:val="none"/>
              </w:rPr>
            </w:pPr>
          </w:p>
        </w:tc>
        <w:tc>
          <w:tcPr>
            <w:tcW w:w="7409" w:type="dxa"/>
            <w:noWrap w:val="0"/>
            <w:vAlign w:val="center"/>
          </w:tcPr>
          <w:p w14:paraId="17E1B5C8">
            <w:pPr>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适应法规条款：</w:t>
            </w:r>
          </w:p>
        </w:tc>
      </w:tr>
      <w:tr w14:paraId="5897C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1950" w:type="dxa"/>
            <w:vMerge w:val="continue"/>
            <w:noWrap w:val="0"/>
            <w:vAlign w:val="center"/>
          </w:tcPr>
          <w:p w14:paraId="50EA2B6D">
            <w:pPr>
              <w:spacing w:line="360" w:lineRule="auto"/>
              <w:jc w:val="center"/>
              <w:rPr>
                <w:rFonts w:hint="eastAsia" w:ascii="仿宋" w:hAnsi="仿宋" w:eastAsia="仿宋" w:cs="仿宋"/>
                <w:color w:val="auto"/>
                <w:kern w:val="0"/>
                <w:sz w:val="24"/>
                <w:szCs w:val="24"/>
                <w:highlight w:val="none"/>
              </w:rPr>
            </w:pPr>
          </w:p>
        </w:tc>
        <w:tc>
          <w:tcPr>
            <w:tcW w:w="7409" w:type="dxa"/>
            <w:noWrap w:val="0"/>
            <w:vAlign w:val="top"/>
          </w:tcPr>
          <w:p w14:paraId="631223EF">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佐证材料：</w:t>
            </w:r>
          </w:p>
        </w:tc>
      </w:tr>
    </w:tbl>
    <w:p w14:paraId="44802216">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p w14:paraId="70B8A500">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1、质疑人的法定代表人办理质疑事务的，在提交质疑函（无需填写授权委托人）的同时，还应提交加盖质疑人公章的营业执照副本复印件和法定代表人的身份证复印件。请持身份证原件用于核对。</w:t>
      </w:r>
    </w:p>
    <w:p w14:paraId="1284165D">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授权本项目评审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14:paraId="2A3A5E6B">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3、“具体的质疑事项及事实依据”一栏填写不下时，质疑人可另附页（A4），但附纸要求加盖质疑人公章。</w:t>
      </w:r>
    </w:p>
    <w:p w14:paraId="1F830055">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4、与质疑事项有关的材料应与质疑函合并装订。</w:t>
      </w:r>
    </w:p>
    <w:p w14:paraId="3B6A8981">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5、质疑函一式三份。</w:t>
      </w:r>
    </w:p>
    <w:p w14:paraId="5EFF9508">
      <w:pPr>
        <w:spacing w:beforeAutospacing="0" w:afterAutospacing="0" w:line="360" w:lineRule="auto"/>
        <w:ind w:firstLine="482" w:firstLineChars="200"/>
        <w:rPr>
          <w:rFonts w:hint="eastAsia" w:ascii="仿宋" w:hAnsi="仿宋" w:eastAsia="仿宋" w:cs="仿宋"/>
          <w:b/>
          <w:bCs/>
          <w:color w:val="auto"/>
          <w:sz w:val="24"/>
          <w:szCs w:val="24"/>
          <w:highlight w:val="none"/>
          <w:lang w:val="en-US" w:eastAsia="zh-CN"/>
        </w:rPr>
      </w:pPr>
    </w:p>
    <w:p w14:paraId="113E5E56">
      <w:pPr>
        <w:spacing w:beforeAutospacing="0" w:afterAutospacing="0" w:line="360" w:lineRule="auto"/>
        <w:ind w:firstLine="482" w:firstLineChars="200"/>
        <w:rPr>
          <w:rFonts w:hint="eastAsia" w:ascii="仿宋" w:hAnsi="仿宋" w:eastAsia="仿宋" w:cs="仿宋"/>
          <w:b/>
          <w:bCs/>
          <w:color w:val="auto"/>
          <w:sz w:val="24"/>
          <w:szCs w:val="24"/>
          <w:highlight w:val="none"/>
          <w:lang w:val="en-US" w:eastAsia="zh-CN"/>
        </w:rPr>
      </w:pPr>
    </w:p>
    <w:p w14:paraId="18F2608F">
      <w:pPr>
        <w:spacing w:beforeAutospacing="0" w:afterAutospacing="0" w:line="360" w:lineRule="auto"/>
        <w:ind w:firstLine="482" w:firstLineChars="200"/>
        <w:rPr>
          <w:rFonts w:hint="eastAsia" w:ascii="仿宋" w:hAnsi="仿宋" w:eastAsia="仿宋" w:cs="仿宋"/>
          <w:b/>
          <w:bCs/>
          <w:color w:val="auto"/>
          <w:sz w:val="24"/>
          <w:szCs w:val="24"/>
          <w:highlight w:val="none"/>
          <w:lang w:val="en-US" w:eastAsia="zh-CN"/>
        </w:rPr>
      </w:pPr>
    </w:p>
    <w:p w14:paraId="389F0C49">
      <w:pPr>
        <w:spacing w:beforeAutospacing="0" w:afterAutospacing="0" w:line="360" w:lineRule="auto"/>
        <w:ind w:firstLine="482" w:firstLineChars="200"/>
        <w:rPr>
          <w:rFonts w:hint="eastAsia" w:ascii="仿宋" w:hAnsi="仿宋" w:eastAsia="仿宋" w:cs="仿宋"/>
          <w:b/>
          <w:bCs/>
          <w:color w:val="auto"/>
          <w:sz w:val="24"/>
          <w:szCs w:val="24"/>
          <w:highlight w:val="none"/>
          <w:lang w:val="en-US" w:eastAsia="zh-CN"/>
        </w:rPr>
      </w:pPr>
    </w:p>
    <w:p w14:paraId="73815A01">
      <w:pPr>
        <w:spacing w:beforeAutospacing="0" w:afterAutospacing="0" w:line="360" w:lineRule="auto"/>
        <w:ind w:firstLine="482" w:firstLineChars="200"/>
        <w:rPr>
          <w:rFonts w:hint="eastAsia" w:ascii="仿宋" w:hAnsi="仿宋" w:eastAsia="仿宋" w:cs="仿宋"/>
          <w:b/>
          <w:bCs/>
          <w:color w:val="auto"/>
          <w:sz w:val="24"/>
          <w:szCs w:val="24"/>
          <w:highlight w:val="none"/>
          <w:lang w:val="en-US" w:eastAsia="zh-CN"/>
        </w:rPr>
      </w:pPr>
    </w:p>
    <w:p w14:paraId="3DB47DC2">
      <w:pPr>
        <w:spacing w:beforeAutospacing="0" w:afterAutospacing="0" w:line="360" w:lineRule="auto"/>
        <w:ind w:firstLine="482" w:firstLineChars="200"/>
        <w:rPr>
          <w:rFonts w:hint="eastAsia" w:ascii="仿宋" w:hAnsi="仿宋" w:eastAsia="仿宋" w:cs="仿宋"/>
          <w:b/>
          <w:bCs/>
          <w:color w:val="auto"/>
          <w:sz w:val="24"/>
          <w:szCs w:val="24"/>
          <w:highlight w:val="none"/>
          <w:lang w:val="en-US" w:eastAsia="zh-CN"/>
        </w:rPr>
      </w:pPr>
    </w:p>
    <w:p w14:paraId="09D6BB45">
      <w:pPr>
        <w:spacing w:beforeAutospacing="0" w:afterAutospacing="0" w:line="360" w:lineRule="auto"/>
        <w:ind w:firstLine="482" w:firstLineChars="200"/>
        <w:rPr>
          <w:rFonts w:hint="eastAsia" w:ascii="仿宋" w:hAnsi="仿宋" w:eastAsia="仿宋" w:cs="仿宋"/>
          <w:b/>
          <w:bCs/>
          <w:color w:val="auto"/>
          <w:sz w:val="24"/>
          <w:szCs w:val="24"/>
          <w:highlight w:val="none"/>
          <w:lang w:val="en-US" w:eastAsia="zh-CN"/>
        </w:rPr>
      </w:pPr>
    </w:p>
    <w:p w14:paraId="41EA3046">
      <w:pPr>
        <w:spacing w:beforeAutospacing="0" w:afterAutospacing="0"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42.投诉及处理</w:t>
      </w:r>
    </w:p>
    <w:p w14:paraId="2CE89A47">
      <w:pPr>
        <w:keepNext w:val="0"/>
        <w:keepLines w:val="0"/>
        <w:pageBreakBefore w:val="0"/>
        <w:widowControl w:val="0"/>
        <w:kinsoku/>
        <w:wordWrap/>
        <w:overflowPunct/>
        <w:topLinePunct w:val="0"/>
        <w:autoSpaceDE/>
        <w:autoSpaceDN/>
        <w:bidi w:val="0"/>
        <w:adjustRightInd/>
        <w:snapToGrid/>
        <w:spacing w:beforeAutospacing="0" w:afterAutospacing="0" w:line="432"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42.1</w:t>
      </w:r>
      <w:r>
        <w:rPr>
          <w:rFonts w:hint="eastAsia" w:ascii="仿宋" w:hAnsi="仿宋" w:eastAsia="仿宋" w:cs="仿宋"/>
          <w:color w:val="auto"/>
          <w:kern w:val="0"/>
          <w:sz w:val="24"/>
          <w:szCs w:val="24"/>
          <w:highlight w:val="none"/>
        </w:rPr>
        <w:t>质疑供应商对采购人、采购代理机构的答复不满意，或者采购人、采购代理机构未在规定时间内作出答复的，可以在答复期满后</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rPr>
        <w:t>个工作日内向</w:t>
      </w:r>
      <w:r>
        <w:rPr>
          <w:rFonts w:hint="eastAsia" w:ascii="仿宋" w:hAnsi="仿宋" w:eastAsia="仿宋" w:cs="仿宋"/>
          <w:color w:val="auto"/>
          <w:kern w:val="0"/>
          <w:sz w:val="24"/>
          <w:szCs w:val="24"/>
          <w:highlight w:val="none"/>
          <w:lang w:val="en-US" w:eastAsia="zh-CN"/>
        </w:rPr>
        <w:t>监督</w:t>
      </w:r>
      <w:r>
        <w:rPr>
          <w:rFonts w:hint="eastAsia" w:ascii="仿宋" w:hAnsi="仿宋" w:eastAsia="仿宋" w:cs="仿宋"/>
          <w:color w:val="auto"/>
          <w:kern w:val="0"/>
          <w:sz w:val="24"/>
          <w:szCs w:val="24"/>
          <w:highlight w:val="none"/>
        </w:rPr>
        <w:t>财政部门提起投诉。</w:t>
      </w:r>
    </w:p>
    <w:p w14:paraId="674500DF">
      <w:pPr>
        <w:keepNext w:val="0"/>
        <w:keepLines w:val="0"/>
        <w:pageBreakBefore w:val="0"/>
        <w:widowControl w:val="0"/>
        <w:kinsoku/>
        <w:wordWrap/>
        <w:overflowPunct/>
        <w:topLinePunct w:val="0"/>
        <w:autoSpaceDE/>
        <w:autoSpaceDN/>
        <w:bidi w:val="0"/>
        <w:adjustRightInd/>
        <w:snapToGrid/>
        <w:spacing w:beforeAutospacing="0" w:afterAutospacing="0" w:line="432"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42.2</w:t>
      </w:r>
      <w:r>
        <w:rPr>
          <w:rFonts w:hint="eastAsia" w:ascii="仿宋" w:hAnsi="仿宋" w:eastAsia="仿宋" w:cs="仿宋"/>
          <w:color w:val="auto"/>
          <w:kern w:val="0"/>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EDB5AEA">
      <w:pPr>
        <w:keepNext w:val="0"/>
        <w:keepLines w:val="0"/>
        <w:pageBreakBefore w:val="0"/>
        <w:widowControl w:val="0"/>
        <w:kinsoku/>
        <w:wordWrap/>
        <w:overflowPunct/>
        <w:topLinePunct w:val="0"/>
        <w:autoSpaceDE/>
        <w:autoSpaceDN/>
        <w:bidi w:val="0"/>
        <w:adjustRightInd/>
        <w:snapToGrid/>
        <w:spacing w:beforeAutospacing="0" w:afterAutospacing="0" w:line="432"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）投诉人和被投诉人的姓名或者名称、通讯地址、邮编、联系人及联系电话；</w:t>
      </w:r>
    </w:p>
    <w:p w14:paraId="1F006AD7">
      <w:pPr>
        <w:keepNext w:val="0"/>
        <w:keepLines w:val="0"/>
        <w:pageBreakBefore w:val="0"/>
        <w:widowControl w:val="0"/>
        <w:kinsoku/>
        <w:wordWrap/>
        <w:overflowPunct/>
        <w:topLinePunct w:val="0"/>
        <w:autoSpaceDE/>
        <w:autoSpaceDN/>
        <w:bidi w:val="0"/>
        <w:adjustRightInd/>
        <w:snapToGrid/>
        <w:spacing w:beforeAutospacing="0" w:afterAutospacing="0" w:line="432"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）质疑和质疑答复情况说明及相关证明材料；</w:t>
      </w:r>
    </w:p>
    <w:p w14:paraId="44B4C23C">
      <w:pPr>
        <w:keepNext w:val="0"/>
        <w:keepLines w:val="0"/>
        <w:pageBreakBefore w:val="0"/>
        <w:widowControl w:val="0"/>
        <w:kinsoku/>
        <w:wordWrap/>
        <w:overflowPunct/>
        <w:topLinePunct w:val="0"/>
        <w:autoSpaceDE/>
        <w:autoSpaceDN/>
        <w:bidi w:val="0"/>
        <w:adjustRightInd/>
        <w:snapToGrid/>
        <w:spacing w:beforeAutospacing="0" w:afterAutospacing="0" w:line="432"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）具体、明确的投诉事项和与投诉事项相关的投诉请求；</w:t>
      </w:r>
    </w:p>
    <w:p w14:paraId="76818A10">
      <w:pPr>
        <w:keepNext w:val="0"/>
        <w:keepLines w:val="0"/>
        <w:pageBreakBefore w:val="0"/>
        <w:widowControl w:val="0"/>
        <w:kinsoku/>
        <w:wordWrap/>
        <w:overflowPunct/>
        <w:topLinePunct w:val="0"/>
        <w:autoSpaceDE/>
        <w:autoSpaceDN/>
        <w:bidi w:val="0"/>
        <w:adjustRightInd/>
        <w:snapToGrid/>
        <w:spacing w:beforeAutospacing="0" w:afterAutospacing="0" w:line="432"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）事实依据；</w:t>
      </w:r>
    </w:p>
    <w:p w14:paraId="72C4E17F">
      <w:pPr>
        <w:keepNext w:val="0"/>
        <w:keepLines w:val="0"/>
        <w:pageBreakBefore w:val="0"/>
        <w:widowControl w:val="0"/>
        <w:kinsoku/>
        <w:wordWrap/>
        <w:overflowPunct/>
        <w:topLinePunct w:val="0"/>
        <w:autoSpaceDE/>
        <w:autoSpaceDN/>
        <w:bidi w:val="0"/>
        <w:adjustRightInd/>
        <w:snapToGrid/>
        <w:spacing w:beforeAutospacing="0" w:afterAutospacing="0" w:line="432"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）法律依据；</w:t>
      </w:r>
    </w:p>
    <w:p w14:paraId="31AB62E8">
      <w:pPr>
        <w:keepNext w:val="0"/>
        <w:keepLines w:val="0"/>
        <w:pageBreakBefore w:val="0"/>
        <w:widowControl w:val="0"/>
        <w:kinsoku/>
        <w:wordWrap/>
        <w:overflowPunct/>
        <w:topLinePunct w:val="0"/>
        <w:autoSpaceDE/>
        <w:autoSpaceDN/>
        <w:bidi w:val="0"/>
        <w:adjustRightInd/>
        <w:snapToGrid/>
        <w:spacing w:beforeAutospacing="0" w:afterAutospacing="0" w:line="432"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）提起投诉的日期。</w:t>
      </w:r>
    </w:p>
    <w:p w14:paraId="66BAF93F">
      <w:pPr>
        <w:keepNext w:val="0"/>
        <w:keepLines w:val="0"/>
        <w:pageBreakBefore w:val="0"/>
        <w:widowControl w:val="0"/>
        <w:kinsoku/>
        <w:wordWrap/>
        <w:overflowPunct/>
        <w:topLinePunct w:val="0"/>
        <w:autoSpaceDE/>
        <w:autoSpaceDN/>
        <w:bidi w:val="0"/>
        <w:adjustRightInd/>
        <w:snapToGrid/>
        <w:spacing w:beforeAutospacing="0" w:afterAutospacing="0" w:line="432"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42.3</w:t>
      </w:r>
      <w:r>
        <w:rPr>
          <w:rFonts w:hint="eastAsia" w:ascii="仿宋" w:hAnsi="仿宋" w:eastAsia="仿宋" w:cs="仿宋"/>
          <w:color w:val="auto"/>
          <w:kern w:val="0"/>
          <w:sz w:val="24"/>
          <w:szCs w:val="24"/>
          <w:highlight w:val="none"/>
        </w:rPr>
        <w:t>投诉人为自然人的，应当由本人签字；投诉人为法人或者其他组织的，应当由法定代表人、主要负责人，或者其授权代表签字或者盖章，并加盖公章。</w:t>
      </w:r>
    </w:p>
    <w:p w14:paraId="6409E3BE">
      <w:pPr>
        <w:keepNext w:val="0"/>
        <w:keepLines w:val="0"/>
        <w:pageBreakBefore w:val="0"/>
        <w:widowControl w:val="0"/>
        <w:kinsoku/>
        <w:wordWrap/>
        <w:overflowPunct/>
        <w:topLinePunct w:val="0"/>
        <w:autoSpaceDE/>
        <w:autoSpaceDN/>
        <w:bidi w:val="0"/>
        <w:adjustRightInd/>
        <w:snapToGrid/>
        <w:spacing w:beforeAutospacing="0" w:afterAutospacing="0" w:line="432"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42.4</w:t>
      </w:r>
      <w:r>
        <w:rPr>
          <w:rFonts w:hint="eastAsia" w:ascii="仿宋" w:hAnsi="仿宋" w:eastAsia="仿宋" w:cs="仿宋"/>
          <w:color w:val="auto"/>
          <w:kern w:val="0"/>
          <w:sz w:val="24"/>
          <w:szCs w:val="24"/>
          <w:highlight w:val="none"/>
        </w:rPr>
        <w:t>投诉人应当根据规定的信息内容，并按照规定的方式提起投诉。</w:t>
      </w:r>
    </w:p>
    <w:p w14:paraId="0232243F">
      <w:pPr>
        <w:keepNext w:val="0"/>
        <w:keepLines w:val="0"/>
        <w:pageBreakBefore w:val="0"/>
        <w:widowControl w:val="0"/>
        <w:kinsoku/>
        <w:wordWrap/>
        <w:overflowPunct/>
        <w:topLinePunct w:val="0"/>
        <w:autoSpaceDE/>
        <w:autoSpaceDN/>
        <w:bidi w:val="0"/>
        <w:adjustRightInd/>
        <w:snapToGrid/>
        <w:spacing w:beforeAutospacing="0" w:afterAutospacing="0" w:line="432" w:lineRule="auto"/>
        <w:ind w:firstLine="240" w:firstLineChars="1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r>
        <w:rPr>
          <w:rFonts w:hint="eastAsia" w:ascii="仿宋" w:hAnsi="仿宋" w:eastAsia="仿宋" w:cs="仿宋"/>
          <w:color w:val="auto"/>
          <w:kern w:val="0"/>
          <w:sz w:val="24"/>
          <w:szCs w:val="24"/>
          <w:highlight w:val="none"/>
          <w:lang w:val="en-US" w:eastAsia="zh-CN"/>
        </w:rPr>
        <w:t>42.5</w:t>
      </w:r>
      <w:r>
        <w:rPr>
          <w:rFonts w:hint="eastAsia" w:ascii="仿宋" w:hAnsi="仿宋" w:eastAsia="仿宋" w:cs="仿宋"/>
          <w:color w:val="auto"/>
          <w:kern w:val="0"/>
          <w:sz w:val="24"/>
          <w:szCs w:val="24"/>
          <w:highlight w:val="none"/>
        </w:rPr>
        <w:t>投诉人提起投诉应当符合下列条件：</w:t>
      </w:r>
    </w:p>
    <w:p w14:paraId="50121589">
      <w:pPr>
        <w:keepNext w:val="0"/>
        <w:keepLines w:val="0"/>
        <w:pageBreakBefore w:val="0"/>
        <w:widowControl w:val="0"/>
        <w:kinsoku/>
        <w:wordWrap/>
        <w:overflowPunct/>
        <w:topLinePunct w:val="0"/>
        <w:autoSpaceDE/>
        <w:autoSpaceDN/>
        <w:bidi w:val="0"/>
        <w:adjustRightInd/>
        <w:snapToGrid/>
        <w:spacing w:beforeAutospacing="0" w:afterAutospacing="0" w:line="432"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）提起投诉前已依法进行质疑；</w:t>
      </w:r>
    </w:p>
    <w:p w14:paraId="79DF01BD">
      <w:pPr>
        <w:keepNext w:val="0"/>
        <w:keepLines w:val="0"/>
        <w:pageBreakBefore w:val="0"/>
        <w:widowControl w:val="0"/>
        <w:kinsoku/>
        <w:wordWrap/>
        <w:overflowPunct/>
        <w:topLinePunct w:val="0"/>
        <w:autoSpaceDE/>
        <w:autoSpaceDN/>
        <w:bidi w:val="0"/>
        <w:adjustRightInd/>
        <w:snapToGrid/>
        <w:spacing w:beforeAutospacing="0" w:afterAutospacing="0" w:line="432"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）投诉书内容符合本办法的规定；</w:t>
      </w:r>
    </w:p>
    <w:p w14:paraId="612C5996">
      <w:pPr>
        <w:keepNext w:val="0"/>
        <w:keepLines w:val="0"/>
        <w:pageBreakBefore w:val="0"/>
        <w:widowControl w:val="0"/>
        <w:kinsoku/>
        <w:wordWrap/>
        <w:overflowPunct/>
        <w:topLinePunct w:val="0"/>
        <w:autoSpaceDE/>
        <w:autoSpaceDN/>
        <w:bidi w:val="0"/>
        <w:adjustRightInd/>
        <w:snapToGrid/>
        <w:spacing w:beforeAutospacing="0" w:afterAutospacing="0" w:line="432"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）在投诉有效期限内提起投诉；</w:t>
      </w:r>
    </w:p>
    <w:p w14:paraId="58DFDB97">
      <w:pPr>
        <w:keepNext w:val="0"/>
        <w:keepLines w:val="0"/>
        <w:pageBreakBefore w:val="0"/>
        <w:widowControl w:val="0"/>
        <w:kinsoku/>
        <w:wordWrap/>
        <w:overflowPunct/>
        <w:topLinePunct w:val="0"/>
        <w:autoSpaceDE/>
        <w:autoSpaceDN/>
        <w:bidi w:val="0"/>
        <w:adjustRightInd/>
        <w:snapToGrid/>
        <w:spacing w:beforeAutospacing="0" w:afterAutospacing="0" w:line="432"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）同一投诉事项未经财政部门投诉处理；</w:t>
      </w:r>
    </w:p>
    <w:p w14:paraId="1152596B">
      <w:pPr>
        <w:keepNext w:val="0"/>
        <w:keepLines w:val="0"/>
        <w:pageBreakBefore w:val="0"/>
        <w:widowControl w:val="0"/>
        <w:kinsoku/>
        <w:wordWrap/>
        <w:overflowPunct/>
        <w:topLinePunct w:val="0"/>
        <w:autoSpaceDE/>
        <w:autoSpaceDN/>
        <w:bidi w:val="0"/>
        <w:adjustRightInd/>
        <w:snapToGrid/>
        <w:spacing w:beforeAutospacing="0" w:afterAutospacing="0" w:line="432"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）财政部规定的其他条件。</w:t>
      </w:r>
    </w:p>
    <w:p w14:paraId="328C7488">
      <w:pPr>
        <w:keepNext w:val="0"/>
        <w:keepLines w:val="0"/>
        <w:pageBreakBefore w:val="0"/>
        <w:widowControl w:val="0"/>
        <w:kinsoku/>
        <w:wordWrap/>
        <w:overflowPunct/>
        <w:topLinePunct w:val="0"/>
        <w:autoSpaceDE/>
        <w:autoSpaceDN/>
        <w:bidi w:val="0"/>
        <w:adjustRightInd/>
        <w:snapToGrid/>
        <w:spacing w:beforeAutospacing="0" w:afterAutospacing="0" w:line="432" w:lineRule="auto"/>
        <w:ind w:firstLine="480" w:firstLineChars="200"/>
        <w:textAlignment w:val="auto"/>
        <w:rPr>
          <w:rFonts w:hint="eastAsia" w:ascii="仿宋" w:hAnsi="仿宋" w:eastAsia="仿宋" w:cs="仿宋"/>
          <w:color w:val="auto"/>
          <w:kern w:val="0"/>
          <w:sz w:val="24"/>
          <w:szCs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s="仿宋"/>
          <w:color w:val="auto"/>
          <w:kern w:val="0"/>
          <w:sz w:val="24"/>
          <w:szCs w:val="24"/>
          <w:highlight w:val="none"/>
          <w:lang w:val="en-US" w:eastAsia="zh-CN"/>
        </w:rPr>
        <w:t>42.6</w:t>
      </w:r>
      <w:r>
        <w:rPr>
          <w:rFonts w:hint="eastAsia" w:ascii="仿宋" w:hAnsi="仿宋" w:eastAsia="仿宋" w:cs="仿宋"/>
          <w:color w:val="auto"/>
          <w:kern w:val="0"/>
          <w:sz w:val="24"/>
          <w:szCs w:val="24"/>
          <w:highlight w:val="none"/>
        </w:rPr>
        <w:t>供应商投诉的事项不得超出已质疑事项的范围，但基于质疑答复内容提出的投诉事项除外。</w:t>
      </w:r>
    </w:p>
    <w:p w14:paraId="23D6F7F3">
      <w:pPr>
        <w:jc w:val="center"/>
        <w:rPr>
          <w:rFonts w:hint="eastAsia" w:ascii="仿宋" w:hAnsi="仿宋" w:eastAsia="仿宋" w:cs="仿宋"/>
          <w:b/>
          <w:bCs/>
          <w:color w:val="auto"/>
          <w:kern w:val="0"/>
          <w:sz w:val="28"/>
          <w:szCs w:val="28"/>
          <w:highlight w:val="none"/>
          <w:lang w:eastAsia="zh-CN"/>
        </w:rPr>
      </w:pPr>
      <w:r>
        <w:rPr>
          <w:rFonts w:hint="eastAsia" w:ascii="仿宋" w:hAnsi="仿宋" w:eastAsia="仿宋" w:cs="仿宋"/>
          <w:b/>
          <w:bCs/>
          <w:color w:val="auto"/>
          <w:kern w:val="0"/>
          <w:sz w:val="28"/>
          <w:szCs w:val="28"/>
          <w:highlight w:val="none"/>
          <w:lang w:val="en-US" w:eastAsia="zh-CN" w:bidi="ar-SA"/>
        </w:rPr>
        <w:t>投 诉 书</w:t>
      </w:r>
      <w:r>
        <w:rPr>
          <w:rFonts w:hint="eastAsia" w:ascii="仿宋" w:hAnsi="仿宋" w:eastAsia="仿宋" w:cs="仿宋"/>
          <w:b/>
          <w:bCs/>
          <w:color w:val="auto"/>
          <w:kern w:val="0"/>
          <w:sz w:val="28"/>
          <w:szCs w:val="28"/>
          <w:highlight w:val="none"/>
          <w:lang w:eastAsia="zh-CN"/>
        </w:rPr>
        <w:t>（</w:t>
      </w:r>
      <w:r>
        <w:rPr>
          <w:rFonts w:hint="eastAsia" w:ascii="仿宋" w:hAnsi="仿宋" w:eastAsia="仿宋" w:cs="仿宋"/>
          <w:b/>
          <w:bCs/>
          <w:color w:val="auto"/>
          <w:kern w:val="0"/>
          <w:sz w:val="28"/>
          <w:szCs w:val="28"/>
          <w:highlight w:val="none"/>
        </w:rPr>
        <w:t>范本</w:t>
      </w:r>
      <w:r>
        <w:rPr>
          <w:rFonts w:hint="eastAsia" w:ascii="仿宋" w:hAnsi="仿宋" w:eastAsia="仿宋" w:cs="仿宋"/>
          <w:b/>
          <w:bCs/>
          <w:color w:val="auto"/>
          <w:kern w:val="0"/>
          <w:sz w:val="28"/>
          <w:szCs w:val="28"/>
          <w:highlight w:val="none"/>
          <w:lang w:eastAsia="zh-CN"/>
        </w:rPr>
        <w:t>）</w:t>
      </w:r>
    </w:p>
    <w:p w14:paraId="3B44CA08">
      <w:pPr>
        <w:pStyle w:val="22"/>
        <w:rPr>
          <w:rFonts w:hint="eastAsia" w:ascii="仿宋" w:hAnsi="仿宋" w:eastAsia="仿宋" w:cs="仿宋"/>
          <w:color w:val="auto"/>
          <w:highlight w:val="none"/>
        </w:rPr>
      </w:pPr>
    </w:p>
    <w:p w14:paraId="7E7EB229">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一、投诉相关主体基本情况</w:t>
      </w:r>
    </w:p>
    <w:p w14:paraId="6A541C5B">
      <w:pPr>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投诉人：</w:t>
      </w:r>
      <w:r>
        <w:rPr>
          <w:rFonts w:hint="eastAsia" w:ascii="仿宋" w:hAnsi="仿宋" w:eastAsia="仿宋" w:cs="仿宋"/>
          <w:color w:val="auto"/>
          <w:sz w:val="24"/>
          <w:szCs w:val="24"/>
          <w:highlight w:val="none"/>
          <w:u w:val="dotted"/>
        </w:rPr>
        <w:t xml:space="preserve">                                               </w:t>
      </w:r>
    </w:p>
    <w:p w14:paraId="5820C0C7">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p>
    <w:p w14:paraId="5C622EDF">
      <w:pPr>
        <w:tabs>
          <w:tab w:val="left" w:pos="6510"/>
        </w:tabs>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法定代表人/主要负责人：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 xml:space="preserve">  </w:t>
      </w:r>
    </w:p>
    <w:p w14:paraId="03CA7FD6">
      <w:pPr>
        <w:tabs>
          <w:tab w:val="left" w:pos="6510"/>
        </w:tabs>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00A77313">
      <w:pPr>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0E4C86B7">
      <w:pPr>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dotted"/>
        </w:rPr>
        <w:t xml:space="preserve">                   </w:t>
      </w:r>
    </w:p>
    <w:p w14:paraId="59305B82">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被投诉人1：</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p>
    <w:p w14:paraId="4CAB6D5B">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p>
    <w:p w14:paraId="7F3E0C04">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p>
    <w:p w14:paraId="51F2766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被投诉人2</w:t>
      </w:r>
    </w:p>
    <w:p w14:paraId="72CC838B">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相关供应商：</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p>
    <w:p w14:paraId="6E5199C2">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p>
    <w:p w14:paraId="382BE14F">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p>
    <w:p w14:paraId="326D1424">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二、投诉项目基本情况</w:t>
      </w:r>
    </w:p>
    <w:p w14:paraId="51FDF568">
      <w:pPr>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采购项目名称：</w:t>
      </w:r>
      <w:r>
        <w:rPr>
          <w:rFonts w:hint="eastAsia" w:ascii="仿宋" w:hAnsi="仿宋" w:eastAsia="仿宋" w:cs="仿宋"/>
          <w:color w:val="auto"/>
          <w:sz w:val="24"/>
          <w:szCs w:val="24"/>
          <w:highlight w:val="none"/>
          <w:u w:val="dotted"/>
        </w:rPr>
        <w:t xml:space="preserve">                                        </w:t>
      </w:r>
    </w:p>
    <w:p w14:paraId="3EFDA93F">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采购项目编号：</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dotted"/>
        </w:rPr>
        <w:t xml:space="preserve">              </w:t>
      </w:r>
    </w:p>
    <w:p w14:paraId="26441AF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p>
    <w:p w14:paraId="19E2EE3F">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代理机构名称：</w:t>
      </w:r>
      <w:r>
        <w:rPr>
          <w:rFonts w:hint="eastAsia" w:ascii="仿宋" w:hAnsi="仿宋" w:eastAsia="仿宋" w:cs="仿宋"/>
          <w:color w:val="auto"/>
          <w:sz w:val="24"/>
          <w:szCs w:val="24"/>
          <w:highlight w:val="none"/>
          <w:u w:val="dotted"/>
        </w:rPr>
        <w:t xml:space="preserve">                                         </w:t>
      </w:r>
    </w:p>
    <w:p w14:paraId="47BE6016">
      <w:pPr>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采购文件公告:</w:t>
      </w:r>
      <w:r>
        <w:rPr>
          <w:rFonts w:hint="eastAsia" w:ascii="仿宋" w:hAnsi="仿宋" w:eastAsia="仿宋" w:cs="仿宋"/>
          <w:color w:val="auto"/>
          <w:sz w:val="24"/>
          <w:szCs w:val="24"/>
          <w:highlight w:val="none"/>
          <w:u w:val="dotted"/>
        </w:rPr>
        <w:t xml:space="preserve">是/否 </w:t>
      </w:r>
      <w:r>
        <w:rPr>
          <w:rFonts w:hint="eastAsia" w:ascii="仿宋" w:hAnsi="仿宋" w:eastAsia="仿宋" w:cs="仿宋"/>
          <w:color w:val="auto"/>
          <w:sz w:val="24"/>
          <w:szCs w:val="24"/>
          <w:highlight w:val="none"/>
        </w:rPr>
        <w:t>公告期限：</w:t>
      </w:r>
      <w:r>
        <w:rPr>
          <w:rFonts w:hint="eastAsia" w:ascii="仿宋" w:hAnsi="仿宋" w:eastAsia="仿宋" w:cs="仿宋"/>
          <w:color w:val="auto"/>
          <w:sz w:val="24"/>
          <w:szCs w:val="24"/>
          <w:highlight w:val="none"/>
          <w:u w:val="dotted"/>
        </w:rPr>
        <w:t xml:space="preserve">                                 </w:t>
      </w:r>
    </w:p>
    <w:p w14:paraId="3C1D17D1">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采购结果公告:</w:t>
      </w:r>
      <w:r>
        <w:rPr>
          <w:rFonts w:hint="eastAsia" w:ascii="仿宋" w:hAnsi="仿宋" w:eastAsia="仿宋" w:cs="仿宋"/>
          <w:color w:val="auto"/>
          <w:sz w:val="24"/>
          <w:szCs w:val="24"/>
          <w:highlight w:val="none"/>
          <w:u w:val="dotted"/>
        </w:rPr>
        <w:t xml:space="preserve">是/否 </w:t>
      </w:r>
      <w:r>
        <w:rPr>
          <w:rFonts w:hint="eastAsia" w:ascii="仿宋" w:hAnsi="仿宋" w:eastAsia="仿宋" w:cs="仿宋"/>
          <w:color w:val="auto"/>
          <w:sz w:val="24"/>
          <w:szCs w:val="24"/>
          <w:highlight w:val="none"/>
        </w:rPr>
        <w:t>公告期限：</w:t>
      </w:r>
      <w:r>
        <w:rPr>
          <w:rFonts w:hint="eastAsia" w:ascii="仿宋" w:hAnsi="仿宋" w:eastAsia="仿宋" w:cs="仿宋"/>
          <w:color w:val="auto"/>
          <w:sz w:val="24"/>
          <w:szCs w:val="24"/>
          <w:highlight w:val="none"/>
          <w:u w:val="dotted"/>
        </w:rPr>
        <w:t xml:space="preserve">                        </w:t>
      </w:r>
    </w:p>
    <w:p w14:paraId="7AECEBA7">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三、质疑基本情况</w:t>
      </w:r>
    </w:p>
    <w:p w14:paraId="170FF7DE">
      <w:pPr>
        <w:spacing w:line="360" w:lineRule="auto"/>
        <w:ind w:firstLine="480" w:firstLine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投诉人于</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日,向</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提出质疑，质疑事项为：</w:t>
      </w:r>
      <w:r>
        <w:rPr>
          <w:rFonts w:hint="eastAsia" w:ascii="仿宋" w:hAnsi="仿宋" w:eastAsia="仿宋" w:cs="仿宋"/>
          <w:color w:val="auto"/>
          <w:sz w:val="24"/>
          <w:szCs w:val="24"/>
          <w:highlight w:val="none"/>
          <w:u w:val="dotted"/>
        </w:rPr>
        <w:t xml:space="preserve">                                </w:t>
      </w:r>
    </w:p>
    <w:p w14:paraId="3A19205F">
      <w:pPr>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 xml:space="preserve">  </w:t>
      </w:r>
    </w:p>
    <w:p w14:paraId="6E2B0E42">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dotted"/>
        </w:rPr>
        <w:t>采购人/代理机构</w:t>
      </w:r>
      <w:r>
        <w:rPr>
          <w:rFonts w:hint="eastAsia" w:ascii="仿宋" w:hAnsi="仿宋" w:eastAsia="仿宋" w:cs="仿宋"/>
          <w:color w:val="auto"/>
          <w:sz w:val="24"/>
          <w:szCs w:val="24"/>
          <w:highlight w:val="none"/>
        </w:rPr>
        <w:t>于</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日,就质疑事项作出了答复/没有在法定期限内作出答复。</w:t>
      </w:r>
    </w:p>
    <w:p w14:paraId="0350EDD0">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四、投诉事项具体内容</w:t>
      </w:r>
    </w:p>
    <w:p w14:paraId="4B398C5A">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投诉事项 1：</w:t>
      </w:r>
      <w:r>
        <w:rPr>
          <w:rFonts w:hint="eastAsia" w:ascii="仿宋" w:hAnsi="仿宋" w:eastAsia="仿宋" w:cs="仿宋"/>
          <w:color w:val="auto"/>
          <w:sz w:val="24"/>
          <w:szCs w:val="24"/>
          <w:highlight w:val="none"/>
          <w:u w:val="dotted"/>
        </w:rPr>
        <w:t xml:space="preserve">                                       </w:t>
      </w:r>
    </w:p>
    <w:p w14:paraId="13C7DD8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14:paraId="3CF69AF7">
      <w:pPr>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u w:val="dotted"/>
        </w:rPr>
        <w:t xml:space="preserve">                                                      </w:t>
      </w:r>
    </w:p>
    <w:p w14:paraId="2DD20C03">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14:paraId="1D66B4E8">
      <w:pPr>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u w:val="dotted"/>
        </w:rPr>
        <w:t xml:space="preserve">                                                      </w:t>
      </w:r>
    </w:p>
    <w:p w14:paraId="15B1F54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投诉事项2</w:t>
      </w:r>
    </w:p>
    <w:p w14:paraId="4129CF62">
      <w:pPr>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w:t>
      </w:r>
    </w:p>
    <w:p w14:paraId="71152F72">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五、与投诉事项相关的投诉请求</w:t>
      </w:r>
    </w:p>
    <w:p w14:paraId="5097EB4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 xml:space="preserve"> </w:t>
      </w:r>
    </w:p>
    <w:p w14:paraId="12F2FFFC">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p>
    <w:p w14:paraId="223DFBB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签字(签章)：                   公章：                      </w:t>
      </w:r>
    </w:p>
    <w:p w14:paraId="041005D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w:t>
      </w:r>
    </w:p>
    <w:p w14:paraId="22ADD428">
      <w:pPr>
        <w:spacing w:line="360" w:lineRule="auto"/>
        <w:rPr>
          <w:rFonts w:hint="eastAsia" w:ascii="仿宋" w:hAnsi="仿宋" w:eastAsia="仿宋" w:cs="仿宋"/>
          <w:b/>
          <w:color w:val="auto"/>
          <w:sz w:val="24"/>
          <w:szCs w:val="24"/>
          <w:highlight w:val="none"/>
        </w:rPr>
      </w:pPr>
    </w:p>
    <w:p w14:paraId="72171301">
      <w:pPr>
        <w:pStyle w:val="37"/>
        <w:rPr>
          <w:rFonts w:hint="eastAsia" w:ascii="仿宋" w:hAnsi="仿宋" w:eastAsia="仿宋" w:cs="仿宋"/>
        </w:rPr>
      </w:pPr>
    </w:p>
    <w:p w14:paraId="309ED904">
      <w:pPr>
        <w:spacing w:line="48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投诉书制作说明：</w:t>
      </w:r>
    </w:p>
    <w:p w14:paraId="653075EF">
      <w:pPr>
        <w:widowControl/>
        <w:spacing w:line="48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1.投诉人提起投诉时，应当提交投诉书和必要的证明材料，并按照被投诉人和与投诉事项有关的供应商数量提供投诉书副本。</w:t>
      </w:r>
    </w:p>
    <w:p w14:paraId="5FAB0C51">
      <w:pPr>
        <w:widowControl/>
        <w:spacing w:line="48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2.投诉人若委托代理人进行投诉的，投诉书应按照要求列明“授权代表”的有关内容，并在附件中提交由</w:t>
      </w:r>
      <w:r>
        <w:rPr>
          <w:rFonts w:hint="eastAsia" w:ascii="仿宋" w:hAnsi="仿宋" w:eastAsia="仿宋" w:cs="仿宋"/>
          <w:color w:val="auto"/>
          <w:kern w:val="0"/>
          <w:sz w:val="24"/>
          <w:szCs w:val="24"/>
          <w:highlight w:val="none"/>
        </w:rPr>
        <w:t>投诉人签署的授权委托书。授权委托书应当载明代理人的姓名或者名称、代理事项、具体权限、期限和相关事项。</w:t>
      </w:r>
    </w:p>
    <w:p w14:paraId="184D2E4A">
      <w:pPr>
        <w:widowControl/>
        <w:spacing w:line="48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3.投诉人若对项目的某一分包进行投诉，投诉书应列明具体分包号。</w:t>
      </w:r>
    </w:p>
    <w:p w14:paraId="091CE896">
      <w:pPr>
        <w:widowControl/>
        <w:spacing w:line="48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4.投诉书应简要列明质疑事项，质疑函、质疑答复等作为附件材料提供。</w:t>
      </w:r>
    </w:p>
    <w:p w14:paraId="16EFF7B0">
      <w:pPr>
        <w:widowControl/>
        <w:spacing w:line="48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5.投诉书的投诉事项应具体、明确，并有必要的事实依据和法律依据。</w:t>
      </w:r>
    </w:p>
    <w:p w14:paraId="2A6CA616">
      <w:pPr>
        <w:widowControl/>
        <w:spacing w:line="48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6.投诉书的投诉请求应与投诉事项相关。</w:t>
      </w:r>
    </w:p>
    <w:p w14:paraId="60210E68">
      <w:pPr>
        <w:spacing w:line="480" w:lineRule="auto"/>
        <w:rPr>
          <w:rFonts w:hint="eastAsia" w:ascii="仿宋" w:hAnsi="仿宋" w:eastAsia="仿宋" w:cs="仿宋"/>
          <w:b w:val="0"/>
          <w:bCs/>
          <w:color w:val="auto"/>
          <w:sz w:val="28"/>
          <w:szCs w:val="28"/>
          <w:highlight w:val="none"/>
        </w:rPr>
      </w:pPr>
      <w:r>
        <w:rPr>
          <w:rFonts w:hint="eastAsia" w:ascii="仿宋" w:hAnsi="仿宋" w:eastAsia="仿宋" w:cs="仿宋"/>
          <w:color w:val="auto"/>
          <w:sz w:val="24"/>
          <w:szCs w:val="24"/>
          <w:highlight w:val="none"/>
        </w:rPr>
        <w:t>7.投诉人为自然人的，投诉书应当由本人签字；投诉人为法人或者其他组织的，投诉书应当由法定代表人、主要负责人，或者其授权代表签字或者盖章，并加盖公章。</w:t>
      </w:r>
      <w:r>
        <w:rPr>
          <w:rFonts w:hint="eastAsia" w:ascii="仿宋" w:hAnsi="仿宋" w:eastAsia="仿宋" w:cs="仿宋"/>
          <w:color w:val="auto"/>
          <w:highlight w:val="none"/>
        </w:rPr>
        <w:br w:type="page"/>
      </w:r>
    </w:p>
    <w:bookmarkEnd w:id="44"/>
    <w:bookmarkEnd w:id="45"/>
    <w:p w14:paraId="3495973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bCs/>
          <w:color w:val="auto"/>
          <w:sz w:val="36"/>
          <w:szCs w:val="36"/>
          <w:highlight w:val="none"/>
          <w:lang w:val="en-US" w:eastAsia="zh-CN"/>
        </w:rPr>
      </w:pPr>
      <w:bookmarkStart w:id="64" w:name="_Toc29710"/>
      <w:bookmarkStart w:id="65" w:name="_Toc23028"/>
      <w:bookmarkStart w:id="66" w:name="_Toc1354"/>
      <w:bookmarkStart w:id="67" w:name="_Toc20110"/>
      <w:bookmarkStart w:id="68" w:name="_Toc6417"/>
      <w:r>
        <w:rPr>
          <w:rFonts w:hint="eastAsia" w:ascii="仿宋" w:hAnsi="仿宋" w:eastAsia="仿宋" w:cs="仿宋"/>
          <w:b/>
          <w:bCs/>
          <w:color w:val="auto"/>
          <w:sz w:val="36"/>
          <w:szCs w:val="36"/>
          <w:highlight w:val="none"/>
          <w:lang w:val="en-US" w:eastAsia="zh-CN"/>
        </w:rPr>
        <w:t>第二章   评标办法及标准</w:t>
      </w:r>
    </w:p>
    <w:bookmarkEnd w:id="64"/>
    <w:bookmarkEnd w:id="65"/>
    <w:bookmarkEnd w:id="66"/>
    <w:bookmarkEnd w:id="67"/>
    <w:bookmarkEnd w:id="68"/>
    <w:p w14:paraId="5092AA16">
      <w:pPr>
        <w:keepNext w:val="0"/>
        <w:keepLines w:val="0"/>
        <w:pageBreakBefore w:val="0"/>
        <w:widowControl w:val="0"/>
        <w:tabs>
          <w:tab w:val="left" w:pos="360"/>
          <w:tab w:val="left" w:pos="900"/>
        </w:tabs>
        <w:kinsoku/>
        <w:wordWrap/>
        <w:overflowPunct/>
        <w:topLinePunct w:val="0"/>
        <w:autoSpaceDE/>
        <w:autoSpaceDN/>
        <w:bidi w:val="0"/>
        <w:adjustRightInd w:val="0"/>
        <w:snapToGrid w:val="0"/>
        <w:spacing w:line="240" w:lineRule="auto"/>
        <w:jc w:val="left"/>
        <w:textAlignment w:val="auto"/>
        <w:outlineLvl w:val="1"/>
        <w:rPr>
          <w:rFonts w:hint="eastAsia" w:ascii="仿宋" w:hAnsi="仿宋" w:eastAsia="仿宋" w:cs="仿宋"/>
          <w:b/>
          <w:color w:val="auto"/>
          <w:sz w:val="24"/>
          <w:szCs w:val="24"/>
          <w:highlight w:val="none"/>
        </w:rPr>
      </w:pPr>
      <w:bookmarkStart w:id="69" w:name="_Toc99301422"/>
      <w:bookmarkStart w:id="70" w:name="_Toc25254"/>
      <w:bookmarkStart w:id="71" w:name="_Toc11973"/>
      <w:bookmarkStart w:id="72" w:name="_Toc32237"/>
      <w:bookmarkStart w:id="73" w:name="_Toc28817"/>
      <w:bookmarkStart w:id="74" w:name="_Toc24194"/>
      <w:bookmarkStart w:id="75" w:name="_Toc700"/>
      <w:bookmarkStart w:id="76" w:name="_Toc20061"/>
      <w:bookmarkStart w:id="77" w:name="_Toc19723"/>
      <w:bookmarkStart w:id="78" w:name="_Toc26060"/>
      <w:bookmarkStart w:id="79" w:name="_Toc13536"/>
      <w:bookmarkStart w:id="80" w:name="_Toc7241"/>
      <w:bookmarkStart w:id="81" w:name="_Toc19312"/>
      <w:bookmarkStart w:id="82" w:name="_Toc18832"/>
    </w:p>
    <w:p w14:paraId="04A3327A">
      <w:pPr>
        <w:keepNext w:val="0"/>
        <w:keepLines w:val="0"/>
        <w:pageBreakBefore w:val="0"/>
        <w:widowControl w:val="0"/>
        <w:tabs>
          <w:tab w:val="left" w:pos="360"/>
          <w:tab w:val="left" w:pos="900"/>
        </w:tabs>
        <w:kinsoku/>
        <w:wordWrap/>
        <w:overflowPunct/>
        <w:topLinePunct w:val="0"/>
        <w:autoSpaceDE/>
        <w:autoSpaceDN/>
        <w:bidi w:val="0"/>
        <w:adjustRightInd/>
        <w:snapToGrid w:val="0"/>
        <w:spacing w:line="360" w:lineRule="auto"/>
        <w:jc w:val="left"/>
        <w:textAlignment w:val="auto"/>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4"/>
          <w:szCs w:val="24"/>
          <w:highlight w:val="none"/>
        </w:rPr>
        <w:t>一、资格审查程序</w:t>
      </w:r>
      <w:bookmarkEnd w:id="69"/>
    </w:p>
    <w:p w14:paraId="2FAE9B20">
      <w:pPr>
        <w:keepNext w:val="0"/>
        <w:keepLines w:val="0"/>
        <w:pageBreakBefore w:val="0"/>
        <w:widowControl w:val="0"/>
        <w:numPr>
          <w:ilvl w:val="0"/>
          <w:numId w:val="0"/>
        </w:numPr>
        <w:tabs>
          <w:tab w:val="left" w:pos="426"/>
          <w:tab w:val="left" w:pos="851"/>
        </w:tabs>
        <w:kinsoku/>
        <w:wordWrap/>
        <w:overflowPunct/>
        <w:topLinePunct w:val="0"/>
        <w:autoSpaceDE/>
        <w:autoSpaceDN/>
        <w:bidi w:val="0"/>
        <w:adjustRightInd/>
        <w:snapToGrid w:val="0"/>
        <w:spacing w:line="360" w:lineRule="auto"/>
        <w:ind w:leftChars="-50" w:right="62" w:rightChars="0"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开标结束后，采购人或采购代理机构将根据《资格审查要求》中的规定，对投标人进行资格审查，并形成资格审查结果。</w:t>
      </w:r>
    </w:p>
    <w:p w14:paraId="703771C2">
      <w:pPr>
        <w:keepNext w:val="0"/>
        <w:keepLines w:val="0"/>
        <w:pageBreakBefore w:val="0"/>
        <w:widowControl w:val="0"/>
        <w:numPr>
          <w:ilvl w:val="0"/>
          <w:numId w:val="0"/>
        </w:numPr>
        <w:tabs>
          <w:tab w:val="left" w:pos="426"/>
          <w:tab w:val="left" w:pos="851"/>
        </w:tabs>
        <w:kinsoku/>
        <w:wordWrap/>
        <w:overflowPunct/>
        <w:topLinePunct w:val="0"/>
        <w:autoSpaceDE/>
        <w:autoSpaceDN/>
        <w:bidi w:val="0"/>
        <w:adjustRightInd/>
        <w:snapToGrid w:val="0"/>
        <w:spacing w:line="360" w:lineRule="auto"/>
        <w:ind w:leftChars="-50" w:right="62" w:rightChars="0"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《资格审查要求》中对格式有要求的，除招标文件另有规定外，均为“实质性格式”文件。</w:t>
      </w:r>
    </w:p>
    <w:p w14:paraId="59CD4777">
      <w:pPr>
        <w:keepNext w:val="0"/>
        <w:keepLines w:val="0"/>
        <w:pageBreakBefore w:val="0"/>
        <w:widowControl w:val="0"/>
        <w:numPr>
          <w:ilvl w:val="0"/>
          <w:numId w:val="0"/>
        </w:numPr>
        <w:tabs>
          <w:tab w:val="left" w:pos="426"/>
          <w:tab w:val="left" w:pos="851"/>
        </w:tabs>
        <w:kinsoku/>
        <w:wordWrap/>
        <w:overflowPunct/>
        <w:topLinePunct w:val="0"/>
        <w:autoSpaceDE/>
        <w:autoSpaceDN/>
        <w:bidi w:val="0"/>
        <w:adjustRightInd/>
        <w:snapToGrid w:val="0"/>
        <w:spacing w:line="360" w:lineRule="auto"/>
        <w:ind w:leftChars="-50" w:right="62" w:rightChars="0"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投标人《资格证明文件》有任何一项不符合《资格审查要求》的，资格审查不合格，其</w:t>
      </w:r>
      <w:r>
        <w:rPr>
          <w:rFonts w:hint="eastAsia" w:ascii="仿宋" w:hAnsi="仿宋" w:eastAsia="仿宋" w:cs="仿宋"/>
          <w:b/>
          <w:color w:val="auto"/>
          <w:sz w:val="24"/>
          <w:szCs w:val="24"/>
          <w:highlight w:val="none"/>
        </w:rPr>
        <w:t>投标无效</w:t>
      </w:r>
      <w:r>
        <w:rPr>
          <w:rFonts w:hint="eastAsia" w:ascii="仿宋" w:hAnsi="仿宋" w:eastAsia="仿宋" w:cs="仿宋"/>
          <w:color w:val="auto"/>
          <w:sz w:val="24"/>
          <w:szCs w:val="24"/>
          <w:highlight w:val="none"/>
        </w:rPr>
        <w:t>。</w:t>
      </w:r>
    </w:p>
    <w:p w14:paraId="1E999202">
      <w:pPr>
        <w:keepNext w:val="0"/>
        <w:keepLines w:val="0"/>
        <w:pageBreakBefore w:val="0"/>
        <w:widowControl w:val="0"/>
        <w:numPr>
          <w:ilvl w:val="0"/>
          <w:numId w:val="0"/>
        </w:numPr>
        <w:tabs>
          <w:tab w:val="left" w:pos="426"/>
          <w:tab w:val="left" w:pos="851"/>
        </w:tabs>
        <w:kinsoku/>
        <w:wordWrap/>
        <w:overflowPunct/>
        <w:topLinePunct w:val="0"/>
        <w:autoSpaceDE/>
        <w:autoSpaceDN/>
        <w:bidi w:val="0"/>
        <w:adjustRightInd/>
        <w:snapToGrid w:val="0"/>
        <w:spacing w:line="360" w:lineRule="auto"/>
        <w:ind w:leftChars="-50" w:right="62" w:rightChars="0"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资格审查合格的投标人不足3家的，不进行评标。</w:t>
      </w:r>
    </w:p>
    <w:p w14:paraId="00557655">
      <w:pPr>
        <w:keepNext w:val="0"/>
        <w:keepLines w:val="0"/>
        <w:pageBreakBefore w:val="0"/>
        <w:widowControl w:val="0"/>
        <w:tabs>
          <w:tab w:val="left" w:pos="360"/>
          <w:tab w:val="left" w:pos="900"/>
        </w:tabs>
        <w:kinsoku/>
        <w:wordWrap/>
        <w:overflowPunct/>
        <w:topLinePunct w:val="0"/>
        <w:autoSpaceDE/>
        <w:autoSpaceDN/>
        <w:bidi w:val="0"/>
        <w:adjustRightInd/>
        <w:snapToGrid w:val="0"/>
        <w:spacing w:line="360" w:lineRule="auto"/>
        <w:jc w:val="left"/>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二、资格审查要求</w:t>
      </w:r>
    </w:p>
    <w:tbl>
      <w:tblPr>
        <w:tblStyle w:val="48"/>
        <w:tblW w:w="106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2"/>
        <w:gridCol w:w="2481"/>
        <w:gridCol w:w="5815"/>
        <w:gridCol w:w="1615"/>
      </w:tblGrid>
      <w:tr w14:paraId="2D81C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762" w:type="dxa"/>
            <w:noWrap w:val="0"/>
            <w:vAlign w:val="center"/>
          </w:tcPr>
          <w:p w14:paraId="233F2D65">
            <w:pPr>
              <w:keepNext w:val="0"/>
              <w:keepLines w:val="0"/>
              <w:pageBreakBefore w:val="0"/>
              <w:tabs>
                <w:tab w:val="left" w:pos="108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color w:val="auto"/>
                <w:sz w:val="24"/>
                <w:szCs w:val="24"/>
                <w:highlight w:val="none"/>
              </w:rPr>
            </w:pPr>
            <w:bookmarkStart w:id="83" w:name="_Hlt487972895"/>
            <w:bookmarkEnd w:id="83"/>
            <w:r>
              <w:rPr>
                <w:rFonts w:hint="eastAsia" w:ascii="仿宋" w:hAnsi="仿宋" w:eastAsia="仿宋" w:cs="仿宋"/>
                <w:b/>
                <w:color w:val="auto"/>
                <w:sz w:val="24"/>
                <w:szCs w:val="24"/>
                <w:highlight w:val="none"/>
              </w:rPr>
              <w:t>序号</w:t>
            </w:r>
          </w:p>
        </w:tc>
        <w:tc>
          <w:tcPr>
            <w:tcW w:w="2481" w:type="dxa"/>
            <w:noWrap w:val="0"/>
            <w:vAlign w:val="center"/>
          </w:tcPr>
          <w:p w14:paraId="4722F87D">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审查因素</w:t>
            </w:r>
          </w:p>
        </w:tc>
        <w:tc>
          <w:tcPr>
            <w:tcW w:w="5815" w:type="dxa"/>
            <w:noWrap w:val="0"/>
            <w:vAlign w:val="center"/>
          </w:tcPr>
          <w:p w14:paraId="5EA1B9C4">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审查内容</w:t>
            </w:r>
          </w:p>
        </w:tc>
        <w:tc>
          <w:tcPr>
            <w:tcW w:w="1615" w:type="dxa"/>
            <w:noWrap w:val="0"/>
            <w:vAlign w:val="center"/>
          </w:tcPr>
          <w:p w14:paraId="66AFC3A1">
            <w:pPr>
              <w:keepNext w:val="0"/>
              <w:keepLines w:val="0"/>
              <w:pageBreakBefore w:val="0"/>
              <w:tabs>
                <w:tab w:val="left" w:pos="108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备注</w:t>
            </w:r>
          </w:p>
        </w:tc>
      </w:tr>
      <w:tr w14:paraId="7B211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762" w:type="dxa"/>
            <w:noWrap w:val="0"/>
            <w:vAlign w:val="center"/>
          </w:tcPr>
          <w:p w14:paraId="051F1A46">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leftChars="0" w:right="62" w:righ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p>
        </w:tc>
        <w:tc>
          <w:tcPr>
            <w:tcW w:w="2481" w:type="dxa"/>
            <w:noWrap w:val="0"/>
            <w:vAlign w:val="center"/>
          </w:tcPr>
          <w:p w14:paraId="5CF0CD59">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leftChars="0" w:right="62"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营业执照</w:t>
            </w:r>
          </w:p>
          <w:p w14:paraId="1B4EA2C1">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leftChars="0" w:right="62"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2"/>
                <w:sz w:val="24"/>
                <w:szCs w:val="24"/>
                <w:highlight w:val="none"/>
                <w:lang w:val="en-US" w:eastAsia="zh-CN" w:bidi="ar-SA"/>
              </w:rPr>
              <w:t>三证合一</w:t>
            </w:r>
            <w:r>
              <w:rPr>
                <w:rFonts w:hint="eastAsia" w:ascii="仿宋" w:hAnsi="仿宋" w:eastAsia="仿宋" w:cs="仿宋"/>
                <w:color w:val="auto"/>
                <w:sz w:val="24"/>
                <w:szCs w:val="24"/>
                <w:highlight w:val="none"/>
                <w:lang w:val="en-US" w:eastAsia="zh-CN"/>
              </w:rPr>
              <w:t>）</w:t>
            </w:r>
          </w:p>
        </w:tc>
        <w:tc>
          <w:tcPr>
            <w:tcW w:w="5815" w:type="dxa"/>
            <w:noWrap w:val="0"/>
            <w:vAlign w:val="center"/>
          </w:tcPr>
          <w:p w14:paraId="650F79C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1615" w:type="dxa"/>
            <w:noWrap w:val="0"/>
            <w:vAlign w:val="center"/>
          </w:tcPr>
          <w:p w14:paraId="06D61A71">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按要求提供</w:t>
            </w:r>
          </w:p>
        </w:tc>
      </w:tr>
      <w:tr w14:paraId="4C89C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762" w:type="dxa"/>
            <w:noWrap w:val="0"/>
            <w:vAlign w:val="center"/>
          </w:tcPr>
          <w:p w14:paraId="635D1FC8">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leftChars="0" w:right="62" w:righ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p>
        </w:tc>
        <w:tc>
          <w:tcPr>
            <w:tcW w:w="2481" w:type="dxa"/>
            <w:noWrap w:val="0"/>
            <w:vAlign w:val="center"/>
          </w:tcPr>
          <w:p w14:paraId="14935E37">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120" w:leftChars="0" w:right="62" w:rightChars="0" w:hanging="120" w:hangingChars="5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法人身份证明或</w:t>
            </w:r>
          </w:p>
          <w:p w14:paraId="282D15B3">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120" w:leftChars="0" w:right="62" w:rightChars="0" w:hanging="120" w:hangingChars="5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授权委托书</w:t>
            </w:r>
          </w:p>
        </w:tc>
        <w:tc>
          <w:tcPr>
            <w:tcW w:w="5815" w:type="dxa"/>
            <w:noWrap w:val="0"/>
            <w:vAlign w:val="center"/>
          </w:tcPr>
          <w:p w14:paraId="203EA368">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是否提供</w:t>
            </w:r>
            <w:r>
              <w:rPr>
                <w:rFonts w:hint="eastAsia" w:ascii="仿宋" w:hAnsi="仿宋" w:eastAsia="仿宋" w:cs="仿宋"/>
                <w:b w:val="0"/>
                <w:bCs w:val="0"/>
                <w:color w:val="auto"/>
                <w:kern w:val="0"/>
                <w:sz w:val="24"/>
                <w:szCs w:val="24"/>
                <w:highlight w:val="none"/>
                <w:lang w:val="en-US" w:eastAsia="zh-CN" w:bidi="ar"/>
              </w:rPr>
              <w:t>法定代表人身份证明书</w:t>
            </w: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及法定代表人身份证复印件或</w:t>
            </w:r>
            <w:r>
              <w:rPr>
                <w:rFonts w:hint="eastAsia" w:ascii="仿宋" w:hAnsi="仿宋" w:eastAsia="仿宋" w:cs="仿宋"/>
                <w:b w:val="0"/>
                <w:bCs w:val="0"/>
                <w:color w:val="auto"/>
                <w:kern w:val="0"/>
                <w:sz w:val="24"/>
                <w:szCs w:val="24"/>
                <w:highlight w:val="none"/>
                <w:lang w:val="en-US" w:eastAsia="zh-CN" w:bidi="ar"/>
              </w:rPr>
              <w:t>法定代表人授权委托书及被委托人身份证复印件</w:t>
            </w: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w:t>
            </w:r>
          </w:p>
        </w:tc>
        <w:tc>
          <w:tcPr>
            <w:tcW w:w="1615" w:type="dxa"/>
            <w:noWrap w:val="0"/>
            <w:vAlign w:val="center"/>
          </w:tcPr>
          <w:p w14:paraId="0C363455">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按要求提供</w:t>
            </w:r>
          </w:p>
        </w:tc>
      </w:tr>
      <w:tr w14:paraId="2B381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7" w:hRule="atLeast"/>
          <w:jc w:val="center"/>
        </w:trPr>
        <w:tc>
          <w:tcPr>
            <w:tcW w:w="762" w:type="dxa"/>
            <w:noWrap w:val="0"/>
            <w:vAlign w:val="center"/>
          </w:tcPr>
          <w:p w14:paraId="7FF9A00D">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leftChars="0" w:right="62" w:righ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c>
          <w:tcPr>
            <w:tcW w:w="2481" w:type="dxa"/>
            <w:noWrap w:val="0"/>
            <w:vAlign w:val="center"/>
          </w:tcPr>
          <w:p w14:paraId="359A150F">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120" w:leftChars="0" w:right="62" w:rightChars="0" w:hanging="120" w:hangingChars="5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社保证明</w:t>
            </w:r>
          </w:p>
        </w:tc>
        <w:tc>
          <w:tcPr>
            <w:tcW w:w="5815" w:type="dxa"/>
            <w:noWrap w:val="0"/>
            <w:vAlign w:val="center"/>
          </w:tcPr>
          <w:p w14:paraId="39D1F2D9">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rPr>
              <w:t>是否提供</w:t>
            </w:r>
            <w:r>
              <w:rPr>
                <w:rFonts w:hint="eastAsia" w:ascii="仿宋" w:hAnsi="仿宋" w:eastAsia="仿宋" w:cs="仿宋"/>
                <w:b w:val="0"/>
                <w:bCs w:val="0"/>
                <w:color w:val="auto"/>
                <w:sz w:val="24"/>
                <w:szCs w:val="24"/>
                <w:highlight w:val="none"/>
                <w:lang w:val="en-US" w:eastAsia="zh-CN"/>
              </w:rPr>
              <w:t>本单位缴纳的近三个月（近三个月是指2026年02月-2026年04月）社保缴纳证明（社保证明材料须是社保局出具的缴纳证明或社保系统导出的缴纳汇总凭证；新成立不足三个月的公司以实际发生的为准，如依法不需要缴纳社会保障资金的，应提供相应文件证明）</w:t>
            </w:r>
            <w:r>
              <w:rPr>
                <w:rFonts w:hint="eastAsia" w:ascii="仿宋" w:hAnsi="仿宋" w:eastAsia="仿宋" w:cs="仿宋"/>
                <w:b w:val="0"/>
                <w:bCs w:val="0"/>
                <w:color w:val="auto"/>
                <w:kern w:val="0"/>
                <w:sz w:val="24"/>
                <w:szCs w:val="24"/>
                <w:highlight w:val="none"/>
                <w:lang w:val="en-US" w:eastAsia="zh-CN"/>
              </w:rPr>
              <w:t>；</w:t>
            </w:r>
          </w:p>
        </w:tc>
        <w:tc>
          <w:tcPr>
            <w:tcW w:w="1615" w:type="dxa"/>
            <w:noWrap w:val="0"/>
            <w:vAlign w:val="center"/>
          </w:tcPr>
          <w:p w14:paraId="1A25C288">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按要求提供</w:t>
            </w:r>
          </w:p>
        </w:tc>
      </w:tr>
      <w:tr w14:paraId="73FE0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1" w:hRule="atLeast"/>
          <w:jc w:val="center"/>
        </w:trPr>
        <w:tc>
          <w:tcPr>
            <w:tcW w:w="762" w:type="dxa"/>
            <w:noWrap w:val="0"/>
            <w:vAlign w:val="center"/>
          </w:tcPr>
          <w:p w14:paraId="7ACF2381">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leftChars="0" w:right="62" w:righ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2481" w:type="dxa"/>
            <w:noWrap w:val="0"/>
            <w:vAlign w:val="center"/>
          </w:tcPr>
          <w:p w14:paraId="3A1109FD">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120" w:leftChars="0" w:right="62" w:rightChars="0" w:hanging="120" w:hangingChars="5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审计报告</w:t>
            </w:r>
          </w:p>
        </w:tc>
        <w:tc>
          <w:tcPr>
            <w:tcW w:w="5815" w:type="dxa"/>
            <w:noWrap w:val="0"/>
            <w:vAlign w:val="center"/>
          </w:tcPr>
          <w:p w14:paraId="4F269826">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是否提供</w:t>
            </w:r>
            <w:r>
              <w:rPr>
                <w:rFonts w:hint="eastAsia" w:ascii="仿宋" w:hAnsi="仿宋" w:eastAsia="仿宋" w:cs="仿宋"/>
                <w:b w:val="0"/>
                <w:bCs w:val="0"/>
                <w:color w:val="auto"/>
                <w:sz w:val="24"/>
                <w:szCs w:val="24"/>
                <w:highlight w:val="none"/>
                <w:lang w:val="en-US" w:eastAsia="zh-CN"/>
              </w:rPr>
              <w:t>2024年度或2025年度第三方审计机构出具的财务审计报告（会计周期不满一年的可不提供财务审计报告但需提供银行出具的近三个月的资信证明）</w:t>
            </w: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w:t>
            </w:r>
          </w:p>
        </w:tc>
        <w:tc>
          <w:tcPr>
            <w:tcW w:w="1615" w:type="dxa"/>
            <w:noWrap w:val="0"/>
            <w:vAlign w:val="center"/>
          </w:tcPr>
          <w:p w14:paraId="564B21E5">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按要求提供</w:t>
            </w:r>
          </w:p>
        </w:tc>
      </w:tr>
      <w:tr w14:paraId="1A495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4" w:hRule="atLeast"/>
          <w:jc w:val="center"/>
        </w:trPr>
        <w:tc>
          <w:tcPr>
            <w:tcW w:w="762" w:type="dxa"/>
            <w:noWrap w:val="0"/>
            <w:vAlign w:val="center"/>
          </w:tcPr>
          <w:p w14:paraId="2072D17E">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leftChars="0" w:right="62" w:righ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2481" w:type="dxa"/>
            <w:noWrap w:val="0"/>
            <w:vAlign w:val="center"/>
          </w:tcPr>
          <w:p w14:paraId="7CFFD2DF">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120" w:leftChars="0" w:right="62" w:rightChars="0" w:hanging="120" w:hangingChars="5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完税证明</w:t>
            </w:r>
          </w:p>
        </w:tc>
        <w:tc>
          <w:tcPr>
            <w:tcW w:w="5815" w:type="dxa"/>
            <w:noWrap w:val="0"/>
            <w:vAlign w:val="center"/>
          </w:tcPr>
          <w:p w14:paraId="645F1CF9">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rPr>
              <w:t>是否提供</w:t>
            </w:r>
            <w:r>
              <w:rPr>
                <w:rFonts w:hint="eastAsia" w:ascii="仿宋" w:hAnsi="仿宋" w:eastAsia="仿宋" w:cs="仿宋"/>
                <w:b w:val="0"/>
                <w:bCs w:val="0"/>
                <w:color w:val="auto"/>
                <w:sz w:val="24"/>
                <w:szCs w:val="24"/>
                <w:highlight w:val="none"/>
                <w:lang w:val="en-US" w:eastAsia="zh-CN"/>
              </w:rPr>
              <w:t>税务部门出具近三个月（近三个月是指2026年01月-2026年03月）依法缴纳税收的完税证明（需含增值税、印花税等税种；如当月无需缴税需提供税务机关出具的无欠税证明），新成立公司按实际发生提供税务机关出具的无欠税证明</w:t>
            </w:r>
            <w:r>
              <w:rPr>
                <w:rFonts w:hint="eastAsia" w:ascii="仿宋" w:hAnsi="仿宋" w:eastAsia="仿宋" w:cs="仿宋"/>
                <w:b w:val="0"/>
                <w:bCs w:val="0"/>
                <w:color w:val="auto"/>
                <w:kern w:val="0"/>
                <w:sz w:val="24"/>
                <w:szCs w:val="24"/>
                <w:highlight w:val="none"/>
                <w:lang w:val="en-US" w:eastAsia="zh-CN"/>
              </w:rPr>
              <w:t>；</w:t>
            </w:r>
          </w:p>
        </w:tc>
        <w:tc>
          <w:tcPr>
            <w:tcW w:w="1615" w:type="dxa"/>
            <w:noWrap w:val="0"/>
            <w:vAlign w:val="center"/>
          </w:tcPr>
          <w:p w14:paraId="56A74436">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按要求提供</w:t>
            </w:r>
          </w:p>
        </w:tc>
      </w:tr>
      <w:tr w14:paraId="1EEF9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 w:hRule="atLeast"/>
          <w:jc w:val="center"/>
        </w:trPr>
        <w:tc>
          <w:tcPr>
            <w:tcW w:w="762" w:type="dxa"/>
            <w:noWrap w:val="0"/>
            <w:vAlign w:val="center"/>
          </w:tcPr>
          <w:p w14:paraId="719D0DF6">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leftChars="0" w:right="62"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2481" w:type="dxa"/>
            <w:noWrap w:val="0"/>
            <w:vAlign w:val="center"/>
          </w:tcPr>
          <w:p w14:paraId="329E646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shd w:val="clear" w:color="auto" w:fill="FFFFFF"/>
                <w:lang w:val="en-US" w:eastAsia="zh-CN" w:bidi="ar-SA"/>
              </w:rPr>
              <w:t>声明函</w:t>
            </w:r>
          </w:p>
        </w:tc>
        <w:tc>
          <w:tcPr>
            <w:tcW w:w="5815" w:type="dxa"/>
            <w:noWrap w:val="0"/>
            <w:vAlign w:val="center"/>
          </w:tcPr>
          <w:p w14:paraId="12686C3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kern w:val="2"/>
                <w:sz w:val="24"/>
                <w:szCs w:val="24"/>
                <w:highlight w:val="none"/>
                <w:shd w:val="clear" w:color="auto" w:fill="FFFFFF"/>
                <w:lang w:val="en-US" w:eastAsia="zh-CN" w:bidi="ar-SA"/>
              </w:rPr>
              <w:t>具备履行合同所必需的设备和专业技术能力（提供《资格声明函》，格式自拟）；</w:t>
            </w:r>
          </w:p>
        </w:tc>
        <w:tc>
          <w:tcPr>
            <w:tcW w:w="1615" w:type="dxa"/>
            <w:noWrap w:val="0"/>
            <w:vAlign w:val="center"/>
          </w:tcPr>
          <w:p w14:paraId="235DC980">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right="62"/>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按要求提供</w:t>
            </w:r>
          </w:p>
        </w:tc>
      </w:tr>
      <w:tr w14:paraId="000AF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62" w:type="dxa"/>
            <w:noWrap w:val="0"/>
            <w:vAlign w:val="center"/>
          </w:tcPr>
          <w:p w14:paraId="4C5462C2">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leftChars="0" w:right="62"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2481" w:type="dxa"/>
            <w:noWrap w:val="0"/>
            <w:vAlign w:val="center"/>
          </w:tcPr>
          <w:p w14:paraId="14E695B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shd w:val="clear" w:color="auto" w:fill="FFFFFF"/>
                <w:lang w:val="en-US" w:eastAsia="zh-CN" w:bidi="ar-SA"/>
              </w:rPr>
              <w:t>声明函</w:t>
            </w:r>
          </w:p>
        </w:tc>
        <w:tc>
          <w:tcPr>
            <w:tcW w:w="5815" w:type="dxa"/>
            <w:noWrap w:val="0"/>
            <w:vAlign w:val="center"/>
          </w:tcPr>
          <w:p w14:paraId="7D8E8A8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kern w:val="2"/>
                <w:sz w:val="24"/>
                <w:szCs w:val="24"/>
                <w:highlight w:val="none"/>
                <w:shd w:val="clear" w:color="auto" w:fill="FFFFFF"/>
                <w:lang w:val="en-US" w:eastAsia="zh-CN" w:bidi="ar-SA"/>
              </w:rPr>
              <w:t>参加采购活动前3年内，在经营活动中没有重大违法记录（提供声明函，格式自拟）；</w:t>
            </w:r>
          </w:p>
        </w:tc>
        <w:tc>
          <w:tcPr>
            <w:tcW w:w="1615" w:type="dxa"/>
            <w:noWrap w:val="0"/>
            <w:vAlign w:val="center"/>
          </w:tcPr>
          <w:p w14:paraId="0E13AA7F">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right="62"/>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按要求提供</w:t>
            </w:r>
          </w:p>
        </w:tc>
      </w:tr>
      <w:tr w14:paraId="55C03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9" w:hRule="atLeast"/>
          <w:jc w:val="center"/>
        </w:trPr>
        <w:tc>
          <w:tcPr>
            <w:tcW w:w="762" w:type="dxa"/>
            <w:noWrap w:val="0"/>
            <w:vAlign w:val="center"/>
          </w:tcPr>
          <w:p w14:paraId="3813C3B5">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leftChars="0" w:right="62" w:righ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2481" w:type="dxa"/>
            <w:noWrap w:val="0"/>
            <w:vAlign w:val="center"/>
          </w:tcPr>
          <w:p w14:paraId="340F70E2">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120" w:leftChars="0" w:right="62" w:rightChars="0" w:hanging="120" w:hangingChars="5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投标人信用记录</w:t>
            </w:r>
          </w:p>
        </w:tc>
        <w:tc>
          <w:tcPr>
            <w:tcW w:w="5815" w:type="dxa"/>
            <w:noWrap w:val="0"/>
            <w:vAlign w:val="center"/>
          </w:tcPr>
          <w:p w14:paraId="7A72941C">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凡拟参加本次招标项目的投标人近三年内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被列入经营异常名录信息、严重违法失信名单（黑名单）信息（尚在处罚期内的）；将拒绝其参与本次政府采购活动</w:t>
            </w:r>
            <w:r>
              <w:rPr>
                <w:rFonts w:hint="eastAsia" w:ascii="仿宋" w:hAnsi="仿宋" w:eastAsia="仿宋" w:cs="仿宋"/>
                <w:color w:val="auto"/>
                <w:kern w:val="0"/>
                <w:sz w:val="24"/>
                <w:szCs w:val="24"/>
                <w:highlight w:val="none"/>
                <w:lang w:val="en-US" w:eastAsia="zh-CN" w:bidi="ar"/>
              </w:rPr>
              <w:t>；</w:t>
            </w:r>
          </w:p>
        </w:tc>
        <w:tc>
          <w:tcPr>
            <w:tcW w:w="1615" w:type="dxa"/>
            <w:noWrap w:val="0"/>
            <w:vAlign w:val="center"/>
          </w:tcPr>
          <w:p w14:paraId="1577904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按要求提供</w:t>
            </w:r>
          </w:p>
          <w:p w14:paraId="59AFA92C">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right="62"/>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（以招标代理机构现场查询为准）</w:t>
            </w:r>
          </w:p>
        </w:tc>
      </w:tr>
      <w:tr w14:paraId="240FA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 w:hRule="atLeast"/>
          <w:jc w:val="center"/>
        </w:trPr>
        <w:tc>
          <w:tcPr>
            <w:tcW w:w="762" w:type="dxa"/>
            <w:noWrap w:val="0"/>
            <w:vAlign w:val="center"/>
          </w:tcPr>
          <w:p w14:paraId="7B951AF5">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leftChars="0" w:right="62"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2481" w:type="dxa"/>
            <w:noWrap w:val="0"/>
            <w:vAlign w:val="center"/>
          </w:tcPr>
          <w:p w14:paraId="27648485">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120" w:leftChars="0" w:right="62" w:rightChars="0" w:hanging="120" w:hangingChars="5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供应商关系</w:t>
            </w:r>
          </w:p>
        </w:tc>
        <w:tc>
          <w:tcPr>
            <w:tcW w:w="5815" w:type="dxa"/>
            <w:noWrap w:val="0"/>
            <w:vAlign w:val="center"/>
          </w:tcPr>
          <w:p w14:paraId="7742C177">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企业负责人为同一人或者存在直接控股、管理关系的不同供应商，不得参加同一合同项下的政府采购活动。否则，皆取消投标资格</w:t>
            </w:r>
            <w:r>
              <w:rPr>
                <w:rFonts w:hint="eastAsia" w:ascii="仿宋" w:hAnsi="仿宋" w:eastAsia="仿宋" w:cs="仿宋"/>
                <w:color w:val="000000"/>
                <w:kern w:val="2"/>
                <w:sz w:val="24"/>
                <w:szCs w:val="24"/>
                <w:lang w:val="en-US" w:eastAsia="zh-CN" w:bidi="ar-SA"/>
              </w:rPr>
              <w:t>（提供承诺书，格式自拟；若不提供或提供虚假材料，将作否决投标处理！）</w:t>
            </w:r>
            <w:r>
              <w:rPr>
                <w:rFonts w:hint="eastAsia" w:ascii="仿宋" w:hAnsi="仿宋" w:eastAsia="仿宋" w:cs="仿宋"/>
                <w:color w:val="auto"/>
                <w:kern w:val="0"/>
                <w:sz w:val="24"/>
                <w:szCs w:val="24"/>
                <w:highlight w:val="none"/>
                <w:lang w:val="en-US" w:eastAsia="zh-CN" w:bidi="ar"/>
              </w:rPr>
              <w:t>；</w:t>
            </w:r>
          </w:p>
        </w:tc>
        <w:tc>
          <w:tcPr>
            <w:tcW w:w="1615" w:type="dxa"/>
            <w:noWrap w:val="0"/>
            <w:vAlign w:val="center"/>
          </w:tcPr>
          <w:p w14:paraId="14C963C6">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按要求提供</w:t>
            </w:r>
          </w:p>
        </w:tc>
      </w:tr>
      <w:tr w14:paraId="153F7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2" w:type="dxa"/>
            <w:noWrap w:val="0"/>
            <w:vAlign w:val="center"/>
          </w:tcPr>
          <w:p w14:paraId="4C722C4A">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leftChars="0" w:right="62"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2481" w:type="dxa"/>
            <w:noWrap w:val="0"/>
            <w:vAlign w:val="center"/>
          </w:tcPr>
          <w:p w14:paraId="705A94BF">
            <w:pPr>
              <w:keepNext w:val="0"/>
              <w:keepLines w:val="0"/>
              <w:pageBreakBefore w:val="0"/>
              <w:widowControl w:val="0"/>
              <w:tabs>
                <w:tab w:val="left" w:pos="1080"/>
              </w:tabs>
              <w:kinsoku/>
              <w:wordWrap/>
              <w:overflowPunct/>
              <w:topLinePunct w:val="0"/>
              <w:autoSpaceDE/>
              <w:autoSpaceDN/>
              <w:bidi w:val="0"/>
              <w:adjustRightInd w:val="0"/>
              <w:snapToGrid w:val="0"/>
              <w:spacing w:line="360" w:lineRule="auto"/>
              <w:ind w:left="120" w:leftChars="0" w:right="62" w:rightChars="0" w:hanging="120" w:hangingChars="5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投标保证金</w:t>
            </w:r>
          </w:p>
        </w:tc>
        <w:tc>
          <w:tcPr>
            <w:tcW w:w="5815" w:type="dxa"/>
            <w:noWrap w:val="0"/>
            <w:vAlign w:val="center"/>
          </w:tcPr>
          <w:p w14:paraId="0063AB12">
            <w:pPr>
              <w:keepNext w:val="0"/>
              <w:keepLines w:val="0"/>
              <w:pageBreakBefore w:val="0"/>
              <w:widowControl w:val="0"/>
              <w:tabs>
                <w:tab w:val="left" w:pos="1080"/>
              </w:tabs>
              <w:kinsoku/>
              <w:wordWrap/>
              <w:overflowPunct/>
              <w:topLinePunct w:val="0"/>
              <w:autoSpaceDE/>
              <w:autoSpaceDN/>
              <w:bidi w:val="0"/>
              <w:adjustRightInd w:val="0"/>
              <w:snapToGrid w:val="0"/>
              <w:spacing w:line="360" w:lineRule="auto"/>
              <w:ind w:left="120" w:leftChars="0" w:right="62" w:rightChars="0" w:hanging="120" w:hangingChars="5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是否按照采购文件要求足额缴纳保证金或电子保函</w:t>
            </w: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w:t>
            </w:r>
          </w:p>
        </w:tc>
        <w:tc>
          <w:tcPr>
            <w:tcW w:w="1615" w:type="dxa"/>
            <w:noWrap w:val="0"/>
            <w:vAlign w:val="center"/>
          </w:tcPr>
          <w:p w14:paraId="6869BA48">
            <w:pPr>
              <w:keepNext w:val="0"/>
              <w:keepLines w:val="0"/>
              <w:pageBreakBefore w:val="0"/>
              <w:widowControl w:val="0"/>
              <w:tabs>
                <w:tab w:val="left" w:pos="1080"/>
              </w:tabs>
              <w:kinsoku/>
              <w:wordWrap/>
              <w:overflowPunct/>
              <w:topLinePunct w:val="0"/>
              <w:autoSpaceDE/>
              <w:autoSpaceDN/>
              <w:bidi w:val="0"/>
              <w:adjustRightInd w:val="0"/>
              <w:snapToGrid w:val="0"/>
              <w:spacing w:line="360" w:lineRule="auto"/>
              <w:ind w:left="0"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按要求提供</w:t>
            </w:r>
          </w:p>
        </w:tc>
      </w:tr>
    </w:tbl>
    <w:p w14:paraId="6A3CE9CD">
      <w:pPr>
        <w:keepNext w:val="0"/>
        <w:keepLines w:val="0"/>
        <w:pageBreakBefore w:val="0"/>
        <w:widowControl w:val="0"/>
        <w:tabs>
          <w:tab w:val="left" w:pos="360"/>
          <w:tab w:val="left" w:pos="900"/>
        </w:tabs>
        <w:kinsoku/>
        <w:wordWrap/>
        <w:overflowPunct/>
        <w:topLinePunct w:val="0"/>
        <w:autoSpaceDE/>
        <w:autoSpaceDN/>
        <w:bidi w:val="0"/>
        <w:adjustRightInd/>
        <w:snapToGrid w:val="0"/>
        <w:spacing w:line="360" w:lineRule="auto"/>
        <w:jc w:val="both"/>
        <w:textAlignment w:val="auto"/>
        <w:outlineLvl w:val="1"/>
        <w:rPr>
          <w:rFonts w:hint="eastAsia" w:ascii="仿宋" w:hAnsi="仿宋" w:eastAsia="仿宋" w:cs="仿宋"/>
          <w:b w:val="0"/>
          <w:bCs w:val="0"/>
          <w:color w:val="auto"/>
          <w:kern w:val="0"/>
          <w:sz w:val="24"/>
          <w:szCs w:val="24"/>
          <w:highlight w:val="none"/>
          <w:lang w:val="zh-CN" w:eastAsia="zh-CN"/>
        </w:rPr>
      </w:pPr>
      <w:r>
        <w:rPr>
          <w:rFonts w:hint="eastAsia" w:ascii="仿宋" w:hAnsi="仿宋" w:eastAsia="仿宋" w:cs="仿宋"/>
          <w:b/>
          <w:bCs/>
          <w:color w:val="auto"/>
          <w:kern w:val="0"/>
          <w:sz w:val="24"/>
          <w:szCs w:val="24"/>
          <w:highlight w:val="none"/>
          <w:lang w:val="zh-CN" w:eastAsia="zh-CN"/>
        </w:rPr>
        <w:t>备注：</w:t>
      </w:r>
      <w:r>
        <w:rPr>
          <w:rFonts w:hint="eastAsia" w:ascii="仿宋" w:hAnsi="仿宋" w:eastAsia="仿宋" w:cs="仿宋"/>
          <w:b w:val="0"/>
          <w:bCs w:val="0"/>
          <w:color w:val="auto"/>
          <w:kern w:val="0"/>
          <w:sz w:val="24"/>
          <w:szCs w:val="24"/>
          <w:highlight w:val="none"/>
          <w:lang w:val="zh-CN" w:eastAsia="zh-CN"/>
        </w:rPr>
        <w:t>如资格评审中有一项不满足审查标准的，</w:t>
      </w:r>
      <w:r>
        <w:rPr>
          <w:rFonts w:hint="eastAsia" w:ascii="仿宋" w:hAnsi="仿宋" w:eastAsia="仿宋" w:cs="仿宋"/>
          <w:b w:val="0"/>
          <w:bCs w:val="0"/>
          <w:color w:val="auto"/>
          <w:kern w:val="0"/>
          <w:sz w:val="24"/>
          <w:szCs w:val="24"/>
          <w:highlight w:val="none"/>
          <w:lang w:val="en-US" w:eastAsia="zh-CN"/>
        </w:rPr>
        <w:t>评审</w:t>
      </w:r>
      <w:r>
        <w:rPr>
          <w:rFonts w:hint="eastAsia" w:ascii="仿宋" w:hAnsi="仿宋" w:eastAsia="仿宋" w:cs="仿宋"/>
          <w:b w:val="0"/>
          <w:bCs w:val="0"/>
          <w:color w:val="auto"/>
          <w:kern w:val="0"/>
          <w:sz w:val="24"/>
          <w:szCs w:val="24"/>
          <w:highlight w:val="none"/>
          <w:lang w:val="zh-CN" w:eastAsia="zh-CN"/>
        </w:rPr>
        <w:t>小组将认定该响应供应商不通过资格审查，不得进入下一阶段评审。并且不允许响应供应商通过修改或撤销其不符合要求的差异或保留，使之成为具有响应性的投标。</w:t>
      </w:r>
    </w:p>
    <w:p w14:paraId="0077993C">
      <w:pPr>
        <w:keepNext w:val="0"/>
        <w:keepLines w:val="0"/>
        <w:pageBreakBefore w:val="0"/>
        <w:widowControl w:val="0"/>
        <w:tabs>
          <w:tab w:val="left" w:pos="360"/>
          <w:tab w:val="left" w:pos="900"/>
        </w:tabs>
        <w:kinsoku/>
        <w:wordWrap/>
        <w:overflowPunct/>
        <w:topLinePunct w:val="0"/>
        <w:autoSpaceDE/>
        <w:autoSpaceDN/>
        <w:bidi w:val="0"/>
        <w:adjustRightInd/>
        <w:snapToGrid w:val="0"/>
        <w:spacing w:line="360" w:lineRule="auto"/>
        <w:jc w:val="left"/>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、评标方法</w:t>
      </w:r>
    </w:p>
    <w:p w14:paraId="78432CAA">
      <w:pPr>
        <w:keepNext w:val="0"/>
        <w:keepLines w:val="0"/>
        <w:pageBreakBefore w:val="0"/>
        <w:widowControl w:val="0"/>
        <w:numPr>
          <w:ilvl w:val="0"/>
          <w:numId w:val="0"/>
        </w:numPr>
        <w:tabs>
          <w:tab w:val="left" w:pos="360"/>
        </w:tabs>
        <w:kinsoku/>
        <w:wordWrap/>
        <w:overflowPunct/>
        <w:topLinePunct w:val="0"/>
        <w:autoSpaceDE/>
        <w:autoSpaceDN/>
        <w:bidi w:val="0"/>
        <w:adjustRightInd/>
        <w:snapToGrid w:val="0"/>
        <w:spacing w:line="360" w:lineRule="auto"/>
        <w:ind w:leftChars="0" w:firstLine="240" w:firstLineChars="100"/>
        <w:textAlignment w:val="auto"/>
        <w:outlineLvl w:val="1"/>
        <w:rPr>
          <w:rFonts w:hint="eastAsia" w:ascii="仿宋" w:hAnsi="仿宋" w:eastAsia="仿宋" w:cs="仿宋"/>
          <w:color w:val="auto"/>
          <w:sz w:val="24"/>
          <w:szCs w:val="24"/>
          <w:highlight w:val="none"/>
        </w:rPr>
      </w:pPr>
      <w:bookmarkStart w:id="84" w:name="_Toc305158883"/>
      <w:bookmarkStart w:id="85" w:name="_Toc164608810"/>
      <w:bookmarkStart w:id="86" w:name="_Toc164351635"/>
      <w:bookmarkStart w:id="87" w:name="_Toc226965814"/>
      <w:bookmarkStart w:id="88" w:name="_Toc150774641"/>
      <w:bookmarkStart w:id="89" w:name="_Toc164229236"/>
      <w:bookmarkStart w:id="90" w:name="_Toc226337237"/>
      <w:bookmarkStart w:id="91" w:name="_Toc151193855"/>
      <w:bookmarkStart w:id="92" w:name="_Toc151193783"/>
      <w:bookmarkStart w:id="93" w:name="_Toc151193929"/>
      <w:bookmarkStart w:id="94" w:name="_Toc127151742"/>
      <w:bookmarkStart w:id="95" w:name="_Toc164229382"/>
      <w:bookmarkStart w:id="96" w:name="_Toc226965731"/>
      <w:bookmarkStart w:id="97" w:name="_Toc151193639"/>
      <w:bookmarkStart w:id="98" w:name="_Toc151190168"/>
      <w:bookmarkStart w:id="99" w:name="_Toc127161455"/>
      <w:bookmarkStart w:id="100" w:name="_Toc226309785"/>
      <w:bookmarkStart w:id="101" w:name="_Toc264969231"/>
      <w:bookmarkStart w:id="102" w:name="_Toc164608655"/>
      <w:bookmarkStart w:id="103" w:name="_Toc151193711"/>
      <w:bookmarkStart w:id="104" w:name="_Toc127151541"/>
      <w:bookmarkStart w:id="105" w:name="_Toc195842906"/>
      <w:bookmarkStart w:id="106" w:name="_Toc142311043"/>
      <w:bookmarkStart w:id="107" w:name="_Toc149720834"/>
      <w:bookmarkStart w:id="108" w:name="_Toc150774746"/>
      <w:bookmarkStart w:id="109" w:name="_Toc150480779"/>
      <w:bookmarkStart w:id="110" w:name="_Toc265228379"/>
      <w:bookmarkStart w:id="111" w:name="_Toc150509292"/>
      <w:bookmarkStart w:id="112" w:name="_Toc305158809"/>
      <w:bookmarkStart w:id="113" w:name="_Toc353825551"/>
      <w:bookmarkStart w:id="114" w:name="_Toc353873941"/>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投标文件的符合性审查</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73AD67C5">
      <w:pPr>
        <w:keepNext w:val="0"/>
        <w:keepLines w:val="0"/>
        <w:pageBreakBefore w:val="0"/>
        <w:widowControl w:val="0"/>
        <w:numPr>
          <w:ilvl w:val="0"/>
          <w:numId w:val="0"/>
        </w:numPr>
        <w:tabs>
          <w:tab w:val="left" w:pos="1080"/>
        </w:tabs>
        <w:kinsoku/>
        <w:wordWrap/>
        <w:overflowPunct/>
        <w:topLinePunct w:val="0"/>
        <w:autoSpaceDE/>
        <w:autoSpaceDN/>
        <w:bidi w:val="0"/>
        <w:adjustRightInd/>
        <w:snapToGrid w:val="0"/>
        <w:spacing w:line="360" w:lineRule="auto"/>
        <w:ind w:leftChars="-50" w:right="62" w:rightChars="0"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评标委员会对资格审查合格的投标人的投标文件进行符合性审查，以确定其是否满足招标文件的实质性要求。</w:t>
      </w:r>
      <w:bookmarkStart w:id="115" w:name="_Toc520356167"/>
    </w:p>
    <w:p w14:paraId="3F74AAAB">
      <w:pPr>
        <w:keepNext w:val="0"/>
        <w:keepLines w:val="0"/>
        <w:pageBreakBefore w:val="0"/>
        <w:widowControl w:val="0"/>
        <w:numPr>
          <w:ilvl w:val="0"/>
          <w:numId w:val="0"/>
        </w:numPr>
        <w:tabs>
          <w:tab w:val="left" w:pos="1080"/>
        </w:tabs>
        <w:kinsoku/>
        <w:wordWrap/>
        <w:overflowPunct/>
        <w:topLinePunct w:val="0"/>
        <w:autoSpaceDE/>
        <w:autoSpaceDN/>
        <w:bidi w:val="0"/>
        <w:adjustRightInd/>
        <w:snapToGrid w:val="0"/>
        <w:spacing w:line="360" w:lineRule="auto"/>
        <w:ind w:leftChars="-50" w:right="62" w:rightChars="0"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115"/>
      <w:r>
        <w:rPr>
          <w:rFonts w:hint="eastAsia" w:ascii="仿宋" w:hAnsi="仿宋" w:eastAsia="仿宋" w:cs="仿宋"/>
          <w:color w:val="auto"/>
          <w:sz w:val="24"/>
          <w:szCs w:val="24"/>
          <w:highlight w:val="none"/>
        </w:rPr>
        <w:t>要求的，</w:t>
      </w:r>
      <w:r>
        <w:rPr>
          <w:rFonts w:hint="eastAsia" w:ascii="仿宋" w:hAnsi="仿宋" w:eastAsia="仿宋" w:cs="仿宋"/>
          <w:b/>
          <w:color w:val="auto"/>
          <w:sz w:val="24"/>
          <w:szCs w:val="24"/>
          <w:highlight w:val="none"/>
        </w:rPr>
        <w:t>投标无效</w:t>
      </w:r>
      <w:r>
        <w:rPr>
          <w:rFonts w:hint="eastAsia" w:ascii="仿宋" w:hAnsi="仿宋" w:eastAsia="仿宋" w:cs="仿宋"/>
          <w:color w:val="auto"/>
          <w:sz w:val="24"/>
          <w:szCs w:val="24"/>
          <w:highlight w:val="none"/>
        </w:rPr>
        <w:t>。</w:t>
      </w:r>
    </w:p>
    <w:p w14:paraId="317EC689">
      <w:pPr>
        <w:keepNext w:val="0"/>
        <w:keepLines w:val="0"/>
        <w:pageBreakBefore w:val="0"/>
        <w:widowControl w:val="0"/>
        <w:tabs>
          <w:tab w:val="left" w:pos="900"/>
          <w:tab w:val="left" w:pos="1080"/>
          <w:tab w:val="left" w:pos="1589"/>
        </w:tabs>
        <w:kinsoku/>
        <w:wordWrap/>
        <w:overflowPunct/>
        <w:topLinePunct w:val="0"/>
        <w:autoSpaceDE/>
        <w:autoSpaceDN/>
        <w:bidi w:val="0"/>
        <w:adjustRightInd/>
        <w:snapToGrid w:val="0"/>
        <w:spacing w:line="360" w:lineRule="auto"/>
        <w:ind w:leftChars="-170" w:hanging="416" w:hangingChars="148"/>
        <w:jc w:val="center"/>
        <w:textAlignment w:val="auto"/>
        <w:rPr>
          <w:rFonts w:hint="eastAsia" w:ascii="仿宋" w:hAnsi="仿宋" w:eastAsia="仿宋" w:cs="仿宋"/>
          <w:b/>
          <w:color w:val="auto"/>
          <w:sz w:val="28"/>
          <w:szCs w:val="28"/>
          <w:highlight w:val="none"/>
        </w:rPr>
      </w:pPr>
    </w:p>
    <w:p w14:paraId="44235ED4">
      <w:pPr>
        <w:keepNext w:val="0"/>
        <w:keepLines w:val="0"/>
        <w:pageBreakBefore w:val="0"/>
        <w:widowControl w:val="0"/>
        <w:tabs>
          <w:tab w:val="left" w:pos="900"/>
          <w:tab w:val="left" w:pos="1080"/>
          <w:tab w:val="left" w:pos="1589"/>
        </w:tabs>
        <w:kinsoku/>
        <w:wordWrap/>
        <w:overflowPunct/>
        <w:topLinePunct w:val="0"/>
        <w:autoSpaceDE/>
        <w:autoSpaceDN/>
        <w:bidi w:val="0"/>
        <w:adjustRightInd/>
        <w:snapToGrid w:val="0"/>
        <w:spacing w:line="360" w:lineRule="auto"/>
        <w:ind w:leftChars="-170" w:hanging="416" w:hangingChars="148"/>
        <w:jc w:val="center"/>
        <w:textAlignment w:val="auto"/>
        <w:rPr>
          <w:rFonts w:hint="eastAsia" w:ascii="仿宋" w:hAnsi="仿宋" w:eastAsia="仿宋" w:cs="仿宋"/>
          <w:b/>
          <w:color w:val="auto"/>
          <w:sz w:val="28"/>
          <w:szCs w:val="28"/>
          <w:highlight w:val="none"/>
        </w:rPr>
      </w:pPr>
    </w:p>
    <w:p w14:paraId="0A569BF5">
      <w:pPr>
        <w:keepNext w:val="0"/>
        <w:keepLines w:val="0"/>
        <w:pageBreakBefore w:val="0"/>
        <w:widowControl w:val="0"/>
        <w:tabs>
          <w:tab w:val="left" w:pos="900"/>
          <w:tab w:val="left" w:pos="1080"/>
          <w:tab w:val="left" w:pos="1589"/>
        </w:tabs>
        <w:kinsoku/>
        <w:wordWrap/>
        <w:overflowPunct/>
        <w:topLinePunct w:val="0"/>
        <w:autoSpaceDE/>
        <w:autoSpaceDN/>
        <w:bidi w:val="0"/>
        <w:adjustRightInd/>
        <w:snapToGrid w:val="0"/>
        <w:spacing w:line="360" w:lineRule="auto"/>
        <w:ind w:leftChars="-170" w:hanging="416" w:hangingChars="148"/>
        <w:jc w:val="center"/>
        <w:textAlignment w:val="auto"/>
        <w:rPr>
          <w:rFonts w:hint="eastAsia" w:ascii="仿宋" w:hAnsi="仿宋" w:eastAsia="仿宋" w:cs="仿宋"/>
          <w:b/>
          <w:color w:val="auto"/>
          <w:sz w:val="28"/>
          <w:szCs w:val="28"/>
          <w:highlight w:val="none"/>
        </w:rPr>
      </w:pPr>
    </w:p>
    <w:p w14:paraId="15E4A2F4">
      <w:pPr>
        <w:keepNext w:val="0"/>
        <w:keepLines w:val="0"/>
        <w:pageBreakBefore w:val="0"/>
        <w:widowControl w:val="0"/>
        <w:tabs>
          <w:tab w:val="left" w:pos="900"/>
          <w:tab w:val="left" w:pos="1080"/>
          <w:tab w:val="left" w:pos="1589"/>
        </w:tabs>
        <w:kinsoku/>
        <w:wordWrap/>
        <w:overflowPunct/>
        <w:topLinePunct w:val="0"/>
        <w:autoSpaceDE/>
        <w:autoSpaceDN/>
        <w:bidi w:val="0"/>
        <w:adjustRightInd/>
        <w:snapToGrid w:val="0"/>
        <w:spacing w:line="360" w:lineRule="auto"/>
        <w:ind w:leftChars="-170" w:hanging="416" w:hangingChars="148"/>
        <w:jc w:val="center"/>
        <w:textAlignment w:val="auto"/>
        <w:rPr>
          <w:rFonts w:hint="eastAsia" w:ascii="仿宋" w:hAnsi="仿宋" w:eastAsia="仿宋" w:cs="仿宋"/>
          <w:b/>
          <w:color w:val="auto"/>
          <w:sz w:val="28"/>
          <w:szCs w:val="28"/>
          <w:highlight w:val="none"/>
        </w:rPr>
      </w:pPr>
    </w:p>
    <w:p w14:paraId="30179BE0">
      <w:pPr>
        <w:keepNext w:val="0"/>
        <w:keepLines w:val="0"/>
        <w:pageBreakBefore w:val="0"/>
        <w:widowControl w:val="0"/>
        <w:tabs>
          <w:tab w:val="left" w:pos="900"/>
          <w:tab w:val="left" w:pos="1080"/>
          <w:tab w:val="left" w:pos="1589"/>
        </w:tabs>
        <w:kinsoku/>
        <w:wordWrap/>
        <w:overflowPunct/>
        <w:topLinePunct w:val="0"/>
        <w:autoSpaceDE/>
        <w:autoSpaceDN/>
        <w:bidi w:val="0"/>
        <w:adjustRightInd/>
        <w:snapToGrid w:val="0"/>
        <w:spacing w:line="360" w:lineRule="auto"/>
        <w:ind w:leftChars="-170" w:hanging="416" w:hangingChars="148"/>
        <w:jc w:val="center"/>
        <w:textAlignment w:val="auto"/>
        <w:rPr>
          <w:rFonts w:hint="eastAsia" w:ascii="仿宋" w:hAnsi="仿宋" w:eastAsia="仿宋" w:cs="仿宋"/>
          <w:b/>
          <w:color w:val="auto"/>
          <w:sz w:val="28"/>
          <w:szCs w:val="28"/>
          <w:highlight w:val="none"/>
        </w:rPr>
      </w:pPr>
    </w:p>
    <w:p w14:paraId="7C205D7B">
      <w:pPr>
        <w:keepNext w:val="0"/>
        <w:keepLines w:val="0"/>
        <w:pageBreakBefore w:val="0"/>
        <w:widowControl w:val="0"/>
        <w:tabs>
          <w:tab w:val="left" w:pos="900"/>
          <w:tab w:val="left" w:pos="1080"/>
          <w:tab w:val="left" w:pos="1589"/>
        </w:tabs>
        <w:kinsoku/>
        <w:wordWrap/>
        <w:overflowPunct/>
        <w:topLinePunct w:val="0"/>
        <w:autoSpaceDE/>
        <w:autoSpaceDN/>
        <w:bidi w:val="0"/>
        <w:adjustRightInd/>
        <w:snapToGrid w:val="0"/>
        <w:spacing w:line="360" w:lineRule="auto"/>
        <w:ind w:leftChars="-170" w:hanging="416" w:hangingChars="148"/>
        <w:jc w:val="center"/>
        <w:textAlignment w:val="auto"/>
        <w:rPr>
          <w:rFonts w:hint="eastAsia" w:ascii="仿宋" w:hAnsi="仿宋" w:eastAsia="仿宋" w:cs="仿宋"/>
          <w:b/>
          <w:color w:val="auto"/>
          <w:sz w:val="28"/>
          <w:szCs w:val="28"/>
          <w:highlight w:val="none"/>
        </w:rPr>
      </w:pPr>
    </w:p>
    <w:p w14:paraId="072387E3">
      <w:pPr>
        <w:keepNext w:val="0"/>
        <w:keepLines w:val="0"/>
        <w:pageBreakBefore w:val="0"/>
        <w:widowControl w:val="0"/>
        <w:tabs>
          <w:tab w:val="left" w:pos="900"/>
          <w:tab w:val="left" w:pos="1080"/>
          <w:tab w:val="left" w:pos="1589"/>
        </w:tabs>
        <w:kinsoku/>
        <w:wordWrap/>
        <w:overflowPunct/>
        <w:topLinePunct w:val="0"/>
        <w:autoSpaceDE/>
        <w:autoSpaceDN/>
        <w:bidi w:val="0"/>
        <w:adjustRightInd/>
        <w:snapToGrid w:val="0"/>
        <w:spacing w:line="360" w:lineRule="auto"/>
        <w:ind w:leftChars="-170" w:hanging="416" w:hangingChars="148"/>
        <w:jc w:val="center"/>
        <w:textAlignment w:val="auto"/>
        <w:rPr>
          <w:rFonts w:hint="eastAsia" w:ascii="仿宋" w:hAnsi="仿宋" w:eastAsia="仿宋" w:cs="仿宋"/>
          <w:b/>
          <w:color w:val="auto"/>
          <w:sz w:val="28"/>
          <w:szCs w:val="28"/>
          <w:highlight w:val="none"/>
        </w:rPr>
      </w:pPr>
    </w:p>
    <w:p w14:paraId="4B14B2D8">
      <w:pPr>
        <w:keepNext w:val="0"/>
        <w:keepLines w:val="0"/>
        <w:pageBreakBefore w:val="0"/>
        <w:widowControl w:val="0"/>
        <w:tabs>
          <w:tab w:val="left" w:pos="900"/>
          <w:tab w:val="left" w:pos="1080"/>
          <w:tab w:val="left" w:pos="1589"/>
        </w:tabs>
        <w:kinsoku/>
        <w:wordWrap/>
        <w:overflowPunct/>
        <w:topLinePunct w:val="0"/>
        <w:autoSpaceDE/>
        <w:autoSpaceDN/>
        <w:bidi w:val="0"/>
        <w:adjustRightInd/>
        <w:snapToGrid w:val="0"/>
        <w:spacing w:line="360" w:lineRule="auto"/>
        <w:ind w:leftChars="-170" w:hanging="416" w:hangingChars="148"/>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8"/>
          <w:szCs w:val="28"/>
          <w:highlight w:val="none"/>
        </w:rPr>
        <w:t>符合性审查要求</w:t>
      </w:r>
    </w:p>
    <w:tbl>
      <w:tblPr>
        <w:tblStyle w:val="48"/>
        <w:tblW w:w="10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72"/>
        <w:gridCol w:w="7909"/>
      </w:tblGrid>
      <w:tr w14:paraId="4E60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8" w:type="dxa"/>
            <w:noWrap w:val="0"/>
            <w:vAlign w:val="center"/>
          </w:tcPr>
          <w:p w14:paraId="60ABC463">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sz w:val="24"/>
                <w:szCs w:val="24"/>
              </w:rPr>
              <w:t>序号</w:t>
            </w:r>
          </w:p>
        </w:tc>
        <w:tc>
          <w:tcPr>
            <w:tcW w:w="1972" w:type="dxa"/>
            <w:noWrap w:val="0"/>
            <w:vAlign w:val="center"/>
          </w:tcPr>
          <w:p w14:paraId="176F7A4E">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sz w:val="24"/>
                <w:szCs w:val="24"/>
              </w:rPr>
              <w:t>审查因素</w:t>
            </w:r>
          </w:p>
        </w:tc>
        <w:tc>
          <w:tcPr>
            <w:tcW w:w="7909" w:type="dxa"/>
            <w:noWrap w:val="0"/>
            <w:vAlign w:val="center"/>
          </w:tcPr>
          <w:p w14:paraId="38904467">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sz w:val="24"/>
                <w:szCs w:val="24"/>
              </w:rPr>
              <w:t>审查内容</w:t>
            </w:r>
          </w:p>
        </w:tc>
      </w:tr>
      <w:tr w14:paraId="3DDE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8" w:type="dxa"/>
            <w:noWrap w:val="0"/>
            <w:vAlign w:val="center"/>
          </w:tcPr>
          <w:p w14:paraId="11BDD13A">
            <w:pPr>
              <w:keepNext w:val="0"/>
              <w:keepLines w:val="0"/>
              <w:pageBreakBefore w:val="0"/>
              <w:widowControl w:val="0"/>
              <w:tabs>
                <w:tab w:val="left" w:pos="1080"/>
              </w:tabs>
              <w:kinsoku/>
              <w:wordWrap/>
              <w:overflowPunct/>
              <w:topLinePunct w:val="0"/>
              <w:autoSpaceDE/>
              <w:autoSpaceDN/>
              <w:bidi w:val="0"/>
              <w:adjustRightInd/>
              <w:snapToGrid w:val="0"/>
              <w:spacing w:line="288"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eastAsia="zh-CN"/>
              </w:rPr>
              <w:t>1</w:t>
            </w:r>
          </w:p>
        </w:tc>
        <w:tc>
          <w:tcPr>
            <w:tcW w:w="1972" w:type="dxa"/>
            <w:noWrap w:val="0"/>
            <w:vAlign w:val="center"/>
          </w:tcPr>
          <w:p w14:paraId="11D218CB">
            <w:pPr>
              <w:keepNext w:val="0"/>
              <w:keepLines w:val="0"/>
              <w:pageBreakBefore w:val="0"/>
              <w:widowControl w:val="0"/>
              <w:tabs>
                <w:tab w:val="left" w:pos="1080"/>
                <w:tab w:val="right" w:pos="1727"/>
              </w:tabs>
              <w:kinsoku/>
              <w:wordWrap/>
              <w:overflowPunct/>
              <w:topLinePunct w:val="0"/>
              <w:autoSpaceDE/>
              <w:autoSpaceDN/>
              <w:bidi w:val="0"/>
              <w:adjustRightInd/>
              <w:snapToGrid w:val="0"/>
              <w:spacing w:line="288"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eastAsia="zh-CN"/>
              </w:rPr>
              <w:t>签字、盖章</w:t>
            </w:r>
          </w:p>
        </w:tc>
        <w:tc>
          <w:tcPr>
            <w:tcW w:w="7909" w:type="dxa"/>
            <w:noWrap w:val="0"/>
            <w:vAlign w:val="center"/>
          </w:tcPr>
          <w:p w14:paraId="1B2B5922">
            <w:pPr>
              <w:keepNext w:val="0"/>
              <w:keepLines w:val="0"/>
              <w:pageBreakBefore w:val="0"/>
              <w:widowControl w:val="0"/>
              <w:tabs>
                <w:tab w:val="left" w:pos="1080"/>
              </w:tabs>
              <w:kinsoku/>
              <w:wordWrap/>
              <w:overflowPunct/>
              <w:topLinePunct w:val="0"/>
              <w:autoSpaceDE/>
              <w:autoSpaceDN/>
              <w:bidi w:val="0"/>
              <w:adjustRightInd/>
              <w:snapToGrid w:val="0"/>
              <w:spacing w:line="288" w:lineRule="auto"/>
              <w:ind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投标响应文件签字、盖章是否满足招标文件要求</w:t>
            </w:r>
            <w:r>
              <w:rPr>
                <w:rFonts w:hint="eastAsia" w:ascii="仿宋" w:hAnsi="仿宋" w:eastAsia="仿宋" w:cs="仿宋"/>
                <w:color w:val="auto"/>
                <w:sz w:val="24"/>
                <w:szCs w:val="24"/>
                <w:lang w:eastAsia="zh-CN" w:bidi="ar"/>
              </w:rPr>
              <w:t>；</w:t>
            </w:r>
          </w:p>
        </w:tc>
      </w:tr>
      <w:tr w14:paraId="01D8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noWrap w:val="0"/>
            <w:vAlign w:val="center"/>
          </w:tcPr>
          <w:p w14:paraId="5CF970C1">
            <w:pPr>
              <w:keepNext w:val="0"/>
              <w:keepLines w:val="0"/>
              <w:pageBreakBefore w:val="0"/>
              <w:widowControl w:val="0"/>
              <w:tabs>
                <w:tab w:val="left" w:pos="1080"/>
              </w:tabs>
              <w:kinsoku/>
              <w:wordWrap/>
              <w:overflowPunct/>
              <w:topLinePunct w:val="0"/>
              <w:autoSpaceDE/>
              <w:autoSpaceDN/>
              <w:bidi w:val="0"/>
              <w:adjustRightInd/>
              <w:spacing w:line="288"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eastAsia="zh-CN"/>
              </w:rPr>
              <w:t>2</w:t>
            </w:r>
          </w:p>
        </w:tc>
        <w:tc>
          <w:tcPr>
            <w:tcW w:w="1972" w:type="dxa"/>
            <w:noWrap w:val="0"/>
            <w:vAlign w:val="center"/>
          </w:tcPr>
          <w:p w14:paraId="781C615B">
            <w:pPr>
              <w:keepNext w:val="0"/>
              <w:keepLines w:val="0"/>
              <w:pageBreakBefore w:val="0"/>
              <w:widowControl w:val="0"/>
              <w:tabs>
                <w:tab w:val="left" w:pos="1080"/>
              </w:tabs>
              <w:kinsoku/>
              <w:wordWrap/>
              <w:overflowPunct/>
              <w:topLinePunct w:val="0"/>
              <w:autoSpaceDE/>
              <w:autoSpaceDN/>
              <w:bidi w:val="0"/>
              <w:adjustRightInd/>
              <w:spacing w:line="288"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eastAsia="zh-CN"/>
              </w:rPr>
              <w:t>响应文件编制</w:t>
            </w:r>
          </w:p>
        </w:tc>
        <w:tc>
          <w:tcPr>
            <w:tcW w:w="7909" w:type="dxa"/>
            <w:noWrap w:val="0"/>
            <w:vAlign w:val="center"/>
          </w:tcPr>
          <w:p w14:paraId="3EF4337F">
            <w:pPr>
              <w:keepNext w:val="0"/>
              <w:keepLines w:val="0"/>
              <w:pageBreakBefore w:val="0"/>
              <w:widowControl w:val="0"/>
              <w:tabs>
                <w:tab w:val="left" w:pos="1080"/>
              </w:tabs>
              <w:kinsoku/>
              <w:wordWrap/>
              <w:overflowPunct/>
              <w:topLinePunct w:val="0"/>
              <w:autoSpaceDE/>
              <w:autoSpaceDN/>
              <w:bidi w:val="0"/>
              <w:adjustRightInd/>
              <w:spacing w:line="288" w:lineRule="auto"/>
              <w:ind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投标响应文件是否按招标文件要求编制，内容是否全面或字迹是否模糊、辨认不清的</w:t>
            </w:r>
            <w:r>
              <w:rPr>
                <w:rFonts w:hint="eastAsia" w:ascii="仿宋" w:hAnsi="仿宋" w:eastAsia="仿宋" w:cs="仿宋"/>
                <w:color w:val="auto"/>
                <w:sz w:val="24"/>
                <w:szCs w:val="24"/>
                <w:lang w:eastAsia="zh-CN" w:bidi="ar"/>
              </w:rPr>
              <w:t>；</w:t>
            </w:r>
          </w:p>
        </w:tc>
      </w:tr>
      <w:tr w14:paraId="124E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8" w:type="dxa"/>
            <w:noWrap w:val="0"/>
            <w:vAlign w:val="center"/>
          </w:tcPr>
          <w:p w14:paraId="228A7DA0">
            <w:pPr>
              <w:keepNext w:val="0"/>
              <w:keepLines w:val="0"/>
              <w:pageBreakBefore w:val="0"/>
              <w:widowControl w:val="0"/>
              <w:tabs>
                <w:tab w:val="left" w:pos="1080"/>
              </w:tabs>
              <w:kinsoku/>
              <w:wordWrap/>
              <w:overflowPunct/>
              <w:topLinePunct w:val="0"/>
              <w:autoSpaceDE/>
              <w:autoSpaceDN/>
              <w:bidi w:val="0"/>
              <w:adjustRightInd/>
              <w:snapToGrid w:val="0"/>
              <w:spacing w:line="288"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eastAsia="zh-CN"/>
              </w:rPr>
              <w:t>3</w:t>
            </w:r>
          </w:p>
        </w:tc>
        <w:tc>
          <w:tcPr>
            <w:tcW w:w="1972" w:type="dxa"/>
            <w:noWrap w:val="0"/>
            <w:vAlign w:val="center"/>
          </w:tcPr>
          <w:p w14:paraId="4E4712E1">
            <w:pPr>
              <w:keepNext w:val="0"/>
              <w:keepLines w:val="0"/>
              <w:pageBreakBefore w:val="0"/>
              <w:widowControl w:val="0"/>
              <w:tabs>
                <w:tab w:val="left" w:pos="1080"/>
              </w:tabs>
              <w:kinsoku/>
              <w:wordWrap/>
              <w:overflowPunct/>
              <w:topLinePunct w:val="0"/>
              <w:autoSpaceDE/>
              <w:autoSpaceDN/>
              <w:bidi w:val="0"/>
              <w:adjustRightInd/>
              <w:snapToGrid w:val="0"/>
              <w:spacing w:line="288"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eastAsia="zh-CN"/>
              </w:rPr>
              <w:t>响应文件内容</w:t>
            </w:r>
          </w:p>
        </w:tc>
        <w:tc>
          <w:tcPr>
            <w:tcW w:w="7909" w:type="dxa"/>
            <w:noWrap w:val="0"/>
            <w:vAlign w:val="center"/>
          </w:tcPr>
          <w:p w14:paraId="22F64FE1">
            <w:pPr>
              <w:keepNext w:val="0"/>
              <w:keepLines w:val="0"/>
              <w:pageBreakBefore w:val="0"/>
              <w:widowControl w:val="0"/>
              <w:tabs>
                <w:tab w:val="left" w:pos="1080"/>
              </w:tabs>
              <w:kinsoku/>
              <w:wordWrap/>
              <w:overflowPunct/>
              <w:topLinePunct w:val="0"/>
              <w:autoSpaceDE/>
              <w:autoSpaceDN/>
              <w:bidi w:val="0"/>
              <w:adjustRightInd/>
              <w:snapToGrid w:val="0"/>
              <w:spacing w:line="288" w:lineRule="auto"/>
              <w:ind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lang w:val="en-US" w:eastAsia="zh-CN"/>
              </w:rPr>
              <w:t>投标文件是否不齐全或者内容虚假的</w:t>
            </w:r>
            <w:r>
              <w:rPr>
                <w:rFonts w:hint="eastAsia" w:ascii="仿宋" w:hAnsi="仿宋" w:eastAsia="仿宋" w:cs="仿宋"/>
                <w:color w:val="auto"/>
                <w:kern w:val="2"/>
                <w:sz w:val="24"/>
                <w:szCs w:val="24"/>
                <w:lang w:eastAsia="zh-CN"/>
              </w:rPr>
              <w:t>；</w:t>
            </w:r>
          </w:p>
        </w:tc>
      </w:tr>
      <w:tr w14:paraId="0F6C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noWrap w:val="0"/>
            <w:vAlign w:val="center"/>
          </w:tcPr>
          <w:p w14:paraId="442CD67A">
            <w:pPr>
              <w:keepNext w:val="0"/>
              <w:keepLines w:val="0"/>
              <w:pageBreakBefore w:val="0"/>
              <w:widowControl w:val="0"/>
              <w:tabs>
                <w:tab w:val="left" w:pos="1080"/>
              </w:tabs>
              <w:kinsoku/>
              <w:wordWrap/>
              <w:overflowPunct/>
              <w:topLinePunct w:val="0"/>
              <w:autoSpaceDE/>
              <w:autoSpaceDN/>
              <w:bidi w:val="0"/>
              <w:adjustRightInd/>
              <w:snapToGrid w:val="0"/>
              <w:spacing w:line="288"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eastAsia="zh-CN"/>
              </w:rPr>
              <w:t>4</w:t>
            </w:r>
          </w:p>
        </w:tc>
        <w:tc>
          <w:tcPr>
            <w:tcW w:w="1972" w:type="dxa"/>
            <w:noWrap w:val="0"/>
            <w:vAlign w:val="center"/>
          </w:tcPr>
          <w:p w14:paraId="293FBAF7">
            <w:pPr>
              <w:keepNext w:val="0"/>
              <w:keepLines w:val="0"/>
              <w:pageBreakBefore w:val="0"/>
              <w:widowControl w:val="0"/>
              <w:tabs>
                <w:tab w:val="left" w:pos="1080"/>
              </w:tabs>
              <w:kinsoku/>
              <w:wordWrap/>
              <w:overflowPunct/>
              <w:topLinePunct w:val="0"/>
              <w:autoSpaceDE/>
              <w:autoSpaceDN/>
              <w:bidi w:val="0"/>
              <w:adjustRightInd/>
              <w:snapToGrid w:val="0"/>
              <w:spacing w:line="288" w:lineRule="auto"/>
              <w:ind w:left="0" w:leftChars="0" w:right="62" w:rightChars="0" w:firstLine="0" w:firstLineChars="0"/>
              <w:jc w:val="center"/>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投标报价</w:t>
            </w:r>
          </w:p>
        </w:tc>
        <w:tc>
          <w:tcPr>
            <w:tcW w:w="7909" w:type="dxa"/>
            <w:noWrap w:val="0"/>
            <w:vAlign w:val="center"/>
          </w:tcPr>
          <w:p w14:paraId="346F7C01">
            <w:pPr>
              <w:keepNext w:val="0"/>
              <w:keepLines w:val="0"/>
              <w:pageBreakBefore w:val="0"/>
              <w:widowControl w:val="0"/>
              <w:tabs>
                <w:tab w:val="left" w:pos="1080"/>
              </w:tabs>
              <w:kinsoku/>
              <w:wordWrap/>
              <w:overflowPunct/>
              <w:topLinePunct w:val="0"/>
              <w:autoSpaceDE/>
              <w:autoSpaceDN/>
              <w:bidi w:val="0"/>
              <w:adjustRightInd/>
              <w:snapToGrid w:val="0"/>
              <w:spacing w:line="288" w:lineRule="auto"/>
              <w:ind w:left="0" w:leftChars="0" w:right="62" w:rightChars="0" w:firstLine="0" w:firstLineChars="0"/>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投标人投标报价超过最高限价的；对同一招标项目做出两个及以上报价未明确效力；</w:t>
            </w:r>
          </w:p>
        </w:tc>
      </w:tr>
      <w:tr w14:paraId="2A3C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8" w:type="dxa"/>
            <w:noWrap w:val="0"/>
            <w:vAlign w:val="center"/>
          </w:tcPr>
          <w:p w14:paraId="27A30B1C">
            <w:pPr>
              <w:keepNext w:val="0"/>
              <w:keepLines w:val="0"/>
              <w:pageBreakBefore w:val="0"/>
              <w:widowControl w:val="0"/>
              <w:tabs>
                <w:tab w:val="left" w:pos="1080"/>
              </w:tabs>
              <w:kinsoku/>
              <w:wordWrap/>
              <w:overflowPunct/>
              <w:topLinePunct w:val="0"/>
              <w:autoSpaceDE/>
              <w:autoSpaceDN/>
              <w:bidi w:val="0"/>
              <w:adjustRightInd/>
              <w:snapToGrid w:val="0"/>
              <w:spacing w:line="288"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eastAsia="zh-CN"/>
              </w:rPr>
              <w:t>5</w:t>
            </w:r>
          </w:p>
        </w:tc>
        <w:tc>
          <w:tcPr>
            <w:tcW w:w="1972" w:type="dxa"/>
            <w:noWrap w:val="0"/>
            <w:vAlign w:val="center"/>
          </w:tcPr>
          <w:p w14:paraId="16C1122E">
            <w:pPr>
              <w:keepNext w:val="0"/>
              <w:keepLines w:val="0"/>
              <w:pageBreakBefore w:val="0"/>
              <w:widowControl w:val="0"/>
              <w:tabs>
                <w:tab w:val="left" w:pos="1080"/>
              </w:tabs>
              <w:kinsoku/>
              <w:wordWrap/>
              <w:overflowPunct/>
              <w:topLinePunct w:val="0"/>
              <w:autoSpaceDE/>
              <w:autoSpaceDN/>
              <w:bidi w:val="0"/>
              <w:adjustRightInd/>
              <w:snapToGrid w:val="0"/>
              <w:spacing w:line="288" w:lineRule="auto"/>
              <w:ind w:firstLine="0" w:firstLineChars="0"/>
              <w:jc w:val="center"/>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lang w:val="en-US" w:eastAsia="zh-CN"/>
              </w:rPr>
              <w:t>服务期及交付期</w:t>
            </w:r>
          </w:p>
        </w:tc>
        <w:tc>
          <w:tcPr>
            <w:tcW w:w="7909" w:type="dxa"/>
            <w:noWrap w:val="0"/>
            <w:vAlign w:val="center"/>
          </w:tcPr>
          <w:p w14:paraId="5025378C">
            <w:pPr>
              <w:keepNext w:val="0"/>
              <w:keepLines w:val="0"/>
              <w:pageBreakBefore w:val="0"/>
              <w:widowControl w:val="0"/>
              <w:tabs>
                <w:tab w:val="left" w:pos="1080"/>
              </w:tabs>
              <w:kinsoku/>
              <w:wordWrap/>
              <w:overflowPunct/>
              <w:topLinePunct w:val="0"/>
              <w:autoSpaceDE/>
              <w:autoSpaceDN/>
              <w:bidi w:val="0"/>
              <w:adjustRightInd/>
              <w:snapToGrid w:val="0"/>
              <w:spacing w:line="288" w:lineRule="auto"/>
              <w:ind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投标文件记载的招标项目服务</w:t>
            </w:r>
            <w:r>
              <w:rPr>
                <w:rFonts w:hint="eastAsia" w:ascii="仿宋" w:hAnsi="仿宋" w:eastAsia="仿宋" w:cs="仿宋"/>
                <w:color w:val="auto"/>
                <w:sz w:val="24"/>
                <w:szCs w:val="24"/>
                <w:highlight w:val="none"/>
                <w:lang w:val="en-US" w:eastAsia="zh-CN"/>
              </w:rPr>
              <w:t>期、交付期</w:t>
            </w:r>
            <w:r>
              <w:rPr>
                <w:rFonts w:hint="eastAsia" w:ascii="仿宋" w:hAnsi="仿宋" w:eastAsia="仿宋" w:cs="仿宋"/>
                <w:color w:val="auto"/>
                <w:kern w:val="0"/>
                <w:sz w:val="24"/>
                <w:szCs w:val="24"/>
                <w:highlight w:val="none"/>
                <w:lang w:val="en-US" w:eastAsia="zh-CN" w:bidi="ar"/>
              </w:rPr>
              <w:t>及招标文件中要求提供的承诺书（承诺函）是否满足招标文件要求</w:t>
            </w:r>
            <w:r>
              <w:rPr>
                <w:rFonts w:hint="eastAsia" w:ascii="仿宋" w:hAnsi="仿宋" w:eastAsia="仿宋" w:cs="仿宋"/>
                <w:color w:val="auto"/>
                <w:sz w:val="24"/>
                <w:szCs w:val="24"/>
                <w:lang w:eastAsia="zh-CN" w:bidi="ar"/>
              </w:rPr>
              <w:t>；</w:t>
            </w:r>
          </w:p>
        </w:tc>
      </w:tr>
      <w:tr w14:paraId="644E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78" w:type="dxa"/>
            <w:noWrap w:val="0"/>
            <w:vAlign w:val="center"/>
          </w:tcPr>
          <w:p w14:paraId="4F6C1047">
            <w:pPr>
              <w:keepNext w:val="0"/>
              <w:keepLines w:val="0"/>
              <w:pageBreakBefore w:val="0"/>
              <w:widowControl w:val="0"/>
              <w:tabs>
                <w:tab w:val="left" w:pos="1080"/>
              </w:tabs>
              <w:kinsoku/>
              <w:wordWrap/>
              <w:overflowPunct/>
              <w:topLinePunct w:val="0"/>
              <w:autoSpaceDE/>
              <w:autoSpaceDN/>
              <w:bidi w:val="0"/>
              <w:adjustRightInd/>
              <w:snapToGrid w:val="0"/>
              <w:spacing w:line="288"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eastAsia="zh-CN"/>
              </w:rPr>
              <w:t>6</w:t>
            </w:r>
          </w:p>
        </w:tc>
        <w:tc>
          <w:tcPr>
            <w:tcW w:w="1972" w:type="dxa"/>
            <w:noWrap w:val="0"/>
            <w:vAlign w:val="center"/>
          </w:tcPr>
          <w:p w14:paraId="26927DF0">
            <w:pPr>
              <w:keepNext w:val="0"/>
              <w:keepLines w:val="0"/>
              <w:pageBreakBefore w:val="0"/>
              <w:widowControl w:val="0"/>
              <w:tabs>
                <w:tab w:val="left" w:pos="1080"/>
              </w:tabs>
              <w:kinsoku/>
              <w:wordWrap/>
              <w:overflowPunct/>
              <w:topLinePunct w:val="0"/>
              <w:autoSpaceDE/>
              <w:autoSpaceDN/>
              <w:bidi w:val="0"/>
              <w:adjustRightInd/>
              <w:snapToGrid w:val="0"/>
              <w:spacing w:line="288"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eastAsia="zh-CN"/>
              </w:rPr>
              <w:t>投标有效期</w:t>
            </w:r>
          </w:p>
        </w:tc>
        <w:tc>
          <w:tcPr>
            <w:tcW w:w="7909" w:type="dxa"/>
            <w:noWrap w:val="0"/>
            <w:vAlign w:val="center"/>
          </w:tcPr>
          <w:p w14:paraId="7D48E9E0">
            <w:pPr>
              <w:keepNext w:val="0"/>
              <w:keepLines w:val="0"/>
              <w:pageBreakBefore w:val="0"/>
              <w:widowControl w:val="0"/>
              <w:tabs>
                <w:tab w:val="left" w:pos="1080"/>
              </w:tabs>
              <w:kinsoku/>
              <w:wordWrap/>
              <w:overflowPunct/>
              <w:topLinePunct w:val="0"/>
              <w:autoSpaceDE/>
              <w:autoSpaceDN/>
              <w:bidi w:val="0"/>
              <w:adjustRightInd/>
              <w:snapToGrid w:val="0"/>
              <w:spacing w:line="288" w:lineRule="auto"/>
              <w:ind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投标文件中承诺的投标有效期满足招标文件中载明的投标有效期的</w:t>
            </w:r>
            <w:r>
              <w:rPr>
                <w:rFonts w:hint="eastAsia" w:ascii="仿宋" w:hAnsi="仿宋" w:eastAsia="仿宋" w:cs="仿宋"/>
                <w:color w:val="auto"/>
                <w:sz w:val="24"/>
                <w:szCs w:val="24"/>
                <w:lang w:eastAsia="zh-CN"/>
              </w:rPr>
              <w:t>；</w:t>
            </w:r>
          </w:p>
        </w:tc>
      </w:tr>
      <w:tr w14:paraId="4DA6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778" w:type="dxa"/>
            <w:noWrap w:val="0"/>
            <w:vAlign w:val="center"/>
          </w:tcPr>
          <w:p w14:paraId="7392C5C5">
            <w:pPr>
              <w:keepNext w:val="0"/>
              <w:keepLines w:val="0"/>
              <w:pageBreakBefore w:val="0"/>
              <w:widowControl w:val="0"/>
              <w:tabs>
                <w:tab w:val="left" w:pos="1080"/>
              </w:tabs>
              <w:kinsoku/>
              <w:wordWrap/>
              <w:overflowPunct/>
              <w:topLinePunct w:val="0"/>
              <w:autoSpaceDE/>
              <w:autoSpaceDN/>
              <w:bidi w:val="0"/>
              <w:adjustRightInd/>
              <w:snapToGrid w:val="0"/>
              <w:spacing w:line="288"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eastAsia="zh-CN"/>
              </w:rPr>
              <w:t>7</w:t>
            </w:r>
          </w:p>
        </w:tc>
        <w:tc>
          <w:tcPr>
            <w:tcW w:w="1972" w:type="dxa"/>
            <w:noWrap w:val="0"/>
            <w:vAlign w:val="center"/>
          </w:tcPr>
          <w:p w14:paraId="0F95FD40">
            <w:pPr>
              <w:keepNext w:val="0"/>
              <w:keepLines w:val="0"/>
              <w:pageBreakBefore w:val="0"/>
              <w:widowControl w:val="0"/>
              <w:tabs>
                <w:tab w:val="left" w:pos="1080"/>
              </w:tabs>
              <w:kinsoku/>
              <w:wordWrap/>
              <w:overflowPunct/>
              <w:topLinePunct w:val="0"/>
              <w:autoSpaceDE/>
              <w:autoSpaceDN/>
              <w:bidi w:val="0"/>
              <w:adjustRightInd/>
              <w:snapToGrid w:val="0"/>
              <w:spacing w:line="240" w:lineRule="auto"/>
              <w:ind w:left="0" w:leftChars="0" w:right="62"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商务、技术条款</w:t>
            </w:r>
          </w:p>
        </w:tc>
        <w:tc>
          <w:tcPr>
            <w:tcW w:w="7909" w:type="dxa"/>
            <w:noWrap w:val="0"/>
            <w:vAlign w:val="center"/>
          </w:tcPr>
          <w:p w14:paraId="70AB844D">
            <w:pPr>
              <w:keepNext w:val="0"/>
              <w:keepLines w:val="0"/>
              <w:pageBreakBefore w:val="0"/>
              <w:widowControl w:val="0"/>
              <w:tabs>
                <w:tab w:val="left" w:pos="1080"/>
              </w:tabs>
              <w:kinsoku/>
              <w:wordWrap/>
              <w:overflowPunct/>
              <w:topLinePunct w:val="0"/>
              <w:autoSpaceDE/>
              <w:autoSpaceDN/>
              <w:bidi w:val="0"/>
              <w:adjustRightInd/>
              <w:snapToGrid w:val="0"/>
              <w:spacing w:line="240" w:lineRule="auto"/>
              <w:ind w:left="0" w:leftChars="0" w:right="62" w:rightChars="0" w:firstLine="0" w:firstLineChars="0"/>
              <w:jc w:val="left"/>
              <w:textAlignment w:val="auto"/>
              <w:rPr>
                <w:rFonts w:hint="eastAsia" w:ascii="仿宋" w:hAnsi="仿宋" w:eastAsia="仿宋" w:cs="仿宋"/>
                <w:color w:val="auto"/>
                <w:sz w:val="24"/>
                <w:szCs w:val="24"/>
                <w:highlight w:val="none"/>
                <w:lang w:eastAsia="zh-CN"/>
              </w:rPr>
            </w:pPr>
            <w:bookmarkStart w:id="215" w:name="_GoBack"/>
            <w:r>
              <w:rPr>
                <w:rFonts w:hint="eastAsia" w:ascii="仿宋" w:hAnsi="仿宋" w:eastAsia="仿宋" w:cs="仿宋"/>
                <w:color w:val="auto"/>
                <w:sz w:val="24"/>
                <w:szCs w:val="24"/>
                <w:highlight w:val="none"/>
              </w:rPr>
              <w:t>1.商务条款有实质性偏离情况的</w:t>
            </w:r>
          </w:p>
          <w:p w14:paraId="233F4671">
            <w:pPr>
              <w:keepNext w:val="0"/>
              <w:keepLines w:val="0"/>
              <w:pageBreakBefore w:val="0"/>
              <w:widowControl w:val="0"/>
              <w:tabs>
                <w:tab w:val="left" w:pos="1080"/>
              </w:tabs>
              <w:kinsoku/>
              <w:wordWrap/>
              <w:overflowPunct/>
              <w:topLinePunct w:val="0"/>
              <w:autoSpaceDE/>
              <w:autoSpaceDN/>
              <w:bidi w:val="0"/>
              <w:adjustRightInd/>
              <w:snapToGrid w:val="0"/>
              <w:spacing w:line="240" w:lineRule="auto"/>
              <w:ind w:left="0" w:leftChars="0" w:right="62"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2.技术条款有实质性偏离情况的</w:t>
            </w:r>
            <w:bookmarkEnd w:id="215"/>
          </w:p>
        </w:tc>
      </w:tr>
      <w:tr w14:paraId="27E2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8" w:type="dxa"/>
            <w:noWrap w:val="0"/>
            <w:vAlign w:val="center"/>
          </w:tcPr>
          <w:p w14:paraId="55A799E4">
            <w:pPr>
              <w:keepNext w:val="0"/>
              <w:keepLines w:val="0"/>
              <w:pageBreakBefore w:val="0"/>
              <w:widowControl w:val="0"/>
              <w:tabs>
                <w:tab w:val="left" w:pos="1080"/>
              </w:tabs>
              <w:kinsoku/>
              <w:wordWrap/>
              <w:overflowPunct/>
              <w:topLinePunct w:val="0"/>
              <w:autoSpaceDE/>
              <w:autoSpaceDN/>
              <w:bidi w:val="0"/>
              <w:adjustRightInd/>
              <w:spacing w:line="288" w:lineRule="auto"/>
              <w:ind w:firstLine="0" w:firstLineChars="0"/>
              <w:jc w:val="center"/>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lang w:val="en-US" w:eastAsia="zh-CN"/>
              </w:rPr>
              <w:t>8</w:t>
            </w:r>
          </w:p>
        </w:tc>
        <w:tc>
          <w:tcPr>
            <w:tcW w:w="1972" w:type="dxa"/>
            <w:noWrap w:val="0"/>
            <w:vAlign w:val="center"/>
          </w:tcPr>
          <w:p w14:paraId="50C5BBD1">
            <w:pPr>
              <w:keepNext w:val="0"/>
              <w:keepLines w:val="0"/>
              <w:pageBreakBefore w:val="0"/>
              <w:widowControl w:val="0"/>
              <w:tabs>
                <w:tab w:val="left" w:pos="1080"/>
              </w:tabs>
              <w:kinsoku/>
              <w:wordWrap/>
              <w:overflowPunct/>
              <w:topLinePunct w:val="0"/>
              <w:autoSpaceDE/>
              <w:autoSpaceDN/>
              <w:bidi w:val="0"/>
              <w:adjustRightInd/>
              <w:spacing w:line="288"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eastAsia="zh-CN"/>
              </w:rPr>
              <w:t>报价合理性</w:t>
            </w:r>
          </w:p>
        </w:tc>
        <w:tc>
          <w:tcPr>
            <w:tcW w:w="7909" w:type="dxa"/>
            <w:noWrap w:val="0"/>
            <w:vAlign w:val="center"/>
          </w:tcPr>
          <w:p w14:paraId="77C2518E">
            <w:pPr>
              <w:keepNext w:val="0"/>
              <w:keepLines w:val="0"/>
              <w:pageBreakBefore w:val="0"/>
              <w:widowControl w:val="0"/>
              <w:tabs>
                <w:tab w:val="left" w:pos="1080"/>
              </w:tabs>
              <w:kinsoku/>
              <w:wordWrap/>
              <w:overflowPunct/>
              <w:topLinePunct w:val="0"/>
              <w:autoSpaceDE/>
              <w:autoSpaceDN/>
              <w:bidi w:val="0"/>
              <w:adjustRightInd/>
              <w:spacing w:line="288" w:lineRule="auto"/>
              <w:ind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报价合理，或投标人的报价明显低于其他通过符合性审查投标人的报价，有可能影响产品质量或者不能诚信履约的，能够应评标委员会要求在规定时间内证明其报价合理性的</w:t>
            </w:r>
            <w:r>
              <w:rPr>
                <w:rFonts w:hint="eastAsia" w:ascii="仿宋" w:hAnsi="仿宋" w:eastAsia="仿宋" w:cs="仿宋"/>
                <w:color w:val="auto"/>
                <w:sz w:val="24"/>
                <w:szCs w:val="24"/>
                <w:lang w:eastAsia="zh-CN"/>
              </w:rPr>
              <w:t>；</w:t>
            </w:r>
          </w:p>
        </w:tc>
      </w:tr>
      <w:tr w14:paraId="629F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8" w:type="dxa"/>
            <w:noWrap w:val="0"/>
            <w:vAlign w:val="center"/>
          </w:tcPr>
          <w:p w14:paraId="203E75C0">
            <w:pPr>
              <w:keepNext w:val="0"/>
              <w:keepLines w:val="0"/>
              <w:pageBreakBefore w:val="0"/>
              <w:widowControl w:val="0"/>
              <w:tabs>
                <w:tab w:val="left" w:pos="1080"/>
              </w:tabs>
              <w:kinsoku/>
              <w:wordWrap/>
              <w:overflowPunct/>
              <w:topLinePunct w:val="0"/>
              <w:autoSpaceDE/>
              <w:autoSpaceDN/>
              <w:bidi w:val="0"/>
              <w:adjustRightInd/>
              <w:spacing w:line="288" w:lineRule="auto"/>
              <w:ind w:firstLine="0" w:firstLineChars="0"/>
              <w:jc w:val="center"/>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lang w:val="en-US" w:eastAsia="zh-CN"/>
              </w:rPr>
              <w:t>9</w:t>
            </w:r>
          </w:p>
        </w:tc>
        <w:tc>
          <w:tcPr>
            <w:tcW w:w="1972" w:type="dxa"/>
            <w:noWrap w:val="0"/>
            <w:vAlign w:val="center"/>
          </w:tcPr>
          <w:p w14:paraId="476B9AAB">
            <w:pPr>
              <w:keepNext w:val="0"/>
              <w:keepLines w:val="0"/>
              <w:pageBreakBefore w:val="0"/>
              <w:widowControl w:val="0"/>
              <w:tabs>
                <w:tab w:val="left" w:pos="1080"/>
              </w:tabs>
              <w:kinsoku/>
              <w:wordWrap/>
              <w:overflowPunct/>
              <w:topLinePunct w:val="0"/>
              <w:autoSpaceDE/>
              <w:autoSpaceDN/>
              <w:bidi w:val="0"/>
              <w:adjustRightInd/>
              <w:spacing w:line="288"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实质性格式</w:t>
            </w:r>
          </w:p>
        </w:tc>
        <w:tc>
          <w:tcPr>
            <w:tcW w:w="7909" w:type="dxa"/>
            <w:noWrap w:val="0"/>
            <w:vAlign w:val="center"/>
          </w:tcPr>
          <w:p w14:paraId="7DA45520">
            <w:pPr>
              <w:keepNext w:val="0"/>
              <w:keepLines w:val="0"/>
              <w:pageBreakBefore w:val="0"/>
              <w:widowControl w:val="0"/>
              <w:tabs>
                <w:tab w:val="left" w:pos="1080"/>
              </w:tabs>
              <w:kinsoku/>
              <w:wordWrap/>
              <w:overflowPunct/>
              <w:topLinePunct w:val="0"/>
              <w:autoSpaceDE/>
              <w:autoSpaceDN/>
              <w:bidi w:val="0"/>
              <w:adjustRightInd/>
              <w:spacing w:line="288" w:lineRule="auto"/>
              <w:ind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是否满足招标文件规定的其他实质性要求；</w:t>
            </w:r>
          </w:p>
        </w:tc>
      </w:tr>
      <w:tr w14:paraId="1248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noWrap w:val="0"/>
            <w:vAlign w:val="center"/>
          </w:tcPr>
          <w:p w14:paraId="30000827">
            <w:pPr>
              <w:keepNext w:val="0"/>
              <w:keepLines w:val="0"/>
              <w:pageBreakBefore w:val="0"/>
              <w:widowControl w:val="0"/>
              <w:tabs>
                <w:tab w:val="left" w:pos="1080"/>
              </w:tabs>
              <w:kinsoku/>
              <w:wordWrap/>
              <w:overflowPunct/>
              <w:topLinePunct w:val="0"/>
              <w:autoSpaceDE/>
              <w:autoSpaceDN/>
              <w:bidi w:val="0"/>
              <w:adjustRightInd/>
              <w:spacing w:line="288" w:lineRule="auto"/>
              <w:ind w:firstLine="0" w:firstLineChars="0"/>
              <w:jc w:val="center"/>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lang w:val="en-US" w:eastAsia="zh-CN"/>
              </w:rPr>
              <w:t>10</w:t>
            </w:r>
          </w:p>
        </w:tc>
        <w:tc>
          <w:tcPr>
            <w:tcW w:w="1972" w:type="dxa"/>
            <w:noWrap w:val="0"/>
            <w:vAlign w:val="center"/>
          </w:tcPr>
          <w:p w14:paraId="6E57E50B">
            <w:pPr>
              <w:keepNext w:val="0"/>
              <w:keepLines w:val="0"/>
              <w:pageBreakBefore w:val="0"/>
              <w:widowControl w:val="0"/>
              <w:tabs>
                <w:tab w:val="left" w:pos="1080"/>
              </w:tabs>
              <w:kinsoku/>
              <w:wordWrap/>
              <w:overflowPunct/>
              <w:topLinePunct w:val="0"/>
              <w:autoSpaceDE/>
              <w:autoSpaceDN/>
              <w:bidi w:val="0"/>
              <w:adjustRightInd/>
              <w:spacing w:line="288"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eastAsia="zh-CN"/>
              </w:rPr>
              <w:t>公平竞争</w:t>
            </w:r>
          </w:p>
        </w:tc>
        <w:tc>
          <w:tcPr>
            <w:tcW w:w="7909" w:type="dxa"/>
            <w:noWrap w:val="0"/>
            <w:vAlign w:val="center"/>
          </w:tcPr>
          <w:p w14:paraId="18414FFF">
            <w:pPr>
              <w:keepNext w:val="0"/>
              <w:keepLines w:val="0"/>
              <w:pageBreakBefore w:val="0"/>
              <w:widowControl w:val="0"/>
              <w:tabs>
                <w:tab w:val="left" w:pos="1080"/>
              </w:tabs>
              <w:kinsoku/>
              <w:wordWrap/>
              <w:overflowPunct/>
              <w:topLinePunct w:val="0"/>
              <w:autoSpaceDE/>
              <w:autoSpaceDN/>
              <w:bidi w:val="0"/>
              <w:adjustRightInd/>
              <w:spacing w:line="288" w:lineRule="auto"/>
              <w:ind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投标人遵循公平竞争的原则，不存在恶意串通，妨碍其他投标人的竞争行为，不存在损害采购人或者其他投标人的合法权益情形的</w:t>
            </w:r>
            <w:r>
              <w:rPr>
                <w:rFonts w:hint="eastAsia" w:ascii="仿宋" w:hAnsi="仿宋" w:eastAsia="仿宋" w:cs="仿宋"/>
                <w:color w:val="auto"/>
                <w:sz w:val="24"/>
                <w:szCs w:val="24"/>
                <w:lang w:eastAsia="zh-CN"/>
              </w:rPr>
              <w:t>；</w:t>
            </w:r>
          </w:p>
        </w:tc>
      </w:tr>
      <w:tr w14:paraId="57EC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8" w:type="dxa"/>
            <w:noWrap w:val="0"/>
            <w:vAlign w:val="center"/>
          </w:tcPr>
          <w:p w14:paraId="521A1DC8">
            <w:pPr>
              <w:keepNext w:val="0"/>
              <w:keepLines w:val="0"/>
              <w:pageBreakBefore w:val="0"/>
              <w:widowControl w:val="0"/>
              <w:tabs>
                <w:tab w:val="left" w:pos="1080"/>
              </w:tabs>
              <w:kinsoku/>
              <w:wordWrap/>
              <w:overflowPunct/>
              <w:topLinePunct w:val="0"/>
              <w:autoSpaceDE/>
              <w:autoSpaceDN/>
              <w:bidi w:val="0"/>
              <w:adjustRightInd/>
              <w:spacing w:line="288"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11</w:t>
            </w:r>
          </w:p>
        </w:tc>
        <w:tc>
          <w:tcPr>
            <w:tcW w:w="1972" w:type="dxa"/>
            <w:noWrap w:val="0"/>
            <w:vAlign w:val="center"/>
          </w:tcPr>
          <w:p w14:paraId="555DC43B">
            <w:pPr>
              <w:keepNext w:val="0"/>
              <w:keepLines w:val="0"/>
              <w:pageBreakBefore w:val="0"/>
              <w:widowControl w:val="0"/>
              <w:tabs>
                <w:tab w:val="left" w:pos="1080"/>
              </w:tabs>
              <w:kinsoku/>
              <w:wordWrap/>
              <w:overflowPunct/>
              <w:topLinePunct w:val="0"/>
              <w:autoSpaceDE/>
              <w:autoSpaceDN/>
              <w:bidi w:val="0"/>
              <w:adjustRightInd/>
              <w:spacing w:line="288"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eastAsia="zh-CN"/>
              </w:rPr>
              <w:t>串通投标</w:t>
            </w:r>
          </w:p>
        </w:tc>
        <w:tc>
          <w:tcPr>
            <w:tcW w:w="7909" w:type="dxa"/>
            <w:noWrap w:val="0"/>
            <w:vAlign w:val="center"/>
          </w:tcPr>
          <w:p w14:paraId="5F21F9FE">
            <w:pPr>
              <w:keepNext w:val="0"/>
              <w:keepLines w:val="0"/>
              <w:pageBreakBefore w:val="0"/>
              <w:widowControl w:val="0"/>
              <w:tabs>
                <w:tab w:val="left" w:pos="1080"/>
              </w:tabs>
              <w:kinsoku/>
              <w:wordWrap/>
              <w:overflowPunct/>
              <w:topLinePunct w:val="0"/>
              <w:autoSpaceDE/>
              <w:autoSpaceDN/>
              <w:bidi w:val="0"/>
              <w:adjustRightInd/>
              <w:spacing w:line="288" w:lineRule="auto"/>
              <w:ind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rFonts w:hint="eastAsia" w:ascii="仿宋" w:hAnsi="仿宋" w:eastAsia="仿宋" w:cs="仿宋"/>
                <w:color w:val="auto"/>
                <w:sz w:val="24"/>
                <w:szCs w:val="24"/>
                <w:lang w:eastAsia="zh-CN"/>
              </w:rPr>
              <w:t>；</w:t>
            </w:r>
          </w:p>
        </w:tc>
      </w:tr>
      <w:tr w14:paraId="6856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78" w:type="dxa"/>
            <w:noWrap w:val="0"/>
            <w:vAlign w:val="center"/>
          </w:tcPr>
          <w:p w14:paraId="059D04BD">
            <w:pPr>
              <w:keepNext w:val="0"/>
              <w:keepLines w:val="0"/>
              <w:pageBreakBefore w:val="0"/>
              <w:widowControl w:val="0"/>
              <w:tabs>
                <w:tab w:val="left" w:pos="1080"/>
              </w:tabs>
              <w:kinsoku/>
              <w:wordWrap/>
              <w:overflowPunct/>
              <w:topLinePunct w:val="0"/>
              <w:autoSpaceDE/>
              <w:autoSpaceDN/>
              <w:bidi w:val="0"/>
              <w:adjustRightInd/>
              <w:snapToGrid w:val="0"/>
              <w:spacing w:line="288"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2</w:t>
            </w:r>
          </w:p>
        </w:tc>
        <w:tc>
          <w:tcPr>
            <w:tcW w:w="1972" w:type="dxa"/>
            <w:noWrap w:val="0"/>
            <w:vAlign w:val="center"/>
          </w:tcPr>
          <w:p w14:paraId="6FECE5BB">
            <w:pPr>
              <w:keepNext w:val="0"/>
              <w:keepLines w:val="0"/>
              <w:pageBreakBefore w:val="0"/>
              <w:widowControl w:val="0"/>
              <w:tabs>
                <w:tab w:val="left" w:pos="1080"/>
              </w:tabs>
              <w:kinsoku/>
              <w:wordWrap/>
              <w:overflowPunct/>
              <w:topLinePunct w:val="0"/>
              <w:autoSpaceDE/>
              <w:autoSpaceDN/>
              <w:bidi w:val="0"/>
              <w:adjustRightInd/>
              <w:snapToGrid w:val="0"/>
              <w:spacing w:line="288"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eastAsia="zh-CN"/>
              </w:rPr>
              <w:t>附加条件</w:t>
            </w:r>
          </w:p>
        </w:tc>
        <w:tc>
          <w:tcPr>
            <w:tcW w:w="7909" w:type="dxa"/>
            <w:noWrap w:val="0"/>
            <w:vAlign w:val="center"/>
          </w:tcPr>
          <w:p w14:paraId="115445D0">
            <w:pPr>
              <w:keepNext w:val="0"/>
              <w:keepLines w:val="0"/>
              <w:pageBreakBefore w:val="0"/>
              <w:widowControl w:val="0"/>
              <w:tabs>
                <w:tab w:val="left" w:pos="1080"/>
              </w:tabs>
              <w:kinsoku/>
              <w:wordWrap/>
              <w:overflowPunct/>
              <w:topLinePunct w:val="0"/>
              <w:autoSpaceDE/>
              <w:autoSpaceDN/>
              <w:bidi w:val="0"/>
              <w:adjustRightInd/>
              <w:snapToGrid w:val="0"/>
              <w:spacing w:line="288" w:lineRule="auto"/>
              <w:ind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投标文件未含有采购人不能接受的附加条件的</w:t>
            </w:r>
            <w:r>
              <w:rPr>
                <w:rFonts w:hint="eastAsia" w:ascii="仿宋" w:hAnsi="仿宋" w:eastAsia="仿宋" w:cs="仿宋"/>
                <w:color w:val="auto"/>
                <w:sz w:val="24"/>
                <w:szCs w:val="24"/>
                <w:lang w:eastAsia="zh-CN"/>
              </w:rPr>
              <w:t>；</w:t>
            </w:r>
          </w:p>
        </w:tc>
      </w:tr>
      <w:tr w14:paraId="42AF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8" w:type="dxa"/>
            <w:noWrap w:val="0"/>
            <w:vAlign w:val="center"/>
          </w:tcPr>
          <w:p w14:paraId="67582797">
            <w:pPr>
              <w:keepNext w:val="0"/>
              <w:keepLines w:val="0"/>
              <w:pageBreakBefore w:val="0"/>
              <w:widowControl w:val="0"/>
              <w:tabs>
                <w:tab w:val="left" w:pos="1080"/>
              </w:tabs>
              <w:kinsoku/>
              <w:wordWrap/>
              <w:overflowPunct/>
              <w:topLinePunct w:val="0"/>
              <w:autoSpaceDE/>
              <w:autoSpaceDN/>
              <w:bidi w:val="0"/>
              <w:adjustRightInd/>
              <w:spacing w:line="288" w:lineRule="auto"/>
              <w:ind w:firstLine="0" w:firstLineChars="0"/>
              <w:jc w:val="center"/>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3</w:t>
            </w:r>
          </w:p>
        </w:tc>
        <w:tc>
          <w:tcPr>
            <w:tcW w:w="1972" w:type="dxa"/>
            <w:noWrap w:val="0"/>
            <w:vAlign w:val="center"/>
          </w:tcPr>
          <w:p w14:paraId="413DD655">
            <w:pPr>
              <w:keepNext w:val="0"/>
              <w:keepLines w:val="0"/>
              <w:pageBreakBefore w:val="0"/>
              <w:widowControl w:val="0"/>
              <w:tabs>
                <w:tab w:val="left" w:pos="1080"/>
              </w:tabs>
              <w:kinsoku/>
              <w:wordWrap/>
              <w:overflowPunct/>
              <w:topLinePunct w:val="0"/>
              <w:autoSpaceDE/>
              <w:autoSpaceDN/>
              <w:bidi w:val="0"/>
              <w:adjustRightInd/>
              <w:spacing w:line="288"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eastAsia="zh-CN"/>
              </w:rPr>
              <w:t>其他无效情形</w:t>
            </w:r>
          </w:p>
        </w:tc>
        <w:tc>
          <w:tcPr>
            <w:tcW w:w="7909" w:type="dxa"/>
            <w:noWrap w:val="0"/>
            <w:vAlign w:val="center"/>
          </w:tcPr>
          <w:p w14:paraId="2515C506">
            <w:pPr>
              <w:keepNext w:val="0"/>
              <w:keepLines w:val="0"/>
              <w:pageBreakBefore w:val="0"/>
              <w:widowControl w:val="0"/>
              <w:tabs>
                <w:tab w:val="left" w:pos="1080"/>
              </w:tabs>
              <w:kinsoku/>
              <w:wordWrap/>
              <w:overflowPunct/>
              <w:topLinePunct w:val="0"/>
              <w:autoSpaceDE/>
              <w:autoSpaceDN/>
              <w:bidi w:val="0"/>
              <w:adjustRightInd/>
              <w:spacing w:line="288" w:lineRule="auto"/>
              <w:ind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投标人、投标文件不存在不符合法律、法规和招标文件规定的其他无效情形</w:t>
            </w:r>
            <w:r>
              <w:rPr>
                <w:rFonts w:hint="eastAsia" w:ascii="仿宋" w:hAnsi="仿宋" w:eastAsia="仿宋" w:cs="仿宋"/>
                <w:color w:val="auto"/>
                <w:sz w:val="24"/>
                <w:szCs w:val="24"/>
                <w:lang w:eastAsia="zh-CN"/>
              </w:rPr>
              <w:t>；</w:t>
            </w:r>
          </w:p>
        </w:tc>
      </w:tr>
      <w:bookmarkEnd w:id="113"/>
      <w:bookmarkEnd w:id="114"/>
    </w:tbl>
    <w:p w14:paraId="04B96E30">
      <w:pPr>
        <w:spacing w:before="115" w:line="360" w:lineRule="auto"/>
        <w:ind w:right="910"/>
        <w:rPr>
          <w:rFonts w:hint="eastAsia" w:ascii="仿宋" w:hAnsi="仿宋" w:eastAsia="仿宋" w:cs="仿宋"/>
          <w:b w:val="0"/>
          <w:bCs w:val="0"/>
          <w:color w:val="auto"/>
          <w:spacing w:val="3"/>
          <w:sz w:val="24"/>
          <w:szCs w:val="24"/>
          <w:highlight w:val="none"/>
          <w:lang w:eastAsia="zh-CN"/>
        </w:rPr>
      </w:pPr>
      <w:r>
        <w:rPr>
          <w:rFonts w:hint="eastAsia" w:ascii="仿宋" w:hAnsi="仿宋" w:eastAsia="仿宋" w:cs="仿宋"/>
          <w:b/>
          <w:bCs/>
          <w:color w:val="auto"/>
          <w:spacing w:val="3"/>
          <w:sz w:val="24"/>
          <w:szCs w:val="24"/>
          <w:highlight w:val="none"/>
        </w:rPr>
        <w:t>注：</w:t>
      </w:r>
      <w:r>
        <w:rPr>
          <w:rFonts w:hint="eastAsia" w:ascii="仿宋" w:hAnsi="仿宋" w:eastAsia="仿宋" w:cs="仿宋"/>
          <w:b w:val="0"/>
          <w:bCs w:val="0"/>
          <w:color w:val="auto"/>
          <w:spacing w:val="3"/>
          <w:sz w:val="24"/>
          <w:szCs w:val="24"/>
          <w:highlight w:val="none"/>
          <w:lang w:val="en-US" w:eastAsia="zh-CN"/>
        </w:rPr>
        <w:t>1.</w:t>
      </w:r>
      <w:r>
        <w:rPr>
          <w:rFonts w:hint="eastAsia" w:ascii="仿宋" w:hAnsi="仿宋" w:eastAsia="仿宋" w:cs="仿宋"/>
          <w:b w:val="0"/>
          <w:bCs w:val="0"/>
          <w:color w:val="auto"/>
          <w:spacing w:val="3"/>
          <w:sz w:val="24"/>
          <w:szCs w:val="24"/>
          <w:highlight w:val="none"/>
        </w:rPr>
        <w:t>符合性审查的评审内容，有一项不通过者，视为未通过符合性审查</w:t>
      </w:r>
      <w:r>
        <w:rPr>
          <w:rFonts w:hint="eastAsia" w:ascii="仿宋" w:hAnsi="仿宋" w:eastAsia="仿宋" w:cs="仿宋"/>
          <w:b w:val="0"/>
          <w:bCs w:val="0"/>
          <w:color w:val="auto"/>
          <w:spacing w:val="3"/>
          <w:sz w:val="24"/>
          <w:szCs w:val="24"/>
          <w:highlight w:val="none"/>
          <w:lang w:eastAsia="zh-CN"/>
        </w:rPr>
        <w:t>；</w:t>
      </w:r>
    </w:p>
    <w:p w14:paraId="55FEA471">
      <w:pPr>
        <w:pageBreakBefore w:val="0"/>
        <w:kinsoku/>
        <w:wordWrap/>
        <w:overflowPunct/>
        <w:topLinePunct w:val="0"/>
        <w:bidi w:val="0"/>
        <w:adjustRightInd w:val="0"/>
        <w:snapToGrid w:val="0"/>
        <w:spacing w:line="360" w:lineRule="auto"/>
        <w:ind w:firstLine="49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pacing w:val="3"/>
          <w:sz w:val="24"/>
          <w:szCs w:val="24"/>
          <w:highlight w:val="none"/>
          <w:lang w:val="en-US" w:eastAsia="zh-CN"/>
        </w:rPr>
        <w:t>2.</w:t>
      </w:r>
      <w:r>
        <w:rPr>
          <w:rFonts w:hint="eastAsia" w:ascii="仿宋" w:hAnsi="仿宋" w:eastAsia="仿宋" w:cs="仿宋"/>
          <w:b w:val="0"/>
          <w:bCs w:val="0"/>
          <w:color w:val="auto"/>
          <w:spacing w:val="3"/>
          <w:sz w:val="24"/>
          <w:szCs w:val="24"/>
          <w:highlight w:val="none"/>
        </w:rPr>
        <w:t>未通</w:t>
      </w:r>
      <w:r>
        <w:rPr>
          <w:rFonts w:hint="eastAsia" w:ascii="仿宋" w:hAnsi="仿宋" w:eastAsia="仿宋" w:cs="仿宋"/>
          <w:b w:val="0"/>
          <w:bCs w:val="0"/>
          <w:color w:val="auto"/>
          <w:spacing w:val="2"/>
          <w:sz w:val="24"/>
          <w:szCs w:val="24"/>
          <w:highlight w:val="none"/>
        </w:rPr>
        <w:t>过符</w:t>
      </w:r>
      <w:r>
        <w:rPr>
          <w:rFonts w:hint="eastAsia" w:ascii="仿宋" w:hAnsi="仿宋" w:eastAsia="仿宋" w:cs="仿宋"/>
          <w:b w:val="0"/>
          <w:bCs w:val="0"/>
          <w:color w:val="auto"/>
          <w:spacing w:val="-2"/>
          <w:sz w:val="24"/>
          <w:szCs w:val="24"/>
          <w:highlight w:val="none"/>
        </w:rPr>
        <w:t>合性审查的</w:t>
      </w:r>
      <w:r>
        <w:rPr>
          <w:rFonts w:hint="eastAsia" w:ascii="仿宋" w:hAnsi="仿宋" w:eastAsia="仿宋" w:cs="仿宋"/>
          <w:b w:val="0"/>
          <w:bCs w:val="0"/>
          <w:color w:val="auto"/>
          <w:spacing w:val="-2"/>
          <w:sz w:val="24"/>
          <w:szCs w:val="24"/>
          <w:highlight w:val="none"/>
          <w:lang w:val="en-US" w:eastAsia="zh-CN"/>
        </w:rPr>
        <w:t>投标</w:t>
      </w:r>
      <w:r>
        <w:rPr>
          <w:rFonts w:hint="eastAsia" w:ascii="仿宋" w:hAnsi="仿宋" w:eastAsia="仿宋" w:cs="仿宋"/>
          <w:b w:val="0"/>
          <w:bCs w:val="0"/>
          <w:color w:val="auto"/>
          <w:spacing w:val="-2"/>
          <w:sz w:val="24"/>
          <w:szCs w:val="24"/>
          <w:highlight w:val="none"/>
        </w:rPr>
        <w:t>供应商其投标文件将按照无效投标处理</w:t>
      </w:r>
      <w:r>
        <w:rPr>
          <w:rFonts w:hint="eastAsia" w:ascii="仿宋" w:hAnsi="仿宋" w:eastAsia="仿宋" w:cs="仿宋"/>
          <w:b w:val="0"/>
          <w:bCs w:val="0"/>
          <w:color w:val="auto"/>
          <w:spacing w:val="-2"/>
          <w:sz w:val="24"/>
          <w:szCs w:val="24"/>
          <w:highlight w:val="none"/>
          <w:lang w:eastAsia="zh-CN"/>
        </w:rPr>
        <w:t>。</w:t>
      </w:r>
    </w:p>
    <w:p w14:paraId="6AAB29C4">
      <w:pPr>
        <w:keepNext w:val="0"/>
        <w:keepLines w:val="0"/>
        <w:pageBreakBefore w:val="0"/>
        <w:widowControl w:val="0"/>
        <w:tabs>
          <w:tab w:val="left" w:pos="900"/>
          <w:tab w:val="left" w:pos="1080"/>
          <w:tab w:val="left" w:pos="1589"/>
        </w:tabs>
        <w:kinsoku/>
        <w:wordWrap/>
        <w:overflowPunct/>
        <w:topLinePunct w:val="0"/>
        <w:autoSpaceDE/>
        <w:autoSpaceDN/>
        <w:bidi w:val="0"/>
        <w:adjustRightInd/>
        <w:snapToGrid w:val="0"/>
        <w:spacing w:line="312" w:lineRule="auto"/>
        <w:jc w:val="center"/>
        <w:textAlignment w:val="auto"/>
        <w:rPr>
          <w:rFonts w:hint="eastAsia" w:ascii="仿宋" w:hAnsi="仿宋" w:eastAsia="仿宋" w:cs="仿宋"/>
          <w:b/>
          <w:color w:val="auto"/>
          <w:sz w:val="28"/>
          <w:szCs w:val="28"/>
          <w:highlight w:val="none"/>
          <w:lang w:val="en-US" w:eastAsia="zh-CN"/>
        </w:rPr>
      </w:pPr>
    </w:p>
    <w:p w14:paraId="24559FDC">
      <w:pPr>
        <w:keepNext w:val="0"/>
        <w:keepLines w:val="0"/>
        <w:pageBreakBefore w:val="0"/>
        <w:widowControl w:val="0"/>
        <w:tabs>
          <w:tab w:val="left" w:pos="900"/>
          <w:tab w:val="left" w:pos="1080"/>
          <w:tab w:val="left" w:pos="1589"/>
        </w:tabs>
        <w:kinsoku/>
        <w:wordWrap/>
        <w:overflowPunct/>
        <w:topLinePunct w:val="0"/>
        <w:autoSpaceDE/>
        <w:autoSpaceDN/>
        <w:bidi w:val="0"/>
        <w:adjustRightInd/>
        <w:snapToGrid w:val="0"/>
        <w:spacing w:line="312" w:lineRule="auto"/>
        <w:jc w:val="center"/>
        <w:textAlignment w:val="auto"/>
        <w:rPr>
          <w:rFonts w:hint="eastAsia" w:ascii="仿宋" w:hAnsi="仿宋" w:eastAsia="仿宋" w:cs="仿宋"/>
          <w:b/>
          <w:color w:val="auto"/>
          <w:sz w:val="28"/>
          <w:szCs w:val="28"/>
          <w:highlight w:val="none"/>
          <w:lang w:val="en-US" w:eastAsia="zh-CN"/>
        </w:rPr>
      </w:pPr>
    </w:p>
    <w:p w14:paraId="5407301D">
      <w:pPr>
        <w:keepNext w:val="0"/>
        <w:keepLines w:val="0"/>
        <w:pageBreakBefore w:val="0"/>
        <w:widowControl w:val="0"/>
        <w:tabs>
          <w:tab w:val="left" w:pos="900"/>
          <w:tab w:val="left" w:pos="1080"/>
          <w:tab w:val="left" w:pos="1589"/>
        </w:tabs>
        <w:kinsoku/>
        <w:wordWrap/>
        <w:overflowPunct/>
        <w:topLinePunct w:val="0"/>
        <w:autoSpaceDE/>
        <w:autoSpaceDN/>
        <w:bidi w:val="0"/>
        <w:adjustRightInd/>
        <w:snapToGrid w:val="0"/>
        <w:spacing w:line="312" w:lineRule="auto"/>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 xml:space="preserve">详 细 </w:t>
      </w:r>
      <w:r>
        <w:rPr>
          <w:rFonts w:hint="eastAsia" w:ascii="仿宋" w:hAnsi="仿宋" w:eastAsia="仿宋" w:cs="仿宋"/>
          <w:b/>
          <w:color w:val="auto"/>
          <w:sz w:val="28"/>
          <w:szCs w:val="28"/>
          <w:highlight w:val="none"/>
        </w:rPr>
        <w:t>评</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标</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标</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准</w:t>
      </w:r>
    </w:p>
    <w:p w14:paraId="30E09404">
      <w:pPr>
        <w:pStyle w:val="57"/>
        <w:keepNext w:val="0"/>
        <w:keepLines w:val="0"/>
        <w:pageBreakBefore w:val="0"/>
        <w:widowControl w:val="0"/>
        <w:kinsoku/>
        <w:wordWrap/>
        <w:overflowPunct/>
        <w:topLinePunct w:val="0"/>
        <w:autoSpaceDE w:val="0"/>
        <w:autoSpaceDN w:val="0"/>
        <w:bidi w:val="0"/>
        <w:adjustRightInd w:val="0"/>
        <w:snapToGrid w:val="0"/>
        <w:spacing w:line="120" w:lineRule="auto"/>
        <w:textAlignment w:val="auto"/>
        <w:rPr>
          <w:rFonts w:hint="eastAsia" w:ascii="仿宋" w:hAnsi="仿宋" w:eastAsia="仿宋" w:cs="仿宋"/>
          <w:color w:val="auto"/>
          <w:highlight w:val="none"/>
          <w:lang w:val="en-US" w:eastAsia="zh-CN"/>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45"/>
        <w:gridCol w:w="6086"/>
        <w:gridCol w:w="1049"/>
      </w:tblGrid>
      <w:tr w14:paraId="4E92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7" w:type="dxa"/>
            <w:noWrap w:val="0"/>
            <w:vAlign w:val="center"/>
          </w:tcPr>
          <w:p w14:paraId="33AC2B3D">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b/>
                <w:bCs/>
                <w:color w:val="auto"/>
                <w:kern w:val="0"/>
                <w:sz w:val="24"/>
              </w:rPr>
            </w:pPr>
            <w:r>
              <w:rPr>
                <w:rFonts w:hint="eastAsia" w:ascii="仿宋" w:hAnsi="仿宋" w:eastAsia="仿宋" w:cs="仿宋"/>
                <w:b/>
                <w:bCs/>
                <w:color w:val="auto"/>
                <w:kern w:val="0"/>
                <w:sz w:val="24"/>
              </w:rPr>
              <w:t>评分项目</w:t>
            </w:r>
          </w:p>
        </w:tc>
        <w:tc>
          <w:tcPr>
            <w:tcW w:w="1245" w:type="dxa"/>
            <w:noWrap w:val="0"/>
            <w:vAlign w:val="center"/>
          </w:tcPr>
          <w:p w14:paraId="4E423038">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b/>
                <w:bCs/>
                <w:color w:val="auto"/>
                <w:kern w:val="0"/>
                <w:sz w:val="24"/>
              </w:rPr>
            </w:pPr>
            <w:r>
              <w:rPr>
                <w:rFonts w:hint="eastAsia" w:ascii="仿宋" w:hAnsi="仿宋" w:eastAsia="仿宋" w:cs="仿宋"/>
                <w:b/>
                <w:bCs/>
                <w:color w:val="auto"/>
                <w:kern w:val="0"/>
                <w:sz w:val="24"/>
              </w:rPr>
              <w:t>评分因素</w:t>
            </w:r>
          </w:p>
        </w:tc>
        <w:tc>
          <w:tcPr>
            <w:tcW w:w="6086" w:type="dxa"/>
            <w:noWrap w:val="0"/>
            <w:vAlign w:val="center"/>
          </w:tcPr>
          <w:p w14:paraId="5447098B">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b/>
                <w:bCs/>
                <w:color w:val="auto"/>
                <w:kern w:val="0"/>
                <w:sz w:val="24"/>
              </w:rPr>
            </w:pPr>
            <w:r>
              <w:rPr>
                <w:rFonts w:hint="eastAsia" w:ascii="仿宋" w:hAnsi="仿宋" w:eastAsia="仿宋" w:cs="仿宋"/>
                <w:b/>
                <w:bCs/>
                <w:color w:val="auto"/>
                <w:kern w:val="0"/>
                <w:sz w:val="24"/>
              </w:rPr>
              <w:t>评审内容</w:t>
            </w:r>
          </w:p>
        </w:tc>
        <w:tc>
          <w:tcPr>
            <w:tcW w:w="1049" w:type="dxa"/>
            <w:noWrap w:val="0"/>
            <w:vAlign w:val="center"/>
          </w:tcPr>
          <w:p w14:paraId="5C7AE441">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b/>
                <w:bCs/>
                <w:color w:val="auto"/>
                <w:kern w:val="0"/>
                <w:sz w:val="24"/>
              </w:rPr>
            </w:pPr>
            <w:r>
              <w:rPr>
                <w:rFonts w:hint="eastAsia" w:ascii="仿宋" w:hAnsi="仿宋" w:eastAsia="仿宋" w:cs="仿宋"/>
                <w:b/>
                <w:bCs/>
                <w:color w:val="auto"/>
                <w:kern w:val="0"/>
                <w:sz w:val="24"/>
              </w:rPr>
              <w:t>分值</w:t>
            </w:r>
          </w:p>
        </w:tc>
      </w:tr>
      <w:tr w14:paraId="64DB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07" w:type="dxa"/>
            <w:noWrap w:val="0"/>
            <w:vAlign w:val="center"/>
          </w:tcPr>
          <w:p w14:paraId="192609C3">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价格部分（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0分）</w:t>
            </w:r>
          </w:p>
        </w:tc>
        <w:tc>
          <w:tcPr>
            <w:tcW w:w="1245" w:type="dxa"/>
            <w:noWrap w:val="0"/>
            <w:vAlign w:val="center"/>
          </w:tcPr>
          <w:p w14:paraId="0721D266">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投标报价</w:t>
            </w:r>
          </w:p>
        </w:tc>
        <w:tc>
          <w:tcPr>
            <w:tcW w:w="6086" w:type="dxa"/>
            <w:noWrap w:val="0"/>
            <w:vAlign w:val="center"/>
          </w:tcPr>
          <w:p w14:paraId="70DE76B9">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价格分采用低价优先法计算，即满足本招标文件要求的最低投标报价为评标基准价，其价格分为满分，其它投标人的价格分统一按照下列公式计算：</w:t>
            </w:r>
          </w:p>
          <w:p w14:paraId="5C380E8D">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投标报价得分=（评标基准价／投标报价）×价格分分值（精确到小数点后两位）。</w:t>
            </w:r>
          </w:p>
          <w:p w14:paraId="65197B3D">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超过了采购项目预算或最高限价的，为无效投标。</w:t>
            </w:r>
          </w:p>
        </w:tc>
        <w:tc>
          <w:tcPr>
            <w:tcW w:w="1049" w:type="dxa"/>
            <w:noWrap w:val="0"/>
            <w:vAlign w:val="center"/>
          </w:tcPr>
          <w:p w14:paraId="53A42BA3">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30</w:t>
            </w:r>
          </w:p>
        </w:tc>
      </w:tr>
      <w:tr w14:paraId="24D5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07" w:type="dxa"/>
            <w:vMerge w:val="restart"/>
            <w:shd w:val="clear" w:color="auto" w:fill="auto"/>
            <w:noWrap w:val="0"/>
            <w:vAlign w:val="center"/>
          </w:tcPr>
          <w:p w14:paraId="70764137">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商务部分（</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rPr>
              <w:t>分）</w:t>
            </w:r>
          </w:p>
        </w:tc>
        <w:tc>
          <w:tcPr>
            <w:tcW w:w="1245" w:type="dxa"/>
            <w:shd w:val="clear" w:color="auto" w:fill="auto"/>
            <w:noWrap w:val="0"/>
            <w:vAlign w:val="center"/>
          </w:tcPr>
          <w:p w14:paraId="02953333">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w:t>
            </w:r>
          </w:p>
          <w:p w14:paraId="795A1E18">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业绩</w:t>
            </w:r>
          </w:p>
        </w:tc>
        <w:tc>
          <w:tcPr>
            <w:tcW w:w="6086" w:type="dxa"/>
            <w:shd w:val="clear" w:color="auto" w:fill="auto"/>
            <w:noWrap w:val="0"/>
            <w:vAlign w:val="center"/>
          </w:tcPr>
          <w:p w14:paraId="54EF2AC9">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lang w:val="en-US" w:eastAsia="zh-CN" w:bidi="ar-SA"/>
              </w:rPr>
              <w:t>提供近五年内完成成功案例合同复印件。每提供一个得1分，本项最高3分。</w:t>
            </w:r>
          </w:p>
        </w:tc>
        <w:tc>
          <w:tcPr>
            <w:tcW w:w="1049" w:type="dxa"/>
            <w:shd w:val="clear" w:color="000000" w:fill="FFFFFF"/>
            <w:noWrap w:val="0"/>
            <w:vAlign w:val="center"/>
          </w:tcPr>
          <w:p w14:paraId="2A173541">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r>
      <w:tr w14:paraId="4FD8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Merge w:val="continue"/>
            <w:shd w:val="clear" w:color="auto" w:fill="auto"/>
            <w:noWrap w:val="0"/>
            <w:vAlign w:val="center"/>
          </w:tcPr>
          <w:p w14:paraId="03BD42EE">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rPr>
            </w:pPr>
          </w:p>
        </w:tc>
        <w:tc>
          <w:tcPr>
            <w:tcW w:w="1245" w:type="dxa"/>
            <w:shd w:val="clear" w:color="auto" w:fill="auto"/>
            <w:noWrap w:val="0"/>
            <w:vAlign w:val="center"/>
          </w:tcPr>
          <w:p w14:paraId="2DC0418D">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履约能力</w:t>
            </w:r>
          </w:p>
        </w:tc>
        <w:tc>
          <w:tcPr>
            <w:tcW w:w="6086" w:type="dxa"/>
            <w:shd w:val="clear" w:color="auto" w:fill="auto"/>
            <w:noWrap w:val="0"/>
            <w:vAlign w:val="center"/>
          </w:tcPr>
          <w:p w14:paraId="217CF53F">
            <w:pPr>
              <w:keepNext w:val="0"/>
              <w:keepLines w:val="0"/>
              <w:pageBreakBefore w:val="0"/>
              <w:widowControl/>
              <w:numPr>
                <w:ilvl w:val="0"/>
                <w:numId w:val="0"/>
              </w:numPr>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lang w:val="en-US" w:eastAsia="zh-CN" w:bidi="ar-SA"/>
              </w:rPr>
              <w:t>1、</w:t>
            </w:r>
            <w:r>
              <w:rPr>
                <w:rFonts w:hint="eastAsia" w:ascii="仿宋" w:hAnsi="仿宋" w:eastAsia="仿宋" w:cs="仿宋"/>
                <w:color w:val="auto"/>
                <w:kern w:val="0"/>
                <w:sz w:val="24"/>
                <w:szCs w:val="24"/>
                <w:highlight w:val="none"/>
              </w:rPr>
              <w:t>方案内容完整覆盖以下7个要素，且内容详实、逻辑清晰、符合本项目530户终端及配套平台的特点：</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① 整体实施计划；② 关键路径分析；③ 详细进度计划表；④ 交付物清单；⑤ 验收标准；⑥ 风险分析（含技术、管理、进度、安全风险）；⑦ 风险应对措施。</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扣分标准：上述7项要素每有1项完全缺失，扣1分。每有1项内容存在明显偏差、过于简略（如仅有一句话）或不切合本项目实际，扣0.5分。累计扣完</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分为止。</w:t>
            </w:r>
          </w:p>
          <w:p w14:paraId="7FD36042">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2、</w:t>
            </w:r>
            <w:r>
              <w:rPr>
                <w:rFonts w:hint="eastAsia" w:ascii="仿宋" w:hAnsi="仿宋" w:eastAsia="仿宋" w:cs="仿宋"/>
                <w:color w:val="auto"/>
                <w:kern w:val="0"/>
                <w:sz w:val="24"/>
                <w:szCs w:val="24"/>
                <w:highlight w:val="none"/>
              </w:rPr>
              <w:t>①</w:t>
            </w:r>
            <w:r>
              <w:rPr>
                <w:rFonts w:hint="eastAsia" w:ascii="仿宋" w:hAnsi="仿宋" w:eastAsia="仿宋" w:cs="仿宋"/>
                <w:color w:val="auto"/>
                <w:kern w:val="0"/>
                <w:sz w:val="24"/>
                <w:szCs w:val="24"/>
                <w:lang w:val="en-US" w:eastAsia="zh-CN" w:bidi="ar-SA"/>
              </w:rPr>
              <w:t>投标人自身持有基础电信业务经营许可证，得5 分；</w:t>
            </w:r>
          </w:p>
          <w:p w14:paraId="03E154A1">
            <w:pPr>
              <w:keepNext w:val="0"/>
              <w:keepLines w:val="0"/>
              <w:pageBreakBefore w:val="0"/>
              <w:widowControl/>
              <w:kinsoku/>
              <w:wordWrap/>
              <w:overflowPunct/>
              <w:topLinePunct w:val="0"/>
              <w:autoSpaceDE/>
              <w:autoSpaceDN/>
              <w:bidi w:val="0"/>
              <w:adjustRightInd w:val="0"/>
              <w:snapToGrid w:val="0"/>
              <w:textAlignment w:val="auto"/>
              <w:rPr>
                <w:rFonts w:hint="eastAsia"/>
                <w:lang w:val="en-US" w:eastAsia="zh-CN"/>
              </w:rPr>
            </w:pPr>
            <w:r>
              <w:rPr>
                <w:rFonts w:hint="eastAsia" w:ascii="仿宋" w:hAnsi="仿宋" w:eastAsia="仿宋" w:cs="仿宋"/>
                <w:color w:val="auto"/>
                <w:kern w:val="0"/>
                <w:sz w:val="24"/>
                <w:szCs w:val="24"/>
                <w:highlight w:val="none"/>
              </w:rPr>
              <w:t xml:space="preserve">② </w:t>
            </w:r>
            <w:r>
              <w:rPr>
                <w:rFonts w:hint="eastAsia" w:ascii="仿宋" w:hAnsi="仿宋" w:eastAsia="仿宋" w:cs="仿宋"/>
                <w:color w:val="auto"/>
                <w:kern w:val="0"/>
                <w:sz w:val="24"/>
                <w:szCs w:val="24"/>
                <w:lang w:val="en-US" w:eastAsia="zh-CN" w:bidi="ar-SA"/>
              </w:rPr>
              <w:t>无上述证书，但持有持证运营商有效授权文件，并承诺可提供满足要求的基础电信服务，得3 分；</w:t>
            </w:r>
            <w:r>
              <w:rPr>
                <w:rFonts w:hint="eastAsia" w:ascii="仿宋" w:hAnsi="仿宋" w:eastAsia="仿宋" w:cs="仿宋"/>
                <w:color w:val="auto"/>
                <w:kern w:val="0"/>
                <w:sz w:val="24"/>
                <w:szCs w:val="24"/>
                <w:highlight w:val="none"/>
              </w:rPr>
              <w:t xml:space="preserve">③ </w:t>
            </w:r>
            <w:r>
              <w:rPr>
                <w:rFonts w:hint="eastAsia" w:ascii="仿宋" w:hAnsi="仿宋" w:eastAsia="仿宋" w:cs="仿宋"/>
                <w:color w:val="auto"/>
                <w:kern w:val="0"/>
                <w:sz w:val="24"/>
                <w:szCs w:val="24"/>
                <w:lang w:val="en-US" w:eastAsia="zh-CN" w:bidi="ar-SA"/>
              </w:rPr>
              <w:t>均不满足，得0 分</w:t>
            </w:r>
          </w:p>
        </w:tc>
        <w:tc>
          <w:tcPr>
            <w:tcW w:w="1049" w:type="dxa"/>
            <w:shd w:val="clear" w:color="000000" w:fill="FFFFFF"/>
            <w:noWrap w:val="0"/>
            <w:vAlign w:val="center"/>
          </w:tcPr>
          <w:p w14:paraId="62DDE89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w:t>
            </w:r>
          </w:p>
        </w:tc>
      </w:tr>
      <w:tr w14:paraId="52BC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07" w:type="dxa"/>
            <w:vMerge w:val="restart"/>
            <w:noWrap w:val="0"/>
            <w:vAlign w:val="center"/>
          </w:tcPr>
          <w:p w14:paraId="0C505B82">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技术部分(</w:t>
            </w:r>
            <w:r>
              <w:rPr>
                <w:rFonts w:hint="eastAsia" w:ascii="仿宋" w:hAnsi="仿宋" w:eastAsia="仿宋" w:cs="仿宋"/>
                <w:color w:val="auto"/>
                <w:kern w:val="0"/>
                <w:sz w:val="24"/>
                <w:szCs w:val="24"/>
                <w:highlight w:val="none"/>
                <w:lang w:val="en-US" w:eastAsia="zh-CN"/>
              </w:rPr>
              <w:t>60</w:t>
            </w:r>
            <w:r>
              <w:rPr>
                <w:rFonts w:hint="eastAsia" w:ascii="仿宋" w:hAnsi="仿宋" w:eastAsia="仿宋" w:cs="仿宋"/>
                <w:color w:val="auto"/>
                <w:kern w:val="0"/>
                <w:sz w:val="24"/>
                <w:szCs w:val="24"/>
                <w:highlight w:val="none"/>
              </w:rPr>
              <w:t>分)</w:t>
            </w:r>
          </w:p>
        </w:tc>
        <w:tc>
          <w:tcPr>
            <w:tcW w:w="1245" w:type="dxa"/>
            <w:tcBorders>
              <w:bottom w:val="single" w:color="auto" w:sz="4" w:space="0"/>
            </w:tcBorders>
            <w:noWrap w:val="0"/>
            <w:vAlign w:val="center"/>
          </w:tcPr>
          <w:p w14:paraId="47BF0AA7">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技术参数要求</w:t>
            </w:r>
          </w:p>
        </w:tc>
        <w:tc>
          <w:tcPr>
            <w:tcW w:w="6086" w:type="dxa"/>
            <w:tcBorders>
              <w:bottom w:val="single" w:color="auto" w:sz="4" w:space="0"/>
            </w:tcBorders>
            <w:noWrap w:val="0"/>
            <w:vAlign w:val="center"/>
          </w:tcPr>
          <w:p w14:paraId="2D27555C">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对本项目服务需求中要求的标“★”项核心服务内容进行评分（须提供证明材料或承诺函），每缺漏1项扣2分，扣完为止。未标有“★”项参数，每有一项不满足或偏离的扣1分,扣完为止。</w:t>
            </w:r>
          </w:p>
        </w:tc>
        <w:tc>
          <w:tcPr>
            <w:tcW w:w="1049" w:type="dxa"/>
            <w:tcBorders>
              <w:bottom w:val="single" w:color="auto" w:sz="4" w:space="0"/>
            </w:tcBorders>
            <w:noWrap w:val="0"/>
            <w:vAlign w:val="center"/>
          </w:tcPr>
          <w:p w14:paraId="14E4E6C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22</w:t>
            </w:r>
          </w:p>
        </w:tc>
      </w:tr>
      <w:tr w14:paraId="52BF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07" w:type="dxa"/>
            <w:vMerge w:val="continue"/>
            <w:noWrap w:val="0"/>
            <w:vAlign w:val="center"/>
          </w:tcPr>
          <w:p w14:paraId="1FF1D912">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rPr>
            </w:pPr>
          </w:p>
        </w:tc>
        <w:tc>
          <w:tcPr>
            <w:tcW w:w="1245" w:type="dxa"/>
            <w:tcBorders>
              <w:bottom w:val="single" w:color="auto" w:sz="4" w:space="0"/>
            </w:tcBorders>
            <w:noWrap w:val="0"/>
            <w:vAlign w:val="center"/>
          </w:tcPr>
          <w:p w14:paraId="4E4C410B">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需求分析</w:t>
            </w:r>
          </w:p>
        </w:tc>
        <w:tc>
          <w:tcPr>
            <w:tcW w:w="6086" w:type="dxa"/>
            <w:tcBorders>
              <w:bottom w:val="single" w:color="auto" w:sz="4" w:space="0"/>
            </w:tcBorders>
            <w:noWrap w:val="0"/>
            <w:vAlign w:val="center"/>
          </w:tcPr>
          <w:p w14:paraId="19F36E54">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 方案对以下四个核心服务模块均有深刻、精准的理解和分析：</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① 移动执法终端的运行保障及维修替换服务；</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② 管控平台运维服务；</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③ 应用功能提升完善服务；</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④ 安全管控能力服务。</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扣分标准：上述四个模块中，每有1个模块的分析缺失或分析浮于表面、与招标文件要求严重不符，扣</w:t>
            </w:r>
            <w:r>
              <w:rPr>
                <w:rFonts w:hint="eastAsia" w:ascii="仿宋" w:hAnsi="仿宋" w:eastAsia="仿宋" w:cs="仿宋"/>
                <w:color w:val="auto"/>
                <w:kern w:val="0"/>
                <w:sz w:val="24"/>
                <w:szCs w:val="24"/>
                <w:highlight w:val="none"/>
                <w:lang w:val="en-US" w:eastAsia="zh-CN"/>
              </w:rPr>
              <w:t>0.5</w:t>
            </w:r>
            <w:r>
              <w:rPr>
                <w:rFonts w:hint="eastAsia" w:ascii="仿宋" w:hAnsi="仿宋" w:eastAsia="仿宋" w:cs="仿宋"/>
                <w:color w:val="auto"/>
                <w:kern w:val="0"/>
                <w:sz w:val="24"/>
                <w:szCs w:val="24"/>
                <w:highlight w:val="none"/>
              </w:rPr>
              <w:t>分。累计扣完</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分为止。</w:t>
            </w:r>
          </w:p>
        </w:tc>
        <w:tc>
          <w:tcPr>
            <w:tcW w:w="1049" w:type="dxa"/>
            <w:tcBorders>
              <w:bottom w:val="single" w:color="auto" w:sz="4" w:space="0"/>
            </w:tcBorders>
            <w:noWrap w:val="0"/>
            <w:vAlign w:val="center"/>
          </w:tcPr>
          <w:p w14:paraId="240CDA8E">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2</w:t>
            </w:r>
          </w:p>
        </w:tc>
      </w:tr>
      <w:tr w14:paraId="75D3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707" w:type="dxa"/>
            <w:vMerge w:val="continue"/>
            <w:noWrap w:val="0"/>
            <w:vAlign w:val="center"/>
          </w:tcPr>
          <w:p w14:paraId="7786FCF8">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rPr>
            </w:pPr>
          </w:p>
        </w:tc>
        <w:tc>
          <w:tcPr>
            <w:tcW w:w="1245" w:type="dxa"/>
            <w:noWrap w:val="0"/>
            <w:vAlign w:val="center"/>
          </w:tcPr>
          <w:p w14:paraId="76D5E71C">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增值服务</w:t>
            </w:r>
          </w:p>
        </w:tc>
        <w:tc>
          <w:tcPr>
            <w:tcW w:w="6086" w:type="dxa"/>
            <w:noWrap w:val="0"/>
            <w:vAlign w:val="center"/>
          </w:tcPr>
          <w:p w14:paraId="4544DC5E">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在满足项目参数需求的基础上，对“▲”项服务内容性能每满足一个正偏离增加2分，满分12分。</w:t>
            </w:r>
          </w:p>
          <w:p w14:paraId="4CBDCD06">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须提供：与技术参数相关的证明材料（如产品检测报告或鉴定证书或制造商产品彩页或制造商官网截图或制造商技术白皮书或制造商产品说明书或彩色实物照片等证明材料，不提供或不清楚或不准确，不予认可）。</w:t>
            </w:r>
          </w:p>
        </w:tc>
        <w:tc>
          <w:tcPr>
            <w:tcW w:w="1049" w:type="dxa"/>
            <w:noWrap w:val="0"/>
            <w:vAlign w:val="center"/>
          </w:tcPr>
          <w:p w14:paraId="0188A734">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w:t>
            </w:r>
          </w:p>
        </w:tc>
      </w:tr>
      <w:tr w14:paraId="2F1F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07" w:type="dxa"/>
            <w:vMerge w:val="continue"/>
            <w:noWrap w:val="0"/>
            <w:vAlign w:val="center"/>
          </w:tcPr>
          <w:p w14:paraId="32A06488">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rPr>
            </w:pPr>
          </w:p>
        </w:tc>
        <w:tc>
          <w:tcPr>
            <w:tcW w:w="1245" w:type="dxa"/>
            <w:vMerge w:val="restart"/>
            <w:noWrap w:val="0"/>
            <w:vAlign w:val="center"/>
          </w:tcPr>
          <w:p w14:paraId="030ABACD">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售后服务</w:t>
            </w:r>
            <w:r>
              <w:rPr>
                <w:rFonts w:hint="eastAsia" w:ascii="仿宋" w:hAnsi="仿宋" w:eastAsia="仿宋" w:cs="仿宋"/>
                <w:color w:val="auto"/>
                <w:kern w:val="0"/>
                <w:sz w:val="24"/>
                <w:szCs w:val="24"/>
                <w:highlight w:val="none"/>
              </w:rPr>
              <w:t>方案</w:t>
            </w:r>
          </w:p>
        </w:tc>
        <w:tc>
          <w:tcPr>
            <w:tcW w:w="6086" w:type="dxa"/>
            <w:noWrap w:val="0"/>
            <w:vAlign w:val="center"/>
          </w:tcPr>
          <w:p w14:paraId="48BACE98">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方案内容包括但不限于①质量保证承诺、②免费维保期限及内容（至少3年）、③维保方式、④全疆维保体系（需包含所有区域上门维护方式）、⑤安全承诺（维修过程中保证终端、内部程序数据安全及不得进行非授权操作的条款）、⑥远程系统升级等、⑦大众市场“三包服务”常规内容。</w:t>
            </w:r>
          </w:p>
          <w:p w14:paraId="4E6AEECE">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每提供内容完整、措施具体的1项，得0.5分。</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提供了该项但内容不完整、措施模糊的，得0.3分。</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未提供该项不得分。</w:t>
            </w:r>
          </w:p>
        </w:tc>
        <w:tc>
          <w:tcPr>
            <w:tcW w:w="1049" w:type="dxa"/>
            <w:noWrap w:val="0"/>
            <w:vAlign w:val="center"/>
          </w:tcPr>
          <w:p w14:paraId="4740055A">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3.5</w:t>
            </w:r>
          </w:p>
        </w:tc>
      </w:tr>
      <w:tr w14:paraId="4485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07" w:type="dxa"/>
            <w:vMerge w:val="continue"/>
            <w:noWrap w:val="0"/>
            <w:vAlign w:val="center"/>
          </w:tcPr>
          <w:p w14:paraId="157F0127">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rPr>
            </w:pPr>
          </w:p>
        </w:tc>
        <w:tc>
          <w:tcPr>
            <w:tcW w:w="1245" w:type="dxa"/>
            <w:vMerge w:val="continue"/>
            <w:noWrap w:val="0"/>
            <w:vAlign w:val="center"/>
          </w:tcPr>
          <w:p w14:paraId="2E206C6E">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lang w:eastAsia="zh-CN"/>
              </w:rPr>
            </w:pPr>
          </w:p>
        </w:tc>
        <w:tc>
          <w:tcPr>
            <w:tcW w:w="6086" w:type="dxa"/>
            <w:noWrap w:val="0"/>
            <w:vAlign w:val="center"/>
          </w:tcPr>
          <w:p w14:paraId="4E6AC9AC">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服务响应时间评比（3.5分）：</w:t>
            </w:r>
          </w:p>
          <w:p w14:paraId="4C145951">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1、质保期内2小时响应，12小时内到达设备使用现场，24小时内免费完成维修服务，对于非人为损坏的产品予以免费更换或维修，得3.5分。</w:t>
            </w:r>
          </w:p>
          <w:p w14:paraId="1D1769E1">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2、质保期内6小时响应，24小时内到达设备使用现场，48小时内免费完成维修服务，对于非人为损坏的产品予以免费更换或维修，得2.5分。</w:t>
            </w:r>
          </w:p>
          <w:p w14:paraId="47D9F0F2">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3、质保期内超过6小时响应，48小时内未到达设备使用现场的得1分。</w:t>
            </w:r>
          </w:p>
          <w:p w14:paraId="03C4B053">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4、没有提供服务响应内容的均不得分。</w:t>
            </w:r>
          </w:p>
        </w:tc>
        <w:tc>
          <w:tcPr>
            <w:tcW w:w="1049" w:type="dxa"/>
            <w:noWrap w:val="0"/>
            <w:vAlign w:val="center"/>
          </w:tcPr>
          <w:p w14:paraId="56907C23">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3.5</w:t>
            </w:r>
          </w:p>
        </w:tc>
      </w:tr>
      <w:tr w14:paraId="0594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07" w:type="dxa"/>
            <w:vMerge w:val="continue"/>
            <w:noWrap w:val="0"/>
            <w:vAlign w:val="center"/>
          </w:tcPr>
          <w:p w14:paraId="1D90E2D9">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rPr>
            </w:pPr>
          </w:p>
        </w:tc>
        <w:tc>
          <w:tcPr>
            <w:tcW w:w="1245" w:type="dxa"/>
            <w:noWrap w:val="0"/>
            <w:vAlign w:val="center"/>
          </w:tcPr>
          <w:p w14:paraId="1817C85E">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退换货方案</w:t>
            </w:r>
          </w:p>
        </w:tc>
        <w:tc>
          <w:tcPr>
            <w:tcW w:w="6086" w:type="dxa"/>
            <w:noWrap w:val="0"/>
            <w:vAlign w:val="center"/>
          </w:tcPr>
          <w:p w14:paraId="758439B9">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 方案中同时包含① 明确的退换货方式和流程；② 具体的退换货保证措施（如时限承诺、备用机提供等）。</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扣分标准：</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上述2项要素每缺少1项，扣</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分。</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每有1项内容存在不足（指流程不清、措施不可行等），扣0.5分。扣完</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分为止。</w:t>
            </w:r>
          </w:p>
        </w:tc>
        <w:tc>
          <w:tcPr>
            <w:tcW w:w="1049" w:type="dxa"/>
            <w:noWrap w:val="0"/>
            <w:vAlign w:val="center"/>
          </w:tcPr>
          <w:p w14:paraId="1E0B0F44">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r>
      <w:tr w14:paraId="7F3E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07" w:type="dxa"/>
            <w:vMerge w:val="continue"/>
            <w:noWrap w:val="0"/>
            <w:vAlign w:val="center"/>
          </w:tcPr>
          <w:p w14:paraId="146775C7">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rPr>
            </w:pPr>
          </w:p>
        </w:tc>
        <w:tc>
          <w:tcPr>
            <w:tcW w:w="1245" w:type="dxa"/>
            <w:noWrap w:val="0"/>
            <w:vAlign w:val="center"/>
          </w:tcPr>
          <w:p w14:paraId="29E68CF4">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质量保证措施</w:t>
            </w:r>
          </w:p>
        </w:tc>
        <w:tc>
          <w:tcPr>
            <w:tcW w:w="6086" w:type="dxa"/>
            <w:noWrap w:val="0"/>
            <w:vAlign w:val="center"/>
          </w:tcPr>
          <w:p w14:paraId="78B4DD7A">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方案中同时包含① 明确的项目质量保障措施（如何确保终端、平台、应用的稳定性和服务质量）；② 合理的后续服务工作计划和进度安排。</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扣分标准：</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上述2项要素每缺少1项，扣</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分。</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每有1处内容存在不足（指措施笼统、计划不合理等），扣0.5分。扣完</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分为止。</w:t>
            </w:r>
          </w:p>
        </w:tc>
        <w:tc>
          <w:tcPr>
            <w:tcW w:w="1049" w:type="dxa"/>
            <w:noWrap w:val="0"/>
            <w:vAlign w:val="center"/>
          </w:tcPr>
          <w:p w14:paraId="6AE01102">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r>
      <w:tr w14:paraId="1AF7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7" w:type="dxa"/>
            <w:vMerge w:val="continue"/>
            <w:noWrap w:val="0"/>
            <w:vAlign w:val="center"/>
          </w:tcPr>
          <w:p w14:paraId="0BD1F34F">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rPr>
            </w:pPr>
          </w:p>
        </w:tc>
        <w:tc>
          <w:tcPr>
            <w:tcW w:w="1245" w:type="dxa"/>
            <w:noWrap w:val="0"/>
            <w:vAlign w:val="center"/>
          </w:tcPr>
          <w:p w14:paraId="0196F242">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FF0000"/>
                <w:kern w:val="0"/>
                <w:sz w:val="24"/>
                <w:szCs w:val="24"/>
                <w:highlight w:val="none"/>
                <w:lang w:eastAsia="zh-CN"/>
              </w:rPr>
              <w:t>保密措施</w:t>
            </w:r>
          </w:p>
        </w:tc>
        <w:tc>
          <w:tcPr>
            <w:tcW w:w="6086" w:type="dxa"/>
            <w:noWrap w:val="0"/>
            <w:vAlign w:val="center"/>
          </w:tcPr>
          <w:p w14:paraId="2A77EF21">
            <w:pPr>
              <w:keepNext w:val="0"/>
              <w:keepLines w:val="0"/>
              <w:widowControl/>
              <w:numPr>
                <w:ilvl w:val="0"/>
                <w:numId w:val="0"/>
              </w:numPr>
              <w:suppressLineNumbers w:val="0"/>
              <w:spacing w:before="0" w:beforeAutospacing="1" w:after="0" w:afterAutospacing="1"/>
              <w:ind w:left="-360" w:leftChars="0"/>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caps w:val="0"/>
                <w:color w:val="0F1115"/>
                <w:spacing w:val="0"/>
                <w:shd w:val="clear" w:fill="FFFFFF"/>
              </w:rPr>
              <w:t>得</w:t>
            </w:r>
            <w:r>
              <w:rPr>
                <w:rFonts w:hint="eastAsia" w:ascii="仿宋" w:hAnsi="仿宋" w:eastAsia="仿宋" w:cs="仿宋"/>
                <w:i w:val="0"/>
                <w:iCs w:val="0"/>
                <w:caps w:val="0"/>
                <w:color w:val="0F1115"/>
                <w:spacing w:val="0"/>
                <w:shd w:val="clear" w:fill="FFFFFF"/>
                <w:lang w:val="en-US" w:eastAsia="zh-CN"/>
              </w:rPr>
              <w:t xml:space="preserve"> </w:t>
            </w:r>
            <w:r>
              <w:rPr>
                <w:rFonts w:hint="eastAsia" w:ascii="仿宋" w:hAnsi="仿宋" w:eastAsia="仿宋" w:cs="仿宋"/>
                <w:color w:val="auto"/>
                <w:kern w:val="0"/>
                <w:sz w:val="24"/>
                <w:szCs w:val="24"/>
                <w:highlight w:val="none"/>
              </w:rPr>
              <w:t>判定标准（需同时满足以下核心要素）</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制度完整性：提交了独立的、完整的《项目安全保密方案》正式签章文件。</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范围覆盖性：方案明确界定了知悉范围（最小化原则），明确列出了涉密岗位、涉密人员清单及对应的密级权限。</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技术防护：①数据传输/存储有明确的加密算法或加密设备说明（如VPN、加密硬盘）。②有内外网物理隔离或逻辑隔离的具体描述。③涉密载体（纸质/光盘）有明确的收发、传递、复制、销毁台账制度。</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过程管控：明确了项目各阶段（启动、实施、交付、归档、销毁）的保密控制节点。</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人员约束：包含签订《保密承诺书》的模板或要求，且有违规追责条款。</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应急处置：包含信息泄露或疑似泄露的应急预案。</w:t>
            </w:r>
          </w:p>
        </w:tc>
        <w:tc>
          <w:tcPr>
            <w:tcW w:w="1049" w:type="dxa"/>
            <w:noWrap w:val="0"/>
            <w:vAlign w:val="center"/>
          </w:tcPr>
          <w:p w14:paraId="21E7411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r>
      <w:tr w14:paraId="2DBA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07" w:type="dxa"/>
            <w:vMerge w:val="continue"/>
            <w:noWrap w:val="0"/>
            <w:vAlign w:val="center"/>
          </w:tcPr>
          <w:p w14:paraId="3C7F3A3C">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rPr>
            </w:pPr>
          </w:p>
        </w:tc>
        <w:tc>
          <w:tcPr>
            <w:tcW w:w="1245" w:type="dxa"/>
            <w:noWrap w:val="0"/>
            <w:vAlign w:val="center"/>
          </w:tcPr>
          <w:p w14:paraId="7E719A66">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人员配置</w:t>
            </w:r>
          </w:p>
          <w:p w14:paraId="151EB4EB">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lang w:val="en-US" w:eastAsia="zh-CN"/>
              </w:rPr>
            </w:pPr>
          </w:p>
        </w:tc>
        <w:tc>
          <w:tcPr>
            <w:tcW w:w="6086" w:type="dxa"/>
            <w:noWrap w:val="0"/>
            <w:vAlign w:val="center"/>
          </w:tcPr>
          <w:p w14:paraId="58A95813">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1、项目经理资质：持有PMP或信息系统项目管理师等证书，提供得3分，最高3分。</w:t>
            </w:r>
          </w:p>
          <w:p w14:paraId="38A3E437">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2、技术团队资质：团队成员5人，具备注册信息安全保障人员资质（CISAW）、ITSS运维服务经理证书、注册信息安全专业人员（CISP）、通信工程师（传输技术）证书，每提供一个认证得1分，最高得2分。</w:t>
            </w:r>
          </w:p>
          <w:p w14:paraId="1D792D5B">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（备注：项目组人员应为投标人正式员工，除提供上述证书外，还须提供投标人近3个月为其缴纳社保的证明材料（依法享受免缴或缓缴的提供税务机关证明材料））</w:t>
            </w:r>
          </w:p>
        </w:tc>
        <w:tc>
          <w:tcPr>
            <w:tcW w:w="1049" w:type="dxa"/>
            <w:noWrap w:val="0"/>
            <w:vAlign w:val="center"/>
          </w:tcPr>
          <w:p w14:paraId="7BBC52F0">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r>
    </w:tbl>
    <w:p w14:paraId="58E351D3">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linePitch="312" w:charSpace="0"/>
        </w:sectPr>
      </w:pPr>
    </w:p>
    <w:p w14:paraId="7FC24D8F">
      <w:pPr>
        <w:pStyle w:val="166"/>
        <w:ind w:firstLine="569" w:firstLineChars="177"/>
        <w:rPr>
          <w:rFonts w:hint="eastAsia" w:ascii="仿宋" w:hAnsi="仿宋" w:eastAsia="仿宋" w:cs="仿宋"/>
        </w:rPr>
      </w:pPr>
      <w:r>
        <w:rPr>
          <w:rFonts w:hint="eastAsia" w:ascii="仿宋" w:hAnsi="仿宋" w:eastAsia="仿宋" w:cs="仿宋"/>
          <w:b/>
          <w:bCs/>
          <w:sz w:val="32"/>
          <w:szCs w:val="32"/>
          <w:lang w:val="en-US" w:eastAsia="zh-CN"/>
        </w:rPr>
        <w:t>注：</w:t>
      </w:r>
      <w:r>
        <w:rPr>
          <w:rFonts w:hint="eastAsia" w:ascii="仿宋" w:hAnsi="仿宋" w:eastAsia="仿宋" w:cs="仿宋"/>
        </w:rPr>
        <w:t>本项目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本项目选取1名中标候选人。</w:t>
      </w:r>
    </w:p>
    <w:p w14:paraId="6ACA9613">
      <w:pPr>
        <w:pStyle w:val="166"/>
        <w:ind w:firstLine="441" w:firstLineChars="183"/>
        <w:rPr>
          <w:rFonts w:hint="eastAsia" w:ascii="仿宋" w:hAnsi="仿宋" w:eastAsia="仿宋" w:cs="仿宋"/>
          <w:b/>
          <w:kern w:val="2"/>
          <w:highlight w:val="yellow"/>
        </w:rPr>
      </w:pPr>
      <w:r>
        <w:rPr>
          <w:rFonts w:hint="eastAsia" w:ascii="仿宋" w:hAnsi="仿宋" w:eastAsia="仿宋" w:cs="仿宋"/>
          <w:b/>
          <w:kern w:val="2"/>
          <w:lang w:val="en-US" w:eastAsia="zh-CN"/>
        </w:rPr>
        <w:t>一、</w:t>
      </w:r>
      <w:r>
        <w:rPr>
          <w:rFonts w:hint="eastAsia" w:ascii="仿宋" w:hAnsi="仿宋" w:eastAsia="仿宋" w:cs="仿宋"/>
          <w:b/>
          <w:kern w:val="2"/>
        </w:rPr>
        <w:t>政府采购政策功能落实</w:t>
      </w:r>
    </w:p>
    <w:p w14:paraId="0537D48D">
      <w:pPr>
        <w:pStyle w:val="166"/>
        <w:spacing w:line="0" w:lineRule="atLeast"/>
        <w:ind w:firstLineChars="200"/>
        <w:rPr>
          <w:rFonts w:hint="eastAsia" w:ascii="仿宋" w:hAnsi="仿宋" w:eastAsia="仿宋" w:cs="仿宋"/>
          <w:kern w:val="2"/>
          <w:highlight w:val="none"/>
        </w:rPr>
      </w:pPr>
      <w:r>
        <w:rPr>
          <w:rFonts w:hint="eastAsia" w:ascii="仿宋" w:hAnsi="仿宋" w:eastAsia="仿宋" w:cs="仿宋"/>
          <w:kern w:val="2"/>
        </w:rPr>
        <w:t>1、小微型企业价格扣除</w:t>
      </w:r>
    </w:p>
    <w:p w14:paraId="7F4508CD">
      <w:pPr>
        <w:pStyle w:val="166"/>
        <w:spacing w:line="0" w:lineRule="atLeast"/>
        <w:ind w:firstLine="360" w:firstLineChars="150"/>
        <w:rPr>
          <w:rFonts w:hint="eastAsia" w:ascii="仿宋" w:hAnsi="仿宋" w:eastAsia="仿宋" w:cs="仿宋"/>
          <w:color w:val="C00000"/>
          <w:kern w:val="2"/>
          <w:highlight w:val="none"/>
          <w:lang w:val="en-US" w:eastAsia="zh-Hans"/>
        </w:rPr>
      </w:pPr>
      <w:r>
        <w:rPr>
          <w:rFonts w:hint="eastAsia" w:ascii="仿宋" w:hAnsi="仿宋" w:eastAsia="仿宋" w:cs="仿宋"/>
          <w:kern w:val="2"/>
          <w:highlight w:val="none"/>
        </w:rPr>
        <w:t>（1）本项目对小型和微型企业</w:t>
      </w:r>
      <w:r>
        <w:rPr>
          <w:rFonts w:hint="eastAsia" w:ascii="仿宋" w:hAnsi="仿宋" w:eastAsia="仿宋" w:cs="仿宋"/>
          <w:kern w:val="2"/>
          <w:highlight w:val="none"/>
          <w:lang w:val="en-US" w:eastAsia="zh-CN"/>
        </w:rPr>
        <w:t>报价</w:t>
      </w:r>
      <w:r>
        <w:rPr>
          <w:rFonts w:hint="eastAsia" w:ascii="仿宋" w:hAnsi="仿宋" w:eastAsia="仿宋" w:cs="仿宋"/>
          <w:kern w:val="2"/>
          <w:highlight w:val="none"/>
        </w:rPr>
        <w:t>给予</w:t>
      </w:r>
      <w:r>
        <w:rPr>
          <w:rFonts w:hint="eastAsia" w:ascii="仿宋" w:hAnsi="仿宋" w:eastAsia="仿宋" w:cs="仿宋"/>
          <w:kern w:val="2"/>
          <w:highlight w:val="none"/>
          <w:lang w:val="en-US" w:eastAsia="zh-CN"/>
        </w:rPr>
        <w:t>10</w:t>
      </w:r>
      <w:r>
        <w:rPr>
          <w:rFonts w:hint="eastAsia" w:ascii="仿宋" w:hAnsi="仿宋" w:eastAsia="仿宋" w:cs="仿宋"/>
          <w:bCs/>
          <w:kern w:val="2"/>
          <w:sz w:val="24"/>
          <w:szCs w:val="24"/>
          <w:highlight w:val="none"/>
          <w:lang w:val="en-US" w:eastAsia="zh-CN" w:bidi="ar-SA"/>
        </w:rPr>
        <w:t>%</w:t>
      </w:r>
      <w:r>
        <w:rPr>
          <w:rFonts w:hint="eastAsia" w:ascii="仿宋" w:hAnsi="仿宋" w:eastAsia="仿宋" w:cs="仿宋"/>
          <w:kern w:val="2"/>
          <w:highlight w:val="none"/>
        </w:rPr>
        <w:t>的扣除价格，用扣除后的价格参与评审。</w:t>
      </w:r>
    </w:p>
    <w:p w14:paraId="24491551">
      <w:pPr>
        <w:pStyle w:val="166"/>
        <w:spacing w:line="0" w:lineRule="atLeast"/>
        <w:ind w:firstLine="360" w:firstLineChars="150"/>
        <w:rPr>
          <w:rFonts w:hint="eastAsia" w:ascii="仿宋" w:hAnsi="仿宋" w:eastAsia="仿宋" w:cs="仿宋"/>
          <w:kern w:val="2"/>
          <w:highlight w:val="none"/>
        </w:rPr>
      </w:pPr>
      <w:r>
        <w:rPr>
          <w:rFonts w:hint="eastAsia" w:ascii="仿宋" w:hAnsi="仿宋" w:eastAsia="仿宋" w:cs="仿宋"/>
          <w:kern w:val="2"/>
          <w:highlight w:val="none"/>
        </w:rPr>
        <w:t>（2）供应商需按照采购文件的要求提供相应的《企业声明函》。</w:t>
      </w:r>
    </w:p>
    <w:p w14:paraId="3786CB03">
      <w:pPr>
        <w:pStyle w:val="166"/>
        <w:spacing w:line="0" w:lineRule="atLeast"/>
        <w:ind w:firstLine="360" w:firstLineChars="150"/>
        <w:rPr>
          <w:rFonts w:hint="eastAsia" w:ascii="仿宋" w:hAnsi="仿宋" w:eastAsia="仿宋" w:cs="仿宋"/>
          <w:kern w:val="2"/>
          <w:highlight w:val="none"/>
        </w:rPr>
      </w:pPr>
      <w:r>
        <w:rPr>
          <w:rFonts w:hint="eastAsia" w:ascii="仿宋" w:hAnsi="仿宋" w:eastAsia="仿宋" w:cs="仿宋"/>
          <w:kern w:val="2"/>
          <w:highlight w:val="none"/>
        </w:rPr>
        <w:t>（3）企业标准请参照《关于印发中小企业划型标准规定的通知》（工信部联企业[2011]300号）文件规定自行填写。</w:t>
      </w:r>
    </w:p>
    <w:p w14:paraId="38CED3D4">
      <w:pPr>
        <w:pStyle w:val="166"/>
        <w:spacing w:line="0" w:lineRule="atLeast"/>
        <w:ind w:firstLineChars="200"/>
        <w:rPr>
          <w:rFonts w:hint="eastAsia" w:ascii="仿宋" w:hAnsi="仿宋" w:eastAsia="仿宋" w:cs="仿宋"/>
          <w:kern w:val="2"/>
          <w:highlight w:val="none"/>
        </w:rPr>
      </w:pPr>
      <w:r>
        <w:rPr>
          <w:rFonts w:hint="eastAsia" w:ascii="仿宋" w:hAnsi="仿宋" w:eastAsia="仿宋" w:cs="仿宋"/>
          <w:kern w:val="2"/>
          <w:highlight w:val="none"/>
        </w:rPr>
        <w:t>2、残疾人福利单位价格扣除</w:t>
      </w:r>
    </w:p>
    <w:p w14:paraId="0FAE8F8A">
      <w:pPr>
        <w:pStyle w:val="166"/>
        <w:spacing w:line="0" w:lineRule="atLeast"/>
        <w:ind w:left="120" w:leftChars="57" w:firstLine="360" w:firstLineChars="150"/>
        <w:rPr>
          <w:rFonts w:hint="eastAsia" w:ascii="仿宋" w:hAnsi="仿宋" w:eastAsia="仿宋" w:cs="仿宋"/>
          <w:kern w:val="2"/>
          <w:highlight w:val="none"/>
        </w:rPr>
      </w:pPr>
      <w:r>
        <w:rPr>
          <w:rFonts w:hint="eastAsia" w:ascii="仿宋" w:hAnsi="仿宋" w:eastAsia="仿宋" w:cs="仿宋"/>
          <w:kern w:val="2"/>
          <w:highlight w:val="none"/>
        </w:rPr>
        <w:t>（1）本项目对残疾人福利性单位视同小型、微型企业，给予</w:t>
      </w:r>
      <w:r>
        <w:rPr>
          <w:rFonts w:hint="eastAsia" w:ascii="仿宋" w:hAnsi="仿宋" w:eastAsia="仿宋" w:cs="仿宋"/>
          <w:kern w:val="2"/>
          <w:highlight w:val="none"/>
          <w:lang w:val="en-US" w:eastAsia="zh-CN"/>
        </w:rPr>
        <w:t>10</w:t>
      </w:r>
      <w:r>
        <w:rPr>
          <w:rFonts w:hint="eastAsia" w:ascii="仿宋" w:hAnsi="仿宋" w:eastAsia="仿宋" w:cs="仿宋"/>
          <w:kern w:val="2"/>
          <w:highlight w:val="none"/>
        </w:rPr>
        <w:t>%的价格扣除，用扣除后的价格参与评审。</w:t>
      </w:r>
    </w:p>
    <w:p w14:paraId="02772AD0">
      <w:pPr>
        <w:pStyle w:val="166"/>
        <w:spacing w:line="0" w:lineRule="atLeast"/>
        <w:ind w:left="120" w:leftChars="57" w:firstLine="360" w:firstLineChars="150"/>
        <w:rPr>
          <w:rFonts w:hint="eastAsia" w:ascii="仿宋" w:hAnsi="仿宋" w:eastAsia="仿宋" w:cs="仿宋"/>
          <w:kern w:val="2"/>
          <w:highlight w:val="none"/>
        </w:rPr>
      </w:pPr>
      <w:r>
        <w:rPr>
          <w:rFonts w:hint="eastAsia" w:ascii="仿宋" w:hAnsi="仿宋" w:eastAsia="仿宋" w:cs="仿宋"/>
          <w:kern w:val="2"/>
          <w:highlight w:val="none"/>
        </w:rPr>
        <w:t>（2）残疾人福利单位需按照采购文件的要求提供《残疾人福利性单位声明函》。</w:t>
      </w:r>
    </w:p>
    <w:p w14:paraId="4E49FAAE">
      <w:pPr>
        <w:pStyle w:val="166"/>
        <w:spacing w:line="0" w:lineRule="atLeast"/>
        <w:ind w:left="120" w:leftChars="57" w:firstLine="360" w:firstLineChars="150"/>
        <w:rPr>
          <w:rFonts w:hint="eastAsia" w:ascii="仿宋" w:hAnsi="仿宋" w:eastAsia="仿宋" w:cs="仿宋"/>
          <w:kern w:val="2"/>
          <w:highlight w:val="none"/>
        </w:rPr>
      </w:pPr>
      <w:r>
        <w:rPr>
          <w:rFonts w:hint="eastAsia" w:ascii="仿宋" w:hAnsi="仿宋" w:eastAsia="仿宋" w:cs="仿宋"/>
          <w:kern w:val="2"/>
          <w:highlight w:val="none"/>
        </w:rPr>
        <w:t>（3）残疾人福利单位标准请参照《关于促进残疾人就业政府采购政策的通知》（财库〔2017〕141号）。</w:t>
      </w:r>
    </w:p>
    <w:p w14:paraId="112DBE9E">
      <w:pPr>
        <w:pStyle w:val="166"/>
        <w:spacing w:line="0" w:lineRule="atLeast"/>
        <w:ind w:firstLineChars="200"/>
        <w:rPr>
          <w:rFonts w:hint="eastAsia" w:ascii="仿宋" w:hAnsi="仿宋" w:eastAsia="仿宋" w:cs="仿宋"/>
          <w:kern w:val="2"/>
          <w:highlight w:val="none"/>
        </w:rPr>
      </w:pPr>
      <w:r>
        <w:rPr>
          <w:rFonts w:hint="eastAsia" w:ascii="仿宋" w:hAnsi="仿宋" w:eastAsia="仿宋" w:cs="仿宋"/>
          <w:kern w:val="2"/>
          <w:highlight w:val="none"/>
        </w:rPr>
        <w:t>3、监狱和戒毒企业价格扣除</w:t>
      </w:r>
    </w:p>
    <w:p w14:paraId="787E175F">
      <w:pPr>
        <w:pStyle w:val="166"/>
        <w:spacing w:line="0" w:lineRule="atLeast"/>
        <w:ind w:firstLineChars="200"/>
        <w:rPr>
          <w:rFonts w:hint="eastAsia" w:ascii="仿宋" w:hAnsi="仿宋" w:eastAsia="仿宋" w:cs="仿宋"/>
          <w:kern w:val="2"/>
          <w:highlight w:val="none"/>
        </w:rPr>
      </w:pPr>
      <w:r>
        <w:rPr>
          <w:rFonts w:hint="eastAsia" w:ascii="仿宋" w:hAnsi="仿宋" w:eastAsia="仿宋" w:cs="仿宋"/>
          <w:kern w:val="2"/>
          <w:highlight w:val="none"/>
        </w:rPr>
        <w:t>（1）本项目对监狱和戒毒企业（简称监狱企业）视同小型、微型企业，给予</w:t>
      </w:r>
      <w:r>
        <w:rPr>
          <w:rFonts w:hint="eastAsia" w:ascii="仿宋" w:hAnsi="仿宋" w:eastAsia="仿宋" w:cs="仿宋"/>
          <w:kern w:val="2"/>
          <w:highlight w:val="none"/>
          <w:lang w:val="en-US" w:eastAsia="zh-CN"/>
        </w:rPr>
        <w:t>10</w:t>
      </w:r>
      <w:r>
        <w:rPr>
          <w:rFonts w:hint="eastAsia" w:ascii="仿宋" w:hAnsi="仿宋" w:eastAsia="仿宋" w:cs="仿宋"/>
          <w:kern w:val="2"/>
          <w:highlight w:val="none"/>
        </w:rPr>
        <w:t>%的价格扣除，用扣除后的价格参与评审。</w:t>
      </w:r>
    </w:p>
    <w:p w14:paraId="1EA45F6B">
      <w:pPr>
        <w:pStyle w:val="166"/>
        <w:spacing w:line="0" w:lineRule="atLeast"/>
        <w:ind w:firstLineChars="200"/>
        <w:rPr>
          <w:rFonts w:hint="eastAsia" w:ascii="仿宋" w:hAnsi="仿宋" w:eastAsia="仿宋" w:cs="仿宋"/>
          <w:kern w:val="2"/>
        </w:rPr>
      </w:pPr>
      <w:r>
        <w:rPr>
          <w:rFonts w:hint="eastAsia" w:ascii="仿宋" w:hAnsi="仿宋" w:eastAsia="仿宋" w:cs="仿宋"/>
          <w:kern w:val="2"/>
          <w:highlight w:val="none"/>
        </w:rPr>
        <w:t>（2）监狱企业参加政府采购活动时，需提供由省级以上监狱管理局、戒毒管理局(含新疆</w:t>
      </w:r>
      <w:r>
        <w:rPr>
          <w:rFonts w:hint="eastAsia" w:ascii="仿宋" w:hAnsi="仿宋" w:eastAsia="仿宋" w:cs="仿宋"/>
          <w:kern w:val="2"/>
        </w:rPr>
        <w:t>生产建设兵团)出具的属于监狱企业的证明文件。</w:t>
      </w:r>
      <w:r>
        <w:rPr>
          <w:rFonts w:hint="eastAsia" w:ascii="仿宋" w:hAnsi="仿宋" w:eastAsia="仿宋" w:cs="仿宋"/>
        </w:rPr>
        <w:t>供应商如不提供上述证明文件，价格将不做相应扣除</w:t>
      </w:r>
      <w:r>
        <w:rPr>
          <w:rFonts w:hint="eastAsia" w:ascii="仿宋" w:hAnsi="仿宋" w:eastAsia="仿宋" w:cs="仿宋"/>
          <w:kern w:val="2"/>
        </w:rPr>
        <w:t>。</w:t>
      </w:r>
    </w:p>
    <w:p w14:paraId="36A39D1E">
      <w:pPr>
        <w:pStyle w:val="166"/>
        <w:spacing w:line="0" w:lineRule="atLeast"/>
        <w:ind w:firstLineChars="200"/>
        <w:rPr>
          <w:rFonts w:hint="eastAsia" w:ascii="仿宋" w:hAnsi="仿宋" w:eastAsia="仿宋" w:cs="仿宋"/>
          <w:kern w:val="2"/>
        </w:rPr>
      </w:pPr>
      <w:r>
        <w:rPr>
          <w:rFonts w:hint="eastAsia" w:ascii="仿宋" w:hAnsi="仿宋" w:eastAsia="仿宋" w:cs="仿宋"/>
          <w:kern w:val="2"/>
        </w:rPr>
        <w:t>（3）监狱企业标准请参照《关于政府采购支持监狱企业发展有关问题的通知》（财库[2014]68号）。</w:t>
      </w:r>
    </w:p>
    <w:p w14:paraId="193D34EC">
      <w:pPr>
        <w:pStyle w:val="166"/>
        <w:spacing w:line="400" w:lineRule="exact"/>
        <w:ind w:firstLineChars="200"/>
        <w:rPr>
          <w:rFonts w:hint="eastAsia" w:ascii="仿宋" w:hAnsi="仿宋" w:eastAsia="仿宋" w:cs="仿宋"/>
          <w:kern w:val="2"/>
        </w:rPr>
      </w:pPr>
      <w:r>
        <w:rPr>
          <w:rFonts w:hint="eastAsia" w:ascii="仿宋" w:hAnsi="仿宋" w:eastAsia="仿宋" w:cs="仿宋"/>
          <w:kern w:val="2"/>
        </w:rPr>
        <w:t>4、小微型企业</w:t>
      </w:r>
      <w:r>
        <w:rPr>
          <w:rFonts w:hint="eastAsia" w:ascii="仿宋" w:hAnsi="仿宋" w:eastAsia="仿宋" w:cs="仿宋"/>
          <w:kern w:val="2"/>
          <w:lang w:eastAsia="zh-CN"/>
        </w:rPr>
        <w:t>、</w:t>
      </w:r>
      <w:r>
        <w:rPr>
          <w:rFonts w:hint="eastAsia" w:ascii="仿宋" w:hAnsi="仿宋" w:eastAsia="仿宋" w:cs="仿宋"/>
          <w:kern w:val="2"/>
        </w:rPr>
        <w:t>残疾人福利单位、监狱企业属于小型、微型企业的，不重复享受政策。</w:t>
      </w:r>
    </w:p>
    <w:p w14:paraId="1BFA9D78">
      <w:pPr>
        <w:pStyle w:val="166"/>
        <w:spacing w:line="400" w:lineRule="exact"/>
        <w:ind w:firstLineChars="200"/>
        <w:rPr>
          <w:rFonts w:hint="eastAsia" w:ascii="仿宋" w:hAnsi="仿宋" w:eastAsia="仿宋" w:cs="仿宋"/>
          <w:kern w:val="2"/>
          <w:lang w:val="en-US" w:eastAsia="zh-CN"/>
        </w:rPr>
      </w:pPr>
    </w:p>
    <w:p w14:paraId="4A318210">
      <w:pPr>
        <w:pStyle w:val="5"/>
        <w:jc w:val="center"/>
        <w:rPr>
          <w:rFonts w:hint="eastAsia" w:ascii="仿宋" w:hAnsi="仿宋" w:eastAsia="仿宋" w:cs="仿宋"/>
          <w:b/>
          <w:bCs/>
          <w:color w:val="auto"/>
          <w:kern w:val="0"/>
          <w:sz w:val="36"/>
          <w:szCs w:val="36"/>
          <w:highlight w:val="none"/>
          <w:lang w:val="en-US" w:eastAsia="zh-CN" w:bidi="ar"/>
        </w:rPr>
      </w:pPr>
    </w:p>
    <w:p w14:paraId="3B03CED0">
      <w:pPr>
        <w:pStyle w:val="5"/>
        <w:jc w:val="center"/>
        <w:rPr>
          <w:rFonts w:hint="eastAsia" w:ascii="仿宋" w:hAnsi="仿宋" w:eastAsia="仿宋" w:cs="仿宋"/>
          <w:b/>
          <w:bCs/>
          <w:color w:val="auto"/>
          <w:kern w:val="0"/>
          <w:sz w:val="36"/>
          <w:szCs w:val="36"/>
          <w:highlight w:val="none"/>
          <w:lang w:val="en-US" w:eastAsia="zh-CN" w:bidi="ar"/>
        </w:rPr>
      </w:pPr>
    </w:p>
    <w:p w14:paraId="6291CE58">
      <w:pPr>
        <w:pStyle w:val="5"/>
        <w:jc w:val="center"/>
        <w:rPr>
          <w:rFonts w:hint="eastAsia" w:ascii="仿宋" w:hAnsi="仿宋" w:eastAsia="仿宋" w:cs="仿宋"/>
        </w:rPr>
      </w:pPr>
      <w:r>
        <w:rPr>
          <w:rFonts w:hint="eastAsia" w:ascii="仿宋" w:hAnsi="仿宋" w:eastAsia="仿宋" w:cs="仿宋"/>
          <w:b/>
          <w:bCs/>
          <w:color w:val="auto"/>
          <w:kern w:val="0"/>
          <w:sz w:val="36"/>
          <w:szCs w:val="36"/>
          <w:highlight w:val="none"/>
          <w:lang w:val="en-US" w:eastAsia="zh-CN" w:bidi="ar"/>
        </w:rPr>
        <w:t>第</w:t>
      </w:r>
      <w:bookmarkStart w:id="116" w:name="_Toc494375080"/>
      <w:bookmarkStart w:id="117" w:name="_Toc534725607"/>
      <w:bookmarkStart w:id="118" w:name="_Toc534816636"/>
      <w:r>
        <w:rPr>
          <w:rFonts w:hint="eastAsia" w:ascii="仿宋" w:hAnsi="仿宋" w:eastAsia="仿宋" w:cs="仿宋"/>
          <w:lang w:val="en-US" w:eastAsia="zh-CN"/>
        </w:rPr>
        <w:t>三</w:t>
      </w:r>
      <w:r>
        <w:rPr>
          <w:rFonts w:hint="eastAsia" w:ascii="仿宋" w:hAnsi="仿宋" w:eastAsia="仿宋" w:cs="仿宋"/>
        </w:rPr>
        <w:t>章  项目需求</w:t>
      </w:r>
      <w:bookmarkEnd w:id="116"/>
      <w:bookmarkEnd w:id="117"/>
      <w:bookmarkEnd w:id="118"/>
    </w:p>
    <w:p w14:paraId="677645C3">
      <w:pPr>
        <w:pStyle w:val="28"/>
        <w:snapToGrid w:val="0"/>
        <w:spacing w:before="156" w:after="156"/>
        <w:ind w:left="0" w:leftChars="0" w:right="26" w:firstLine="420" w:firstLineChars="175"/>
        <w:rPr>
          <w:rFonts w:hint="eastAsia" w:ascii="仿宋" w:hAnsi="仿宋" w:eastAsia="仿宋" w:cs="仿宋"/>
          <w:sz w:val="24"/>
          <w:szCs w:val="24"/>
          <w:highlight w:val="yellow"/>
          <w:lang w:val="en-US" w:eastAsia="zh-CN"/>
        </w:rPr>
      </w:pPr>
    </w:p>
    <w:p w14:paraId="44C17378">
      <w:pPr>
        <w:pStyle w:val="28"/>
        <w:numPr>
          <w:ilvl w:val="0"/>
          <w:numId w:val="5"/>
        </w:numPr>
        <w:snapToGrid w:val="0"/>
        <w:spacing w:before="156" w:after="156"/>
        <w:ind w:left="0" w:leftChars="0" w:right="26" w:firstLine="420" w:firstLineChars="175"/>
        <w:rPr>
          <w:rFonts w:hint="eastAsia" w:ascii="仿宋" w:hAnsi="仿宋" w:eastAsia="仿宋" w:cs="仿宋"/>
          <w:sz w:val="24"/>
          <w:szCs w:val="24"/>
          <w:highlight w:val="none"/>
        </w:rPr>
      </w:pPr>
      <w:bookmarkStart w:id="119" w:name="_Toc534816637"/>
      <w:bookmarkStart w:id="120" w:name="_Toc534725608"/>
      <w:r>
        <w:rPr>
          <w:rFonts w:hint="eastAsia" w:ascii="仿宋" w:hAnsi="仿宋" w:eastAsia="仿宋" w:cs="仿宋"/>
          <w:sz w:val="24"/>
          <w:szCs w:val="24"/>
          <w:highlight w:val="none"/>
        </w:rPr>
        <w:t>技术需求</w:t>
      </w:r>
      <w:bookmarkEnd w:id="119"/>
      <w:bookmarkEnd w:id="120"/>
    </w:p>
    <w:tbl>
      <w:tblPr>
        <w:tblStyle w:val="4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2197"/>
        <w:gridCol w:w="425"/>
        <w:gridCol w:w="4785"/>
        <w:gridCol w:w="493"/>
        <w:gridCol w:w="721"/>
      </w:tblGrid>
      <w:tr w14:paraId="27286D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blHeader/>
        </w:trPr>
        <w:tc>
          <w:tcPr>
            <w:tcW w:w="615" w:type="dxa"/>
            <w:tcBorders>
              <w:bottom w:val="single" w:color="000000" w:sz="4" w:space="0"/>
              <w:right w:val="single" w:color="000000" w:sz="4" w:space="0"/>
            </w:tcBorders>
            <w:noWrap w:val="0"/>
            <w:vAlign w:val="center"/>
          </w:tcPr>
          <w:p w14:paraId="6768DEF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2622" w:type="dxa"/>
            <w:gridSpan w:val="2"/>
            <w:tcBorders>
              <w:left w:val="single" w:color="000000" w:sz="4" w:space="0"/>
              <w:bottom w:val="single" w:color="000000" w:sz="4" w:space="0"/>
              <w:right w:val="single" w:color="000000" w:sz="4" w:space="0"/>
            </w:tcBorders>
            <w:noWrap w:val="0"/>
            <w:vAlign w:val="center"/>
          </w:tcPr>
          <w:p w14:paraId="37BF2A8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设备名称</w:t>
            </w:r>
          </w:p>
        </w:tc>
        <w:tc>
          <w:tcPr>
            <w:tcW w:w="4785" w:type="dxa"/>
            <w:tcBorders>
              <w:left w:val="single" w:color="000000" w:sz="4" w:space="0"/>
              <w:bottom w:val="single" w:color="000000" w:sz="4" w:space="0"/>
              <w:right w:val="single" w:color="000000" w:sz="4" w:space="0"/>
            </w:tcBorders>
            <w:noWrap w:val="0"/>
            <w:vAlign w:val="center"/>
          </w:tcPr>
          <w:p w14:paraId="3560891C">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运维服务内容</w:t>
            </w:r>
          </w:p>
        </w:tc>
        <w:tc>
          <w:tcPr>
            <w:tcW w:w="493" w:type="dxa"/>
            <w:tcBorders>
              <w:left w:val="single" w:color="000000" w:sz="4" w:space="0"/>
              <w:bottom w:val="single" w:color="000000" w:sz="4" w:space="0"/>
              <w:right w:val="single" w:color="000000" w:sz="4" w:space="0"/>
            </w:tcBorders>
            <w:noWrap w:val="0"/>
            <w:vAlign w:val="center"/>
          </w:tcPr>
          <w:p w14:paraId="526ADDA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721" w:type="dxa"/>
            <w:tcBorders>
              <w:left w:val="single" w:color="000000" w:sz="4" w:space="0"/>
              <w:bottom w:val="single" w:color="000000" w:sz="4" w:space="0"/>
            </w:tcBorders>
            <w:noWrap w:val="0"/>
            <w:vAlign w:val="center"/>
          </w:tcPr>
          <w:p w14:paraId="070D5D7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r>
      <w:tr w14:paraId="15017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000000" w:sz="4" w:space="0"/>
              <w:bottom w:val="single" w:color="000000" w:sz="4" w:space="0"/>
              <w:right w:val="single" w:color="000000" w:sz="4" w:space="0"/>
            </w:tcBorders>
            <w:noWrap w:val="0"/>
            <w:vAlign w:val="center"/>
          </w:tcPr>
          <w:p w14:paraId="15CACB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622" w:type="dxa"/>
            <w:gridSpan w:val="2"/>
            <w:tcBorders>
              <w:top w:val="single" w:color="000000" w:sz="4" w:space="0"/>
              <w:left w:val="single" w:color="000000" w:sz="4" w:space="0"/>
              <w:bottom w:val="single" w:color="000000" w:sz="4" w:space="0"/>
              <w:right w:val="single" w:color="000000" w:sz="4" w:space="0"/>
            </w:tcBorders>
            <w:noWrap w:val="0"/>
            <w:vAlign w:val="center"/>
          </w:tcPr>
          <w:p w14:paraId="4BFE26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移动执法终端的运行保障及维修替换服务</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2E4877D1">
            <w:pPr>
              <w:keepNext w:val="0"/>
              <w:keepLines w:val="0"/>
              <w:widowControl/>
              <w:numPr>
                <w:ilvl w:val="0"/>
                <w:numId w:val="6"/>
              </w:numPr>
              <w:suppressLineNumbers w:val="0"/>
              <w:jc w:val="both"/>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处理器 国产高性能CPU，满足信息产品国产化要求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★2、操作系统 采用国产操作系统，符合系统国产化要求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b w:val="0"/>
                <w:bCs w:val="0"/>
                <w:i w:val="0"/>
                <w:iCs w:val="0"/>
                <w:color w:val="000000"/>
                <w:kern w:val="0"/>
                <w:sz w:val="20"/>
                <w:szCs w:val="20"/>
                <w:u w:val="none"/>
                <w:lang w:val="en-US" w:eastAsia="zh-CN" w:bidi="ar"/>
              </w:rPr>
              <w:t>▲3、运行内存 运行内存≥12G，存储空间≥256G</w:t>
            </w:r>
          </w:p>
          <w:p w14:paraId="37F0B582">
            <w:pPr>
              <w:keepNext w:val="0"/>
              <w:keepLines w:val="0"/>
              <w:widowControl/>
              <w:numPr>
                <w:ilvl w:val="0"/>
                <w:numId w:val="0"/>
              </w:numPr>
              <w:suppressLineNumbers w:val="0"/>
              <w:jc w:val="both"/>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大于运行内存12G或存储空间大于256G，任意一项为正偏离</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val="0"/>
                <w:bCs w:val="0"/>
                <w:i w:val="0"/>
                <w:iCs w:val="0"/>
                <w:color w:val="000000"/>
                <w:kern w:val="0"/>
                <w:sz w:val="20"/>
                <w:szCs w:val="20"/>
                <w:u w:val="none"/>
                <w:lang w:val="en-US" w:eastAsia="zh-CN" w:bidi="ar"/>
              </w:rPr>
              <w:t>▲</w:t>
            </w:r>
            <w:r>
              <w:rPr>
                <w:rFonts w:hint="eastAsia" w:ascii="仿宋" w:hAnsi="仿宋" w:eastAsia="仿宋" w:cs="仿宋"/>
                <w:b/>
                <w:bCs/>
                <w:i w:val="0"/>
                <w:iCs w:val="0"/>
                <w:color w:val="000000"/>
                <w:kern w:val="0"/>
                <w:sz w:val="20"/>
                <w:szCs w:val="20"/>
                <w:u w:val="none"/>
                <w:lang w:val="en-US" w:eastAsia="zh-CN" w:bidi="ar"/>
              </w:rPr>
              <w:t>4、</w:t>
            </w:r>
            <w:r>
              <w:rPr>
                <w:rFonts w:hint="eastAsia" w:ascii="仿宋" w:hAnsi="仿宋" w:eastAsia="仿宋" w:cs="仿宋"/>
                <w:b w:val="0"/>
                <w:bCs w:val="0"/>
                <w:i w:val="0"/>
                <w:iCs w:val="0"/>
                <w:color w:val="000000"/>
                <w:kern w:val="0"/>
                <w:sz w:val="20"/>
                <w:szCs w:val="20"/>
                <w:u w:val="none"/>
                <w:lang w:val="en-US" w:eastAsia="zh-CN" w:bidi="ar"/>
              </w:rPr>
              <w:t>电池 电池容量≥5200mAh。支持无线快充</w:t>
            </w:r>
          </w:p>
          <w:p w14:paraId="24A1AE54">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b w:val="0"/>
                <w:bCs w:val="0"/>
                <w:i w:val="0"/>
                <w:iCs w:val="0"/>
                <w:color w:val="000000"/>
                <w:kern w:val="0"/>
                <w:sz w:val="20"/>
                <w:szCs w:val="20"/>
                <w:u w:val="none"/>
                <w:lang w:val="en-US" w:eastAsia="zh-CN" w:bidi="ar"/>
              </w:rPr>
              <w:t>大于5200mAh，任意一项为正偏离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5、NFC 内置NFC模块，支持读卡器模式，卡模拟模式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★6、防护能力 支持在GB/T 4208-2017（国内）标准下达到 IP68级防护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★7、服务网点 全疆均有售后服务网点，并在所投产品生产商官网可查询。提供终端生产厂家官网截图，并出具移动警务终端双系统定制厂家的售后承诺函并加盖公章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维修点由甲方统一指定，损坏统一交甲方 维修，关停权限再维修。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★8、双系统隔离 两个操作系统运行在不同ROM空间，独立运行，完全隔离；两个系统的文件系统、网络连接、外围接口、用户数据都彼此隔离，不能相互访问；任何一个系统不能删除、创建或控制另外一个系统；一个系统重置不影响另外有一个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★9、双卡双在线 支持两张卡分别同时接入公共APN和专属APN，业务同时在线。切换工作模式后，自动禁用生活SIM卡。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10、安全水印 支持系统级全局水印功能，防止偷拍屏幕造成信息泄露，同时支持防截屏、防录屏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11、产品授权 所投产品，须提供手机硬件生产厂家及系统定制厂家针对本项目的在有效期内的授权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12、安全认证 终端须满足《司法行政移动执法系统技术规范》（SF/T 0049—2020）中第五部分：终端技术要求，并提供具备CNAS标识的由公安部下属检测机构出具的检测报告。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13、执行标准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满足《司法行政移动执法系统技术规范》（SF/T 0049-2020）中第五部分：终端技术要求，在交付产品前提供具备CNAS标识的由公安部安全与警用电子产品质量检测中心出具的检测报告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满足《智能手机型移动警务终端 第1部分：技术要求》（GA/T 1466.1-2018）并出具的检测报告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b w:val="0"/>
                <w:bCs w:val="0"/>
                <w:i w:val="0"/>
                <w:iCs w:val="0"/>
                <w:color w:val="000000"/>
                <w:kern w:val="0"/>
                <w:sz w:val="20"/>
                <w:szCs w:val="20"/>
                <w:u w:val="none"/>
                <w:lang w:val="en-US" w:eastAsia="zh-CN" w:bidi="ar"/>
              </w:rPr>
              <w:t>▲14、需提供移动警务终端所需通话、流量、短信服务同网网内通话免费（不限长短号），通话时长≥2000分钟，互联网流量≥100G，专网流量≥50G，短信≥100条.以上套餐超过原有基础的10%，为正偏离。</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0D8BBD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户</w:t>
            </w:r>
          </w:p>
        </w:tc>
        <w:tc>
          <w:tcPr>
            <w:tcW w:w="721" w:type="dxa"/>
            <w:tcBorders>
              <w:top w:val="single" w:color="000000" w:sz="4" w:space="0"/>
              <w:left w:val="single" w:color="000000" w:sz="4" w:space="0"/>
              <w:bottom w:val="single" w:color="000000" w:sz="4" w:space="0"/>
            </w:tcBorders>
            <w:noWrap w:val="0"/>
            <w:vAlign w:val="center"/>
          </w:tcPr>
          <w:p w14:paraId="61EEE84F">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530</w:t>
            </w:r>
          </w:p>
        </w:tc>
      </w:tr>
      <w:tr w14:paraId="5E80A7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000000" w:sz="4" w:space="0"/>
              <w:bottom w:val="single" w:color="000000" w:sz="4" w:space="0"/>
              <w:right w:val="single" w:color="000000" w:sz="4" w:space="0"/>
            </w:tcBorders>
            <w:noWrap w:val="0"/>
            <w:vAlign w:val="center"/>
          </w:tcPr>
          <w:p w14:paraId="547087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622" w:type="dxa"/>
            <w:gridSpan w:val="2"/>
            <w:tcBorders>
              <w:top w:val="single" w:color="000000" w:sz="4" w:space="0"/>
              <w:left w:val="single" w:color="000000" w:sz="4" w:space="0"/>
              <w:bottom w:val="single" w:color="000000" w:sz="4" w:space="0"/>
              <w:right w:val="single" w:color="000000" w:sz="4" w:space="0"/>
            </w:tcBorders>
            <w:noWrap w:val="0"/>
            <w:vAlign w:val="center"/>
          </w:tcPr>
          <w:p w14:paraId="7FDBA7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管控平台运维服务</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5BA96125">
            <w:pPr>
              <w:keepNext w:val="0"/>
              <w:keepLines w:val="0"/>
              <w:widowControl/>
              <w:numPr>
                <w:ilvl w:val="0"/>
                <w:numId w:val="0"/>
              </w:numPr>
              <w:suppressLineNumbers w:val="0"/>
              <w:jc w:val="both"/>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（1）应用软件符合《司法行政移动执法系统技术规范》（SF/T0049-2020）要求。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b w:val="0"/>
                <w:bCs w:val="0"/>
                <w:i w:val="0"/>
                <w:iCs w:val="0"/>
                <w:color w:val="000000"/>
                <w:kern w:val="0"/>
                <w:sz w:val="20"/>
                <w:szCs w:val="20"/>
                <w:u w:val="none"/>
                <w:lang w:val="en-US" w:eastAsia="zh-CN" w:bidi="ar"/>
              </w:rPr>
              <w:t>▲(2)平台具备终端管理功能、应用商店功能和内容管理功能。平台可实现对移动终端的集中安全管控，实现设备遗失后全程锁定、擦除数据等，保证移动终端高效安全的使用，需提供不少于 9675个用户授权。</w:t>
            </w:r>
          </w:p>
          <w:p w14:paraId="0F723B17">
            <w:pPr>
              <w:keepNext w:val="0"/>
              <w:keepLines w:val="0"/>
              <w:widowControl/>
              <w:numPr>
                <w:ilvl w:val="0"/>
                <w:numId w:val="0"/>
              </w:numPr>
              <w:suppressLineNumbers w:val="0"/>
              <w:jc w:val="both"/>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能够提供终端数据的统计分析，综合性看板的为正偏离。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b w:val="0"/>
                <w:bCs w:val="0"/>
                <w:i w:val="0"/>
                <w:iCs w:val="0"/>
                <w:color w:val="000000"/>
                <w:kern w:val="0"/>
                <w:sz w:val="20"/>
                <w:szCs w:val="20"/>
                <w:u w:val="none"/>
                <w:lang w:val="en-US" w:eastAsia="zh-CN" w:bidi="ar"/>
              </w:rPr>
              <w:t>▲(3)终端可以通过平台、NFC设备、蓝牙信标、电子地理围栏和手动进行生活、备勤、执勤三模式切换。提供较为精准的定位与轨迹。</w:t>
            </w:r>
          </w:p>
          <w:p w14:paraId="3131BDC1">
            <w:pPr>
              <w:keepNext w:val="0"/>
              <w:keepLines w:val="0"/>
              <w:widowControl/>
              <w:numPr>
                <w:ilvl w:val="0"/>
                <w:numId w:val="0"/>
              </w:numPr>
              <w:suppressLineNumbers w:val="0"/>
              <w:jc w:val="left"/>
              <w:textAlignment w:val="center"/>
              <w:rPr>
                <w:rFonts w:hint="eastAsia" w:ascii="仿宋" w:hAnsi="仿宋" w:eastAsia="仿宋" w:cs="仿宋"/>
              </w:rPr>
            </w:pPr>
            <w:r>
              <w:rPr>
                <w:rFonts w:hint="eastAsia" w:ascii="仿宋" w:hAnsi="仿宋" w:eastAsia="仿宋" w:cs="仿宋"/>
                <w:b w:val="0"/>
                <w:bCs w:val="0"/>
                <w:i w:val="0"/>
                <w:iCs w:val="0"/>
                <w:color w:val="000000"/>
                <w:kern w:val="0"/>
                <w:sz w:val="20"/>
                <w:szCs w:val="20"/>
                <w:u w:val="none"/>
                <w:lang w:val="en-US" w:eastAsia="zh-CN" w:bidi="ar"/>
              </w:rPr>
              <w:t>满足以上需求并能提供其他切换方式为正偏离项。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(4)提供系统软件平台运维服务，进行系统调试和优化，确保系统正常运行。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(5)提供系统数据配置服务，对业务系统进行数据参数配置，满足移动执法终端平稳运行，保证各系统单元间的访问和数据交互顺畅。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(6)对应用软件平台提供软件升级、更新等服务，定期开展巡检维护，保证应用在线正常运行。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(7)面向客户开展系统使用培训，讲解系统操作以及应用，并提供相关培训材料。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(8)平台下发指令实时同步终端,同步延迟小于5秒。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(9)平台获取终端的状态要准确,状态描述要清楚表现出终端所处的工作模式,开关机状态,是否刷机等。(10)平台在服务期间内需提供至少一人的驻场服务。</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247552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户</w:t>
            </w:r>
          </w:p>
        </w:tc>
        <w:tc>
          <w:tcPr>
            <w:tcW w:w="721" w:type="dxa"/>
            <w:tcBorders>
              <w:top w:val="single" w:color="000000" w:sz="4" w:space="0"/>
              <w:left w:val="single" w:color="000000" w:sz="4" w:space="0"/>
              <w:bottom w:val="single" w:color="000000" w:sz="4" w:space="0"/>
            </w:tcBorders>
            <w:noWrap w:val="0"/>
            <w:vAlign w:val="center"/>
          </w:tcPr>
          <w:p w14:paraId="063D3B40">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530</w:t>
            </w:r>
          </w:p>
        </w:tc>
      </w:tr>
      <w:tr w14:paraId="3370D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000000" w:sz="4" w:space="0"/>
              <w:bottom w:val="single" w:color="000000" w:sz="4" w:space="0"/>
              <w:right w:val="single" w:color="000000" w:sz="4" w:space="0"/>
            </w:tcBorders>
            <w:shd w:val="clear" w:color="auto" w:fill="FFFFFF"/>
            <w:noWrap w:val="0"/>
            <w:vAlign w:val="center"/>
          </w:tcPr>
          <w:p w14:paraId="1D4AC4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2197" w:type="dxa"/>
            <w:vMerge w:val="restart"/>
            <w:tcBorders>
              <w:top w:val="single" w:color="000000" w:sz="4" w:space="0"/>
              <w:left w:val="single" w:color="000000" w:sz="4" w:space="0"/>
              <w:bottom w:val="nil"/>
              <w:right w:val="single" w:color="000000" w:sz="4" w:space="0"/>
            </w:tcBorders>
            <w:shd w:val="clear" w:color="auto" w:fill="auto"/>
            <w:noWrap w:val="0"/>
            <w:vAlign w:val="center"/>
          </w:tcPr>
          <w:p w14:paraId="0AA65C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应用功能提升完善服务</w:t>
            </w: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D5C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语音输入法</w:t>
            </w:r>
          </w:p>
        </w:tc>
        <w:tc>
          <w:tcPr>
            <w:tcW w:w="4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DB8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系统软件运维服务内容如下：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b w:val="0"/>
                <w:bCs w:val="0"/>
                <w:i w:val="0"/>
                <w:iCs w:val="0"/>
                <w:color w:val="000000"/>
                <w:kern w:val="0"/>
                <w:sz w:val="20"/>
                <w:szCs w:val="20"/>
                <w:u w:val="none"/>
                <w:lang w:val="en-US" w:eastAsia="zh-CN" w:bidi="ar"/>
              </w:rPr>
              <w:t>（1）在监狱管理局私有化部署语音识别引擎，用户通过移动执法设备端访问私有化部署的语音输入应用，普通话识别率达到98%以上。私有化部署可以更好地保护数据安全性，将用户语音数据存储在私有化服务器上，可以确保数据不会被其他人访问或滥用。(2)提供系统软件平台运维服务，进行系统调试和优化，确保系统正常运行。</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8931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721" w:type="dxa"/>
            <w:tcBorders>
              <w:top w:val="single" w:color="000000" w:sz="4" w:space="0"/>
              <w:left w:val="single" w:color="000000" w:sz="4" w:space="0"/>
              <w:bottom w:val="single" w:color="000000" w:sz="4" w:space="0"/>
            </w:tcBorders>
            <w:noWrap w:val="0"/>
            <w:vAlign w:val="center"/>
          </w:tcPr>
          <w:p w14:paraId="15A24B18">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530</w:t>
            </w:r>
          </w:p>
        </w:tc>
      </w:tr>
      <w:tr w14:paraId="46F13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000000" w:sz="4" w:space="0"/>
              <w:bottom w:val="single" w:color="000000" w:sz="4" w:space="0"/>
              <w:right w:val="single" w:color="000000" w:sz="4" w:space="0"/>
            </w:tcBorders>
            <w:shd w:val="clear" w:color="auto" w:fill="FFFFFF"/>
            <w:noWrap w:val="0"/>
            <w:vAlign w:val="center"/>
          </w:tcPr>
          <w:p w14:paraId="62327A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2197" w:type="dxa"/>
            <w:vMerge w:val="continue"/>
            <w:tcBorders>
              <w:top w:val="single" w:color="000000" w:sz="4" w:space="0"/>
              <w:left w:val="single" w:color="000000" w:sz="4" w:space="0"/>
              <w:bottom w:val="nil"/>
              <w:right w:val="single" w:color="000000" w:sz="4" w:space="0"/>
            </w:tcBorders>
            <w:shd w:val="clear" w:color="auto" w:fill="auto"/>
            <w:noWrap w:val="0"/>
            <w:vAlign w:val="center"/>
          </w:tcPr>
          <w:p w14:paraId="2DAF6DB7">
            <w:pPr>
              <w:jc w:val="center"/>
              <w:rPr>
                <w:rFonts w:hint="eastAsia" w:ascii="仿宋" w:hAnsi="仿宋" w:eastAsia="仿宋" w:cs="仿宋"/>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BB37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人脸特征值算法</w:t>
            </w:r>
          </w:p>
        </w:tc>
        <w:tc>
          <w:tcPr>
            <w:tcW w:w="4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0AE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系统软件运维服务内容如下：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b w:val="0"/>
                <w:bCs w:val="0"/>
                <w:i w:val="0"/>
                <w:iCs w:val="0"/>
                <w:color w:val="000000"/>
                <w:kern w:val="0"/>
                <w:sz w:val="20"/>
                <w:szCs w:val="20"/>
                <w:u w:val="none"/>
                <w:lang w:val="en-US" w:eastAsia="zh-CN" w:bidi="ar"/>
              </w:rPr>
              <w:t>（1）为现有民警谈话、工作点名应用提供脱密化人脸算法仓。为保护民警、罪犯隐私，脱密化人脸算法在特征提取完成之后，对人脸进行特征屏蔽，将除人脸主要特征以外的信息进行模糊处理或者完全屏蔽，确保个人隐私数据不被泄露。(2)需配合第三方应用软件进行人脸认证兼容(3)提供系统软件平台运维服务，进行系统调试和优化，确保系统正常运行。</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A4E6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721" w:type="dxa"/>
            <w:tcBorders>
              <w:top w:val="single" w:color="000000" w:sz="4" w:space="0"/>
              <w:left w:val="single" w:color="000000" w:sz="4" w:space="0"/>
              <w:bottom w:val="single" w:color="000000" w:sz="4" w:space="0"/>
            </w:tcBorders>
            <w:noWrap w:val="0"/>
            <w:vAlign w:val="center"/>
          </w:tcPr>
          <w:p w14:paraId="47197F7A">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530</w:t>
            </w:r>
          </w:p>
        </w:tc>
      </w:tr>
      <w:tr w14:paraId="35E2E8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000000" w:sz="4" w:space="0"/>
              <w:bottom w:val="single" w:color="000000" w:sz="4" w:space="0"/>
              <w:right w:val="single" w:color="000000" w:sz="4" w:space="0"/>
            </w:tcBorders>
            <w:shd w:val="clear" w:color="auto" w:fill="FFFFFF"/>
            <w:noWrap w:val="0"/>
            <w:vAlign w:val="center"/>
          </w:tcPr>
          <w:p w14:paraId="353CD9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2197" w:type="dxa"/>
            <w:vMerge w:val="continue"/>
            <w:tcBorders>
              <w:top w:val="single" w:color="000000" w:sz="4" w:space="0"/>
              <w:left w:val="single" w:color="000000" w:sz="4" w:space="0"/>
              <w:bottom w:val="nil"/>
              <w:right w:val="single" w:color="000000" w:sz="4" w:space="0"/>
            </w:tcBorders>
            <w:shd w:val="clear" w:color="auto" w:fill="auto"/>
            <w:noWrap w:val="0"/>
            <w:vAlign w:val="center"/>
          </w:tcPr>
          <w:p w14:paraId="6907528E">
            <w:pPr>
              <w:jc w:val="center"/>
              <w:rPr>
                <w:rFonts w:hint="eastAsia" w:ascii="仿宋" w:hAnsi="仿宋" w:eastAsia="仿宋" w:cs="仿宋"/>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B0C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安全管控身份认证</w:t>
            </w:r>
          </w:p>
        </w:tc>
        <w:tc>
          <w:tcPr>
            <w:tcW w:w="4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D823C">
            <w:pPr>
              <w:keepNext w:val="0"/>
              <w:keepLines w:val="0"/>
              <w:widowControl/>
              <w:suppressLineNumbers w:val="0"/>
              <w:jc w:val="left"/>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▲满足GB/T 39786—2021《信息安全技术信息系统密码应用基本要求》第二级或以上要求，能够为移动端提供包括对称密钥与非对称密钥的生成、存储、分发、销毁等一系列密钥生命周期的操作，以及证书的申请、签发、更新、吊销等管理功能，为移动互联网提供了密码运算支撑能力，可用于身份认证、数据保护等，提供国密SM相关算法密钥分片、协同运算服务，为软件环境的密钥安全和算法运算提供安全保障，防止密钥泄露。</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w:t>
            </w:r>
            <w:r>
              <w:rPr>
                <w:rFonts w:hint="eastAsia" w:ascii="仿宋" w:hAnsi="仿宋" w:eastAsia="仿宋" w:cs="仿宋"/>
                <w:b w:val="0"/>
                <w:bCs w:val="0"/>
                <w:i w:val="0"/>
                <w:iCs w:val="0"/>
                <w:color w:val="000000"/>
                <w:kern w:val="0"/>
                <w:sz w:val="20"/>
                <w:szCs w:val="20"/>
                <w:u w:val="none"/>
                <w:lang w:val="en-US" w:eastAsia="zh-CN" w:bidi="ar"/>
              </w:rPr>
              <w:t>CA数字认证系统的产品，投标人或生产制造商具备有效期内的电子认证服务许可证、电子认证服务使用密码许可证提供相关证明材料。</w:t>
            </w:r>
          </w:p>
          <w:p w14:paraId="0953DF50">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b w:val="0"/>
                <w:bCs w:val="0"/>
                <w:i w:val="0"/>
                <w:iCs w:val="0"/>
                <w:color w:val="000000"/>
                <w:kern w:val="0"/>
                <w:sz w:val="20"/>
                <w:szCs w:val="20"/>
                <w:u w:val="none"/>
                <w:lang w:val="en-US" w:eastAsia="zh-CN" w:bidi="ar"/>
              </w:rPr>
              <w:t>满足以上认证方式外提供其他认证方式为正偏离</w:t>
            </w:r>
            <w:r>
              <w:rPr>
                <w:rFonts w:hint="eastAsia" w:ascii="仿宋" w:hAnsi="仿宋" w:eastAsia="仿宋" w:cs="仿宋"/>
                <w:b/>
                <w:bCs/>
                <w:i w:val="0"/>
                <w:iCs w:val="0"/>
                <w:color w:val="000000"/>
                <w:kern w:val="0"/>
                <w:sz w:val="20"/>
                <w:szCs w:val="20"/>
                <w:u w:val="none"/>
                <w:lang w:val="en-US" w:eastAsia="zh-CN" w:bidi="ar"/>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8A07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721" w:type="dxa"/>
            <w:tcBorders>
              <w:top w:val="single" w:color="000000" w:sz="4" w:space="0"/>
              <w:left w:val="single" w:color="000000" w:sz="4" w:space="0"/>
              <w:bottom w:val="single" w:color="000000" w:sz="4" w:space="0"/>
            </w:tcBorders>
            <w:noWrap w:val="0"/>
            <w:vAlign w:val="center"/>
          </w:tcPr>
          <w:p w14:paraId="4F65456D">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530</w:t>
            </w:r>
          </w:p>
        </w:tc>
      </w:tr>
      <w:tr w14:paraId="39C46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000000" w:sz="4" w:space="0"/>
              <w:bottom w:val="single" w:color="000000" w:sz="4" w:space="0"/>
              <w:right w:val="single" w:color="000000" w:sz="4" w:space="0"/>
            </w:tcBorders>
            <w:shd w:val="clear" w:color="auto" w:fill="FFFFFF"/>
            <w:noWrap w:val="0"/>
            <w:vAlign w:val="center"/>
          </w:tcPr>
          <w:p w14:paraId="7B7F63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2197" w:type="dxa"/>
            <w:vMerge w:val="continue"/>
            <w:tcBorders>
              <w:top w:val="single" w:color="000000" w:sz="4" w:space="0"/>
              <w:left w:val="single" w:color="000000" w:sz="4" w:space="0"/>
              <w:bottom w:val="nil"/>
              <w:right w:val="single" w:color="000000" w:sz="4" w:space="0"/>
            </w:tcBorders>
            <w:shd w:val="clear" w:color="auto" w:fill="auto"/>
            <w:noWrap w:val="0"/>
            <w:vAlign w:val="center"/>
          </w:tcPr>
          <w:p w14:paraId="247BDFD4">
            <w:pPr>
              <w:jc w:val="center"/>
              <w:rPr>
                <w:rFonts w:hint="eastAsia" w:ascii="仿宋" w:hAnsi="仿宋" w:eastAsia="仿宋" w:cs="仿宋"/>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EF86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应用商店</w:t>
            </w:r>
          </w:p>
        </w:tc>
        <w:tc>
          <w:tcPr>
            <w:tcW w:w="4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72B20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系统软件运维服务内容如下：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（1）应用商店为用户提供应用浏览与搜索、下载与安装、更新管理、用户评价、应用详情、分类推荐、账户管理等功能。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(2)提供系统软件平台运维服务，进行系统调试和优化，确保系统正常运行。</w:t>
            </w:r>
          </w:p>
        </w:tc>
        <w:tc>
          <w:tcPr>
            <w:tcW w:w="493" w:type="dxa"/>
            <w:vMerge w:val="restart"/>
            <w:tcBorders>
              <w:top w:val="single" w:color="000000" w:sz="4" w:space="0"/>
              <w:left w:val="single" w:color="000000" w:sz="4" w:space="0"/>
              <w:right w:val="single" w:color="000000" w:sz="4" w:space="0"/>
            </w:tcBorders>
            <w:shd w:val="clear" w:color="auto" w:fill="FFFFFF"/>
            <w:noWrap w:val="0"/>
            <w:vAlign w:val="center"/>
          </w:tcPr>
          <w:p w14:paraId="31B95C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21" w:type="dxa"/>
            <w:vMerge w:val="restart"/>
            <w:tcBorders>
              <w:top w:val="single" w:color="000000" w:sz="4" w:space="0"/>
              <w:left w:val="single" w:color="000000" w:sz="4" w:space="0"/>
            </w:tcBorders>
            <w:noWrap w:val="0"/>
            <w:vAlign w:val="center"/>
          </w:tcPr>
          <w:p w14:paraId="5BBCEE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2676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000000" w:sz="4" w:space="0"/>
              <w:bottom w:val="single" w:color="000000" w:sz="4" w:space="0"/>
              <w:right w:val="single" w:color="000000" w:sz="4" w:space="0"/>
            </w:tcBorders>
            <w:shd w:val="clear" w:color="auto" w:fill="FFFFFF"/>
            <w:noWrap w:val="0"/>
            <w:vAlign w:val="center"/>
          </w:tcPr>
          <w:p w14:paraId="608DA5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2197" w:type="dxa"/>
            <w:vMerge w:val="continue"/>
            <w:tcBorders>
              <w:top w:val="single" w:color="000000" w:sz="4" w:space="0"/>
              <w:left w:val="single" w:color="000000" w:sz="4" w:space="0"/>
              <w:bottom w:val="nil"/>
              <w:right w:val="single" w:color="000000" w:sz="4" w:space="0"/>
            </w:tcBorders>
            <w:shd w:val="clear" w:color="auto" w:fill="auto"/>
            <w:noWrap w:val="0"/>
            <w:vAlign w:val="center"/>
          </w:tcPr>
          <w:p w14:paraId="11EB7706">
            <w:pPr>
              <w:jc w:val="center"/>
              <w:rPr>
                <w:rFonts w:hint="eastAsia" w:ascii="仿宋" w:hAnsi="仿宋" w:eastAsia="仿宋" w:cs="仿宋"/>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6A7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通讯录</w:t>
            </w:r>
          </w:p>
        </w:tc>
        <w:tc>
          <w:tcPr>
            <w:tcW w:w="4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4ECF5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系统软件运维服务内容如下：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通讯录可实现每个人的可视范围有权限控制，可以按照部门进行权限分配，比如领导的通讯录只有某些组织的人可以看，其他人不能查看。(2)提供系统软件平台运维服务，进行系统调试和优化，确保系统正常运行。</w:t>
            </w:r>
          </w:p>
        </w:tc>
        <w:tc>
          <w:tcPr>
            <w:tcW w:w="493" w:type="dxa"/>
            <w:vMerge w:val="continue"/>
            <w:tcBorders>
              <w:left w:val="single" w:color="000000" w:sz="4" w:space="0"/>
              <w:right w:val="single" w:color="000000" w:sz="4" w:space="0"/>
            </w:tcBorders>
            <w:shd w:val="clear" w:color="auto" w:fill="FFFFFF"/>
            <w:noWrap w:val="0"/>
            <w:vAlign w:val="center"/>
          </w:tcPr>
          <w:p w14:paraId="507E5C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21" w:type="dxa"/>
            <w:vMerge w:val="continue"/>
            <w:tcBorders>
              <w:left w:val="single" w:color="000000" w:sz="4" w:space="0"/>
            </w:tcBorders>
            <w:noWrap w:val="0"/>
            <w:vAlign w:val="center"/>
          </w:tcPr>
          <w:p w14:paraId="5603DC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071F1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000000" w:sz="4" w:space="0"/>
              <w:bottom w:val="single" w:color="000000" w:sz="4" w:space="0"/>
              <w:right w:val="single" w:color="000000" w:sz="4" w:space="0"/>
            </w:tcBorders>
            <w:shd w:val="clear" w:color="auto" w:fill="FFFFFF"/>
            <w:noWrap w:val="0"/>
            <w:vAlign w:val="center"/>
          </w:tcPr>
          <w:p w14:paraId="12CAE3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2197" w:type="dxa"/>
            <w:vMerge w:val="continue"/>
            <w:tcBorders>
              <w:top w:val="single" w:color="000000" w:sz="4" w:space="0"/>
              <w:left w:val="single" w:color="000000" w:sz="4" w:space="0"/>
              <w:bottom w:val="nil"/>
              <w:right w:val="single" w:color="000000" w:sz="4" w:space="0"/>
            </w:tcBorders>
            <w:shd w:val="clear" w:color="auto" w:fill="auto"/>
            <w:noWrap w:val="0"/>
            <w:vAlign w:val="center"/>
          </w:tcPr>
          <w:p w14:paraId="65959184">
            <w:pPr>
              <w:jc w:val="center"/>
              <w:rPr>
                <w:rFonts w:hint="eastAsia" w:ascii="仿宋" w:hAnsi="仿宋" w:eastAsia="仿宋" w:cs="仿宋"/>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E486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学习手册</w:t>
            </w:r>
          </w:p>
        </w:tc>
        <w:tc>
          <w:tcPr>
            <w:tcW w:w="4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919A0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系统软件运维服务内容如下：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在移动警务终端资源之上，结合监狱的实际业务特点，利用专网VPN，构建网络安全、学习便捷的学习手册APP应用。将各类学习知识进行分类分级组织管理，通过对接、导入、录入等方式获取业务知识，针对业务知识类型和业务科室进行分类分级，形成监狱系统各级学习知识资源目录，通过资源目录进行统一管理和服务应用。(3)提供系统软件平台运维服务，进行系统调试和优化，确保系统正常运行。（4）包含党建理论学习、法律法规学习等</w:t>
            </w:r>
          </w:p>
        </w:tc>
        <w:tc>
          <w:tcPr>
            <w:tcW w:w="493" w:type="dxa"/>
            <w:vMerge w:val="continue"/>
            <w:tcBorders>
              <w:left w:val="single" w:color="000000" w:sz="4" w:space="0"/>
              <w:right w:val="single" w:color="000000" w:sz="4" w:space="0"/>
            </w:tcBorders>
            <w:shd w:val="clear" w:color="auto" w:fill="FFFFFF"/>
            <w:noWrap w:val="0"/>
            <w:vAlign w:val="center"/>
          </w:tcPr>
          <w:p w14:paraId="31C8F8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21" w:type="dxa"/>
            <w:vMerge w:val="continue"/>
            <w:tcBorders>
              <w:left w:val="single" w:color="000000" w:sz="4" w:space="0"/>
            </w:tcBorders>
            <w:noWrap w:val="0"/>
            <w:vAlign w:val="center"/>
          </w:tcPr>
          <w:p w14:paraId="5A09BA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1C1CA7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000000" w:sz="4" w:space="0"/>
              <w:bottom w:val="single" w:color="000000" w:sz="4" w:space="0"/>
              <w:right w:val="single" w:color="000000" w:sz="4" w:space="0"/>
            </w:tcBorders>
            <w:shd w:val="clear" w:color="auto" w:fill="FFFFFF"/>
            <w:noWrap w:val="0"/>
            <w:vAlign w:val="center"/>
          </w:tcPr>
          <w:p w14:paraId="79E083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2197" w:type="dxa"/>
            <w:vMerge w:val="continue"/>
            <w:tcBorders>
              <w:top w:val="single" w:color="000000" w:sz="4" w:space="0"/>
              <w:left w:val="single" w:color="000000" w:sz="4" w:space="0"/>
              <w:bottom w:val="nil"/>
              <w:right w:val="single" w:color="000000" w:sz="4" w:space="0"/>
            </w:tcBorders>
            <w:shd w:val="clear" w:color="auto" w:fill="auto"/>
            <w:noWrap w:val="0"/>
            <w:vAlign w:val="center"/>
          </w:tcPr>
          <w:p w14:paraId="1870B070">
            <w:pPr>
              <w:jc w:val="center"/>
              <w:rPr>
                <w:rFonts w:hint="eastAsia" w:ascii="仿宋" w:hAnsi="仿宋" w:eastAsia="仿宋" w:cs="仿宋"/>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C66A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执法取证</w:t>
            </w:r>
          </w:p>
        </w:tc>
        <w:tc>
          <w:tcPr>
            <w:tcW w:w="4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662B5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系统软件运维服务内容如下：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在监狱管理局部署执法取证应用，以确保监狱的安全、高效管理和应急响应能力。应用具有普通用户和管理员操作模式，执法人员利用移动执法终端可实现取证、执法查证登录、查看、编辑、删除等功能。(2)提供系统软件平台运维服务，进行系统调试和优化，确保系统正常运行。</w:t>
            </w:r>
          </w:p>
        </w:tc>
        <w:tc>
          <w:tcPr>
            <w:tcW w:w="493" w:type="dxa"/>
            <w:vMerge w:val="continue"/>
            <w:tcBorders>
              <w:left w:val="single" w:color="000000" w:sz="4" w:space="0"/>
              <w:right w:val="single" w:color="000000" w:sz="4" w:space="0"/>
            </w:tcBorders>
            <w:shd w:val="clear" w:color="auto" w:fill="FFFFFF"/>
            <w:noWrap w:val="0"/>
            <w:vAlign w:val="center"/>
          </w:tcPr>
          <w:p w14:paraId="64B023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21" w:type="dxa"/>
            <w:vMerge w:val="continue"/>
            <w:tcBorders>
              <w:left w:val="single" w:color="000000" w:sz="4" w:space="0"/>
            </w:tcBorders>
            <w:noWrap w:val="0"/>
            <w:vAlign w:val="center"/>
          </w:tcPr>
          <w:p w14:paraId="3BB21C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44B597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000000" w:sz="4" w:space="0"/>
              <w:bottom w:val="single" w:color="000000" w:sz="4" w:space="0"/>
              <w:right w:val="single" w:color="000000" w:sz="4" w:space="0"/>
            </w:tcBorders>
            <w:shd w:val="clear" w:color="auto" w:fill="FFFFFF"/>
            <w:noWrap w:val="0"/>
            <w:vAlign w:val="center"/>
          </w:tcPr>
          <w:p w14:paraId="6CAB39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2197" w:type="dxa"/>
            <w:vMerge w:val="continue"/>
            <w:tcBorders>
              <w:top w:val="single" w:color="000000" w:sz="4" w:space="0"/>
              <w:left w:val="single" w:color="000000" w:sz="4" w:space="0"/>
              <w:bottom w:val="nil"/>
              <w:right w:val="single" w:color="000000" w:sz="4" w:space="0"/>
            </w:tcBorders>
            <w:shd w:val="clear" w:color="auto" w:fill="auto"/>
            <w:noWrap w:val="0"/>
            <w:vAlign w:val="center"/>
          </w:tcPr>
          <w:p w14:paraId="24051F3B">
            <w:pPr>
              <w:jc w:val="center"/>
              <w:rPr>
                <w:rFonts w:hint="eastAsia" w:ascii="仿宋" w:hAnsi="仿宋" w:eastAsia="仿宋" w:cs="仿宋"/>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29F1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指挥调度</w:t>
            </w:r>
          </w:p>
        </w:tc>
        <w:tc>
          <w:tcPr>
            <w:tcW w:w="4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A14FB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系统软件运维服务内容如下：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在监狱管理局部署指挥调度应用，由管理后台、PC端调度台、手机端应用程序组成。可实现在JY区域乃至全自治区、全国范围内的实时群呼、组呼、单呼功能,但根据用户权限可限制终端间互通,支持PC调度台单呼、群呼手机终端。(2)提供系统软件平台运维服务，进行系统调试和优化，确保系统正常运行。</w:t>
            </w:r>
          </w:p>
        </w:tc>
        <w:tc>
          <w:tcPr>
            <w:tcW w:w="493" w:type="dxa"/>
            <w:vMerge w:val="continue"/>
            <w:tcBorders>
              <w:left w:val="single" w:color="000000" w:sz="4" w:space="0"/>
              <w:right w:val="single" w:color="000000" w:sz="4" w:space="0"/>
            </w:tcBorders>
            <w:shd w:val="clear" w:color="auto" w:fill="FFFFFF"/>
            <w:noWrap w:val="0"/>
            <w:vAlign w:val="center"/>
          </w:tcPr>
          <w:p w14:paraId="419D97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21" w:type="dxa"/>
            <w:vMerge w:val="continue"/>
            <w:tcBorders>
              <w:left w:val="single" w:color="000000" w:sz="4" w:space="0"/>
            </w:tcBorders>
            <w:noWrap w:val="0"/>
            <w:vAlign w:val="center"/>
          </w:tcPr>
          <w:p w14:paraId="610F87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30A7A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000000" w:sz="4" w:space="0"/>
              <w:bottom w:val="single" w:color="000000" w:sz="4" w:space="0"/>
              <w:right w:val="single" w:color="000000" w:sz="4" w:space="0"/>
            </w:tcBorders>
            <w:shd w:val="clear" w:color="auto" w:fill="FFFFFF"/>
            <w:noWrap w:val="0"/>
            <w:vAlign w:val="center"/>
          </w:tcPr>
          <w:p w14:paraId="6A29E8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2197" w:type="dxa"/>
            <w:vMerge w:val="continue"/>
            <w:tcBorders>
              <w:top w:val="single" w:color="000000" w:sz="4" w:space="0"/>
              <w:left w:val="single" w:color="000000" w:sz="4" w:space="0"/>
              <w:bottom w:val="nil"/>
              <w:right w:val="single" w:color="000000" w:sz="4" w:space="0"/>
            </w:tcBorders>
            <w:shd w:val="clear" w:color="auto" w:fill="auto"/>
            <w:noWrap w:val="0"/>
            <w:vAlign w:val="center"/>
          </w:tcPr>
          <w:p w14:paraId="09374DF3">
            <w:pPr>
              <w:jc w:val="center"/>
              <w:rPr>
                <w:rFonts w:hint="eastAsia" w:ascii="仿宋" w:hAnsi="仿宋" w:eastAsia="仿宋" w:cs="仿宋"/>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2DE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日历</w:t>
            </w:r>
          </w:p>
        </w:tc>
        <w:tc>
          <w:tcPr>
            <w:tcW w:w="4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79588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系统软件运维服务内容如下：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（1）按照公历显示日期(2)提供系统软件平台运维服务，进行系统调试和优化，确保系统正常运行。</w:t>
            </w:r>
          </w:p>
        </w:tc>
        <w:tc>
          <w:tcPr>
            <w:tcW w:w="493" w:type="dxa"/>
            <w:vMerge w:val="continue"/>
            <w:tcBorders>
              <w:left w:val="single" w:color="000000" w:sz="4" w:space="0"/>
              <w:right w:val="single" w:color="000000" w:sz="4" w:space="0"/>
            </w:tcBorders>
            <w:shd w:val="clear" w:color="auto" w:fill="FFFFFF"/>
            <w:noWrap w:val="0"/>
            <w:vAlign w:val="center"/>
          </w:tcPr>
          <w:p w14:paraId="7EFD2E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21" w:type="dxa"/>
            <w:vMerge w:val="continue"/>
            <w:tcBorders>
              <w:left w:val="single" w:color="000000" w:sz="4" w:space="0"/>
            </w:tcBorders>
            <w:noWrap w:val="0"/>
            <w:vAlign w:val="center"/>
          </w:tcPr>
          <w:p w14:paraId="6122E9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37704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000000" w:sz="4" w:space="0"/>
              <w:bottom w:val="single" w:color="000000" w:sz="4" w:space="0"/>
              <w:right w:val="single" w:color="000000" w:sz="4" w:space="0"/>
            </w:tcBorders>
            <w:shd w:val="clear" w:color="auto" w:fill="FFFFFF"/>
            <w:noWrap w:val="0"/>
            <w:vAlign w:val="center"/>
          </w:tcPr>
          <w:p w14:paraId="7985AF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3.10</w:t>
            </w:r>
          </w:p>
        </w:tc>
        <w:tc>
          <w:tcPr>
            <w:tcW w:w="2197" w:type="dxa"/>
            <w:vMerge w:val="continue"/>
            <w:tcBorders>
              <w:top w:val="single" w:color="000000" w:sz="4" w:space="0"/>
              <w:left w:val="single" w:color="000000" w:sz="4" w:space="0"/>
              <w:bottom w:val="nil"/>
              <w:right w:val="single" w:color="000000" w:sz="4" w:space="0"/>
            </w:tcBorders>
            <w:shd w:val="clear" w:color="auto" w:fill="auto"/>
            <w:noWrap w:val="0"/>
            <w:vAlign w:val="center"/>
          </w:tcPr>
          <w:p w14:paraId="4DC30C31">
            <w:pPr>
              <w:jc w:val="center"/>
              <w:rPr>
                <w:rFonts w:hint="eastAsia" w:ascii="仿宋" w:hAnsi="仿宋" w:eastAsia="仿宋" w:cs="仿宋"/>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59FA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一键报警</w:t>
            </w:r>
          </w:p>
        </w:tc>
        <w:tc>
          <w:tcPr>
            <w:tcW w:w="4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69465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系统软件运维服务内容如下：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应用软件符合《司法行政移动执法系统技术规范》（SF/T0049-2020）要求。（2）通过一键报警APP实现紧急情况下的一键报警，实时显示位置信息。触发报警后可联动指挥中心大屏弹窗报警信息，同步接通现场语音对讲。(3)提供系统软件平台运维服务，进行系统调试和优化，确保系统正常运行。</w:t>
            </w:r>
          </w:p>
        </w:tc>
        <w:tc>
          <w:tcPr>
            <w:tcW w:w="493" w:type="dxa"/>
            <w:vMerge w:val="continue"/>
            <w:tcBorders>
              <w:left w:val="single" w:color="000000" w:sz="4" w:space="0"/>
              <w:right w:val="single" w:color="000000" w:sz="4" w:space="0"/>
            </w:tcBorders>
            <w:shd w:val="clear" w:color="auto" w:fill="FFFFFF"/>
            <w:noWrap w:val="0"/>
            <w:vAlign w:val="center"/>
          </w:tcPr>
          <w:p w14:paraId="40D018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21" w:type="dxa"/>
            <w:vMerge w:val="continue"/>
            <w:tcBorders>
              <w:left w:val="single" w:color="000000" w:sz="4" w:space="0"/>
            </w:tcBorders>
            <w:noWrap w:val="0"/>
            <w:vAlign w:val="center"/>
          </w:tcPr>
          <w:p w14:paraId="7812F8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23A51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000000" w:sz="4" w:space="0"/>
              <w:bottom w:val="single" w:color="000000" w:sz="4" w:space="0"/>
              <w:right w:val="single" w:color="000000" w:sz="4" w:space="0"/>
            </w:tcBorders>
            <w:shd w:val="clear" w:color="auto" w:fill="FFFFFF"/>
            <w:noWrap w:val="0"/>
            <w:vAlign w:val="center"/>
          </w:tcPr>
          <w:p w14:paraId="0B8504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w:t>
            </w:r>
          </w:p>
        </w:tc>
        <w:tc>
          <w:tcPr>
            <w:tcW w:w="2197" w:type="dxa"/>
            <w:vMerge w:val="continue"/>
            <w:tcBorders>
              <w:top w:val="single" w:color="000000" w:sz="4" w:space="0"/>
              <w:left w:val="single" w:color="000000" w:sz="4" w:space="0"/>
              <w:bottom w:val="nil"/>
              <w:right w:val="single" w:color="000000" w:sz="4" w:space="0"/>
            </w:tcBorders>
            <w:shd w:val="clear" w:color="auto" w:fill="auto"/>
            <w:noWrap w:val="0"/>
            <w:vAlign w:val="center"/>
          </w:tcPr>
          <w:p w14:paraId="0EC41B2A">
            <w:pPr>
              <w:jc w:val="center"/>
              <w:rPr>
                <w:rFonts w:hint="eastAsia" w:ascii="仿宋" w:hAnsi="仿宋" w:eastAsia="仿宋" w:cs="仿宋"/>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6120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数字对讲</w:t>
            </w:r>
          </w:p>
        </w:tc>
        <w:tc>
          <w:tcPr>
            <w:tcW w:w="4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AB887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系统软件运维服务内容如下：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应用软件符合《司法行政移动执法系统技术规范》（SF/T0049-2020）要求。（2）通过在移动执法终端上部署数字对讲应用模块，能够终端之间、PC与终端之间的集群组呼与单呼，并实现呼叫权限控制，基本实现原有数字对讲系统同类功能。(3)提供系统软件平台运维服务，进行系统调试和优化，确保系统正常运行。</w:t>
            </w:r>
          </w:p>
        </w:tc>
        <w:tc>
          <w:tcPr>
            <w:tcW w:w="493" w:type="dxa"/>
            <w:vMerge w:val="continue"/>
            <w:tcBorders>
              <w:left w:val="single" w:color="000000" w:sz="4" w:space="0"/>
              <w:right w:val="single" w:color="000000" w:sz="4" w:space="0"/>
            </w:tcBorders>
            <w:shd w:val="clear" w:color="auto" w:fill="FFFFFF"/>
            <w:noWrap w:val="0"/>
            <w:vAlign w:val="center"/>
          </w:tcPr>
          <w:p w14:paraId="4B79C6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21" w:type="dxa"/>
            <w:vMerge w:val="continue"/>
            <w:tcBorders>
              <w:left w:val="single" w:color="000000" w:sz="4" w:space="0"/>
            </w:tcBorders>
            <w:noWrap w:val="0"/>
            <w:vAlign w:val="center"/>
          </w:tcPr>
          <w:p w14:paraId="61C9AA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788EA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000000" w:sz="4" w:space="0"/>
              <w:bottom w:val="single" w:color="000000" w:sz="4" w:space="0"/>
              <w:right w:val="single" w:color="000000" w:sz="4" w:space="0"/>
            </w:tcBorders>
            <w:shd w:val="clear" w:color="auto" w:fill="FFFFFF"/>
            <w:noWrap w:val="0"/>
            <w:vAlign w:val="center"/>
          </w:tcPr>
          <w:p w14:paraId="64975FAF">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w:t>
            </w:r>
          </w:p>
        </w:tc>
        <w:tc>
          <w:tcPr>
            <w:tcW w:w="2197" w:type="dxa"/>
            <w:vMerge w:val="continue"/>
            <w:tcBorders>
              <w:top w:val="single" w:color="000000" w:sz="4" w:space="0"/>
              <w:left w:val="single" w:color="000000" w:sz="4" w:space="0"/>
              <w:bottom w:val="nil"/>
              <w:right w:val="single" w:color="000000" w:sz="4" w:space="0"/>
            </w:tcBorders>
            <w:shd w:val="clear" w:color="auto" w:fill="auto"/>
            <w:noWrap w:val="0"/>
            <w:vAlign w:val="center"/>
          </w:tcPr>
          <w:p w14:paraId="073864F5">
            <w:pPr>
              <w:jc w:val="center"/>
              <w:rPr>
                <w:rFonts w:hint="eastAsia" w:ascii="仿宋" w:hAnsi="仿宋" w:eastAsia="仿宋" w:cs="仿宋"/>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386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警务拍</w:t>
            </w:r>
          </w:p>
        </w:tc>
        <w:tc>
          <w:tcPr>
            <w:tcW w:w="4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D9779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系统软件运维服务内容如下：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应用软件符合《司法行政移动执法系统技术规范》（SF/T0049-2020）要求。（2）通过在移动执法终端上部署警务拍应用，为日常安全隐患排查，罪犯违规违纪，提供信息化便捷支撑能力。民警发现问题后通过移动警务终端，直接拍照上传，系统根据情况自动记录时间、地点等并将问题进行推送，同时对事件的处理进行闭环管理。</w:t>
            </w:r>
          </w:p>
        </w:tc>
        <w:tc>
          <w:tcPr>
            <w:tcW w:w="493" w:type="dxa"/>
            <w:vMerge w:val="continue"/>
            <w:tcBorders>
              <w:left w:val="single" w:color="000000" w:sz="4" w:space="0"/>
              <w:right w:val="single" w:color="000000" w:sz="4" w:space="0"/>
            </w:tcBorders>
            <w:shd w:val="clear" w:color="auto" w:fill="FFFFFF"/>
            <w:noWrap w:val="0"/>
            <w:vAlign w:val="center"/>
          </w:tcPr>
          <w:p w14:paraId="4F8793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21" w:type="dxa"/>
            <w:vMerge w:val="continue"/>
            <w:tcBorders>
              <w:left w:val="single" w:color="000000" w:sz="4" w:space="0"/>
            </w:tcBorders>
            <w:noWrap w:val="0"/>
            <w:vAlign w:val="center"/>
          </w:tcPr>
          <w:p w14:paraId="6FA2F5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1407D9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000000" w:sz="4" w:space="0"/>
              <w:bottom w:val="single" w:color="000000" w:sz="4" w:space="0"/>
              <w:right w:val="single" w:color="000000" w:sz="4" w:space="0"/>
            </w:tcBorders>
            <w:shd w:val="clear" w:color="auto" w:fill="FFFFFF"/>
            <w:noWrap w:val="0"/>
            <w:vAlign w:val="center"/>
          </w:tcPr>
          <w:p w14:paraId="467AF347">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3.13</w:t>
            </w:r>
          </w:p>
        </w:tc>
        <w:tc>
          <w:tcPr>
            <w:tcW w:w="2197" w:type="dxa"/>
            <w:vMerge w:val="continue"/>
            <w:tcBorders>
              <w:top w:val="single" w:color="000000" w:sz="4" w:space="0"/>
              <w:left w:val="single" w:color="000000" w:sz="4" w:space="0"/>
              <w:bottom w:val="nil"/>
              <w:right w:val="single" w:color="000000" w:sz="4" w:space="0"/>
            </w:tcBorders>
            <w:shd w:val="clear" w:color="auto" w:fill="auto"/>
            <w:noWrap w:val="0"/>
            <w:vAlign w:val="center"/>
          </w:tcPr>
          <w:p w14:paraId="4E4A2BDE">
            <w:pPr>
              <w:jc w:val="center"/>
              <w:rPr>
                <w:rFonts w:hint="eastAsia" w:ascii="仿宋" w:hAnsi="仿宋" w:eastAsia="仿宋" w:cs="仿宋"/>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4F72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即时通讯</w:t>
            </w:r>
          </w:p>
        </w:tc>
        <w:tc>
          <w:tcPr>
            <w:tcW w:w="4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48920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系统软件运维服务内容如下：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应用软件符合《司法行政移动执法系统技术规范》（SF/T0049-2020）要求。（2）通过在移动执法终端上部署即时通讯应用，结合监狱特殊场景定制化开发，以安全、高效为核心，满足民警日常语音通讯，群组通讯等。适应监狱在应急指挥处置、日常巡查、日常人员分配等事务性工作中存在的工作安排。系统内置敏感字智能识别和屏蔽，从源头上规避泄露监狱风险的可能性。</w:t>
            </w:r>
          </w:p>
        </w:tc>
        <w:tc>
          <w:tcPr>
            <w:tcW w:w="493" w:type="dxa"/>
            <w:vMerge w:val="continue"/>
            <w:tcBorders>
              <w:left w:val="single" w:color="000000" w:sz="4" w:space="0"/>
              <w:bottom w:val="single" w:color="000000" w:sz="4" w:space="0"/>
              <w:right w:val="single" w:color="000000" w:sz="4" w:space="0"/>
            </w:tcBorders>
            <w:shd w:val="clear" w:color="auto" w:fill="FFFFFF"/>
            <w:noWrap w:val="0"/>
            <w:vAlign w:val="center"/>
          </w:tcPr>
          <w:p w14:paraId="208D78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21" w:type="dxa"/>
            <w:vMerge w:val="continue"/>
            <w:tcBorders>
              <w:left w:val="single" w:color="000000" w:sz="4" w:space="0"/>
              <w:bottom w:val="single" w:color="000000" w:sz="4" w:space="0"/>
            </w:tcBorders>
            <w:noWrap w:val="0"/>
            <w:vAlign w:val="center"/>
          </w:tcPr>
          <w:p w14:paraId="26FE8C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2BB1D7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000000" w:sz="4" w:space="0"/>
              <w:bottom w:val="single" w:color="000000" w:sz="4" w:space="0"/>
              <w:right w:val="single" w:color="000000" w:sz="4" w:space="0"/>
            </w:tcBorders>
            <w:shd w:val="clear" w:color="auto" w:fill="FFFFFF"/>
            <w:noWrap w:val="0"/>
            <w:vAlign w:val="center"/>
          </w:tcPr>
          <w:p w14:paraId="13C1DE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2197" w:type="dxa"/>
            <w:vMerge w:val="restart"/>
            <w:tcBorders>
              <w:top w:val="single" w:color="000000" w:sz="4" w:space="0"/>
              <w:left w:val="single" w:color="000000" w:sz="4" w:space="0"/>
              <w:bottom w:val="nil"/>
              <w:right w:val="single" w:color="000000" w:sz="4" w:space="0"/>
            </w:tcBorders>
            <w:shd w:val="clear" w:color="auto" w:fill="FFFFFF"/>
            <w:noWrap w:val="0"/>
            <w:vAlign w:val="center"/>
          </w:tcPr>
          <w:p w14:paraId="506748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安全管控能力服务</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8EB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交换请求服务运维服务</w:t>
            </w:r>
          </w:p>
        </w:tc>
        <w:tc>
          <w:tcPr>
            <w:tcW w:w="4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5744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安全交换请求服务运维，服务要求提供并发数量≥90000个；交换能力≥12000Mbps；最大支持服务≥180个。并满足以下服务需求：1、支持SOAP协议、XML-RPC协议和REST协议。2、支持请求转文件（XML文件）和应答转文件（XML文件）。3、支持各种Web Service接口。4、支持移动应用系统访问。5、支持多级分布式部署、多节点非对称部署。6、接收管理中心的统一配置管理；向管理中心统一上报状态、业务运行情况。</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882A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721" w:type="dxa"/>
            <w:tcBorders>
              <w:top w:val="single" w:color="000000" w:sz="4" w:space="0"/>
              <w:left w:val="single" w:color="000000" w:sz="4" w:space="0"/>
              <w:bottom w:val="single" w:color="000000" w:sz="4" w:space="0"/>
            </w:tcBorders>
            <w:shd w:val="clear" w:color="auto" w:fill="FFFFFF"/>
            <w:noWrap w:val="0"/>
            <w:vAlign w:val="center"/>
          </w:tcPr>
          <w:p w14:paraId="061CAA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D4E8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000000" w:sz="4" w:space="0"/>
              <w:bottom w:val="single" w:color="000000" w:sz="4" w:space="0"/>
              <w:right w:val="single" w:color="000000" w:sz="4" w:space="0"/>
            </w:tcBorders>
            <w:shd w:val="clear" w:color="auto" w:fill="FFFFFF"/>
            <w:noWrap w:val="0"/>
            <w:vAlign w:val="center"/>
          </w:tcPr>
          <w:p w14:paraId="4B3C02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2197"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71ED09E0">
            <w:pPr>
              <w:jc w:val="center"/>
              <w:rPr>
                <w:rFonts w:hint="eastAsia" w:ascii="仿宋" w:hAnsi="仿宋" w:eastAsia="仿宋" w:cs="仿宋"/>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2CC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文件数据库交换运维服务</w:t>
            </w:r>
          </w:p>
        </w:tc>
        <w:tc>
          <w:tcPr>
            <w:tcW w:w="4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7D23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★数据安全交换文件数据库交换运维，服务要求提供交换能力≥600Mbps；最大支持服务≥60个。并满足以下服务需求：1、支持主流数据库交换，包括：Oracle、SQL Server、DB2、SYBASE、MYSQL。2、支持各种数据库之间的异构数据转换。3、支持共享、客户端、FTP等多种模式的文件同步服务，支持文件实时同步。4、支持对传输数据进行加密。5、支持多级分布式部署、多节点非对称部署。6、接收管理中心的统一配置管理；向管理中心统一上报状态、业务运行情况。  </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6370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721" w:type="dxa"/>
            <w:tcBorders>
              <w:top w:val="single" w:color="000000" w:sz="4" w:space="0"/>
              <w:left w:val="single" w:color="000000" w:sz="4" w:space="0"/>
              <w:bottom w:val="single" w:color="000000" w:sz="4" w:space="0"/>
            </w:tcBorders>
            <w:shd w:val="clear" w:color="auto" w:fill="FFFFFF"/>
            <w:noWrap w:val="0"/>
            <w:vAlign w:val="center"/>
          </w:tcPr>
          <w:p w14:paraId="123CF8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0DD6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000000" w:sz="4" w:space="0"/>
              <w:bottom w:val="single" w:color="000000" w:sz="4" w:space="0"/>
              <w:right w:val="single" w:color="000000" w:sz="4" w:space="0"/>
            </w:tcBorders>
            <w:shd w:val="clear" w:color="auto" w:fill="FFFFFF"/>
            <w:noWrap w:val="0"/>
            <w:vAlign w:val="center"/>
          </w:tcPr>
          <w:p w14:paraId="370CF6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2197"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6BD71B8D">
            <w:pPr>
              <w:jc w:val="center"/>
              <w:rPr>
                <w:rFonts w:hint="eastAsia" w:ascii="仿宋" w:hAnsi="仿宋" w:eastAsia="仿宋" w:cs="仿宋"/>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B27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视频交换运维服务</w:t>
            </w:r>
          </w:p>
        </w:tc>
        <w:tc>
          <w:tcPr>
            <w:tcW w:w="4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52C5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★数据安全交换视频交换运维，服务要求提供系统吞吐量8Gbps以上。并满足以下服务需求：1、支持主流视频协议类型包括：GB28181,DB33,海康,大华,宇视,立元,信产,科达 ,互信互通，华为等；2、能够直接识别各种主流的视频格式，仅允许合法的视频数据通过；3、对视频接入对象进行合法性认证；4、支持多级分布式部署、多节点非对称部署。5、接收管理中心的统一配置管理；向管理中心统一上报状态、业务运行情况。  </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E6B2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721" w:type="dxa"/>
            <w:tcBorders>
              <w:top w:val="single" w:color="000000" w:sz="4" w:space="0"/>
              <w:left w:val="single" w:color="000000" w:sz="4" w:space="0"/>
              <w:bottom w:val="single" w:color="000000" w:sz="4" w:space="0"/>
            </w:tcBorders>
            <w:shd w:val="clear" w:color="auto" w:fill="FFFFFF"/>
            <w:noWrap w:val="0"/>
            <w:vAlign w:val="center"/>
          </w:tcPr>
          <w:p w14:paraId="29EBE4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4D7FA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000000" w:sz="4" w:space="0"/>
              <w:bottom w:val="single" w:color="000000" w:sz="4" w:space="0"/>
              <w:right w:val="single" w:color="000000" w:sz="4" w:space="0"/>
            </w:tcBorders>
            <w:shd w:val="clear" w:color="auto" w:fill="FFFFFF"/>
            <w:noWrap w:val="0"/>
            <w:vAlign w:val="center"/>
          </w:tcPr>
          <w:p w14:paraId="37E320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2197"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78A4919D">
            <w:pPr>
              <w:jc w:val="center"/>
              <w:rPr>
                <w:rFonts w:hint="eastAsia" w:ascii="仿宋" w:hAnsi="仿宋" w:eastAsia="仿宋" w:cs="仿宋"/>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B95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安全隔离与信息交换服务 </w:t>
            </w:r>
          </w:p>
        </w:tc>
        <w:tc>
          <w:tcPr>
            <w:tcW w:w="4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C0F5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数据安全交换运维，服务包含：包括文件交换、FTP访问、数据库交换、邮件传输、安全浏览、安全传输、消息传输模块。</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8C0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721" w:type="dxa"/>
            <w:tcBorders>
              <w:top w:val="single" w:color="000000" w:sz="4" w:space="0"/>
              <w:left w:val="single" w:color="000000" w:sz="4" w:space="0"/>
              <w:bottom w:val="single" w:color="000000" w:sz="4" w:space="0"/>
            </w:tcBorders>
            <w:shd w:val="clear" w:color="auto" w:fill="FFFFFF"/>
            <w:noWrap w:val="0"/>
            <w:vAlign w:val="center"/>
          </w:tcPr>
          <w:p w14:paraId="5F5BBB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E9FB2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000000" w:sz="4" w:space="0"/>
              <w:bottom w:val="single" w:color="000000" w:sz="4" w:space="0"/>
              <w:right w:val="single" w:color="000000" w:sz="4" w:space="0"/>
            </w:tcBorders>
            <w:shd w:val="clear" w:color="auto" w:fill="FFFFFF"/>
            <w:noWrap w:val="0"/>
            <w:vAlign w:val="center"/>
          </w:tcPr>
          <w:p w14:paraId="2E37F7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2197"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117B5560">
            <w:pPr>
              <w:jc w:val="center"/>
              <w:rPr>
                <w:rFonts w:hint="eastAsia" w:ascii="仿宋" w:hAnsi="仿宋" w:eastAsia="仿宋" w:cs="仿宋"/>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9A5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双向管理中心运维服务</w:t>
            </w:r>
          </w:p>
        </w:tc>
        <w:tc>
          <w:tcPr>
            <w:tcW w:w="4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E6B4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安全交换双向管理中心运维服务需求：1、支持节点管理功能，统一配置、管理各个节点。2、支持根据内部负载算法来感知不同节点的负载情况，实现动态负载。支持根据负载情况动态分配任务到各个不同的节点，对节点进行统一调度；节点故障能够及时切换业务 。3、支持对节点设备的运行状态信息、业务运行状况进行感知，实现统一监控。4、支持对各个节点日志进行统一查询、展示功能。节点管理:通过授权进行统一管理，管理40个节点以上。</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421E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721" w:type="dxa"/>
            <w:tcBorders>
              <w:top w:val="single" w:color="000000" w:sz="4" w:space="0"/>
              <w:left w:val="single" w:color="000000" w:sz="4" w:space="0"/>
              <w:bottom w:val="single" w:color="000000" w:sz="4" w:space="0"/>
            </w:tcBorders>
            <w:shd w:val="clear" w:color="auto" w:fill="FFFFFF"/>
            <w:noWrap w:val="0"/>
            <w:vAlign w:val="center"/>
          </w:tcPr>
          <w:p w14:paraId="721D86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98926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000000" w:sz="4" w:space="0"/>
              <w:bottom w:val="single" w:color="000000" w:sz="4" w:space="0"/>
              <w:right w:val="single" w:color="000000" w:sz="4" w:space="0"/>
            </w:tcBorders>
            <w:shd w:val="clear" w:color="auto" w:fill="FFFFFF"/>
            <w:noWrap w:val="0"/>
            <w:vAlign w:val="center"/>
          </w:tcPr>
          <w:p w14:paraId="1C8FCD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2197"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585D4EE2">
            <w:pPr>
              <w:jc w:val="center"/>
              <w:rPr>
                <w:rFonts w:hint="eastAsia" w:ascii="仿宋" w:hAnsi="仿宋" w:eastAsia="仿宋" w:cs="仿宋"/>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DF5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网络层安全防护运维服务</w:t>
            </w:r>
          </w:p>
        </w:tc>
        <w:tc>
          <w:tcPr>
            <w:tcW w:w="4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BCFC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★网络层防护运维，服务要求吞吐量≥48G ； 并发连接数≥2900万  每秒新建连接数≥25万；提供防病毒能力；（含三年病毒库免费升级）、并提供以下服务：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支持持IPv6地址、地址组配置。支持静态路由，动态路由（OSPF、RIP、BGP、ISIS等），VLAN间路由，单臂路由，组播路由等。支持多出口路由情况下的默认路由备份、负载均衡。必须支持基于应用、WEB地址URL、文件类型等的策略路由，可实现为不同的应用类型智能选择相应的智能链路选路；支持ISP路由，支持联通、电信、教育网、移动等ISP服务商地址列表，列表可导出及导入，可通过Web界面选择不同的ISP服务商实现快速切换；支持链路聚合功能，支持802.3ad和静态轮询、热备等多种模式，MAC、MAC&amp;IP、IP&amp;Port多种聚合负载算法；系统内置多系统（≥2）设置可在Web界面完成全部操作，可任意设置系统启动systemA或systemB；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2.支持一体化安全策略配置，可以通过一条策略实现用户认证、IPS、AV、URL过滤、协议控制、流量控制、并发限制、新建限制、垃圾邮件过滤、审计等功能,简化用户管理；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针对策略中的源、目的地址进行新建限制，可以针对单IP(或地址范围)进行新建控制。支持策略命中数显示，并支持通过安全策略命中数范围查询。支持根据规则序号、规则名、源地址、目的地址、入侵防护策略、服务、认证用户、认证用户组、所属策略组、备注进行规则查询。支持服务器负载均衡支持10种算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外发信息的控制，可实现对BBS发帖的限制和关键字过滤；可实现发送微博信息的限制和关键字过滤；可实现对WEB邮件的收发限制和关键字过滤，要求支持5种以上的web邮件系统。；支持入侵场景保留，可记录入侵行为相关的网络数据报文，报文可保存至U盘或某台内网服务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5.支持工业协议控制，支持协议的完整性检查，支持协议分片的控制；支持工业动态协议的NAT和访问控制。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流量呈现增加接口流量统计、新建连接、并发连接统计，支持实时、日、周、月显示；支持内置或外置数据存储介质；支持根据存储时间或硬盘使用率发送告警邮件；支持智能优化存储空间，保证近期数据的可追溯性，且必须支持手动删除保存时间较长的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7.支持对识别SQL Server、MySQL、Oracle、DB2等主流数据库基于用户的细粒度权限控制，支持禁止数据库登录，并可对数据库的Create、alter、insert、update、delete、select、drop等语句进行识别，支持用户名\SQL指令黑白名单，数据库操作可基于用户、sql命令、执行结果记录日志；支持协议命令进行识别和控制，支持针对网页正文关键字、附件文件名、恶意JavaScript代码、BBS关键字、微博内容及附件关键字等信息进行细粒度控制实现对数据库服务器的保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8.支持主流ICMPFLOOD\SYNFLOOD\ACKFLOOD\SYNACKFLOOD\UDPFLOOD攻击防护，采用专业高效的攻击防护算法，非采用简单的阈值进行攻击防护。支持包括后门、服务探测、文件共享、Windows系统补丁、认证等主动式扫描</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6B3C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721" w:type="dxa"/>
            <w:tcBorders>
              <w:top w:val="single" w:color="000000" w:sz="4" w:space="0"/>
              <w:left w:val="single" w:color="000000" w:sz="4" w:space="0"/>
              <w:bottom w:val="single" w:color="000000" w:sz="4" w:space="0"/>
            </w:tcBorders>
            <w:shd w:val="clear" w:color="auto" w:fill="FFFFFF"/>
            <w:noWrap w:val="0"/>
            <w:vAlign w:val="center"/>
          </w:tcPr>
          <w:p w14:paraId="75EF78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C5F3F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000000" w:sz="4" w:space="0"/>
              <w:bottom w:val="single" w:color="000000" w:sz="4" w:space="0"/>
              <w:right w:val="single" w:color="000000" w:sz="4" w:space="0"/>
            </w:tcBorders>
            <w:shd w:val="clear" w:color="auto" w:fill="FFFFFF"/>
            <w:noWrap w:val="0"/>
            <w:vAlign w:val="center"/>
          </w:tcPr>
          <w:p w14:paraId="44B204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2197"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48C68A7A">
            <w:pPr>
              <w:jc w:val="center"/>
              <w:rPr>
                <w:rFonts w:hint="eastAsia" w:ascii="仿宋" w:hAnsi="仿宋" w:eastAsia="仿宋" w:cs="仿宋"/>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921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入侵检测运维服务</w:t>
            </w:r>
          </w:p>
        </w:tc>
        <w:tc>
          <w:tcPr>
            <w:tcW w:w="4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E20C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入侵检测服务要求：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支持发现资产的类型，包括终端、视频设备、办公设备、网络设备、服务器、安全设备、工控设备等；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kafka外发方式支持开启/关闭安全认证，支持的加密套件包括PLAIN、SSL、SASL_SSL方式；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支持程序具备AI引擎自动对攻击进行威胁情报云查，页面自动呈现情报云查信息，查询结果至少包含：威胁等级、标签、威胁类型、IP地址、IP类型、活跃时间、发现时间、国家、地区、运营商、恶意端口等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自定义规则，自定义模式支持基础模式和专家模式；可结合用户业务进行深度检测，自定义内容包括源IP、源端口、目的IP、目的端口、协议、事件威胁等级、主机状态、事件类型、检测方向、攻击阶段、攻击结果、攻击手段；支持关联规则分析，进行双向检测规则编写，页面支持下载自定义规则编写说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系统支持通过web页面导入pcap包离线回放检测功能，支持导入pcap数量不少于100个；导入方式包括：导入单个文件、批量导入多个文件、导入文件夹；支持对导入的pcap单独回放或批量回放；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系统外发日志类型不少于8种，支持在界面上独立设置每种日志类型的外发选项至少包含：事件告警外发、异常连接告警外发、威胁情报告警外发、流数据外发、协议元数据外发、资产数据外发、审计日志外发、导流插件状态外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支持设备系统管理，可通过页面下发诊断对设备关键进程进行监测，同时可一键恢复关键进程，增强设备易用性与运维便捷度。</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D09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721" w:type="dxa"/>
            <w:tcBorders>
              <w:top w:val="single" w:color="000000" w:sz="4" w:space="0"/>
              <w:left w:val="single" w:color="000000" w:sz="4" w:space="0"/>
              <w:bottom w:val="single" w:color="000000" w:sz="4" w:space="0"/>
            </w:tcBorders>
            <w:shd w:val="clear" w:color="auto" w:fill="FFFFFF"/>
            <w:noWrap w:val="0"/>
            <w:vAlign w:val="center"/>
          </w:tcPr>
          <w:p w14:paraId="32F6F3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B3CFC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000000" w:sz="4" w:space="0"/>
              <w:right w:val="single" w:color="000000" w:sz="4" w:space="0"/>
            </w:tcBorders>
            <w:shd w:val="clear" w:color="auto" w:fill="FFFFFF"/>
            <w:noWrap w:val="0"/>
            <w:vAlign w:val="center"/>
          </w:tcPr>
          <w:p w14:paraId="0155BE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2197" w:type="dxa"/>
            <w:vMerge w:val="continue"/>
            <w:tcBorders>
              <w:top w:val="single" w:color="000000" w:sz="4" w:space="0"/>
              <w:left w:val="single" w:color="000000" w:sz="4" w:space="0"/>
              <w:right w:val="single" w:color="000000" w:sz="4" w:space="0"/>
            </w:tcBorders>
            <w:shd w:val="clear" w:color="auto" w:fill="FFFFFF"/>
            <w:noWrap w:val="0"/>
            <w:vAlign w:val="center"/>
          </w:tcPr>
          <w:p w14:paraId="109BE453">
            <w:pPr>
              <w:jc w:val="center"/>
              <w:rPr>
                <w:rFonts w:hint="eastAsia" w:ascii="仿宋" w:hAnsi="仿宋" w:eastAsia="仿宋" w:cs="仿宋"/>
                <w:i w:val="0"/>
                <w:iCs w:val="0"/>
                <w:color w:val="000000"/>
                <w:sz w:val="20"/>
                <w:szCs w:val="20"/>
                <w:u w:val="none"/>
              </w:rPr>
            </w:pPr>
          </w:p>
        </w:tc>
        <w:tc>
          <w:tcPr>
            <w:tcW w:w="425" w:type="dxa"/>
            <w:tcBorders>
              <w:top w:val="single" w:color="000000" w:sz="4" w:space="0"/>
              <w:left w:val="single" w:color="000000" w:sz="4" w:space="0"/>
              <w:right w:val="single" w:color="000000" w:sz="4" w:space="0"/>
            </w:tcBorders>
            <w:shd w:val="clear" w:color="auto" w:fill="auto"/>
            <w:noWrap w:val="0"/>
            <w:vAlign w:val="center"/>
          </w:tcPr>
          <w:p w14:paraId="1DFF8E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应用层安全防护运维服务</w:t>
            </w:r>
          </w:p>
        </w:tc>
        <w:tc>
          <w:tcPr>
            <w:tcW w:w="4785" w:type="dxa"/>
            <w:tcBorders>
              <w:top w:val="single" w:color="000000" w:sz="4" w:space="0"/>
              <w:left w:val="single" w:color="000000" w:sz="4" w:space="0"/>
              <w:right w:val="single" w:color="000000" w:sz="4" w:space="0"/>
            </w:tcBorders>
            <w:shd w:val="clear" w:color="auto" w:fill="auto"/>
            <w:noWrap w:val="0"/>
            <w:vAlign w:val="center"/>
          </w:tcPr>
          <w:p w14:paraId="25B11C3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★应用层安全防护，服务要求网络吞吐量≥60 Gbps，TCP最大并发连接数：≥1500万。并提供以下服务：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1、支持DHCP功能，包括DHCP服务器和DHCP中继功能。并可以作为客户端获得IP地址，满足客户自动化管理的需要。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2、支持自定义事件升级内容。针对新增加的事件特征，针对不同级别的事件，用户可以选择是否自动升级到自定义策略中。升级界面中至少包含高中低三种级别事件的升级启用选项。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3、系统应支持弱口令检测功能，需支持至少不小于8种网络协议并支持至少不小于7种弱口令检测元素，并文字说明支持的网络协议和定义弱口令的检测元素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系统需具有多种防web扫描能力，防止攻击者通过扫描发现Web网站中的缺陷从而发起精确攻击，至少包括如下能力：防爬虫、防止CGI和漏洞扫描等，并支持阻断扫描行为和并记录日志，系统支持设置至少4个级别的扫描容忍度/扫描敏感度，方便安全管理者采用不同安全级别的行为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5、提供在线管理员数目限制和管理员唯一性检查功能，提高系统管理的安全性。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6、系统应支持威胁分析功能，通过与威胁情报、NFT全流取证、网络负载、内置解码工具、事件处理流程、事件性质判定等信息综合对威胁进行分析判断。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7、系统应内置不少于5种日志外发模板，至少兼容能源行业和全国信息安全标准化技术委员会发布的网络安全产品互联互通告警信息格式，应支持自定义日志发送格式，包括自定义分隔符、连字符，字段名称等。</w:t>
            </w:r>
          </w:p>
        </w:tc>
        <w:tc>
          <w:tcPr>
            <w:tcW w:w="493" w:type="dxa"/>
            <w:tcBorders>
              <w:top w:val="single" w:color="000000" w:sz="4" w:space="0"/>
              <w:left w:val="single" w:color="000000" w:sz="4" w:space="0"/>
              <w:right w:val="single" w:color="000000" w:sz="4" w:space="0"/>
            </w:tcBorders>
            <w:shd w:val="clear" w:color="auto" w:fill="FFFFFF"/>
            <w:noWrap w:val="0"/>
            <w:vAlign w:val="center"/>
          </w:tcPr>
          <w:p w14:paraId="3CEF88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721" w:type="dxa"/>
            <w:tcBorders>
              <w:top w:val="single" w:color="000000" w:sz="4" w:space="0"/>
              <w:left w:val="single" w:color="000000" w:sz="4" w:space="0"/>
            </w:tcBorders>
            <w:shd w:val="clear" w:color="auto" w:fill="FFFFFF"/>
            <w:noWrap w:val="0"/>
            <w:vAlign w:val="center"/>
          </w:tcPr>
          <w:p w14:paraId="02BD77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bl>
    <w:p w14:paraId="3235B946">
      <w:pPr>
        <w:pStyle w:val="28"/>
        <w:snapToGrid w:val="0"/>
        <w:spacing w:before="156" w:after="156"/>
        <w:ind w:left="0" w:leftChars="0" w:right="26" w:firstLine="420" w:firstLineChars="175"/>
        <w:rPr>
          <w:rFonts w:hint="eastAsia" w:ascii="仿宋" w:hAnsi="仿宋" w:eastAsia="仿宋" w:cs="仿宋"/>
          <w:sz w:val="24"/>
          <w:szCs w:val="24"/>
          <w:highlight w:val="none"/>
          <w:lang w:val="en-US" w:eastAsia="zh-CN"/>
        </w:rPr>
      </w:pPr>
      <w:bookmarkStart w:id="121" w:name="_Toc534816638"/>
      <w:bookmarkStart w:id="122" w:name="_Toc534725609"/>
    </w:p>
    <w:bookmarkEnd w:id="121"/>
    <w:bookmarkEnd w:id="122"/>
    <w:p w14:paraId="4DBEFB54">
      <w:pPr>
        <w:pStyle w:val="28"/>
        <w:snapToGrid w:val="0"/>
        <w:spacing w:before="156" w:after="156"/>
        <w:ind w:left="0" w:leftChars="0" w:right="26" w:firstLine="420" w:firstLineChars="17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二、商务条款</w:t>
      </w:r>
    </w:p>
    <w:p w14:paraId="214C51D8">
      <w:pPr>
        <w:pStyle w:val="28"/>
        <w:snapToGrid w:val="0"/>
        <w:spacing w:before="156" w:after="156"/>
        <w:ind w:left="0" w:leftChars="0" w:right="26" w:firstLine="420" w:firstLineChars="17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服务期12个月。（可在需求不发生变化，且采购单位预算充足的情况下，根据相关政策以及中标人服务质量与中标人续签下一年合同，最多续签两年）。</w:t>
      </w:r>
    </w:p>
    <w:p w14:paraId="7FAE3B7D">
      <w:pPr>
        <w:pStyle w:val="28"/>
        <w:snapToGrid w:val="0"/>
        <w:spacing w:before="156" w:after="156"/>
        <w:ind w:left="0" w:leftChars="0" w:right="26" w:firstLine="420"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．交付期、交付方式及交付地点</w:t>
      </w:r>
    </w:p>
    <w:p w14:paraId="686C8D4F">
      <w:pPr>
        <w:pStyle w:val="28"/>
        <w:snapToGrid w:val="0"/>
        <w:spacing w:before="156" w:after="156"/>
        <w:ind w:left="0" w:leftChars="0" w:right="26" w:firstLine="420" w:firstLineChars="175"/>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.1 交付期：</w:t>
      </w:r>
      <w:r>
        <w:rPr>
          <w:rFonts w:hint="eastAsia" w:ascii="仿宋" w:hAnsi="仿宋" w:eastAsia="仿宋" w:cs="仿宋"/>
          <w:sz w:val="24"/>
          <w:szCs w:val="24"/>
          <w:highlight w:val="none"/>
          <w:lang w:val="en-US" w:eastAsia="zh-CN"/>
        </w:rPr>
        <w:t>移动执法终端的运行保障及维修替换服务需自合同签订之日起30个工作日内完成。</w:t>
      </w:r>
    </w:p>
    <w:p w14:paraId="4599EDE6">
      <w:pPr>
        <w:pStyle w:val="28"/>
        <w:snapToGrid w:val="0"/>
        <w:spacing w:before="156" w:after="156"/>
        <w:ind w:left="0" w:leftChars="0" w:right="26" w:firstLine="420"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.2 交付方式：采购人指定。</w:t>
      </w:r>
    </w:p>
    <w:p w14:paraId="2C0D1FBD">
      <w:pPr>
        <w:pStyle w:val="28"/>
        <w:snapToGrid w:val="0"/>
        <w:spacing w:before="156" w:after="156"/>
        <w:ind w:left="0" w:leftChars="0" w:right="26" w:firstLine="420"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.3 交付地点：采购人指定。</w:t>
      </w:r>
    </w:p>
    <w:p w14:paraId="4FA7CF09">
      <w:pPr>
        <w:pStyle w:val="28"/>
        <w:snapToGrid w:val="0"/>
        <w:spacing w:before="156" w:after="156"/>
        <w:ind w:left="0" w:leftChars="0" w:right="26" w:firstLine="420"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．货款支付</w:t>
      </w:r>
    </w:p>
    <w:p w14:paraId="44748BFE">
      <w:pPr>
        <w:pStyle w:val="28"/>
        <w:snapToGrid w:val="0"/>
        <w:spacing w:before="156" w:after="156"/>
        <w:ind w:left="0" w:leftChars="0" w:right="26" w:firstLine="420"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.1 第一次付款：</w:t>
      </w:r>
      <w:r>
        <w:rPr>
          <w:rFonts w:hint="eastAsia" w:ascii="仿宋" w:hAnsi="仿宋" w:eastAsia="仿宋" w:cs="仿宋"/>
          <w:sz w:val="24"/>
          <w:szCs w:val="24"/>
          <w:highlight w:val="none"/>
          <w:lang w:val="en-US" w:eastAsia="zh-CN"/>
        </w:rPr>
        <w:t>签订合同后</w:t>
      </w:r>
      <w:r>
        <w:rPr>
          <w:rFonts w:hint="eastAsia" w:ascii="仿宋" w:hAnsi="仿宋" w:eastAsia="仿宋" w:cs="仿宋"/>
          <w:sz w:val="24"/>
          <w:szCs w:val="24"/>
          <w:highlight w:val="none"/>
        </w:rPr>
        <w:t>，支付合同金额的</w:t>
      </w:r>
      <w:r>
        <w:rPr>
          <w:rFonts w:hint="eastAsia" w:ascii="仿宋" w:hAnsi="仿宋" w:eastAsia="仿宋" w:cs="仿宋"/>
          <w:sz w:val="24"/>
          <w:szCs w:val="24"/>
          <w:highlight w:val="none"/>
          <w:lang w:val="en-US" w:eastAsia="zh-CN"/>
        </w:rPr>
        <w:t>80</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lang w:val="en-US" w:eastAsia="zh-CN"/>
        </w:rPr>
        <w:t>预付款</w:t>
      </w:r>
      <w:r>
        <w:rPr>
          <w:rFonts w:hint="eastAsia" w:ascii="仿宋" w:hAnsi="仿宋" w:eastAsia="仿宋" w:cs="仿宋"/>
          <w:sz w:val="24"/>
          <w:szCs w:val="24"/>
          <w:highlight w:val="none"/>
        </w:rPr>
        <w:t>。</w:t>
      </w:r>
    </w:p>
    <w:p w14:paraId="1DC3FB58">
      <w:pPr>
        <w:pStyle w:val="28"/>
        <w:snapToGrid w:val="0"/>
        <w:spacing w:before="156" w:after="156"/>
        <w:ind w:left="0" w:leftChars="0" w:right="26" w:firstLine="420"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.2 第二次付款：根据甲方内部管理规定，满足终验条件，乙方提交全部验收材料，通过甲方组织的验收后，支付至合同金额的 100%。</w:t>
      </w:r>
    </w:p>
    <w:p w14:paraId="4D76C8F7">
      <w:pPr>
        <w:pStyle w:val="28"/>
        <w:snapToGrid w:val="0"/>
        <w:spacing w:before="156" w:after="156"/>
        <w:ind w:left="0" w:leftChars="0" w:right="26" w:firstLine="420" w:firstLineChars="17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rPr>
        <w:t xml:space="preserve">3.3 </w:t>
      </w:r>
      <w:r>
        <w:rPr>
          <w:rFonts w:hint="eastAsia" w:ascii="仿宋" w:hAnsi="仿宋" w:eastAsia="仿宋" w:cs="仿宋"/>
          <w:sz w:val="24"/>
          <w:szCs w:val="24"/>
          <w:highlight w:val="none"/>
          <w:lang w:val="en-US" w:eastAsia="zh-CN"/>
        </w:rPr>
        <w:t>在预算和资金不变的情况下，本合同续展两年。</w:t>
      </w:r>
    </w:p>
    <w:p w14:paraId="004E0EF6">
      <w:pPr>
        <w:pStyle w:val="28"/>
        <w:snapToGrid w:val="0"/>
        <w:spacing w:before="156" w:after="156"/>
        <w:ind w:left="0" w:leftChars="0" w:right="26" w:firstLine="420" w:firstLineChars="175"/>
        <w:rPr>
          <w:rFonts w:hint="eastAsia" w:ascii="仿宋" w:hAnsi="仿宋" w:eastAsia="仿宋" w:cs="仿宋"/>
          <w:sz w:val="24"/>
          <w:szCs w:val="24"/>
          <w:highlight w:val="none"/>
          <w:lang w:val="en-US" w:eastAsia="zh-CN"/>
        </w:rPr>
      </w:pPr>
    </w:p>
    <w:p w14:paraId="006DFB43">
      <w:pPr>
        <w:pStyle w:val="28"/>
        <w:snapToGrid w:val="0"/>
        <w:spacing w:before="156" w:after="156"/>
        <w:ind w:left="0" w:leftChars="0" w:right="26" w:firstLine="420" w:firstLineChars="175"/>
        <w:rPr>
          <w:rFonts w:hint="eastAsia" w:ascii="仿宋" w:hAnsi="仿宋" w:eastAsia="仿宋" w:cs="仿宋"/>
          <w:sz w:val="24"/>
          <w:szCs w:val="24"/>
          <w:highlight w:val="none"/>
          <w:lang w:val="en-US" w:eastAsia="zh-CN"/>
        </w:rPr>
      </w:pPr>
    </w:p>
    <w:p w14:paraId="30AAF043">
      <w:pPr>
        <w:pStyle w:val="28"/>
        <w:snapToGrid w:val="0"/>
        <w:spacing w:before="156" w:after="156"/>
        <w:ind w:left="0" w:leftChars="0" w:right="26" w:firstLine="420" w:firstLineChars="175"/>
        <w:rPr>
          <w:rFonts w:hint="eastAsia" w:ascii="仿宋" w:hAnsi="仿宋" w:eastAsia="仿宋" w:cs="仿宋"/>
          <w:sz w:val="24"/>
          <w:szCs w:val="24"/>
          <w:highlight w:val="none"/>
          <w:lang w:val="en-US" w:eastAsia="zh-CN"/>
        </w:rPr>
      </w:pPr>
    </w:p>
    <w:p w14:paraId="39D1D17B">
      <w:pPr>
        <w:pStyle w:val="28"/>
        <w:snapToGrid w:val="0"/>
        <w:spacing w:before="156" w:after="156"/>
        <w:ind w:left="0" w:leftChars="0" w:right="26" w:firstLine="420" w:firstLineChars="175"/>
        <w:rPr>
          <w:rFonts w:hint="eastAsia" w:ascii="仿宋" w:hAnsi="仿宋" w:eastAsia="仿宋" w:cs="仿宋"/>
          <w:sz w:val="24"/>
          <w:szCs w:val="24"/>
          <w:highlight w:val="none"/>
          <w:lang w:val="en-US" w:eastAsia="zh-CN"/>
        </w:rPr>
      </w:pPr>
    </w:p>
    <w:p w14:paraId="6A6A5E95">
      <w:pPr>
        <w:pStyle w:val="28"/>
        <w:snapToGrid w:val="0"/>
        <w:spacing w:before="156" w:after="156"/>
        <w:ind w:left="0" w:leftChars="0" w:right="26" w:firstLine="420" w:firstLineChars="175"/>
        <w:rPr>
          <w:rFonts w:hint="eastAsia" w:ascii="仿宋" w:hAnsi="仿宋" w:eastAsia="仿宋" w:cs="仿宋"/>
          <w:sz w:val="24"/>
          <w:szCs w:val="24"/>
          <w:highlight w:val="none"/>
          <w:lang w:val="en-US" w:eastAsia="zh-CN"/>
        </w:rPr>
      </w:pPr>
    </w:p>
    <w:p w14:paraId="7937FC1B">
      <w:pPr>
        <w:pStyle w:val="28"/>
        <w:snapToGrid w:val="0"/>
        <w:spacing w:before="156" w:after="156"/>
        <w:ind w:left="0" w:leftChars="0" w:right="26" w:firstLine="420" w:firstLineChars="175"/>
        <w:rPr>
          <w:rFonts w:hint="eastAsia" w:ascii="仿宋" w:hAnsi="仿宋" w:eastAsia="仿宋" w:cs="仿宋"/>
          <w:sz w:val="24"/>
          <w:szCs w:val="24"/>
          <w:highlight w:val="none"/>
          <w:lang w:val="en-US" w:eastAsia="zh-CN"/>
        </w:rPr>
      </w:pPr>
    </w:p>
    <w:p w14:paraId="1F434470">
      <w:pPr>
        <w:pStyle w:val="28"/>
        <w:snapToGrid w:val="0"/>
        <w:spacing w:before="156" w:after="156"/>
        <w:ind w:left="0" w:leftChars="0" w:right="26" w:firstLine="632" w:firstLineChars="175"/>
        <w:jc w:val="center"/>
        <w:rPr>
          <w:rFonts w:hint="eastAsia" w:ascii="仿宋" w:hAnsi="仿宋" w:eastAsia="仿宋" w:cs="仿宋"/>
          <w:color w:val="auto"/>
          <w:sz w:val="24"/>
          <w:highlight w:val="none"/>
        </w:rPr>
      </w:pPr>
      <w:r>
        <w:rPr>
          <w:rFonts w:hint="eastAsia" w:ascii="仿宋" w:hAnsi="仿宋" w:eastAsia="仿宋" w:cs="仿宋"/>
          <w:b/>
          <w:bCs/>
          <w:color w:val="auto"/>
          <w:sz w:val="36"/>
          <w:szCs w:val="36"/>
          <w:highlight w:val="none"/>
        </w:rPr>
        <w:t>第</w:t>
      </w:r>
      <w:r>
        <w:rPr>
          <w:rFonts w:hint="eastAsia" w:ascii="仿宋" w:hAnsi="仿宋" w:eastAsia="仿宋" w:cs="仿宋"/>
          <w:b/>
          <w:bCs/>
          <w:color w:val="auto"/>
          <w:sz w:val="36"/>
          <w:szCs w:val="36"/>
          <w:highlight w:val="none"/>
          <w:lang w:val="en-US" w:eastAsia="zh-CN"/>
        </w:rPr>
        <w:t>四</w:t>
      </w:r>
      <w:r>
        <w:rPr>
          <w:rFonts w:hint="eastAsia" w:ascii="仿宋" w:hAnsi="仿宋" w:eastAsia="仿宋" w:cs="仿宋"/>
          <w:b/>
          <w:bCs/>
          <w:color w:val="auto"/>
          <w:sz w:val="36"/>
          <w:szCs w:val="36"/>
          <w:highlight w:val="none"/>
        </w:rPr>
        <w:t xml:space="preserve">章  </w:t>
      </w:r>
      <w:bookmarkEnd w:id="70"/>
      <w:bookmarkEnd w:id="71"/>
      <w:bookmarkEnd w:id="72"/>
      <w:bookmarkEnd w:id="73"/>
      <w:bookmarkEnd w:id="74"/>
      <w:bookmarkEnd w:id="75"/>
      <w:bookmarkEnd w:id="76"/>
      <w:bookmarkEnd w:id="77"/>
      <w:bookmarkEnd w:id="78"/>
      <w:bookmarkEnd w:id="79"/>
      <w:bookmarkEnd w:id="80"/>
      <w:bookmarkEnd w:id="81"/>
      <w:bookmarkEnd w:id="82"/>
      <w:bookmarkStart w:id="123" w:name="_Toc17546"/>
      <w:bookmarkStart w:id="124" w:name="_Toc25217"/>
      <w:bookmarkStart w:id="125" w:name="_Toc29040"/>
      <w:bookmarkStart w:id="126" w:name="_Toc381970843"/>
      <w:r>
        <w:rPr>
          <w:rFonts w:hint="eastAsia" w:ascii="仿宋" w:hAnsi="仿宋" w:eastAsia="仿宋" w:cs="仿宋"/>
          <w:b/>
          <w:bCs w:val="0"/>
          <w:color w:val="auto"/>
          <w:sz w:val="36"/>
          <w:szCs w:val="36"/>
          <w:highlight w:val="none"/>
          <w:lang w:val="en-US" w:eastAsia="zh-CN"/>
        </w:rPr>
        <w:t>合同条款及格式</w:t>
      </w:r>
      <w:r>
        <w:rPr>
          <w:rFonts w:hint="eastAsia" w:ascii="仿宋" w:hAnsi="仿宋" w:eastAsia="仿宋" w:cs="仿宋"/>
          <w:b/>
          <w:bCs w:val="0"/>
          <w:color w:val="auto"/>
          <w:sz w:val="36"/>
          <w:szCs w:val="36"/>
          <w:highlight w:val="none"/>
          <w:lang w:eastAsia="zh-CN"/>
        </w:rPr>
        <w:t>（</w:t>
      </w:r>
      <w:r>
        <w:rPr>
          <w:rFonts w:hint="eastAsia" w:ascii="仿宋" w:hAnsi="仿宋" w:eastAsia="仿宋" w:cs="仿宋"/>
          <w:b/>
          <w:bCs/>
          <w:spacing w:val="9"/>
          <w:sz w:val="36"/>
          <w:szCs w:val="36"/>
          <w:lang w:val="en-US" w:eastAsia="zh-CN"/>
        </w:rPr>
        <w:t>仅供参考</w:t>
      </w:r>
      <w:r>
        <w:rPr>
          <w:rFonts w:hint="eastAsia" w:ascii="仿宋" w:hAnsi="仿宋" w:eastAsia="仿宋" w:cs="仿宋"/>
          <w:b/>
          <w:bCs w:val="0"/>
          <w:color w:val="auto"/>
          <w:sz w:val="36"/>
          <w:szCs w:val="36"/>
          <w:highlight w:val="none"/>
          <w:lang w:eastAsia="zh-CN"/>
        </w:rPr>
        <w:t>）</w:t>
      </w:r>
    </w:p>
    <w:p w14:paraId="68617616">
      <w:pPr>
        <w:spacing w:before="218" w:line="240" w:lineRule="auto"/>
        <w:ind w:firstLine="480" w:firstLineChars="200"/>
        <w:jc w:val="left"/>
        <w:rPr>
          <w:rFonts w:hint="eastAsia" w:ascii="仿宋" w:hAnsi="仿宋" w:eastAsia="仿宋" w:cs="仿宋"/>
          <w:color w:val="auto"/>
          <w:sz w:val="24"/>
          <w:highlight w:val="none"/>
        </w:rPr>
      </w:pPr>
    </w:p>
    <w:p w14:paraId="643F56DE">
      <w:pPr>
        <w:spacing w:before="218" w:line="360" w:lineRule="auto"/>
        <w:ind w:firstLine="480" w:firstLineChars="200"/>
        <w:jc w:val="left"/>
        <w:rPr>
          <w:rFonts w:hint="eastAsia" w:ascii="仿宋" w:hAnsi="仿宋" w:eastAsia="仿宋" w:cs="仿宋"/>
          <w:b/>
          <w:bCs/>
          <w:color w:val="000000"/>
          <w:sz w:val="28"/>
          <w:szCs w:val="28"/>
          <w:highlight w:val="none"/>
        </w:rPr>
      </w:pPr>
      <w:r>
        <w:rPr>
          <w:rFonts w:hint="eastAsia" w:ascii="仿宋" w:hAnsi="仿宋" w:eastAsia="仿宋" w:cs="仿宋"/>
          <w:color w:val="auto"/>
          <w:sz w:val="24"/>
          <w:highlight w:val="none"/>
        </w:rPr>
        <w:t>合同编号：</w:t>
      </w:r>
      <w:r>
        <w:rPr>
          <w:rFonts w:hint="eastAsia" w:ascii="仿宋" w:hAnsi="仿宋" w:eastAsia="仿宋" w:cs="仿宋"/>
          <w:color w:val="auto"/>
          <w:sz w:val="24"/>
          <w:highlight w:val="none"/>
          <w:u w:val="single"/>
          <w:lang w:val="en-US" w:eastAsia="zh-CN"/>
        </w:rPr>
        <w:t xml:space="preserve">                  </w:t>
      </w:r>
    </w:p>
    <w:p w14:paraId="557B38AD">
      <w:pPr>
        <w:keepNext w:val="0"/>
        <w:keepLines w:val="0"/>
        <w:pageBreakBefore w:val="0"/>
        <w:widowControl w:val="0"/>
        <w:kinsoku/>
        <w:wordWrap/>
        <w:overflowPunct/>
        <w:topLinePunct w:val="0"/>
        <w:autoSpaceDE/>
        <w:autoSpaceDN/>
        <w:bidi w:val="0"/>
        <w:adjustRightInd/>
        <w:snapToGrid/>
        <w:spacing w:before="291" w:line="300" w:lineRule="auto"/>
        <w:ind w:left="6030"/>
        <w:textAlignment w:val="auto"/>
        <w:rPr>
          <w:rFonts w:hint="eastAsia" w:ascii="仿宋" w:hAnsi="仿宋" w:eastAsia="仿宋" w:cs="仿宋"/>
          <w:color w:val="000000"/>
          <w:spacing w:val="-4"/>
          <w:sz w:val="24"/>
          <w:szCs w:val="24"/>
          <w:highlight w:val="none"/>
        </w:rPr>
      </w:pPr>
    </w:p>
    <w:p w14:paraId="2A62A09F">
      <w:pPr>
        <w:pStyle w:val="22"/>
        <w:spacing w:before="150" w:line="187" w:lineRule="auto"/>
        <w:jc w:val="both"/>
        <w:outlineLvl w:val="0"/>
        <w:rPr>
          <w:rFonts w:hint="eastAsia" w:ascii="仿宋" w:hAnsi="仿宋" w:eastAsia="仿宋" w:cs="仿宋"/>
          <w:b/>
          <w:bCs/>
          <w:spacing w:val="9"/>
          <w:sz w:val="32"/>
          <w:szCs w:val="32"/>
        </w:rPr>
      </w:pPr>
    </w:p>
    <w:p w14:paraId="108F3A10">
      <w:pPr>
        <w:pStyle w:val="22"/>
        <w:spacing w:before="150" w:line="187" w:lineRule="auto"/>
        <w:jc w:val="center"/>
        <w:outlineLvl w:val="0"/>
        <w:rPr>
          <w:rFonts w:hint="eastAsia" w:ascii="仿宋" w:hAnsi="仿宋" w:eastAsia="仿宋" w:cs="仿宋"/>
          <w:sz w:val="32"/>
          <w:szCs w:val="32"/>
        </w:rPr>
      </w:pPr>
      <w:r>
        <w:rPr>
          <w:rFonts w:hint="eastAsia" w:ascii="仿宋" w:hAnsi="仿宋" w:eastAsia="仿宋" w:cs="仿宋"/>
          <w:b/>
          <w:bCs/>
          <w:spacing w:val="9"/>
          <w:sz w:val="32"/>
          <w:szCs w:val="32"/>
        </w:rPr>
        <w:t>政府采购合同</w:t>
      </w:r>
    </w:p>
    <w:p w14:paraId="62B71584">
      <w:pPr>
        <w:pStyle w:val="22"/>
        <w:spacing w:before="234" w:line="225" w:lineRule="auto"/>
        <w:jc w:val="center"/>
        <w:rPr>
          <w:rFonts w:hint="eastAsia" w:ascii="仿宋" w:hAnsi="仿宋" w:eastAsia="仿宋" w:cs="仿宋"/>
          <w:sz w:val="24"/>
          <w:szCs w:val="24"/>
        </w:rPr>
      </w:pPr>
    </w:p>
    <w:p w14:paraId="64723F04">
      <w:pPr>
        <w:spacing w:line="289" w:lineRule="auto"/>
        <w:rPr>
          <w:rFonts w:hint="eastAsia" w:ascii="仿宋" w:hAnsi="仿宋" w:eastAsia="仿宋" w:cs="仿宋"/>
          <w:sz w:val="21"/>
        </w:rPr>
      </w:pPr>
    </w:p>
    <w:p w14:paraId="3A5BB22D">
      <w:pPr>
        <w:spacing w:line="290" w:lineRule="auto"/>
        <w:rPr>
          <w:rFonts w:hint="eastAsia" w:ascii="仿宋" w:hAnsi="仿宋" w:eastAsia="仿宋" w:cs="仿宋"/>
          <w:sz w:val="21"/>
        </w:rPr>
      </w:pPr>
    </w:p>
    <w:p w14:paraId="0F8A1276">
      <w:pPr>
        <w:spacing w:line="290" w:lineRule="auto"/>
        <w:rPr>
          <w:rFonts w:hint="eastAsia" w:ascii="仿宋" w:hAnsi="仿宋" w:eastAsia="仿宋" w:cs="仿宋"/>
          <w:sz w:val="21"/>
        </w:rPr>
      </w:pPr>
    </w:p>
    <w:p w14:paraId="02C65230">
      <w:pPr>
        <w:spacing w:line="290" w:lineRule="auto"/>
        <w:rPr>
          <w:rFonts w:hint="eastAsia" w:ascii="仿宋" w:hAnsi="仿宋" w:eastAsia="仿宋" w:cs="仿宋"/>
          <w:sz w:val="21"/>
        </w:rPr>
      </w:pPr>
    </w:p>
    <w:p w14:paraId="3CBCECFB">
      <w:pPr>
        <w:spacing w:line="243" w:lineRule="auto"/>
        <w:rPr>
          <w:rFonts w:hint="eastAsia" w:ascii="仿宋" w:hAnsi="仿宋" w:eastAsia="仿宋" w:cs="仿宋"/>
          <w:sz w:val="21"/>
        </w:rPr>
      </w:pPr>
    </w:p>
    <w:p w14:paraId="18A26908">
      <w:pPr>
        <w:spacing w:line="243" w:lineRule="auto"/>
        <w:rPr>
          <w:rFonts w:hint="eastAsia" w:ascii="仿宋" w:hAnsi="仿宋" w:eastAsia="仿宋" w:cs="仿宋"/>
          <w:sz w:val="21"/>
        </w:rPr>
      </w:pPr>
    </w:p>
    <w:p w14:paraId="5A521482">
      <w:pPr>
        <w:spacing w:line="244" w:lineRule="auto"/>
        <w:rPr>
          <w:rFonts w:hint="eastAsia" w:ascii="仿宋" w:hAnsi="仿宋" w:eastAsia="仿宋" w:cs="仿宋"/>
          <w:sz w:val="21"/>
        </w:rPr>
      </w:pPr>
    </w:p>
    <w:p w14:paraId="43562998">
      <w:pPr>
        <w:spacing w:line="244" w:lineRule="auto"/>
        <w:rPr>
          <w:rFonts w:hint="eastAsia" w:ascii="仿宋" w:hAnsi="仿宋" w:eastAsia="仿宋" w:cs="仿宋"/>
          <w:sz w:val="21"/>
        </w:rPr>
      </w:pPr>
    </w:p>
    <w:p w14:paraId="73ED4E68">
      <w:pPr>
        <w:spacing w:line="244" w:lineRule="auto"/>
        <w:rPr>
          <w:rFonts w:hint="eastAsia" w:ascii="仿宋" w:hAnsi="仿宋" w:eastAsia="仿宋" w:cs="仿宋"/>
          <w:sz w:val="21"/>
        </w:rPr>
      </w:pPr>
    </w:p>
    <w:p w14:paraId="7BFAA700">
      <w:pPr>
        <w:spacing w:line="244" w:lineRule="auto"/>
        <w:rPr>
          <w:rFonts w:hint="eastAsia" w:ascii="仿宋" w:hAnsi="仿宋" w:eastAsia="仿宋" w:cs="仿宋"/>
          <w:sz w:val="21"/>
        </w:rPr>
      </w:pPr>
    </w:p>
    <w:p w14:paraId="4A3FBAE8">
      <w:pPr>
        <w:spacing w:before="120" w:line="22" w:lineRule="atLeast"/>
        <w:ind w:left="96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B949B17">
      <w:pPr>
        <w:pStyle w:val="165"/>
        <w:spacing w:before="120" w:line="22" w:lineRule="atLeast"/>
        <w:rPr>
          <w:rFonts w:hint="eastAsia" w:ascii="仿宋" w:hAnsi="仿宋" w:eastAsia="仿宋" w:cs="仿宋"/>
          <w:color w:val="auto"/>
          <w:szCs w:val="24"/>
          <w:highlight w:val="none"/>
        </w:rPr>
      </w:pPr>
    </w:p>
    <w:p w14:paraId="4F63216E">
      <w:pPr>
        <w:rPr>
          <w:rFonts w:hint="eastAsia" w:ascii="仿宋" w:hAnsi="仿宋" w:eastAsia="仿宋" w:cs="仿宋"/>
          <w:color w:val="auto"/>
          <w:highlight w:val="none"/>
        </w:rPr>
      </w:pPr>
    </w:p>
    <w:p w14:paraId="5E6D2540">
      <w:pPr>
        <w:spacing w:before="120" w:line="22" w:lineRule="atLeast"/>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方：</w:t>
      </w:r>
      <w:r>
        <w:rPr>
          <w:rFonts w:hint="eastAsia" w:ascii="仿宋" w:hAnsi="仿宋" w:eastAsia="仿宋" w:cs="仿宋"/>
          <w:color w:val="auto"/>
          <w:sz w:val="24"/>
          <w:highlight w:val="none"/>
          <w:u w:val="single"/>
        </w:rPr>
        <w:t xml:space="preserve">                                       </w:t>
      </w:r>
    </w:p>
    <w:p w14:paraId="67355415">
      <w:pPr>
        <w:spacing w:before="120" w:line="22" w:lineRule="atLeast"/>
        <w:rPr>
          <w:rFonts w:hint="eastAsia" w:ascii="仿宋" w:hAnsi="仿宋" w:eastAsia="仿宋" w:cs="仿宋"/>
          <w:color w:val="auto"/>
          <w:sz w:val="24"/>
          <w:highlight w:val="none"/>
        </w:rPr>
      </w:pPr>
    </w:p>
    <w:p w14:paraId="043A186F">
      <w:pPr>
        <w:spacing w:before="120" w:line="22" w:lineRule="atLeast"/>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乙</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方：</w:t>
      </w:r>
      <w:r>
        <w:rPr>
          <w:rFonts w:hint="eastAsia" w:ascii="仿宋" w:hAnsi="仿宋" w:eastAsia="仿宋" w:cs="仿宋"/>
          <w:color w:val="auto"/>
          <w:sz w:val="24"/>
          <w:highlight w:val="none"/>
          <w:u w:val="single"/>
        </w:rPr>
        <w:t xml:space="preserve">                                       </w:t>
      </w:r>
    </w:p>
    <w:p w14:paraId="0FF3495D">
      <w:pPr>
        <w:spacing w:before="120" w:line="22" w:lineRule="atLeast"/>
        <w:rPr>
          <w:rFonts w:hint="eastAsia" w:ascii="仿宋" w:hAnsi="仿宋" w:eastAsia="仿宋" w:cs="仿宋"/>
          <w:color w:val="auto"/>
          <w:sz w:val="24"/>
          <w:highlight w:val="none"/>
        </w:rPr>
      </w:pPr>
    </w:p>
    <w:p w14:paraId="1F483D75">
      <w:pPr>
        <w:spacing w:before="120" w:line="22" w:lineRule="atLeast"/>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订</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15D5A061">
      <w:pPr>
        <w:spacing w:before="120" w:line="22"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2E4FEFA7">
      <w:pPr>
        <w:spacing w:line="480" w:lineRule="auto"/>
        <w:ind w:firstLine="960" w:firstLineChars="400"/>
        <w:jc w:val="left"/>
        <w:rPr>
          <w:rFonts w:hint="eastAsia" w:ascii="仿宋" w:hAnsi="仿宋" w:eastAsia="仿宋" w:cs="仿宋"/>
          <w:b/>
          <w:bCs/>
          <w:sz w:val="24"/>
          <w:szCs w:val="24"/>
          <w:u w:val="single"/>
          <w:lang w:val="en-US" w:eastAsia="zh-CN"/>
        </w:rPr>
      </w:pPr>
      <w:r>
        <w:rPr>
          <w:rFonts w:hint="eastAsia" w:ascii="仿宋" w:hAnsi="仿宋" w:eastAsia="仿宋" w:cs="仿宋"/>
          <w:color w:val="auto"/>
          <w:sz w:val="24"/>
          <w:highlight w:val="none"/>
        </w:rPr>
        <w:t>签订日期</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u w:val="none"/>
          <w:lang w:val="en-US" w:eastAsia="zh-CN"/>
        </w:rPr>
        <w:t xml:space="preserve">月   </w:t>
      </w:r>
      <w:r>
        <w:rPr>
          <w:rFonts w:hint="eastAsia" w:ascii="仿宋" w:hAnsi="仿宋" w:eastAsia="仿宋" w:cs="仿宋"/>
          <w:color w:val="auto"/>
          <w:sz w:val="24"/>
          <w:highlight w:val="none"/>
          <w:u w:val="none"/>
        </w:rPr>
        <w:t>日</w:t>
      </w:r>
    </w:p>
    <w:p w14:paraId="680E5454">
      <w:pPr>
        <w:spacing w:line="360" w:lineRule="auto"/>
        <w:ind w:firstLine="1205" w:firstLineChars="500"/>
        <w:jc w:val="left"/>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u w:val="single"/>
          <w:lang w:val="en-US" w:eastAsia="zh-CN"/>
        </w:rPr>
        <w:t xml:space="preserve">           </w:t>
      </w:r>
    </w:p>
    <w:p w14:paraId="33B4C7BB">
      <w:pPr>
        <w:spacing w:line="240" w:lineRule="auto"/>
        <w:jc w:val="center"/>
        <w:rPr>
          <w:rFonts w:hint="eastAsia" w:ascii="仿宋" w:hAnsi="仿宋" w:eastAsia="仿宋" w:cs="仿宋"/>
          <w:b/>
          <w:color w:val="auto"/>
          <w:sz w:val="28"/>
          <w:szCs w:val="28"/>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color w:val="auto"/>
          <w:sz w:val="28"/>
          <w:szCs w:val="28"/>
          <w:highlight w:val="none"/>
        </w:rPr>
        <w:t xml:space="preserve">第一部分 </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合同书</w:t>
      </w:r>
    </w:p>
    <w:p w14:paraId="7189E3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u w:val="single"/>
        </w:rPr>
      </w:pPr>
    </w:p>
    <w:p w14:paraId="3C2ABEF1">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（甲方）所需</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项目名称)经{同供应商须知前附表}以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（项目编号）招标文件在国内以公开招标方式进行采购。经评标委员会确定</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（乙方）为中标人。甲、乙双方根据《中华人民共和国政府采购法》、《中华人民共和国</w:t>
      </w:r>
      <w:r>
        <w:rPr>
          <w:rFonts w:hint="eastAsia" w:ascii="仿宋" w:hAnsi="仿宋" w:eastAsia="仿宋" w:cs="仿宋"/>
          <w:color w:val="auto"/>
          <w:sz w:val="24"/>
          <w:szCs w:val="24"/>
          <w:highlight w:val="none"/>
          <w:lang w:eastAsia="zh-CN"/>
        </w:rPr>
        <w:t>民法典</w:t>
      </w:r>
      <w:r>
        <w:rPr>
          <w:rFonts w:hint="eastAsia" w:ascii="仿宋" w:hAnsi="仿宋" w:eastAsia="仿宋" w:cs="仿宋"/>
          <w:color w:val="auto"/>
          <w:sz w:val="24"/>
          <w:szCs w:val="24"/>
          <w:highlight w:val="none"/>
        </w:rPr>
        <w:t>》等相关法律以及本项目招标文件的规定，经平等协商达成合同如下：</w:t>
      </w:r>
    </w:p>
    <w:p w14:paraId="4C0C8A40">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一、合同文件</w:t>
      </w:r>
    </w:p>
    <w:p w14:paraId="3CBB3897">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本合同所附下列文件是构成本合同不可分割的部分：</w:t>
      </w:r>
    </w:p>
    <w:p w14:paraId="6A321290">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（一）本项目招标文件</w:t>
      </w:r>
    </w:p>
    <w:p w14:paraId="72C8249D">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（二）中标人投标文件</w:t>
      </w:r>
    </w:p>
    <w:p w14:paraId="28ABAFC1">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（三）合同格式、合同条款</w:t>
      </w:r>
    </w:p>
    <w:p w14:paraId="44F06C47">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（四）中标人在评标过程中做出的有关澄清、说明或者补正文件</w:t>
      </w:r>
    </w:p>
    <w:p w14:paraId="46D96CAF">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（五）中标通知书</w:t>
      </w:r>
    </w:p>
    <w:p w14:paraId="645A1238">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（六）本合同附件</w:t>
      </w:r>
    </w:p>
    <w:p w14:paraId="69B2D597">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二、合同的范围和条件</w:t>
      </w:r>
    </w:p>
    <w:p w14:paraId="07F4DF38">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本合同的范围和条件应与上述合同文件的规定相一致。</w:t>
      </w:r>
    </w:p>
    <w:p w14:paraId="670E423E">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三、货物、数量及规格</w:t>
      </w:r>
    </w:p>
    <w:p w14:paraId="685D3FD2">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本合同所提供的货物、数量及规格详见合同货物清单（同招标文件及投标文件中报价明细表，下同）。</w:t>
      </w:r>
    </w:p>
    <w:p w14:paraId="00B26AC4">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四、合同金额</w:t>
      </w:r>
    </w:p>
    <w:p w14:paraId="59F7F0BC">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根据上述合同文件要求，合同金额为人民币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。（分项价格详见合同货物清单）。</w:t>
      </w:r>
    </w:p>
    <w:p w14:paraId="6942F0A2">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乙方开户单位：</w:t>
      </w:r>
    </w:p>
    <w:p w14:paraId="1052B6A9">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                           帐号：</w:t>
      </w:r>
    </w:p>
    <w:p w14:paraId="42A62A24">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五、付款途径</w:t>
      </w:r>
    </w:p>
    <w:p w14:paraId="72F98AFD">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国库集中支付   □甲方支付    □ 国库与甲方共同支付</w:t>
      </w:r>
    </w:p>
    <w:p w14:paraId="018555CF">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财政性资金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          □ 自筹性资金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14:paraId="381EFB03">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属国库集中支付的财政性资金，甲方应按合同约定的付款期限，及时向财政部门报送资金支付申请，财政部门对支付申请审核无误后，将货款直接支付至乙方账户。</w:t>
      </w:r>
    </w:p>
    <w:p w14:paraId="14D23FBF">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六、付款方式</w:t>
      </w:r>
    </w:p>
    <w:p w14:paraId="2ACB83C4">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付款方式：                                                    </w:t>
      </w:r>
    </w:p>
    <w:p w14:paraId="27205B43">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七、交付日期、地点</w:t>
      </w:r>
    </w:p>
    <w:p w14:paraId="6BC73CD0">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1、交付日期：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509B5D5A">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2、交付地点：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57E28CC4">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八、履约保证金</w:t>
      </w:r>
    </w:p>
    <w:p w14:paraId="6D557101">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履约保证金在项目交付验收合格无质量问题后，填写《项目验收单》和资金往来收款收据交采购人后20个工作日内退还。</w:t>
      </w:r>
    </w:p>
    <w:p w14:paraId="759720FB">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九、合同生效</w:t>
      </w:r>
    </w:p>
    <w:p w14:paraId="217737DB">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本合同经甲乙双方签字盖章，乙方提交履约保证金后生效。</w:t>
      </w:r>
    </w:p>
    <w:p w14:paraId="407EDB0A">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十、合同保存</w:t>
      </w:r>
    </w:p>
    <w:p w14:paraId="54ADE607">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本合同一式</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份，甲方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份，乙方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pacing w:val="-1"/>
          <w:sz w:val="24"/>
          <w:szCs w:val="24"/>
          <w:highlight w:val="none"/>
        </w:rPr>
        <w:t>具</w:t>
      </w:r>
      <w:r>
        <w:rPr>
          <w:rFonts w:hint="eastAsia" w:ascii="仿宋" w:hAnsi="仿宋" w:eastAsia="仿宋" w:cs="仿宋"/>
          <w:color w:val="auto"/>
          <w:sz w:val="24"/>
          <w:szCs w:val="24"/>
          <w:highlight w:val="none"/>
        </w:rPr>
        <w:t>有同等法律效力。</w:t>
      </w:r>
    </w:p>
    <w:p w14:paraId="7A986196">
      <w:pPr>
        <w:pStyle w:val="22"/>
        <w:rPr>
          <w:rFonts w:hint="eastAsia" w:ascii="仿宋" w:hAnsi="仿宋" w:eastAsia="仿宋" w:cs="仿宋"/>
          <w:color w:val="auto"/>
          <w:highlight w:val="none"/>
        </w:rPr>
      </w:pPr>
    </w:p>
    <w:p w14:paraId="46469E8F">
      <w:pPr>
        <w:spacing w:line="360" w:lineRule="auto"/>
        <w:ind w:firstLine="480" w:firstLineChars="200"/>
        <w:rPr>
          <w:rFonts w:hint="eastAsia" w:ascii="仿宋" w:hAnsi="仿宋" w:eastAsia="仿宋" w:cs="仿宋"/>
          <w:color w:val="auto"/>
          <w:sz w:val="24"/>
          <w:szCs w:val="24"/>
          <w:highlight w:val="none"/>
        </w:rPr>
      </w:pPr>
    </w:p>
    <w:p w14:paraId="3AF28EE5">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    方：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乙    方：</w:t>
      </w:r>
    </w:p>
    <w:p w14:paraId="12D52441">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单位名称(公章)：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单位名称(公章)：</w:t>
      </w:r>
    </w:p>
    <w:p w14:paraId="3DF9BDB9">
      <w:pPr>
        <w:spacing w:line="360" w:lineRule="auto"/>
        <w:ind w:firstLine="480" w:firstLineChars="200"/>
        <w:rPr>
          <w:rFonts w:hint="eastAsia" w:ascii="仿宋" w:hAnsi="仿宋" w:eastAsia="仿宋" w:cs="仿宋"/>
          <w:color w:val="auto"/>
          <w:sz w:val="24"/>
          <w:szCs w:val="24"/>
          <w:highlight w:val="none"/>
        </w:rPr>
      </w:pPr>
    </w:p>
    <w:p w14:paraId="2AF639C5">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法定代表人或授权代理人：（签字）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法定代表人或授权代理人：（签字）</w:t>
      </w:r>
    </w:p>
    <w:p w14:paraId="0AB104C7">
      <w:pPr>
        <w:spacing w:line="360" w:lineRule="auto"/>
        <w:ind w:firstLine="480" w:firstLineChars="200"/>
        <w:rPr>
          <w:rFonts w:hint="eastAsia" w:ascii="仿宋" w:hAnsi="仿宋" w:eastAsia="仿宋" w:cs="仿宋"/>
          <w:color w:val="auto"/>
          <w:sz w:val="24"/>
          <w:szCs w:val="24"/>
          <w:highlight w:val="none"/>
        </w:rPr>
      </w:pPr>
    </w:p>
    <w:p w14:paraId="330543C1">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    话：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    话：</w:t>
      </w:r>
    </w:p>
    <w:p w14:paraId="2DB98181">
      <w:pPr>
        <w:rPr>
          <w:rFonts w:hint="eastAsia" w:ascii="仿宋" w:hAnsi="仿宋" w:eastAsia="仿宋" w:cs="仿宋"/>
          <w:color w:val="auto"/>
          <w:highlight w:val="none"/>
        </w:rPr>
      </w:pPr>
    </w:p>
    <w:p w14:paraId="765506F3">
      <w:pPr>
        <w:pStyle w:val="22"/>
        <w:rPr>
          <w:rFonts w:hint="eastAsia" w:ascii="仿宋" w:hAnsi="仿宋" w:eastAsia="仿宋" w:cs="仿宋"/>
          <w:color w:val="auto"/>
          <w:highlight w:val="none"/>
        </w:rPr>
      </w:pPr>
    </w:p>
    <w:p w14:paraId="5F2042CF">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签订日期：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签订日期：</w:t>
      </w:r>
    </w:p>
    <w:p w14:paraId="0917B0B0">
      <w:pPr>
        <w:spacing w:line="360" w:lineRule="auto"/>
        <w:ind w:firstLine="480" w:firstLineChars="200"/>
        <w:rPr>
          <w:rFonts w:hint="eastAsia" w:ascii="仿宋" w:hAnsi="仿宋" w:eastAsia="仿宋" w:cs="仿宋"/>
          <w:color w:val="auto"/>
          <w:sz w:val="24"/>
          <w:szCs w:val="24"/>
          <w:highlight w:val="none"/>
        </w:rPr>
      </w:pPr>
    </w:p>
    <w:p w14:paraId="69AF0CDF">
      <w:pPr>
        <w:spacing w:line="240" w:lineRule="auto"/>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bCs/>
          <w:spacing w:val="-1"/>
          <w:sz w:val="28"/>
          <w:szCs w:val="28"/>
        </w:rPr>
        <w:t>第二部分</w:t>
      </w:r>
      <w:r>
        <w:rPr>
          <w:rFonts w:hint="eastAsia" w:ascii="仿宋" w:hAnsi="仿宋" w:eastAsia="仿宋" w:cs="仿宋"/>
          <w:b/>
          <w:bCs/>
          <w:spacing w:val="-1"/>
          <w:sz w:val="28"/>
          <w:szCs w:val="28"/>
          <w:lang w:val="en-US" w:eastAsia="zh-CN"/>
        </w:rPr>
        <w:t xml:space="preserve"> </w:t>
      </w:r>
      <w:r>
        <w:rPr>
          <w:rFonts w:hint="eastAsia" w:ascii="仿宋" w:hAnsi="仿宋" w:eastAsia="仿宋" w:cs="仿宋"/>
          <w:b/>
          <w:bCs/>
          <w:color w:val="auto"/>
          <w:sz w:val="28"/>
          <w:szCs w:val="28"/>
          <w:highlight w:val="none"/>
        </w:rPr>
        <w:t>合同条款</w:t>
      </w:r>
    </w:p>
    <w:p w14:paraId="00F6B8E6">
      <w:pPr>
        <w:spacing w:line="240" w:lineRule="auto"/>
        <w:ind w:firstLine="420" w:firstLineChars="200"/>
        <w:rPr>
          <w:rFonts w:hint="eastAsia" w:ascii="仿宋" w:hAnsi="仿宋" w:eastAsia="仿宋" w:cs="仿宋"/>
          <w:color w:val="auto"/>
          <w:sz w:val="21"/>
          <w:szCs w:val="21"/>
          <w:highlight w:val="none"/>
        </w:rPr>
      </w:pPr>
    </w:p>
    <w:p w14:paraId="729EC7A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甲方在本项目中所需货物和服务由{同供应商须知前附表第3项}在国内进行公开招标，经评标委员会评定，确定乙方为中标人。甲乙双方根据《中华人民共和国政府采购法》、《中华人民共和国</w:t>
      </w:r>
      <w:r>
        <w:rPr>
          <w:rFonts w:hint="eastAsia" w:ascii="仿宋" w:hAnsi="仿宋" w:eastAsia="仿宋" w:cs="仿宋"/>
          <w:color w:val="auto"/>
          <w:sz w:val="24"/>
          <w:szCs w:val="24"/>
          <w:highlight w:val="none"/>
          <w:lang w:eastAsia="zh-CN"/>
        </w:rPr>
        <w:t>民法典</w:t>
      </w:r>
      <w:r>
        <w:rPr>
          <w:rFonts w:hint="eastAsia" w:ascii="仿宋" w:hAnsi="仿宋" w:eastAsia="仿宋" w:cs="仿宋"/>
          <w:color w:val="auto"/>
          <w:sz w:val="24"/>
          <w:szCs w:val="24"/>
          <w:highlight w:val="none"/>
        </w:rPr>
        <w:t xml:space="preserve">》等相关法律法规以及本项目招标文件的规定，经平等协商达成合同如下： </w:t>
      </w:r>
      <w:bookmarkStart w:id="127" w:name="_Toc86202594"/>
      <w:bookmarkStart w:id="128" w:name="_Toc175644041"/>
    </w:p>
    <w:p w14:paraId="12445D46">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一、定义</w:t>
      </w:r>
      <w:bookmarkEnd w:id="127"/>
      <w:bookmarkEnd w:id="128"/>
    </w:p>
    <w:p w14:paraId="45D7437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除非另有特别解释或说明，在本合同及与本合同相关的，双方另行签署的其他文件（包括但不限于本合同的附件）中，下述词语均依如下定义进行解释：</w:t>
      </w:r>
    </w:p>
    <w:p w14:paraId="6C93BE3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1、“合同”指甲乙双方签署的，与本项目相关的协议、附件、附录和其他一切文件，还包括招标文件、投标文件中的相关内容及其有效补充文件。</w:t>
      </w:r>
    </w:p>
    <w:p w14:paraId="7689D02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2、“附件”是指与本合同的订立、履行有关的，经甲乙双方认可的，对本合同约定的内容进行细化、补充、修改、变更的文件、图纸、音像制品等资料。</w:t>
      </w:r>
    </w:p>
    <w:p w14:paraId="4A2C4F3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3、“货物”指合同货物清单（附件1）（同投标文件中货物明细表，下同）中所规定的硬件、软件、安装材料、备件及专用器具、文件资料等内容。</w:t>
      </w:r>
    </w:p>
    <w:p w14:paraId="44808AD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14:paraId="1AC375D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5、“检验”指按照本合同约定的标准对合同货物进行的检测与查验。</w:t>
      </w:r>
    </w:p>
    <w:p w14:paraId="5FDDE59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6、“项目验收单”指甲、乙双方验收完成后由合同双方签署的最终验收确认书。</w:t>
      </w:r>
    </w:p>
    <w:p w14:paraId="4F3C3B8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7、“技术资料”指安装、调试、使用、维修合同货物所应具备的产品使用说明书或使用指南、操作手册、维修指南、服务手册、电路图、产品演示等文件。</w:t>
      </w:r>
    </w:p>
    <w:p w14:paraId="3680CF1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8、“保修期”指自验收单签署之日起，乙方免费对所卖给甲方货物更换整件或零部件，维修、保养及技术支持、产品升级并以自担费用方式保证项目正常运行的时期。</w:t>
      </w:r>
    </w:p>
    <w:p w14:paraId="60740DC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9、“第三人”是指本合同双方以外的任何中国境内、外的自然人、法人或其他经济组织。</w:t>
      </w:r>
    </w:p>
    <w:p w14:paraId="3EAC7B1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10、“法律、法规”是指由中国有关部门制定的法律、行政法规、地方性法规、规章及其他规范性文件以及经全国人民代表大会常务委员会批准的中国缔结、参加的国际条（公）约的有关规定。</w:t>
      </w:r>
    </w:p>
    <w:p w14:paraId="47D3715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11、“招标文件”指采购代理机构发布的本项目招标文件。</w:t>
      </w:r>
    </w:p>
    <w:p w14:paraId="7C14FF0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12、“投标文件”指乙方按照本项目招标文件的要求编制和投递，并最终经采购代理机构接收的投标文件。</w:t>
      </w:r>
    </w:p>
    <w:p w14:paraId="3E9BB54A">
      <w:pPr>
        <w:spacing w:line="360" w:lineRule="auto"/>
        <w:rPr>
          <w:rFonts w:hint="eastAsia" w:ascii="仿宋" w:hAnsi="仿宋" w:eastAsia="仿宋" w:cs="仿宋"/>
          <w:b/>
          <w:bCs/>
          <w:color w:val="auto"/>
          <w:sz w:val="24"/>
          <w:szCs w:val="24"/>
          <w:highlight w:val="none"/>
        </w:rPr>
      </w:pPr>
      <w:bookmarkStart w:id="129" w:name="_Toc86202595"/>
      <w:bookmarkStart w:id="130" w:name="_Toc175644043"/>
      <w:r>
        <w:rPr>
          <w:rFonts w:hint="eastAsia" w:ascii="仿宋" w:hAnsi="仿宋" w:eastAsia="仿宋" w:cs="仿宋"/>
          <w:b/>
          <w:bCs/>
          <w:color w:val="auto"/>
          <w:sz w:val="24"/>
          <w:szCs w:val="24"/>
          <w:highlight w:val="none"/>
        </w:rPr>
        <w:t>二、货物、数量及规格</w:t>
      </w:r>
    </w:p>
    <w:p w14:paraId="1E151CD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本合同所提供的货物、数量及规格详见合同货物清单（同招标文件及投标文件中报价明细表）。</w:t>
      </w:r>
    </w:p>
    <w:p w14:paraId="625F8F45">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三、合同价格</w:t>
      </w:r>
      <w:bookmarkEnd w:id="129"/>
      <w:bookmarkEnd w:id="130"/>
    </w:p>
    <w:p w14:paraId="04B4CFC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1、合同金额详见合同格式。</w:t>
      </w:r>
    </w:p>
    <w:p w14:paraId="0707819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14:paraId="7296C6F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3、合同货物详细目录及销售价格详见合同格式附件1合同货物清单（同投标文件中报价明细表）。</w:t>
      </w:r>
      <w:bookmarkStart w:id="131" w:name="_Toc86202596"/>
      <w:bookmarkStart w:id="132" w:name="_Toc175644044"/>
    </w:p>
    <w:p w14:paraId="5E1D8123">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w:t>
      </w:r>
      <w:bookmarkEnd w:id="131"/>
      <w:bookmarkEnd w:id="132"/>
      <w:r>
        <w:rPr>
          <w:rFonts w:hint="eastAsia" w:ascii="仿宋" w:hAnsi="仿宋" w:eastAsia="仿宋" w:cs="仿宋"/>
          <w:b/>
          <w:bCs/>
          <w:color w:val="auto"/>
          <w:sz w:val="24"/>
          <w:szCs w:val="24"/>
          <w:highlight w:val="none"/>
        </w:rPr>
        <w:t>付款</w:t>
      </w:r>
    </w:p>
    <w:p w14:paraId="1DD767D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1、双方因本合同发生的一切费用均以人民币结算及支付。</w:t>
      </w:r>
    </w:p>
    <w:p w14:paraId="12D3FF8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2、双方的帐户名称、开户银行及帐号以本合同提供的为准。</w:t>
      </w:r>
    </w:p>
    <w:p w14:paraId="48EBC58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3、付款途径：按照招标文件第二部分“投标人须知前附表”第26项的规定。</w:t>
      </w:r>
    </w:p>
    <w:p w14:paraId="2F86086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4、付款方式：按照招标文件第二部分“投标人须知前附表”第27项的规定。</w:t>
      </w:r>
    </w:p>
    <w:p w14:paraId="666DC2AB">
      <w:pPr>
        <w:spacing w:line="360" w:lineRule="auto"/>
        <w:ind w:firstLine="480" w:firstLineChars="200"/>
        <w:rPr>
          <w:rFonts w:hint="eastAsia" w:ascii="仿宋" w:hAnsi="仿宋" w:eastAsia="仿宋" w:cs="仿宋"/>
          <w:color w:val="auto"/>
          <w:sz w:val="24"/>
          <w:szCs w:val="24"/>
          <w:highlight w:val="none"/>
        </w:rPr>
      </w:pPr>
      <w:bookmarkStart w:id="133" w:name="_Toc86202597"/>
      <w:r>
        <w:rPr>
          <w:rFonts w:hint="eastAsia" w:ascii="仿宋" w:hAnsi="仿宋" w:eastAsia="仿宋" w:cs="仿宋"/>
          <w:color w:val="auto"/>
          <w:sz w:val="24"/>
          <w:szCs w:val="24"/>
          <w:highlight w:val="none"/>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14:paraId="0D7BA7C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6、甲方直接与乙方付款结算，采购代理机构不对其付款承担连带责任或任何其它责任，在任何情形下乙方亦只能直接向甲方追索而不应当向采购代理机构追索。</w:t>
      </w:r>
    </w:p>
    <w:p w14:paraId="519B78A6">
      <w:pPr>
        <w:spacing w:line="360" w:lineRule="auto"/>
        <w:rPr>
          <w:rFonts w:hint="eastAsia" w:ascii="仿宋" w:hAnsi="仿宋" w:eastAsia="仿宋" w:cs="仿宋"/>
          <w:b/>
          <w:bCs/>
          <w:color w:val="auto"/>
          <w:sz w:val="24"/>
          <w:szCs w:val="24"/>
          <w:highlight w:val="none"/>
        </w:rPr>
      </w:pPr>
      <w:bookmarkStart w:id="134" w:name="_Toc175644045"/>
      <w:r>
        <w:rPr>
          <w:rFonts w:hint="eastAsia" w:ascii="仿宋" w:hAnsi="仿宋" w:eastAsia="仿宋" w:cs="仿宋"/>
          <w:b/>
          <w:bCs/>
          <w:color w:val="auto"/>
          <w:sz w:val="24"/>
          <w:szCs w:val="24"/>
          <w:highlight w:val="none"/>
        </w:rPr>
        <w:t>五、</w:t>
      </w:r>
      <w:bookmarkEnd w:id="133"/>
      <w:bookmarkEnd w:id="134"/>
      <w:r>
        <w:rPr>
          <w:rFonts w:hint="eastAsia" w:ascii="仿宋" w:hAnsi="仿宋" w:eastAsia="仿宋" w:cs="仿宋"/>
          <w:b/>
          <w:bCs/>
          <w:color w:val="auto"/>
          <w:sz w:val="24"/>
          <w:szCs w:val="24"/>
          <w:highlight w:val="none"/>
        </w:rPr>
        <w:t>交付</w:t>
      </w:r>
    </w:p>
    <w:p w14:paraId="6C50F91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1、乙方负责办理运输和保险，将货物运抵交货地点。有关运输、保险和装卸等一切相关的费用由乙方承担。</w:t>
      </w:r>
    </w:p>
    <w:p w14:paraId="2AFB3E5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2、货物应运至甲方指定地点，并卸至甲方指定位置，开箱清点及初步检验时双方应派人员参加。</w:t>
      </w:r>
    </w:p>
    <w:p w14:paraId="1971A5F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3、所有货物运抵现场并且安装完毕经检验合格交付甲方，该日期为交付日期。双方签署交付收货单后为交付完毕。交付完毕货物所有权发生转移，此前货物毁坏的风险由乙方承担。</w:t>
      </w:r>
    </w:p>
    <w:p w14:paraId="739131C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4、交付日期：按照招标文件第二部分“投标人须知前附表”规定。</w:t>
      </w:r>
    </w:p>
    <w:p w14:paraId="6EA4E76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5、交付地点</w:t>
      </w:r>
      <w:bookmarkStart w:id="135" w:name="_Toc175644046"/>
      <w:bookmarkStart w:id="136" w:name="_Toc86202598"/>
      <w:r>
        <w:rPr>
          <w:rFonts w:hint="eastAsia" w:ascii="仿宋" w:hAnsi="仿宋" w:eastAsia="仿宋" w:cs="仿宋"/>
          <w:color w:val="auto"/>
          <w:sz w:val="24"/>
          <w:szCs w:val="24"/>
          <w:highlight w:val="none"/>
        </w:rPr>
        <w:t>：按照招标文件第二部分“投标人须知前附表”规定。</w:t>
      </w:r>
    </w:p>
    <w:p w14:paraId="30B47F46">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六、包装和标记</w:t>
      </w:r>
      <w:bookmarkEnd w:id="135"/>
      <w:bookmarkEnd w:id="136"/>
    </w:p>
    <w:p w14:paraId="2395FB4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1、乙方交付的所有合同货物应具有适于运输的坚固包装，并且乙方应根据合同货物的不同特性和要求采取防潮、防雨、防锈、防震、防腐等保护措施，以确保合同货物安全无损地送达交货地点。</w:t>
      </w:r>
    </w:p>
    <w:p w14:paraId="3DB46CE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2、凡由于乙方对合同货物包装不善、标记不明、防护措施不当或在合同货物装箱前保管不良，致使合同货物遭到损坏或丢失，乙方应负责免费修理或更换，并承担由此给甲方造成的一切损失。</w:t>
      </w:r>
      <w:bookmarkStart w:id="137" w:name="_Toc86202599"/>
      <w:bookmarkStart w:id="138" w:name="_Toc175644047"/>
    </w:p>
    <w:p w14:paraId="276E6EE1">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七、质量标准和检验</w:t>
      </w:r>
      <w:bookmarkEnd w:id="137"/>
      <w:r>
        <w:rPr>
          <w:rFonts w:hint="eastAsia" w:ascii="仿宋" w:hAnsi="仿宋" w:eastAsia="仿宋" w:cs="仿宋"/>
          <w:b/>
          <w:bCs/>
          <w:color w:val="auto"/>
          <w:sz w:val="24"/>
          <w:szCs w:val="24"/>
          <w:highlight w:val="none"/>
        </w:rPr>
        <w:t>方式</w:t>
      </w:r>
      <w:bookmarkEnd w:id="138"/>
    </w:p>
    <w:p w14:paraId="4592994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1、乙方应保证提供给甲方的合同货物是货物生产厂商原造的，全新、未使用过的，是用一流的工艺和优质材料制造而成的，并完全符合本项目招标文件规定的质量、性能和规格的要求。</w:t>
      </w:r>
    </w:p>
    <w:p w14:paraId="5E4F602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提供给甲方的合同货物应通过货物制造厂商的出厂检验，并提供质量合格证书。乙方承诺提供给甲方的合同货物的技术规范应与本项目招标文件中《采购需求》部分中的规定及投标文件中《技术规范偏离表》(如果被采购人接受) 相一致，同时，乙方提供的货物质量应符合中华人民共和国相关标准及相应的技术规范、本次采购相关文件中的全部相关要求及相关标准及相应的技术规范中之较高者。</w:t>
      </w:r>
    </w:p>
    <w:p w14:paraId="63CA97B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14:paraId="0D70165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4、乙方应保证所提供的货物经正确安装、合理操作和维护保养在其使用寿命期内具有令甲方满意的性能，并对由于合同货物的设计、工艺或材料的缺陷而发生的任何故障负责。</w:t>
      </w:r>
    </w:p>
    <w:p w14:paraId="508FE71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采购项目验收单》，以此作为乙方履约进度的依据。</w:t>
      </w:r>
    </w:p>
    <w:p w14:paraId="63159A4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6、甲方对合同货物的数量、规格和质量的检验，应依据本项目招标文件中的有关规定进行。</w:t>
      </w:r>
    </w:p>
    <w:p w14:paraId="1D3941C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7、若检验时发现货物数量不足、规格与合同要求不符或开箱时虽然货物外包装完好无损，但箱内货物短缺或损伤，双方应签署书面形式证明，乙方应根据该证明及时补足或更换。</w:t>
      </w:r>
    </w:p>
    <w:p w14:paraId="43789C9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14:paraId="328AFB86">
      <w:pPr>
        <w:spacing w:line="360" w:lineRule="auto"/>
        <w:rPr>
          <w:rFonts w:hint="eastAsia" w:ascii="仿宋" w:hAnsi="仿宋" w:eastAsia="仿宋" w:cs="仿宋"/>
          <w:b/>
          <w:bCs/>
          <w:color w:val="auto"/>
          <w:sz w:val="24"/>
          <w:szCs w:val="24"/>
          <w:highlight w:val="none"/>
        </w:rPr>
      </w:pPr>
      <w:bookmarkStart w:id="139" w:name="_Toc86202601"/>
      <w:bookmarkStart w:id="140" w:name="_Toc175644048"/>
      <w:r>
        <w:rPr>
          <w:rFonts w:hint="eastAsia" w:ascii="仿宋" w:hAnsi="仿宋" w:eastAsia="仿宋" w:cs="仿宋"/>
          <w:b/>
          <w:bCs/>
          <w:color w:val="auto"/>
          <w:sz w:val="24"/>
          <w:szCs w:val="24"/>
          <w:highlight w:val="none"/>
        </w:rPr>
        <w:t>八、技术服务和保修责任</w:t>
      </w:r>
      <w:bookmarkEnd w:id="139"/>
      <w:bookmarkEnd w:id="140"/>
    </w:p>
    <w:p w14:paraId="413C34C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对合同货物、服务的保修期按照招标文件第二部分“投标人须知前附表”规定。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14:paraId="7F66C4C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14:paraId="4A68141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14:paraId="5EAECB2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4、在免费保修期内，如果由于乙方更换、修理和续补货物或更换服务，而造成本合同不得不停止运行，保修期应依照停止运行的实际时间加以延长，如因此给甲方造成损失，乙方应负责赔偿。</w:t>
      </w:r>
    </w:p>
    <w:p w14:paraId="68A76EA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14:paraId="2F7A6F0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14:paraId="3EDD6C3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7、若由于甲方提出增加并不涉及安全性的新功能而引起的软件升级，相关成本费由甲方承担，乙方不得赚取利润或拒绝、拖延。</w:t>
      </w:r>
    </w:p>
    <w:p w14:paraId="083FA6F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8、若由于乙方增加并不涉及安全性的新功能引起软件升级，而且甲方愿意增加该新功能时，由双方协商解决。</w:t>
      </w:r>
    </w:p>
    <w:p w14:paraId="2DED5AF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p>
    <w:p w14:paraId="243EE6C9">
      <w:pPr>
        <w:spacing w:line="360" w:lineRule="auto"/>
        <w:rPr>
          <w:rFonts w:hint="eastAsia" w:ascii="仿宋" w:hAnsi="仿宋" w:eastAsia="仿宋" w:cs="仿宋"/>
          <w:b/>
          <w:bCs/>
          <w:color w:val="auto"/>
          <w:sz w:val="24"/>
          <w:szCs w:val="24"/>
          <w:highlight w:val="none"/>
        </w:rPr>
      </w:pPr>
      <w:bookmarkStart w:id="141" w:name="_Toc175644049"/>
      <w:bookmarkStart w:id="142" w:name="_Toc86202602"/>
      <w:r>
        <w:rPr>
          <w:rFonts w:hint="eastAsia" w:ascii="仿宋" w:hAnsi="仿宋" w:eastAsia="仿宋" w:cs="仿宋"/>
          <w:b/>
          <w:bCs/>
          <w:color w:val="auto"/>
          <w:sz w:val="24"/>
          <w:szCs w:val="24"/>
          <w:highlight w:val="none"/>
        </w:rPr>
        <w:t>九、违约责任</w:t>
      </w:r>
      <w:bookmarkEnd w:id="141"/>
      <w:bookmarkEnd w:id="142"/>
    </w:p>
    <w:p w14:paraId="5446855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68584DA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14:paraId="2F54D23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1）在甲方同意延长的期限内交付全部货物、提供服务并承担由此给甲方造成的直接损失及甲方因此产生的对第三方的责任。</w:t>
      </w:r>
    </w:p>
    <w:p w14:paraId="08309FD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14:paraId="116A8A3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3）根据货物、服务低劣程度、损坏程度以及使甲方所遭受的损失及甲方因此产生的对第三方的责任，经双方商定降低货物、服务的价格或赔偿甲方所遭受的损失及甲方因此产生的对第三方的责任。</w:t>
      </w:r>
    </w:p>
    <w:p w14:paraId="6E4E362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4）按合同规定的同种货币将甲方所退货物已支付的货款全部退还给甲方，并承担由此发生的直接损失和相关费用及甲方因此产生的对第三方的责任。</w:t>
      </w:r>
    </w:p>
    <w:p w14:paraId="7D54D82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5）甲方有权部分或全部解除合同并要求乙方赔偿由此造成的损失及甲方因此产生的对第三方的责任。此时甲方可采取必要的补救措施，相关费用由乙方承担。</w:t>
      </w:r>
    </w:p>
    <w:p w14:paraId="6CE234C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6）此外，上述情形下甲方为采取必要的补救措施或因防止损失扩大而支出的合理费用应由乙方承担。</w:t>
      </w:r>
    </w:p>
    <w:p w14:paraId="1BF9642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14:paraId="5565E11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4、除有另行约定外，甲方如延期付款，每逾期1日，按应付金额0.3‰支付违约金；乙方如延期交付，每延迟1日，按应交付货物总额0.3‰支付违约金。</w:t>
      </w:r>
    </w:p>
    <w:p w14:paraId="3A640366">
      <w:pPr>
        <w:spacing w:line="360" w:lineRule="auto"/>
        <w:ind w:firstLine="480" w:firstLineChars="200"/>
        <w:rPr>
          <w:rFonts w:hint="eastAsia" w:ascii="仿宋" w:hAnsi="仿宋" w:eastAsia="仿宋" w:cs="仿宋"/>
          <w:color w:val="auto"/>
          <w:sz w:val="24"/>
          <w:szCs w:val="24"/>
          <w:highlight w:val="none"/>
        </w:rPr>
      </w:pPr>
      <w:bookmarkStart w:id="143" w:name="_Toc86202603"/>
      <w:r>
        <w:rPr>
          <w:rFonts w:hint="eastAsia" w:ascii="仿宋" w:hAnsi="仿宋" w:eastAsia="仿宋" w:cs="仿宋"/>
          <w:color w:val="auto"/>
          <w:sz w:val="24"/>
          <w:szCs w:val="24"/>
          <w:highlight w:val="none"/>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14:paraId="603506C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7、以上各项交付的违约金并不影响违约方履行合同的各项义务。</w:t>
      </w:r>
    </w:p>
    <w:p w14:paraId="5333B82D">
      <w:pPr>
        <w:spacing w:line="360" w:lineRule="auto"/>
        <w:rPr>
          <w:rFonts w:hint="eastAsia" w:ascii="仿宋" w:hAnsi="仿宋" w:eastAsia="仿宋" w:cs="仿宋"/>
          <w:b/>
          <w:bCs/>
          <w:color w:val="auto"/>
          <w:sz w:val="24"/>
          <w:szCs w:val="24"/>
          <w:highlight w:val="none"/>
        </w:rPr>
      </w:pPr>
      <w:bookmarkStart w:id="144" w:name="_Toc175644050"/>
      <w:r>
        <w:rPr>
          <w:rFonts w:hint="eastAsia" w:ascii="仿宋" w:hAnsi="仿宋" w:eastAsia="仿宋" w:cs="仿宋"/>
          <w:b/>
          <w:bCs/>
          <w:color w:val="auto"/>
          <w:sz w:val="24"/>
          <w:szCs w:val="24"/>
          <w:highlight w:val="none"/>
        </w:rPr>
        <w:t>十、不可抗力</w:t>
      </w:r>
      <w:bookmarkEnd w:id="143"/>
      <w:bookmarkEnd w:id="144"/>
    </w:p>
    <w:p w14:paraId="6AB4C6A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1、不可抗力指下列事件：战争、动乱、瘟疫、严重火灾、洪水、地震、风暴或其他自然灾害，以及本合同各方不可预见、不可防止并不能避免或克服的一切其他因素及事件。</w:t>
      </w:r>
    </w:p>
    <w:p w14:paraId="4405A7F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14:paraId="4CDDB06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76C10CE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4、合同各方应根据不可抗力对本合同履行的影响程度，协商确定是否终止本合同，或是继续履行本合同。</w:t>
      </w:r>
      <w:bookmarkStart w:id="145" w:name="_Toc86202604"/>
      <w:bookmarkStart w:id="146" w:name="_Toc175644051"/>
    </w:p>
    <w:p w14:paraId="0B6FFD17">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十一、联系方式</w:t>
      </w:r>
      <w:bookmarkEnd w:id="145"/>
      <w:bookmarkEnd w:id="146"/>
    </w:p>
    <w:p w14:paraId="703BA22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14:paraId="365507D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14:paraId="0FF032E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3、上述发出通知、回复的费用由发出一方承担。</w:t>
      </w:r>
    </w:p>
    <w:p w14:paraId="56D39ED2">
      <w:pPr>
        <w:spacing w:line="360" w:lineRule="auto"/>
        <w:rPr>
          <w:rFonts w:hint="eastAsia" w:ascii="仿宋" w:hAnsi="仿宋" w:eastAsia="仿宋" w:cs="仿宋"/>
          <w:b/>
          <w:bCs/>
          <w:color w:val="auto"/>
          <w:sz w:val="24"/>
          <w:szCs w:val="24"/>
          <w:highlight w:val="none"/>
        </w:rPr>
      </w:pPr>
      <w:bookmarkStart w:id="147" w:name="_Toc86202605"/>
      <w:bookmarkStart w:id="148" w:name="_Toc175644052"/>
      <w:r>
        <w:rPr>
          <w:rFonts w:hint="eastAsia" w:ascii="仿宋" w:hAnsi="仿宋" w:eastAsia="仿宋" w:cs="仿宋"/>
          <w:b/>
          <w:bCs/>
          <w:color w:val="auto"/>
          <w:sz w:val="24"/>
          <w:szCs w:val="24"/>
          <w:highlight w:val="none"/>
        </w:rPr>
        <w:t>十二、保密条款</w:t>
      </w:r>
      <w:bookmarkEnd w:id="147"/>
      <w:bookmarkEnd w:id="148"/>
    </w:p>
    <w:p w14:paraId="324CF60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1、任何一方对其获知的本合同及附件中其他各方的商业秘密和国家秘密负有保密义务。</w:t>
      </w:r>
    </w:p>
    <w:p w14:paraId="698642B7">
      <w:pPr>
        <w:spacing w:line="360" w:lineRule="auto"/>
        <w:ind w:firstLine="480" w:firstLineChars="200"/>
        <w:rPr>
          <w:rFonts w:hint="eastAsia" w:ascii="仿宋" w:hAnsi="仿宋" w:eastAsia="仿宋" w:cs="仿宋"/>
          <w:color w:val="auto"/>
          <w:sz w:val="24"/>
          <w:szCs w:val="24"/>
          <w:highlight w:val="none"/>
        </w:rPr>
      </w:pPr>
      <w:bookmarkStart w:id="149" w:name="_Toc86202606"/>
      <w:r>
        <w:rPr>
          <w:rFonts w:hint="eastAsia" w:ascii="仿宋" w:hAnsi="仿宋" w:eastAsia="仿宋" w:cs="仿宋"/>
          <w:color w:val="auto"/>
          <w:sz w:val="24"/>
          <w:szCs w:val="24"/>
          <w:highlight w:val="none"/>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14:paraId="4EAC2F7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14:paraId="2898BC83">
      <w:pPr>
        <w:spacing w:line="360" w:lineRule="auto"/>
        <w:rPr>
          <w:rFonts w:hint="eastAsia" w:ascii="仿宋" w:hAnsi="仿宋" w:eastAsia="仿宋" w:cs="仿宋"/>
          <w:b/>
          <w:bCs/>
          <w:color w:val="auto"/>
          <w:sz w:val="24"/>
          <w:szCs w:val="24"/>
          <w:highlight w:val="none"/>
        </w:rPr>
      </w:pPr>
      <w:bookmarkStart w:id="150" w:name="_Toc175644053"/>
      <w:r>
        <w:rPr>
          <w:rFonts w:hint="eastAsia" w:ascii="仿宋" w:hAnsi="仿宋" w:eastAsia="仿宋" w:cs="仿宋"/>
          <w:b/>
          <w:bCs/>
          <w:color w:val="auto"/>
          <w:sz w:val="24"/>
          <w:szCs w:val="24"/>
          <w:highlight w:val="none"/>
        </w:rPr>
        <w:t>十三、合同的解释</w:t>
      </w:r>
      <w:bookmarkEnd w:id="149"/>
      <w:bookmarkEnd w:id="150"/>
    </w:p>
    <w:p w14:paraId="266BC9E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1、任何一方对本合同及其附件的解释均应遵循诚实信用原则,依照本合同签订时有效的中国法律、法规以及通常的理解进行。</w:t>
      </w:r>
    </w:p>
    <w:p w14:paraId="78D8289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2、本合同标题仅供查阅方便，并非对本合同的诠释或解释；本合同中以日表述的时间期限均指自然日。</w:t>
      </w:r>
    </w:p>
    <w:p w14:paraId="182E904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3、对本合同的任何解释均应以书面做出。</w:t>
      </w:r>
    </w:p>
    <w:p w14:paraId="417414A9">
      <w:pPr>
        <w:spacing w:line="360" w:lineRule="auto"/>
        <w:rPr>
          <w:rFonts w:hint="eastAsia" w:ascii="仿宋" w:hAnsi="仿宋" w:eastAsia="仿宋" w:cs="仿宋"/>
          <w:b/>
          <w:bCs/>
          <w:color w:val="auto"/>
          <w:sz w:val="24"/>
          <w:szCs w:val="24"/>
          <w:highlight w:val="none"/>
        </w:rPr>
      </w:pPr>
      <w:bookmarkStart w:id="151" w:name="_Toc86202607"/>
      <w:bookmarkStart w:id="152" w:name="_Toc175644054"/>
      <w:r>
        <w:rPr>
          <w:rFonts w:hint="eastAsia" w:ascii="仿宋" w:hAnsi="仿宋" w:eastAsia="仿宋" w:cs="仿宋"/>
          <w:b/>
          <w:bCs/>
          <w:color w:val="auto"/>
          <w:sz w:val="24"/>
          <w:szCs w:val="24"/>
          <w:highlight w:val="none"/>
        </w:rPr>
        <w:t>十四、合同的终止</w:t>
      </w:r>
      <w:bookmarkEnd w:id="151"/>
      <w:bookmarkEnd w:id="152"/>
    </w:p>
    <w:p w14:paraId="01E0537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1、本合同因下列原因而终止：</w:t>
      </w:r>
    </w:p>
    <w:p w14:paraId="46FD96C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1）本合同正常履行完毕；</w:t>
      </w:r>
    </w:p>
    <w:p w14:paraId="1DDC1BB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2）合同双方协议终止本合同的履行；</w:t>
      </w:r>
    </w:p>
    <w:p w14:paraId="780D0B7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3）不可抗力事件导致本合同无法履行或履行不必要；</w:t>
      </w:r>
    </w:p>
    <w:p w14:paraId="4A066E3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4）任何一方行使解除权，解除本合同。</w:t>
      </w:r>
    </w:p>
    <w:p w14:paraId="3E2B124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2、对本合同终止有过错的一方应赔偿另一方因合同终止而受到的损失。对合同终止双方均无过错的，则各自承担所受到的损失。</w:t>
      </w:r>
    </w:p>
    <w:p w14:paraId="011A03FB">
      <w:pPr>
        <w:spacing w:line="360" w:lineRule="auto"/>
        <w:rPr>
          <w:rFonts w:hint="eastAsia" w:ascii="仿宋" w:hAnsi="仿宋" w:eastAsia="仿宋" w:cs="仿宋"/>
          <w:b/>
          <w:bCs/>
          <w:color w:val="auto"/>
          <w:sz w:val="24"/>
          <w:szCs w:val="24"/>
          <w:highlight w:val="none"/>
        </w:rPr>
      </w:pPr>
      <w:bookmarkStart w:id="153" w:name="_Toc175644055"/>
      <w:bookmarkStart w:id="154" w:name="_Toc86202608"/>
      <w:r>
        <w:rPr>
          <w:rFonts w:hint="eastAsia" w:ascii="仿宋" w:hAnsi="仿宋" w:eastAsia="仿宋" w:cs="仿宋"/>
          <w:b/>
          <w:bCs/>
          <w:color w:val="auto"/>
          <w:sz w:val="24"/>
          <w:szCs w:val="24"/>
          <w:highlight w:val="none"/>
        </w:rPr>
        <w:t>十五、法律适用</w:t>
      </w:r>
      <w:bookmarkEnd w:id="153"/>
    </w:p>
    <w:p w14:paraId="19317DD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1、本合同及附件的订立、效力、解释、履行、争议的解决等适用本合同签订时有效的中华人民共和国法律、法规的有关规定。</w:t>
      </w:r>
    </w:p>
    <w:p w14:paraId="720F938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14:paraId="76D37A40">
      <w:pPr>
        <w:spacing w:line="360" w:lineRule="auto"/>
        <w:rPr>
          <w:rFonts w:hint="eastAsia" w:ascii="仿宋" w:hAnsi="仿宋" w:eastAsia="仿宋" w:cs="仿宋"/>
          <w:b/>
          <w:bCs/>
          <w:color w:val="auto"/>
          <w:sz w:val="24"/>
          <w:szCs w:val="24"/>
          <w:highlight w:val="none"/>
        </w:rPr>
      </w:pPr>
      <w:bookmarkStart w:id="155" w:name="_Toc175644056"/>
      <w:r>
        <w:rPr>
          <w:rFonts w:hint="eastAsia" w:ascii="仿宋" w:hAnsi="仿宋" w:eastAsia="仿宋" w:cs="仿宋"/>
          <w:b/>
          <w:bCs/>
          <w:color w:val="auto"/>
          <w:sz w:val="24"/>
          <w:szCs w:val="24"/>
          <w:highlight w:val="none"/>
        </w:rPr>
        <w:t>十六、权利的保留</w:t>
      </w:r>
      <w:bookmarkEnd w:id="154"/>
      <w:bookmarkEnd w:id="155"/>
    </w:p>
    <w:p w14:paraId="1A781CB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441B112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274531E3">
      <w:pPr>
        <w:spacing w:line="360" w:lineRule="auto"/>
        <w:rPr>
          <w:rFonts w:hint="eastAsia" w:ascii="仿宋" w:hAnsi="仿宋" w:eastAsia="仿宋" w:cs="仿宋"/>
          <w:b/>
          <w:bCs/>
          <w:color w:val="auto"/>
          <w:sz w:val="24"/>
          <w:szCs w:val="24"/>
          <w:highlight w:val="none"/>
        </w:rPr>
      </w:pPr>
      <w:bookmarkStart w:id="156" w:name="_Toc175644057"/>
      <w:bookmarkStart w:id="157" w:name="_Toc86202609"/>
      <w:r>
        <w:rPr>
          <w:rFonts w:hint="eastAsia" w:ascii="仿宋" w:hAnsi="仿宋" w:eastAsia="仿宋" w:cs="仿宋"/>
          <w:b/>
          <w:bCs/>
          <w:color w:val="auto"/>
          <w:sz w:val="24"/>
          <w:szCs w:val="24"/>
          <w:highlight w:val="none"/>
        </w:rPr>
        <w:t>十七、争议的解决</w:t>
      </w:r>
      <w:bookmarkEnd w:id="156"/>
      <w:bookmarkEnd w:id="157"/>
    </w:p>
    <w:p w14:paraId="2F35791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双方应通过友好协商解决因解释﹑执行本合同所发生的和本合同有关的一切争议。如果经协商不能达成协议，可以采用以下方式解决（按照招标文件第二部分“投标人须知前附表”第31项的规定）：向甲方所在地人民法院起诉。</w:t>
      </w:r>
    </w:p>
    <w:p w14:paraId="15F3A18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14:paraId="30841CA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3、在争议解决期间，除了诉讼或仲裁进行过程中正在解决的那部分问题外，合同其余部分应继续履行。</w:t>
      </w:r>
    </w:p>
    <w:p w14:paraId="4FBE4BF7">
      <w:pPr>
        <w:spacing w:line="360" w:lineRule="auto"/>
        <w:rPr>
          <w:rFonts w:hint="eastAsia" w:ascii="仿宋" w:hAnsi="仿宋" w:eastAsia="仿宋" w:cs="仿宋"/>
          <w:b/>
          <w:bCs/>
          <w:color w:val="auto"/>
          <w:sz w:val="24"/>
          <w:szCs w:val="24"/>
          <w:highlight w:val="none"/>
        </w:rPr>
      </w:pPr>
      <w:bookmarkStart w:id="158" w:name="_Toc175644059"/>
      <w:bookmarkStart w:id="159" w:name="_Toc86202611"/>
      <w:r>
        <w:rPr>
          <w:rFonts w:hint="eastAsia" w:ascii="仿宋" w:hAnsi="仿宋" w:eastAsia="仿宋" w:cs="仿宋"/>
          <w:b/>
          <w:bCs/>
          <w:color w:val="auto"/>
          <w:sz w:val="24"/>
          <w:szCs w:val="24"/>
          <w:highlight w:val="none"/>
        </w:rPr>
        <w:t>十八、合同的生效</w:t>
      </w:r>
      <w:bookmarkEnd w:id="158"/>
      <w:bookmarkEnd w:id="159"/>
    </w:p>
    <w:p w14:paraId="50194C2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本合同经甲乙双方法定代表人或授权代理人签字加盖单位公章，乙方按时、足额提交履约保证金，政府采购中心备案后生效。</w:t>
      </w:r>
    </w:p>
    <w:p w14:paraId="4C51E4C4">
      <w:pPr>
        <w:spacing w:line="360" w:lineRule="auto"/>
        <w:rPr>
          <w:rFonts w:hint="eastAsia" w:ascii="仿宋" w:hAnsi="仿宋" w:eastAsia="仿宋" w:cs="仿宋"/>
          <w:b/>
          <w:bCs/>
          <w:color w:val="auto"/>
          <w:sz w:val="24"/>
          <w:szCs w:val="24"/>
          <w:highlight w:val="none"/>
        </w:rPr>
      </w:pPr>
      <w:bookmarkStart w:id="160" w:name="_Toc86202612"/>
      <w:bookmarkStart w:id="161" w:name="_Toc175644060"/>
      <w:r>
        <w:rPr>
          <w:rFonts w:hint="eastAsia" w:ascii="仿宋" w:hAnsi="仿宋" w:eastAsia="仿宋" w:cs="仿宋"/>
          <w:b/>
          <w:bCs/>
          <w:color w:val="auto"/>
          <w:sz w:val="24"/>
          <w:szCs w:val="24"/>
          <w:highlight w:val="none"/>
        </w:rPr>
        <w:t>十九、其他约定事项</w:t>
      </w:r>
      <w:bookmarkEnd w:id="160"/>
      <w:bookmarkEnd w:id="161"/>
    </w:p>
    <w:p w14:paraId="09B53D8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1、本合同中的附件均为本合同不可分割的部分，与本合同具有相同的法律效力。</w:t>
      </w:r>
    </w:p>
    <w:p w14:paraId="37CA6A9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2、不得将合同转让给第三人，有关分包事项或服务委托等须事先取得甲方和采购代理机构书面同意并且须遵守相关法律、法规；有关联合投标须在本次招标允许的情况下并须符合本次招标的全部规定。</w:t>
      </w:r>
    </w:p>
    <w:p w14:paraId="671140D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3、本合同一式</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份，具有同等法律效力。</w:t>
      </w:r>
    </w:p>
    <w:bookmarkEnd w:id="123"/>
    <w:bookmarkEnd w:id="124"/>
    <w:bookmarkEnd w:id="125"/>
    <w:bookmarkEnd w:id="126"/>
    <w:p w14:paraId="7D3D3B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baseline"/>
        <w:outlineLvl w:val="9"/>
        <w:rPr>
          <w:rFonts w:hint="eastAsia" w:ascii="仿宋" w:hAnsi="仿宋" w:eastAsia="仿宋" w:cs="仿宋"/>
          <w:b/>
          <w:bCs/>
          <w:color w:val="auto"/>
          <w:kern w:val="44"/>
          <w:sz w:val="24"/>
          <w:szCs w:val="24"/>
          <w:highlight w:val="none"/>
          <w:lang w:val="en-US" w:eastAsia="zh-CN" w:bidi="ar-SA"/>
        </w:rPr>
      </w:pPr>
    </w:p>
    <w:p w14:paraId="773096A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241" w:firstLineChars="100"/>
        <w:jc w:val="left"/>
        <w:textAlignment w:val="baseline"/>
        <w:outlineLvl w:val="9"/>
        <w:rPr>
          <w:rFonts w:hint="eastAsia" w:ascii="仿宋" w:hAnsi="仿宋" w:eastAsia="仿宋" w:cs="仿宋"/>
          <w:b/>
          <w:bCs/>
          <w:color w:val="auto"/>
          <w:kern w:val="44"/>
          <w:sz w:val="24"/>
          <w:szCs w:val="24"/>
          <w:highlight w:val="none"/>
          <w:lang w:val="en-US" w:eastAsia="zh-CN" w:bidi="ar-SA"/>
        </w:rPr>
      </w:pPr>
      <w:r>
        <w:rPr>
          <w:rFonts w:hint="eastAsia" w:ascii="仿宋" w:hAnsi="仿宋" w:eastAsia="仿宋" w:cs="仿宋"/>
          <w:b/>
          <w:bCs/>
          <w:color w:val="auto"/>
          <w:kern w:val="44"/>
          <w:sz w:val="24"/>
          <w:szCs w:val="24"/>
          <w:highlight w:val="none"/>
          <w:lang w:val="en-US" w:eastAsia="zh-CN" w:bidi="ar-SA"/>
        </w:rPr>
        <w:t>注：本合同（协议书）仅为参考文本，签订双方可根据项目的具体要求进行修订。</w:t>
      </w:r>
    </w:p>
    <w:p w14:paraId="6074B7C8">
      <w:pPr>
        <w:jc w:val="center"/>
        <w:rPr>
          <w:rFonts w:hint="eastAsia" w:ascii="仿宋" w:hAnsi="仿宋" w:eastAsia="仿宋" w:cs="仿宋"/>
          <w:b/>
          <w:color w:val="auto"/>
          <w:sz w:val="40"/>
          <w:szCs w:val="40"/>
          <w:highlight w:val="none"/>
        </w:rPr>
      </w:pPr>
    </w:p>
    <w:p w14:paraId="0F7C2DB6">
      <w:pPr>
        <w:jc w:val="center"/>
        <w:rPr>
          <w:rFonts w:hint="eastAsia" w:ascii="仿宋" w:hAnsi="仿宋" w:eastAsia="仿宋" w:cs="仿宋"/>
          <w:b/>
          <w:color w:val="auto"/>
          <w:sz w:val="40"/>
          <w:szCs w:val="40"/>
          <w:highlight w:val="none"/>
        </w:rPr>
      </w:pPr>
    </w:p>
    <w:p w14:paraId="01159891">
      <w:pPr>
        <w:jc w:val="center"/>
        <w:rPr>
          <w:rFonts w:hint="eastAsia" w:ascii="仿宋" w:hAnsi="仿宋" w:eastAsia="仿宋" w:cs="仿宋"/>
          <w:b/>
          <w:color w:val="auto"/>
          <w:sz w:val="40"/>
          <w:szCs w:val="40"/>
          <w:highlight w:val="none"/>
        </w:rPr>
      </w:pPr>
    </w:p>
    <w:p w14:paraId="1AFCD2EA">
      <w:pPr>
        <w:jc w:val="center"/>
        <w:rPr>
          <w:rFonts w:hint="eastAsia" w:ascii="仿宋" w:hAnsi="仿宋" w:eastAsia="仿宋" w:cs="仿宋"/>
          <w:b/>
          <w:color w:val="auto"/>
          <w:sz w:val="40"/>
          <w:szCs w:val="40"/>
          <w:highlight w:val="none"/>
        </w:rPr>
      </w:pPr>
    </w:p>
    <w:p w14:paraId="2750075D">
      <w:pPr>
        <w:jc w:val="center"/>
        <w:rPr>
          <w:rFonts w:hint="eastAsia" w:ascii="仿宋" w:hAnsi="仿宋" w:eastAsia="仿宋" w:cs="仿宋"/>
          <w:b/>
          <w:color w:val="auto"/>
          <w:sz w:val="40"/>
          <w:szCs w:val="40"/>
          <w:highlight w:val="none"/>
        </w:rPr>
      </w:pPr>
    </w:p>
    <w:p w14:paraId="4AF4E784">
      <w:pPr>
        <w:jc w:val="center"/>
        <w:rPr>
          <w:rFonts w:hint="eastAsia" w:ascii="仿宋" w:hAnsi="仿宋" w:eastAsia="仿宋" w:cs="仿宋"/>
          <w:b/>
          <w:color w:val="auto"/>
          <w:sz w:val="40"/>
          <w:szCs w:val="40"/>
          <w:highlight w:val="none"/>
        </w:rPr>
      </w:pPr>
    </w:p>
    <w:p w14:paraId="417B3A2E">
      <w:pPr>
        <w:jc w:val="center"/>
        <w:rPr>
          <w:rFonts w:hint="eastAsia" w:ascii="仿宋" w:hAnsi="仿宋" w:eastAsia="仿宋" w:cs="仿宋"/>
          <w:b/>
          <w:color w:val="auto"/>
          <w:sz w:val="40"/>
          <w:szCs w:val="40"/>
          <w:highlight w:val="none"/>
        </w:rPr>
      </w:pPr>
    </w:p>
    <w:p w14:paraId="0FAEBFC8">
      <w:pPr>
        <w:jc w:val="center"/>
        <w:rPr>
          <w:rFonts w:hint="eastAsia" w:ascii="仿宋" w:hAnsi="仿宋" w:eastAsia="仿宋" w:cs="仿宋"/>
          <w:b/>
          <w:color w:val="auto"/>
          <w:sz w:val="40"/>
          <w:szCs w:val="40"/>
          <w:highlight w:val="none"/>
        </w:rPr>
      </w:pPr>
    </w:p>
    <w:p w14:paraId="5D5AF84F">
      <w:pPr>
        <w:jc w:val="center"/>
        <w:rPr>
          <w:rFonts w:hint="eastAsia" w:ascii="仿宋" w:hAnsi="仿宋" w:eastAsia="仿宋" w:cs="仿宋"/>
          <w:b/>
          <w:color w:val="auto"/>
          <w:sz w:val="40"/>
          <w:szCs w:val="40"/>
          <w:highlight w:val="none"/>
        </w:rPr>
      </w:pPr>
    </w:p>
    <w:p w14:paraId="797868DD">
      <w:pPr>
        <w:jc w:val="center"/>
        <w:rPr>
          <w:rFonts w:hint="eastAsia" w:ascii="仿宋" w:hAnsi="仿宋" w:eastAsia="仿宋" w:cs="仿宋"/>
          <w:b/>
          <w:color w:val="auto"/>
          <w:sz w:val="40"/>
          <w:szCs w:val="40"/>
          <w:highlight w:val="none"/>
        </w:rPr>
      </w:pPr>
    </w:p>
    <w:p w14:paraId="347A0B66">
      <w:pPr>
        <w:jc w:val="center"/>
        <w:rPr>
          <w:rFonts w:hint="eastAsia" w:ascii="仿宋" w:hAnsi="仿宋" w:eastAsia="仿宋" w:cs="仿宋"/>
          <w:b/>
          <w:color w:val="auto"/>
          <w:sz w:val="40"/>
          <w:szCs w:val="40"/>
          <w:highlight w:val="none"/>
        </w:rPr>
      </w:pPr>
    </w:p>
    <w:p w14:paraId="2B3B0357">
      <w:pPr>
        <w:jc w:val="center"/>
        <w:rPr>
          <w:rFonts w:hint="eastAsia" w:ascii="仿宋" w:hAnsi="仿宋" w:eastAsia="仿宋" w:cs="仿宋"/>
          <w:b/>
          <w:color w:val="auto"/>
          <w:sz w:val="40"/>
          <w:szCs w:val="40"/>
          <w:highlight w:val="none"/>
        </w:rPr>
      </w:pPr>
    </w:p>
    <w:p w14:paraId="341B1084">
      <w:pPr>
        <w:jc w:val="center"/>
        <w:rPr>
          <w:rFonts w:hint="eastAsia" w:ascii="仿宋" w:hAnsi="仿宋" w:eastAsia="仿宋" w:cs="仿宋"/>
          <w:b/>
          <w:color w:val="auto"/>
          <w:sz w:val="40"/>
          <w:szCs w:val="40"/>
          <w:highlight w:val="none"/>
        </w:rPr>
      </w:pPr>
    </w:p>
    <w:p w14:paraId="1C22B329">
      <w:pPr>
        <w:jc w:val="center"/>
        <w:rPr>
          <w:rFonts w:hint="eastAsia" w:ascii="仿宋" w:hAnsi="仿宋" w:eastAsia="仿宋" w:cs="仿宋"/>
          <w:b/>
          <w:color w:val="auto"/>
          <w:sz w:val="40"/>
          <w:szCs w:val="40"/>
          <w:highlight w:val="none"/>
        </w:rPr>
      </w:pPr>
    </w:p>
    <w:p w14:paraId="703D4D9D">
      <w:pPr>
        <w:jc w:val="center"/>
        <w:rPr>
          <w:rFonts w:hint="eastAsia" w:ascii="仿宋" w:hAnsi="仿宋" w:eastAsia="仿宋" w:cs="仿宋"/>
          <w:b/>
          <w:color w:val="auto"/>
          <w:sz w:val="40"/>
          <w:szCs w:val="40"/>
          <w:highlight w:val="none"/>
        </w:rPr>
      </w:pPr>
    </w:p>
    <w:p w14:paraId="35233861">
      <w:pPr>
        <w:jc w:val="center"/>
        <w:rPr>
          <w:rFonts w:hint="eastAsia" w:ascii="仿宋" w:hAnsi="仿宋" w:eastAsia="仿宋" w:cs="仿宋"/>
          <w:b/>
          <w:color w:val="auto"/>
          <w:sz w:val="40"/>
          <w:szCs w:val="40"/>
          <w:highlight w:val="none"/>
        </w:rPr>
      </w:pPr>
    </w:p>
    <w:p w14:paraId="7EC90B85">
      <w:pPr>
        <w:spacing w:line="240" w:lineRule="auto"/>
        <w:jc w:val="center"/>
        <w:rPr>
          <w:rFonts w:hint="eastAsia" w:ascii="仿宋" w:hAnsi="仿宋" w:eastAsia="仿宋" w:cs="仿宋"/>
          <w:b/>
          <w:color w:val="auto"/>
          <w:sz w:val="24"/>
          <w:szCs w:val="24"/>
          <w:highlight w:val="none"/>
        </w:rPr>
      </w:pPr>
    </w:p>
    <w:p w14:paraId="39E3E62A">
      <w:pPr>
        <w:jc w:val="center"/>
        <w:rPr>
          <w:rFonts w:hint="eastAsia" w:ascii="仿宋" w:hAnsi="仿宋" w:eastAsia="仿宋" w:cs="仿宋"/>
          <w:color w:val="auto"/>
          <w:sz w:val="40"/>
          <w:szCs w:val="40"/>
          <w:highlight w:val="none"/>
        </w:rPr>
      </w:pPr>
      <w:r>
        <w:rPr>
          <w:rFonts w:hint="eastAsia" w:ascii="仿宋" w:hAnsi="仿宋" w:eastAsia="仿宋" w:cs="仿宋"/>
          <w:b/>
          <w:color w:val="auto"/>
          <w:sz w:val="36"/>
          <w:szCs w:val="36"/>
          <w:highlight w:val="none"/>
        </w:rPr>
        <w:t>第</w:t>
      </w:r>
      <w:r>
        <w:rPr>
          <w:rFonts w:hint="eastAsia" w:ascii="仿宋" w:hAnsi="仿宋" w:eastAsia="仿宋" w:cs="仿宋"/>
          <w:b/>
          <w:color w:val="auto"/>
          <w:sz w:val="36"/>
          <w:szCs w:val="36"/>
          <w:highlight w:val="none"/>
          <w:lang w:val="en-US" w:eastAsia="zh-CN"/>
        </w:rPr>
        <w:t>五</w:t>
      </w:r>
      <w:r>
        <w:rPr>
          <w:rFonts w:hint="eastAsia" w:ascii="仿宋" w:hAnsi="仿宋" w:eastAsia="仿宋" w:cs="仿宋"/>
          <w:b/>
          <w:color w:val="auto"/>
          <w:sz w:val="36"/>
          <w:szCs w:val="36"/>
          <w:highlight w:val="none"/>
          <w:lang w:eastAsia="zh-CN"/>
        </w:rPr>
        <w:t>章</w:t>
      </w:r>
      <w:r>
        <w:rPr>
          <w:rFonts w:hint="eastAsia" w:ascii="仿宋" w:hAnsi="仿宋" w:eastAsia="仿宋" w:cs="仿宋"/>
          <w:b/>
          <w:color w:val="auto"/>
          <w:sz w:val="36"/>
          <w:szCs w:val="36"/>
          <w:highlight w:val="none"/>
        </w:rPr>
        <w:t xml:space="preserve">  投标文件内容及格式</w:t>
      </w:r>
    </w:p>
    <w:p w14:paraId="54396615">
      <w:pPr>
        <w:pStyle w:val="3"/>
        <w:numPr>
          <w:ilvl w:val="0"/>
          <w:numId w:val="0"/>
        </w:numPr>
        <w:ind w:leftChars="0"/>
        <w:jc w:val="right"/>
        <w:rPr>
          <w:rFonts w:hint="eastAsia" w:ascii="仿宋" w:hAnsi="仿宋" w:eastAsia="仿宋" w:cs="仿宋"/>
          <w:color w:val="auto"/>
          <w:highlight w:val="none"/>
        </w:rPr>
      </w:pPr>
      <w:r>
        <w:rPr>
          <w:rFonts w:hint="eastAsia" w:ascii="仿宋" w:hAnsi="仿宋" w:eastAsia="仿宋" w:cs="仿宋"/>
          <w:color w:val="auto"/>
          <w:sz w:val="28"/>
          <w:szCs w:val="28"/>
          <w:highlight w:val="none"/>
        </w:rPr>
        <w:t xml:space="preserve">                     </w:t>
      </w:r>
    </w:p>
    <w:tbl>
      <w:tblPr>
        <w:tblStyle w:val="48"/>
        <w:tblpPr w:leftFromText="180" w:rightFromText="180" w:vertAnchor="text" w:horzAnchor="page" w:tblpX="9165" w:tblpY="-969"/>
        <w:tblW w:w="1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tblGrid>
      <w:tr w14:paraId="1D74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29" w:type="dxa"/>
            <w:vAlign w:val="center"/>
          </w:tcPr>
          <w:p w14:paraId="1379D33A">
            <w:pPr>
              <w:pStyle w:val="57"/>
              <w:numPr>
                <w:ilvl w:val="0"/>
                <w:numId w:val="0"/>
              </w:numPr>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rPr>
              <w:t>正本</w:t>
            </w:r>
            <w:r>
              <w:rPr>
                <w:rFonts w:hint="eastAsia" w:ascii="仿宋" w:hAnsi="仿宋" w:eastAsia="仿宋" w:cs="仿宋"/>
                <w:b/>
                <w:bCs/>
                <w:color w:val="auto"/>
                <w:sz w:val="28"/>
                <w:szCs w:val="28"/>
                <w:highlight w:val="none"/>
                <w:lang w:val="en-US" w:eastAsia="zh-CN"/>
              </w:rPr>
              <w:t>/副本</w:t>
            </w:r>
          </w:p>
        </w:tc>
      </w:tr>
    </w:tbl>
    <w:p w14:paraId="2E6B7904">
      <w:pPr>
        <w:spacing w:line="360" w:lineRule="auto"/>
        <w:ind w:firstLine="480" w:firstLineChars="200"/>
        <w:rPr>
          <w:rFonts w:hint="eastAsia" w:ascii="仿宋" w:hAnsi="仿宋" w:eastAsia="仿宋" w:cs="仿宋"/>
          <w:color w:val="auto"/>
          <w:sz w:val="24"/>
          <w:szCs w:val="24"/>
          <w:highlight w:val="none"/>
        </w:rPr>
      </w:pPr>
    </w:p>
    <w:p w14:paraId="29EB799D">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（项目名称）</w:t>
      </w:r>
    </w:p>
    <w:p w14:paraId="7C8AE8A2">
      <w:pPr>
        <w:spacing w:line="360" w:lineRule="auto"/>
        <w:ind w:firstLine="480" w:firstLineChars="200"/>
        <w:rPr>
          <w:rFonts w:hint="eastAsia" w:ascii="仿宋" w:hAnsi="仿宋" w:eastAsia="仿宋" w:cs="仿宋"/>
          <w:b w:val="0"/>
          <w:bCs w:val="0"/>
          <w:i/>
          <w:iCs/>
          <w:color w:val="auto"/>
          <w:sz w:val="24"/>
          <w:szCs w:val="24"/>
          <w:highlight w:val="none"/>
          <w:u w:val="single"/>
        </w:rPr>
      </w:pPr>
    </w:p>
    <w:p w14:paraId="78502525">
      <w:pPr>
        <w:spacing w:line="360" w:lineRule="auto"/>
        <w:ind w:firstLine="1680" w:firstLineChars="700"/>
        <w:rPr>
          <w:rFonts w:hint="eastAsia" w:ascii="仿宋" w:hAnsi="仿宋" w:eastAsia="仿宋" w:cs="仿宋"/>
          <w:b w:val="0"/>
          <w:bCs w:val="0"/>
          <w:color w:val="auto"/>
          <w:sz w:val="24"/>
          <w:szCs w:val="24"/>
          <w:highlight w:val="none"/>
        </w:rPr>
      </w:pPr>
      <w:r>
        <w:rPr>
          <w:rFonts w:hint="eastAsia" w:ascii="仿宋" w:hAnsi="仿宋" w:eastAsia="仿宋" w:cs="仿宋"/>
          <w:b w:val="0"/>
          <w:bCs w:val="0"/>
          <w:i/>
          <w:iCs/>
          <w:color w:val="auto"/>
          <w:sz w:val="24"/>
          <w:szCs w:val="24"/>
          <w:highlight w:val="none"/>
          <w:u w:val="single"/>
        </w:rPr>
        <w:t xml:space="preserve">            </w:t>
      </w:r>
      <w:r>
        <w:rPr>
          <w:rFonts w:hint="eastAsia" w:ascii="仿宋" w:hAnsi="仿宋" w:eastAsia="仿宋" w:cs="仿宋"/>
          <w:b w:val="0"/>
          <w:bCs w:val="0"/>
          <w:i/>
          <w:iCs/>
          <w:color w:val="auto"/>
          <w:sz w:val="24"/>
          <w:szCs w:val="24"/>
          <w:highlight w:val="none"/>
          <w:u w:val="single"/>
          <w:lang w:val="en-US" w:eastAsia="zh-CN"/>
        </w:rPr>
        <w:t xml:space="preserve">            </w:t>
      </w:r>
      <w:r>
        <w:rPr>
          <w:rFonts w:hint="eastAsia" w:ascii="仿宋" w:hAnsi="仿宋" w:eastAsia="仿宋" w:cs="仿宋"/>
          <w:b w:val="0"/>
          <w:bCs w:val="0"/>
          <w:i/>
          <w:iCs/>
          <w:color w:val="auto"/>
          <w:sz w:val="24"/>
          <w:szCs w:val="24"/>
          <w:highlight w:val="none"/>
          <w:u w:val="single"/>
        </w:rPr>
        <w:t xml:space="preserve">  </w:t>
      </w:r>
      <w:r>
        <w:rPr>
          <w:rFonts w:hint="eastAsia" w:ascii="仿宋" w:hAnsi="仿宋" w:eastAsia="仿宋" w:cs="仿宋"/>
          <w:b w:val="0"/>
          <w:bCs w:val="0"/>
          <w:i/>
          <w:iCs/>
          <w:color w:val="auto"/>
          <w:sz w:val="24"/>
          <w:szCs w:val="24"/>
          <w:highlight w:val="none"/>
          <w:u w:val="single"/>
          <w:lang w:val="en-US" w:eastAsia="zh-CN"/>
        </w:rPr>
        <w:t xml:space="preserve">   </w:t>
      </w:r>
      <w:r>
        <w:rPr>
          <w:rFonts w:hint="eastAsia" w:ascii="仿宋" w:hAnsi="仿宋" w:eastAsia="仿宋" w:cs="仿宋"/>
          <w:b w:val="0"/>
          <w:bCs w:val="0"/>
          <w:i/>
          <w:iCs/>
          <w:color w:val="auto"/>
          <w:sz w:val="24"/>
          <w:szCs w:val="24"/>
          <w:highlight w:val="none"/>
          <w:u w:val="single"/>
        </w:rPr>
        <w:t xml:space="preserve">       </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项目编号</w:t>
      </w:r>
      <w:r>
        <w:rPr>
          <w:rFonts w:hint="eastAsia" w:ascii="仿宋" w:hAnsi="仿宋" w:eastAsia="仿宋" w:cs="仿宋"/>
          <w:b w:val="0"/>
          <w:bCs w:val="0"/>
          <w:color w:val="auto"/>
          <w:sz w:val="24"/>
          <w:szCs w:val="24"/>
          <w:highlight w:val="none"/>
        </w:rPr>
        <w:t>）</w:t>
      </w:r>
    </w:p>
    <w:p w14:paraId="123C9037">
      <w:pPr>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rPr>
        <w:t xml:space="preserve">    </w:t>
      </w:r>
    </w:p>
    <w:p w14:paraId="34360B8E">
      <w:pPr>
        <w:rPr>
          <w:rFonts w:hint="eastAsia" w:ascii="仿宋" w:hAnsi="仿宋" w:eastAsia="仿宋" w:cs="仿宋"/>
          <w:color w:val="auto"/>
          <w:sz w:val="24"/>
          <w:highlight w:val="none"/>
          <w:u w:val="none"/>
        </w:rPr>
      </w:pPr>
    </w:p>
    <w:p w14:paraId="1971812D">
      <w:pPr>
        <w:rPr>
          <w:rFonts w:hint="eastAsia" w:ascii="仿宋" w:hAnsi="仿宋" w:eastAsia="仿宋" w:cs="仿宋"/>
          <w:color w:val="auto"/>
          <w:sz w:val="32"/>
          <w:szCs w:val="32"/>
          <w:highlight w:val="none"/>
        </w:rPr>
      </w:pPr>
    </w:p>
    <w:p w14:paraId="1D3621BA">
      <w:pPr>
        <w:rPr>
          <w:rFonts w:hint="eastAsia" w:ascii="仿宋" w:hAnsi="仿宋" w:eastAsia="仿宋" w:cs="仿宋"/>
          <w:color w:val="auto"/>
          <w:sz w:val="32"/>
          <w:szCs w:val="32"/>
          <w:highlight w:val="none"/>
        </w:rPr>
      </w:pPr>
    </w:p>
    <w:p w14:paraId="1A64773A">
      <w:pPr>
        <w:rPr>
          <w:rFonts w:hint="eastAsia" w:ascii="仿宋" w:hAnsi="仿宋" w:eastAsia="仿宋" w:cs="仿宋"/>
          <w:color w:val="auto"/>
          <w:sz w:val="28"/>
          <w:szCs w:val="28"/>
          <w:highlight w:val="none"/>
        </w:rPr>
      </w:pPr>
    </w:p>
    <w:p w14:paraId="2DA78A0D">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投  标  文  件</w:t>
      </w:r>
    </w:p>
    <w:p w14:paraId="0FB0F1C2">
      <w:pPr>
        <w:rPr>
          <w:rFonts w:hint="eastAsia" w:ascii="仿宋" w:hAnsi="仿宋" w:eastAsia="仿宋" w:cs="仿宋"/>
          <w:b/>
          <w:color w:val="auto"/>
          <w:sz w:val="32"/>
          <w:szCs w:val="32"/>
          <w:highlight w:val="none"/>
        </w:rPr>
      </w:pPr>
    </w:p>
    <w:p w14:paraId="7222E92C">
      <w:pPr>
        <w:rPr>
          <w:rFonts w:hint="eastAsia" w:ascii="仿宋" w:hAnsi="仿宋" w:eastAsia="仿宋" w:cs="仿宋"/>
          <w:b/>
          <w:color w:val="auto"/>
          <w:sz w:val="32"/>
          <w:szCs w:val="32"/>
          <w:highlight w:val="none"/>
        </w:rPr>
      </w:pPr>
    </w:p>
    <w:p w14:paraId="242AC6E7">
      <w:pPr>
        <w:rPr>
          <w:rFonts w:hint="eastAsia" w:ascii="仿宋" w:hAnsi="仿宋" w:eastAsia="仿宋" w:cs="仿宋"/>
          <w:b/>
          <w:color w:val="auto"/>
          <w:sz w:val="32"/>
          <w:szCs w:val="32"/>
          <w:highlight w:val="none"/>
        </w:rPr>
      </w:pPr>
    </w:p>
    <w:p w14:paraId="4CF170AA">
      <w:pPr>
        <w:rPr>
          <w:rFonts w:hint="eastAsia" w:ascii="仿宋" w:hAnsi="仿宋" w:eastAsia="仿宋" w:cs="仿宋"/>
          <w:b/>
          <w:color w:val="auto"/>
          <w:sz w:val="32"/>
          <w:szCs w:val="32"/>
          <w:highlight w:val="none"/>
        </w:rPr>
      </w:pPr>
    </w:p>
    <w:p w14:paraId="15F3F22A">
      <w:pPr>
        <w:spacing w:line="480" w:lineRule="auto"/>
        <w:ind w:firstLine="1200" w:firstLineChars="5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标</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人（单位公章）：</w:t>
      </w:r>
      <w:r>
        <w:rPr>
          <w:rFonts w:hint="eastAsia" w:ascii="仿宋" w:hAnsi="仿宋" w:eastAsia="仿宋" w:cs="仿宋"/>
          <w:color w:val="auto"/>
          <w:sz w:val="24"/>
          <w:szCs w:val="24"/>
          <w:highlight w:val="none"/>
          <w:u w:val="single"/>
        </w:rPr>
        <w:t xml:space="preserve">                                </w:t>
      </w:r>
    </w:p>
    <w:p w14:paraId="48D73E77">
      <w:pPr>
        <w:spacing w:line="480" w:lineRule="auto"/>
        <w:ind w:firstLine="1200" w:firstLineChars="5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法定代表人（签字或盖章）：</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p>
    <w:p w14:paraId="064E7992">
      <w:pPr>
        <w:spacing w:line="480" w:lineRule="auto"/>
        <w:ind w:firstLine="1200" w:firstLineChars="5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联系电话：</w:t>
      </w:r>
    </w:p>
    <w:p w14:paraId="3287B8B5">
      <w:pPr>
        <w:spacing w:line="480" w:lineRule="auto"/>
        <w:ind w:firstLine="1200" w:firstLineChars="5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单位地址：</w:t>
      </w:r>
    </w:p>
    <w:p w14:paraId="3B9D080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2DEDF91A">
      <w:pPr>
        <w:jc w:val="left"/>
        <w:rPr>
          <w:rFonts w:hint="eastAsia" w:ascii="仿宋" w:hAnsi="仿宋" w:eastAsia="仿宋" w:cs="仿宋"/>
          <w:color w:val="auto"/>
          <w:sz w:val="24"/>
          <w:highlight w:val="none"/>
        </w:rPr>
      </w:pPr>
      <w:r>
        <w:rPr>
          <w:rFonts w:hint="eastAsia" w:ascii="仿宋" w:hAnsi="仿宋" w:eastAsia="仿宋" w:cs="仿宋"/>
          <w:color w:val="auto"/>
          <w:highlight w:val="none"/>
        </w:rPr>
        <w:br w:type="page"/>
      </w:r>
    </w:p>
    <w:p w14:paraId="4A7CAB1A">
      <w:pPr>
        <w:spacing w:line="500" w:lineRule="exact"/>
        <w:jc w:val="center"/>
        <w:rPr>
          <w:rFonts w:hint="eastAsia" w:ascii="仿宋" w:hAnsi="仿宋" w:eastAsia="仿宋" w:cs="仿宋"/>
          <w:b/>
          <w:bCs/>
          <w:color w:val="auto"/>
          <w:kern w:val="0"/>
          <w:sz w:val="28"/>
          <w:szCs w:val="28"/>
          <w:lang w:eastAsia="zh-CN"/>
        </w:rPr>
      </w:pPr>
      <w:bookmarkStart w:id="162" w:name="_Toc17339"/>
      <w:bookmarkStart w:id="163" w:name="_Toc8540"/>
      <w:bookmarkStart w:id="164" w:name="_Toc23287"/>
      <w:bookmarkStart w:id="165" w:name="_Toc19403"/>
      <w:bookmarkStart w:id="166" w:name="_Toc22085"/>
      <w:r>
        <w:rPr>
          <w:rFonts w:hint="eastAsia" w:ascii="仿宋" w:hAnsi="仿宋" w:eastAsia="仿宋" w:cs="仿宋"/>
          <w:b/>
          <w:bCs/>
          <w:color w:val="auto"/>
          <w:kern w:val="0"/>
          <w:sz w:val="32"/>
          <w:szCs w:val="32"/>
          <w:lang w:eastAsia="zh-CN"/>
        </w:rPr>
        <w:t>目</w:t>
      </w:r>
      <w:r>
        <w:rPr>
          <w:rFonts w:hint="eastAsia" w:ascii="仿宋" w:hAnsi="仿宋" w:eastAsia="仿宋" w:cs="仿宋"/>
          <w:b/>
          <w:bCs/>
          <w:color w:val="auto"/>
          <w:kern w:val="0"/>
          <w:sz w:val="32"/>
          <w:szCs w:val="32"/>
          <w:lang w:val="en-US" w:eastAsia="zh-CN"/>
        </w:rPr>
        <w:t xml:space="preserve">  </w:t>
      </w:r>
      <w:r>
        <w:rPr>
          <w:rFonts w:hint="eastAsia" w:ascii="仿宋" w:hAnsi="仿宋" w:eastAsia="仿宋" w:cs="仿宋"/>
          <w:b/>
          <w:bCs/>
          <w:color w:val="auto"/>
          <w:kern w:val="0"/>
          <w:sz w:val="32"/>
          <w:szCs w:val="32"/>
          <w:lang w:eastAsia="zh-CN"/>
        </w:rPr>
        <w:t>录</w:t>
      </w:r>
    </w:p>
    <w:p w14:paraId="79F57E79">
      <w:pPr>
        <w:pStyle w:val="22"/>
        <w:spacing w:line="360" w:lineRule="auto"/>
        <w:rPr>
          <w:rFonts w:hint="eastAsia" w:ascii="仿宋" w:hAnsi="仿宋" w:eastAsia="仿宋" w:cs="仿宋"/>
          <w:color w:val="auto"/>
          <w:sz w:val="24"/>
          <w:szCs w:val="22"/>
          <w:lang w:eastAsia="zh-CN"/>
        </w:rPr>
      </w:pPr>
    </w:p>
    <w:p w14:paraId="6162DBC5">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投标人自行编制，注明页码。</w:t>
      </w:r>
    </w:p>
    <w:p w14:paraId="7EA1C142">
      <w:pPr>
        <w:pStyle w:val="37"/>
        <w:numPr>
          <w:ilvl w:val="0"/>
          <w:numId w:val="0"/>
        </w:numPr>
        <w:ind w:firstLine="720" w:firstLineChars="300"/>
        <w:jc w:val="both"/>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rPr>
        <w:t>（注：投标人提供的投标文件应当使用采购文件所提供投标文件格式（表格可按照同样格式扩展）</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未提供格式的，需要时由投标人用文字或者表格、图片等其它形式提供）</w:t>
      </w:r>
      <w:r>
        <w:rPr>
          <w:rFonts w:hint="eastAsia" w:ascii="仿宋" w:hAnsi="仿宋" w:eastAsia="仿宋" w:cs="仿宋"/>
          <w:b w:val="0"/>
          <w:bCs w:val="0"/>
          <w:color w:val="auto"/>
          <w:sz w:val="24"/>
          <w:szCs w:val="24"/>
          <w:lang w:eastAsia="zh-CN"/>
        </w:rPr>
        <w:t>。</w:t>
      </w:r>
    </w:p>
    <w:p w14:paraId="67460F7F">
      <w:pPr>
        <w:pStyle w:val="37"/>
        <w:numPr>
          <w:ilvl w:val="0"/>
          <w:numId w:val="0"/>
        </w:numPr>
        <w:jc w:val="center"/>
        <w:rPr>
          <w:rFonts w:hint="eastAsia" w:ascii="仿宋" w:hAnsi="仿宋" w:eastAsia="仿宋" w:cs="仿宋"/>
          <w:b w:val="0"/>
          <w:bCs w:val="0"/>
          <w:color w:val="auto"/>
          <w:sz w:val="28"/>
          <w:szCs w:val="28"/>
          <w:highlight w:val="none"/>
          <w:lang w:eastAsia="zh-CN"/>
        </w:rPr>
      </w:pPr>
    </w:p>
    <w:p w14:paraId="7525D028">
      <w:pPr>
        <w:numPr>
          <w:ilvl w:val="0"/>
          <w:numId w:val="0"/>
        </w:numPr>
        <w:rPr>
          <w:rFonts w:hint="eastAsia" w:ascii="仿宋" w:hAnsi="仿宋" w:eastAsia="仿宋" w:cs="仿宋"/>
          <w:color w:val="auto"/>
          <w:sz w:val="28"/>
          <w:szCs w:val="28"/>
          <w:highlight w:val="none"/>
          <w:lang w:val="en-US" w:eastAsia="zh-CN"/>
        </w:rPr>
      </w:pPr>
    </w:p>
    <w:p w14:paraId="7D445049">
      <w:pPr>
        <w:pStyle w:val="47"/>
        <w:ind w:left="0" w:leftChars="0" w:firstLine="0" w:firstLineChars="0"/>
        <w:rPr>
          <w:rFonts w:hint="eastAsia" w:ascii="仿宋" w:hAnsi="仿宋" w:eastAsia="仿宋" w:cs="仿宋"/>
          <w:color w:val="auto"/>
          <w:highlight w:val="none"/>
          <w:lang w:val="en-US" w:eastAsia="zh-CN"/>
        </w:rPr>
      </w:pPr>
    </w:p>
    <w:p w14:paraId="1C3CD050">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175BE4C2">
      <w:pPr>
        <w:numPr>
          <w:ilvl w:val="0"/>
          <w:numId w:val="0"/>
        </w:numPr>
        <w:spacing w:line="360" w:lineRule="auto"/>
        <w:jc w:val="center"/>
        <w:rPr>
          <w:rFonts w:hint="eastAsia" w:ascii="仿宋" w:hAnsi="仿宋" w:eastAsia="仿宋" w:cs="仿宋"/>
          <w:b/>
          <w:bCs/>
          <w:color w:val="auto"/>
          <w:sz w:val="24"/>
          <w:szCs w:val="24"/>
          <w:highlight w:val="none"/>
          <w:lang w:val="en-US" w:eastAsia="zh-CN"/>
        </w:rPr>
      </w:pPr>
    </w:p>
    <w:tbl>
      <w:tblPr>
        <w:tblStyle w:val="48"/>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2947"/>
        <w:gridCol w:w="2839"/>
        <w:gridCol w:w="2076"/>
      </w:tblGrid>
      <w:tr w14:paraId="1BE6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9" w:type="dxa"/>
            <w:gridSpan w:val="4"/>
            <w:noWrap w:val="0"/>
            <w:vAlign w:val="center"/>
          </w:tcPr>
          <w:p w14:paraId="48667BA0">
            <w:pPr>
              <w:adjustRightInd w:val="0"/>
              <w:snapToGrid w:val="0"/>
              <w:spacing w:line="48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8"/>
                <w:szCs w:val="28"/>
                <w:highlight w:val="none"/>
              </w:rPr>
              <w:t>评标索引表</w:t>
            </w:r>
          </w:p>
        </w:tc>
      </w:tr>
      <w:tr w14:paraId="252D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noWrap w:val="0"/>
            <w:vAlign w:val="center"/>
          </w:tcPr>
          <w:p w14:paraId="78AFE09B">
            <w:pPr>
              <w:adjustRightInd w:val="0"/>
              <w:snapToGrid w:val="0"/>
              <w:spacing w:line="48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2947" w:type="dxa"/>
            <w:noWrap w:val="0"/>
            <w:vAlign w:val="center"/>
          </w:tcPr>
          <w:p w14:paraId="5DD69042">
            <w:pPr>
              <w:adjustRightInd w:val="0"/>
              <w:snapToGrid w:val="0"/>
              <w:spacing w:line="48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评审因素</w:t>
            </w:r>
          </w:p>
        </w:tc>
        <w:tc>
          <w:tcPr>
            <w:tcW w:w="2839" w:type="dxa"/>
            <w:noWrap w:val="0"/>
            <w:vAlign w:val="center"/>
          </w:tcPr>
          <w:p w14:paraId="4F0E701C">
            <w:pPr>
              <w:adjustRightInd w:val="0"/>
              <w:snapToGrid w:val="0"/>
              <w:spacing w:line="48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索引页码</w:t>
            </w:r>
          </w:p>
        </w:tc>
        <w:tc>
          <w:tcPr>
            <w:tcW w:w="2076" w:type="dxa"/>
            <w:noWrap w:val="0"/>
            <w:vAlign w:val="center"/>
          </w:tcPr>
          <w:p w14:paraId="21F28D1E">
            <w:pPr>
              <w:adjustRightInd w:val="0"/>
              <w:snapToGrid w:val="0"/>
              <w:spacing w:line="48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56B5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noWrap w:val="0"/>
            <w:vAlign w:val="center"/>
          </w:tcPr>
          <w:p w14:paraId="510B28AC">
            <w:pPr>
              <w:adjustRightInd w:val="0"/>
              <w:snapToGrid w:val="0"/>
              <w:spacing w:line="480" w:lineRule="auto"/>
              <w:jc w:val="center"/>
              <w:rPr>
                <w:rFonts w:hint="eastAsia" w:ascii="仿宋" w:hAnsi="仿宋" w:eastAsia="仿宋" w:cs="仿宋"/>
                <w:b/>
                <w:color w:val="auto"/>
                <w:sz w:val="24"/>
                <w:szCs w:val="24"/>
                <w:highlight w:val="none"/>
              </w:rPr>
            </w:pPr>
          </w:p>
        </w:tc>
        <w:tc>
          <w:tcPr>
            <w:tcW w:w="2947" w:type="dxa"/>
            <w:noWrap w:val="0"/>
            <w:vAlign w:val="center"/>
          </w:tcPr>
          <w:p w14:paraId="202907F7">
            <w:pPr>
              <w:adjustRightInd w:val="0"/>
              <w:snapToGrid w:val="0"/>
              <w:spacing w:line="480" w:lineRule="auto"/>
              <w:jc w:val="center"/>
              <w:rPr>
                <w:rFonts w:hint="eastAsia" w:ascii="仿宋" w:hAnsi="仿宋" w:eastAsia="仿宋" w:cs="仿宋"/>
                <w:b/>
                <w:color w:val="auto"/>
                <w:sz w:val="24"/>
                <w:szCs w:val="24"/>
                <w:highlight w:val="none"/>
              </w:rPr>
            </w:pPr>
          </w:p>
        </w:tc>
        <w:tc>
          <w:tcPr>
            <w:tcW w:w="2839" w:type="dxa"/>
            <w:noWrap w:val="0"/>
            <w:vAlign w:val="center"/>
          </w:tcPr>
          <w:p w14:paraId="4C1ACB06">
            <w:pPr>
              <w:adjustRightInd w:val="0"/>
              <w:snapToGrid w:val="0"/>
              <w:spacing w:line="480" w:lineRule="auto"/>
              <w:jc w:val="center"/>
              <w:rPr>
                <w:rFonts w:hint="eastAsia" w:ascii="仿宋" w:hAnsi="仿宋" w:eastAsia="仿宋" w:cs="仿宋"/>
                <w:b/>
                <w:color w:val="auto"/>
                <w:sz w:val="24"/>
                <w:szCs w:val="24"/>
                <w:highlight w:val="none"/>
              </w:rPr>
            </w:pPr>
          </w:p>
        </w:tc>
        <w:tc>
          <w:tcPr>
            <w:tcW w:w="2076" w:type="dxa"/>
            <w:noWrap w:val="0"/>
            <w:vAlign w:val="center"/>
          </w:tcPr>
          <w:p w14:paraId="236755E0">
            <w:pPr>
              <w:adjustRightInd w:val="0"/>
              <w:snapToGrid w:val="0"/>
              <w:spacing w:line="480" w:lineRule="auto"/>
              <w:jc w:val="center"/>
              <w:rPr>
                <w:rFonts w:hint="eastAsia" w:ascii="仿宋" w:hAnsi="仿宋" w:eastAsia="仿宋" w:cs="仿宋"/>
                <w:b/>
                <w:color w:val="auto"/>
                <w:sz w:val="24"/>
                <w:szCs w:val="24"/>
                <w:highlight w:val="none"/>
              </w:rPr>
            </w:pPr>
          </w:p>
        </w:tc>
      </w:tr>
      <w:tr w14:paraId="05F1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noWrap w:val="0"/>
            <w:vAlign w:val="center"/>
          </w:tcPr>
          <w:p w14:paraId="6460B79B">
            <w:pPr>
              <w:adjustRightInd w:val="0"/>
              <w:snapToGrid w:val="0"/>
              <w:spacing w:line="480" w:lineRule="auto"/>
              <w:jc w:val="center"/>
              <w:rPr>
                <w:rFonts w:hint="eastAsia" w:ascii="仿宋" w:hAnsi="仿宋" w:eastAsia="仿宋" w:cs="仿宋"/>
                <w:b/>
                <w:color w:val="auto"/>
                <w:sz w:val="24"/>
                <w:szCs w:val="24"/>
                <w:highlight w:val="none"/>
              </w:rPr>
            </w:pPr>
          </w:p>
        </w:tc>
        <w:tc>
          <w:tcPr>
            <w:tcW w:w="2947" w:type="dxa"/>
            <w:noWrap w:val="0"/>
            <w:vAlign w:val="center"/>
          </w:tcPr>
          <w:p w14:paraId="6FEAF86C">
            <w:pPr>
              <w:adjustRightInd w:val="0"/>
              <w:snapToGrid w:val="0"/>
              <w:spacing w:line="480" w:lineRule="auto"/>
              <w:jc w:val="center"/>
              <w:rPr>
                <w:rFonts w:hint="eastAsia" w:ascii="仿宋" w:hAnsi="仿宋" w:eastAsia="仿宋" w:cs="仿宋"/>
                <w:b/>
                <w:color w:val="auto"/>
                <w:sz w:val="24"/>
                <w:szCs w:val="24"/>
                <w:highlight w:val="none"/>
              </w:rPr>
            </w:pPr>
          </w:p>
        </w:tc>
        <w:tc>
          <w:tcPr>
            <w:tcW w:w="2839" w:type="dxa"/>
            <w:noWrap w:val="0"/>
            <w:vAlign w:val="center"/>
          </w:tcPr>
          <w:p w14:paraId="42329AC2">
            <w:pPr>
              <w:adjustRightInd w:val="0"/>
              <w:snapToGrid w:val="0"/>
              <w:spacing w:line="480" w:lineRule="auto"/>
              <w:jc w:val="center"/>
              <w:rPr>
                <w:rFonts w:hint="eastAsia" w:ascii="仿宋" w:hAnsi="仿宋" w:eastAsia="仿宋" w:cs="仿宋"/>
                <w:b/>
                <w:color w:val="auto"/>
                <w:sz w:val="24"/>
                <w:szCs w:val="24"/>
                <w:highlight w:val="none"/>
              </w:rPr>
            </w:pPr>
          </w:p>
        </w:tc>
        <w:tc>
          <w:tcPr>
            <w:tcW w:w="2076" w:type="dxa"/>
            <w:noWrap w:val="0"/>
            <w:vAlign w:val="center"/>
          </w:tcPr>
          <w:p w14:paraId="496767EE">
            <w:pPr>
              <w:adjustRightInd w:val="0"/>
              <w:snapToGrid w:val="0"/>
              <w:spacing w:line="480" w:lineRule="auto"/>
              <w:jc w:val="center"/>
              <w:rPr>
                <w:rFonts w:hint="eastAsia" w:ascii="仿宋" w:hAnsi="仿宋" w:eastAsia="仿宋" w:cs="仿宋"/>
                <w:b/>
                <w:color w:val="auto"/>
                <w:sz w:val="24"/>
                <w:szCs w:val="24"/>
                <w:highlight w:val="none"/>
              </w:rPr>
            </w:pPr>
          </w:p>
        </w:tc>
      </w:tr>
      <w:tr w14:paraId="1FE5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noWrap w:val="0"/>
            <w:vAlign w:val="center"/>
          </w:tcPr>
          <w:p w14:paraId="783CBD42">
            <w:pPr>
              <w:adjustRightInd w:val="0"/>
              <w:snapToGrid w:val="0"/>
              <w:spacing w:line="480" w:lineRule="auto"/>
              <w:jc w:val="center"/>
              <w:rPr>
                <w:rFonts w:hint="eastAsia" w:ascii="仿宋" w:hAnsi="仿宋" w:eastAsia="仿宋" w:cs="仿宋"/>
                <w:b/>
                <w:color w:val="auto"/>
                <w:sz w:val="24"/>
                <w:szCs w:val="24"/>
                <w:highlight w:val="none"/>
              </w:rPr>
            </w:pPr>
          </w:p>
        </w:tc>
        <w:tc>
          <w:tcPr>
            <w:tcW w:w="2947" w:type="dxa"/>
            <w:noWrap w:val="0"/>
            <w:vAlign w:val="center"/>
          </w:tcPr>
          <w:p w14:paraId="5AADCAEC">
            <w:pPr>
              <w:adjustRightInd w:val="0"/>
              <w:snapToGrid w:val="0"/>
              <w:spacing w:line="480" w:lineRule="auto"/>
              <w:jc w:val="center"/>
              <w:rPr>
                <w:rFonts w:hint="eastAsia" w:ascii="仿宋" w:hAnsi="仿宋" w:eastAsia="仿宋" w:cs="仿宋"/>
                <w:b/>
                <w:color w:val="auto"/>
                <w:sz w:val="24"/>
                <w:szCs w:val="24"/>
                <w:highlight w:val="none"/>
              </w:rPr>
            </w:pPr>
          </w:p>
        </w:tc>
        <w:tc>
          <w:tcPr>
            <w:tcW w:w="2839" w:type="dxa"/>
            <w:noWrap w:val="0"/>
            <w:vAlign w:val="center"/>
          </w:tcPr>
          <w:p w14:paraId="01399F0A">
            <w:pPr>
              <w:adjustRightInd w:val="0"/>
              <w:snapToGrid w:val="0"/>
              <w:spacing w:line="480" w:lineRule="auto"/>
              <w:jc w:val="center"/>
              <w:rPr>
                <w:rFonts w:hint="eastAsia" w:ascii="仿宋" w:hAnsi="仿宋" w:eastAsia="仿宋" w:cs="仿宋"/>
                <w:b/>
                <w:color w:val="auto"/>
                <w:sz w:val="24"/>
                <w:szCs w:val="24"/>
                <w:highlight w:val="none"/>
              </w:rPr>
            </w:pPr>
          </w:p>
        </w:tc>
        <w:tc>
          <w:tcPr>
            <w:tcW w:w="2076" w:type="dxa"/>
            <w:noWrap w:val="0"/>
            <w:vAlign w:val="center"/>
          </w:tcPr>
          <w:p w14:paraId="4F8104DD">
            <w:pPr>
              <w:adjustRightInd w:val="0"/>
              <w:snapToGrid w:val="0"/>
              <w:spacing w:line="480" w:lineRule="auto"/>
              <w:jc w:val="center"/>
              <w:rPr>
                <w:rFonts w:hint="eastAsia" w:ascii="仿宋" w:hAnsi="仿宋" w:eastAsia="仿宋" w:cs="仿宋"/>
                <w:b/>
                <w:color w:val="auto"/>
                <w:sz w:val="24"/>
                <w:szCs w:val="24"/>
                <w:highlight w:val="none"/>
              </w:rPr>
            </w:pPr>
          </w:p>
        </w:tc>
      </w:tr>
      <w:tr w14:paraId="6D38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noWrap w:val="0"/>
            <w:vAlign w:val="top"/>
          </w:tcPr>
          <w:p w14:paraId="3EC16199">
            <w:pPr>
              <w:adjustRightInd w:val="0"/>
              <w:snapToGrid w:val="0"/>
              <w:spacing w:line="480" w:lineRule="auto"/>
              <w:rPr>
                <w:rFonts w:hint="eastAsia" w:ascii="仿宋" w:hAnsi="仿宋" w:eastAsia="仿宋" w:cs="仿宋"/>
                <w:b/>
                <w:color w:val="auto"/>
                <w:sz w:val="24"/>
                <w:szCs w:val="24"/>
                <w:highlight w:val="none"/>
              </w:rPr>
            </w:pPr>
          </w:p>
        </w:tc>
        <w:tc>
          <w:tcPr>
            <w:tcW w:w="2947" w:type="dxa"/>
            <w:noWrap w:val="0"/>
            <w:vAlign w:val="top"/>
          </w:tcPr>
          <w:p w14:paraId="2F892A04">
            <w:pPr>
              <w:adjustRightInd w:val="0"/>
              <w:snapToGrid w:val="0"/>
              <w:spacing w:line="480" w:lineRule="auto"/>
              <w:rPr>
                <w:rFonts w:hint="eastAsia" w:ascii="仿宋" w:hAnsi="仿宋" w:eastAsia="仿宋" w:cs="仿宋"/>
                <w:b/>
                <w:color w:val="auto"/>
                <w:sz w:val="24"/>
                <w:szCs w:val="24"/>
                <w:highlight w:val="none"/>
              </w:rPr>
            </w:pPr>
          </w:p>
        </w:tc>
        <w:tc>
          <w:tcPr>
            <w:tcW w:w="2839" w:type="dxa"/>
            <w:noWrap w:val="0"/>
            <w:vAlign w:val="top"/>
          </w:tcPr>
          <w:p w14:paraId="70F61DDA">
            <w:pPr>
              <w:adjustRightInd w:val="0"/>
              <w:snapToGrid w:val="0"/>
              <w:spacing w:line="480" w:lineRule="auto"/>
              <w:rPr>
                <w:rFonts w:hint="eastAsia" w:ascii="仿宋" w:hAnsi="仿宋" w:eastAsia="仿宋" w:cs="仿宋"/>
                <w:b/>
                <w:color w:val="auto"/>
                <w:sz w:val="24"/>
                <w:szCs w:val="24"/>
                <w:highlight w:val="none"/>
              </w:rPr>
            </w:pPr>
          </w:p>
        </w:tc>
        <w:tc>
          <w:tcPr>
            <w:tcW w:w="2076" w:type="dxa"/>
            <w:noWrap w:val="0"/>
            <w:vAlign w:val="top"/>
          </w:tcPr>
          <w:p w14:paraId="771AB034">
            <w:pPr>
              <w:adjustRightInd w:val="0"/>
              <w:snapToGrid w:val="0"/>
              <w:spacing w:line="480" w:lineRule="auto"/>
              <w:rPr>
                <w:rFonts w:hint="eastAsia" w:ascii="仿宋" w:hAnsi="仿宋" w:eastAsia="仿宋" w:cs="仿宋"/>
                <w:b/>
                <w:color w:val="auto"/>
                <w:sz w:val="24"/>
                <w:szCs w:val="24"/>
                <w:highlight w:val="none"/>
              </w:rPr>
            </w:pPr>
          </w:p>
        </w:tc>
      </w:tr>
      <w:tr w14:paraId="68B9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noWrap w:val="0"/>
            <w:vAlign w:val="top"/>
          </w:tcPr>
          <w:p w14:paraId="23B81266">
            <w:pPr>
              <w:adjustRightInd w:val="0"/>
              <w:snapToGrid w:val="0"/>
              <w:spacing w:line="480" w:lineRule="auto"/>
              <w:rPr>
                <w:rFonts w:hint="eastAsia" w:ascii="仿宋" w:hAnsi="仿宋" w:eastAsia="仿宋" w:cs="仿宋"/>
                <w:b/>
                <w:color w:val="auto"/>
                <w:sz w:val="24"/>
                <w:szCs w:val="24"/>
                <w:highlight w:val="none"/>
              </w:rPr>
            </w:pPr>
          </w:p>
        </w:tc>
        <w:tc>
          <w:tcPr>
            <w:tcW w:w="2947" w:type="dxa"/>
            <w:noWrap w:val="0"/>
            <w:vAlign w:val="top"/>
          </w:tcPr>
          <w:p w14:paraId="1007378B">
            <w:pPr>
              <w:adjustRightInd w:val="0"/>
              <w:snapToGrid w:val="0"/>
              <w:spacing w:line="480" w:lineRule="auto"/>
              <w:rPr>
                <w:rFonts w:hint="eastAsia" w:ascii="仿宋" w:hAnsi="仿宋" w:eastAsia="仿宋" w:cs="仿宋"/>
                <w:b/>
                <w:color w:val="auto"/>
                <w:sz w:val="24"/>
                <w:szCs w:val="24"/>
                <w:highlight w:val="none"/>
              </w:rPr>
            </w:pPr>
          </w:p>
        </w:tc>
        <w:tc>
          <w:tcPr>
            <w:tcW w:w="2839" w:type="dxa"/>
            <w:noWrap w:val="0"/>
            <w:vAlign w:val="top"/>
          </w:tcPr>
          <w:p w14:paraId="1C74AD50">
            <w:pPr>
              <w:adjustRightInd w:val="0"/>
              <w:snapToGrid w:val="0"/>
              <w:spacing w:line="480" w:lineRule="auto"/>
              <w:rPr>
                <w:rFonts w:hint="eastAsia" w:ascii="仿宋" w:hAnsi="仿宋" w:eastAsia="仿宋" w:cs="仿宋"/>
                <w:b/>
                <w:color w:val="auto"/>
                <w:sz w:val="24"/>
                <w:szCs w:val="24"/>
                <w:highlight w:val="none"/>
              </w:rPr>
            </w:pPr>
          </w:p>
        </w:tc>
        <w:tc>
          <w:tcPr>
            <w:tcW w:w="2076" w:type="dxa"/>
            <w:noWrap w:val="0"/>
            <w:vAlign w:val="top"/>
          </w:tcPr>
          <w:p w14:paraId="1AAE9DA1">
            <w:pPr>
              <w:adjustRightInd w:val="0"/>
              <w:snapToGrid w:val="0"/>
              <w:spacing w:line="480" w:lineRule="auto"/>
              <w:rPr>
                <w:rFonts w:hint="eastAsia" w:ascii="仿宋" w:hAnsi="仿宋" w:eastAsia="仿宋" w:cs="仿宋"/>
                <w:b/>
                <w:color w:val="auto"/>
                <w:sz w:val="24"/>
                <w:szCs w:val="24"/>
                <w:highlight w:val="none"/>
              </w:rPr>
            </w:pPr>
          </w:p>
        </w:tc>
      </w:tr>
      <w:tr w14:paraId="3460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noWrap w:val="0"/>
            <w:vAlign w:val="top"/>
          </w:tcPr>
          <w:p w14:paraId="1D0306CB">
            <w:pPr>
              <w:adjustRightInd w:val="0"/>
              <w:snapToGrid w:val="0"/>
              <w:spacing w:line="480" w:lineRule="auto"/>
              <w:rPr>
                <w:rFonts w:hint="eastAsia" w:ascii="仿宋" w:hAnsi="仿宋" w:eastAsia="仿宋" w:cs="仿宋"/>
                <w:b/>
                <w:color w:val="auto"/>
                <w:sz w:val="24"/>
                <w:szCs w:val="24"/>
                <w:highlight w:val="none"/>
              </w:rPr>
            </w:pPr>
          </w:p>
        </w:tc>
        <w:tc>
          <w:tcPr>
            <w:tcW w:w="2947" w:type="dxa"/>
            <w:noWrap w:val="0"/>
            <w:vAlign w:val="top"/>
          </w:tcPr>
          <w:p w14:paraId="30636172">
            <w:pPr>
              <w:adjustRightInd w:val="0"/>
              <w:snapToGrid w:val="0"/>
              <w:spacing w:line="480" w:lineRule="auto"/>
              <w:rPr>
                <w:rFonts w:hint="eastAsia" w:ascii="仿宋" w:hAnsi="仿宋" w:eastAsia="仿宋" w:cs="仿宋"/>
                <w:b/>
                <w:color w:val="auto"/>
                <w:sz w:val="24"/>
                <w:szCs w:val="24"/>
                <w:highlight w:val="none"/>
              </w:rPr>
            </w:pPr>
          </w:p>
        </w:tc>
        <w:tc>
          <w:tcPr>
            <w:tcW w:w="2839" w:type="dxa"/>
            <w:noWrap w:val="0"/>
            <w:vAlign w:val="top"/>
          </w:tcPr>
          <w:p w14:paraId="719145DC">
            <w:pPr>
              <w:adjustRightInd w:val="0"/>
              <w:snapToGrid w:val="0"/>
              <w:spacing w:line="480" w:lineRule="auto"/>
              <w:rPr>
                <w:rFonts w:hint="eastAsia" w:ascii="仿宋" w:hAnsi="仿宋" w:eastAsia="仿宋" w:cs="仿宋"/>
                <w:b/>
                <w:color w:val="auto"/>
                <w:sz w:val="24"/>
                <w:szCs w:val="24"/>
                <w:highlight w:val="none"/>
              </w:rPr>
            </w:pPr>
          </w:p>
        </w:tc>
        <w:tc>
          <w:tcPr>
            <w:tcW w:w="2076" w:type="dxa"/>
            <w:noWrap w:val="0"/>
            <w:vAlign w:val="top"/>
          </w:tcPr>
          <w:p w14:paraId="09E40905">
            <w:pPr>
              <w:adjustRightInd w:val="0"/>
              <w:snapToGrid w:val="0"/>
              <w:spacing w:line="480" w:lineRule="auto"/>
              <w:rPr>
                <w:rFonts w:hint="eastAsia" w:ascii="仿宋" w:hAnsi="仿宋" w:eastAsia="仿宋" w:cs="仿宋"/>
                <w:b/>
                <w:color w:val="auto"/>
                <w:sz w:val="24"/>
                <w:szCs w:val="24"/>
                <w:highlight w:val="none"/>
              </w:rPr>
            </w:pPr>
          </w:p>
        </w:tc>
      </w:tr>
      <w:tr w14:paraId="4677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noWrap w:val="0"/>
            <w:vAlign w:val="top"/>
          </w:tcPr>
          <w:p w14:paraId="2426ACAA">
            <w:pPr>
              <w:adjustRightInd w:val="0"/>
              <w:snapToGrid w:val="0"/>
              <w:spacing w:line="480" w:lineRule="auto"/>
              <w:rPr>
                <w:rFonts w:hint="eastAsia" w:ascii="仿宋" w:hAnsi="仿宋" w:eastAsia="仿宋" w:cs="仿宋"/>
                <w:b/>
                <w:color w:val="auto"/>
                <w:sz w:val="24"/>
                <w:szCs w:val="24"/>
                <w:highlight w:val="none"/>
              </w:rPr>
            </w:pPr>
          </w:p>
        </w:tc>
        <w:tc>
          <w:tcPr>
            <w:tcW w:w="2947" w:type="dxa"/>
            <w:noWrap w:val="0"/>
            <w:vAlign w:val="top"/>
          </w:tcPr>
          <w:p w14:paraId="369DBE71">
            <w:pPr>
              <w:adjustRightInd w:val="0"/>
              <w:snapToGrid w:val="0"/>
              <w:spacing w:line="480" w:lineRule="auto"/>
              <w:rPr>
                <w:rFonts w:hint="eastAsia" w:ascii="仿宋" w:hAnsi="仿宋" w:eastAsia="仿宋" w:cs="仿宋"/>
                <w:b/>
                <w:color w:val="auto"/>
                <w:sz w:val="24"/>
                <w:szCs w:val="24"/>
                <w:highlight w:val="none"/>
              </w:rPr>
            </w:pPr>
          </w:p>
        </w:tc>
        <w:tc>
          <w:tcPr>
            <w:tcW w:w="2839" w:type="dxa"/>
            <w:noWrap w:val="0"/>
            <w:vAlign w:val="top"/>
          </w:tcPr>
          <w:p w14:paraId="5E9CE998">
            <w:pPr>
              <w:adjustRightInd w:val="0"/>
              <w:snapToGrid w:val="0"/>
              <w:spacing w:line="480" w:lineRule="auto"/>
              <w:rPr>
                <w:rFonts w:hint="eastAsia" w:ascii="仿宋" w:hAnsi="仿宋" w:eastAsia="仿宋" w:cs="仿宋"/>
                <w:b/>
                <w:color w:val="auto"/>
                <w:sz w:val="24"/>
                <w:szCs w:val="24"/>
                <w:highlight w:val="none"/>
              </w:rPr>
            </w:pPr>
          </w:p>
        </w:tc>
        <w:tc>
          <w:tcPr>
            <w:tcW w:w="2076" w:type="dxa"/>
            <w:noWrap w:val="0"/>
            <w:vAlign w:val="top"/>
          </w:tcPr>
          <w:p w14:paraId="1DD40E2C">
            <w:pPr>
              <w:adjustRightInd w:val="0"/>
              <w:snapToGrid w:val="0"/>
              <w:spacing w:line="480" w:lineRule="auto"/>
              <w:rPr>
                <w:rFonts w:hint="eastAsia" w:ascii="仿宋" w:hAnsi="仿宋" w:eastAsia="仿宋" w:cs="仿宋"/>
                <w:b/>
                <w:color w:val="auto"/>
                <w:sz w:val="24"/>
                <w:szCs w:val="24"/>
                <w:highlight w:val="none"/>
              </w:rPr>
            </w:pPr>
          </w:p>
        </w:tc>
      </w:tr>
      <w:tr w14:paraId="4197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noWrap w:val="0"/>
            <w:vAlign w:val="top"/>
          </w:tcPr>
          <w:p w14:paraId="4C74F117">
            <w:pPr>
              <w:adjustRightInd w:val="0"/>
              <w:snapToGrid w:val="0"/>
              <w:spacing w:line="480" w:lineRule="auto"/>
              <w:rPr>
                <w:rFonts w:hint="eastAsia" w:ascii="仿宋" w:hAnsi="仿宋" w:eastAsia="仿宋" w:cs="仿宋"/>
                <w:b/>
                <w:color w:val="auto"/>
                <w:sz w:val="24"/>
                <w:szCs w:val="24"/>
                <w:highlight w:val="none"/>
              </w:rPr>
            </w:pPr>
          </w:p>
        </w:tc>
        <w:tc>
          <w:tcPr>
            <w:tcW w:w="2947" w:type="dxa"/>
            <w:noWrap w:val="0"/>
            <w:vAlign w:val="top"/>
          </w:tcPr>
          <w:p w14:paraId="6519F83A">
            <w:pPr>
              <w:adjustRightInd w:val="0"/>
              <w:snapToGrid w:val="0"/>
              <w:spacing w:line="480" w:lineRule="auto"/>
              <w:rPr>
                <w:rFonts w:hint="eastAsia" w:ascii="仿宋" w:hAnsi="仿宋" w:eastAsia="仿宋" w:cs="仿宋"/>
                <w:b/>
                <w:color w:val="auto"/>
                <w:sz w:val="24"/>
                <w:szCs w:val="24"/>
                <w:highlight w:val="none"/>
              </w:rPr>
            </w:pPr>
          </w:p>
        </w:tc>
        <w:tc>
          <w:tcPr>
            <w:tcW w:w="2839" w:type="dxa"/>
            <w:noWrap w:val="0"/>
            <w:vAlign w:val="top"/>
          </w:tcPr>
          <w:p w14:paraId="1D2A0157">
            <w:pPr>
              <w:adjustRightInd w:val="0"/>
              <w:snapToGrid w:val="0"/>
              <w:spacing w:line="480" w:lineRule="auto"/>
              <w:rPr>
                <w:rFonts w:hint="eastAsia" w:ascii="仿宋" w:hAnsi="仿宋" w:eastAsia="仿宋" w:cs="仿宋"/>
                <w:b/>
                <w:color w:val="auto"/>
                <w:sz w:val="24"/>
                <w:szCs w:val="24"/>
                <w:highlight w:val="none"/>
              </w:rPr>
            </w:pPr>
          </w:p>
        </w:tc>
        <w:tc>
          <w:tcPr>
            <w:tcW w:w="2076" w:type="dxa"/>
            <w:noWrap w:val="0"/>
            <w:vAlign w:val="top"/>
          </w:tcPr>
          <w:p w14:paraId="7469FF73">
            <w:pPr>
              <w:adjustRightInd w:val="0"/>
              <w:snapToGrid w:val="0"/>
              <w:spacing w:line="480" w:lineRule="auto"/>
              <w:rPr>
                <w:rFonts w:hint="eastAsia" w:ascii="仿宋" w:hAnsi="仿宋" w:eastAsia="仿宋" w:cs="仿宋"/>
                <w:b/>
                <w:color w:val="auto"/>
                <w:sz w:val="24"/>
                <w:szCs w:val="24"/>
                <w:highlight w:val="none"/>
              </w:rPr>
            </w:pPr>
          </w:p>
        </w:tc>
      </w:tr>
      <w:tr w14:paraId="1BE4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noWrap w:val="0"/>
            <w:vAlign w:val="top"/>
          </w:tcPr>
          <w:p w14:paraId="0541AC14">
            <w:pPr>
              <w:adjustRightInd w:val="0"/>
              <w:snapToGrid w:val="0"/>
              <w:spacing w:line="48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p>
        </w:tc>
        <w:tc>
          <w:tcPr>
            <w:tcW w:w="2947" w:type="dxa"/>
            <w:noWrap w:val="0"/>
            <w:vAlign w:val="top"/>
          </w:tcPr>
          <w:p w14:paraId="7CF91C39">
            <w:pPr>
              <w:adjustRightInd w:val="0"/>
              <w:snapToGrid w:val="0"/>
              <w:spacing w:line="48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p>
        </w:tc>
        <w:tc>
          <w:tcPr>
            <w:tcW w:w="2839" w:type="dxa"/>
            <w:noWrap w:val="0"/>
            <w:vAlign w:val="top"/>
          </w:tcPr>
          <w:p w14:paraId="5801C125">
            <w:pPr>
              <w:adjustRightInd w:val="0"/>
              <w:snapToGrid w:val="0"/>
              <w:spacing w:line="48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p>
        </w:tc>
        <w:tc>
          <w:tcPr>
            <w:tcW w:w="2076" w:type="dxa"/>
            <w:noWrap w:val="0"/>
            <w:vAlign w:val="top"/>
          </w:tcPr>
          <w:p w14:paraId="10635555">
            <w:pPr>
              <w:adjustRightInd w:val="0"/>
              <w:snapToGrid w:val="0"/>
              <w:spacing w:line="48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p>
        </w:tc>
      </w:tr>
    </w:tbl>
    <w:p w14:paraId="01BD2AC6">
      <w:pPr>
        <w:pStyle w:val="6"/>
        <w:rPr>
          <w:rFonts w:hint="eastAsia" w:ascii="仿宋" w:hAnsi="仿宋" w:eastAsia="仿宋" w:cs="仿宋"/>
          <w:color w:val="auto"/>
          <w:highlight w:val="none"/>
          <w:lang w:val="en-US" w:eastAsia="zh-CN"/>
        </w:rPr>
      </w:pPr>
    </w:p>
    <w:p w14:paraId="5A3380D2">
      <w:pPr>
        <w:numPr>
          <w:ilvl w:val="0"/>
          <w:numId w:val="0"/>
        </w:numPr>
        <w:jc w:val="center"/>
        <w:rPr>
          <w:rFonts w:hint="eastAsia" w:ascii="仿宋" w:hAnsi="仿宋" w:eastAsia="仿宋" w:cs="仿宋"/>
          <w:b/>
          <w:bCs/>
          <w:color w:val="auto"/>
          <w:sz w:val="28"/>
          <w:szCs w:val="28"/>
          <w:highlight w:val="none"/>
          <w:lang w:val="en-US" w:eastAsia="zh-CN"/>
        </w:rPr>
      </w:pPr>
    </w:p>
    <w:p w14:paraId="54DF421A">
      <w:pPr>
        <w:numPr>
          <w:ilvl w:val="0"/>
          <w:numId w:val="0"/>
        </w:numPr>
        <w:jc w:val="center"/>
        <w:rPr>
          <w:rFonts w:hint="eastAsia" w:ascii="仿宋" w:hAnsi="仿宋" w:eastAsia="仿宋" w:cs="仿宋"/>
          <w:b/>
          <w:bCs/>
          <w:color w:val="auto"/>
          <w:sz w:val="28"/>
          <w:szCs w:val="28"/>
          <w:highlight w:val="none"/>
          <w:lang w:val="en-US" w:eastAsia="zh-CN"/>
        </w:rPr>
      </w:pPr>
    </w:p>
    <w:p w14:paraId="626732C1">
      <w:pPr>
        <w:numPr>
          <w:ilvl w:val="0"/>
          <w:numId w:val="0"/>
        </w:numPr>
        <w:jc w:val="center"/>
        <w:rPr>
          <w:rFonts w:hint="eastAsia" w:ascii="仿宋" w:hAnsi="仿宋" w:eastAsia="仿宋" w:cs="仿宋"/>
          <w:b/>
          <w:bCs/>
          <w:color w:val="auto"/>
          <w:sz w:val="28"/>
          <w:szCs w:val="28"/>
          <w:highlight w:val="none"/>
          <w:lang w:val="en-US" w:eastAsia="zh-CN"/>
        </w:rPr>
      </w:pPr>
    </w:p>
    <w:p w14:paraId="25C67B11">
      <w:pPr>
        <w:numPr>
          <w:ilvl w:val="0"/>
          <w:numId w:val="0"/>
        </w:numPr>
        <w:jc w:val="center"/>
        <w:rPr>
          <w:rFonts w:hint="eastAsia" w:ascii="仿宋" w:hAnsi="仿宋" w:eastAsia="仿宋" w:cs="仿宋"/>
          <w:b/>
          <w:bCs/>
          <w:color w:val="auto"/>
          <w:sz w:val="28"/>
          <w:szCs w:val="28"/>
          <w:highlight w:val="none"/>
          <w:lang w:val="en-US" w:eastAsia="zh-CN"/>
        </w:rPr>
      </w:pPr>
    </w:p>
    <w:p w14:paraId="736D140F">
      <w:pPr>
        <w:numPr>
          <w:ilvl w:val="0"/>
          <w:numId w:val="0"/>
        </w:numPr>
        <w:jc w:val="center"/>
        <w:rPr>
          <w:rFonts w:hint="eastAsia" w:ascii="仿宋" w:hAnsi="仿宋" w:eastAsia="仿宋" w:cs="仿宋"/>
          <w:b/>
          <w:bCs/>
          <w:color w:val="auto"/>
          <w:sz w:val="28"/>
          <w:szCs w:val="28"/>
          <w:highlight w:val="none"/>
          <w:lang w:val="en-US" w:eastAsia="zh-CN"/>
        </w:rPr>
      </w:pPr>
    </w:p>
    <w:p w14:paraId="0DCC087F">
      <w:pPr>
        <w:numPr>
          <w:ilvl w:val="0"/>
          <w:numId w:val="0"/>
        </w:numPr>
        <w:jc w:val="center"/>
        <w:rPr>
          <w:rFonts w:hint="eastAsia" w:ascii="仿宋" w:hAnsi="仿宋" w:eastAsia="仿宋" w:cs="仿宋"/>
          <w:b/>
          <w:bCs/>
          <w:color w:val="auto"/>
          <w:sz w:val="28"/>
          <w:szCs w:val="28"/>
          <w:highlight w:val="none"/>
          <w:lang w:val="en-US" w:eastAsia="zh-CN"/>
        </w:rPr>
      </w:pPr>
    </w:p>
    <w:p w14:paraId="2DAB93C6">
      <w:pPr>
        <w:numPr>
          <w:ilvl w:val="0"/>
          <w:numId w:val="0"/>
        </w:numPr>
        <w:jc w:val="center"/>
        <w:rPr>
          <w:rFonts w:hint="eastAsia" w:ascii="仿宋" w:hAnsi="仿宋" w:eastAsia="仿宋" w:cs="仿宋"/>
          <w:b/>
          <w:bCs/>
          <w:color w:val="auto"/>
          <w:sz w:val="28"/>
          <w:szCs w:val="28"/>
          <w:highlight w:val="none"/>
          <w:lang w:val="en-US" w:eastAsia="zh-CN"/>
        </w:rPr>
      </w:pPr>
    </w:p>
    <w:p w14:paraId="136BCFD7">
      <w:pPr>
        <w:numPr>
          <w:ilvl w:val="0"/>
          <w:numId w:val="0"/>
        </w:numPr>
        <w:jc w:val="center"/>
        <w:rPr>
          <w:rFonts w:hint="eastAsia" w:ascii="仿宋" w:hAnsi="仿宋" w:eastAsia="仿宋" w:cs="仿宋"/>
          <w:b/>
          <w:bCs/>
          <w:color w:val="auto"/>
          <w:sz w:val="28"/>
          <w:szCs w:val="28"/>
          <w:highlight w:val="none"/>
          <w:lang w:val="en-US" w:eastAsia="zh-CN"/>
        </w:rPr>
      </w:pPr>
    </w:p>
    <w:p w14:paraId="3F8A5A96">
      <w:pPr>
        <w:numPr>
          <w:ilvl w:val="0"/>
          <w:numId w:val="0"/>
        </w:numPr>
        <w:jc w:val="center"/>
        <w:rPr>
          <w:rFonts w:hint="eastAsia" w:ascii="仿宋" w:hAnsi="仿宋" w:eastAsia="仿宋" w:cs="仿宋"/>
          <w:b/>
          <w:bCs/>
          <w:color w:val="auto"/>
          <w:sz w:val="28"/>
          <w:szCs w:val="28"/>
          <w:highlight w:val="none"/>
          <w:lang w:val="en-US" w:eastAsia="zh-CN"/>
        </w:rPr>
        <w:sectPr>
          <w:headerReference r:id="rId4" w:type="default"/>
          <w:footerReference r:id="rId5" w:type="default"/>
          <w:pgSz w:w="11905"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6" w:charSpace="0"/>
        </w:sectPr>
      </w:pPr>
    </w:p>
    <w:p w14:paraId="0FD33D63">
      <w:pPr>
        <w:pStyle w:val="19"/>
        <w:pageBreakBefore w:val="0"/>
        <w:kinsoku/>
        <w:wordWrap/>
        <w:overflowPunct/>
        <w:topLinePunct w:val="0"/>
        <w:bidi w:val="0"/>
        <w:spacing w:line="240" w:lineRule="auto"/>
        <w:jc w:val="center"/>
        <w:outlineLvl w:val="9"/>
        <w:rPr>
          <w:rFonts w:hint="eastAsia" w:ascii="仿宋" w:hAnsi="仿宋" w:eastAsia="仿宋" w:cs="仿宋"/>
          <w:b/>
          <w:bCs/>
          <w:sz w:val="30"/>
          <w:szCs w:val="30"/>
          <w:highlight w:val="yellow"/>
        </w:rPr>
      </w:pPr>
      <w:r>
        <w:rPr>
          <w:rFonts w:hint="eastAsia" w:ascii="仿宋" w:hAnsi="仿宋" w:eastAsia="仿宋" w:cs="仿宋"/>
          <w:b/>
          <w:bCs/>
          <w:sz w:val="30"/>
          <w:szCs w:val="30"/>
          <w:highlight w:val="none"/>
        </w:rPr>
        <w:t>政府采购违法行为风险知悉确认书</w:t>
      </w:r>
    </w:p>
    <w:p w14:paraId="0229EA63">
      <w:pPr>
        <w:pageBreakBefore w:val="0"/>
        <w:kinsoku/>
        <w:wordWrap/>
        <w:overflowPunct/>
        <w:topLinePunct w:val="0"/>
        <w:bidi w:val="0"/>
        <w:spacing w:line="240" w:lineRule="auto"/>
        <w:ind w:firstLine="480" w:firstLineChars="200"/>
        <w:outlineLvl w:val="9"/>
        <w:rPr>
          <w:rFonts w:hint="eastAsia" w:ascii="仿宋" w:hAnsi="仿宋" w:eastAsia="仿宋" w:cs="仿宋"/>
          <w:sz w:val="24"/>
          <w:szCs w:val="24"/>
        </w:rPr>
      </w:pPr>
    </w:p>
    <w:p w14:paraId="062A58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本公司（单位）在投标前已充分知悉以下情形为参与政府采购活动时的重大风险事项，并承诺已对下述风险提示事项重点排查，若存在下述情况，我公司（单位）愿意依法承担被记入供应商诚信档案、罚款、取消参与政府采购资格、吊销营业执照等处罚；构成犯罪的，依法承担刑事责任。</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8962"/>
      </w:tblGrid>
      <w:tr w14:paraId="2EAF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814" w:type="dxa"/>
            <w:gridSpan w:val="2"/>
            <w:noWrap w:val="0"/>
            <w:vAlign w:val="center"/>
          </w:tcPr>
          <w:p w14:paraId="0DD3BA8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vertAlign w:val="baseline"/>
              </w:rPr>
            </w:pPr>
            <w:r>
              <w:rPr>
                <w:rFonts w:hint="eastAsia" w:ascii="仿宋" w:hAnsi="仿宋" w:eastAsia="仿宋" w:cs="仿宋"/>
                <w:b/>
                <w:bCs/>
                <w:sz w:val="24"/>
                <w:szCs w:val="24"/>
              </w:rPr>
              <w:t>供应商参与投标禁止情形</w:t>
            </w:r>
          </w:p>
        </w:tc>
      </w:tr>
      <w:tr w14:paraId="1ABA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852" w:type="dxa"/>
            <w:noWrap w:val="0"/>
            <w:vAlign w:val="center"/>
          </w:tcPr>
          <w:p w14:paraId="1450FE6D">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8962" w:type="dxa"/>
            <w:noWrap w:val="0"/>
            <w:vAlign w:val="center"/>
          </w:tcPr>
          <w:p w14:paraId="226FBD93">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与其他投标供应商的法定代表人、主要经营负责人、投标授权代表人、项目负责人、主要技术人员为同一人、属同一单位或者在同一单位缴纳社会保险</w:t>
            </w:r>
            <w:r>
              <w:rPr>
                <w:rFonts w:hint="eastAsia" w:ascii="仿宋" w:hAnsi="仿宋" w:eastAsia="仿宋" w:cs="仿宋"/>
                <w:sz w:val="24"/>
                <w:szCs w:val="24"/>
                <w:lang w:eastAsia="zh-CN"/>
              </w:rPr>
              <w:t>。</w:t>
            </w:r>
          </w:p>
        </w:tc>
      </w:tr>
      <w:tr w14:paraId="24C1A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2" w:type="dxa"/>
            <w:noWrap w:val="0"/>
            <w:vAlign w:val="center"/>
          </w:tcPr>
          <w:p w14:paraId="2810103B">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8962" w:type="dxa"/>
            <w:noWrap w:val="0"/>
            <w:vAlign w:val="center"/>
          </w:tcPr>
          <w:p w14:paraId="7E6FA098">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参与本项目政府采购活动时，与其他投标供应商存在单位负责人为同一人或直 接控股、管理关系</w:t>
            </w:r>
            <w:r>
              <w:rPr>
                <w:rFonts w:hint="eastAsia" w:ascii="仿宋" w:hAnsi="仿宋" w:eastAsia="仿宋" w:cs="仿宋"/>
                <w:sz w:val="24"/>
                <w:szCs w:val="24"/>
                <w:lang w:val="en-US" w:eastAsia="zh-CN"/>
              </w:rPr>
              <w:t>的</w:t>
            </w:r>
            <w:r>
              <w:rPr>
                <w:rFonts w:hint="eastAsia" w:ascii="仿宋" w:hAnsi="仿宋" w:eastAsia="仿宋" w:cs="仿宋"/>
                <w:sz w:val="24"/>
                <w:szCs w:val="24"/>
              </w:rPr>
              <w:t>。</w:t>
            </w:r>
          </w:p>
        </w:tc>
      </w:tr>
      <w:tr w14:paraId="7618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52" w:type="dxa"/>
            <w:noWrap w:val="0"/>
            <w:vAlign w:val="center"/>
          </w:tcPr>
          <w:p w14:paraId="57ACCEFF">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8962" w:type="dxa"/>
            <w:noWrap w:val="0"/>
            <w:vAlign w:val="center"/>
          </w:tcPr>
          <w:p w14:paraId="21254802">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与其他投标供应商的投标文件或部分投标文件相互混装或存在非正常一致</w:t>
            </w:r>
            <w:r>
              <w:rPr>
                <w:rFonts w:hint="eastAsia" w:ascii="仿宋" w:hAnsi="仿宋" w:eastAsia="仿宋" w:cs="仿宋"/>
                <w:sz w:val="24"/>
                <w:szCs w:val="24"/>
                <w:lang w:val="en-US" w:eastAsia="zh-CN"/>
              </w:rPr>
              <w:t>的</w:t>
            </w:r>
            <w:r>
              <w:rPr>
                <w:rFonts w:hint="eastAsia" w:ascii="仿宋" w:hAnsi="仿宋" w:eastAsia="仿宋" w:cs="仿宋"/>
                <w:sz w:val="24"/>
                <w:szCs w:val="24"/>
              </w:rPr>
              <w:t>。</w:t>
            </w:r>
          </w:p>
        </w:tc>
      </w:tr>
      <w:tr w14:paraId="1CA8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329290B2">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8962" w:type="dxa"/>
            <w:noWrap w:val="0"/>
            <w:vAlign w:val="center"/>
          </w:tcPr>
          <w:p w14:paraId="0C40475B">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与其他投标供应商的投标文件由同一单位或者同一人编制，或者使用同一设备编制</w:t>
            </w:r>
            <w:r>
              <w:rPr>
                <w:rFonts w:hint="eastAsia" w:ascii="仿宋" w:hAnsi="仿宋" w:eastAsia="仿宋" w:cs="仿宋"/>
                <w:sz w:val="24"/>
                <w:szCs w:val="24"/>
                <w:lang w:val="en-US" w:eastAsia="zh-CN"/>
              </w:rPr>
              <w:t>的。</w:t>
            </w:r>
          </w:p>
        </w:tc>
      </w:tr>
      <w:tr w14:paraId="1B42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52" w:type="dxa"/>
            <w:noWrap w:val="0"/>
            <w:vAlign w:val="center"/>
          </w:tcPr>
          <w:p w14:paraId="1C08D285">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8962" w:type="dxa"/>
            <w:noWrap w:val="0"/>
            <w:vAlign w:val="center"/>
          </w:tcPr>
          <w:p w14:paraId="08C121EC">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提供未经出具机构核实的虚假的检验检测报告、</w:t>
            </w:r>
            <w:r>
              <w:rPr>
                <w:rFonts w:hint="eastAsia" w:ascii="仿宋" w:hAnsi="仿宋" w:eastAsia="仿宋" w:cs="仿宋"/>
                <w:sz w:val="24"/>
                <w:szCs w:val="24"/>
                <w:lang w:val="en-US" w:eastAsia="zh-CN"/>
              </w:rPr>
              <w:t>虚假的</w:t>
            </w:r>
            <w:r>
              <w:rPr>
                <w:rFonts w:hint="eastAsia" w:ascii="仿宋" w:hAnsi="仿宋" w:eastAsia="仿宋" w:cs="仿宋"/>
                <w:sz w:val="24"/>
                <w:szCs w:val="24"/>
              </w:rPr>
              <w:t>业绩材料、社保缴纳证明、学历学位证书、职称认证证书等</w:t>
            </w:r>
            <w:r>
              <w:rPr>
                <w:rFonts w:hint="eastAsia" w:ascii="仿宋" w:hAnsi="仿宋" w:eastAsia="仿宋" w:cs="仿宋"/>
                <w:sz w:val="24"/>
                <w:szCs w:val="24"/>
                <w:lang w:val="en-US" w:eastAsia="zh-CN"/>
              </w:rPr>
              <w:t>招标文件中要求的所以材料。</w:t>
            </w:r>
          </w:p>
        </w:tc>
      </w:tr>
    </w:tbl>
    <w:p w14:paraId="5D01DB6B">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rPr>
      </w:pP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我单位已充分知悉“隐瞒真实情况，提供虚假资料”的法定情形，包括但不限于：</w:t>
      </w:r>
      <w:r>
        <w:rPr>
          <w:rFonts w:hint="eastAsia" w:ascii="仿宋" w:hAnsi="仿宋" w:eastAsia="仿宋" w:cs="仿宋"/>
          <w:sz w:val="24"/>
          <w:szCs w:val="24"/>
        </w:rPr>
        <w:t xml:space="preserve"> </w:t>
      </w:r>
    </w:p>
    <w:p w14:paraId="0A9A84BE">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一</w:t>
      </w:r>
      <w:r>
        <w:rPr>
          <w:rFonts w:hint="eastAsia" w:ascii="仿宋" w:hAnsi="仿宋" w:eastAsia="仿宋" w:cs="仿宋"/>
          <w:sz w:val="24"/>
          <w:szCs w:val="24"/>
          <w:lang w:eastAsia="zh-CN"/>
        </w:rPr>
        <w:t>）</w:t>
      </w:r>
      <w:r>
        <w:rPr>
          <w:rFonts w:hint="eastAsia" w:ascii="仿宋" w:hAnsi="仿宋" w:eastAsia="仿宋" w:cs="仿宋"/>
          <w:sz w:val="24"/>
          <w:szCs w:val="24"/>
        </w:rPr>
        <w:t>通过转让或者租借等方式从其他单位获取资格或者资质证书投标的。</w:t>
      </w:r>
    </w:p>
    <w:p w14:paraId="3877F571">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 xml:space="preserve">由其他单位或者其他单位负责人在投标供应商编制的投标文件上加盖印章或者签字的。 </w:t>
      </w:r>
    </w:p>
    <w:p w14:paraId="5CB6EBB4">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三</w:t>
      </w:r>
      <w:r>
        <w:rPr>
          <w:rFonts w:hint="eastAsia" w:ascii="仿宋" w:hAnsi="仿宋" w:eastAsia="仿宋" w:cs="仿宋"/>
          <w:sz w:val="24"/>
          <w:szCs w:val="24"/>
          <w:lang w:eastAsia="zh-CN"/>
        </w:rPr>
        <w:t>）</w:t>
      </w:r>
      <w:r>
        <w:rPr>
          <w:rFonts w:hint="eastAsia" w:ascii="仿宋" w:hAnsi="仿宋" w:eastAsia="仿宋" w:cs="仿宋"/>
          <w:sz w:val="24"/>
          <w:szCs w:val="24"/>
        </w:rPr>
        <w:t>项目负责人或者主要技术人员不是本单位人员的。</w:t>
      </w:r>
    </w:p>
    <w:p w14:paraId="19135298">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四</w:t>
      </w:r>
      <w:r>
        <w:rPr>
          <w:rFonts w:hint="eastAsia" w:ascii="仿宋" w:hAnsi="仿宋" w:eastAsia="仿宋" w:cs="仿宋"/>
          <w:sz w:val="24"/>
          <w:szCs w:val="24"/>
          <w:lang w:eastAsia="zh-CN"/>
        </w:rPr>
        <w:t>）</w:t>
      </w:r>
      <w:r>
        <w:rPr>
          <w:rFonts w:hint="eastAsia" w:ascii="仿宋" w:hAnsi="仿宋" w:eastAsia="仿宋" w:cs="仿宋"/>
          <w:sz w:val="24"/>
          <w:szCs w:val="24"/>
        </w:rPr>
        <w:t xml:space="preserve">投标保证金不是从投标供应商基本账户转出的。 </w:t>
      </w:r>
    </w:p>
    <w:p w14:paraId="2BD290D2">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五</w:t>
      </w:r>
      <w:r>
        <w:rPr>
          <w:rFonts w:hint="eastAsia" w:ascii="仿宋" w:hAnsi="仿宋" w:eastAsia="仿宋" w:cs="仿宋"/>
          <w:sz w:val="24"/>
          <w:szCs w:val="24"/>
          <w:lang w:eastAsia="zh-CN"/>
        </w:rPr>
        <w:t>）</w:t>
      </w:r>
      <w:r>
        <w:rPr>
          <w:rFonts w:hint="eastAsia" w:ascii="仿宋" w:hAnsi="仿宋" w:eastAsia="仿宋" w:cs="仿宋"/>
          <w:sz w:val="24"/>
          <w:szCs w:val="24"/>
        </w:rPr>
        <w:t>其他隐瞒真实情况、提供虚假资料的行为。</w:t>
      </w:r>
    </w:p>
    <w:p w14:paraId="0F1C4E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 xml:space="preserve">我单位已充分知悉“与其他采购参加人串通投标”的法定情形，包括但不限于： </w:t>
      </w:r>
    </w:p>
    <w:p w14:paraId="297F847C">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（一）不同投标人的投标文件由同一单位或者个人编制；</w:t>
      </w:r>
    </w:p>
    <w:p w14:paraId="5B834773">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（二）不同投标人委托同一单位或者个人办理投标事宜；</w:t>
      </w:r>
    </w:p>
    <w:p w14:paraId="3378B7AF">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（三）不同投标人的投标文件载明的项目管理成员或者联系人员为同一人；</w:t>
      </w:r>
    </w:p>
    <w:p w14:paraId="570C1235">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（四）不同投标人的投标文件异常一致或者投标报价呈规律性差异；</w:t>
      </w:r>
    </w:p>
    <w:p w14:paraId="3ED284DE">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（五）不同投标人的投标文件相互混装；</w:t>
      </w:r>
    </w:p>
    <w:p w14:paraId="4480B7B2">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（六）不同投标人的投标保证金从同一单位或者个人的账户转出；</w:t>
      </w:r>
    </w:p>
    <w:p w14:paraId="65204B11">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仿宋" w:hAnsi="仿宋" w:eastAsia="仿宋" w:cs="仿宋"/>
          <w:sz w:val="24"/>
          <w:szCs w:val="24"/>
        </w:rPr>
      </w:pP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我单位已充分知悉下列情形存在法律风险，并在投标前已对相关风险事项进行排查。</w:t>
      </w:r>
      <w:r>
        <w:rPr>
          <w:rFonts w:hint="eastAsia" w:ascii="仿宋" w:hAnsi="仿宋" w:eastAsia="仿宋" w:cs="仿宋"/>
          <w:sz w:val="24"/>
          <w:szCs w:val="24"/>
        </w:rPr>
        <w:t xml:space="preserve"> </w:t>
      </w:r>
    </w:p>
    <w:p w14:paraId="56B129C8">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一</w:t>
      </w:r>
      <w:r>
        <w:rPr>
          <w:rFonts w:hint="eastAsia" w:ascii="仿宋" w:hAnsi="仿宋" w:eastAsia="仿宋" w:cs="仿宋"/>
          <w:sz w:val="24"/>
          <w:szCs w:val="24"/>
          <w:lang w:eastAsia="zh-CN"/>
        </w:rPr>
        <w:t>）</w:t>
      </w:r>
      <w:r>
        <w:rPr>
          <w:rFonts w:hint="eastAsia" w:ascii="仿宋" w:hAnsi="仿宋" w:eastAsia="仿宋" w:cs="仿宋"/>
          <w:sz w:val="24"/>
          <w:szCs w:val="24"/>
        </w:rPr>
        <w:t xml:space="preserve">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 </w:t>
      </w:r>
    </w:p>
    <w:p w14:paraId="7C775724">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 xml:space="preserve">对于涉及国家机关出具的公文、证件、证明材料等文件，一旦涉嫌虚假，经查实，主管部门将依法从严处理，并移送有关部门追究法律责任；涉嫌犯罪的，移送司法机关处理。 </w:t>
      </w:r>
    </w:p>
    <w:p w14:paraId="17B0C3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仿宋" w:hAnsi="仿宋" w:eastAsia="仿宋" w:cs="仿宋"/>
          <w:sz w:val="24"/>
          <w:szCs w:val="24"/>
        </w:rPr>
      </w:pP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我单位已充分知悉政府采购违法、违规行为的法律后果。</w:t>
      </w:r>
      <w:r>
        <w:rPr>
          <w:rFonts w:hint="eastAsia" w:ascii="仿宋" w:hAnsi="仿宋" w:eastAsia="仿宋" w:cs="仿宋"/>
          <w:sz w:val="24"/>
          <w:szCs w:val="24"/>
        </w:rPr>
        <w:t xml:space="preserve"> </w:t>
      </w:r>
    </w:p>
    <w:p w14:paraId="650323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经查实，若我单位存在政府采购违法、违规行为，主管部门将依据</w:t>
      </w:r>
      <w:r>
        <w:rPr>
          <w:rFonts w:hint="eastAsia" w:ascii="仿宋" w:hAnsi="仿宋" w:eastAsia="仿宋" w:cs="仿宋"/>
          <w:sz w:val="24"/>
          <w:szCs w:val="24"/>
          <w:lang w:val="en-US" w:eastAsia="zh-CN"/>
        </w:rPr>
        <w:t>相关法律法规对我公司进行处罚并承担相关法律责任。</w:t>
      </w:r>
    </w:p>
    <w:p w14:paraId="1307B01D">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sz w:val="24"/>
          <w:szCs w:val="24"/>
          <w:highlight w:val="yellow"/>
        </w:rPr>
      </w:pPr>
      <w:r>
        <w:rPr>
          <w:rFonts w:hint="eastAsia" w:ascii="仿宋" w:hAnsi="仿宋" w:eastAsia="仿宋" w:cs="仿宋"/>
          <w:b/>
          <w:bCs/>
          <w:sz w:val="24"/>
          <w:szCs w:val="24"/>
          <w:highlight w:val="yellow"/>
        </w:rPr>
        <w:t>以下文字请投标供应商抄写并确认：</w:t>
      </w:r>
    </w:p>
    <w:p w14:paraId="0E5B4C77">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sz w:val="24"/>
          <w:szCs w:val="24"/>
        </w:rPr>
      </w:pPr>
      <w:r>
        <w:rPr>
          <w:rFonts w:hint="eastAsia" w:ascii="仿宋" w:hAnsi="仿宋" w:eastAsia="仿宋" w:cs="仿宋"/>
          <w:b/>
          <w:bCs/>
          <w:sz w:val="24"/>
          <w:szCs w:val="24"/>
        </w:rPr>
        <w:t>“我单位已仔细阅读《政府采购违法行为风险知悉确认书》， 充分知悉违法行为的法律后果，并承诺将严谨、诚信、依法依规参与政府采购活动”</w:t>
      </w:r>
      <w:r>
        <w:rPr>
          <w:rFonts w:hint="eastAsia" w:ascii="仿宋" w:hAnsi="仿宋" w:eastAsia="仿宋" w:cs="仿宋"/>
          <w:sz w:val="24"/>
          <w:szCs w:val="24"/>
        </w:rPr>
        <w:t>。</w:t>
      </w:r>
      <w:bookmarkStart w:id="167" w:name="OLE_LINK4"/>
    </w:p>
    <w:p w14:paraId="20A66969">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val="en-US" w:eastAsia="zh-CN"/>
        </w:rPr>
        <w:t xml:space="preserve">                                                       </w:t>
      </w:r>
    </w:p>
    <w:bookmarkEnd w:id="167"/>
    <w:p w14:paraId="4F1D4B2F">
      <w:pPr>
        <w:pStyle w:val="19"/>
        <w:pageBreakBefore w:val="0"/>
        <w:kinsoku/>
        <w:wordWrap/>
        <w:overflowPunct/>
        <w:topLinePunct w:val="0"/>
        <w:bidi w:val="0"/>
        <w:ind w:firstLine="480" w:firstLineChars="200"/>
        <w:outlineLvl w:val="9"/>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val="en-US" w:eastAsia="zh-CN"/>
        </w:rPr>
        <w:t xml:space="preserve">                                                               </w:t>
      </w:r>
    </w:p>
    <w:p w14:paraId="06E84320">
      <w:pPr>
        <w:pStyle w:val="19"/>
        <w:pageBreakBefore w:val="0"/>
        <w:kinsoku/>
        <w:wordWrap/>
        <w:overflowPunct/>
        <w:topLinePunct w:val="0"/>
        <w:bidi w:val="0"/>
        <w:ind w:left="239" w:leftChars="114" w:firstLine="240" w:firstLineChars="100"/>
        <w:outlineLvl w:val="9"/>
        <w:rPr>
          <w:rFonts w:hint="eastAsia" w:ascii="仿宋" w:hAnsi="仿宋" w:eastAsia="仿宋" w:cs="仿宋"/>
          <w:sz w:val="24"/>
          <w:szCs w:val="24"/>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w:t>
      </w:r>
    </w:p>
    <w:p w14:paraId="198D1EA0">
      <w:pPr>
        <w:pStyle w:val="19"/>
        <w:pageBreakBefore w:val="0"/>
        <w:kinsoku/>
        <w:wordWrap/>
        <w:overflowPunct/>
        <w:topLinePunct w:val="0"/>
        <w:bidi w:val="0"/>
        <w:ind w:left="239" w:leftChars="114" w:firstLine="4800" w:firstLineChars="2000"/>
        <w:outlineLvl w:val="9"/>
        <w:rPr>
          <w:rFonts w:hint="eastAsia" w:ascii="仿宋" w:hAnsi="仿宋" w:eastAsia="仿宋" w:cs="仿宋"/>
          <w:sz w:val="24"/>
          <w:szCs w:val="24"/>
        </w:rPr>
      </w:pPr>
    </w:p>
    <w:p w14:paraId="1A9F20EB">
      <w:pPr>
        <w:rPr>
          <w:rFonts w:hint="eastAsia" w:ascii="仿宋" w:hAnsi="仿宋" w:eastAsia="仿宋" w:cs="仿宋"/>
          <w:sz w:val="24"/>
          <w:szCs w:val="24"/>
        </w:rPr>
      </w:pPr>
    </w:p>
    <w:p w14:paraId="676CC846">
      <w:pPr>
        <w:pStyle w:val="37"/>
        <w:rPr>
          <w:rFonts w:hint="eastAsia" w:ascii="仿宋" w:hAnsi="仿宋" w:eastAsia="仿宋" w:cs="仿宋"/>
          <w:sz w:val="24"/>
          <w:szCs w:val="24"/>
        </w:rPr>
      </w:pPr>
    </w:p>
    <w:p w14:paraId="5C535EA1">
      <w:pPr>
        <w:pStyle w:val="37"/>
        <w:rPr>
          <w:rFonts w:hint="eastAsia" w:ascii="仿宋" w:hAnsi="仿宋" w:eastAsia="仿宋" w:cs="仿宋"/>
          <w:sz w:val="24"/>
          <w:szCs w:val="24"/>
        </w:rPr>
      </w:pPr>
    </w:p>
    <w:p w14:paraId="7D82A96E">
      <w:pPr>
        <w:pStyle w:val="19"/>
        <w:pageBreakBefore w:val="0"/>
        <w:kinsoku/>
        <w:wordWrap/>
        <w:overflowPunct/>
        <w:topLinePunct w:val="0"/>
        <w:bidi w:val="0"/>
        <w:spacing w:line="480" w:lineRule="auto"/>
        <w:ind w:left="239" w:leftChars="114" w:firstLine="4800" w:firstLineChars="2000"/>
        <w:outlineLvl w:val="9"/>
        <w:rPr>
          <w:rFonts w:hint="eastAsia" w:ascii="仿宋" w:hAnsi="仿宋" w:eastAsia="仿宋" w:cs="仿宋"/>
          <w:sz w:val="24"/>
          <w:szCs w:val="24"/>
        </w:rPr>
      </w:pPr>
      <w:r>
        <w:rPr>
          <w:rFonts w:hint="eastAsia" w:ascii="仿宋" w:hAnsi="仿宋" w:eastAsia="仿宋" w:cs="仿宋"/>
          <w:sz w:val="24"/>
          <w:szCs w:val="24"/>
        </w:rPr>
        <w:t>单位负责人签名：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p>
    <w:p w14:paraId="532F7064">
      <w:pPr>
        <w:pStyle w:val="19"/>
        <w:pageBreakBefore w:val="0"/>
        <w:kinsoku/>
        <w:wordWrap/>
        <w:overflowPunct/>
        <w:topLinePunct w:val="0"/>
        <w:bidi w:val="0"/>
        <w:spacing w:line="480" w:lineRule="auto"/>
        <w:ind w:left="239" w:leftChars="114" w:firstLine="4800" w:firstLineChars="2000"/>
        <w:outlineLvl w:val="9"/>
        <w:rPr>
          <w:rFonts w:hint="eastAsia" w:ascii="仿宋" w:hAnsi="仿宋" w:eastAsia="仿宋" w:cs="仿宋"/>
          <w:sz w:val="24"/>
          <w:szCs w:val="24"/>
          <w:u w:val="single"/>
        </w:rPr>
      </w:pPr>
      <w:r>
        <w:rPr>
          <w:rFonts w:hint="eastAsia" w:ascii="仿宋" w:hAnsi="仿宋" w:eastAsia="仿宋" w:cs="仿宋"/>
          <w:sz w:val="24"/>
          <w:szCs w:val="24"/>
          <w:lang w:val="en-US" w:eastAsia="zh-CN"/>
        </w:rPr>
        <w:t>单位名称</w:t>
      </w:r>
      <w:r>
        <w:rPr>
          <w:rFonts w:hint="eastAsia" w:ascii="仿宋" w:hAnsi="仿宋" w:eastAsia="仿宋" w:cs="仿宋"/>
          <w:sz w:val="24"/>
          <w:szCs w:val="24"/>
        </w:rPr>
        <w:t>（加盖公章）</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46549D01">
      <w:pPr>
        <w:pStyle w:val="19"/>
        <w:pageBreakBefore w:val="0"/>
        <w:kinsoku/>
        <w:wordWrap/>
        <w:overflowPunct/>
        <w:topLinePunct w:val="0"/>
        <w:bidi w:val="0"/>
        <w:spacing w:line="480" w:lineRule="auto"/>
        <w:ind w:left="239" w:leftChars="114" w:firstLine="4800" w:firstLineChars="2000"/>
        <w:outlineLvl w:val="9"/>
        <w:rPr>
          <w:rFonts w:hint="eastAsia" w:ascii="仿宋" w:hAnsi="仿宋" w:eastAsia="仿宋" w:cs="仿宋"/>
          <w:sz w:val="24"/>
          <w:szCs w:val="24"/>
        </w:rPr>
      </w:pPr>
      <w:r>
        <w:rPr>
          <w:rFonts w:hint="eastAsia" w:ascii="仿宋" w:hAnsi="仿宋" w:eastAsia="仿宋" w:cs="仿宋"/>
          <w:sz w:val="24"/>
          <w:szCs w:val="24"/>
        </w:rPr>
        <w:t xml:space="preserve">日期：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w:t>
      </w:r>
    </w:p>
    <w:p w14:paraId="0CA951D2">
      <w:pPr>
        <w:numPr>
          <w:ilvl w:val="0"/>
          <w:numId w:val="0"/>
        </w:numPr>
        <w:jc w:val="center"/>
        <w:rPr>
          <w:rFonts w:hint="eastAsia" w:ascii="仿宋" w:hAnsi="仿宋" w:eastAsia="仿宋" w:cs="仿宋"/>
          <w:b/>
          <w:bCs/>
          <w:color w:val="auto"/>
          <w:sz w:val="28"/>
          <w:szCs w:val="28"/>
          <w:highlight w:val="none"/>
          <w:lang w:val="en-US" w:eastAsia="zh-CN"/>
        </w:rPr>
      </w:pPr>
    </w:p>
    <w:p w14:paraId="379A780E">
      <w:pPr>
        <w:pStyle w:val="22"/>
        <w:rPr>
          <w:rFonts w:hint="eastAsia" w:ascii="仿宋" w:hAnsi="仿宋" w:eastAsia="仿宋" w:cs="仿宋"/>
          <w:b/>
          <w:bCs/>
          <w:color w:val="auto"/>
          <w:sz w:val="28"/>
          <w:szCs w:val="28"/>
          <w:highlight w:val="none"/>
          <w:lang w:val="en-US" w:eastAsia="zh-CN"/>
        </w:rPr>
      </w:pPr>
    </w:p>
    <w:p w14:paraId="6ADB55EA">
      <w:pPr>
        <w:pStyle w:val="22"/>
        <w:rPr>
          <w:rFonts w:hint="eastAsia" w:ascii="仿宋" w:hAnsi="仿宋" w:eastAsia="仿宋" w:cs="仿宋"/>
          <w:b/>
          <w:bCs/>
          <w:color w:val="auto"/>
          <w:sz w:val="28"/>
          <w:szCs w:val="28"/>
          <w:highlight w:val="none"/>
          <w:lang w:val="en-US" w:eastAsia="zh-CN"/>
        </w:rPr>
      </w:pPr>
    </w:p>
    <w:p w14:paraId="1CC758DE">
      <w:pPr>
        <w:pStyle w:val="22"/>
        <w:rPr>
          <w:rFonts w:hint="eastAsia" w:ascii="仿宋" w:hAnsi="仿宋" w:eastAsia="仿宋" w:cs="仿宋"/>
          <w:b/>
          <w:bCs/>
          <w:color w:val="auto"/>
          <w:sz w:val="28"/>
          <w:szCs w:val="28"/>
          <w:highlight w:val="none"/>
          <w:lang w:val="en-US" w:eastAsia="zh-CN"/>
        </w:rPr>
      </w:pPr>
    </w:p>
    <w:p w14:paraId="53AFC3B8">
      <w:pPr>
        <w:numPr>
          <w:ilvl w:val="0"/>
          <w:numId w:val="0"/>
        </w:numPr>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rPr>
        <w:t xml:space="preserve">投 标 </w:t>
      </w:r>
      <w:bookmarkEnd w:id="162"/>
      <w:bookmarkEnd w:id="163"/>
      <w:bookmarkEnd w:id="164"/>
      <w:bookmarkEnd w:id="165"/>
      <w:r>
        <w:rPr>
          <w:rFonts w:hint="eastAsia" w:ascii="仿宋" w:hAnsi="仿宋" w:eastAsia="仿宋" w:cs="仿宋"/>
          <w:b/>
          <w:bCs/>
          <w:color w:val="auto"/>
          <w:sz w:val="28"/>
          <w:szCs w:val="28"/>
          <w:highlight w:val="none"/>
          <w:lang w:val="en-US" w:eastAsia="zh-CN"/>
        </w:rPr>
        <w:t>函</w:t>
      </w:r>
    </w:p>
    <w:p w14:paraId="6547DEA4">
      <w:pPr>
        <w:spacing w:line="44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w:t>
      </w:r>
      <w:r>
        <w:rPr>
          <w:rFonts w:hint="eastAsia" w:ascii="仿宋" w:hAnsi="仿宋" w:eastAsia="仿宋" w:cs="仿宋"/>
          <w:color w:val="auto"/>
          <w:sz w:val="22"/>
          <w:szCs w:val="22"/>
          <w:highlight w:val="none"/>
          <w:u w:val="single"/>
        </w:rPr>
        <w:t xml:space="preserve">    （采购人）</w:t>
      </w:r>
      <w:r>
        <w:rPr>
          <w:rFonts w:hint="eastAsia" w:ascii="仿宋" w:hAnsi="仿宋" w:eastAsia="仿宋" w:cs="仿宋"/>
          <w:color w:val="auto"/>
          <w:sz w:val="22"/>
          <w:szCs w:val="22"/>
          <w:highlight w:val="none"/>
        </w:rPr>
        <w:t>：</w:t>
      </w:r>
    </w:p>
    <w:p w14:paraId="1135281A">
      <w:pPr>
        <w:spacing w:line="44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收到你们的</w:t>
      </w:r>
      <w:r>
        <w:rPr>
          <w:rFonts w:hint="eastAsia" w:ascii="仿宋" w:hAnsi="仿宋" w:eastAsia="仿宋" w:cs="仿宋"/>
          <w:color w:val="auto"/>
          <w:sz w:val="22"/>
          <w:szCs w:val="22"/>
          <w:highlight w:val="none"/>
          <w:u w:val="single"/>
        </w:rPr>
        <w:t xml:space="preserve">        （项目名称）</w:t>
      </w:r>
      <w:r>
        <w:rPr>
          <w:rFonts w:hint="eastAsia" w:ascii="仿宋" w:hAnsi="仿宋" w:eastAsia="仿宋" w:cs="仿宋"/>
          <w:color w:val="auto"/>
          <w:sz w:val="22"/>
          <w:szCs w:val="22"/>
          <w:highlight w:val="none"/>
        </w:rPr>
        <w:t>磋商文件，经认真研究，我们决定参加投标。</w:t>
      </w:r>
    </w:p>
    <w:p w14:paraId="3F501DD9">
      <w:pPr>
        <w:numPr>
          <w:ilvl w:val="0"/>
          <w:numId w:val="7"/>
        </w:numPr>
        <w:spacing w:line="440" w:lineRule="exact"/>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按照磋商文件中的一切要求，提供招标的服务、</w:t>
      </w:r>
      <w:r>
        <w:rPr>
          <w:rFonts w:hint="eastAsia" w:ascii="仿宋" w:hAnsi="仿宋" w:eastAsia="仿宋" w:cs="仿宋"/>
          <w:color w:val="auto"/>
          <w:kern w:val="0"/>
          <w:sz w:val="22"/>
          <w:szCs w:val="22"/>
          <w:highlight w:val="none"/>
        </w:rPr>
        <w:t>开具发票和相关售后等服务</w:t>
      </w:r>
      <w:r>
        <w:rPr>
          <w:rFonts w:hint="eastAsia" w:ascii="仿宋" w:hAnsi="仿宋" w:eastAsia="仿宋" w:cs="仿宋"/>
          <w:color w:val="auto"/>
          <w:sz w:val="22"/>
          <w:szCs w:val="22"/>
          <w:highlight w:val="none"/>
        </w:rPr>
        <w:t>。总价为￥：</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元（用阿拉伯数字书写）人民币大写</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，明细见投标报价表。</w:t>
      </w:r>
    </w:p>
    <w:p w14:paraId="7F95F4B4">
      <w:pPr>
        <w:numPr>
          <w:ilvl w:val="0"/>
          <w:numId w:val="7"/>
        </w:numPr>
        <w:spacing w:line="44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如果我们的投标书被接受，我们将履行磋商文件中规定的每一项义务和要求，按期、按质、完成交货。</w:t>
      </w:r>
    </w:p>
    <w:p w14:paraId="36D9ACA8">
      <w:pPr>
        <w:numPr>
          <w:ilvl w:val="0"/>
          <w:numId w:val="7"/>
        </w:numPr>
        <w:spacing w:line="44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我们同意按磋商文件的规定，本标书的有效期为开标后</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天。</w:t>
      </w:r>
    </w:p>
    <w:p w14:paraId="57C167E5">
      <w:pPr>
        <w:numPr>
          <w:ilvl w:val="0"/>
          <w:numId w:val="7"/>
        </w:numPr>
        <w:spacing w:line="44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我们愿意提供招标人在磋商文件中要求的所有资料。</w:t>
      </w:r>
    </w:p>
    <w:p w14:paraId="31BBA53E">
      <w:pPr>
        <w:numPr>
          <w:ilvl w:val="0"/>
          <w:numId w:val="7"/>
        </w:numPr>
        <w:spacing w:line="44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我们认为你们有选择或拒绝任何投标者中标的权利。我们理解，最低报价不是中标的唯一条件。</w:t>
      </w:r>
    </w:p>
    <w:p w14:paraId="06BF0854">
      <w:pPr>
        <w:numPr>
          <w:ilvl w:val="0"/>
          <w:numId w:val="7"/>
        </w:numPr>
        <w:spacing w:line="44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我们愿意按合同履行自己的全部责任。</w:t>
      </w:r>
    </w:p>
    <w:p w14:paraId="69AF38F5">
      <w:pPr>
        <w:spacing w:line="440" w:lineRule="exact"/>
        <w:ind w:left="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7、该项投标在开标后全过程中保持有效，不做任何更改和变动。</w:t>
      </w:r>
    </w:p>
    <w:p w14:paraId="022902EC">
      <w:pPr>
        <w:spacing w:line="440" w:lineRule="exact"/>
        <w:ind w:left="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8、我们同意按磋商文件规定，缴纳</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元投标保证金。</w:t>
      </w:r>
    </w:p>
    <w:p w14:paraId="7A61CB22">
      <w:pPr>
        <w:spacing w:line="440" w:lineRule="exact"/>
        <w:ind w:left="701" w:leftChars="229" w:hanging="220" w:hangingChars="1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9、我们保证响应文件中的所有证件和内容真实有效，否则我们愿意承担一切法律责任。</w:t>
      </w:r>
    </w:p>
    <w:p w14:paraId="14BAC86C">
      <w:pPr>
        <w:spacing w:line="440" w:lineRule="exact"/>
        <w:ind w:left="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11、其他说明。</w:t>
      </w:r>
    </w:p>
    <w:p w14:paraId="5CA7A562">
      <w:pPr>
        <w:spacing w:line="440" w:lineRule="exact"/>
        <w:ind w:left="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12、所有有关本标书的函电，请按下列地址联系：</w:t>
      </w:r>
    </w:p>
    <w:p w14:paraId="26808BC0">
      <w:pPr>
        <w:spacing w:line="44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投标单位(盖章) ：</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 xml:space="preserve">                       </w:t>
      </w:r>
    </w:p>
    <w:p w14:paraId="2C7E14DA">
      <w:pPr>
        <w:spacing w:line="440" w:lineRule="exact"/>
        <w:ind w:firstLine="440" w:firstLineChars="200"/>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法定代表人或其授权委托人（签字或盖章）：</w:t>
      </w:r>
      <w:r>
        <w:rPr>
          <w:rFonts w:hint="eastAsia" w:ascii="仿宋" w:hAnsi="仿宋" w:eastAsia="仿宋" w:cs="仿宋"/>
          <w:color w:val="auto"/>
          <w:sz w:val="22"/>
          <w:szCs w:val="22"/>
          <w:highlight w:val="none"/>
          <w:u w:val="single"/>
        </w:rPr>
        <w:t xml:space="preserve">          </w:t>
      </w:r>
    </w:p>
    <w:p w14:paraId="7BF2A956">
      <w:pPr>
        <w:spacing w:line="440" w:lineRule="exact"/>
        <w:ind w:firstLine="440" w:firstLineChars="200"/>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地址：</w:t>
      </w:r>
      <w:r>
        <w:rPr>
          <w:rFonts w:hint="eastAsia" w:ascii="仿宋" w:hAnsi="仿宋" w:eastAsia="仿宋" w:cs="仿宋"/>
          <w:color w:val="auto"/>
          <w:sz w:val="22"/>
          <w:szCs w:val="22"/>
          <w:highlight w:val="none"/>
          <w:u w:val="single"/>
        </w:rPr>
        <w:t xml:space="preserve">                                           </w:t>
      </w:r>
    </w:p>
    <w:p w14:paraId="275746A6">
      <w:pPr>
        <w:spacing w:line="440" w:lineRule="exact"/>
        <w:ind w:firstLine="440" w:firstLineChars="200"/>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电话：</w:t>
      </w:r>
      <w:r>
        <w:rPr>
          <w:rFonts w:hint="eastAsia" w:ascii="仿宋" w:hAnsi="仿宋" w:eastAsia="仿宋" w:cs="仿宋"/>
          <w:color w:val="auto"/>
          <w:sz w:val="22"/>
          <w:szCs w:val="22"/>
          <w:highlight w:val="none"/>
          <w:u w:val="single"/>
        </w:rPr>
        <w:t xml:space="preserve">                                           </w:t>
      </w:r>
    </w:p>
    <w:p w14:paraId="5A3E1243">
      <w:pPr>
        <w:spacing w:line="440" w:lineRule="exact"/>
        <w:ind w:firstLine="440" w:firstLineChars="200"/>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联系人：</w:t>
      </w:r>
      <w:r>
        <w:rPr>
          <w:rFonts w:hint="eastAsia" w:ascii="仿宋" w:hAnsi="仿宋" w:eastAsia="仿宋" w:cs="仿宋"/>
          <w:color w:val="auto"/>
          <w:sz w:val="22"/>
          <w:szCs w:val="22"/>
          <w:highlight w:val="none"/>
          <w:u w:val="single"/>
        </w:rPr>
        <w:t xml:space="preserve">                                         </w:t>
      </w:r>
    </w:p>
    <w:p w14:paraId="1A4F8AE1">
      <w:pPr>
        <w:spacing w:line="44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69C51BDC">
      <w:pPr>
        <w:spacing w:line="440" w:lineRule="exact"/>
        <w:rPr>
          <w:rFonts w:hint="eastAsia" w:ascii="仿宋" w:hAnsi="仿宋" w:eastAsia="仿宋" w:cs="仿宋"/>
          <w:b/>
          <w:bCs/>
          <w:color w:val="auto"/>
          <w:sz w:val="30"/>
          <w:szCs w:val="30"/>
          <w:highlight w:val="none"/>
        </w:rPr>
      </w:pPr>
    </w:p>
    <w:p w14:paraId="055D4736">
      <w:pPr>
        <w:spacing w:line="440" w:lineRule="exact"/>
        <w:rPr>
          <w:rFonts w:hint="eastAsia" w:ascii="仿宋" w:hAnsi="仿宋" w:eastAsia="仿宋" w:cs="仿宋"/>
          <w:b/>
          <w:bCs/>
          <w:color w:val="auto"/>
          <w:sz w:val="30"/>
          <w:szCs w:val="30"/>
          <w:highlight w:val="none"/>
        </w:rPr>
      </w:pPr>
    </w:p>
    <w:p w14:paraId="599C4987">
      <w:pPr>
        <w:spacing w:line="440" w:lineRule="exact"/>
        <w:rPr>
          <w:rFonts w:hint="eastAsia" w:ascii="仿宋" w:hAnsi="仿宋" w:eastAsia="仿宋" w:cs="仿宋"/>
          <w:b/>
          <w:bCs/>
          <w:color w:val="auto"/>
          <w:sz w:val="30"/>
          <w:szCs w:val="30"/>
          <w:highlight w:val="none"/>
        </w:rPr>
      </w:pPr>
    </w:p>
    <w:p w14:paraId="5E4D2149">
      <w:pPr>
        <w:spacing w:line="440" w:lineRule="exact"/>
        <w:rPr>
          <w:rFonts w:hint="eastAsia" w:ascii="仿宋" w:hAnsi="仿宋" w:eastAsia="仿宋" w:cs="仿宋"/>
          <w:b/>
          <w:bCs/>
          <w:color w:val="auto"/>
          <w:sz w:val="30"/>
          <w:szCs w:val="30"/>
          <w:highlight w:val="none"/>
        </w:rPr>
      </w:pPr>
    </w:p>
    <w:p w14:paraId="2A8A7527">
      <w:pPr>
        <w:spacing w:line="440" w:lineRule="exact"/>
        <w:rPr>
          <w:rFonts w:hint="eastAsia" w:ascii="仿宋" w:hAnsi="仿宋" w:eastAsia="仿宋" w:cs="仿宋"/>
          <w:b/>
          <w:bCs/>
          <w:color w:val="auto"/>
          <w:sz w:val="30"/>
          <w:szCs w:val="30"/>
          <w:highlight w:val="none"/>
        </w:rPr>
      </w:pPr>
    </w:p>
    <w:p w14:paraId="3996A3B0">
      <w:pPr>
        <w:spacing w:line="440" w:lineRule="exact"/>
        <w:rPr>
          <w:rFonts w:hint="eastAsia" w:ascii="仿宋" w:hAnsi="仿宋" w:eastAsia="仿宋" w:cs="仿宋"/>
          <w:b/>
          <w:bCs/>
          <w:color w:val="auto"/>
          <w:sz w:val="30"/>
          <w:szCs w:val="30"/>
          <w:highlight w:val="none"/>
        </w:rPr>
      </w:pPr>
    </w:p>
    <w:p w14:paraId="23AACC8B">
      <w:pPr>
        <w:spacing w:line="440" w:lineRule="exact"/>
        <w:ind w:firstLine="480"/>
        <w:jc w:val="center"/>
        <w:rPr>
          <w:rFonts w:hint="eastAsia" w:ascii="仿宋" w:hAnsi="仿宋" w:eastAsia="仿宋" w:cs="仿宋"/>
          <w:b/>
          <w:bCs/>
          <w:color w:val="auto"/>
          <w:sz w:val="30"/>
          <w:szCs w:val="30"/>
          <w:highlight w:val="none"/>
          <w:lang w:val="en-US" w:eastAsia="zh-CN"/>
        </w:rPr>
      </w:pPr>
    </w:p>
    <w:p w14:paraId="561F7952">
      <w:pPr>
        <w:spacing w:line="240" w:lineRule="auto"/>
        <w:ind w:firstLine="480"/>
        <w:jc w:val="center"/>
        <w:rPr>
          <w:rFonts w:hint="eastAsia" w:ascii="仿宋" w:hAnsi="仿宋" w:eastAsia="仿宋" w:cs="仿宋"/>
          <w:b/>
          <w:bCs/>
          <w:color w:val="auto"/>
          <w:sz w:val="24"/>
          <w:szCs w:val="24"/>
          <w:highlight w:val="none"/>
          <w:lang w:val="en-US" w:eastAsia="zh-CN"/>
        </w:rPr>
      </w:pPr>
    </w:p>
    <w:p w14:paraId="6073844C">
      <w:pPr>
        <w:numPr>
          <w:ilvl w:val="0"/>
          <w:numId w:val="8"/>
        </w:numPr>
        <w:spacing w:line="440" w:lineRule="exact"/>
        <w:ind w:left="0" w:leftChars="0" w:firstLine="0" w:firstLineChars="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投标文件真实性和不存在限制投标情形的声明</w:t>
      </w:r>
    </w:p>
    <w:p w14:paraId="3BDF32A1">
      <w:pPr>
        <w:pStyle w:val="22"/>
        <w:numPr>
          <w:ilvl w:val="0"/>
          <w:numId w:val="0"/>
        </w:numPr>
        <w:spacing w:line="240" w:lineRule="auto"/>
        <w:ind w:leftChars="0"/>
        <w:rPr>
          <w:rFonts w:hint="eastAsia" w:ascii="仿宋" w:hAnsi="仿宋" w:eastAsia="仿宋" w:cs="仿宋"/>
          <w:color w:val="auto"/>
          <w:highlight w:val="none"/>
        </w:rPr>
      </w:pPr>
    </w:p>
    <w:p w14:paraId="217C6785">
      <w:pPr>
        <w:spacing w:line="200" w:lineRule="exact"/>
        <w:rPr>
          <w:rFonts w:hint="eastAsia" w:ascii="仿宋" w:hAnsi="仿宋" w:eastAsia="仿宋" w:cs="仿宋"/>
          <w:color w:val="auto"/>
          <w:highlight w:val="none"/>
        </w:rPr>
      </w:pPr>
    </w:p>
    <w:p w14:paraId="2FE3086E">
      <w:pPr>
        <w:spacing w:line="600" w:lineRule="auto"/>
        <w:ind w:firstLine="240" w:firstLineChars="1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（招标单位）：</w:t>
      </w:r>
    </w:p>
    <w:p w14:paraId="233378F1">
      <w:pPr>
        <w:spacing w:line="60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我方在此声明，所递交的（项目名称）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的投标文件（包括有关资料、澄清）真实可信，不存在虚假（包括隐瞒）。我方近三年来在经营活动中没有重大违法记录。</w:t>
      </w:r>
    </w:p>
    <w:p w14:paraId="2F73DB28">
      <w:pPr>
        <w:spacing w:line="600" w:lineRule="auto"/>
        <w:ind w:firstLine="480"/>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我方承诺，如存在虚假投标行为，我方自愿承担</w:t>
      </w:r>
      <w:r>
        <w:rPr>
          <w:rFonts w:hint="eastAsia" w:ascii="仿宋" w:hAnsi="仿宋" w:eastAsia="仿宋" w:cs="仿宋"/>
          <w:b/>
          <w:bCs/>
          <w:color w:val="auto"/>
          <w:sz w:val="24"/>
          <w:szCs w:val="24"/>
          <w:highlight w:val="none"/>
          <w:lang w:val="en-US" w:eastAsia="zh-CN"/>
        </w:rPr>
        <w:t>一切法律</w:t>
      </w:r>
      <w:r>
        <w:rPr>
          <w:rFonts w:hint="eastAsia" w:ascii="仿宋" w:hAnsi="仿宋" w:eastAsia="仿宋" w:cs="仿宋"/>
          <w:b/>
          <w:bCs/>
          <w:color w:val="auto"/>
          <w:sz w:val="24"/>
          <w:szCs w:val="24"/>
          <w:highlight w:val="none"/>
        </w:rPr>
        <w:t>责任</w:t>
      </w:r>
      <w:r>
        <w:rPr>
          <w:rFonts w:hint="eastAsia" w:ascii="仿宋" w:hAnsi="仿宋" w:eastAsia="仿宋" w:cs="仿宋"/>
          <w:b/>
          <w:bCs/>
          <w:color w:val="auto"/>
          <w:sz w:val="24"/>
          <w:szCs w:val="24"/>
          <w:highlight w:val="none"/>
          <w:lang w:eastAsia="zh-CN"/>
        </w:rPr>
        <w:t>！</w:t>
      </w:r>
    </w:p>
    <w:p w14:paraId="0AFB8192">
      <w:pPr>
        <w:rPr>
          <w:rFonts w:hint="eastAsia" w:ascii="仿宋" w:hAnsi="仿宋" w:eastAsia="仿宋" w:cs="仿宋"/>
          <w:color w:val="auto"/>
          <w:sz w:val="24"/>
          <w:szCs w:val="24"/>
          <w:highlight w:val="none"/>
        </w:rPr>
      </w:pPr>
    </w:p>
    <w:p w14:paraId="589FDB55">
      <w:pPr>
        <w:pStyle w:val="46"/>
        <w:rPr>
          <w:rFonts w:hint="eastAsia" w:ascii="仿宋" w:hAnsi="仿宋" w:eastAsia="仿宋" w:cs="仿宋"/>
          <w:color w:val="auto"/>
          <w:sz w:val="24"/>
          <w:szCs w:val="24"/>
          <w:highlight w:val="none"/>
        </w:rPr>
      </w:pPr>
    </w:p>
    <w:p w14:paraId="1B2D176F">
      <w:pPr>
        <w:pStyle w:val="46"/>
        <w:rPr>
          <w:rFonts w:hint="eastAsia" w:ascii="仿宋" w:hAnsi="仿宋" w:eastAsia="仿宋" w:cs="仿宋"/>
          <w:color w:val="auto"/>
          <w:sz w:val="24"/>
          <w:szCs w:val="24"/>
          <w:highlight w:val="none"/>
        </w:rPr>
      </w:pPr>
    </w:p>
    <w:p w14:paraId="44BFCC03">
      <w:pPr>
        <w:pStyle w:val="46"/>
        <w:rPr>
          <w:rFonts w:hint="eastAsia" w:ascii="仿宋" w:hAnsi="仿宋" w:eastAsia="仿宋" w:cs="仿宋"/>
          <w:color w:val="auto"/>
          <w:sz w:val="24"/>
          <w:szCs w:val="24"/>
          <w:highlight w:val="none"/>
        </w:rPr>
      </w:pPr>
    </w:p>
    <w:p w14:paraId="1CC2C737">
      <w:pPr>
        <w:pStyle w:val="46"/>
        <w:rPr>
          <w:rFonts w:hint="eastAsia" w:ascii="仿宋" w:hAnsi="仿宋" w:eastAsia="仿宋" w:cs="仿宋"/>
          <w:color w:val="auto"/>
          <w:sz w:val="24"/>
          <w:szCs w:val="24"/>
          <w:highlight w:val="none"/>
        </w:rPr>
      </w:pPr>
    </w:p>
    <w:p w14:paraId="2AA86949">
      <w:pPr>
        <w:pStyle w:val="46"/>
        <w:rPr>
          <w:rFonts w:hint="eastAsia" w:ascii="仿宋" w:hAnsi="仿宋" w:eastAsia="仿宋" w:cs="仿宋"/>
          <w:color w:val="auto"/>
          <w:sz w:val="24"/>
          <w:szCs w:val="24"/>
          <w:highlight w:val="none"/>
        </w:rPr>
      </w:pPr>
    </w:p>
    <w:p w14:paraId="79214F28">
      <w:pPr>
        <w:pStyle w:val="46"/>
        <w:rPr>
          <w:rFonts w:hint="eastAsia" w:ascii="仿宋" w:hAnsi="仿宋" w:eastAsia="仿宋" w:cs="仿宋"/>
          <w:color w:val="auto"/>
          <w:sz w:val="24"/>
          <w:szCs w:val="24"/>
          <w:highlight w:val="none"/>
        </w:rPr>
      </w:pPr>
    </w:p>
    <w:p w14:paraId="022F03D1">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投标单位（单位公章）</w:t>
      </w:r>
      <w:r>
        <w:rPr>
          <w:rFonts w:hint="eastAsia" w:ascii="仿宋" w:hAnsi="仿宋" w:eastAsia="仿宋" w:cs="仿宋"/>
          <w:color w:val="auto"/>
          <w:sz w:val="24"/>
          <w:szCs w:val="24"/>
          <w:highlight w:val="none"/>
          <w:lang w:eastAsia="zh-CN"/>
        </w:rPr>
        <w:t>：</w:t>
      </w:r>
    </w:p>
    <w:p w14:paraId="6E1B7190">
      <w:pPr>
        <w:spacing w:line="360" w:lineRule="auto"/>
        <w:rPr>
          <w:rFonts w:hint="eastAsia" w:ascii="仿宋" w:hAnsi="仿宋" w:eastAsia="仿宋" w:cs="仿宋"/>
          <w:color w:val="auto"/>
          <w:sz w:val="24"/>
          <w:szCs w:val="24"/>
          <w:highlight w:val="none"/>
        </w:rPr>
      </w:pPr>
    </w:p>
    <w:p w14:paraId="5BAA4AA3">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14:paraId="733483A3">
      <w:pPr>
        <w:spacing w:line="360" w:lineRule="auto"/>
        <w:ind w:firstLine="3360" w:firstLineChars="1400"/>
        <w:rPr>
          <w:rFonts w:hint="eastAsia" w:ascii="仿宋" w:hAnsi="仿宋" w:eastAsia="仿宋" w:cs="仿宋"/>
          <w:color w:val="auto"/>
          <w:sz w:val="24"/>
          <w:szCs w:val="24"/>
          <w:highlight w:val="none"/>
        </w:rPr>
      </w:pPr>
    </w:p>
    <w:p w14:paraId="04744C5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bookmarkStart w:id="168" w:name="_Toc21652"/>
      <w:bookmarkStart w:id="169" w:name="_Toc7164"/>
      <w:bookmarkStart w:id="170" w:name="_Toc2775"/>
      <w:bookmarkStart w:id="171" w:name="_Toc21183"/>
      <w:bookmarkStart w:id="172" w:name="_Toc22822"/>
    </w:p>
    <w:p w14:paraId="0CBECD9D">
      <w:pPr>
        <w:spacing w:line="360" w:lineRule="auto"/>
        <w:ind w:firstLine="480" w:firstLineChars="200"/>
        <w:rPr>
          <w:rFonts w:hint="eastAsia" w:ascii="仿宋" w:hAnsi="仿宋" w:eastAsia="仿宋" w:cs="仿宋"/>
          <w:color w:val="auto"/>
          <w:sz w:val="24"/>
          <w:szCs w:val="24"/>
          <w:highlight w:val="none"/>
        </w:rPr>
      </w:pPr>
    </w:p>
    <w:p w14:paraId="0EF84B15">
      <w:pPr>
        <w:spacing w:line="360" w:lineRule="auto"/>
        <w:ind w:firstLine="480" w:firstLineChars="200"/>
        <w:rPr>
          <w:rFonts w:hint="eastAsia" w:ascii="仿宋" w:hAnsi="仿宋" w:eastAsia="仿宋" w:cs="仿宋"/>
          <w:color w:val="auto"/>
          <w:sz w:val="24"/>
          <w:highlight w:val="none"/>
        </w:rPr>
      </w:pPr>
    </w:p>
    <w:p w14:paraId="76D6E73C">
      <w:pPr>
        <w:spacing w:line="360" w:lineRule="auto"/>
        <w:ind w:firstLine="480" w:firstLineChars="200"/>
        <w:rPr>
          <w:rFonts w:hint="eastAsia" w:ascii="仿宋" w:hAnsi="仿宋" w:eastAsia="仿宋" w:cs="仿宋"/>
          <w:color w:val="auto"/>
          <w:sz w:val="24"/>
          <w:highlight w:val="none"/>
        </w:rPr>
      </w:pPr>
    </w:p>
    <w:p w14:paraId="46CE3DC8">
      <w:pPr>
        <w:spacing w:line="360" w:lineRule="auto"/>
        <w:ind w:firstLine="480" w:firstLineChars="200"/>
        <w:rPr>
          <w:rFonts w:hint="eastAsia" w:ascii="仿宋" w:hAnsi="仿宋" w:eastAsia="仿宋" w:cs="仿宋"/>
          <w:color w:val="auto"/>
          <w:sz w:val="24"/>
          <w:highlight w:val="none"/>
        </w:rPr>
      </w:pPr>
    </w:p>
    <w:p w14:paraId="54B503D5">
      <w:pPr>
        <w:spacing w:line="360" w:lineRule="auto"/>
        <w:ind w:firstLine="480" w:firstLineChars="200"/>
        <w:rPr>
          <w:rFonts w:hint="eastAsia" w:ascii="仿宋" w:hAnsi="仿宋" w:eastAsia="仿宋" w:cs="仿宋"/>
          <w:color w:val="auto"/>
          <w:sz w:val="24"/>
          <w:highlight w:val="none"/>
        </w:rPr>
      </w:pPr>
    </w:p>
    <w:p w14:paraId="726ADD66">
      <w:pPr>
        <w:spacing w:line="360" w:lineRule="auto"/>
        <w:ind w:firstLine="480" w:firstLineChars="200"/>
        <w:rPr>
          <w:rFonts w:hint="eastAsia" w:ascii="仿宋" w:hAnsi="仿宋" w:eastAsia="仿宋" w:cs="仿宋"/>
          <w:color w:val="auto"/>
          <w:sz w:val="24"/>
          <w:highlight w:val="none"/>
        </w:rPr>
      </w:pPr>
    </w:p>
    <w:p w14:paraId="63CDA2D3">
      <w:pPr>
        <w:spacing w:line="360" w:lineRule="auto"/>
        <w:ind w:firstLine="480" w:firstLineChars="200"/>
        <w:rPr>
          <w:rFonts w:hint="eastAsia" w:ascii="仿宋" w:hAnsi="仿宋" w:eastAsia="仿宋" w:cs="仿宋"/>
          <w:color w:val="auto"/>
          <w:sz w:val="24"/>
          <w:highlight w:val="none"/>
        </w:rPr>
      </w:pPr>
    </w:p>
    <w:p w14:paraId="15147B04">
      <w:pPr>
        <w:spacing w:line="440" w:lineRule="exact"/>
        <w:jc w:val="both"/>
        <w:rPr>
          <w:rFonts w:hint="eastAsia" w:ascii="仿宋" w:hAnsi="仿宋" w:eastAsia="仿宋" w:cs="仿宋"/>
          <w:b/>
          <w:bCs/>
          <w:color w:val="auto"/>
          <w:sz w:val="30"/>
          <w:szCs w:val="30"/>
          <w:highlight w:val="none"/>
          <w:lang w:val="en-US" w:eastAsia="zh-CN"/>
        </w:rPr>
      </w:pPr>
    </w:p>
    <w:p w14:paraId="6007A8C1">
      <w:pP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br w:type="page"/>
      </w:r>
    </w:p>
    <w:p w14:paraId="3FBCC3B8">
      <w:pPr>
        <w:spacing w:line="60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三、开标</w:t>
      </w:r>
      <w:r>
        <w:rPr>
          <w:rFonts w:hint="eastAsia" w:ascii="仿宋" w:hAnsi="仿宋" w:eastAsia="仿宋" w:cs="仿宋"/>
          <w:b/>
          <w:bCs/>
          <w:color w:val="auto"/>
          <w:sz w:val="28"/>
          <w:szCs w:val="28"/>
          <w:highlight w:val="none"/>
        </w:rPr>
        <w:t>一览表</w:t>
      </w:r>
      <w:bookmarkEnd w:id="168"/>
      <w:bookmarkEnd w:id="169"/>
      <w:bookmarkEnd w:id="170"/>
      <w:bookmarkEnd w:id="171"/>
      <w:bookmarkEnd w:id="172"/>
    </w:p>
    <w:p w14:paraId="1BB26F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3FCF957D">
      <w:pPr>
        <w:spacing w:line="360" w:lineRule="auto"/>
        <w:ind w:firstLine="480" w:firstLineChars="200"/>
        <w:rPr>
          <w:rFonts w:hint="eastAsia"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rPr>
        <w:t xml:space="preserve">项目编号：     </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38"/>
        <w:gridCol w:w="2799"/>
        <w:gridCol w:w="5327"/>
      </w:tblGrid>
      <w:tr w14:paraId="2CC1DE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40" w:hRule="atLeast"/>
          <w:jc w:val="center"/>
        </w:trPr>
        <w:tc>
          <w:tcPr>
            <w:tcW w:w="1238" w:type="dxa"/>
            <w:tcBorders>
              <w:top w:val="single" w:color="auto" w:sz="4" w:space="0"/>
              <w:left w:val="single" w:color="auto" w:sz="4" w:space="0"/>
              <w:right w:val="single" w:color="auto" w:sz="4" w:space="0"/>
            </w:tcBorders>
            <w:noWrap w:val="0"/>
            <w:vAlign w:val="center"/>
          </w:tcPr>
          <w:p w14:paraId="35C5F73D">
            <w:pPr>
              <w:snapToGrid w:val="0"/>
              <w:spacing w:line="400" w:lineRule="exact"/>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序号</w:t>
            </w:r>
          </w:p>
        </w:tc>
        <w:tc>
          <w:tcPr>
            <w:tcW w:w="8126" w:type="dxa"/>
            <w:gridSpan w:val="2"/>
            <w:tcBorders>
              <w:top w:val="single" w:color="auto" w:sz="4" w:space="0"/>
              <w:left w:val="single" w:color="auto" w:sz="4" w:space="0"/>
              <w:right w:val="single" w:color="auto" w:sz="4" w:space="0"/>
            </w:tcBorders>
            <w:noWrap w:val="0"/>
            <w:vAlign w:val="center"/>
          </w:tcPr>
          <w:p w14:paraId="1A8BC3BA">
            <w:pPr>
              <w:snapToGrid w:val="0"/>
              <w:spacing w:line="400" w:lineRule="exact"/>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内</w:t>
            </w:r>
            <w:r>
              <w:rPr>
                <w:rFonts w:hint="eastAsia" w:ascii="仿宋" w:hAnsi="仿宋" w:eastAsia="仿宋" w:cs="仿宋"/>
                <w:b/>
                <w:bCs w:val="0"/>
                <w:color w:val="auto"/>
                <w:sz w:val="24"/>
                <w:szCs w:val="24"/>
                <w:highlight w:val="none"/>
                <w:lang w:val="en-US" w:eastAsia="zh-CN"/>
              </w:rPr>
              <w:t xml:space="preserve">  </w:t>
            </w:r>
            <w:r>
              <w:rPr>
                <w:rFonts w:hint="eastAsia" w:ascii="仿宋" w:hAnsi="仿宋" w:eastAsia="仿宋" w:cs="仿宋"/>
                <w:b/>
                <w:bCs w:val="0"/>
                <w:color w:val="auto"/>
                <w:sz w:val="24"/>
                <w:szCs w:val="24"/>
                <w:highlight w:val="none"/>
              </w:rPr>
              <w:t>容</w:t>
            </w:r>
          </w:p>
        </w:tc>
      </w:tr>
      <w:tr w14:paraId="5FD301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1238" w:type="dxa"/>
            <w:tcBorders>
              <w:top w:val="single" w:color="auto" w:sz="4" w:space="0"/>
              <w:left w:val="single" w:color="auto" w:sz="4" w:space="0"/>
              <w:right w:val="single" w:color="auto" w:sz="4" w:space="0"/>
            </w:tcBorders>
            <w:noWrap w:val="0"/>
            <w:vAlign w:val="center"/>
          </w:tcPr>
          <w:p w14:paraId="1CD3F8CA">
            <w:pPr>
              <w:snapToGrid w:val="0"/>
              <w:spacing w:line="40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2799" w:type="dxa"/>
            <w:tcBorders>
              <w:top w:val="single" w:color="auto" w:sz="4" w:space="0"/>
              <w:left w:val="single" w:color="auto" w:sz="4" w:space="0"/>
              <w:right w:val="single" w:color="auto" w:sz="4" w:space="0"/>
            </w:tcBorders>
            <w:noWrap w:val="0"/>
            <w:vAlign w:val="center"/>
          </w:tcPr>
          <w:p w14:paraId="75093558">
            <w:pPr>
              <w:snapToGrid w:val="0"/>
              <w:spacing w:line="24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投标人名称</w:t>
            </w:r>
          </w:p>
        </w:tc>
        <w:tc>
          <w:tcPr>
            <w:tcW w:w="5327" w:type="dxa"/>
            <w:tcBorders>
              <w:top w:val="single" w:color="auto" w:sz="4" w:space="0"/>
              <w:left w:val="single" w:color="auto" w:sz="4" w:space="0"/>
              <w:right w:val="single" w:color="auto" w:sz="4" w:space="0"/>
            </w:tcBorders>
            <w:noWrap w:val="0"/>
            <w:vAlign w:val="center"/>
          </w:tcPr>
          <w:p w14:paraId="45B34EF9">
            <w:pPr>
              <w:snapToGrid w:val="0"/>
              <w:spacing w:line="400" w:lineRule="exact"/>
              <w:rPr>
                <w:rFonts w:hint="eastAsia" w:ascii="仿宋" w:hAnsi="仿宋" w:eastAsia="仿宋" w:cs="仿宋"/>
                <w:b w:val="0"/>
                <w:bCs/>
                <w:color w:val="auto"/>
                <w:sz w:val="24"/>
                <w:szCs w:val="24"/>
                <w:highlight w:val="none"/>
              </w:rPr>
            </w:pPr>
          </w:p>
        </w:tc>
      </w:tr>
      <w:tr w14:paraId="1B646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1" w:hRule="atLeast"/>
          <w:jc w:val="center"/>
        </w:trPr>
        <w:tc>
          <w:tcPr>
            <w:tcW w:w="1238" w:type="dxa"/>
            <w:tcBorders>
              <w:top w:val="single" w:color="auto" w:sz="4" w:space="0"/>
              <w:left w:val="single" w:color="auto" w:sz="4" w:space="0"/>
              <w:right w:val="single" w:color="auto" w:sz="4" w:space="0"/>
            </w:tcBorders>
            <w:noWrap w:val="0"/>
            <w:vAlign w:val="center"/>
          </w:tcPr>
          <w:p w14:paraId="2E7ADE17">
            <w:pPr>
              <w:snapToGrid w:val="0"/>
              <w:spacing w:line="40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2799" w:type="dxa"/>
            <w:tcBorders>
              <w:top w:val="single" w:color="auto" w:sz="4" w:space="0"/>
              <w:left w:val="single" w:color="auto" w:sz="4" w:space="0"/>
              <w:bottom w:val="single" w:color="auto" w:sz="4" w:space="0"/>
              <w:right w:val="single" w:color="auto" w:sz="4" w:space="0"/>
            </w:tcBorders>
            <w:noWrap w:val="0"/>
            <w:vAlign w:val="center"/>
          </w:tcPr>
          <w:p w14:paraId="6D61EF48">
            <w:pPr>
              <w:snapToGrid w:val="0"/>
              <w:spacing w:line="240" w:lineRule="auto"/>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 xml:space="preserve">投 标 </w:t>
            </w:r>
            <w:r>
              <w:rPr>
                <w:rFonts w:hint="eastAsia" w:ascii="仿宋" w:hAnsi="仿宋" w:eastAsia="仿宋" w:cs="仿宋"/>
                <w:b w:val="0"/>
                <w:bCs/>
                <w:color w:val="auto"/>
                <w:sz w:val="24"/>
                <w:szCs w:val="24"/>
                <w:highlight w:val="none"/>
                <w:lang w:val="en-US" w:eastAsia="zh-CN"/>
              </w:rPr>
              <w:t>报 价</w:t>
            </w:r>
          </w:p>
          <w:p w14:paraId="509CBB0B">
            <w:pPr>
              <w:snapToGrid w:val="0"/>
              <w:spacing w:line="240" w:lineRule="auto"/>
              <w:jc w:val="center"/>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（人民币）</w:t>
            </w:r>
          </w:p>
        </w:tc>
        <w:tc>
          <w:tcPr>
            <w:tcW w:w="5327" w:type="dxa"/>
            <w:tcBorders>
              <w:top w:val="single" w:color="auto" w:sz="4" w:space="0"/>
              <w:left w:val="single" w:color="auto" w:sz="4" w:space="0"/>
              <w:bottom w:val="single" w:color="auto" w:sz="4" w:space="0"/>
              <w:right w:val="single" w:color="auto" w:sz="4" w:space="0"/>
            </w:tcBorders>
            <w:noWrap w:val="0"/>
            <w:vAlign w:val="center"/>
          </w:tcPr>
          <w:p w14:paraId="0FC866F0">
            <w:pPr>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小写：</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元</w:t>
            </w:r>
          </w:p>
          <w:p w14:paraId="736611EA">
            <w:pPr>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大写：</w:t>
            </w:r>
            <w:r>
              <w:rPr>
                <w:rFonts w:hint="eastAsia" w:ascii="仿宋" w:hAnsi="仿宋" w:eastAsia="仿宋" w:cs="仿宋"/>
                <w:b w:val="0"/>
                <w:bCs/>
                <w:color w:val="auto"/>
                <w:sz w:val="24"/>
                <w:szCs w:val="24"/>
                <w:highlight w:val="none"/>
                <w:u w:val="single"/>
                <w:lang w:val="en-US" w:eastAsia="zh-CN"/>
              </w:rPr>
              <w:t xml:space="preserve">                        </w:t>
            </w:r>
          </w:p>
        </w:tc>
      </w:tr>
      <w:tr w14:paraId="7FFA43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1238" w:type="dxa"/>
            <w:tcBorders>
              <w:top w:val="single" w:color="auto" w:sz="4" w:space="0"/>
              <w:left w:val="single" w:color="auto" w:sz="4" w:space="0"/>
              <w:bottom w:val="single" w:color="auto" w:sz="4" w:space="0"/>
              <w:right w:val="single" w:color="auto" w:sz="4" w:space="0"/>
            </w:tcBorders>
            <w:noWrap w:val="0"/>
            <w:vAlign w:val="center"/>
          </w:tcPr>
          <w:p w14:paraId="092AA5F7">
            <w:pPr>
              <w:snapToGrid w:val="0"/>
              <w:spacing w:line="40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2799" w:type="dxa"/>
            <w:tcBorders>
              <w:top w:val="single" w:color="auto" w:sz="4" w:space="0"/>
              <w:left w:val="single" w:color="auto" w:sz="4" w:space="0"/>
              <w:bottom w:val="single" w:color="auto" w:sz="4" w:space="0"/>
              <w:right w:val="single" w:color="auto" w:sz="4" w:space="0"/>
            </w:tcBorders>
            <w:noWrap w:val="0"/>
            <w:vAlign w:val="center"/>
          </w:tcPr>
          <w:p w14:paraId="6A983F37">
            <w:pPr>
              <w:snapToGrid w:val="0"/>
              <w:spacing w:line="240" w:lineRule="auto"/>
              <w:jc w:val="center"/>
              <w:rPr>
                <w:rFonts w:hint="eastAsia" w:ascii="仿宋" w:hAnsi="仿宋" w:eastAsia="仿宋" w:cs="仿宋"/>
                <w:b w:val="0"/>
                <w:bCs/>
                <w:color w:val="auto"/>
                <w:sz w:val="24"/>
                <w:szCs w:val="24"/>
                <w:highlight w:val="none"/>
                <w:u w:val="single"/>
              </w:rPr>
            </w:pPr>
            <w:r>
              <w:rPr>
                <w:rFonts w:hint="eastAsia" w:ascii="仿宋" w:hAnsi="仿宋" w:eastAsia="仿宋" w:cs="仿宋"/>
                <w:b w:val="0"/>
                <w:bCs/>
                <w:color w:val="auto"/>
                <w:sz w:val="24"/>
                <w:szCs w:val="24"/>
                <w:highlight w:val="none"/>
                <w:u w:val="none"/>
                <w:lang w:val="en-US" w:eastAsia="zh-CN"/>
              </w:rPr>
              <w:t>服务</w:t>
            </w:r>
            <w:r>
              <w:rPr>
                <w:rFonts w:hint="eastAsia" w:ascii="仿宋" w:hAnsi="仿宋" w:eastAsia="仿宋" w:cs="仿宋"/>
                <w:b w:val="0"/>
                <w:bCs/>
                <w:color w:val="auto"/>
                <w:sz w:val="24"/>
                <w:szCs w:val="24"/>
                <w:highlight w:val="none"/>
                <w:u w:val="none"/>
              </w:rPr>
              <w:t>期</w:t>
            </w:r>
          </w:p>
        </w:tc>
        <w:tc>
          <w:tcPr>
            <w:tcW w:w="5327" w:type="dxa"/>
            <w:tcBorders>
              <w:top w:val="single" w:color="auto" w:sz="4" w:space="0"/>
              <w:left w:val="single" w:color="auto" w:sz="4" w:space="0"/>
              <w:bottom w:val="single" w:color="auto" w:sz="4" w:space="0"/>
              <w:right w:val="single" w:color="auto" w:sz="4" w:space="0"/>
            </w:tcBorders>
            <w:noWrap w:val="0"/>
            <w:vAlign w:val="center"/>
          </w:tcPr>
          <w:p w14:paraId="7D18A5CD">
            <w:pPr>
              <w:snapToGrid w:val="0"/>
              <w:spacing w:line="360" w:lineRule="auto"/>
              <w:ind w:left="2559"/>
              <w:rPr>
                <w:rFonts w:hint="eastAsia" w:ascii="仿宋" w:hAnsi="仿宋" w:eastAsia="仿宋" w:cs="仿宋"/>
                <w:b w:val="0"/>
                <w:bCs/>
                <w:color w:val="auto"/>
                <w:sz w:val="24"/>
                <w:szCs w:val="24"/>
                <w:highlight w:val="none"/>
                <w:u w:val="single"/>
              </w:rPr>
            </w:pPr>
          </w:p>
        </w:tc>
      </w:tr>
      <w:tr w14:paraId="2286E7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1238" w:type="dxa"/>
            <w:tcBorders>
              <w:top w:val="single" w:color="auto" w:sz="4" w:space="0"/>
              <w:left w:val="single" w:color="auto" w:sz="4" w:space="0"/>
              <w:bottom w:val="single" w:color="auto" w:sz="4" w:space="0"/>
              <w:right w:val="single" w:color="auto" w:sz="4" w:space="0"/>
            </w:tcBorders>
            <w:noWrap w:val="0"/>
            <w:vAlign w:val="center"/>
          </w:tcPr>
          <w:p w14:paraId="4F1ED4F3">
            <w:pPr>
              <w:snapToGrid w:val="0"/>
              <w:spacing w:line="40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w:t>
            </w:r>
          </w:p>
        </w:tc>
        <w:tc>
          <w:tcPr>
            <w:tcW w:w="2799" w:type="dxa"/>
            <w:tcBorders>
              <w:top w:val="single" w:color="auto" w:sz="4" w:space="0"/>
              <w:left w:val="single" w:color="auto" w:sz="4" w:space="0"/>
              <w:bottom w:val="single" w:color="auto" w:sz="4" w:space="0"/>
              <w:right w:val="single" w:color="auto" w:sz="4" w:space="0"/>
            </w:tcBorders>
            <w:noWrap w:val="0"/>
            <w:vAlign w:val="center"/>
          </w:tcPr>
          <w:p w14:paraId="75EBE795">
            <w:pPr>
              <w:snapToGrid w:val="0"/>
              <w:spacing w:line="240" w:lineRule="auto"/>
              <w:jc w:val="center"/>
              <w:rPr>
                <w:rFonts w:hint="eastAsia" w:ascii="仿宋" w:hAnsi="仿宋" w:eastAsia="仿宋" w:cs="仿宋"/>
                <w:b w:val="0"/>
                <w:bCs/>
                <w:color w:val="auto"/>
                <w:sz w:val="24"/>
                <w:szCs w:val="24"/>
                <w:highlight w:val="none"/>
                <w:u w:val="none"/>
                <w:lang w:eastAsia="zh-CN"/>
              </w:rPr>
            </w:pPr>
            <w:r>
              <w:rPr>
                <w:rFonts w:hint="eastAsia" w:ascii="仿宋" w:hAnsi="仿宋" w:eastAsia="仿宋" w:cs="仿宋"/>
                <w:b w:val="0"/>
                <w:bCs/>
                <w:color w:val="auto"/>
                <w:sz w:val="24"/>
                <w:szCs w:val="24"/>
                <w:highlight w:val="none"/>
                <w:u w:val="none"/>
                <w:lang w:val="en-US" w:eastAsia="zh-CN"/>
              </w:rPr>
              <w:t>交付</w:t>
            </w:r>
            <w:r>
              <w:rPr>
                <w:rFonts w:hint="eastAsia" w:ascii="仿宋" w:hAnsi="仿宋" w:eastAsia="仿宋" w:cs="仿宋"/>
                <w:b w:val="0"/>
                <w:bCs/>
                <w:color w:val="auto"/>
                <w:sz w:val="24"/>
                <w:szCs w:val="24"/>
                <w:highlight w:val="none"/>
                <w:u w:val="none"/>
                <w:lang w:eastAsia="zh-CN"/>
              </w:rPr>
              <w:t>期</w:t>
            </w:r>
          </w:p>
        </w:tc>
        <w:tc>
          <w:tcPr>
            <w:tcW w:w="5327" w:type="dxa"/>
            <w:tcBorders>
              <w:top w:val="single" w:color="auto" w:sz="4" w:space="0"/>
              <w:left w:val="single" w:color="auto" w:sz="4" w:space="0"/>
              <w:bottom w:val="single" w:color="auto" w:sz="4" w:space="0"/>
              <w:right w:val="single" w:color="auto" w:sz="4" w:space="0"/>
            </w:tcBorders>
            <w:noWrap w:val="0"/>
            <w:vAlign w:val="center"/>
          </w:tcPr>
          <w:p w14:paraId="1ADA44AE">
            <w:pPr>
              <w:snapToGrid w:val="0"/>
              <w:spacing w:line="360" w:lineRule="auto"/>
              <w:ind w:left="2559"/>
              <w:rPr>
                <w:rFonts w:hint="eastAsia" w:ascii="仿宋" w:hAnsi="仿宋" w:eastAsia="仿宋" w:cs="仿宋"/>
                <w:b w:val="0"/>
                <w:bCs/>
                <w:color w:val="auto"/>
                <w:sz w:val="24"/>
                <w:szCs w:val="24"/>
                <w:highlight w:val="none"/>
                <w:u w:val="single"/>
              </w:rPr>
            </w:pPr>
          </w:p>
        </w:tc>
      </w:tr>
      <w:tr w14:paraId="6B3636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238" w:type="dxa"/>
            <w:tcBorders>
              <w:top w:val="single" w:color="auto" w:sz="4" w:space="0"/>
              <w:left w:val="single" w:color="auto" w:sz="4" w:space="0"/>
              <w:bottom w:val="single" w:color="auto" w:sz="4" w:space="0"/>
              <w:right w:val="single" w:color="auto" w:sz="4" w:space="0"/>
            </w:tcBorders>
            <w:noWrap w:val="0"/>
            <w:vAlign w:val="center"/>
          </w:tcPr>
          <w:p w14:paraId="4DA73F78">
            <w:pPr>
              <w:snapToGrid w:val="0"/>
              <w:spacing w:line="400" w:lineRule="exact"/>
              <w:jc w:val="center"/>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5</w:t>
            </w:r>
          </w:p>
        </w:tc>
        <w:tc>
          <w:tcPr>
            <w:tcW w:w="2799" w:type="dxa"/>
            <w:tcBorders>
              <w:top w:val="single" w:color="auto" w:sz="4" w:space="0"/>
              <w:left w:val="single" w:color="auto" w:sz="4" w:space="0"/>
              <w:bottom w:val="single" w:color="auto" w:sz="4" w:space="0"/>
              <w:right w:val="single" w:color="auto" w:sz="4" w:space="0"/>
            </w:tcBorders>
            <w:noWrap w:val="0"/>
            <w:vAlign w:val="center"/>
          </w:tcPr>
          <w:p w14:paraId="794E678A">
            <w:pPr>
              <w:snapToGrid w:val="0"/>
              <w:spacing w:line="24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其他事项申明</w:t>
            </w:r>
          </w:p>
        </w:tc>
        <w:tc>
          <w:tcPr>
            <w:tcW w:w="5327" w:type="dxa"/>
            <w:tcBorders>
              <w:top w:val="single" w:color="auto" w:sz="4" w:space="0"/>
              <w:left w:val="single" w:color="auto" w:sz="4" w:space="0"/>
              <w:bottom w:val="single" w:color="auto" w:sz="4" w:space="0"/>
              <w:right w:val="single" w:color="auto" w:sz="4" w:space="0"/>
            </w:tcBorders>
            <w:noWrap w:val="0"/>
            <w:vAlign w:val="top"/>
          </w:tcPr>
          <w:p w14:paraId="63EC053D">
            <w:pPr>
              <w:snapToGrid w:val="0"/>
              <w:spacing w:line="400" w:lineRule="exact"/>
              <w:rPr>
                <w:rFonts w:hint="eastAsia" w:ascii="仿宋" w:hAnsi="仿宋" w:eastAsia="仿宋" w:cs="仿宋"/>
                <w:b w:val="0"/>
                <w:bCs/>
                <w:color w:val="auto"/>
                <w:sz w:val="24"/>
                <w:szCs w:val="24"/>
                <w:highlight w:val="none"/>
              </w:rPr>
            </w:pPr>
          </w:p>
        </w:tc>
      </w:tr>
      <w:tr w14:paraId="62767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4037" w:type="dxa"/>
            <w:gridSpan w:val="2"/>
            <w:tcBorders>
              <w:top w:val="single" w:color="auto" w:sz="4" w:space="0"/>
              <w:left w:val="single" w:color="auto" w:sz="4" w:space="0"/>
              <w:bottom w:val="single" w:color="auto" w:sz="4" w:space="0"/>
              <w:right w:val="single" w:color="auto" w:sz="4" w:space="0"/>
            </w:tcBorders>
            <w:noWrap w:val="0"/>
            <w:vAlign w:val="center"/>
          </w:tcPr>
          <w:p w14:paraId="327FB5FA">
            <w:pPr>
              <w:snapToGrid w:val="0"/>
              <w:spacing w:line="240" w:lineRule="auto"/>
              <w:jc w:val="center"/>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备注</w:t>
            </w:r>
          </w:p>
        </w:tc>
        <w:tc>
          <w:tcPr>
            <w:tcW w:w="5327" w:type="dxa"/>
            <w:tcBorders>
              <w:top w:val="single" w:color="auto" w:sz="4" w:space="0"/>
              <w:left w:val="single" w:color="auto" w:sz="4" w:space="0"/>
              <w:bottom w:val="single" w:color="auto" w:sz="4" w:space="0"/>
              <w:right w:val="single" w:color="auto" w:sz="4" w:space="0"/>
            </w:tcBorders>
            <w:noWrap w:val="0"/>
            <w:vAlign w:val="top"/>
          </w:tcPr>
          <w:p w14:paraId="0173FA47">
            <w:pPr>
              <w:snapToGrid w:val="0"/>
              <w:spacing w:line="400" w:lineRule="exact"/>
              <w:rPr>
                <w:rFonts w:hint="eastAsia" w:ascii="仿宋" w:hAnsi="仿宋" w:eastAsia="仿宋" w:cs="仿宋"/>
                <w:b w:val="0"/>
                <w:bCs/>
                <w:color w:val="auto"/>
                <w:sz w:val="24"/>
                <w:szCs w:val="24"/>
                <w:highlight w:val="none"/>
              </w:rPr>
            </w:pPr>
          </w:p>
        </w:tc>
      </w:tr>
    </w:tbl>
    <w:p w14:paraId="3660B900">
      <w:pPr>
        <w:spacing w:line="360" w:lineRule="auto"/>
        <w:ind w:firstLine="241"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w:t>
      </w:r>
      <w:r>
        <w:rPr>
          <w:rFonts w:hint="eastAsia" w:ascii="仿宋" w:hAnsi="仿宋" w:eastAsia="仿宋" w:cs="仿宋"/>
          <w:color w:val="auto"/>
          <w:sz w:val="24"/>
          <w:szCs w:val="24"/>
          <w:highlight w:val="none"/>
          <w:lang w:val="en-US" w:eastAsia="zh-CN"/>
        </w:rPr>
        <w:t>1.</w:t>
      </w:r>
      <w:r>
        <w:rPr>
          <w:rFonts w:hint="eastAsia" w:ascii="仿宋" w:hAnsi="仿宋" w:eastAsia="仿宋" w:cs="仿宋"/>
          <w:b w:val="0"/>
          <w:bCs w:val="0"/>
          <w:color w:val="auto"/>
          <w:sz w:val="24"/>
          <w:szCs w:val="24"/>
          <w:highlight w:val="none"/>
          <w:lang w:val="en-US" w:eastAsia="zh-CN"/>
        </w:rPr>
        <w:t>供应商严格按照规定的格式填写；投标报价为优惠后报价，并作为评审及定标的依据</w:t>
      </w:r>
      <w:r>
        <w:rPr>
          <w:rFonts w:hint="eastAsia" w:ascii="仿宋" w:hAnsi="仿宋" w:eastAsia="仿宋" w:cs="仿宋"/>
          <w:color w:val="auto"/>
          <w:sz w:val="24"/>
          <w:szCs w:val="24"/>
          <w:highlight w:val="none"/>
          <w:lang w:val="en-US" w:eastAsia="zh-CN"/>
        </w:rPr>
        <w:t>。</w:t>
      </w:r>
    </w:p>
    <w:p w14:paraId="668CD94A">
      <w:pPr>
        <w:numPr>
          <w:ilvl w:val="0"/>
          <w:numId w:val="0"/>
        </w:numPr>
        <w:spacing w:line="360" w:lineRule="auto"/>
        <w:ind w:firstLine="720" w:firstLineChars="3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2.开标一览表中投标报价大小应写一致，如不一致以大写为准。</w:t>
      </w:r>
    </w:p>
    <w:p w14:paraId="6EB34802">
      <w:pPr>
        <w:spacing w:line="360" w:lineRule="auto"/>
        <w:ind w:firstLine="720" w:firstLineChars="3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3.任何有选择或有条件的投标报价或明细表中某一项填写多个报价，均将导致投标被拒绝。</w:t>
      </w:r>
    </w:p>
    <w:p w14:paraId="3186E8A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3402E964">
      <w:pPr>
        <w:spacing w:line="360" w:lineRule="auto"/>
        <w:rPr>
          <w:rFonts w:hint="eastAsia" w:ascii="仿宋" w:hAnsi="仿宋" w:eastAsia="仿宋" w:cs="仿宋"/>
          <w:color w:val="auto"/>
          <w:sz w:val="24"/>
          <w:szCs w:val="24"/>
          <w:highlight w:val="none"/>
        </w:rPr>
      </w:pPr>
    </w:p>
    <w:p w14:paraId="5A4603E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投标单位（单位公章）：</w:t>
      </w:r>
    </w:p>
    <w:p w14:paraId="10E203F9">
      <w:pPr>
        <w:spacing w:line="360" w:lineRule="auto"/>
        <w:rPr>
          <w:rFonts w:hint="eastAsia" w:ascii="仿宋" w:hAnsi="仿宋" w:eastAsia="仿宋" w:cs="仿宋"/>
          <w:color w:val="auto"/>
          <w:sz w:val="24"/>
          <w:szCs w:val="24"/>
          <w:highlight w:val="none"/>
        </w:rPr>
      </w:pPr>
    </w:p>
    <w:p w14:paraId="10E05A7E">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14:paraId="16990E89">
      <w:pPr>
        <w:spacing w:line="360" w:lineRule="auto"/>
        <w:ind w:firstLine="3360" w:firstLineChars="1400"/>
        <w:rPr>
          <w:rFonts w:hint="eastAsia" w:ascii="仿宋" w:hAnsi="仿宋" w:eastAsia="仿宋" w:cs="仿宋"/>
          <w:color w:val="auto"/>
          <w:sz w:val="24"/>
          <w:szCs w:val="24"/>
          <w:highlight w:val="none"/>
        </w:rPr>
      </w:pPr>
    </w:p>
    <w:p w14:paraId="5FDC0D9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bookmarkStart w:id="173" w:name="_Toc12987"/>
      <w:bookmarkStart w:id="174" w:name="_Toc4683"/>
      <w:bookmarkStart w:id="175" w:name="_Toc21935"/>
      <w:bookmarkStart w:id="176" w:name="_Toc4570"/>
      <w:bookmarkStart w:id="177" w:name="_Toc32601"/>
    </w:p>
    <w:p w14:paraId="57D8F031">
      <w:pPr>
        <w:spacing w:line="360" w:lineRule="auto"/>
        <w:rPr>
          <w:rFonts w:hint="eastAsia" w:ascii="仿宋" w:hAnsi="仿宋" w:eastAsia="仿宋" w:cs="仿宋"/>
          <w:color w:val="auto"/>
          <w:sz w:val="24"/>
          <w:highlight w:val="none"/>
        </w:rPr>
      </w:pPr>
    </w:p>
    <w:p w14:paraId="76500443">
      <w:pPr>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br w:type="page"/>
      </w:r>
    </w:p>
    <w:bookmarkEnd w:id="173"/>
    <w:bookmarkEnd w:id="174"/>
    <w:bookmarkEnd w:id="175"/>
    <w:bookmarkEnd w:id="176"/>
    <w:bookmarkEnd w:id="177"/>
    <w:p w14:paraId="4F406DBF">
      <w:pPr>
        <w:keepNext w:val="0"/>
        <w:keepLines w:val="0"/>
        <w:pageBreakBefore w:val="0"/>
        <w:widowControl w:val="0"/>
        <w:kinsoku/>
        <w:wordWrap/>
        <w:overflowPunct/>
        <w:topLinePunct w:val="0"/>
        <w:autoSpaceDE/>
        <w:autoSpaceDN/>
        <w:bidi w:val="0"/>
        <w:adjustRightInd/>
        <w:snapToGrid/>
        <w:spacing w:line="552" w:lineRule="auto"/>
        <w:ind w:firstLine="562" w:firstLineChars="200"/>
        <w:jc w:val="center"/>
        <w:textAlignment w:val="auto"/>
        <w:rPr>
          <w:rFonts w:hint="eastAsia" w:ascii="仿宋" w:hAnsi="仿宋" w:eastAsia="仿宋" w:cs="仿宋"/>
          <w:color w:val="auto"/>
          <w:kern w:val="0"/>
          <w:sz w:val="28"/>
          <w:szCs w:val="28"/>
          <w:highlight w:val="none"/>
        </w:rPr>
      </w:pPr>
      <w:bookmarkStart w:id="178" w:name="_Toc248313661"/>
      <w:bookmarkStart w:id="179" w:name="_Toc329785083"/>
      <w:bookmarkStart w:id="180" w:name="_Toc6647"/>
      <w:bookmarkStart w:id="181" w:name="_Toc19324"/>
      <w:bookmarkStart w:id="182" w:name="_Toc22433"/>
      <w:bookmarkStart w:id="183" w:name="_Toc25282"/>
      <w:r>
        <w:rPr>
          <w:rFonts w:hint="eastAsia" w:ascii="仿宋" w:hAnsi="仿宋" w:eastAsia="仿宋" w:cs="仿宋"/>
          <w:b/>
          <w:bCs/>
          <w:color w:val="auto"/>
          <w:kern w:val="0"/>
          <w:sz w:val="28"/>
          <w:szCs w:val="28"/>
          <w:highlight w:val="none"/>
          <w:lang w:val="en-US" w:eastAsia="zh-CN"/>
        </w:rPr>
        <w:t>四</w:t>
      </w:r>
      <w:r>
        <w:rPr>
          <w:rFonts w:hint="eastAsia" w:ascii="仿宋" w:hAnsi="仿宋" w:eastAsia="仿宋" w:cs="仿宋"/>
          <w:b/>
          <w:bCs/>
          <w:color w:val="auto"/>
          <w:kern w:val="0"/>
          <w:sz w:val="28"/>
          <w:szCs w:val="28"/>
          <w:highlight w:val="none"/>
        </w:rPr>
        <w:t>、法定代表人身份证明、法定代表人授权委托书</w:t>
      </w:r>
    </w:p>
    <w:p w14:paraId="78A574D5">
      <w:pPr>
        <w:tabs>
          <w:tab w:val="left" w:pos="1813"/>
        </w:tabs>
        <w:autoSpaceDE w:val="0"/>
        <w:autoSpaceDN w:val="0"/>
        <w:adjustRightInd w:val="0"/>
        <w:spacing w:line="60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（一）法定代表人身份证明</w:t>
      </w:r>
    </w:p>
    <w:p w14:paraId="77C2C8FE">
      <w:pPr>
        <w:tabs>
          <w:tab w:val="left" w:pos="1813"/>
        </w:tabs>
        <w:autoSpaceDE w:val="0"/>
        <w:autoSpaceDN w:val="0"/>
        <w:adjustRightInd w:val="0"/>
        <w:spacing w:line="240" w:lineRule="auto"/>
        <w:rPr>
          <w:rFonts w:hint="eastAsia" w:ascii="仿宋" w:hAnsi="仿宋" w:eastAsia="仿宋" w:cs="仿宋"/>
          <w:color w:val="auto"/>
          <w:kern w:val="0"/>
          <w:sz w:val="24"/>
          <w:szCs w:val="24"/>
          <w:highlight w:val="none"/>
        </w:rPr>
      </w:pPr>
    </w:p>
    <w:p w14:paraId="60E2374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采购单位名称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p>
    <w:p w14:paraId="41A803D8">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兹有</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同志为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公司法定代表人，代表我公司办理一切社会公务事宜，具有法律效力。 </w:t>
      </w:r>
    </w:p>
    <w:p w14:paraId="3616CCF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附法定代表人基本情况： </w:t>
      </w:r>
    </w:p>
    <w:p w14:paraId="023DD51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职务：</w:t>
      </w:r>
      <w:r>
        <w:rPr>
          <w:rFonts w:hint="eastAsia" w:ascii="仿宋" w:hAnsi="仿宋" w:eastAsia="仿宋" w:cs="仿宋"/>
          <w:color w:val="auto"/>
          <w:sz w:val="24"/>
          <w:szCs w:val="24"/>
          <w:highlight w:val="none"/>
          <w:u w:val="single"/>
        </w:rPr>
        <w:t xml:space="preserve">         </w:t>
      </w:r>
    </w:p>
    <w:p w14:paraId="63143F3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single"/>
        </w:rPr>
        <w:t xml:space="preserve">       </w:t>
      </w:r>
    </w:p>
    <w:p w14:paraId="5F95DA7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通讯地址：</w:t>
      </w:r>
      <w:r>
        <w:rPr>
          <w:rFonts w:hint="eastAsia" w:ascii="仿宋" w:hAnsi="仿宋" w:eastAsia="仿宋" w:cs="仿宋"/>
          <w:color w:val="auto"/>
          <w:sz w:val="24"/>
          <w:szCs w:val="24"/>
          <w:highlight w:val="none"/>
          <w:u w:val="single"/>
        </w:rPr>
        <w:t xml:space="preserve">                       </w:t>
      </w:r>
    </w:p>
    <w:p w14:paraId="7857DBD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电话号码：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single"/>
        </w:rPr>
        <w:t xml:space="preserve">                 </w:t>
      </w:r>
    </w:p>
    <w:p w14:paraId="19DB3C65">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bl>
      <w:tblPr>
        <w:tblStyle w:val="48"/>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3"/>
        <w:gridCol w:w="4287"/>
      </w:tblGrid>
      <w:tr w14:paraId="23FE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8" w:hRule="atLeast"/>
          <w:jc w:val="center"/>
        </w:trPr>
        <w:tc>
          <w:tcPr>
            <w:tcW w:w="4263" w:type="dxa"/>
            <w:tcBorders>
              <w:top w:val="single" w:color="auto" w:sz="4" w:space="0"/>
              <w:left w:val="single" w:color="auto" w:sz="4" w:space="0"/>
              <w:bottom w:val="single" w:color="auto" w:sz="4" w:space="0"/>
              <w:right w:val="single" w:color="auto" w:sz="4" w:space="0"/>
            </w:tcBorders>
            <w:noWrap w:val="0"/>
            <w:vAlign w:val="center"/>
          </w:tcPr>
          <w:p w14:paraId="25363209">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粘贴法定代表人身份证复印件（正面）</w:t>
            </w:r>
          </w:p>
        </w:tc>
        <w:tc>
          <w:tcPr>
            <w:tcW w:w="4287" w:type="dxa"/>
            <w:tcBorders>
              <w:top w:val="single" w:color="auto" w:sz="4" w:space="0"/>
              <w:left w:val="single" w:color="auto" w:sz="4" w:space="0"/>
              <w:bottom w:val="single" w:color="auto" w:sz="4" w:space="0"/>
              <w:right w:val="single" w:color="auto" w:sz="4" w:space="0"/>
            </w:tcBorders>
            <w:noWrap w:val="0"/>
            <w:vAlign w:val="center"/>
          </w:tcPr>
          <w:p w14:paraId="71AFA5D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粘贴法定代表人身份证复印件（反面）</w:t>
            </w:r>
          </w:p>
        </w:tc>
      </w:tr>
    </w:tbl>
    <w:p w14:paraId="201684F8">
      <w:pPr>
        <w:shd w:val="clear" w:color="auto" w:fill="FFFFFF"/>
        <w:snapToGrid w:val="0"/>
        <w:spacing w:line="360" w:lineRule="auto"/>
        <w:rPr>
          <w:rFonts w:hint="eastAsia" w:ascii="仿宋" w:hAnsi="仿宋" w:eastAsia="仿宋" w:cs="仿宋"/>
          <w:color w:val="auto"/>
          <w:sz w:val="24"/>
          <w:szCs w:val="24"/>
          <w:highlight w:val="none"/>
        </w:rPr>
      </w:pPr>
    </w:p>
    <w:p w14:paraId="7BC83C76">
      <w:pPr>
        <w:keepNext w:val="0"/>
        <w:keepLines w:val="0"/>
        <w:pageBreakBefore w:val="0"/>
        <w:widowControl w:val="0"/>
        <w:kinsoku/>
        <w:wordWrap/>
        <w:overflowPunct/>
        <w:topLinePunct w:val="0"/>
        <w:autoSpaceDE/>
        <w:autoSpaceDN/>
        <w:bidi w:val="0"/>
        <w:adjustRightInd/>
        <w:snapToGrid/>
        <w:spacing w:line="528"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投标单位（单位公章）：</w:t>
      </w:r>
    </w:p>
    <w:p w14:paraId="102CDBE7">
      <w:pPr>
        <w:keepNext w:val="0"/>
        <w:keepLines w:val="0"/>
        <w:pageBreakBefore w:val="0"/>
        <w:widowControl w:val="0"/>
        <w:kinsoku/>
        <w:wordWrap/>
        <w:overflowPunct/>
        <w:topLinePunct w:val="0"/>
        <w:autoSpaceDE/>
        <w:autoSpaceDN/>
        <w:bidi w:val="0"/>
        <w:adjustRightInd/>
        <w:snapToGrid/>
        <w:spacing w:line="528"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663F51A7">
      <w:pPr>
        <w:keepNext w:val="0"/>
        <w:keepLines w:val="0"/>
        <w:pageBreakBefore w:val="0"/>
        <w:widowControl w:val="0"/>
        <w:kinsoku/>
        <w:wordWrap/>
        <w:overflowPunct/>
        <w:topLinePunct w:val="0"/>
        <w:autoSpaceDE/>
        <w:autoSpaceDN/>
        <w:bidi w:val="0"/>
        <w:adjustRightInd/>
        <w:snapToGrid/>
        <w:spacing w:line="528"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年   月   日</w:t>
      </w:r>
    </w:p>
    <w:p w14:paraId="0792BCED">
      <w:pPr>
        <w:tabs>
          <w:tab w:val="left" w:pos="1813"/>
        </w:tabs>
        <w:autoSpaceDE w:val="0"/>
        <w:autoSpaceDN w:val="0"/>
        <w:adjustRightInd w:val="0"/>
        <w:spacing w:line="480" w:lineRule="auto"/>
        <w:ind w:firstLine="480"/>
        <w:rPr>
          <w:rFonts w:hint="eastAsia" w:ascii="仿宋" w:hAnsi="仿宋" w:eastAsia="仿宋" w:cs="仿宋"/>
          <w:color w:val="auto"/>
          <w:kern w:val="0"/>
          <w:sz w:val="24"/>
          <w:szCs w:val="24"/>
          <w:highlight w:val="none"/>
        </w:rPr>
      </w:pPr>
      <w:r>
        <w:rPr>
          <w:rFonts w:hint="eastAsia" w:ascii="仿宋" w:hAnsi="仿宋" w:eastAsia="仿宋" w:cs="仿宋"/>
          <w:b/>
          <w:bCs/>
          <w:color w:val="auto"/>
          <w:sz w:val="24"/>
          <w:szCs w:val="24"/>
          <w:highlight w:val="none"/>
          <w:lang w:eastAsia="zh-CN"/>
        </w:rPr>
        <w:t>注：正面国徽、反面人像</w:t>
      </w:r>
      <w:r>
        <w:rPr>
          <w:rFonts w:hint="eastAsia" w:ascii="仿宋" w:hAnsi="仿宋" w:eastAsia="仿宋" w:cs="仿宋"/>
          <w:color w:val="auto"/>
          <w:kern w:val="0"/>
          <w:sz w:val="24"/>
          <w:szCs w:val="24"/>
          <w:highlight w:val="none"/>
        </w:rPr>
        <w:t xml:space="preserve">       </w:t>
      </w:r>
    </w:p>
    <w:p w14:paraId="240C9434">
      <w:pPr>
        <w:tabs>
          <w:tab w:val="left" w:pos="1813"/>
        </w:tabs>
        <w:autoSpaceDE w:val="0"/>
        <w:autoSpaceDN w:val="0"/>
        <w:adjustRightInd w:val="0"/>
        <w:spacing w:line="480" w:lineRule="auto"/>
        <w:ind w:firstLine="480"/>
        <w:rPr>
          <w:rFonts w:hint="eastAsia" w:ascii="仿宋" w:hAnsi="仿宋" w:eastAsia="仿宋" w:cs="仿宋"/>
          <w:color w:val="auto"/>
          <w:kern w:val="0"/>
          <w:sz w:val="24"/>
          <w:szCs w:val="24"/>
          <w:highlight w:val="none"/>
        </w:rPr>
      </w:pPr>
    </w:p>
    <w:bookmarkEnd w:id="178"/>
    <w:bookmarkEnd w:id="179"/>
    <w:p w14:paraId="3A080008">
      <w:pPr>
        <w:numPr>
          <w:ilvl w:val="0"/>
          <w:numId w:val="9"/>
        </w:numPr>
        <w:tabs>
          <w:tab w:val="left" w:pos="1813"/>
        </w:tabs>
        <w:autoSpaceDE w:val="0"/>
        <w:autoSpaceDN w:val="0"/>
        <w:adjustRightInd w:val="0"/>
        <w:spacing w:line="60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法定代表人授权委托书</w:t>
      </w:r>
    </w:p>
    <w:p w14:paraId="57D59353">
      <w:pPr>
        <w:keepNext w:val="0"/>
        <w:keepLines w:val="0"/>
        <w:pageBreakBefore w:val="0"/>
        <w:widowControl w:val="0"/>
        <w:kinsoku/>
        <w:wordWrap/>
        <w:overflowPunct/>
        <w:topLinePunct w:val="0"/>
        <w:bidi w:val="0"/>
        <w:snapToGrid/>
        <w:spacing w:line="39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采购单位名称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p>
    <w:p w14:paraId="00C21536">
      <w:pPr>
        <w:keepNext w:val="0"/>
        <w:keepLines w:val="0"/>
        <w:pageBreakBefore w:val="0"/>
        <w:widowControl w:val="0"/>
        <w:kinsoku/>
        <w:wordWrap/>
        <w:overflowPunct/>
        <w:topLinePunct w:val="0"/>
        <w:autoSpaceDE w:val="0"/>
        <w:autoSpaceDN w:val="0"/>
        <w:bidi w:val="0"/>
        <w:adjustRightInd w:val="0"/>
        <w:snapToGrid/>
        <w:spacing w:line="396" w:lineRule="auto"/>
        <w:ind w:firstLine="960" w:firstLineChars="400"/>
        <w:jc w:val="left"/>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本授权委托书声明：我系</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u w:val="single"/>
          <w:lang w:val="en-US" w:eastAsia="zh-CN"/>
        </w:rPr>
        <w:t xml:space="preserve">    </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rPr>
        <w:t>（投标人名称）的法定代表人，现授权委托</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u w:val="single"/>
          <w:lang w:val="en-US" w:eastAsia="zh-CN"/>
        </w:rPr>
        <w:t xml:space="preserve">      </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rPr>
        <w:t>（投标人名称）的</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u w:val="single"/>
          <w:lang w:val="en-US" w:eastAsia="zh-CN"/>
        </w:rPr>
        <w:t xml:space="preserve">          </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u w:val="none"/>
          <w:lang w:eastAsia="zh-CN"/>
        </w:rPr>
        <w:t>（授权委托人名称）</w:t>
      </w:r>
      <w:r>
        <w:rPr>
          <w:rFonts w:hint="eastAsia" w:ascii="仿宋" w:hAnsi="仿宋" w:eastAsia="仿宋" w:cs="仿宋"/>
          <w:bCs/>
          <w:color w:val="auto"/>
          <w:kern w:val="0"/>
          <w:sz w:val="24"/>
          <w:szCs w:val="24"/>
          <w:highlight w:val="none"/>
        </w:rPr>
        <w:t>为我的代理人，以</w:t>
      </w:r>
      <w:r>
        <w:rPr>
          <w:rFonts w:hint="eastAsia" w:ascii="仿宋" w:hAnsi="仿宋" w:eastAsia="仿宋" w:cs="仿宋"/>
          <w:bCs/>
          <w:color w:val="auto"/>
          <w:kern w:val="0"/>
          <w:sz w:val="24"/>
          <w:szCs w:val="24"/>
          <w:highlight w:val="none"/>
          <w:u w:val="single"/>
          <w:lang w:val="en-US" w:eastAsia="zh-CN"/>
        </w:rPr>
        <w:t xml:space="preserve">               </w:t>
      </w:r>
      <w:r>
        <w:rPr>
          <w:rFonts w:hint="eastAsia" w:ascii="仿宋" w:hAnsi="仿宋" w:eastAsia="仿宋" w:cs="仿宋"/>
          <w:bCs/>
          <w:color w:val="auto"/>
          <w:kern w:val="0"/>
          <w:sz w:val="24"/>
          <w:szCs w:val="24"/>
          <w:highlight w:val="none"/>
        </w:rPr>
        <w:t>（投标人名称）的名义参加招标项目的投标活动。代理人在参加整个招标投标活动所签署的一切文件和处理与之相关的一切事物，我均予承认。</w:t>
      </w:r>
    </w:p>
    <w:p w14:paraId="53DF8595">
      <w:pPr>
        <w:keepNext w:val="0"/>
        <w:keepLines w:val="0"/>
        <w:pageBreakBefore w:val="0"/>
        <w:widowControl w:val="0"/>
        <w:kinsoku/>
        <w:wordWrap/>
        <w:overflowPunct/>
        <w:topLinePunct w:val="0"/>
        <w:autoSpaceDE w:val="0"/>
        <w:autoSpaceDN w:val="0"/>
        <w:bidi w:val="0"/>
        <w:adjustRightInd w:val="0"/>
        <w:snapToGrid/>
        <w:spacing w:line="396" w:lineRule="auto"/>
        <w:ind w:firstLine="480" w:firstLineChars="200"/>
        <w:jc w:val="left"/>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代理人：</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u w:val="single"/>
          <w:lang w:val="en-US" w:eastAsia="zh-CN"/>
        </w:rPr>
        <w:t xml:space="preserve"> </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rPr>
        <w:t>性别：</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u w:val="single"/>
          <w:lang w:val="en-US" w:eastAsia="zh-CN"/>
        </w:rPr>
        <w:t xml:space="preserve"> </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rPr>
        <w:t>年龄：</w:t>
      </w:r>
      <w:r>
        <w:rPr>
          <w:rFonts w:hint="eastAsia" w:ascii="仿宋" w:hAnsi="仿宋" w:eastAsia="仿宋" w:cs="仿宋"/>
          <w:bCs/>
          <w:color w:val="auto"/>
          <w:kern w:val="0"/>
          <w:sz w:val="24"/>
          <w:szCs w:val="24"/>
          <w:highlight w:val="none"/>
          <w:u w:val="single"/>
        </w:rPr>
        <w:t xml:space="preserve">      </w:t>
      </w:r>
    </w:p>
    <w:p w14:paraId="6A357988">
      <w:pPr>
        <w:keepNext w:val="0"/>
        <w:keepLines w:val="0"/>
        <w:pageBreakBefore w:val="0"/>
        <w:widowControl w:val="0"/>
        <w:kinsoku/>
        <w:wordWrap/>
        <w:overflowPunct/>
        <w:topLinePunct w:val="0"/>
        <w:autoSpaceDE w:val="0"/>
        <w:autoSpaceDN w:val="0"/>
        <w:bidi w:val="0"/>
        <w:adjustRightInd w:val="0"/>
        <w:snapToGrid/>
        <w:spacing w:line="396" w:lineRule="auto"/>
        <w:ind w:firstLine="480" w:firstLineChars="200"/>
        <w:jc w:val="left"/>
        <w:textAlignment w:val="auto"/>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rPr>
        <w:t>部  门：</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u w:val="single"/>
          <w:lang w:val="en-US" w:eastAsia="zh-CN"/>
        </w:rPr>
        <w:t xml:space="preserve"> </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rPr>
        <w:t>职务：</w:t>
      </w:r>
      <w:r>
        <w:rPr>
          <w:rFonts w:hint="eastAsia" w:ascii="仿宋" w:hAnsi="仿宋" w:eastAsia="仿宋" w:cs="仿宋"/>
          <w:bCs/>
          <w:color w:val="auto"/>
          <w:kern w:val="0"/>
          <w:sz w:val="24"/>
          <w:szCs w:val="24"/>
          <w:highlight w:val="none"/>
          <w:u w:val="single"/>
        </w:rPr>
        <w:t xml:space="preserve">    </w:t>
      </w:r>
    </w:p>
    <w:p w14:paraId="16139BC1">
      <w:pPr>
        <w:keepNext w:val="0"/>
        <w:keepLines w:val="0"/>
        <w:pageBreakBefore w:val="0"/>
        <w:widowControl w:val="0"/>
        <w:kinsoku/>
        <w:wordWrap/>
        <w:overflowPunct/>
        <w:topLinePunct w:val="0"/>
        <w:bidi w:val="0"/>
        <w:snapToGrid/>
        <w:spacing w:line="396" w:lineRule="auto"/>
        <w:ind w:left="1260"/>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4"/>
          <w:szCs w:val="24"/>
          <w:highlight w:val="none"/>
          <w:u w:val="none"/>
        </w:rPr>
        <w:t>本授权书自出具之日起生效。</w:t>
      </w:r>
    </w:p>
    <w:tbl>
      <w:tblPr>
        <w:tblStyle w:val="48"/>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88"/>
      </w:tblGrid>
      <w:tr w14:paraId="4012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jc w:val="center"/>
        </w:trPr>
        <w:tc>
          <w:tcPr>
            <w:tcW w:w="4114" w:type="dxa"/>
            <w:tcBorders>
              <w:top w:val="single" w:color="auto" w:sz="4" w:space="0"/>
              <w:left w:val="single" w:color="auto" w:sz="4" w:space="0"/>
              <w:bottom w:val="single" w:color="auto" w:sz="4" w:space="0"/>
              <w:right w:val="single" w:color="auto" w:sz="4" w:space="0"/>
            </w:tcBorders>
            <w:noWrap w:val="0"/>
            <w:vAlign w:val="top"/>
          </w:tcPr>
          <w:p w14:paraId="438A18A5">
            <w:pPr>
              <w:spacing w:line="360" w:lineRule="auto"/>
              <w:ind w:firstLine="480" w:firstLineChars="200"/>
              <w:jc w:val="center"/>
              <w:rPr>
                <w:rFonts w:hint="eastAsia" w:ascii="仿宋" w:hAnsi="仿宋" w:eastAsia="仿宋" w:cs="仿宋"/>
                <w:color w:val="auto"/>
                <w:sz w:val="24"/>
                <w:szCs w:val="24"/>
                <w:highlight w:val="none"/>
              </w:rPr>
            </w:pPr>
          </w:p>
          <w:p w14:paraId="1118BF85">
            <w:pPr>
              <w:spacing w:line="360" w:lineRule="auto"/>
              <w:jc w:val="both"/>
              <w:rPr>
                <w:rFonts w:hint="eastAsia" w:ascii="仿宋" w:hAnsi="仿宋" w:eastAsia="仿宋" w:cs="仿宋"/>
                <w:color w:val="auto"/>
                <w:sz w:val="24"/>
                <w:szCs w:val="24"/>
                <w:highlight w:val="none"/>
              </w:rPr>
            </w:pPr>
          </w:p>
          <w:p w14:paraId="7F38506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粘贴法定代表人身份证复印件（正面）</w:t>
            </w:r>
          </w:p>
        </w:tc>
        <w:tc>
          <w:tcPr>
            <w:tcW w:w="4188" w:type="dxa"/>
            <w:tcBorders>
              <w:top w:val="single" w:color="auto" w:sz="4" w:space="0"/>
              <w:left w:val="single" w:color="auto" w:sz="4" w:space="0"/>
              <w:bottom w:val="single" w:color="auto" w:sz="4" w:space="0"/>
              <w:right w:val="single" w:color="auto" w:sz="4" w:space="0"/>
            </w:tcBorders>
            <w:noWrap w:val="0"/>
            <w:vAlign w:val="top"/>
          </w:tcPr>
          <w:p w14:paraId="4197E3A7">
            <w:pPr>
              <w:spacing w:line="360" w:lineRule="auto"/>
              <w:ind w:firstLine="480" w:firstLineChars="200"/>
              <w:rPr>
                <w:rFonts w:hint="eastAsia" w:ascii="仿宋" w:hAnsi="仿宋" w:eastAsia="仿宋" w:cs="仿宋"/>
                <w:color w:val="auto"/>
                <w:sz w:val="24"/>
                <w:szCs w:val="24"/>
                <w:highlight w:val="none"/>
              </w:rPr>
            </w:pPr>
          </w:p>
          <w:p w14:paraId="5903B11E">
            <w:pPr>
              <w:spacing w:line="360" w:lineRule="auto"/>
              <w:rPr>
                <w:rFonts w:hint="eastAsia" w:ascii="仿宋" w:hAnsi="仿宋" w:eastAsia="仿宋" w:cs="仿宋"/>
                <w:color w:val="auto"/>
                <w:sz w:val="24"/>
                <w:szCs w:val="24"/>
                <w:highlight w:val="none"/>
              </w:rPr>
            </w:pPr>
          </w:p>
          <w:p w14:paraId="68198C1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粘贴法定代表人身份证复印件（反面）</w:t>
            </w:r>
          </w:p>
        </w:tc>
      </w:tr>
    </w:tbl>
    <w:p w14:paraId="7626949D">
      <w:pPr>
        <w:spacing w:line="240" w:lineRule="auto"/>
        <w:ind w:left="1260"/>
        <w:rPr>
          <w:rFonts w:hint="eastAsia" w:ascii="仿宋" w:hAnsi="仿宋" w:eastAsia="仿宋" w:cs="仿宋"/>
          <w:color w:val="auto"/>
          <w:sz w:val="24"/>
          <w:szCs w:val="24"/>
          <w:highlight w:val="none"/>
        </w:rPr>
      </w:pPr>
    </w:p>
    <w:tbl>
      <w:tblPr>
        <w:tblStyle w:val="48"/>
        <w:tblW w:w="8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8"/>
        <w:gridCol w:w="4175"/>
      </w:tblGrid>
      <w:tr w14:paraId="59BA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jc w:val="center"/>
        </w:trPr>
        <w:tc>
          <w:tcPr>
            <w:tcW w:w="4138" w:type="dxa"/>
            <w:tcBorders>
              <w:top w:val="single" w:color="auto" w:sz="4" w:space="0"/>
              <w:left w:val="single" w:color="auto" w:sz="4" w:space="0"/>
              <w:bottom w:val="single" w:color="auto" w:sz="4" w:space="0"/>
              <w:right w:val="single" w:color="auto" w:sz="4" w:space="0"/>
            </w:tcBorders>
            <w:noWrap w:val="0"/>
            <w:vAlign w:val="top"/>
          </w:tcPr>
          <w:p w14:paraId="1F473268">
            <w:pPr>
              <w:spacing w:line="360" w:lineRule="auto"/>
              <w:ind w:firstLine="480" w:firstLineChars="200"/>
              <w:jc w:val="center"/>
              <w:rPr>
                <w:rFonts w:hint="eastAsia" w:ascii="仿宋" w:hAnsi="仿宋" w:eastAsia="仿宋" w:cs="仿宋"/>
                <w:color w:val="auto"/>
                <w:sz w:val="24"/>
                <w:szCs w:val="24"/>
                <w:highlight w:val="none"/>
              </w:rPr>
            </w:pPr>
          </w:p>
          <w:p w14:paraId="7C6B0448">
            <w:pPr>
              <w:spacing w:line="360" w:lineRule="auto"/>
              <w:jc w:val="both"/>
              <w:rPr>
                <w:rFonts w:hint="eastAsia" w:ascii="仿宋" w:hAnsi="仿宋" w:eastAsia="仿宋" w:cs="仿宋"/>
                <w:color w:val="auto"/>
                <w:sz w:val="24"/>
                <w:szCs w:val="24"/>
                <w:highlight w:val="none"/>
              </w:rPr>
            </w:pPr>
          </w:p>
          <w:p w14:paraId="6D81273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粘贴授权委托人身份证复印件（正面）</w:t>
            </w:r>
          </w:p>
        </w:tc>
        <w:tc>
          <w:tcPr>
            <w:tcW w:w="4175" w:type="dxa"/>
            <w:tcBorders>
              <w:top w:val="single" w:color="auto" w:sz="4" w:space="0"/>
              <w:left w:val="single" w:color="auto" w:sz="4" w:space="0"/>
              <w:bottom w:val="single" w:color="auto" w:sz="4" w:space="0"/>
              <w:right w:val="single" w:color="auto" w:sz="4" w:space="0"/>
            </w:tcBorders>
            <w:noWrap w:val="0"/>
            <w:vAlign w:val="top"/>
          </w:tcPr>
          <w:p w14:paraId="711BB697">
            <w:pPr>
              <w:spacing w:line="360" w:lineRule="auto"/>
              <w:ind w:firstLine="480" w:firstLineChars="200"/>
              <w:rPr>
                <w:rFonts w:hint="eastAsia" w:ascii="仿宋" w:hAnsi="仿宋" w:eastAsia="仿宋" w:cs="仿宋"/>
                <w:color w:val="auto"/>
                <w:sz w:val="24"/>
                <w:szCs w:val="24"/>
                <w:highlight w:val="none"/>
              </w:rPr>
            </w:pPr>
          </w:p>
          <w:p w14:paraId="2C3ED957">
            <w:pPr>
              <w:spacing w:line="360" w:lineRule="auto"/>
              <w:rPr>
                <w:rFonts w:hint="eastAsia" w:ascii="仿宋" w:hAnsi="仿宋" w:eastAsia="仿宋" w:cs="仿宋"/>
                <w:color w:val="auto"/>
                <w:sz w:val="24"/>
                <w:szCs w:val="24"/>
                <w:highlight w:val="none"/>
              </w:rPr>
            </w:pPr>
          </w:p>
          <w:p w14:paraId="411B083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粘贴授权委托人身份证复印件（反面）</w:t>
            </w:r>
          </w:p>
        </w:tc>
      </w:tr>
    </w:tbl>
    <w:p w14:paraId="45B05078">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投标单位（单位公章）：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F21814A">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 xml:space="preserve">法定代表人（签字或盖章）： </w:t>
      </w:r>
    </w:p>
    <w:p w14:paraId="60F86F58">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授权委托人（签字）：                          </w:t>
      </w:r>
    </w:p>
    <w:p w14:paraId="6DA53E30">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53288176">
      <w:pPr>
        <w:keepNext w:val="0"/>
        <w:keepLines w:val="0"/>
        <w:pageBreakBefore w:val="0"/>
        <w:widowControl w:val="0"/>
        <w:kinsoku/>
        <w:wordWrap/>
        <w:overflowPunct/>
        <w:topLinePunct w:val="0"/>
        <w:autoSpaceDE/>
        <w:autoSpaceDN/>
        <w:bidi w:val="0"/>
        <w:adjustRightInd/>
        <w:snapToGrid/>
        <w:spacing w:line="384" w:lineRule="auto"/>
        <w:ind w:firstLine="723" w:firstLineChars="3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注：正面国徽、反面人像</w:t>
      </w:r>
    </w:p>
    <w:p w14:paraId="5629AAD6">
      <w:pPr>
        <w:spacing w:line="240" w:lineRule="auto"/>
        <w:jc w:val="center"/>
        <w:rPr>
          <w:rFonts w:hint="eastAsia" w:ascii="仿宋" w:hAnsi="仿宋" w:eastAsia="仿宋" w:cs="仿宋"/>
          <w:b/>
          <w:bCs/>
          <w:color w:val="auto"/>
          <w:kern w:val="2"/>
          <w:sz w:val="24"/>
          <w:szCs w:val="24"/>
          <w:highlight w:val="none"/>
          <w:lang w:val="en-US" w:eastAsia="zh-CN" w:bidi="ar-SA"/>
        </w:rPr>
      </w:pPr>
    </w:p>
    <w:p w14:paraId="0CA962E5">
      <w:pPr>
        <w:spacing w:line="720" w:lineRule="auto"/>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五、投标保证金缴纳凭证</w:t>
      </w:r>
    </w:p>
    <w:p w14:paraId="6449E8C5">
      <w:pPr>
        <w:spacing w:line="72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（投标保证金缴纳凭证，复印件加盖公章）</w:t>
      </w:r>
    </w:p>
    <w:p w14:paraId="23D4CA32">
      <w:pPr>
        <w:spacing w:line="440" w:lineRule="exact"/>
        <w:jc w:val="center"/>
        <w:rPr>
          <w:rFonts w:hint="eastAsia" w:ascii="仿宋" w:hAnsi="仿宋" w:eastAsia="仿宋" w:cs="仿宋"/>
          <w:b/>
          <w:bCs/>
          <w:color w:val="auto"/>
          <w:kern w:val="2"/>
          <w:sz w:val="28"/>
          <w:szCs w:val="32"/>
          <w:highlight w:val="none"/>
          <w:lang w:val="en-US" w:eastAsia="zh-CN" w:bidi="ar-SA"/>
        </w:rPr>
      </w:pPr>
    </w:p>
    <w:p w14:paraId="6227ADAB">
      <w:pPr>
        <w:spacing w:line="440" w:lineRule="exact"/>
        <w:jc w:val="center"/>
        <w:rPr>
          <w:rFonts w:hint="eastAsia" w:ascii="仿宋" w:hAnsi="仿宋" w:eastAsia="仿宋" w:cs="仿宋"/>
          <w:b/>
          <w:bCs/>
          <w:color w:val="auto"/>
          <w:kern w:val="2"/>
          <w:sz w:val="28"/>
          <w:szCs w:val="32"/>
          <w:highlight w:val="none"/>
          <w:lang w:val="en-US" w:eastAsia="zh-CN" w:bidi="ar-SA"/>
        </w:rPr>
      </w:pPr>
    </w:p>
    <w:p w14:paraId="3B9EA447">
      <w:pPr>
        <w:spacing w:line="440" w:lineRule="exact"/>
        <w:jc w:val="center"/>
        <w:rPr>
          <w:rFonts w:hint="eastAsia" w:ascii="仿宋" w:hAnsi="仿宋" w:eastAsia="仿宋" w:cs="仿宋"/>
          <w:b/>
          <w:bCs/>
          <w:color w:val="auto"/>
          <w:kern w:val="2"/>
          <w:sz w:val="28"/>
          <w:szCs w:val="32"/>
          <w:highlight w:val="none"/>
          <w:lang w:val="en-US" w:eastAsia="zh-CN" w:bidi="ar-SA"/>
        </w:rPr>
      </w:pPr>
    </w:p>
    <w:p w14:paraId="038A2777">
      <w:pPr>
        <w:spacing w:line="440" w:lineRule="exact"/>
        <w:jc w:val="center"/>
        <w:rPr>
          <w:rFonts w:hint="eastAsia" w:ascii="仿宋" w:hAnsi="仿宋" w:eastAsia="仿宋" w:cs="仿宋"/>
          <w:b/>
          <w:bCs/>
          <w:color w:val="auto"/>
          <w:kern w:val="2"/>
          <w:sz w:val="28"/>
          <w:szCs w:val="32"/>
          <w:highlight w:val="none"/>
          <w:lang w:val="en-US" w:eastAsia="zh-CN" w:bidi="ar-SA"/>
        </w:rPr>
      </w:pPr>
    </w:p>
    <w:p w14:paraId="6676F08E">
      <w:pPr>
        <w:spacing w:line="440" w:lineRule="exact"/>
        <w:jc w:val="center"/>
        <w:rPr>
          <w:rFonts w:hint="eastAsia" w:ascii="仿宋" w:hAnsi="仿宋" w:eastAsia="仿宋" w:cs="仿宋"/>
          <w:b/>
          <w:bCs/>
          <w:color w:val="auto"/>
          <w:kern w:val="2"/>
          <w:sz w:val="28"/>
          <w:szCs w:val="32"/>
          <w:highlight w:val="none"/>
          <w:lang w:val="en-US" w:eastAsia="zh-CN" w:bidi="ar-SA"/>
        </w:rPr>
      </w:pPr>
    </w:p>
    <w:p w14:paraId="03EA9B23">
      <w:pPr>
        <w:spacing w:line="440" w:lineRule="exact"/>
        <w:jc w:val="center"/>
        <w:rPr>
          <w:rFonts w:hint="eastAsia" w:ascii="仿宋" w:hAnsi="仿宋" w:eastAsia="仿宋" w:cs="仿宋"/>
          <w:b/>
          <w:bCs/>
          <w:color w:val="auto"/>
          <w:kern w:val="2"/>
          <w:sz w:val="28"/>
          <w:szCs w:val="32"/>
          <w:highlight w:val="none"/>
          <w:lang w:val="en-US" w:eastAsia="zh-CN" w:bidi="ar-SA"/>
        </w:rPr>
      </w:pPr>
    </w:p>
    <w:p w14:paraId="777BC7EA">
      <w:pPr>
        <w:spacing w:line="440" w:lineRule="exact"/>
        <w:jc w:val="center"/>
        <w:rPr>
          <w:rFonts w:hint="eastAsia" w:ascii="仿宋" w:hAnsi="仿宋" w:eastAsia="仿宋" w:cs="仿宋"/>
          <w:b/>
          <w:bCs/>
          <w:color w:val="auto"/>
          <w:kern w:val="2"/>
          <w:sz w:val="28"/>
          <w:szCs w:val="32"/>
          <w:highlight w:val="none"/>
          <w:lang w:val="en-US" w:eastAsia="zh-CN" w:bidi="ar-SA"/>
        </w:rPr>
      </w:pPr>
    </w:p>
    <w:p w14:paraId="1D3884C2">
      <w:pPr>
        <w:spacing w:line="440" w:lineRule="exact"/>
        <w:jc w:val="center"/>
        <w:rPr>
          <w:rFonts w:hint="eastAsia" w:ascii="仿宋" w:hAnsi="仿宋" w:eastAsia="仿宋" w:cs="仿宋"/>
          <w:b/>
          <w:bCs/>
          <w:color w:val="auto"/>
          <w:kern w:val="2"/>
          <w:sz w:val="28"/>
          <w:szCs w:val="32"/>
          <w:highlight w:val="none"/>
          <w:lang w:val="en-US" w:eastAsia="zh-CN" w:bidi="ar-SA"/>
        </w:rPr>
      </w:pPr>
    </w:p>
    <w:p w14:paraId="50ACAC8B">
      <w:pPr>
        <w:spacing w:line="440" w:lineRule="exact"/>
        <w:jc w:val="center"/>
        <w:rPr>
          <w:rFonts w:hint="eastAsia" w:ascii="仿宋" w:hAnsi="仿宋" w:eastAsia="仿宋" w:cs="仿宋"/>
          <w:b/>
          <w:bCs/>
          <w:color w:val="auto"/>
          <w:kern w:val="2"/>
          <w:sz w:val="28"/>
          <w:szCs w:val="32"/>
          <w:highlight w:val="none"/>
          <w:lang w:val="en-US" w:eastAsia="zh-CN" w:bidi="ar-SA"/>
        </w:rPr>
      </w:pPr>
    </w:p>
    <w:p w14:paraId="2B2FFA04">
      <w:pPr>
        <w:spacing w:line="440" w:lineRule="exact"/>
        <w:jc w:val="center"/>
        <w:rPr>
          <w:rFonts w:hint="eastAsia" w:ascii="仿宋" w:hAnsi="仿宋" w:eastAsia="仿宋" w:cs="仿宋"/>
          <w:b/>
          <w:bCs/>
          <w:color w:val="auto"/>
          <w:kern w:val="2"/>
          <w:sz w:val="28"/>
          <w:szCs w:val="32"/>
          <w:highlight w:val="none"/>
          <w:lang w:val="en-US" w:eastAsia="zh-CN" w:bidi="ar-SA"/>
        </w:rPr>
      </w:pPr>
    </w:p>
    <w:p w14:paraId="05EF8718">
      <w:pPr>
        <w:spacing w:line="440" w:lineRule="exact"/>
        <w:jc w:val="center"/>
        <w:rPr>
          <w:rFonts w:hint="eastAsia" w:ascii="仿宋" w:hAnsi="仿宋" w:eastAsia="仿宋" w:cs="仿宋"/>
          <w:b/>
          <w:bCs/>
          <w:color w:val="auto"/>
          <w:kern w:val="2"/>
          <w:sz w:val="28"/>
          <w:szCs w:val="32"/>
          <w:highlight w:val="none"/>
          <w:lang w:val="en-US" w:eastAsia="zh-CN" w:bidi="ar-SA"/>
        </w:rPr>
      </w:pPr>
    </w:p>
    <w:p w14:paraId="5D60CD6F">
      <w:pPr>
        <w:spacing w:line="440" w:lineRule="exact"/>
        <w:jc w:val="center"/>
        <w:rPr>
          <w:rFonts w:hint="eastAsia" w:ascii="仿宋" w:hAnsi="仿宋" w:eastAsia="仿宋" w:cs="仿宋"/>
          <w:b/>
          <w:bCs/>
          <w:color w:val="auto"/>
          <w:kern w:val="2"/>
          <w:sz w:val="28"/>
          <w:szCs w:val="32"/>
          <w:highlight w:val="none"/>
          <w:lang w:val="en-US" w:eastAsia="zh-CN" w:bidi="ar-SA"/>
        </w:rPr>
      </w:pPr>
    </w:p>
    <w:p w14:paraId="11674501">
      <w:pPr>
        <w:spacing w:line="440" w:lineRule="exact"/>
        <w:jc w:val="center"/>
        <w:rPr>
          <w:rFonts w:hint="eastAsia" w:ascii="仿宋" w:hAnsi="仿宋" w:eastAsia="仿宋" w:cs="仿宋"/>
          <w:b/>
          <w:bCs/>
          <w:color w:val="auto"/>
          <w:kern w:val="2"/>
          <w:sz w:val="28"/>
          <w:szCs w:val="32"/>
          <w:highlight w:val="none"/>
          <w:lang w:val="en-US" w:eastAsia="zh-CN" w:bidi="ar-SA"/>
        </w:rPr>
      </w:pPr>
    </w:p>
    <w:p w14:paraId="1AC4E05D">
      <w:pPr>
        <w:spacing w:line="440" w:lineRule="exact"/>
        <w:jc w:val="center"/>
        <w:rPr>
          <w:rFonts w:hint="eastAsia" w:ascii="仿宋" w:hAnsi="仿宋" w:eastAsia="仿宋" w:cs="仿宋"/>
          <w:b/>
          <w:bCs/>
          <w:color w:val="auto"/>
          <w:kern w:val="2"/>
          <w:sz w:val="28"/>
          <w:szCs w:val="32"/>
          <w:highlight w:val="none"/>
          <w:lang w:val="en-US" w:eastAsia="zh-CN" w:bidi="ar-SA"/>
        </w:rPr>
      </w:pPr>
    </w:p>
    <w:p w14:paraId="13180311">
      <w:pPr>
        <w:spacing w:line="440" w:lineRule="exact"/>
        <w:jc w:val="center"/>
        <w:rPr>
          <w:rFonts w:hint="eastAsia" w:ascii="仿宋" w:hAnsi="仿宋" w:eastAsia="仿宋" w:cs="仿宋"/>
          <w:b/>
          <w:bCs/>
          <w:color w:val="auto"/>
          <w:kern w:val="2"/>
          <w:sz w:val="28"/>
          <w:szCs w:val="32"/>
          <w:highlight w:val="none"/>
          <w:lang w:val="en-US" w:eastAsia="zh-CN" w:bidi="ar-SA"/>
        </w:rPr>
      </w:pPr>
    </w:p>
    <w:p w14:paraId="253287A1">
      <w:pPr>
        <w:spacing w:line="440" w:lineRule="exact"/>
        <w:jc w:val="center"/>
        <w:rPr>
          <w:rFonts w:hint="eastAsia" w:ascii="仿宋" w:hAnsi="仿宋" w:eastAsia="仿宋" w:cs="仿宋"/>
          <w:b/>
          <w:bCs/>
          <w:color w:val="auto"/>
          <w:kern w:val="2"/>
          <w:sz w:val="28"/>
          <w:szCs w:val="32"/>
          <w:highlight w:val="none"/>
          <w:lang w:val="en-US" w:eastAsia="zh-CN" w:bidi="ar-SA"/>
        </w:rPr>
      </w:pPr>
    </w:p>
    <w:p w14:paraId="23C1A6F6">
      <w:pPr>
        <w:spacing w:line="440" w:lineRule="exact"/>
        <w:jc w:val="center"/>
        <w:rPr>
          <w:rFonts w:hint="eastAsia" w:ascii="仿宋" w:hAnsi="仿宋" w:eastAsia="仿宋" w:cs="仿宋"/>
          <w:b/>
          <w:bCs/>
          <w:color w:val="auto"/>
          <w:kern w:val="2"/>
          <w:sz w:val="28"/>
          <w:szCs w:val="32"/>
          <w:highlight w:val="none"/>
          <w:lang w:val="en-US" w:eastAsia="zh-CN" w:bidi="ar-SA"/>
        </w:rPr>
      </w:pPr>
    </w:p>
    <w:p w14:paraId="1D14C1D4">
      <w:pPr>
        <w:spacing w:line="440" w:lineRule="exact"/>
        <w:jc w:val="center"/>
        <w:rPr>
          <w:rFonts w:hint="eastAsia" w:ascii="仿宋" w:hAnsi="仿宋" w:eastAsia="仿宋" w:cs="仿宋"/>
          <w:b/>
          <w:bCs/>
          <w:color w:val="auto"/>
          <w:kern w:val="2"/>
          <w:sz w:val="28"/>
          <w:szCs w:val="32"/>
          <w:highlight w:val="none"/>
          <w:lang w:val="en-US" w:eastAsia="zh-CN" w:bidi="ar-SA"/>
        </w:rPr>
      </w:pPr>
    </w:p>
    <w:p w14:paraId="6E75ED4D">
      <w:pPr>
        <w:spacing w:line="440" w:lineRule="exact"/>
        <w:jc w:val="center"/>
        <w:rPr>
          <w:rFonts w:hint="eastAsia" w:ascii="仿宋" w:hAnsi="仿宋" w:eastAsia="仿宋" w:cs="仿宋"/>
          <w:b/>
          <w:bCs/>
          <w:color w:val="auto"/>
          <w:kern w:val="2"/>
          <w:sz w:val="28"/>
          <w:szCs w:val="32"/>
          <w:highlight w:val="none"/>
          <w:lang w:val="en-US" w:eastAsia="zh-CN" w:bidi="ar-SA"/>
        </w:rPr>
      </w:pPr>
    </w:p>
    <w:p w14:paraId="377291BD">
      <w:pPr>
        <w:spacing w:line="440" w:lineRule="exact"/>
        <w:jc w:val="center"/>
        <w:rPr>
          <w:rFonts w:hint="eastAsia" w:ascii="仿宋" w:hAnsi="仿宋" w:eastAsia="仿宋" w:cs="仿宋"/>
          <w:b/>
          <w:bCs/>
          <w:color w:val="auto"/>
          <w:kern w:val="2"/>
          <w:sz w:val="28"/>
          <w:szCs w:val="32"/>
          <w:highlight w:val="none"/>
          <w:lang w:val="en-US" w:eastAsia="zh-CN" w:bidi="ar-SA"/>
        </w:rPr>
      </w:pPr>
    </w:p>
    <w:p w14:paraId="6278FA62">
      <w:pPr>
        <w:spacing w:line="440" w:lineRule="exact"/>
        <w:jc w:val="center"/>
        <w:rPr>
          <w:rFonts w:hint="eastAsia" w:ascii="仿宋" w:hAnsi="仿宋" w:eastAsia="仿宋" w:cs="仿宋"/>
          <w:b/>
          <w:bCs/>
          <w:color w:val="auto"/>
          <w:kern w:val="2"/>
          <w:sz w:val="28"/>
          <w:szCs w:val="32"/>
          <w:highlight w:val="none"/>
          <w:lang w:val="en-US" w:eastAsia="zh-CN" w:bidi="ar-SA"/>
        </w:rPr>
      </w:pPr>
    </w:p>
    <w:p w14:paraId="30A5AA14">
      <w:pPr>
        <w:pStyle w:val="22"/>
        <w:tabs>
          <w:tab w:val="left" w:pos="9214"/>
        </w:tabs>
        <w:rPr>
          <w:rFonts w:hint="eastAsia" w:ascii="仿宋" w:hAnsi="仿宋" w:eastAsia="仿宋" w:cs="仿宋"/>
          <w:color w:val="auto"/>
          <w:highlight w:val="none"/>
          <w:lang w:val="en-US" w:eastAsia="zh-CN"/>
        </w:rPr>
      </w:pPr>
    </w:p>
    <w:p w14:paraId="60A5A9EB">
      <w:pPr>
        <w:spacing w:line="440" w:lineRule="exact"/>
        <w:jc w:val="center"/>
        <w:rPr>
          <w:rFonts w:hint="eastAsia" w:ascii="仿宋" w:hAnsi="仿宋" w:eastAsia="仿宋" w:cs="仿宋"/>
          <w:b/>
          <w:bCs/>
          <w:color w:val="auto"/>
          <w:kern w:val="2"/>
          <w:sz w:val="28"/>
          <w:szCs w:val="32"/>
          <w:highlight w:val="none"/>
          <w:lang w:val="en-US" w:eastAsia="zh-CN" w:bidi="ar-SA"/>
        </w:rPr>
      </w:pPr>
    </w:p>
    <w:p w14:paraId="521DCE4B">
      <w:pPr>
        <w:spacing w:line="440" w:lineRule="exact"/>
        <w:jc w:val="center"/>
        <w:rPr>
          <w:rFonts w:hint="eastAsia" w:ascii="仿宋" w:hAnsi="仿宋" w:eastAsia="仿宋" w:cs="仿宋"/>
          <w:b/>
          <w:bCs/>
          <w:color w:val="auto"/>
          <w:kern w:val="2"/>
          <w:sz w:val="28"/>
          <w:szCs w:val="32"/>
          <w:highlight w:val="none"/>
          <w:lang w:val="en-US" w:eastAsia="zh-CN" w:bidi="ar-SA"/>
        </w:rPr>
      </w:pPr>
    </w:p>
    <w:p w14:paraId="543A42D9">
      <w:pPr>
        <w:spacing w:line="440" w:lineRule="exact"/>
        <w:jc w:val="center"/>
        <w:rPr>
          <w:rFonts w:hint="eastAsia" w:ascii="仿宋" w:hAnsi="仿宋" w:eastAsia="仿宋" w:cs="仿宋"/>
          <w:b/>
          <w:bCs/>
          <w:color w:val="auto"/>
          <w:kern w:val="2"/>
          <w:sz w:val="28"/>
          <w:szCs w:val="32"/>
          <w:highlight w:val="none"/>
          <w:lang w:val="en-US" w:eastAsia="zh-CN" w:bidi="ar-SA"/>
        </w:rPr>
      </w:pPr>
    </w:p>
    <w:bookmarkEnd w:id="180"/>
    <w:bookmarkEnd w:id="181"/>
    <w:bookmarkEnd w:id="182"/>
    <w:bookmarkEnd w:id="183"/>
    <w:p w14:paraId="7574B086">
      <w:pPr>
        <w:pStyle w:val="5"/>
        <w:jc w:val="center"/>
        <w:rPr>
          <w:rFonts w:hint="eastAsia" w:ascii="仿宋" w:hAnsi="仿宋" w:eastAsia="仿宋" w:cs="仿宋"/>
          <w:color w:val="auto"/>
          <w:sz w:val="28"/>
          <w:highlight w:val="none"/>
        </w:rPr>
      </w:pPr>
      <w:bookmarkStart w:id="184" w:name="_Toc23111"/>
      <w:bookmarkStart w:id="185" w:name="_Toc14367"/>
      <w:bookmarkStart w:id="186" w:name="_Toc13218"/>
      <w:bookmarkStart w:id="187" w:name="_Toc23139"/>
      <w:bookmarkStart w:id="188" w:name="_Toc27405"/>
      <w:r>
        <w:rPr>
          <w:rFonts w:hint="eastAsia" w:ascii="仿宋" w:hAnsi="仿宋" w:eastAsia="仿宋" w:cs="仿宋"/>
          <w:color w:val="auto"/>
          <w:sz w:val="28"/>
          <w:highlight w:val="none"/>
          <w:lang w:val="en-US" w:eastAsia="zh-CN"/>
        </w:rPr>
        <w:t>六、</w:t>
      </w:r>
      <w:bookmarkEnd w:id="184"/>
      <w:bookmarkEnd w:id="185"/>
      <w:bookmarkEnd w:id="186"/>
      <w:bookmarkEnd w:id="187"/>
      <w:bookmarkEnd w:id="188"/>
      <w:r>
        <w:rPr>
          <w:rFonts w:hint="eastAsia" w:ascii="仿宋" w:hAnsi="仿宋" w:eastAsia="仿宋" w:cs="仿宋"/>
          <w:color w:val="auto"/>
          <w:sz w:val="28"/>
          <w:highlight w:val="none"/>
          <w:lang w:val="en-US" w:eastAsia="zh-CN"/>
        </w:rPr>
        <w:t>技术规格偏离表</w:t>
      </w:r>
    </w:p>
    <w:p w14:paraId="7F0F3FAB">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43F20ACA">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项目编号：                                                 </w:t>
      </w:r>
    </w:p>
    <w:tbl>
      <w:tblPr>
        <w:tblStyle w:val="48"/>
        <w:tblW w:w="7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621"/>
        <w:gridCol w:w="1458"/>
        <w:gridCol w:w="1458"/>
        <w:gridCol w:w="1158"/>
        <w:gridCol w:w="1158"/>
      </w:tblGrid>
      <w:tr w14:paraId="41B8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065" w:type="dxa"/>
            <w:vAlign w:val="center"/>
          </w:tcPr>
          <w:p w14:paraId="4C4E81D9">
            <w:pPr>
              <w:pStyle w:val="28"/>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621" w:type="dxa"/>
            <w:vAlign w:val="center"/>
          </w:tcPr>
          <w:p w14:paraId="23DD36FE">
            <w:pPr>
              <w:pStyle w:val="28"/>
              <w:spacing w:line="240" w:lineRule="atLeas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服务名称</w:t>
            </w:r>
          </w:p>
        </w:tc>
        <w:tc>
          <w:tcPr>
            <w:tcW w:w="1458" w:type="dxa"/>
            <w:vAlign w:val="center"/>
          </w:tcPr>
          <w:p w14:paraId="771312FF">
            <w:pPr>
              <w:pStyle w:val="28"/>
              <w:spacing w:line="240" w:lineRule="atLeast"/>
              <w:ind w:left="0" w:leftChars="0" w:firstLine="0" w:firstLineChars="0"/>
              <w:jc w:val="center"/>
              <w:rPr>
                <w:rFonts w:hint="eastAsia" w:ascii="仿宋" w:hAnsi="仿宋" w:eastAsia="仿宋" w:cs="仿宋"/>
                <w:color w:val="000000"/>
                <w:sz w:val="24"/>
              </w:rPr>
            </w:pPr>
            <w:r>
              <w:rPr>
                <w:rFonts w:hint="eastAsia" w:ascii="仿宋" w:hAnsi="仿宋" w:eastAsia="仿宋" w:cs="仿宋"/>
                <w:color w:val="000000"/>
                <w:sz w:val="24"/>
              </w:rPr>
              <w:t>招标文件规定（服务内容）</w:t>
            </w:r>
          </w:p>
        </w:tc>
        <w:tc>
          <w:tcPr>
            <w:tcW w:w="1458" w:type="dxa"/>
            <w:vAlign w:val="center"/>
          </w:tcPr>
          <w:p w14:paraId="20194B1B">
            <w:pPr>
              <w:pStyle w:val="28"/>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投标文件响应情况（服务内容）</w:t>
            </w:r>
          </w:p>
        </w:tc>
        <w:tc>
          <w:tcPr>
            <w:tcW w:w="1158" w:type="dxa"/>
            <w:vAlign w:val="center"/>
          </w:tcPr>
          <w:p w14:paraId="7F442429">
            <w:pPr>
              <w:pStyle w:val="28"/>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偏离</w:t>
            </w:r>
          </w:p>
        </w:tc>
        <w:tc>
          <w:tcPr>
            <w:tcW w:w="1158" w:type="dxa"/>
            <w:vAlign w:val="center"/>
          </w:tcPr>
          <w:p w14:paraId="065E357A">
            <w:pPr>
              <w:pStyle w:val="28"/>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说明</w:t>
            </w:r>
          </w:p>
        </w:tc>
      </w:tr>
      <w:tr w14:paraId="43C9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415AFAB6">
            <w:pPr>
              <w:pStyle w:val="28"/>
              <w:spacing w:line="240" w:lineRule="atLeast"/>
              <w:ind w:left="1080" w:leftChars="257" w:hanging="540"/>
              <w:jc w:val="center"/>
              <w:rPr>
                <w:rFonts w:hint="eastAsia" w:ascii="仿宋" w:hAnsi="仿宋" w:eastAsia="仿宋" w:cs="仿宋"/>
                <w:color w:val="000000"/>
                <w:sz w:val="24"/>
              </w:rPr>
            </w:pPr>
          </w:p>
        </w:tc>
        <w:tc>
          <w:tcPr>
            <w:tcW w:w="1621" w:type="dxa"/>
            <w:vAlign w:val="center"/>
          </w:tcPr>
          <w:p w14:paraId="43E121BA">
            <w:pPr>
              <w:pStyle w:val="28"/>
              <w:spacing w:line="240" w:lineRule="atLeast"/>
              <w:ind w:left="1080" w:leftChars="257" w:hanging="540"/>
              <w:jc w:val="center"/>
              <w:rPr>
                <w:rFonts w:hint="eastAsia" w:ascii="仿宋" w:hAnsi="仿宋" w:eastAsia="仿宋" w:cs="仿宋"/>
                <w:color w:val="000000"/>
                <w:sz w:val="24"/>
              </w:rPr>
            </w:pPr>
          </w:p>
        </w:tc>
        <w:tc>
          <w:tcPr>
            <w:tcW w:w="1458" w:type="dxa"/>
            <w:vAlign w:val="center"/>
          </w:tcPr>
          <w:p w14:paraId="730771A3">
            <w:pPr>
              <w:pStyle w:val="28"/>
              <w:spacing w:line="240" w:lineRule="atLeast"/>
              <w:ind w:left="1080" w:leftChars="257" w:hanging="540"/>
              <w:jc w:val="center"/>
              <w:rPr>
                <w:rFonts w:hint="eastAsia" w:ascii="仿宋" w:hAnsi="仿宋" w:eastAsia="仿宋" w:cs="仿宋"/>
                <w:color w:val="000000"/>
                <w:sz w:val="24"/>
              </w:rPr>
            </w:pPr>
          </w:p>
        </w:tc>
        <w:tc>
          <w:tcPr>
            <w:tcW w:w="1458" w:type="dxa"/>
            <w:vAlign w:val="center"/>
          </w:tcPr>
          <w:p w14:paraId="3C1CD424">
            <w:pPr>
              <w:pStyle w:val="28"/>
              <w:spacing w:line="240" w:lineRule="atLeast"/>
              <w:ind w:left="1080" w:leftChars="257" w:hanging="540"/>
              <w:jc w:val="center"/>
              <w:rPr>
                <w:rFonts w:hint="eastAsia" w:ascii="仿宋" w:hAnsi="仿宋" w:eastAsia="仿宋" w:cs="仿宋"/>
                <w:color w:val="000000"/>
                <w:sz w:val="24"/>
              </w:rPr>
            </w:pPr>
          </w:p>
        </w:tc>
        <w:tc>
          <w:tcPr>
            <w:tcW w:w="1158" w:type="dxa"/>
            <w:vAlign w:val="center"/>
          </w:tcPr>
          <w:p w14:paraId="7DB9DDF5">
            <w:pPr>
              <w:pStyle w:val="28"/>
              <w:spacing w:line="240" w:lineRule="atLeast"/>
              <w:ind w:left="1080" w:leftChars="257" w:hanging="540"/>
              <w:jc w:val="center"/>
              <w:rPr>
                <w:rFonts w:hint="eastAsia" w:ascii="仿宋" w:hAnsi="仿宋" w:eastAsia="仿宋" w:cs="仿宋"/>
                <w:color w:val="000000"/>
                <w:sz w:val="24"/>
              </w:rPr>
            </w:pPr>
          </w:p>
        </w:tc>
        <w:tc>
          <w:tcPr>
            <w:tcW w:w="1158" w:type="dxa"/>
            <w:vAlign w:val="center"/>
          </w:tcPr>
          <w:p w14:paraId="4B1FC037">
            <w:pPr>
              <w:pStyle w:val="28"/>
              <w:spacing w:line="240" w:lineRule="atLeast"/>
              <w:ind w:left="1080" w:leftChars="257" w:hanging="540"/>
              <w:jc w:val="center"/>
              <w:rPr>
                <w:rFonts w:hint="eastAsia" w:ascii="仿宋" w:hAnsi="仿宋" w:eastAsia="仿宋" w:cs="仿宋"/>
                <w:color w:val="000000"/>
                <w:sz w:val="24"/>
              </w:rPr>
            </w:pPr>
          </w:p>
        </w:tc>
      </w:tr>
      <w:tr w14:paraId="78C7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0D0E6F9D">
            <w:pPr>
              <w:pStyle w:val="28"/>
              <w:spacing w:line="240" w:lineRule="atLeast"/>
              <w:ind w:left="1080" w:leftChars="257" w:hanging="540"/>
              <w:jc w:val="center"/>
              <w:rPr>
                <w:rFonts w:hint="eastAsia" w:ascii="仿宋" w:hAnsi="仿宋" w:eastAsia="仿宋" w:cs="仿宋"/>
                <w:color w:val="000000"/>
                <w:sz w:val="24"/>
              </w:rPr>
            </w:pPr>
          </w:p>
        </w:tc>
        <w:tc>
          <w:tcPr>
            <w:tcW w:w="1621" w:type="dxa"/>
            <w:vAlign w:val="center"/>
          </w:tcPr>
          <w:p w14:paraId="47E4A8C0">
            <w:pPr>
              <w:pStyle w:val="28"/>
              <w:spacing w:line="240" w:lineRule="atLeast"/>
              <w:ind w:left="1080" w:leftChars="257" w:hanging="540"/>
              <w:jc w:val="center"/>
              <w:rPr>
                <w:rFonts w:hint="eastAsia" w:ascii="仿宋" w:hAnsi="仿宋" w:eastAsia="仿宋" w:cs="仿宋"/>
                <w:color w:val="000000"/>
                <w:sz w:val="24"/>
              </w:rPr>
            </w:pPr>
          </w:p>
        </w:tc>
        <w:tc>
          <w:tcPr>
            <w:tcW w:w="1458" w:type="dxa"/>
            <w:vAlign w:val="center"/>
          </w:tcPr>
          <w:p w14:paraId="65857BF4">
            <w:pPr>
              <w:pStyle w:val="28"/>
              <w:spacing w:line="240" w:lineRule="atLeast"/>
              <w:ind w:left="1080" w:leftChars="257" w:hanging="540"/>
              <w:jc w:val="center"/>
              <w:rPr>
                <w:rFonts w:hint="eastAsia" w:ascii="仿宋" w:hAnsi="仿宋" w:eastAsia="仿宋" w:cs="仿宋"/>
                <w:color w:val="000000"/>
                <w:sz w:val="24"/>
              </w:rPr>
            </w:pPr>
          </w:p>
        </w:tc>
        <w:tc>
          <w:tcPr>
            <w:tcW w:w="1458" w:type="dxa"/>
            <w:vAlign w:val="center"/>
          </w:tcPr>
          <w:p w14:paraId="11655625">
            <w:pPr>
              <w:pStyle w:val="28"/>
              <w:spacing w:line="240" w:lineRule="atLeast"/>
              <w:ind w:left="1080" w:leftChars="257" w:hanging="540"/>
              <w:jc w:val="center"/>
              <w:rPr>
                <w:rFonts w:hint="eastAsia" w:ascii="仿宋" w:hAnsi="仿宋" w:eastAsia="仿宋" w:cs="仿宋"/>
                <w:color w:val="000000"/>
                <w:sz w:val="24"/>
              </w:rPr>
            </w:pPr>
          </w:p>
        </w:tc>
        <w:tc>
          <w:tcPr>
            <w:tcW w:w="1158" w:type="dxa"/>
            <w:vAlign w:val="center"/>
          </w:tcPr>
          <w:p w14:paraId="46D997E4">
            <w:pPr>
              <w:pStyle w:val="28"/>
              <w:spacing w:line="240" w:lineRule="atLeast"/>
              <w:ind w:left="1080" w:leftChars="257" w:hanging="540"/>
              <w:jc w:val="center"/>
              <w:rPr>
                <w:rFonts w:hint="eastAsia" w:ascii="仿宋" w:hAnsi="仿宋" w:eastAsia="仿宋" w:cs="仿宋"/>
                <w:color w:val="000000"/>
                <w:sz w:val="24"/>
              </w:rPr>
            </w:pPr>
          </w:p>
        </w:tc>
        <w:tc>
          <w:tcPr>
            <w:tcW w:w="1158" w:type="dxa"/>
            <w:vAlign w:val="center"/>
          </w:tcPr>
          <w:p w14:paraId="2F924435">
            <w:pPr>
              <w:pStyle w:val="28"/>
              <w:spacing w:line="240" w:lineRule="atLeast"/>
              <w:ind w:left="1080" w:leftChars="257" w:hanging="540"/>
              <w:jc w:val="center"/>
              <w:rPr>
                <w:rFonts w:hint="eastAsia" w:ascii="仿宋" w:hAnsi="仿宋" w:eastAsia="仿宋" w:cs="仿宋"/>
                <w:color w:val="000000"/>
                <w:sz w:val="24"/>
              </w:rPr>
            </w:pPr>
          </w:p>
        </w:tc>
      </w:tr>
      <w:tr w14:paraId="5164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335F3741">
            <w:pPr>
              <w:pStyle w:val="28"/>
              <w:spacing w:line="240" w:lineRule="atLeast"/>
              <w:ind w:left="1080" w:leftChars="257" w:hanging="540"/>
              <w:jc w:val="center"/>
              <w:rPr>
                <w:rFonts w:hint="eastAsia" w:ascii="仿宋" w:hAnsi="仿宋" w:eastAsia="仿宋" w:cs="仿宋"/>
                <w:color w:val="000000"/>
                <w:sz w:val="24"/>
              </w:rPr>
            </w:pPr>
          </w:p>
        </w:tc>
        <w:tc>
          <w:tcPr>
            <w:tcW w:w="1621" w:type="dxa"/>
            <w:vAlign w:val="center"/>
          </w:tcPr>
          <w:p w14:paraId="77988092">
            <w:pPr>
              <w:pStyle w:val="28"/>
              <w:spacing w:line="240" w:lineRule="atLeast"/>
              <w:ind w:left="1080" w:leftChars="257" w:hanging="540"/>
              <w:jc w:val="center"/>
              <w:rPr>
                <w:rFonts w:hint="eastAsia" w:ascii="仿宋" w:hAnsi="仿宋" w:eastAsia="仿宋" w:cs="仿宋"/>
                <w:color w:val="000000"/>
                <w:sz w:val="24"/>
              </w:rPr>
            </w:pPr>
          </w:p>
        </w:tc>
        <w:tc>
          <w:tcPr>
            <w:tcW w:w="1458" w:type="dxa"/>
            <w:vAlign w:val="center"/>
          </w:tcPr>
          <w:p w14:paraId="3D2E4A29">
            <w:pPr>
              <w:pStyle w:val="28"/>
              <w:spacing w:line="240" w:lineRule="atLeast"/>
              <w:ind w:left="1080" w:leftChars="257" w:hanging="540"/>
              <w:jc w:val="center"/>
              <w:rPr>
                <w:rFonts w:hint="eastAsia" w:ascii="仿宋" w:hAnsi="仿宋" w:eastAsia="仿宋" w:cs="仿宋"/>
                <w:color w:val="000000"/>
                <w:sz w:val="24"/>
              </w:rPr>
            </w:pPr>
          </w:p>
        </w:tc>
        <w:tc>
          <w:tcPr>
            <w:tcW w:w="1458" w:type="dxa"/>
            <w:vAlign w:val="center"/>
          </w:tcPr>
          <w:p w14:paraId="0D9839FE">
            <w:pPr>
              <w:pStyle w:val="28"/>
              <w:spacing w:line="240" w:lineRule="atLeast"/>
              <w:ind w:left="1080" w:leftChars="257" w:hanging="540"/>
              <w:jc w:val="center"/>
              <w:rPr>
                <w:rFonts w:hint="eastAsia" w:ascii="仿宋" w:hAnsi="仿宋" w:eastAsia="仿宋" w:cs="仿宋"/>
                <w:color w:val="000000"/>
                <w:sz w:val="24"/>
              </w:rPr>
            </w:pPr>
          </w:p>
        </w:tc>
        <w:tc>
          <w:tcPr>
            <w:tcW w:w="1158" w:type="dxa"/>
            <w:vAlign w:val="center"/>
          </w:tcPr>
          <w:p w14:paraId="63852917">
            <w:pPr>
              <w:pStyle w:val="28"/>
              <w:spacing w:line="240" w:lineRule="atLeast"/>
              <w:ind w:left="1080" w:leftChars="257" w:hanging="540"/>
              <w:jc w:val="center"/>
              <w:rPr>
                <w:rFonts w:hint="eastAsia" w:ascii="仿宋" w:hAnsi="仿宋" w:eastAsia="仿宋" w:cs="仿宋"/>
                <w:color w:val="000000"/>
                <w:sz w:val="24"/>
              </w:rPr>
            </w:pPr>
          </w:p>
        </w:tc>
        <w:tc>
          <w:tcPr>
            <w:tcW w:w="1158" w:type="dxa"/>
            <w:vAlign w:val="center"/>
          </w:tcPr>
          <w:p w14:paraId="3362BDF7">
            <w:pPr>
              <w:pStyle w:val="28"/>
              <w:spacing w:line="240" w:lineRule="atLeast"/>
              <w:ind w:left="1080" w:leftChars="257" w:hanging="540"/>
              <w:jc w:val="center"/>
              <w:rPr>
                <w:rFonts w:hint="eastAsia" w:ascii="仿宋" w:hAnsi="仿宋" w:eastAsia="仿宋" w:cs="仿宋"/>
                <w:color w:val="000000"/>
                <w:sz w:val="24"/>
              </w:rPr>
            </w:pPr>
          </w:p>
        </w:tc>
      </w:tr>
      <w:tr w14:paraId="0ECA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38D4A613">
            <w:pPr>
              <w:pStyle w:val="28"/>
              <w:spacing w:line="240" w:lineRule="atLeast"/>
              <w:ind w:left="1080" w:leftChars="257" w:hanging="540"/>
              <w:jc w:val="center"/>
              <w:rPr>
                <w:rFonts w:hint="eastAsia" w:ascii="仿宋" w:hAnsi="仿宋" w:eastAsia="仿宋" w:cs="仿宋"/>
                <w:color w:val="000000"/>
                <w:sz w:val="24"/>
              </w:rPr>
            </w:pPr>
          </w:p>
        </w:tc>
        <w:tc>
          <w:tcPr>
            <w:tcW w:w="1621" w:type="dxa"/>
            <w:vAlign w:val="center"/>
          </w:tcPr>
          <w:p w14:paraId="5268EB04">
            <w:pPr>
              <w:pStyle w:val="28"/>
              <w:spacing w:line="240" w:lineRule="atLeast"/>
              <w:ind w:left="1080" w:leftChars="257" w:hanging="540"/>
              <w:jc w:val="center"/>
              <w:rPr>
                <w:rFonts w:hint="eastAsia" w:ascii="仿宋" w:hAnsi="仿宋" w:eastAsia="仿宋" w:cs="仿宋"/>
                <w:color w:val="000000"/>
                <w:sz w:val="24"/>
              </w:rPr>
            </w:pPr>
          </w:p>
        </w:tc>
        <w:tc>
          <w:tcPr>
            <w:tcW w:w="1458" w:type="dxa"/>
            <w:vAlign w:val="center"/>
          </w:tcPr>
          <w:p w14:paraId="6F202397">
            <w:pPr>
              <w:pStyle w:val="28"/>
              <w:spacing w:line="240" w:lineRule="atLeast"/>
              <w:ind w:left="1080" w:leftChars="257" w:hanging="540"/>
              <w:jc w:val="center"/>
              <w:rPr>
                <w:rFonts w:hint="eastAsia" w:ascii="仿宋" w:hAnsi="仿宋" w:eastAsia="仿宋" w:cs="仿宋"/>
                <w:color w:val="000000"/>
                <w:sz w:val="24"/>
              </w:rPr>
            </w:pPr>
          </w:p>
        </w:tc>
        <w:tc>
          <w:tcPr>
            <w:tcW w:w="1458" w:type="dxa"/>
            <w:vAlign w:val="center"/>
          </w:tcPr>
          <w:p w14:paraId="23C3651E">
            <w:pPr>
              <w:pStyle w:val="28"/>
              <w:spacing w:line="240" w:lineRule="atLeast"/>
              <w:ind w:left="1080" w:leftChars="257" w:hanging="540"/>
              <w:jc w:val="center"/>
              <w:rPr>
                <w:rFonts w:hint="eastAsia" w:ascii="仿宋" w:hAnsi="仿宋" w:eastAsia="仿宋" w:cs="仿宋"/>
                <w:color w:val="000000"/>
                <w:sz w:val="24"/>
              </w:rPr>
            </w:pPr>
          </w:p>
        </w:tc>
        <w:tc>
          <w:tcPr>
            <w:tcW w:w="1158" w:type="dxa"/>
            <w:vAlign w:val="center"/>
          </w:tcPr>
          <w:p w14:paraId="46B26457">
            <w:pPr>
              <w:pStyle w:val="28"/>
              <w:spacing w:line="240" w:lineRule="atLeast"/>
              <w:ind w:left="1080" w:leftChars="257" w:hanging="540"/>
              <w:jc w:val="center"/>
              <w:rPr>
                <w:rFonts w:hint="eastAsia" w:ascii="仿宋" w:hAnsi="仿宋" w:eastAsia="仿宋" w:cs="仿宋"/>
                <w:color w:val="000000"/>
                <w:sz w:val="24"/>
              </w:rPr>
            </w:pPr>
          </w:p>
        </w:tc>
        <w:tc>
          <w:tcPr>
            <w:tcW w:w="1158" w:type="dxa"/>
            <w:vAlign w:val="center"/>
          </w:tcPr>
          <w:p w14:paraId="388D398F">
            <w:pPr>
              <w:pStyle w:val="28"/>
              <w:spacing w:line="240" w:lineRule="atLeast"/>
              <w:ind w:left="1080" w:leftChars="257" w:hanging="540"/>
              <w:jc w:val="center"/>
              <w:rPr>
                <w:rFonts w:hint="eastAsia" w:ascii="仿宋" w:hAnsi="仿宋" w:eastAsia="仿宋" w:cs="仿宋"/>
                <w:color w:val="000000"/>
                <w:sz w:val="24"/>
              </w:rPr>
            </w:pPr>
          </w:p>
        </w:tc>
      </w:tr>
      <w:tr w14:paraId="1A2C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46F93A20">
            <w:pPr>
              <w:pStyle w:val="28"/>
              <w:spacing w:line="240" w:lineRule="atLeast"/>
              <w:ind w:left="1080" w:leftChars="257" w:hanging="540"/>
              <w:jc w:val="center"/>
              <w:rPr>
                <w:rFonts w:hint="eastAsia" w:ascii="仿宋" w:hAnsi="仿宋" w:eastAsia="仿宋" w:cs="仿宋"/>
                <w:color w:val="000000"/>
                <w:sz w:val="24"/>
              </w:rPr>
            </w:pPr>
          </w:p>
        </w:tc>
        <w:tc>
          <w:tcPr>
            <w:tcW w:w="1621" w:type="dxa"/>
            <w:vAlign w:val="center"/>
          </w:tcPr>
          <w:p w14:paraId="55EE6F55">
            <w:pPr>
              <w:pStyle w:val="28"/>
              <w:spacing w:line="240" w:lineRule="atLeast"/>
              <w:ind w:left="1080" w:leftChars="257" w:hanging="540"/>
              <w:jc w:val="center"/>
              <w:rPr>
                <w:rFonts w:hint="eastAsia" w:ascii="仿宋" w:hAnsi="仿宋" w:eastAsia="仿宋" w:cs="仿宋"/>
                <w:color w:val="000000"/>
                <w:sz w:val="24"/>
              </w:rPr>
            </w:pPr>
          </w:p>
        </w:tc>
        <w:tc>
          <w:tcPr>
            <w:tcW w:w="1458" w:type="dxa"/>
            <w:vAlign w:val="center"/>
          </w:tcPr>
          <w:p w14:paraId="05FC8CB5">
            <w:pPr>
              <w:pStyle w:val="28"/>
              <w:spacing w:line="240" w:lineRule="atLeast"/>
              <w:ind w:left="1080" w:leftChars="257" w:hanging="540"/>
              <w:jc w:val="center"/>
              <w:rPr>
                <w:rFonts w:hint="eastAsia" w:ascii="仿宋" w:hAnsi="仿宋" w:eastAsia="仿宋" w:cs="仿宋"/>
                <w:color w:val="000000"/>
                <w:sz w:val="24"/>
              </w:rPr>
            </w:pPr>
          </w:p>
        </w:tc>
        <w:tc>
          <w:tcPr>
            <w:tcW w:w="1458" w:type="dxa"/>
            <w:vAlign w:val="center"/>
          </w:tcPr>
          <w:p w14:paraId="2B7D92A3">
            <w:pPr>
              <w:pStyle w:val="28"/>
              <w:spacing w:line="240" w:lineRule="atLeast"/>
              <w:ind w:left="1080" w:leftChars="257" w:hanging="540"/>
              <w:jc w:val="center"/>
              <w:rPr>
                <w:rFonts w:hint="eastAsia" w:ascii="仿宋" w:hAnsi="仿宋" w:eastAsia="仿宋" w:cs="仿宋"/>
                <w:color w:val="000000"/>
                <w:sz w:val="24"/>
              </w:rPr>
            </w:pPr>
          </w:p>
        </w:tc>
        <w:tc>
          <w:tcPr>
            <w:tcW w:w="1158" w:type="dxa"/>
            <w:vAlign w:val="center"/>
          </w:tcPr>
          <w:p w14:paraId="3FBE9E97">
            <w:pPr>
              <w:pStyle w:val="28"/>
              <w:spacing w:line="240" w:lineRule="atLeast"/>
              <w:ind w:left="1080" w:leftChars="257" w:hanging="540"/>
              <w:jc w:val="center"/>
              <w:rPr>
                <w:rFonts w:hint="eastAsia" w:ascii="仿宋" w:hAnsi="仿宋" w:eastAsia="仿宋" w:cs="仿宋"/>
                <w:color w:val="000000"/>
                <w:sz w:val="24"/>
              </w:rPr>
            </w:pPr>
          </w:p>
        </w:tc>
        <w:tc>
          <w:tcPr>
            <w:tcW w:w="1158" w:type="dxa"/>
            <w:vAlign w:val="center"/>
          </w:tcPr>
          <w:p w14:paraId="09F10045">
            <w:pPr>
              <w:pStyle w:val="28"/>
              <w:spacing w:line="240" w:lineRule="atLeast"/>
              <w:ind w:left="1080" w:leftChars="257" w:hanging="540"/>
              <w:jc w:val="center"/>
              <w:rPr>
                <w:rFonts w:hint="eastAsia" w:ascii="仿宋" w:hAnsi="仿宋" w:eastAsia="仿宋" w:cs="仿宋"/>
                <w:color w:val="000000"/>
                <w:sz w:val="24"/>
              </w:rPr>
            </w:pPr>
          </w:p>
        </w:tc>
      </w:tr>
      <w:tr w14:paraId="2FE7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1FCF12A3">
            <w:pPr>
              <w:pStyle w:val="28"/>
              <w:spacing w:line="240" w:lineRule="atLeast"/>
              <w:ind w:left="1080" w:leftChars="257" w:hanging="540"/>
              <w:jc w:val="center"/>
              <w:rPr>
                <w:rFonts w:hint="eastAsia" w:ascii="仿宋" w:hAnsi="仿宋" w:eastAsia="仿宋" w:cs="仿宋"/>
                <w:color w:val="000000"/>
                <w:sz w:val="24"/>
              </w:rPr>
            </w:pPr>
          </w:p>
        </w:tc>
        <w:tc>
          <w:tcPr>
            <w:tcW w:w="1621" w:type="dxa"/>
            <w:vAlign w:val="center"/>
          </w:tcPr>
          <w:p w14:paraId="1E924D8E">
            <w:pPr>
              <w:pStyle w:val="28"/>
              <w:spacing w:line="240" w:lineRule="atLeast"/>
              <w:ind w:left="1080" w:leftChars="257" w:hanging="540"/>
              <w:jc w:val="center"/>
              <w:rPr>
                <w:rFonts w:hint="eastAsia" w:ascii="仿宋" w:hAnsi="仿宋" w:eastAsia="仿宋" w:cs="仿宋"/>
                <w:color w:val="000000"/>
                <w:sz w:val="24"/>
              </w:rPr>
            </w:pPr>
          </w:p>
        </w:tc>
        <w:tc>
          <w:tcPr>
            <w:tcW w:w="1458" w:type="dxa"/>
            <w:vAlign w:val="center"/>
          </w:tcPr>
          <w:p w14:paraId="3A7A1669">
            <w:pPr>
              <w:pStyle w:val="28"/>
              <w:spacing w:line="240" w:lineRule="atLeast"/>
              <w:ind w:left="1080" w:leftChars="257" w:hanging="540"/>
              <w:jc w:val="center"/>
              <w:rPr>
                <w:rFonts w:hint="eastAsia" w:ascii="仿宋" w:hAnsi="仿宋" w:eastAsia="仿宋" w:cs="仿宋"/>
                <w:color w:val="000000"/>
                <w:sz w:val="24"/>
              </w:rPr>
            </w:pPr>
          </w:p>
        </w:tc>
        <w:tc>
          <w:tcPr>
            <w:tcW w:w="1458" w:type="dxa"/>
            <w:vAlign w:val="center"/>
          </w:tcPr>
          <w:p w14:paraId="7615E299">
            <w:pPr>
              <w:pStyle w:val="28"/>
              <w:spacing w:line="240" w:lineRule="atLeast"/>
              <w:ind w:left="1080" w:leftChars="257" w:hanging="540"/>
              <w:jc w:val="center"/>
              <w:rPr>
                <w:rFonts w:hint="eastAsia" w:ascii="仿宋" w:hAnsi="仿宋" w:eastAsia="仿宋" w:cs="仿宋"/>
                <w:color w:val="000000"/>
                <w:sz w:val="24"/>
              </w:rPr>
            </w:pPr>
          </w:p>
        </w:tc>
        <w:tc>
          <w:tcPr>
            <w:tcW w:w="1158" w:type="dxa"/>
            <w:vAlign w:val="center"/>
          </w:tcPr>
          <w:p w14:paraId="0C6FC52F">
            <w:pPr>
              <w:pStyle w:val="28"/>
              <w:spacing w:line="240" w:lineRule="atLeast"/>
              <w:ind w:left="1080" w:leftChars="257" w:hanging="540"/>
              <w:jc w:val="center"/>
              <w:rPr>
                <w:rFonts w:hint="eastAsia" w:ascii="仿宋" w:hAnsi="仿宋" w:eastAsia="仿宋" w:cs="仿宋"/>
                <w:color w:val="000000"/>
                <w:sz w:val="24"/>
              </w:rPr>
            </w:pPr>
          </w:p>
        </w:tc>
        <w:tc>
          <w:tcPr>
            <w:tcW w:w="1158" w:type="dxa"/>
            <w:vAlign w:val="center"/>
          </w:tcPr>
          <w:p w14:paraId="1514601F">
            <w:pPr>
              <w:pStyle w:val="28"/>
              <w:spacing w:line="240" w:lineRule="atLeast"/>
              <w:ind w:left="1080" w:leftChars="257" w:hanging="540"/>
              <w:jc w:val="center"/>
              <w:rPr>
                <w:rFonts w:hint="eastAsia" w:ascii="仿宋" w:hAnsi="仿宋" w:eastAsia="仿宋" w:cs="仿宋"/>
                <w:color w:val="000000"/>
                <w:sz w:val="24"/>
              </w:rPr>
            </w:pPr>
          </w:p>
        </w:tc>
      </w:tr>
    </w:tbl>
    <w:p w14:paraId="10EDEA72">
      <w:pPr>
        <w:spacing w:line="360" w:lineRule="auto"/>
        <w:rPr>
          <w:rFonts w:hint="eastAsia" w:ascii="仿宋" w:hAnsi="仿宋" w:eastAsia="仿宋" w:cs="仿宋"/>
          <w:color w:val="auto"/>
          <w:sz w:val="24"/>
          <w:szCs w:val="24"/>
          <w:highlight w:val="none"/>
        </w:rPr>
      </w:pPr>
    </w:p>
    <w:p w14:paraId="3B5038AA">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color w:val="auto"/>
          <w:sz w:val="24"/>
          <w:szCs w:val="24"/>
          <w:highlight w:val="none"/>
        </w:rPr>
        <w:t>表格中“偏离”一列，投标人只能如实填写“正偏离”、“负偏离”或“无偏离”。凡投标内容高于招标文件要求的，按“正偏离”填写；低于招标文件要求的，按“负偏离”填写；满足招标文件要求的，按“无偏离”填写。请按投标产品的实际技术参数，逐条对应招标文件“</w:t>
      </w:r>
      <w:r>
        <w:rPr>
          <w:rFonts w:hint="eastAsia" w:ascii="仿宋" w:hAnsi="仿宋" w:eastAsia="仿宋" w:cs="仿宋"/>
          <w:color w:val="auto"/>
          <w:sz w:val="24"/>
          <w:szCs w:val="24"/>
          <w:highlight w:val="none"/>
          <w:lang w:val="en-US" w:eastAsia="zh-CN"/>
        </w:rPr>
        <w:t>采购需求</w:t>
      </w:r>
      <w:r>
        <w:rPr>
          <w:rFonts w:hint="eastAsia" w:ascii="仿宋" w:hAnsi="仿宋" w:eastAsia="仿宋" w:cs="仿宋"/>
          <w:color w:val="auto"/>
          <w:sz w:val="24"/>
          <w:szCs w:val="24"/>
          <w:highlight w:val="none"/>
        </w:rPr>
        <w:t>”中要求的技术规范认真填写该表。</w:t>
      </w:r>
    </w:p>
    <w:p w14:paraId="5BC677E9">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color w:val="auto"/>
          <w:sz w:val="24"/>
          <w:szCs w:val="24"/>
          <w:highlight w:val="none"/>
        </w:rPr>
      </w:pPr>
    </w:p>
    <w:p w14:paraId="74ED7B8B">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highlight w:val="none"/>
        </w:rPr>
      </w:pPr>
    </w:p>
    <w:p w14:paraId="5AB51796">
      <w:pPr>
        <w:spacing w:line="360" w:lineRule="auto"/>
        <w:rPr>
          <w:rFonts w:hint="eastAsia" w:ascii="仿宋" w:hAnsi="仿宋" w:eastAsia="仿宋" w:cs="仿宋"/>
          <w:color w:val="auto"/>
          <w:sz w:val="24"/>
          <w:szCs w:val="24"/>
          <w:highlight w:val="none"/>
        </w:rPr>
      </w:pPr>
    </w:p>
    <w:p w14:paraId="7504D811">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投标单位（单位公章）：</w:t>
      </w:r>
    </w:p>
    <w:p w14:paraId="143ABC21">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14:paraId="3C9232C1">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6BA62F91">
      <w:pPr>
        <w:spacing w:line="360" w:lineRule="auto"/>
        <w:jc w:val="both"/>
        <w:rPr>
          <w:rFonts w:hint="eastAsia" w:ascii="仿宋" w:hAnsi="仿宋" w:eastAsia="仿宋" w:cs="仿宋"/>
          <w:b/>
          <w:color w:val="auto"/>
          <w:sz w:val="28"/>
          <w:szCs w:val="28"/>
          <w:highlight w:val="none"/>
          <w:lang w:val="en-US" w:eastAsia="zh-CN"/>
        </w:rPr>
      </w:pPr>
    </w:p>
    <w:p w14:paraId="7A91653B">
      <w:pPr>
        <w:spacing w:line="360" w:lineRule="auto"/>
        <w:jc w:val="center"/>
        <w:rPr>
          <w:rFonts w:hint="eastAsia" w:ascii="仿宋" w:hAnsi="仿宋" w:eastAsia="仿宋" w:cs="仿宋"/>
          <w:b/>
          <w:color w:val="auto"/>
          <w:sz w:val="28"/>
          <w:szCs w:val="28"/>
          <w:highlight w:val="none"/>
          <w:lang w:val="en-US" w:eastAsia="zh-CN"/>
        </w:rPr>
      </w:pPr>
    </w:p>
    <w:p w14:paraId="3B9E609B">
      <w:pPr>
        <w:spacing w:line="360" w:lineRule="auto"/>
        <w:jc w:val="center"/>
        <w:rPr>
          <w:rFonts w:hint="eastAsia" w:ascii="仿宋" w:hAnsi="仿宋" w:eastAsia="仿宋" w:cs="仿宋"/>
          <w:b/>
          <w:color w:val="auto"/>
          <w:sz w:val="28"/>
          <w:szCs w:val="28"/>
          <w:highlight w:val="none"/>
          <w:lang w:val="en-US" w:eastAsia="zh-CN"/>
        </w:rPr>
      </w:pPr>
    </w:p>
    <w:p w14:paraId="154E00C8">
      <w:pPr>
        <w:spacing w:line="360" w:lineRule="auto"/>
        <w:jc w:val="center"/>
        <w:rPr>
          <w:rFonts w:hint="eastAsia" w:ascii="仿宋" w:hAnsi="仿宋" w:eastAsia="仿宋" w:cs="仿宋"/>
          <w:b/>
          <w:color w:val="auto"/>
          <w:sz w:val="28"/>
          <w:szCs w:val="28"/>
          <w:highlight w:val="none"/>
          <w:lang w:val="en-US" w:eastAsia="zh-CN"/>
        </w:rPr>
      </w:pPr>
    </w:p>
    <w:p w14:paraId="73C374E7">
      <w:pPr>
        <w:spacing w:line="360" w:lineRule="auto"/>
        <w:jc w:val="center"/>
        <w:rPr>
          <w:rFonts w:hint="eastAsia" w:ascii="仿宋" w:hAnsi="仿宋" w:eastAsia="仿宋" w:cs="仿宋"/>
          <w:b/>
          <w:color w:val="auto"/>
          <w:sz w:val="28"/>
          <w:szCs w:val="28"/>
          <w:highlight w:val="none"/>
          <w:lang w:val="en-US" w:eastAsia="zh-CN"/>
        </w:rPr>
      </w:pPr>
    </w:p>
    <w:p w14:paraId="68A19D23">
      <w:pPr>
        <w:spacing w:line="360" w:lineRule="auto"/>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七、商务规格偏离表</w:t>
      </w:r>
    </w:p>
    <w:p w14:paraId="47A5401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p>
    <w:p w14:paraId="3A3C26E3">
      <w:pPr>
        <w:keepNext w:val="0"/>
        <w:keepLines w:val="0"/>
        <w:pageBreakBefore w:val="0"/>
        <w:widowControl w:val="0"/>
        <w:kinsoku/>
        <w:wordWrap/>
        <w:overflowPunct/>
        <w:topLinePunct w:val="0"/>
        <w:autoSpaceDE/>
        <w:autoSpaceDN/>
        <w:bidi w:val="0"/>
        <w:adjustRightInd w:val="0"/>
        <w:snapToGrid w:val="0"/>
        <w:spacing w:line="192" w:lineRule="auto"/>
        <w:ind w:firstLine="181" w:firstLineChars="100"/>
        <w:textAlignment w:val="auto"/>
        <w:rPr>
          <w:rFonts w:hint="eastAsia" w:ascii="仿宋" w:hAnsi="仿宋" w:eastAsia="仿宋" w:cs="仿宋"/>
          <w:b/>
          <w:color w:val="auto"/>
          <w:sz w:val="18"/>
          <w:szCs w:val="18"/>
          <w:highlight w:val="none"/>
        </w:rPr>
      </w:pPr>
    </w:p>
    <w:p w14:paraId="162513CC">
      <w:pPr>
        <w:keepNext w:val="0"/>
        <w:keepLines w:val="0"/>
        <w:pageBreakBefore w:val="0"/>
        <w:widowControl w:val="0"/>
        <w:kinsoku/>
        <w:wordWrap/>
        <w:overflowPunct/>
        <w:topLinePunct w:val="0"/>
        <w:autoSpaceDE/>
        <w:autoSpaceDN/>
        <w:bidi w:val="0"/>
        <w:adjustRightInd/>
        <w:snapToGrid/>
        <w:spacing w:line="312" w:lineRule="auto"/>
        <w:ind w:firstLine="240" w:firstLineChars="1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 xml:space="preserve">项目名称：                              </w:t>
      </w:r>
      <w:r>
        <w:rPr>
          <w:rFonts w:hint="eastAsia" w:ascii="仿宋" w:hAnsi="仿宋" w:eastAsia="仿宋" w:cs="仿宋"/>
          <w:b w:val="0"/>
          <w:bCs/>
          <w:color w:val="auto"/>
          <w:sz w:val="24"/>
          <w:szCs w:val="24"/>
          <w:highlight w:val="none"/>
          <w:lang w:val="en-US" w:eastAsia="zh-CN"/>
        </w:rPr>
        <w:t xml:space="preserve">  </w:t>
      </w:r>
    </w:p>
    <w:p w14:paraId="51AB26A0">
      <w:pPr>
        <w:keepNext w:val="0"/>
        <w:keepLines w:val="0"/>
        <w:pageBreakBefore w:val="0"/>
        <w:widowControl w:val="0"/>
        <w:kinsoku/>
        <w:wordWrap/>
        <w:overflowPunct/>
        <w:topLinePunct w:val="0"/>
        <w:autoSpaceDE/>
        <w:autoSpaceDN/>
        <w:bidi w:val="0"/>
        <w:adjustRightInd/>
        <w:snapToGrid/>
        <w:spacing w:line="312" w:lineRule="auto"/>
        <w:ind w:firstLine="240" w:firstLineChars="1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项目</w:t>
      </w:r>
      <w:r>
        <w:rPr>
          <w:rFonts w:hint="eastAsia" w:ascii="仿宋" w:hAnsi="仿宋" w:eastAsia="仿宋" w:cs="仿宋"/>
          <w:b w:val="0"/>
          <w:bCs/>
          <w:color w:val="auto"/>
          <w:sz w:val="24"/>
          <w:szCs w:val="24"/>
          <w:highlight w:val="none"/>
        </w:rPr>
        <w:t xml:space="preserve">编号： </w:t>
      </w:r>
    </w:p>
    <w:tbl>
      <w:tblPr>
        <w:tblStyle w:val="48"/>
        <w:tblW w:w="50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359"/>
        <w:gridCol w:w="2102"/>
        <w:gridCol w:w="2715"/>
        <w:gridCol w:w="1089"/>
        <w:gridCol w:w="2165"/>
      </w:tblGrid>
      <w:tr w14:paraId="0CB5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720" w:type="dxa"/>
            <w:vAlign w:val="center"/>
          </w:tcPr>
          <w:p w14:paraId="4BE96E3D">
            <w:pPr>
              <w:pStyle w:val="28"/>
              <w:spacing w:line="240" w:lineRule="atLeast"/>
              <w:jc w:val="center"/>
              <w:rPr>
                <w:rFonts w:hint="eastAsia" w:ascii="仿宋" w:hAnsi="仿宋" w:eastAsia="仿宋" w:cs="仿宋"/>
                <w:b/>
                <w:color w:val="auto"/>
                <w:szCs w:val="21"/>
                <w:highlight w:val="none"/>
              </w:rPr>
            </w:pPr>
            <w:r>
              <w:rPr>
                <w:rFonts w:hint="eastAsia" w:ascii="仿宋" w:hAnsi="仿宋" w:eastAsia="仿宋" w:cs="仿宋"/>
                <w:color w:val="000000"/>
                <w:sz w:val="24"/>
              </w:rPr>
              <w:t>序号</w:t>
            </w:r>
          </w:p>
        </w:tc>
        <w:tc>
          <w:tcPr>
            <w:tcW w:w="1359" w:type="dxa"/>
            <w:vAlign w:val="center"/>
          </w:tcPr>
          <w:p w14:paraId="0D6759CC">
            <w:pPr>
              <w:pStyle w:val="28"/>
              <w:spacing w:line="240" w:lineRule="atLeast"/>
              <w:jc w:val="center"/>
              <w:rPr>
                <w:rFonts w:hint="eastAsia" w:ascii="仿宋" w:hAnsi="仿宋" w:eastAsia="仿宋" w:cs="仿宋"/>
                <w:b/>
                <w:color w:val="auto"/>
                <w:szCs w:val="21"/>
                <w:highlight w:val="none"/>
              </w:rPr>
            </w:pPr>
            <w:r>
              <w:rPr>
                <w:rFonts w:hint="eastAsia" w:ascii="仿宋" w:hAnsi="仿宋" w:eastAsia="仿宋" w:cs="仿宋"/>
                <w:color w:val="000000"/>
                <w:sz w:val="24"/>
                <w:lang w:val="en-US" w:eastAsia="zh-CN"/>
              </w:rPr>
              <w:t>服务名称</w:t>
            </w:r>
          </w:p>
        </w:tc>
        <w:tc>
          <w:tcPr>
            <w:tcW w:w="2102" w:type="dxa"/>
            <w:vAlign w:val="center"/>
          </w:tcPr>
          <w:p w14:paraId="48E89AD4">
            <w:pPr>
              <w:pStyle w:val="28"/>
              <w:spacing w:line="240" w:lineRule="atLeast"/>
              <w:ind w:left="0" w:leftChars="0" w:firstLine="0" w:firstLineChars="0"/>
              <w:jc w:val="center"/>
              <w:rPr>
                <w:rFonts w:hint="eastAsia" w:ascii="仿宋" w:hAnsi="仿宋" w:eastAsia="仿宋" w:cs="仿宋"/>
                <w:b/>
                <w:color w:val="auto"/>
                <w:szCs w:val="21"/>
                <w:highlight w:val="none"/>
              </w:rPr>
            </w:pPr>
            <w:r>
              <w:rPr>
                <w:rFonts w:hint="eastAsia" w:ascii="仿宋" w:hAnsi="仿宋" w:eastAsia="仿宋" w:cs="仿宋"/>
                <w:color w:val="000000"/>
                <w:sz w:val="24"/>
              </w:rPr>
              <w:t>招标文件规定（服务内容）</w:t>
            </w:r>
          </w:p>
        </w:tc>
        <w:tc>
          <w:tcPr>
            <w:tcW w:w="2715" w:type="dxa"/>
            <w:vAlign w:val="center"/>
          </w:tcPr>
          <w:p w14:paraId="64325683">
            <w:pPr>
              <w:pStyle w:val="28"/>
              <w:spacing w:line="240" w:lineRule="atLeast"/>
              <w:jc w:val="center"/>
              <w:rPr>
                <w:rFonts w:hint="eastAsia" w:ascii="仿宋" w:hAnsi="仿宋" w:eastAsia="仿宋" w:cs="仿宋"/>
                <w:b/>
                <w:color w:val="auto"/>
                <w:szCs w:val="21"/>
                <w:highlight w:val="none"/>
              </w:rPr>
            </w:pPr>
            <w:r>
              <w:rPr>
                <w:rFonts w:hint="eastAsia" w:ascii="仿宋" w:hAnsi="仿宋" w:eastAsia="仿宋" w:cs="仿宋"/>
                <w:color w:val="000000"/>
                <w:sz w:val="24"/>
              </w:rPr>
              <w:t>投标文件响应情况（服务内容）</w:t>
            </w:r>
          </w:p>
        </w:tc>
        <w:tc>
          <w:tcPr>
            <w:tcW w:w="1089" w:type="dxa"/>
            <w:vAlign w:val="center"/>
          </w:tcPr>
          <w:p w14:paraId="1090D524">
            <w:pPr>
              <w:pStyle w:val="28"/>
              <w:spacing w:line="240" w:lineRule="atLeast"/>
              <w:jc w:val="center"/>
              <w:rPr>
                <w:rFonts w:hint="eastAsia" w:ascii="仿宋" w:hAnsi="仿宋" w:eastAsia="仿宋" w:cs="仿宋"/>
                <w:b/>
                <w:color w:val="auto"/>
                <w:szCs w:val="21"/>
                <w:highlight w:val="none"/>
              </w:rPr>
            </w:pPr>
            <w:r>
              <w:rPr>
                <w:rFonts w:hint="eastAsia" w:ascii="仿宋" w:hAnsi="仿宋" w:eastAsia="仿宋" w:cs="仿宋"/>
                <w:color w:val="000000"/>
                <w:sz w:val="24"/>
              </w:rPr>
              <w:t>偏离</w:t>
            </w:r>
          </w:p>
        </w:tc>
        <w:tc>
          <w:tcPr>
            <w:tcW w:w="2165" w:type="dxa"/>
            <w:vAlign w:val="center"/>
          </w:tcPr>
          <w:p w14:paraId="734D51AC">
            <w:pPr>
              <w:pStyle w:val="28"/>
              <w:spacing w:line="240" w:lineRule="atLeast"/>
              <w:jc w:val="center"/>
              <w:rPr>
                <w:rFonts w:hint="eastAsia" w:ascii="仿宋" w:hAnsi="仿宋" w:eastAsia="仿宋" w:cs="仿宋"/>
                <w:b/>
                <w:color w:val="auto"/>
                <w:szCs w:val="21"/>
                <w:highlight w:val="none"/>
              </w:rPr>
            </w:pPr>
            <w:r>
              <w:rPr>
                <w:rFonts w:hint="eastAsia" w:ascii="仿宋" w:hAnsi="仿宋" w:eastAsia="仿宋" w:cs="仿宋"/>
                <w:color w:val="000000"/>
                <w:sz w:val="24"/>
              </w:rPr>
              <w:t>说明</w:t>
            </w:r>
          </w:p>
        </w:tc>
      </w:tr>
      <w:tr w14:paraId="20C7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355" w:type="pct"/>
            <w:vAlign w:val="center"/>
          </w:tcPr>
          <w:p w14:paraId="464C56FE">
            <w:pPr>
              <w:spacing w:line="360" w:lineRule="auto"/>
              <w:jc w:val="center"/>
              <w:rPr>
                <w:rFonts w:hint="eastAsia" w:ascii="仿宋" w:hAnsi="仿宋" w:eastAsia="仿宋" w:cs="仿宋"/>
                <w:color w:val="auto"/>
                <w:sz w:val="24"/>
                <w:szCs w:val="24"/>
                <w:highlight w:val="none"/>
              </w:rPr>
            </w:pPr>
          </w:p>
        </w:tc>
        <w:tc>
          <w:tcPr>
            <w:tcW w:w="669" w:type="pct"/>
            <w:vAlign w:val="center"/>
          </w:tcPr>
          <w:p w14:paraId="6ED7E042">
            <w:pPr>
              <w:spacing w:line="360" w:lineRule="auto"/>
              <w:jc w:val="center"/>
              <w:rPr>
                <w:rFonts w:hint="eastAsia" w:ascii="仿宋" w:hAnsi="仿宋" w:eastAsia="仿宋" w:cs="仿宋"/>
                <w:color w:val="auto"/>
                <w:sz w:val="24"/>
                <w:szCs w:val="24"/>
                <w:highlight w:val="none"/>
              </w:rPr>
            </w:pPr>
          </w:p>
        </w:tc>
        <w:tc>
          <w:tcPr>
            <w:tcW w:w="1035" w:type="pct"/>
            <w:vAlign w:val="center"/>
          </w:tcPr>
          <w:p w14:paraId="38DBA8F4">
            <w:pPr>
              <w:spacing w:line="360" w:lineRule="auto"/>
              <w:jc w:val="center"/>
              <w:rPr>
                <w:rFonts w:hint="eastAsia" w:ascii="仿宋" w:hAnsi="仿宋" w:eastAsia="仿宋" w:cs="仿宋"/>
                <w:color w:val="auto"/>
                <w:sz w:val="24"/>
                <w:szCs w:val="24"/>
                <w:highlight w:val="none"/>
              </w:rPr>
            </w:pPr>
          </w:p>
        </w:tc>
        <w:tc>
          <w:tcPr>
            <w:tcW w:w="1337" w:type="pct"/>
            <w:vAlign w:val="center"/>
          </w:tcPr>
          <w:p w14:paraId="01B16F9A">
            <w:pPr>
              <w:spacing w:line="360" w:lineRule="auto"/>
              <w:jc w:val="center"/>
              <w:rPr>
                <w:rFonts w:hint="eastAsia" w:ascii="仿宋" w:hAnsi="仿宋" w:eastAsia="仿宋" w:cs="仿宋"/>
                <w:color w:val="auto"/>
                <w:sz w:val="24"/>
                <w:szCs w:val="24"/>
                <w:highlight w:val="none"/>
              </w:rPr>
            </w:pPr>
          </w:p>
        </w:tc>
        <w:tc>
          <w:tcPr>
            <w:tcW w:w="536" w:type="pct"/>
          </w:tcPr>
          <w:p w14:paraId="2DF29D81">
            <w:pPr>
              <w:spacing w:line="360" w:lineRule="auto"/>
              <w:jc w:val="center"/>
              <w:rPr>
                <w:rFonts w:hint="eastAsia" w:ascii="仿宋" w:hAnsi="仿宋" w:eastAsia="仿宋" w:cs="仿宋"/>
                <w:color w:val="auto"/>
                <w:sz w:val="24"/>
                <w:szCs w:val="24"/>
                <w:highlight w:val="none"/>
              </w:rPr>
            </w:pPr>
          </w:p>
        </w:tc>
        <w:tc>
          <w:tcPr>
            <w:tcW w:w="1066" w:type="pct"/>
            <w:vAlign w:val="center"/>
          </w:tcPr>
          <w:p w14:paraId="4B842AFB">
            <w:pPr>
              <w:spacing w:line="360" w:lineRule="auto"/>
              <w:jc w:val="center"/>
              <w:rPr>
                <w:rFonts w:hint="eastAsia" w:ascii="仿宋" w:hAnsi="仿宋" w:eastAsia="仿宋" w:cs="仿宋"/>
                <w:color w:val="auto"/>
                <w:sz w:val="24"/>
                <w:szCs w:val="24"/>
                <w:highlight w:val="none"/>
              </w:rPr>
            </w:pPr>
          </w:p>
        </w:tc>
      </w:tr>
      <w:tr w14:paraId="00E0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355" w:type="pct"/>
            <w:vAlign w:val="center"/>
          </w:tcPr>
          <w:p w14:paraId="766833A1">
            <w:pPr>
              <w:spacing w:line="360" w:lineRule="auto"/>
              <w:jc w:val="center"/>
              <w:rPr>
                <w:rFonts w:hint="eastAsia" w:ascii="仿宋" w:hAnsi="仿宋" w:eastAsia="仿宋" w:cs="仿宋"/>
                <w:color w:val="auto"/>
                <w:sz w:val="24"/>
                <w:szCs w:val="24"/>
                <w:highlight w:val="none"/>
              </w:rPr>
            </w:pPr>
          </w:p>
        </w:tc>
        <w:tc>
          <w:tcPr>
            <w:tcW w:w="669" w:type="pct"/>
            <w:vAlign w:val="center"/>
          </w:tcPr>
          <w:p w14:paraId="08362242">
            <w:pPr>
              <w:spacing w:line="360" w:lineRule="auto"/>
              <w:jc w:val="center"/>
              <w:rPr>
                <w:rFonts w:hint="eastAsia" w:ascii="仿宋" w:hAnsi="仿宋" w:eastAsia="仿宋" w:cs="仿宋"/>
                <w:color w:val="auto"/>
                <w:sz w:val="24"/>
                <w:szCs w:val="24"/>
                <w:highlight w:val="none"/>
              </w:rPr>
            </w:pPr>
          </w:p>
        </w:tc>
        <w:tc>
          <w:tcPr>
            <w:tcW w:w="1035" w:type="pct"/>
            <w:vAlign w:val="center"/>
          </w:tcPr>
          <w:p w14:paraId="0F22F5E0">
            <w:pPr>
              <w:spacing w:line="360" w:lineRule="auto"/>
              <w:jc w:val="center"/>
              <w:rPr>
                <w:rFonts w:hint="eastAsia" w:ascii="仿宋" w:hAnsi="仿宋" w:eastAsia="仿宋" w:cs="仿宋"/>
                <w:color w:val="auto"/>
                <w:sz w:val="24"/>
                <w:szCs w:val="24"/>
                <w:highlight w:val="none"/>
              </w:rPr>
            </w:pPr>
          </w:p>
        </w:tc>
        <w:tc>
          <w:tcPr>
            <w:tcW w:w="1337" w:type="pct"/>
            <w:vAlign w:val="center"/>
          </w:tcPr>
          <w:p w14:paraId="04935732">
            <w:pPr>
              <w:spacing w:line="360" w:lineRule="auto"/>
              <w:jc w:val="center"/>
              <w:rPr>
                <w:rFonts w:hint="eastAsia" w:ascii="仿宋" w:hAnsi="仿宋" w:eastAsia="仿宋" w:cs="仿宋"/>
                <w:color w:val="auto"/>
                <w:sz w:val="24"/>
                <w:szCs w:val="24"/>
                <w:highlight w:val="none"/>
              </w:rPr>
            </w:pPr>
          </w:p>
        </w:tc>
        <w:tc>
          <w:tcPr>
            <w:tcW w:w="536" w:type="pct"/>
          </w:tcPr>
          <w:p w14:paraId="48DCC6D2">
            <w:pPr>
              <w:spacing w:line="360" w:lineRule="auto"/>
              <w:jc w:val="center"/>
              <w:rPr>
                <w:rFonts w:hint="eastAsia" w:ascii="仿宋" w:hAnsi="仿宋" w:eastAsia="仿宋" w:cs="仿宋"/>
                <w:color w:val="auto"/>
                <w:sz w:val="24"/>
                <w:szCs w:val="24"/>
                <w:highlight w:val="none"/>
              </w:rPr>
            </w:pPr>
          </w:p>
        </w:tc>
        <w:tc>
          <w:tcPr>
            <w:tcW w:w="1066" w:type="pct"/>
            <w:vAlign w:val="center"/>
          </w:tcPr>
          <w:p w14:paraId="549DCED2">
            <w:pPr>
              <w:spacing w:line="360" w:lineRule="auto"/>
              <w:jc w:val="center"/>
              <w:rPr>
                <w:rFonts w:hint="eastAsia" w:ascii="仿宋" w:hAnsi="仿宋" w:eastAsia="仿宋" w:cs="仿宋"/>
                <w:color w:val="auto"/>
                <w:sz w:val="24"/>
                <w:szCs w:val="24"/>
                <w:highlight w:val="none"/>
              </w:rPr>
            </w:pPr>
          </w:p>
        </w:tc>
      </w:tr>
      <w:tr w14:paraId="5CD2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355" w:type="pct"/>
            <w:vAlign w:val="center"/>
          </w:tcPr>
          <w:p w14:paraId="59F6C141">
            <w:pPr>
              <w:spacing w:line="360" w:lineRule="auto"/>
              <w:jc w:val="center"/>
              <w:rPr>
                <w:rFonts w:hint="eastAsia" w:ascii="仿宋" w:hAnsi="仿宋" w:eastAsia="仿宋" w:cs="仿宋"/>
                <w:color w:val="auto"/>
                <w:sz w:val="24"/>
                <w:szCs w:val="24"/>
                <w:highlight w:val="none"/>
              </w:rPr>
            </w:pPr>
          </w:p>
        </w:tc>
        <w:tc>
          <w:tcPr>
            <w:tcW w:w="669" w:type="pct"/>
            <w:vAlign w:val="center"/>
          </w:tcPr>
          <w:p w14:paraId="01BCA29B">
            <w:pPr>
              <w:spacing w:line="360" w:lineRule="auto"/>
              <w:jc w:val="center"/>
              <w:rPr>
                <w:rFonts w:hint="eastAsia" w:ascii="仿宋" w:hAnsi="仿宋" w:eastAsia="仿宋" w:cs="仿宋"/>
                <w:color w:val="auto"/>
                <w:sz w:val="24"/>
                <w:szCs w:val="24"/>
                <w:highlight w:val="none"/>
              </w:rPr>
            </w:pPr>
          </w:p>
        </w:tc>
        <w:tc>
          <w:tcPr>
            <w:tcW w:w="1035" w:type="pct"/>
            <w:vAlign w:val="center"/>
          </w:tcPr>
          <w:p w14:paraId="721A7E09">
            <w:pPr>
              <w:spacing w:line="360" w:lineRule="auto"/>
              <w:jc w:val="center"/>
              <w:rPr>
                <w:rFonts w:hint="eastAsia" w:ascii="仿宋" w:hAnsi="仿宋" w:eastAsia="仿宋" w:cs="仿宋"/>
                <w:color w:val="auto"/>
                <w:sz w:val="24"/>
                <w:szCs w:val="24"/>
                <w:highlight w:val="none"/>
              </w:rPr>
            </w:pPr>
          </w:p>
        </w:tc>
        <w:tc>
          <w:tcPr>
            <w:tcW w:w="1337" w:type="pct"/>
            <w:vAlign w:val="center"/>
          </w:tcPr>
          <w:p w14:paraId="105C5106">
            <w:pPr>
              <w:spacing w:line="360" w:lineRule="auto"/>
              <w:jc w:val="center"/>
              <w:rPr>
                <w:rFonts w:hint="eastAsia" w:ascii="仿宋" w:hAnsi="仿宋" w:eastAsia="仿宋" w:cs="仿宋"/>
                <w:color w:val="auto"/>
                <w:sz w:val="24"/>
                <w:szCs w:val="24"/>
                <w:highlight w:val="none"/>
              </w:rPr>
            </w:pPr>
          </w:p>
        </w:tc>
        <w:tc>
          <w:tcPr>
            <w:tcW w:w="536" w:type="pct"/>
          </w:tcPr>
          <w:p w14:paraId="1BEC7E18">
            <w:pPr>
              <w:spacing w:line="360" w:lineRule="auto"/>
              <w:jc w:val="center"/>
              <w:rPr>
                <w:rFonts w:hint="eastAsia" w:ascii="仿宋" w:hAnsi="仿宋" w:eastAsia="仿宋" w:cs="仿宋"/>
                <w:color w:val="auto"/>
                <w:sz w:val="24"/>
                <w:szCs w:val="24"/>
                <w:highlight w:val="none"/>
              </w:rPr>
            </w:pPr>
          </w:p>
        </w:tc>
        <w:tc>
          <w:tcPr>
            <w:tcW w:w="1066" w:type="pct"/>
            <w:vAlign w:val="center"/>
          </w:tcPr>
          <w:p w14:paraId="4244D6EC">
            <w:pPr>
              <w:spacing w:line="360" w:lineRule="auto"/>
              <w:jc w:val="center"/>
              <w:rPr>
                <w:rFonts w:hint="eastAsia" w:ascii="仿宋" w:hAnsi="仿宋" w:eastAsia="仿宋" w:cs="仿宋"/>
                <w:color w:val="auto"/>
                <w:sz w:val="24"/>
                <w:szCs w:val="24"/>
                <w:highlight w:val="none"/>
              </w:rPr>
            </w:pPr>
          </w:p>
        </w:tc>
      </w:tr>
    </w:tbl>
    <w:p w14:paraId="5C0C38A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color w:val="auto"/>
          <w:sz w:val="24"/>
          <w:szCs w:val="24"/>
          <w:highlight w:val="none"/>
        </w:rPr>
      </w:pPr>
    </w:p>
    <w:p w14:paraId="1847A996">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表格中“偏离”一列，投标人只能如实填写“正偏离”、“负偏离”或“无偏离”。凡投标内容高于招标文件要求的，按“正偏离”填写；低于招标文件要求的，按“负偏离”填写；满足招标文件要求的，按“无偏离”填写。</w:t>
      </w:r>
    </w:p>
    <w:p w14:paraId="557550E4">
      <w:pPr>
        <w:spacing w:line="360" w:lineRule="auto"/>
        <w:ind w:firstLine="480" w:firstLineChars="200"/>
        <w:rPr>
          <w:rFonts w:hint="eastAsia" w:ascii="仿宋" w:hAnsi="仿宋" w:eastAsia="仿宋" w:cs="仿宋"/>
          <w:color w:val="auto"/>
          <w:sz w:val="24"/>
          <w:szCs w:val="24"/>
          <w:highlight w:val="none"/>
        </w:rPr>
      </w:pPr>
    </w:p>
    <w:p w14:paraId="589F9AD8">
      <w:pPr>
        <w:spacing w:line="480" w:lineRule="auto"/>
        <w:rPr>
          <w:rFonts w:hint="eastAsia" w:ascii="仿宋" w:hAnsi="仿宋" w:eastAsia="仿宋" w:cs="仿宋"/>
          <w:color w:val="auto"/>
          <w:sz w:val="24"/>
          <w:szCs w:val="24"/>
          <w:highlight w:val="none"/>
        </w:rPr>
      </w:pPr>
    </w:p>
    <w:p w14:paraId="1B3E37A8">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投标单位（单位公章）：</w:t>
      </w:r>
    </w:p>
    <w:p w14:paraId="2D372CB9">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14:paraId="7C0E9416">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仿宋" w:hAnsi="仿宋" w:eastAsia="仿宋" w:cs="仿宋"/>
          <w:b/>
          <w:color w:val="auto"/>
          <w:sz w:val="28"/>
          <w:szCs w:val="28"/>
          <w:highlight w:val="none"/>
          <w:lang w:val="en-US" w:eastAsia="zh-CN"/>
        </w:rPr>
        <w:sectPr>
          <w:pgSz w:w="11905"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6" w:charSpace="0"/>
        </w:sectPr>
      </w:pPr>
      <w:r>
        <w:rPr>
          <w:rFonts w:hint="eastAsia" w:ascii="仿宋" w:hAnsi="仿宋" w:eastAsia="仿宋" w:cs="仿宋"/>
          <w:color w:val="auto"/>
          <w:sz w:val="24"/>
          <w:szCs w:val="24"/>
          <w:highlight w:val="none"/>
        </w:rPr>
        <w:t xml:space="preserve">年   月   日 </w:t>
      </w:r>
    </w:p>
    <w:p w14:paraId="00A09153">
      <w:pPr>
        <w:spacing w:line="360" w:lineRule="auto"/>
        <w:jc w:val="center"/>
        <w:rPr>
          <w:rFonts w:hint="eastAsia" w:ascii="仿宋" w:hAnsi="仿宋" w:eastAsia="仿宋" w:cs="仿宋"/>
          <w:b/>
          <w:bCs/>
          <w:color w:val="auto"/>
          <w:kern w:val="2"/>
          <w:sz w:val="28"/>
          <w:szCs w:val="32"/>
          <w:highlight w:val="none"/>
          <w:lang w:val="en-US" w:eastAsia="zh-CN" w:bidi="ar-SA"/>
        </w:rPr>
      </w:pPr>
      <w:r>
        <w:rPr>
          <w:rFonts w:hint="eastAsia" w:ascii="仿宋" w:hAnsi="仿宋" w:eastAsia="仿宋" w:cs="仿宋"/>
          <w:b/>
          <w:bCs/>
          <w:color w:val="auto"/>
          <w:kern w:val="2"/>
          <w:sz w:val="28"/>
          <w:szCs w:val="32"/>
          <w:highlight w:val="none"/>
          <w:lang w:val="en-US" w:eastAsia="zh-CN" w:bidi="ar-SA"/>
        </w:rPr>
        <w:t>八、近五年类似项目业绩及相关证明材料</w:t>
      </w:r>
    </w:p>
    <w:p w14:paraId="43AA3F32">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1E943C73">
      <w:pPr>
        <w:tabs>
          <w:tab w:val="left" w:pos="555"/>
          <w:tab w:val="left" w:pos="2214"/>
          <w:tab w:val="left" w:pos="3774"/>
          <w:tab w:val="left" w:pos="4854"/>
          <w:tab w:val="left" w:pos="5934"/>
          <w:tab w:val="left" w:pos="7014"/>
          <w:tab w:val="left" w:pos="8214"/>
          <w:tab w:val="left" w:pos="10134"/>
          <w:tab w:val="left" w:pos="11124"/>
        </w:tabs>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项目编号：        </w:t>
      </w:r>
    </w:p>
    <w:tbl>
      <w:tblPr>
        <w:tblStyle w:val="48"/>
        <w:tblW w:w="9636" w:type="dxa"/>
        <w:jc w:val="center"/>
        <w:tblLayout w:type="fixed"/>
        <w:tblCellMar>
          <w:top w:w="0" w:type="dxa"/>
          <w:left w:w="108" w:type="dxa"/>
          <w:bottom w:w="0" w:type="dxa"/>
          <w:right w:w="108" w:type="dxa"/>
        </w:tblCellMar>
      </w:tblPr>
      <w:tblGrid>
        <w:gridCol w:w="724"/>
        <w:gridCol w:w="1633"/>
        <w:gridCol w:w="1739"/>
        <w:gridCol w:w="1652"/>
        <w:gridCol w:w="1287"/>
        <w:gridCol w:w="1865"/>
        <w:gridCol w:w="736"/>
      </w:tblGrid>
      <w:tr w14:paraId="00563BE7">
        <w:tblPrEx>
          <w:tblCellMar>
            <w:top w:w="0" w:type="dxa"/>
            <w:left w:w="108" w:type="dxa"/>
            <w:bottom w:w="0" w:type="dxa"/>
            <w:right w:w="108" w:type="dxa"/>
          </w:tblCellMar>
        </w:tblPrEx>
        <w:trPr>
          <w:trHeight w:val="878" w:hRule="atLeast"/>
          <w:jc w:val="center"/>
        </w:trPr>
        <w:tc>
          <w:tcPr>
            <w:tcW w:w="724" w:type="dxa"/>
            <w:tcBorders>
              <w:top w:val="single" w:color="auto" w:sz="6" w:space="0"/>
              <w:left w:val="single" w:color="auto" w:sz="6" w:space="0"/>
              <w:bottom w:val="single" w:color="auto" w:sz="6" w:space="0"/>
              <w:right w:val="single" w:color="auto" w:sz="6" w:space="0"/>
            </w:tcBorders>
            <w:noWrap w:val="0"/>
            <w:vAlign w:val="center"/>
          </w:tcPr>
          <w:p w14:paraId="44A3881E">
            <w:pPr>
              <w:pStyle w:val="95"/>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633" w:type="dxa"/>
            <w:tcBorders>
              <w:top w:val="single" w:color="auto" w:sz="6" w:space="0"/>
              <w:left w:val="single" w:color="auto" w:sz="6" w:space="0"/>
              <w:bottom w:val="single" w:color="auto" w:sz="6" w:space="0"/>
              <w:right w:val="single" w:color="auto" w:sz="6" w:space="0"/>
            </w:tcBorders>
            <w:noWrap w:val="0"/>
            <w:vAlign w:val="center"/>
          </w:tcPr>
          <w:p w14:paraId="3B9B27DC">
            <w:pPr>
              <w:pStyle w:val="95"/>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项目名称</w:t>
            </w:r>
          </w:p>
        </w:tc>
        <w:tc>
          <w:tcPr>
            <w:tcW w:w="1739" w:type="dxa"/>
            <w:tcBorders>
              <w:top w:val="single" w:color="auto" w:sz="6" w:space="0"/>
              <w:left w:val="single" w:color="auto" w:sz="6" w:space="0"/>
              <w:bottom w:val="single" w:color="auto" w:sz="6" w:space="0"/>
              <w:right w:val="single" w:color="auto" w:sz="6" w:space="0"/>
            </w:tcBorders>
            <w:noWrap w:val="0"/>
            <w:vAlign w:val="center"/>
          </w:tcPr>
          <w:p w14:paraId="40D78D43">
            <w:pPr>
              <w:pStyle w:val="95"/>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项目单位名称</w:t>
            </w:r>
          </w:p>
        </w:tc>
        <w:tc>
          <w:tcPr>
            <w:tcW w:w="1652" w:type="dxa"/>
            <w:tcBorders>
              <w:top w:val="single" w:color="auto" w:sz="6" w:space="0"/>
              <w:left w:val="single" w:color="auto" w:sz="6" w:space="0"/>
              <w:bottom w:val="single" w:color="auto" w:sz="6" w:space="0"/>
              <w:right w:val="single" w:color="auto" w:sz="6" w:space="0"/>
            </w:tcBorders>
            <w:noWrap w:val="0"/>
            <w:vAlign w:val="center"/>
          </w:tcPr>
          <w:p w14:paraId="573914C5">
            <w:pPr>
              <w:pStyle w:val="95"/>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项目内容</w:t>
            </w:r>
          </w:p>
        </w:tc>
        <w:tc>
          <w:tcPr>
            <w:tcW w:w="1287" w:type="dxa"/>
            <w:tcBorders>
              <w:top w:val="single" w:color="auto" w:sz="6" w:space="0"/>
              <w:left w:val="single" w:color="auto" w:sz="6" w:space="0"/>
              <w:bottom w:val="single" w:color="auto" w:sz="6" w:space="0"/>
              <w:right w:val="single" w:color="auto" w:sz="6" w:space="0"/>
            </w:tcBorders>
            <w:noWrap w:val="0"/>
            <w:vAlign w:val="center"/>
          </w:tcPr>
          <w:p w14:paraId="61A04608">
            <w:pPr>
              <w:pStyle w:val="95"/>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合同金额</w:t>
            </w:r>
          </w:p>
        </w:tc>
        <w:tc>
          <w:tcPr>
            <w:tcW w:w="1865" w:type="dxa"/>
            <w:tcBorders>
              <w:top w:val="single" w:color="auto" w:sz="6" w:space="0"/>
              <w:left w:val="single" w:color="auto" w:sz="6" w:space="0"/>
              <w:bottom w:val="single" w:color="auto" w:sz="6" w:space="0"/>
              <w:right w:val="single" w:color="auto" w:sz="6" w:space="0"/>
            </w:tcBorders>
            <w:noWrap w:val="0"/>
            <w:vAlign w:val="center"/>
          </w:tcPr>
          <w:p w14:paraId="74ECDA63">
            <w:pPr>
              <w:pStyle w:val="95"/>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项目单位</w:t>
            </w:r>
          </w:p>
        </w:tc>
        <w:tc>
          <w:tcPr>
            <w:tcW w:w="736" w:type="dxa"/>
            <w:tcBorders>
              <w:top w:val="single" w:color="auto" w:sz="6" w:space="0"/>
              <w:left w:val="single" w:color="auto" w:sz="6" w:space="0"/>
              <w:bottom w:val="single" w:color="auto" w:sz="6" w:space="0"/>
              <w:right w:val="single" w:color="auto" w:sz="6" w:space="0"/>
            </w:tcBorders>
            <w:noWrap w:val="0"/>
            <w:vAlign w:val="center"/>
          </w:tcPr>
          <w:p w14:paraId="725C5C43">
            <w:pPr>
              <w:pStyle w:val="95"/>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18B0DAF0">
        <w:tblPrEx>
          <w:tblCellMar>
            <w:top w:w="0" w:type="dxa"/>
            <w:left w:w="108" w:type="dxa"/>
            <w:bottom w:w="0" w:type="dxa"/>
            <w:right w:w="108" w:type="dxa"/>
          </w:tblCellMar>
        </w:tblPrEx>
        <w:trPr>
          <w:trHeight w:val="469" w:hRule="atLeast"/>
          <w:jc w:val="center"/>
        </w:trPr>
        <w:tc>
          <w:tcPr>
            <w:tcW w:w="724" w:type="dxa"/>
            <w:tcBorders>
              <w:top w:val="single" w:color="auto" w:sz="6" w:space="0"/>
              <w:left w:val="single" w:color="auto" w:sz="6" w:space="0"/>
              <w:bottom w:val="single" w:color="auto" w:sz="6" w:space="0"/>
              <w:right w:val="single" w:color="auto" w:sz="6" w:space="0"/>
            </w:tcBorders>
            <w:noWrap w:val="0"/>
            <w:vAlign w:val="top"/>
          </w:tcPr>
          <w:p w14:paraId="79EE0DD7">
            <w:pPr>
              <w:pStyle w:val="95"/>
              <w:rPr>
                <w:rFonts w:hint="eastAsia" w:ascii="仿宋" w:hAnsi="仿宋" w:eastAsia="仿宋" w:cs="仿宋"/>
                <w:color w:val="auto"/>
                <w:sz w:val="24"/>
                <w:szCs w:val="24"/>
                <w:highlight w:val="none"/>
              </w:rPr>
            </w:pPr>
          </w:p>
        </w:tc>
        <w:tc>
          <w:tcPr>
            <w:tcW w:w="1633" w:type="dxa"/>
            <w:tcBorders>
              <w:top w:val="single" w:color="auto" w:sz="6" w:space="0"/>
              <w:left w:val="single" w:color="auto" w:sz="6" w:space="0"/>
              <w:bottom w:val="single" w:color="auto" w:sz="6" w:space="0"/>
              <w:right w:val="single" w:color="auto" w:sz="6" w:space="0"/>
            </w:tcBorders>
            <w:noWrap w:val="0"/>
            <w:vAlign w:val="top"/>
          </w:tcPr>
          <w:p w14:paraId="3A3FEBCA">
            <w:pPr>
              <w:pStyle w:val="95"/>
              <w:rPr>
                <w:rFonts w:hint="eastAsia" w:ascii="仿宋" w:hAnsi="仿宋" w:eastAsia="仿宋" w:cs="仿宋"/>
                <w:color w:val="auto"/>
                <w:sz w:val="24"/>
                <w:szCs w:val="24"/>
                <w:highlight w:val="none"/>
              </w:rPr>
            </w:pPr>
          </w:p>
        </w:tc>
        <w:tc>
          <w:tcPr>
            <w:tcW w:w="1739" w:type="dxa"/>
            <w:tcBorders>
              <w:top w:val="single" w:color="auto" w:sz="6" w:space="0"/>
              <w:left w:val="single" w:color="auto" w:sz="6" w:space="0"/>
              <w:bottom w:val="single" w:color="auto" w:sz="6" w:space="0"/>
              <w:right w:val="single" w:color="auto" w:sz="6" w:space="0"/>
            </w:tcBorders>
            <w:noWrap w:val="0"/>
            <w:vAlign w:val="top"/>
          </w:tcPr>
          <w:p w14:paraId="319F6B0F">
            <w:pPr>
              <w:pStyle w:val="95"/>
              <w:rPr>
                <w:rFonts w:hint="eastAsia" w:ascii="仿宋" w:hAnsi="仿宋" w:eastAsia="仿宋" w:cs="仿宋"/>
                <w:color w:val="auto"/>
                <w:sz w:val="24"/>
                <w:szCs w:val="24"/>
                <w:highlight w:val="none"/>
              </w:rPr>
            </w:pPr>
          </w:p>
        </w:tc>
        <w:tc>
          <w:tcPr>
            <w:tcW w:w="1652" w:type="dxa"/>
            <w:tcBorders>
              <w:top w:val="single" w:color="auto" w:sz="6" w:space="0"/>
              <w:left w:val="single" w:color="auto" w:sz="6" w:space="0"/>
              <w:bottom w:val="single" w:color="auto" w:sz="6" w:space="0"/>
              <w:right w:val="single" w:color="auto" w:sz="6" w:space="0"/>
            </w:tcBorders>
            <w:noWrap w:val="0"/>
            <w:vAlign w:val="top"/>
          </w:tcPr>
          <w:p w14:paraId="2D39F302">
            <w:pPr>
              <w:pStyle w:val="95"/>
              <w:rPr>
                <w:rFonts w:hint="eastAsia" w:ascii="仿宋" w:hAnsi="仿宋" w:eastAsia="仿宋" w:cs="仿宋"/>
                <w:color w:val="auto"/>
                <w:sz w:val="24"/>
                <w:szCs w:val="24"/>
                <w:highlight w:val="none"/>
              </w:rPr>
            </w:pPr>
          </w:p>
        </w:tc>
        <w:tc>
          <w:tcPr>
            <w:tcW w:w="1287" w:type="dxa"/>
            <w:tcBorders>
              <w:top w:val="single" w:color="auto" w:sz="6" w:space="0"/>
              <w:left w:val="single" w:color="auto" w:sz="6" w:space="0"/>
              <w:bottom w:val="single" w:color="auto" w:sz="6" w:space="0"/>
              <w:right w:val="single" w:color="auto" w:sz="6" w:space="0"/>
            </w:tcBorders>
            <w:noWrap w:val="0"/>
            <w:vAlign w:val="top"/>
          </w:tcPr>
          <w:p w14:paraId="5F54BB72">
            <w:pPr>
              <w:pStyle w:val="95"/>
              <w:rPr>
                <w:rFonts w:hint="eastAsia" w:ascii="仿宋" w:hAnsi="仿宋" w:eastAsia="仿宋" w:cs="仿宋"/>
                <w:color w:val="auto"/>
                <w:sz w:val="24"/>
                <w:szCs w:val="24"/>
                <w:highlight w:val="none"/>
              </w:rPr>
            </w:pPr>
          </w:p>
        </w:tc>
        <w:tc>
          <w:tcPr>
            <w:tcW w:w="1865" w:type="dxa"/>
            <w:tcBorders>
              <w:top w:val="single" w:color="auto" w:sz="6" w:space="0"/>
              <w:left w:val="single" w:color="auto" w:sz="6" w:space="0"/>
              <w:bottom w:val="single" w:color="auto" w:sz="6" w:space="0"/>
              <w:right w:val="single" w:color="auto" w:sz="6" w:space="0"/>
            </w:tcBorders>
            <w:noWrap w:val="0"/>
            <w:vAlign w:val="top"/>
          </w:tcPr>
          <w:p w14:paraId="5AFA5C39">
            <w:pPr>
              <w:pStyle w:val="95"/>
              <w:rPr>
                <w:rFonts w:hint="eastAsia" w:ascii="仿宋" w:hAnsi="仿宋" w:eastAsia="仿宋" w:cs="仿宋"/>
                <w:color w:val="auto"/>
                <w:sz w:val="24"/>
                <w:szCs w:val="24"/>
                <w:highlight w:val="none"/>
              </w:rPr>
            </w:pPr>
          </w:p>
        </w:tc>
        <w:tc>
          <w:tcPr>
            <w:tcW w:w="736" w:type="dxa"/>
            <w:tcBorders>
              <w:top w:val="single" w:color="auto" w:sz="6" w:space="0"/>
              <w:left w:val="single" w:color="auto" w:sz="6" w:space="0"/>
              <w:bottom w:val="single" w:color="auto" w:sz="6" w:space="0"/>
              <w:right w:val="single" w:color="auto" w:sz="6" w:space="0"/>
            </w:tcBorders>
            <w:noWrap w:val="0"/>
            <w:vAlign w:val="top"/>
          </w:tcPr>
          <w:p w14:paraId="785CAFEF">
            <w:pPr>
              <w:pStyle w:val="95"/>
              <w:rPr>
                <w:rFonts w:hint="eastAsia" w:ascii="仿宋" w:hAnsi="仿宋" w:eastAsia="仿宋" w:cs="仿宋"/>
                <w:color w:val="auto"/>
                <w:sz w:val="24"/>
                <w:szCs w:val="24"/>
                <w:highlight w:val="none"/>
              </w:rPr>
            </w:pPr>
          </w:p>
        </w:tc>
      </w:tr>
      <w:tr w14:paraId="0B2DF7F2">
        <w:tblPrEx>
          <w:tblCellMar>
            <w:top w:w="0" w:type="dxa"/>
            <w:left w:w="108" w:type="dxa"/>
            <w:bottom w:w="0" w:type="dxa"/>
            <w:right w:w="108" w:type="dxa"/>
          </w:tblCellMar>
        </w:tblPrEx>
        <w:trPr>
          <w:trHeight w:val="469" w:hRule="atLeast"/>
          <w:jc w:val="center"/>
        </w:trPr>
        <w:tc>
          <w:tcPr>
            <w:tcW w:w="724" w:type="dxa"/>
            <w:tcBorders>
              <w:top w:val="single" w:color="auto" w:sz="6" w:space="0"/>
              <w:left w:val="single" w:color="auto" w:sz="6" w:space="0"/>
              <w:bottom w:val="single" w:color="auto" w:sz="6" w:space="0"/>
              <w:right w:val="single" w:color="auto" w:sz="6" w:space="0"/>
            </w:tcBorders>
            <w:noWrap w:val="0"/>
            <w:vAlign w:val="top"/>
          </w:tcPr>
          <w:p w14:paraId="703062D4">
            <w:pPr>
              <w:pStyle w:val="95"/>
              <w:rPr>
                <w:rFonts w:hint="eastAsia" w:ascii="仿宋" w:hAnsi="仿宋" w:eastAsia="仿宋" w:cs="仿宋"/>
                <w:color w:val="auto"/>
                <w:sz w:val="24"/>
                <w:szCs w:val="24"/>
                <w:highlight w:val="none"/>
              </w:rPr>
            </w:pPr>
          </w:p>
        </w:tc>
        <w:tc>
          <w:tcPr>
            <w:tcW w:w="1633" w:type="dxa"/>
            <w:tcBorders>
              <w:top w:val="single" w:color="auto" w:sz="6" w:space="0"/>
              <w:left w:val="single" w:color="auto" w:sz="6" w:space="0"/>
              <w:bottom w:val="single" w:color="auto" w:sz="6" w:space="0"/>
              <w:right w:val="single" w:color="auto" w:sz="6" w:space="0"/>
            </w:tcBorders>
            <w:noWrap w:val="0"/>
            <w:vAlign w:val="top"/>
          </w:tcPr>
          <w:p w14:paraId="063DBACA">
            <w:pPr>
              <w:pStyle w:val="95"/>
              <w:rPr>
                <w:rFonts w:hint="eastAsia" w:ascii="仿宋" w:hAnsi="仿宋" w:eastAsia="仿宋" w:cs="仿宋"/>
                <w:color w:val="auto"/>
                <w:sz w:val="24"/>
                <w:szCs w:val="24"/>
                <w:highlight w:val="none"/>
              </w:rPr>
            </w:pPr>
          </w:p>
        </w:tc>
        <w:tc>
          <w:tcPr>
            <w:tcW w:w="1739" w:type="dxa"/>
            <w:tcBorders>
              <w:top w:val="single" w:color="auto" w:sz="6" w:space="0"/>
              <w:left w:val="single" w:color="auto" w:sz="6" w:space="0"/>
              <w:bottom w:val="single" w:color="auto" w:sz="6" w:space="0"/>
              <w:right w:val="single" w:color="auto" w:sz="6" w:space="0"/>
            </w:tcBorders>
            <w:noWrap w:val="0"/>
            <w:vAlign w:val="top"/>
          </w:tcPr>
          <w:p w14:paraId="1B2EEE62">
            <w:pPr>
              <w:pStyle w:val="95"/>
              <w:rPr>
                <w:rFonts w:hint="eastAsia" w:ascii="仿宋" w:hAnsi="仿宋" w:eastAsia="仿宋" w:cs="仿宋"/>
                <w:color w:val="auto"/>
                <w:sz w:val="24"/>
                <w:szCs w:val="24"/>
                <w:highlight w:val="none"/>
              </w:rPr>
            </w:pPr>
          </w:p>
        </w:tc>
        <w:tc>
          <w:tcPr>
            <w:tcW w:w="1652" w:type="dxa"/>
            <w:tcBorders>
              <w:top w:val="single" w:color="auto" w:sz="6" w:space="0"/>
              <w:left w:val="single" w:color="auto" w:sz="6" w:space="0"/>
              <w:bottom w:val="single" w:color="auto" w:sz="6" w:space="0"/>
              <w:right w:val="single" w:color="auto" w:sz="6" w:space="0"/>
            </w:tcBorders>
            <w:noWrap w:val="0"/>
            <w:vAlign w:val="top"/>
          </w:tcPr>
          <w:p w14:paraId="67D41133">
            <w:pPr>
              <w:pStyle w:val="95"/>
              <w:rPr>
                <w:rFonts w:hint="eastAsia" w:ascii="仿宋" w:hAnsi="仿宋" w:eastAsia="仿宋" w:cs="仿宋"/>
                <w:color w:val="auto"/>
                <w:sz w:val="24"/>
                <w:szCs w:val="24"/>
                <w:highlight w:val="none"/>
              </w:rPr>
            </w:pPr>
          </w:p>
        </w:tc>
        <w:tc>
          <w:tcPr>
            <w:tcW w:w="1287" w:type="dxa"/>
            <w:tcBorders>
              <w:top w:val="single" w:color="auto" w:sz="6" w:space="0"/>
              <w:left w:val="single" w:color="auto" w:sz="6" w:space="0"/>
              <w:bottom w:val="single" w:color="auto" w:sz="6" w:space="0"/>
              <w:right w:val="single" w:color="auto" w:sz="6" w:space="0"/>
            </w:tcBorders>
            <w:noWrap w:val="0"/>
            <w:vAlign w:val="top"/>
          </w:tcPr>
          <w:p w14:paraId="44DF4C39">
            <w:pPr>
              <w:pStyle w:val="95"/>
              <w:rPr>
                <w:rFonts w:hint="eastAsia" w:ascii="仿宋" w:hAnsi="仿宋" w:eastAsia="仿宋" w:cs="仿宋"/>
                <w:color w:val="auto"/>
                <w:sz w:val="24"/>
                <w:szCs w:val="24"/>
                <w:highlight w:val="none"/>
              </w:rPr>
            </w:pPr>
          </w:p>
        </w:tc>
        <w:tc>
          <w:tcPr>
            <w:tcW w:w="1865" w:type="dxa"/>
            <w:tcBorders>
              <w:top w:val="single" w:color="auto" w:sz="6" w:space="0"/>
              <w:left w:val="single" w:color="auto" w:sz="6" w:space="0"/>
              <w:bottom w:val="single" w:color="auto" w:sz="6" w:space="0"/>
              <w:right w:val="single" w:color="auto" w:sz="6" w:space="0"/>
            </w:tcBorders>
            <w:noWrap w:val="0"/>
            <w:vAlign w:val="top"/>
          </w:tcPr>
          <w:p w14:paraId="0A572C2B">
            <w:pPr>
              <w:pStyle w:val="95"/>
              <w:rPr>
                <w:rFonts w:hint="eastAsia" w:ascii="仿宋" w:hAnsi="仿宋" w:eastAsia="仿宋" w:cs="仿宋"/>
                <w:color w:val="auto"/>
                <w:sz w:val="24"/>
                <w:szCs w:val="24"/>
                <w:highlight w:val="none"/>
              </w:rPr>
            </w:pPr>
          </w:p>
        </w:tc>
        <w:tc>
          <w:tcPr>
            <w:tcW w:w="736" w:type="dxa"/>
            <w:tcBorders>
              <w:top w:val="single" w:color="auto" w:sz="6" w:space="0"/>
              <w:left w:val="single" w:color="auto" w:sz="6" w:space="0"/>
              <w:bottom w:val="single" w:color="auto" w:sz="6" w:space="0"/>
              <w:right w:val="single" w:color="auto" w:sz="6" w:space="0"/>
            </w:tcBorders>
            <w:noWrap w:val="0"/>
            <w:vAlign w:val="top"/>
          </w:tcPr>
          <w:p w14:paraId="6E5793E5">
            <w:pPr>
              <w:pStyle w:val="95"/>
              <w:rPr>
                <w:rFonts w:hint="eastAsia" w:ascii="仿宋" w:hAnsi="仿宋" w:eastAsia="仿宋" w:cs="仿宋"/>
                <w:color w:val="auto"/>
                <w:sz w:val="24"/>
                <w:szCs w:val="24"/>
                <w:highlight w:val="none"/>
              </w:rPr>
            </w:pPr>
          </w:p>
        </w:tc>
      </w:tr>
      <w:tr w14:paraId="1F8C2CC4">
        <w:tblPrEx>
          <w:tblCellMar>
            <w:top w:w="0" w:type="dxa"/>
            <w:left w:w="108" w:type="dxa"/>
            <w:bottom w:w="0" w:type="dxa"/>
            <w:right w:w="108" w:type="dxa"/>
          </w:tblCellMar>
        </w:tblPrEx>
        <w:trPr>
          <w:trHeight w:val="469" w:hRule="atLeast"/>
          <w:jc w:val="center"/>
        </w:trPr>
        <w:tc>
          <w:tcPr>
            <w:tcW w:w="724" w:type="dxa"/>
            <w:tcBorders>
              <w:top w:val="single" w:color="auto" w:sz="6" w:space="0"/>
              <w:left w:val="single" w:color="auto" w:sz="6" w:space="0"/>
              <w:bottom w:val="single" w:color="auto" w:sz="6" w:space="0"/>
              <w:right w:val="single" w:color="auto" w:sz="6" w:space="0"/>
            </w:tcBorders>
            <w:noWrap w:val="0"/>
            <w:vAlign w:val="top"/>
          </w:tcPr>
          <w:p w14:paraId="65733AF2">
            <w:pPr>
              <w:pStyle w:val="95"/>
              <w:rPr>
                <w:rFonts w:hint="eastAsia" w:ascii="仿宋" w:hAnsi="仿宋" w:eastAsia="仿宋" w:cs="仿宋"/>
                <w:color w:val="auto"/>
                <w:sz w:val="24"/>
                <w:szCs w:val="24"/>
                <w:highlight w:val="none"/>
              </w:rPr>
            </w:pPr>
          </w:p>
        </w:tc>
        <w:tc>
          <w:tcPr>
            <w:tcW w:w="1633" w:type="dxa"/>
            <w:tcBorders>
              <w:top w:val="single" w:color="auto" w:sz="6" w:space="0"/>
              <w:left w:val="single" w:color="auto" w:sz="6" w:space="0"/>
              <w:bottom w:val="single" w:color="auto" w:sz="6" w:space="0"/>
              <w:right w:val="single" w:color="auto" w:sz="6" w:space="0"/>
            </w:tcBorders>
            <w:noWrap w:val="0"/>
            <w:vAlign w:val="top"/>
          </w:tcPr>
          <w:p w14:paraId="506E1DD3">
            <w:pPr>
              <w:pStyle w:val="95"/>
              <w:rPr>
                <w:rFonts w:hint="eastAsia" w:ascii="仿宋" w:hAnsi="仿宋" w:eastAsia="仿宋" w:cs="仿宋"/>
                <w:color w:val="auto"/>
                <w:sz w:val="24"/>
                <w:szCs w:val="24"/>
                <w:highlight w:val="none"/>
              </w:rPr>
            </w:pPr>
          </w:p>
        </w:tc>
        <w:tc>
          <w:tcPr>
            <w:tcW w:w="1739" w:type="dxa"/>
            <w:tcBorders>
              <w:top w:val="single" w:color="auto" w:sz="6" w:space="0"/>
              <w:left w:val="single" w:color="auto" w:sz="6" w:space="0"/>
              <w:bottom w:val="single" w:color="auto" w:sz="6" w:space="0"/>
              <w:right w:val="single" w:color="auto" w:sz="6" w:space="0"/>
            </w:tcBorders>
            <w:noWrap w:val="0"/>
            <w:vAlign w:val="top"/>
          </w:tcPr>
          <w:p w14:paraId="7BE5412C">
            <w:pPr>
              <w:pStyle w:val="95"/>
              <w:rPr>
                <w:rFonts w:hint="eastAsia" w:ascii="仿宋" w:hAnsi="仿宋" w:eastAsia="仿宋" w:cs="仿宋"/>
                <w:color w:val="auto"/>
                <w:sz w:val="24"/>
                <w:szCs w:val="24"/>
                <w:highlight w:val="none"/>
              </w:rPr>
            </w:pPr>
          </w:p>
        </w:tc>
        <w:tc>
          <w:tcPr>
            <w:tcW w:w="1652" w:type="dxa"/>
            <w:tcBorders>
              <w:top w:val="single" w:color="auto" w:sz="6" w:space="0"/>
              <w:left w:val="single" w:color="auto" w:sz="6" w:space="0"/>
              <w:bottom w:val="single" w:color="auto" w:sz="6" w:space="0"/>
              <w:right w:val="single" w:color="auto" w:sz="6" w:space="0"/>
            </w:tcBorders>
            <w:noWrap w:val="0"/>
            <w:vAlign w:val="top"/>
          </w:tcPr>
          <w:p w14:paraId="244AE3B0">
            <w:pPr>
              <w:pStyle w:val="95"/>
              <w:rPr>
                <w:rFonts w:hint="eastAsia" w:ascii="仿宋" w:hAnsi="仿宋" w:eastAsia="仿宋" w:cs="仿宋"/>
                <w:color w:val="auto"/>
                <w:sz w:val="24"/>
                <w:szCs w:val="24"/>
                <w:highlight w:val="none"/>
              </w:rPr>
            </w:pPr>
          </w:p>
        </w:tc>
        <w:tc>
          <w:tcPr>
            <w:tcW w:w="1287" w:type="dxa"/>
            <w:tcBorders>
              <w:top w:val="single" w:color="auto" w:sz="6" w:space="0"/>
              <w:left w:val="single" w:color="auto" w:sz="6" w:space="0"/>
              <w:bottom w:val="single" w:color="auto" w:sz="6" w:space="0"/>
              <w:right w:val="single" w:color="auto" w:sz="6" w:space="0"/>
            </w:tcBorders>
            <w:noWrap w:val="0"/>
            <w:vAlign w:val="top"/>
          </w:tcPr>
          <w:p w14:paraId="2CF9B8A8">
            <w:pPr>
              <w:pStyle w:val="95"/>
              <w:rPr>
                <w:rFonts w:hint="eastAsia" w:ascii="仿宋" w:hAnsi="仿宋" w:eastAsia="仿宋" w:cs="仿宋"/>
                <w:color w:val="auto"/>
                <w:sz w:val="24"/>
                <w:szCs w:val="24"/>
                <w:highlight w:val="none"/>
              </w:rPr>
            </w:pPr>
          </w:p>
        </w:tc>
        <w:tc>
          <w:tcPr>
            <w:tcW w:w="1865" w:type="dxa"/>
            <w:tcBorders>
              <w:top w:val="single" w:color="auto" w:sz="6" w:space="0"/>
              <w:left w:val="single" w:color="auto" w:sz="6" w:space="0"/>
              <w:bottom w:val="single" w:color="auto" w:sz="6" w:space="0"/>
              <w:right w:val="single" w:color="auto" w:sz="6" w:space="0"/>
            </w:tcBorders>
            <w:noWrap w:val="0"/>
            <w:vAlign w:val="top"/>
          </w:tcPr>
          <w:p w14:paraId="50AF8105">
            <w:pPr>
              <w:pStyle w:val="95"/>
              <w:rPr>
                <w:rFonts w:hint="eastAsia" w:ascii="仿宋" w:hAnsi="仿宋" w:eastAsia="仿宋" w:cs="仿宋"/>
                <w:color w:val="auto"/>
                <w:sz w:val="24"/>
                <w:szCs w:val="24"/>
                <w:highlight w:val="none"/>
              </w:rPr>
            </w:pPr>
          </w:p>
        </w:tc>
        <w:tc>
          <w:tcPr>
            <w:tcW w:w="736" w:type="dxa"/>
            <w:tcBorders>
              <w:top w:val="single" w:color="auto" w:sz="6" w:space="0"/>
              <w:left w:val="single" w:color="auto" w:sz="6" w:space="0"/>
              <w:bottom w:val="single" w:color="auto" w:sz="6" w:space="0"/>
              <w:right w:val="single" w:color="auto" w:sz="6" w:space="0"/>
            </w:tcBorders>
            <w:noWrap w:val="0"/>
            <w:vAlign w:val="top"/>
          </w:tcPr>
          <w:p w14:paraId="1EEEF52F">
            <w:pPr>
              <w:pStyle w:val="95"/>
              <w:rPr>
                <w:rFonts w:hint="eastAsia" w:ascii="仿宋" w:hAnsi="仿宋" w:eastAsia="仿宋" w:cs="仿宋"/>
                <w:color w:val="auto"/>
                <w:sz w:val="24"/>
                <w:szCs w:val="24"/>
                <w:highlight w:val="none"/>
              </w:rPr>
            </w:pPr>
          </w:p>
        </w:tc>
      </w:tr>
      <w:tr w14:paraId="006AF1F9">
        <w:tblPrEx>
          <w:tblCellMar>
            <w:top w:w="0" w:type="dxa"/>
            <w:left w:w="108" w:type="dxa"/>
            <w:bottom w:w="0" w:type="dxa"/>
            <w:right w:w="108" w:type="dxa"/>
          </w:tblCellMar>
        </w:tblPrEx>
        <w:trPr>
          <w:trHeight w:val="469" w:hRule="atLeast"/>
          <w:jc w:val="center"/>
        </w:trPr>
        <w:tc>
          <w:tcPr>
            <w:tcW w:w="724" w:type="dxa"/>
            <w:tcBorders>
              <w:top w:val="single" w:color="auto" w:sz="6" w:space="0"/>
              <w:left w:val="single" w:color="auto" w:sz="6" w:space="0"/>
              <w:bottom w:val="single" w:color="auto" w:sz="6" w:space="0"/>
              <w:right w:val="single" w:color="auto" w:sz="6" w:space="0"/>
            </w:tcBorders>
            <w:noWrap w:val="0"/>
            <w:vAlign w:val="top"/>
          </w:tcPr>
          <w:p w14:paraId="75FA1968">
            <w:pPr>
              <w:pStyle w:val="95"/>
              <w:rPr>
                <w:rFonts w:hint="eastAsia" w:ascii="仿宋" w:hAnsi="仿宋" w:eastAsia="仿宋" w:cs="仿宋"/>
                <w:color w:val="auto"/>
                <w:sz w:val="24"/>
                <w:szCs w:val="24"/>
                <w:highlight w:val="none"/>
              </w:rPr>
            </w:pPr>
          </w:p>
        </w:tc>
        <w:tc>
          <w:tcPr>
            <w:tcW w:w="1633" w:type="dxa"/>
            <w:tcBorders>
              <w:top w:val="single" w:color="auto" w:sz="6" w:space="0"/>
              <w:left w:val="single" w:color="auto" w:sz="6" w:space="0"/>
              <w:bottom w:val="single" w:color="auto" w:sz="6" w:space="0"/>
              <w:right w:val="single" w:color="auto" w:sz="6" w:space="0"/>
            </w:tcBorders>
            <w:noWrap w:val="0"/>
            <w:vAlign w:val="top"/>
          </w:tcPr>
          <w:p w14:paraId="0C280D54">
            <w:pPr>
              <w:pStyle w:val="95"/>
              <w:rPr>
                <w:rFonts w:hint="eastAsia" w:ascii="仿宋" w:hAnsi="仿宋" w:eastAsia="仿宋" w:cs="仿宋"/>
                <w:color w:val="auto"/>
                <w:sz w:val="24"/>
                <w:szCs w:val="24"/>
                <w:highlight w:val="none"/>
              </w:rPr>
            </w:pPr>
          </w:p>
        </w:tc>
        <w:tc>
          <w:tcPr>
            <w:tcW w:w="1739" w:type="dxa"/>
            <w:tcBorders>
              <w:top w:val="single" w:color="auto" w:sz="6" w:space="0"/>
              <w:left w:val="single" w:color="auto" w:sz="6" w:space="0"/>
              <w:bottom w:val="single" w:color="auto" w:sz="6" w:space="0"/>
              <w:right w:val="single" w:color="auto" w:sz="6" w:space="0"/>
            </w:tcBorders>
            <w:noWrap w:val="0"/>
            <w:vAlign w:val="top"/>
          </w:tcPr>
          <w:p w14:paraId="0C64114C">
            <w:pPr>
              <w:pStyle w:val="95"/>
              <w:rPr>
                <w:rFonts w:hint="eastAsia" w:ascii="仿宋" w:hAnsi="仿宋" w:eastAsia="仿宋" w:cs="仿宋"/>
                <w:color w:val="auto"/>
                <w:sz w:val="24"/>
                <w:szCs w:val="24"/>
                <w:highlight w:val="none"/>
              </w:rPr>
            </w:pPr>
          </w:p>
        </w:tc>
        <w:tc>
          <w:tcPr>
            <w:tcW w:w="1652" w:type="dxa"/>
            <w:tcBorders>
              <w:top w:val="single" w:color="auto" w:sz="6" w:space="0"/>
              <w:left w:val="single" w:color="auto" w:sz="6" w:space="0"/>
              <w:bottom w:val="single" w:color="auto" w:sz="6" w:space="0"/>
              <w:right w:val="single" w:color="auto" w:sz="6" w:space="0"/>
            </w:tcBorders>
            <w:noWrap w:val="0"/>
            <w:vAlign w:val="top"/>
          </w:tcPr>
          <w:p w14:paraId="667001A8">
            <w:pPr>
              <w:pStyle w:val="95"/>
              <w:rPr>
                <w:rFonts w:hint="eastAsia" w:ascii="仿宋" w:hAnsi="仿宋" w:eastAsia="仿宋" w:cs="仿宋"/>
                <w:color w:val="auto"/>
                <w:sz w:val="24"/>
                <w:szCs w:val="24"/>
                <w:highlight w:val="none"/>
              </w:rPr>
            </w:pPr>
          </w:p>
        </w:tc>
        <w:tc>
          <w:tcPr>
            <w:tcW w:w="1287" w:type="dxa"/>
            <w:tcBorders>
              <w:top w:val="single" w:color="auto" w:sz="6" w:space="0"/>
              <w:left w:val="single" w:color="auto" w:sz="6" w:space="0"/>
              <w:bottom w:val="single" w:color="auto" w:sz="6" w:space="0"/>
              <w:right w:val="single" w:color="auto" w:sz="6" w:space="0"/>
            </w:tcBorders>
            <w:noWrap w:val="0"/>
            <w:vAlign w:val="top"/>
          </w:tcPr>
          <w:p w14:paraId="0988FFE5">
            <w:pPr>
              <w:pStyle w:val="95"/>
              <w:rPr>
                <w:rFonts w:hint="eastAsia" w:ascii="仿宋" w:hAnsi="仿宋" w:eastAsia="仿宋" w:cs="仿宋"/>
                <w:color w:val="auto"/>
                <w:sz w:val="24"/>
                <w:szCs w:val="24"/>
                <w:highlight w:val="none"/>
              </w:rPr>
            </w:pPr>
          </w:p>
        </w:tc>
        <w:tc>
          <w:tcPr>
            <w:tcW w:w="1865" w:type="dxa"/>
            <w:tcBorders>
              <w:top w:val="single" w:color="auto" w:sz="6" w:space="0"/>
              <w:left w:val="single" w:color="auto" w:sz="6" w:space="0"/>
              <w:bottom w:val="single" w:color="auto" w:sz="6" w:space="0"/>
              <w:right w:val="single" w:color="auto" w:sz="6" w:space="0"/>
            </w:tcBorders>
            <w:noWrap w:val="0"/>
            <w:vAlign w:val="top"/>
          </w:tcPr>
          <w:p w14:paraId="7F9B4BA7">
            <w:pPr>
              <w:pStyle w:val="95"/>
              <w:rPr>
                <w:rFonts w:hint="eastAsia" w:ascii="仿宋" w:hAnsi="仿宋" w:eastAsia="仿宋" w:cs="仿宋"/>
                <w:color w:val="auto"/>
                <w:sz w:val="24"/>
                <w:szCs w:val="24"/>
                <w:highlight w:val="none"/>
              </w:rPr>
            </w:pPr>
          </w:p>
        </w:tc>
        <w:tc>
          <w:tcPr>
            <w:tcW w:w="736" w:type="dxa"/>
            <w:tcBorders>
              <w:top w:val="single" w:color="auto" w:sz="6" w:space="0"/>
              <w:left w:val="single" w:color="auto" w:sz="6" w:space="0"/>
              <w:bottom w:val="single" w:color="auto" w:sz="6" w:space="0"/>
              <w:right w:val="single" w:color="auto" w:sz="6" w:space="0"/>
            </w:tcBorders>
            <w:noWrap w:val="0"/>
            <w:vAlign w:val="top"/>
          </w:tcPr>
          <w:p w14:paraId="2381C6BE">
            <w:pPr>
              <w:pStyle w:val="95"/>
              <w:rPr>
                <w:rFonts w:hint="eastAsia" w:ascii="仿宋" w:hAnsi="仿宋" w:eastAsia="仿宋" w:cs="仿宋"/>
                <w:color w:val="auto"/>
                <w:sz w:val="24"/>
                <w:szCs w:val="24"/>
                <w:highlight w:val="none"/>
              </w:rPr>
            </w:pPr>
          </w:p>
        </w:tc>
      </w:tr>
      <w:tr w14:paraId="19AAFF98">
        <w:tblPrEx>
          <w:tblCellMar>
            <w:top w:w="0" w:type="dxa"/>
            <w:left w:w="108" w:type="dxa"/>
            <w:bottom w:w="0" w:type="dxa"/>
            <w:right w:w="108" w:type="dxa"/>
          </w:tblCellMar>
        </w:tblPrEx>
        <w:trPr>
          <w:trHeight w:val="469" w:hRule="atLeast"/>
          <w:jc w:val="center"/>
        </w:trPr>
        <w:tc>
          <w:tcPr>
            <w:tcW w:w="724" w:type="dxa"/>
            <w:tcBorders>
              <w:top w:val="single" w:color="auto" w:sz="6" w:space="0"/>
              <w:left w:val="single" w:color="auto" w:sz="6" w:space="0"/>
              <w:bottom w:val="single" w:color="auto" w:sz="6" w:space="0"/>
              <w:right w:val="single" w:color="auto" w:sz="6" w:space="0"/>
            </w:tcBorders>
            <w:noWrap w:val="0"/>
            <w:vAlign w:val="top"/>
          </w:tcPr>
          <w:p w14:paraId="232F175E">
            <w:pPr>
              <w:pStyle w:val="95"/>
              <w:rPr>
                <w:rFonts w:hint="eastAsia" w:ascii="仿宋" w:hAnsi="仿宋" w:eastAsia="仿宋" w:cs="仿宋"/>
                <w:color w:val="auto"/>
                <w:sz w:val="24"/>
                <w:szCs w:val="24"/>
                <w:highlight w:val="none"/>
              </w:rPr>
            </w:pPr>
          </w:p>
        </w:tc>
        <w:tc>
          <w:tcPr>
            <w:tcW w:w="1633" w:type="dxa"/>
            <w:tcBorders>
              <w:top w:val="single" w:color="auto" w:sz="6" w:space="0"/>
              <w:left w:val="single" w:color="auto" w:sz="6" w:space="0"/>
              <w:bottom w:val="single" w:color="auto" w:sz="6" w:space="0"/>
              <w:right w:val="single" w:color="auto" w:sz="6" w:space="0"/>
            </w:tcBorders>
            <w:noWrap w:val="0"/>
            <w:vAlign w:val="top"/>
          </w:tcPr>
          <w:p w14:paraId="4984DC4F">
            <w:pPr>
              <w:pStyle w:val="95"/>
              <w:rPr>
                <w:rFonts w:hint="eastAsia" w:ascii="仿宋" w:hAnsi="仿宋" w:eastAsia="仿宋" w:cs="仿宋"/>
                <w:color w:val="auto"/>
                <w:sz w:val="24"/>
                <w:szCs w:val="24"/>
                <w:highlight w:val="none"/>
              </w:rPr>
            </w:pPr>
          </w:p>
        </w:tc>
        <w:tc>
          <w:tcPr>
            <w:tcW w:w="1739" w:type="dxa"/>
            <w:tcBorders>
              <w:top w:val="single" w:color="auto" w:sz="6" w:space="0"/>
              <w:left w:val="single" w:color="auto" w:sz="6" w:space="0"/>
              <w:bottom w:val="single" w:color="auto" w:sz="6" w:space="0"/>
              <w:right w:val="single" w:color="auto" w:sz="6" w:space="0"/>
            </w:tcBorders>
            <w:noWrap w:val="0"/>
            <w:vAlign w:val="top"/>
          </w:tcPr>
          <w:p w14:paraId="02F19B34">
            <w:pPr>
              <w:pStyle w:val="95"/>
              <w:rPr>
                <w:rFonts w:hint="eastAsia" w:ascii="仿宋" w:hAnsi="仿宋" w:eastAsia="仿宋" w:cs="仿宋"/>
                <w:color w:val="auto"/>
                <w:sz w:val="24"/>
                <w:szCs w:val="24"/>
                <w:highlight w:val="none"/>
              </w:rPr>
            </w:pPr>
          </w:p>
        </w:tc>
        <w:tc>
          <w:tcPr>
            <w:tcW w:w="1652" w:type="dxa"/>
            <w:tcBorders>
              <w:top w:val="single" w:color="auto" w:sz="6" w:space="0"/>
              <w:left w:val="single" w:color="auto" w:sz="6" w:space="0"/>
              <w:bottom w:val="single" w:color="auto" w:sz="6" w:space="0"/>
              <w:right w:val="single" w:color="auto" w:sz="6" w:space="0"/>
            </w:tcBorders>
            <w:noWrap w:val="0"/>
            <w:vAlign w:val="top"/>
          </w:tcPr>
          <w:p w14:paraId="4113D768">
            <w:pPr>
              <w:pStyle w:val="95"/>
              <w:rPr>
                <w:rFonts w:hint="eastAsia" w:ascii="仿宋" w:hAnsi="仿宋" w:eastAsia="仿宋" w:cs="仿宋"/>
                <w:color w:val="auto"/>
                <w:sz w:val="24"/>
                <w:szCs w:val="24"/>
                <w:highlight w:val="none"/>
              </w:rPr>
            </w:pPr>
          </w:p>
        </w:tc>
        <w:tc>
          <w:tcPr>
            <w:tcW w:w="1287" w:type="dxa"/>
            <w:tcBorders>
              <w:top w:val="single" w:color="auto" w:sz="6" w:space="0"/>
              <w:left w:val="single" w:color="auto" w:sz="6" w:space="0"/>
              <w:bottom w:val="single" w:color="auto" w:sz="6" w:space="0"/>
              <w:right w:val="single" w:color="auto" w:sz="6" w:space="0"/>
            </w:tcBorders>
            <w:noWrap w:val="0"/>
            <w:vAlign w:val="top"/>
          </w:tcPr>
          <w:p w14:paraId="68229987">
            <w:pPr>
              <w:pStyle w:val="95"/>
              <w:rPr>
                <w:rFonts w:hint="eastAsia" w:ascii="仿宋" w:hAnsi="仿宋" w:eastAsia="仿宋" w:cs="仿宋"/>
                <w:color w:val="auto"/>
                <w:sz w:val="24"/>
                <w:szCs w:val="24"/>
                <w:highlight w:val="none"/>
              </w:rPr>
            </w:pPr>
          </w:p>
        </w:tc>
        <w:tc>
          <w:tcPr>
            <w:tcW w:w="1865" w:type="dxa"/>
            <w:tcBorders>
              <w:top w:val="single" w:color="auto" w:sz="6" w:space="0"/>
              <w:left w:val="single" w:color="auto" w:sz="6" w:space="0"/>
              <w:bottom w:val="single" w:color="auto" w:sz="6" w:space="0"/>
              <w:right w:val="single" w:color="auto" w:sz="6" w:space="0"/>
            </w:tcBorders>
            <w:noWrap w:val="0"/>
            <w:vAlign w:val="top"/>
          </w:tcPr>
          <w:p w14:paraId="478FD55B">
            <w:pPr>
              <w:pStyle w:val="95"/>
              <w:rPr>
                <w:rFonts w:hint="eastAsia" w:ascii="仿宋" w:hAnsi="仿宋" w:eastAsia="仿宋" w:cs="仿宋"/>
                <w:color w:val="auto"/>
                <w:sz w:val="24"/>
                <w:szCs w:val="24"/>
                <w:highlight w:val="none"/>
              </w:rPr>
            </w:pPr>
          </w:p>
        </w:tc>
        <w:tc>
          <w:tcPr>
            <w:tcW w:w="736" w:type="dxa"/>
            <w:tcBorders>
              <w:top w:val="single" w:color="auto" w:sz="6" w:space="0"/>
              <w:left w:val="single" w:color="auto" w:sz="6" w:space="0"/>
              <w:bottom w:val="single" w:color="auto" w:sz="6" w:space="0"/>
              <w:right w:val="single" w:color="auto" w:sz="6" w:space="0"/>
            </w:tcBorders>
            <w:noWrap w:val="0"/>
            <w:vAlign w:val="top"/>
          </w:tcPr>
          <w:p w14:paraId="504204D9">
            <w:pPr>
              <w:pStyle w:val="95"/>
              <w:rPr>
                <w:rFonts w:hint="eastAsia" w:ascii="仿宋" w:hAnsi="仿宋" w:eastAsia="仿宋" w:cs="仿宋"/>
                <w:color w:val="auto"/>
                <w:sz w:val="24"/>
                <w:szCs w:val="24"/>
                <w:highlight w:val="none"/>
              </w:rPr>
            </w:pPr>
          </w:p>
        </w:tc>
      </w:tr>
      <w:tr w14:paraId="2F198546">
        <w:tblPrEx>
          <w:tblCellMar>
            <w:top w:w="0" w:type="dxa"/>
            <w:left w:w="108" w:type="dxa"/>
            <w:bottom w:w="0" w:type="dxa"/>
            <w:right w:w="108" w:type="dxa"/>
          </w:tblCellMar>
        </w:tblPrEx>
        <w:trPr>
          <w:trHeight w:val="469" w:hRule="atLeast"/>
          <w:jc w:val="center"/>
        </w:trPr>
        <w:tc>
          <w:tcPr>
            <w:tcW w:w="724" w:type="dxa"/>
            <w:tcBorders>
              <w:top w:val="single" w:color="auto" w:sz="6" w:space="0"/>
              <w:left w:val="single" w:color="auto" w:sz="6" w:space="0"/>
              <w:bottom w:val="single" w:color="auto" w:sz="6" w:space="0"/>
              <w:right w:val="single" w:color="auto" w:sz="6" w:space="0"/>
            </w:tcBorders>
            <w:noWrap w:val="0"/>
            <w:vAlign w:val="top"/>
          </w:tcPr>
          <w:p w14:paraId="541BF068">
            <w:pPr>
              <w:pStyle w:val="95"/>
              <w:rPr>
                <w:rFonts w:hint="eastAsia" w:ascii="仿宋" w:hAnsi="仿宋" w:eastAsia="仿宋" w:cs="仿宋"/>
                <w:color w:val="auto"/>
                <w:sz w:val="24"/>
                <w:szCs w:val="24"/>
                <w:highlight w:val="none"/>
              </w:rPr>
            </w:pPr>
          </w:p>
        </w:tc>
        <w:tc>
          <w:tcPr>
            <w:tcW w:w="1633" w:type="dxa"/>
            <w:tcBorders>
              <w:top w:val="single" w:color="auto" w:sz="6" w:space="0"/>
              <w:left w:val="single" w:color="auto" w:sz="6" w:space="0"/>
              <w:bottom w:val="single" w:color="auto" w:sz="6" w:space="0"/>
              <w:right w:val="single" w:color="auto" w:sz="6" w:space="0"/>
            </w:tcBorders>
            <w:noWrap w:val="0"/>
            <w:vAlign w:val="top"/>
          </w:tcPr>
          <w:p w14:paraId="57B10C04">
            <w:pPr>
              <w:pStyle w:val="95"/>
              <w:rPr>
                <w:rFonts w:hint="eastAsia" w:ascii="仿宋" w:hAnsi="仿宋" w:eastAsia="仿宋" w:cs="仿宋"/>
                <w:color w:val="auto"/>
                <w:sz w:val="24"/>
                <w:szCs w:val="24"/>
                <w:highlight w:val="none"/>
              </w:rPr>
            </w:pPr>
          </w:p>
        </w:tc>
        <w:tc>
          <w:tcPr>
            <w:tcW w:w="1739" w:type="dxa"/>
            <w:tcBorders>
              <w:top w:val="single" w:color="auto" w:sz="6" w:space="0"/>
              <w:left w:val="single" w:color="auto" w:sz="6" w:space="0"/>
              <w:bottom w:val="single" w:color="auto" w:sz="6" w:space="0"/>
              <w:right w:val="single" w:color="auto" w:sz="6" w:space="0"/>
            </w:tcBorders>
            <w:noWrap w:val="0"/>
            <w:vAlign w:val="top"/>
          </w:tcPr>
          <w:p w14:paraId="35C8F513">
            <w:pPr>
              <w:pStyle w:val="95"/>
              <w:rPr>
                <w:rFonts w:hint="eastAsia" w:ascii="仿宋" w:hAnsi="仿宋" w:eastAsia="仿宋" w:cs="仿宋"/>
                <w:color w:val="auto"/>
                <w:sz w:val="24"/>
                <w:szCs w:val="24"/>
                <w:highlight w:val="none"/>
              </w:rPr>
            </w:pPr>
          </w:p>
        </w:tc>
        <w:tc>
          <w:tcPr>
            <w:tcW w:w="1652" w:type="dxa"/>
            <w:tcBorders>
              <w:top w:val="single" w:color="auto" w:sz="6" w:space="0"/>
              <w:left w:val="single" w:color="auto" w:sz="6" w:space="0"/>
              <w:bottom w:val="single" w:color="auto" w:sz="6" w:space="0"/>
              <w:right w:val="single" w:color="auto" w:sz="6" w:space="0"/>
            </w:tcBorders>
            <w:noWrap w:val="0"/>
            <w:vAlign w:val="top"/>
          </w:tcPr>
          <w:p w14:paraId="36CB4CCF">
            <w:pPr>
              <w:pStyle w:val="95"/>
              <w:rPr>
                <w:rFonts w:hint="eastAsia" w:ascii="仿宋" w:hAnsi="仿宋" w:eastAsia="仿宋" w:cs="仿宋"/>
                <w:color w:val="auto"/>
                <w:sz w:val="24"/>
                <w:szCs w:val="24"/>
                <w:highlight w:val="none"/>
              </w:rPr>
            </w:pPr>
          </w:p>
        </w:tc>
        <w:tc>
          <w:tcPr>
            <w:tcW w:w="1287" w:type="dxa"/>
            <w:tcBorders>
              <w:top w:val="single" w:color="auto" w:sz="6" w:space="0"/>
              <w:left w:val="single" w:color="auto" w:sz="6" w:space="0"/>
              <w:bottom w:val="single" w:color="auto" w:sz="6" w:space="0"/>
              <w:right w:val="single" w:color="auto" w:sz="6" w:space="0"/>
            </w:tcBorders>
            <w:noWrap w:val="0"/>
            <w:vAlign w:val="top"/>
          </w:tcPr>
          <w:p w14:paraId="7D2B4995">
            <w:pPr>
              <w:pStyle w:val="95"/>
              <w:rPr>
                <w:rFonts w:hint="eastAsia" w:ascii="仿宋" w:hAnsi="仿宋" w:eastAsia="仿宋" w:cs="仿宋"/>
                <w:color w:val="auto"/>
                <w:sz w:val="24"/>
                <w:szCs w:val="24"/>
                <w:highlight w:val="none"/>
              </w:rPr>
            </w:pPr>
          </w:p>
        </w:tc>
        <w:tc>
          <w:tcPr>
            <w:tcW w:w="1865" w:type="dxa"/>
            <w:tcBorders>
              <w:top w:val="single" w:color="auto" w:sz="6" w:space="0"/>
              <w:left w:val="single" w:color="auto" w:sz="6" w:space="0"/>
              <w:bottom w:val="single" w:color="auto" w:sz="6" w:space="0"/>
              <w:right w:val="single" w:color="auto" w:sz="6" w:space="0"/>
            </w:tcBorders>
            <w:noWrap w:val="0"/>
            <w:vAlign w:val="top"/>
          </w:tcPr>
          <w:p w14:paraId="197312F8">
            <w:pPr>
              <w:pStyle w:val="95"/>
              <w:rPr>
                <w:rFonts w:hint="eastAsia" w:ascii="仿宋" w:hAnsi="仿宋" w:eastAsia="仿宋" w:cs="仿宋"/>
                <w:color w:val="auto"/>
                <w:sz w:val="24"/>
                <w:szCs w:val="24"/>
                <w:highlight w:val="none"/>
              </w:rPr>
            </w:pPr>
          </w:p>
        </w:tc>
        <w:tc>
          <w:tcPr>
            <w:tcW w:w="736" w:type="dxa"/>
            <w:tcBorders>
              <w:top w:val="single" w:color="auto" w:sz="6" w:space="0"/>
              <w:left w:val="single" w:color="auto" w:sz="6" w:space="0"/>
              <w:bottom w:val="single" w:color="auto" w:sz="6" w:space="0"/>
              <w:right w:val="single" w:color="auto" w:sz="6" w:space="0"/>
            </w:tcBorders>
            <w:noWrap w:val="0"/>
            <w:vAlign w:val="top"/>
          </w:tcPr>
          <w:p w14:paraId="2B5CA68F">
            <w:pPr>
              <w:pStyle w:val="95"/>
              <w:rPr>
                <w:rFonts w:hint="eastAsia" w:ascii="仿宋" w:hAnsi="仿宋" w:eastAsia="仿宋" w:cs="仿宋"/>
                <w:color w:val="auto"/>
                <w:sz w:val="24"/>
                <w:szCs w:val="24"/>
                <w:highlight w:val="none"/>
              </w:rPr>
            </w:pPr>
          </w:p>
        </w:tc>
      </w:tr>
      <w:tr w14:paraId="4092F106">
        <w:tblPrEx>
          <w:tblCellMar>
            <w:top w:w="0" w:type="dxa"/>
            <w:left w:w="108" w:type="dxa"/>
            <w:bottom w:w="0" w:type="dxa"/>
            <w:right w:w="108" w:type="dxa"/>
          </w:tblCellMar>
        </w:tblPrEx>
        <w:trPr>
          <w:trHeight w:val="469" w:hRule="atLeast"/>
          <w:jc w:val="center"/>
        </w:trPr>
        <w:tc>
          <w:tcPr>
            <w:tcW w:w="724" w:type="dxa"/>
            <w:tcBorders>
              <w:top w:val="single" w:color="auto" w:sz="6" w:space="0"/>
              <w:left w:val="single" w:color="auto" w:sz="6" w:space="0"/>
              <w:bottom w:val="single" w:color="auto" w:sz="6" w:space="0"/>
              <w:right w:val="single" w:color="auto" w:sz="6" w:space="0"/>
            </w:tcBorders>
            <w:noWrap w:val="0"/>
            <w:vAlign w:val="top"/>
          </w:tcPr>
          <w:p w14:paraId="5F3F86C0">
            <w:pPr>
              <w:pStyle w:val="95"/>
              <w:rPr>
                <w:rFonts w:hint="eastAsia" w:ascii="仿宋" w:hAnsi="仿宋" w:eastAsia="仿宋" w:cs="仿宋"/>
                <w:color w:val="auto"/>
                <w:sz w:val="24"/>
                <w:szCs w:val="24"/>
                <w:highlight w:val="none"/>
              </w:rPr>
            </w:pPr>
          </w:p>
        </w:tc>
        <w:tc>
          <w:tcPr>
            <w:tcW w:w="1633" w:type="dxa"/>
            <w:tcBorders>
              <w:top w:val="single" w:color="auto" w:sz="6" w:space="0"/>
              <w:left w:val="single" w:color="auto" w:sz="6" w:space="0"/>
              <w:bottom w:val="single" w:color="auto" w:sz="6" w:space="0"/>
              <w:right w:val="single" w:color="auto" w:sz="6" w:space="0"/>
            </w:tcBorders>
            <w:noWrap w:val="0"/>
            <w:vAlign w:val="top"/>
          </w:tcPr>
          <w:p w14:paraId="0698B2CD">
            <w:pPr>
              <w:pStyle w:val="95"/>
              <w:rPr>
                <w:rFonts w:hint="eastAsia" w:ascii="仿宋" w:hAnsi="仿宋" w:eastAsia="仿宋" w:cs="仿宋"/>
                <w:color w:val="auto"/>
                <w:sz w:val="24"/>
                <w:szCs w:val="24"/>
                <w:highlight w:val="none"/>
              </w:rPr>
            </w:pPr>
          </w:p>
        </w:tc>
        <w:tc>
          <w:tcPr>
            <w:tcW w:w="1739" w:type="dxa"/>
            <w:tcBorders>
              <w:top w:val="single" w:color="auto" w:sz="6" w:space="0"/>
              <w:left w:val="single" w:color="auto" w:sz="6" w:space="0"/>
              <w:bottom w:val="single" w:color="auto" w:sz="6" w:space="0"/>
              <w:right w:val="single" w:color="auto" w:sz="6" w:space="0"/>
            </w:tcBorders>
            <w:noWrap w:val="0"/>
            <w:vAlign w:val="top"/>
          </w:tcPr>
          <w:p w14:paraId="1F6186A7">
            <w:pPr>
              <w:pStyle w:val="95"/>
              <w:rPr>
                <w:rFonts w:hint="eastAsia" w:ascii="仿宋" w:hAnsi="仿宋" w:eastAsia="仿宋" w:cs="仿宋"/>
                <w:color w:val="auto"/>
                <w:sz w:val="24"/>
                <w:szCs w:val="24"/>
                <w:highlight w:val="none"/>
              </w:rPr>
            </w:pPr>
          </w:p>
        </w:tc>
        <w:tc>
          <w:tcPr>
            <w:tcW w:w="1652" w:type="dxa"/>
            <w:tcBorders>
              <w:top w:val="single" w:color="auto" w:sz="6" w:space="0"/>
              <w:left w:val="single" w:color="auto" w:sz="6" w:space="0"/>
              <w:bottom w:val="single" w:color="auto" w:sz="6" w:space="0"/>
              <w:right w:val="single" w:color="auto" w:sz="6" w:space="0"/>
            </w:tcBorders>
            <w:noWrap w:val="0"/>
            <w:vAlign w:val="top"/>
          </w:tcPr>
          <w:p w14:paraId="2184F9A9">
            <w:pPr>
              <w:pStyle w:val="95"/>
              <w:rPr>
                <w:rFonts w:hint="eastAsia" w:ascii="仿宋" w:hAnsi="仿宋" w:eastAsia="仿宋" w:cs="仿宋"/>
                <w:color w:val="auto"/>
                <w:sz w:val="24"/>
                <w:szCs w:val="24"/>
                <w:highlight w:val="none"/>
              </w:rPr>
            </w:pPr>
          </w:p>
        </w:tc>
        <w:tc>
          <w:tcPr>
            <w:tcW w:w="1287" w:type="dxa"/>
            <w:tcBorders>
              <w:top w:val="single" w:color="auto" w:sz="6" w:space="0"/>
              <w:left w:val="single" w:color="auto" w:sz="6" w:space="0"/>
              <w:bottom w:val="single" w:color="auto" w:sz="6" w:space="0"/>
              <w:right w:val="single" w:color="auto" w:sz="6" w:space="0"/>
            </w:tcBorders>
            <w:noWrap w:val="0"/>
            <w:vAlign w:val="top"/>
          </w:tcPr>
          <w:p w14:paraId="254A0CD3">
            <w:pPr>
              <w:pStyle w:val="95"/>
              <w:rPr>
                <w:rFonts w:hint="eastAsia" w:ascii="仿宋" w:hAnsi="仿宋" w:eastAsia="仿宋" w:cs="仿宋"/>
                <w:color w:val="auto"/>
                <w:sz w:val="24"/>
                <w:szCs w:val="24"/>
                <w:highlight w:val="none"/>
              </w:rPr>
            </w:pPr>
          </w:p>
        </w:tc>
        <w:tc>
          <w:tcPr>
            <w:tcW w:w="1865" w:type="dxa"/>
            <w:tcBorders>
              <w:top w:val="single" w:color="auto" w:sz="6" w:space="0"/>
              <w:left w:val="single" w:color="auto" w:sz="6" w:space="0"/>
              <w:bottom w:val="single" w:color="auto" w:sz="6" w:space="0"/>
              <w:right w:val="single" w:color="auto" w:sz="6" w:space="0"/>
            </w:tcBorders>
            <w:noWrap w:val="0"/>
            <w:vAlign w:val="top"/>
          </w:tcPr>
          <w:p w14:paraId="721ADC74">
            <w:pPr>
              <w:pStyle w:val="95"/>
              <w:rPr>
                <w:rFonts w:hint="eastAsia" w:ascii="仿宋" w:hAnsi="仿宋" w:eastAsia="仿宋" w:cs="仿宋"/>
                <w:color w:val="auto"/>
                <w:sz w:val="24"/>
                <w:szCs w:val="24"/>
                <w:highlight w:val="none"/>
              </w:rPr>
            </w:pPr>
          </w:p>
        </w:tc>
        <w:tc>
          <w:tcPr>
            <w:tcW w:w="736" w:type="dxa"/>
            <w:tcBorders>
              <w:top w:val="single" w:color="auto" w:sz="6" w:space="0"/>
              <w:left w:val="single" w:color="auto" w:sz="6" w:space="0"/>
              <w:bottom w:val="single" w:color="auto" w:sz="6" w:space="0"/>
              <w:right w:val="single" w:color="auto" w:sz="6" w:space="0"/>
            </w:tcBorders>
            <w:noWrap w:val="0"/>
            <w:vAlign w:val="top"/>
          </w:tcPr>
          <w:p w14:paraId="735853E0">
            <w:pPr>
              <w:pStyle w:val="95"/>
              <w:rPr>
                <w:rFonts w:hint="eastAsia" w:ascii="仿宋" w:hAnsi="仿宋" w:eastAsia="仿宋" w:cs="仿宋"/>
                <w:color w:val="auto"/>
                <w:sz w:val="24"/>
                <w:szCs w:val="24"/>
                <w:highlight w:val="none"/>
              </w:rPr>
            </w:pPr>
          </w:p>
        </w:tc>
      </w:tr>
      <w:tr w14:paraId="5588C5C8">
        <w:tblPrEx>
          <w:tblCellMar>
            <w:top w:w="0" w:type="dxa"/>
            <w:left w:w="108" w:type="dxa"/>
            <w:bottom w:w="0" w:type="dxa"/>
            <w:right w:w="108" w:type="dxa"/>
          </w:tblCellMar>
        </w:tblPrEx>
        <w:trPr>
          <w:trHeight w:val="469" w:hRule="atLeast"/>
          <w:jc w:val="center"/>
        </w:trPr>
        <w:tc>
          <w:tcPr>
            <w:tcW w:w="724" w:type="dxa"/>
            <w:tcBorders>
              <w:top w:val="single" w:color="auto" w:sz="6" w:space="0"/>
              <w:left w:val="single" w:color="auto" w:sz="6" w:space="0"/>
              <w:bottom w:val="single" w:color="auto" w:sz="6" w:space="0"/>
              <w:right w:val="single" w:color="auto" w:sz="6" w:space="0"/>
            </w:tcBorders>
            <w:noWrap w:val="0"/>
            <w:vAlign w:val="top"/>
          </w:tcPr>
          <w:p w14:paraId="07EBE6FA">
            <w:pPr>
              <w:pStyle w:val="95"/>
              <w:rPr>
                <w:rFonts w:hint="eastAsia" w:ascii="仿宋" w:hAnsi="仿宋" w:eastAsia="仿宋" w:cs="仿宋"/>
                <w:color w:val="auto"/>
                <w:sz w:val="24"/>
                <w:szCs w:val="24"/>
                <w:highlight w:val="none"/>
              </w:rPr>
            </w:pPr>
          </w:p>
        </w:tc>
        <w:tc>
          <w:tcPr>
            <w:tcW w:w="1633" w:type="dxa"/>
            <w:tcBorders>
              <w:top w:val="single" w:color="auto" w:sz="6" w:space="0"/>
              <w:left w:val="single" w:color="auto" w:sz="6" w:space="0"/>
              <w:bottom w:val="single" w:color="auto" w:sz="6" w:space="0"/>
              <w:right w:val="single" w:color="auto" w:sz="6" w:space="0"/>
            </w:tcBorders>
            <w:noWrap w:val="0"/>
            <w:vAlign w:val="top"/>
          </w:tcPr>
          <w:p w14:paraId="060E0B2F">
            <w:pPr>
              <w:pStyle w:val="95"/>
              <w:rPr>
                <w:rFonts w:hint="eastAsia" w:ascii="仿宋" w:hAnsi="仿宋" w:eastAsia="仿宋" w:cs="仿宋"/>
                <w:color w:val="auto"/>
                <w:sz w:val="24"/>
                <w:szCs w:val="24"/>
                <w:highlight w:val="none"/>
              </w:rPr>
            </w:pPr>
          </w:p>
        </w:tc>
        <w:tc>
          <w:tcPr>
            <w:tcW w:w="1739" w:type="dxa"/>
            <w:tcBorders>
              <w:top w:val="single" w:color="auto" w:sz="6" w:space="0"/>
              <w:left w:val="single" w:color="auto" w:sz="6" w:space="0"/>
              <w:bottom w:val="single" w:color="auto" w:sz="6" w:space="0"/>
              <w:right w:val="single" w:color="auto" w:sz="6" w:space="0"/>
            </w:tcBorders>
            <w:noWrap w:val="0"/>
            <w:vAlign w:val="top"/>
          </w:tcPr>
          <w:p w14:paraId="67E6A0E8">
            <w:pPr>
              <w:pStyle w:val="95"/>
              <w:rPr>
                <w:rFonts w:hint="eastAsia" w:ascii="仿宋" w:hAnsi="仿宋" w:eastAsia="仿宋" w:cs="仿宋"/>
                <w:color w:val="auto"/>
                <w:sz w:val="24"/>
                <w:szCs w:val="24"/>
                <w:highlight w:val="none"/>
              </w:rPr>
            </w:pPr>
          </w:p>
        </w:tc>
        <w:tc>
          <w:tcPr>
            <w:tcW w:w="1652" w:type="dxa"/>
            <w:tcBorders>
              <w:top w:val="single" w:color="auto" w:sz="6" w:space="0"/>
              <w:left w:val="single" w:color="auto" w:sz="6" w:space="0"/>
              <w:bottom w:val="single" w:color="auto" w:sz="6" w:space="0"/>
              <w:right w:val="single" w:color="auto" w:sz="6" w:space="0"/>
            </w:tcBorders>
            <w:noWrap w:val="0"/>
            <w:vAlign w:val="top"/>
          </w:tcPr>
          <w:p w14:paraId="4A25893D">
            <w:pPr>
              <w:pStyle w:val="95"/>
              <w:rPr>
                <w:rFonts w:hint="eastAsia" w:ascii="仿宋" w:hAnsi="仿宋" w:eastAsia="仿宋" w:cs="仿宋"/>
                <w:color w:val="auto"/>
                <w:sz w:val="24"/>
                <w:szCs w:val="24"/>
                <w:highlight w:val="none"/>
              </w:rPr>
            </w:pPr>
          </w:p>
        </w:tc>
        <w:tc>
          <w:tcPr>
            <w:tcW w:w="1287" w:type="dxa"/>
            <w:tcBorders>
              <w:top w:val="single" w:color="auto" w:sz="6" w:space="0"/>
              <w:left w:val="single" w:color="auto" w:sz="6" w:space="0"/>
              <w:bottom w:val="single" w:color="auto" w:sz="6" w:space="0"/>
              <w:right w:val="single" w:color="auto" w:sz="6" w:space="0"/>
            </w:tcBorders>
            <w:noWrap w:val="0"/>
            <w:vAlign w:val="top"/>
          </w:tcPr>
          <w:p w14:paraId="1C2FB9FA">
            <w:pPr>
              <w:pStyle w:val="95"/>
              <w:rPr>
                <w:rFonts w:hint="eastAsia" w:ascii="仿宋" w:hAnsi="仿宋" w:eastAsia="仿宋" w:cs="仿宋"/>
                <w:color w:val="auto"/>
                <w:sz w:val="24"/>
                <w:szCs w:val="24"/>
                <w:highlight w:val="none"/>
              </w:rPr>
            </w:pPr>
          </w:p>
        </w:tc>
        <w:tc>
          <w:tcPr>
            <w:tcW w:w="1865" w:type="dxa"/>
            <w:tcBorders>
              <w:top w:val="single" w:color="auto" w:sz="6" w:space="0"/>
              <w:left w:val="single" w:color="auto" w:sz="6" w:space="0"/>
              <w:bottom w:val="single" w:color="auto" w:sz="6" w:space="0"/>
              <w:right w:val="single" w:color="auto" w:sz="6" w:space="0"/>
            </w:tcBorders>
            <w:noWrap w:val="0"/>
            <w:vAlign w:val="top"/>
          </w:tcPr>
          <w:p w14:paraId="1F4168D2">
            <w:pPr>
              <w:pStyle w:val="95"/>
              <w:rPr>
                <w:rFonts w:hint="eastAsia" w:ascii="仿宋" w:hAnsi="仿宋" w:eastAsia="仿宋" w:cs="仿宋"/>
                <w:color w:val="auto"/>
                <w:sz w:val="24"/>
                <w:szCs w:val="24"/>
                <w:highlight w:val="none"/>
              </w:rPr>
            </w:pPr>
          </w:p>
        </w:tc>
        <w:tc>
          <w:tcPr>
            <w:tcW w:w="736" w:type="dxa"/>
            <w:tcBorders>
              <w:top w:val="single" w:color="auto" w:sz="6" w:space="0"/>
              <w:left w:val="single" w:color="auto" w:sz="6" w:space="0"/>
              <w:bottom w:val="single" w:color="auto" w:sz="6" w:space="0"/>
              <w:right w:val="single" w:color="auto" w:sz="6" w:space="0"/>
            </w:tcBorders>
            <w:noWrap w:val="0"/>
            <w:vAlign w:val="top"/>
          </w:tcPr>
          <w:p w14:paraId="1BE746C0">
            <w:pPr>
              <w:pStyle w:val="95"/>
              <w:rPr>
                <w:rFonts w:hint="eastAsia" w:ascii="仿宋" w:hAnsi="仿宋" w:eastAsia="仿宋" w:cs="仿宋"/>
                <w:color w:val="auto"/>
                <w:sz w:val="24"/>
                <w:szCs w:val="24"/>
                <w:highlight w:val="none"/>
              </w:rPr>
            </w:pPr>
          </w:p>
        </w:tc>
      </w:tr>
      <w:tr w14:paraId="02D19E13">
        <w:tblPrEx>
          <w:tblCellMar>
            <w:top w:w="0" w:type="dxa"/>
            <w:left w:w="108" w:type="dxa"/>
            <w:bottom w:w="0" w:type="dxa"/>
            <w:right w:w="108" w:type="dxa"/>
          </w:tblCellMar>
        </w:tblPrEx>
        <w:trPr>
          <w:trHeight w:val="469" w:hRule="atLeast"/>
          <w:jc w:val="center"/>
        </w:trPr>
        <w:tc>
          <w:tcPr>
            <w:tcW w:w="724" w:type="dxa"/>
            <w:tcBorders>
              <w:top w:val="single" w:color="auto" w:sz="6" w:space="0"/>
              <w:left w:val="single" w:color="auto" w:sz="6" w:space="0"/>
              <w:bottom w:val="single" w:color="auto" w:sz="6" w:space="0"/>
              <w:right w:val="single" w:color="auto" w:sz="6" w:space="0"/>
            </w:tcBorders>
            <w:noWrap w:val="0"/>
            <w:vAlign w:val="top"/>
          </w:tcPr>
          <w:p w14:paraId="68FF58CF">
            <w:pPr>
              <w:pStyle w:val="95"/>
              <w:rPr>
                <w:rFonts w:hint="eastAsia" w:ascii="仿宋" w:hAnsi="仿宋" w:eastAsia="仿宋" w:cs="仿宋"/>
                <w:color w:val="auto"/>
                <w:sz w:val="24"/>
                <w:szCs w:val="24"/>
                <w:highlight w:val="none"/>
              </w:rPr>
            </w:pPr>
          </w:p>
        </w:tc>
        <w:tc>
          <w:tcPr>
            <w:tcW w:w="1633" w:type="dxa"/>
            <w:tcBorders>
              <w:top w:val="single" w:color="auto" w:sz="6" w:space="0"/>
              <w:left w:val="single" w:color="auto" w:sz="6" w:space="0"/>
              <w:bottom w:val="single" w:color="auto" w:sz="6" w:space="0"/>
              <w:right w:val="single" w:color="auto" w:sz="6" w:space="0"/>
            </w:tcBorders>
            <w:noWrap w:val="0"/>
            <w:vAlign w:val="top"/>
          </w:tcPr>
          <w:p w14:paraId="4A463C0F">
            <w:pPr>
              <w:pStyle w:val="95"/>
              <w:rPr>
                <w:rFonts w:hint="eastAsia" w:ascii="仿宋" w:hAnsi="仿宋" w:eastAsia="仿宋" w:cs="仿宋"/>
                <w:color w:val="auto"/>
                <w:sz w:val="24"/>
                <w:szCs w:val="24"/>
                <w:highlight w:val="none"/>
              </w:rPr>
            </w:pPr>
          </w:p>
        </w:tc>
        <w:tc>
          <w:tcPr>
            <w:tcW w:w="1739" w:type="dxa"/>
            <w:tcBorders>
              <w:top w:val="single" w:color="auto" w:sz="6" w:space="0"/>
              <w:left w:val="single" w:color="auto" w:sz="6" w:space="0"/>
              <w:bottom w:val="single" w:color="auto" w:sz="6" w:space="0"/>
              <w:right w:val="single" w:color="auto" w:sz="6" w:space="0"/>
            </w:tcBorders>
            <w:noWrap w:val="0"/>
            <w:vAlign w:val="top"/>
          </w:tcPr>
          <w:p w14:paraId="41DC689A">
            <w:pPr>
              <w:pStyle w:val="95"/>
              <w:rPr>
                <w:rFonts w:hint="eastAsia" w:ascii="仿宋" w:hAnsi="仿宋" w:eastAsia="仿宋" w:cs="仿宋"/>
                <w:color w:val="auto"/>
                <w:sz w:val="24"/>
                <w:szCs w:val="24"/>
                <w:highlight w:val="none"/>
              </w:rPr>
            </w:pPr>
          </w:p>
        </w:tc>
        <w:tc>
          <w:tcPr>
            <w:tcW w:w="1652" w:type="dxa"/>
            <w:tcBorders>
              <w:top w:val="single" w:color="auto" w:sz="6" w:space="0"/>
              <w:left w:val="single" w:color="auto" w:sz="6" w:space="0"/>
              <w:bottom w:val="single" w:color="auto" w:sz="6" w:space="0"/>
              <w:right w:val="single" w:color="auto" w:sz="6" w:space="0"/>
            </w:tcBorders>
            <w:noWrap w:val="0"/>
            <w:vAlign w:val="top"/>
          </w:tcPr>
          <w:p w14:paraId="49BC7521">
            <w:pPr>
              <w:pStyle w:val="95"/>
              <w:rPr>
                <w:rFonts w:hint="eastAsia" w:ascii="仿宋" w:hAnsi="仿宋" w:eastAsia="仿宋" w:cs="仿宋"/>
                <w:color w:val="auto"/>
                <w:sz w:val="24"/>
                <w:szCs w:val="24"/>
                <w:highlight w:val="none"/>
              </w:rPr>
            </w:pPr>
          </w:p>
        </w:tc>
        <w:tc>
          <w:tcPr>
            <w:tcW w:w="1287" w:type="dxa"/>
            <w:tcBorders>
              <w:top w:val="single" w:color="auto" w:sz="6" w:space="0"/>
              <w:left w:val="single" w:color="auto" w:sz="6" w:space="0"/>
              <w:bottom w:val="single" w:color="auto" w:sz="6" w:space="0"/>
              <w:right w:val="single" w:color="auto" w:sz="6" w:space="0"/>
            </w:tcBorders>
            <w:noWrap w:val="0"/>
            <w:vAlign w:val="top"/>
          </w:tcPr>
          <w:p w14:paraId="46C2673B">
            <w:pPr>
              <w:pStyle w:val="95"/>
              <w:rPr>
                <w:rFonts w:hint="eastAsia" w:ascii="仿宋" w:hAnsi="仿宋" w:eastAsia="仿宋" w:cs="仿宋"/>
                <w:color w:val="auto"/>
                <w:sz w:val="24"/>
                <w:szCs w:val="24"/>
                <w:highlight w:val="none"/>
              </w:rPr>
            </w:pPr>
          </w:p>
        </w:tc>
        <w:tc>
          <w:tcPr>
            <w:tcW w:w="1865" w:type="dxa"/>
            <w:tcBorders>
              <w:top w:val="single" w:color="auto" w:sz="6" w:space="0"/>
              <w:left w:val="single" w:color="auto" w:sz="6" w:space="0"/>
              <w:bottom w:val="single" w:color="auto" w:sz="6" w:space="0"/>
              <w:right w:val="single" w:color="auto" w:sz="6" w:space="0"/>
            </w:tcBorders>
            <w:noWrap w:val="0"/>
            <w:vAlign w:val="top"/>
          </w:tcPr>
          <w:p w14:paraId="0EC51451">
            <w:pPr>
              <w:pStyle w:val="95"/>
              <w:rPr>
                <w:rFonts w:hint="eastAsia" w:ascii="仿宋" w:hAnsi="仿宋" w:eastAsia="仿宋" w:cs="仿宋"/>
                <w:color w:val="auto"/>
                <w:sz w:val="24"/>
                <w:szCs w:val="24"/>
                <w:highlight w:val="none"/>
              </w:rPr>
            </w:pPr>
          </w:p>
        </w:tc>
        <w:tc>
          <w:tcPr>
            <w:tcW w:w="736" w:type="dxa"/>
            <w:tcBorders>
              <w:top w:val="single" w:color="auto" w:sz="6" w:space="0"/>
              <w:left w:val="single" w:color="auto" w:sz="6" w:space="0"/>
              <w:bottom w:val="single" w:color="auto" w:sz="6" w:space="0"/>
              <w:right w:val="single" w:color="auto" w:sz="6" w:space="0"/>
            </w:tcBorders>
            <w:noWrap w:val="0"/>
            <w:vAlign w:val="top"/>
          </w:tcPr>
          <w:p w14:paraId="07C371BB">
            <w:pPr>
              <w:pStyle w:val="95"/>
              <w:rPr>
                <w:rFonts w:hint="eastAsia" w:ascii="仿宋" w:hAnsi="仿宋" w:eastAsia="仿宋" w:cs="仿宋"/>
                <w:color w:val="auto"/>
                <w:sz w:val="24"/>
                <w:szCs w:val="24"/>
                <w:highlight w:val="none"/>
              </w:rPr>
            </w:pPr>
          </w:p>
        </w:tc>
      </w:tr>
      <w:tr w14:paraId="7E017878">
        <w:tblPrEx>
          <w:tblCellMar>
            <w:top w:w="0" w:type="dxa"/>
            <w:left w:w="108" w:type="dxa"/>
            <w:bottom w:w="0" w:type="dxa"/>
            <w:right w:w="108" w:type="dxa"/>
          </w:tblCellMar>
        </w:tblPrEx>
        <w:trPr>
          <w:trHeight w:val="469" w:hRule="atLeast"/>
          <w:jc w:val="center"/>
        </w:trPr>
        <w:tc>
          <w:tcPr>
            <w:tcW w:w="724" w:type="dxa"/>
            <w:tcBorders>
              <w:top w:val="single" w:color="auto" w:sz="6" w:space="0"/>
              <w:left w:val="single" w:color="auto" w:sz="6" w:space="0"/>
              <w:bottom w:val="single" w:color="auto" w:sz="6" w:space="0"/>
              <w:right w:val="single" w:color="auto" w:sz="6" w:space="0"/>
            </w:tcBorders>
            <w:noWrap w:val="0"/>
            <w:vAlign w:val="top"/>
          </w:tcPr>
          <w:p w14:paraId="02708FF6">
            <w:pPr>
              <w:pStyle w:val="95"/>
              <w:rPr>
                <w:rFonts w:hint="eastAsia" w:ascii="仿宋" w:hAnsi="仿宋" w:eastAsia="仿宋" w:cs="仿宋"/>
                <w:color w:val="auto"/>
                <w:sz w:val="24"/>
                <w:szCs w:val="24"/>
                <w:highlight w:val="none"/>
              </w:rPr>
            </w:pPr>
          </w:p>
        </w:tc>
        <w:tc>
          <w:tcPr>
            <w:tcW w:w="1633" w:type="dxa"/>
            <w:tcBorders>
              <w:top w:val="single" w:color="auto" w:sz="6" w:space="0"/>
              <w:left w:val="single" w:color="auto" w:sz="6" w:space="0"/>
              <w:bottom w:val="single" w:color="auto" w:sz="6" w:space="0"/>
              <w:right w:val="single" w:color="auto" w:sz="6" w:space="0"/>
            </w:tcBorders>
            <w:noWrap w:val="0"/>
            <w:vAlign w:val="top"/>
          </w:tcPr>
          <w:p w14:paraId="5754DC9C">
            <w:pPr>
              <w:pStyle w:val="95"/>
              <w:rPr>
                <w:rFonts w:hint="eastAsia" w:ascii="仿宋" w:hAnsi="仿宋" w:eastAsia="仿宋" w:cs="仿宋"/>
                <w:color w:val="auto"/>
                <w:sz w:val="24"/>
                <w:szCs w:val="24"/>
                <w:highlight w:val="none"/>
              </w:rPr>
            </w:pPr>
          </w:p>
        </w:tc>
        <w:tc>
          <w:tcPr>
            <w:tcW w:w="1739" w:type="dxa"/>
            <w:tcBorders>
              <w:top w:val="single" w:color="auto" w:sz="6" w:space="0"/>
              <w:left w:val="single" w:color="auto" w:sz="6" w:space="0"/>
              <w:bottom w:val="single" w:color="auto" w:sz="6" w:space="0"/>
              <w:right w:val="single" w:color="auto" w:sz="6" w:space="0"/>
            </w:tcBorders>
            <w:noWrap w:val="0"/>
            <w:vAlign w:val="top"/>
          </w:tcPr>
          <w:p w14:paraId="7B34CF6C">
            <w:pPr>
              <w:pStyle w:val="95"/>
              <w:rPr>
                <w:rFonts w:hint="eastAsia" w:ascii="仿宋" w:hAnsi="仿宋" w:eastAsia="仿宋" w:cs="仿宋"/>
                <w:color w:val="auto"/>
                <w:sz w:val="24"/>
                <w:szCs w:val="24"/>
                <w:highlight w:val="none"/>
              </w:rPr>
            </w:pPr>
          </w:p>
        </w:tc>
        <w:tc>
          <w:tcPr>
            <w:tcW w:w="1652" w:type="dxa"/>
            <w:tcBorders>
              <w:top w:val="single" w:color="auto" w:sz="6" w:space="0"/>
              <w:left w:val="single" w:color="auto" w:sz="6" w:space="0"/>
              <w:bottom w:val="single" w:color="auto" w:sz="6" w:space="0"/>
              <w:right w:val="single" w:color="auto" w:sz="6" w:space="0"/>
            </w:tcBorders>
            <w:noWrap w:val="0"/>
            <w:vAlign w:val="top"/>
          </w:tcPr>
          <w:p w14:paraId="1AC7DF4A">
            <w:pPr>
              <w:pStyle w:val="95"/>
              <w:rPr>
                <w:rFonts w:hint="eastAsia" w:ascii="仿宋" w:hAnsi="仿宋" w:eastAsia="仿宋" w:cs="仿宋"/>
                <w:color w:val="auto"/>
                <w:sz w:val="24"/>
                <w:szCs w:val="24"/>
                <w:highlight w:val="none"/>
              </w:rPr>
            </w:pPr>
          </w:p>
        </w:tc>
        <w:tc>
          <w:tcPr>
            <w:tcW w:w="1287" w:type="dxa"/>
            <w:tcBorders>
              <w:top w:val="single" w:color="auto" w:sz="6" w:space="0"/>
              <w:left w:val="single" w:color="auto" w:sz="6" w:space="0"/>
              <w:bottom w:val="single" w:color="auto" w:sz="6" w:space="0"/>
              <w:right w:val="single" w:color="auto" w:sz="6" w:space="0"/>
            </w:tcBorders>
            <w:noWrap w:val="0"/>
            <w:vAlign w:val="top"/>
          </w:tcPr>
          <w:p w14:paraId="62FD0D20">
            <w:pPr>
              <w:pStyle w:val="95"/>
              <w:rPr>
                <w:rFonts w:hint="eastAsia" w:ascii="仿宋" w:hAnsi="仿宋" w:eastAsia="仿宋" w:cs="仿宋"/>
                <w:color w:val="auto"/>
                <w:sz w:val="24"/>
                <w:szCs w:val="24"/>
                <w:highlight w:val="none"/>
              </w:rPr>
            </w:pPr>
          </w:p>
        </w:tc>
        <w:tc>
          <w:tcPr>
            <w:tcW w:w="1865" w:type="dxa"/>
            <w:tcBorders>
              <w:top w:val="single" w:color="auto" w:sz="6" w:space="0"/>
              <w:left w:val="single" w:color="auto" w:sz="6" w:space="0"/>
              <w:bottom w:val="single" w:color="auto" w:sz="6" w:space="0"/>
              <w:right w:val="single" w:color="auto" w:sz="6" w:space="0"/>
            </w:tcBorders>
            <w:noWrap w:val="0"/>
            <w:vAlign w:val="top"/>
          </w:tcPr>
          <w:p w14:paraId="04F1F3CD">
            <w:pPr>
              <w:pStyle w:val="95"/>
              <w:rPr>
                <w:rFonts w:hint="eastAsia" w:ascii="仿宋" w:hAnsi="仿宋" w:eastAsia="仿宋" w:cs="仿宋"/>
                <w:color w:val="auto"/>
                <w:sz w:val="24"/>
                <w:szCs w:val="24"/>
                <w:highlight w:val="none"/>
              </w:rPr>
            </w:pPr>
          </w:p>
        </w:tc>
        <w:tc>
          <w:tcPr>
            <w:tcW w:w="736" w:type="dxa"/>
            <w:tcBorders>
              <w:top w:val="single" w:color="auto" w:sz="6" w:space="0"/>
              <w:left w:val="single" w:color="auto" w:sz="6" w:space="0"/>
              <w:bottom w:val="single" w:color="auto" w:sz="6" w:space="0"/>
              <w:right w:val="single" w:color="auto" w:sz="6" w:space="0"/>
            </w:tcBorders>
            <w:noWrap w:val="0"/>
            <w:vAlign w:val="top"/>
          </w:tcPr>
          <w:p w14:paraId="27C17FCC">
            <w:pPr>
              <w:pStyle w:val="95"/>
              <w:rPr>
                <w:rFonts w:hint="eastAsia" w:ascii="仿宋" w:hAnsi="仿宋" w:eastAsia="仿宋" w:cs="仿宋"/>
                <w:color w:val="auto"/>
                <w:sz w:val="24"/>
                <w:szCs w:val="24"/>
                <w:highlight w:val="none"/>
              </w:rPr>
            </w:pPr>
          </w:p>
        </w:tc>
      </w:tr>
      <w:tr w14:paraId="4BF70BE3">
        <w:tblPrEx>
          <w:tblCellMar>
            <w:top w:w="0" w:type="dxa"/>
            <w:left w:w="108" w:type="dxa"/>
            <w:bottom w:w="0" w:type="dxa"/>
            <w:right w:w="108" w:type="dxa"/>
          </w:tblCellMar>
        </w:tblPrEx>
        <w:trPr>
          <w:trHeight w:val="469" w:hRule="atLeast"/>
          <w:jc w:val="center"/>
        </w:trPr>
        <w:tc>
          <w:tcPr>
            <w:tcW w:w="724" w:type="dxa"/>
            <w:tcBorders>
              <w:top w:val="single" w:color="auto" w:sz="6" w:space="0"/>
              <w:left w:val="single" w:color="auto" w:sz="6" w:space="0"/>
              <w:bottom w:val="single" w:color="auto" w:sz="6" w:space="0"/>
              <w:right w:val="single" w:color="auto" w:sz="6" w:space="0"/>
            </w:tcBorders>
            <w:noWrap w:val="0"/>
            <w:vAlign w:val="top"/>
          </w:tcPr>
          <w:p w14:paraId="23B207C6">
            <w:pPr>
              <w:pStyle w:val="95"/>
              <w:rPr>
                <w:rFonts w:hint="eastAsia" w:ascii="仿宋" w:hAnsi="仿宋" w:eastAsia="仿宋" w:cs="仿宋"/>
                <w:color w:val="auto"/>
                <w:sz w:val="24"/>
                <w:szCs w:val="24"/>
                <w:highlight w:val="none"/>
              </w:rPr>
            </w:pPr>
          </w:p>
        </w:tc>
        <w:tc>
          <w:tcPr>
            <w:tcW w:w="1633" w:type="dxa"/>
            <w:tcBorders>
              <w:top w:val="single" w:color="auto" w:sz="6" w:space="0"/>
              <w:left w:val="single" w:color="auto" w:sz="6" w:space="0"/>
              <w:bottom w:val="single" w:color="auto" w:sz="6" w:space="0"/>
              <w:right w:val="single" w:color="auto" w:sz="6" w:space="0"/>
            </w:tcBorders>
            <w:noWrap w:val="0"/>
            <w:vAlign w:val="top"/>
          </w:tcPr>
          <w:p w14:paraId="7F9AF901">
            <w:pPr>
              <w:pStyle w:val="95"/>
              <w:rPr>
                <w:rFonts w:hint="eastAsia" w:ascii="仿宋" w:hAnsi="仿宋" w:eastAsia="仿宋" w:cs="仿宋"/>
                <w:color w:val="auto"/>
                <w:sz w:val="24"/>
                <w:szCs w:val="24"/>
                <w:highlight w:val="none"/>
              </w:rPr>
            </w:pPr>
          </w:p>
        </w:tc>
        <w:tc>
          <w:tcPr>
            <w:tcW w:w="1739" w:type="dxa"/>
            <w:tcBorders>
              <w:top w:val="single" w:color="auto" w:sz="6" w:space="0"/>
              <w:left w:val="single" w:color="auto" w:sz="6" w:space="0"/>
              <w:bottom w:val="single" w:color="auto" w:sz="6" w:space="0"/>
              <w:right w:val="single" w:color="auto" w:sz="6" w:space="0"/>
            </w:tcBorders>
            <w:noWrap w:val="0"/>
            <w:vAlign w:val="top"/>
          </w:tcPr>
          <w:p w14:paraId="1AC72598">
            <w:pPr>
              <w:pStyle w:val="95"/>
              <w:rPr>
                <w:rFonts w:hint="eastAsia" w:ascii="仿宋" w:hAnsi="仿宋" w:eastAsia="仿宋" w:cs="仿宋"/>
                <w:color w:val="auto"/>
                <w:sz w:val="24"/>
                <w:szCs w:val="24"/>
                <w:highlight w:val="none"/>
              </w:rPr>
            </w:pPr>
          </w:p>
        </w:tc>
        <w:tc>
          <w:tcPr>
            <w:tcW w:w="1652" w:type="dxa"/>
            <w:tcBorders>
              <w:top w:val="single" w:color="auto" w:sz="6" w:space="0"/>
              <w:left w:val="single" w:color="auto" w:sz="6" w:space="0"/>
              <w:bottom w:val="single" w:color="auto" w:sz="6" w:space="0"/>
              <w:right w:val="single" w:color="auto" w:sz="6" w:space="0"/>
            </w:tcBorders>
            <w:noWrap w:val="0"/>
            <w:vAlign w:val="top"/>
          </w:tcPr>
          <w:p w14:paraId="2D0D913A">
            <w:pPr>
              <w:pStyle w:val="95"/>
              <w:rPr>
                <w:rFonts w:hint="eastAsia" w:ascii="仿宋" w:hAnsi="仿宋" w:eastAsia="仿宋" w:cs="仿宋"/>
                <w:color w:val="auto"/>
                <w:sz w:val="24"/>
                <w:szCs w:val="24"/>
                <w:highlight w:val="none"/>
              </w:rPr>
            </w:pPr>
          </w:p>
        </w:tc>
        <w:tc>
          <w:tcPr>
            <w:tcW w:w="1287" w:type="dxa"/>
            <w:tcBorders>
              <w:top w:val="single" w:color="auto" w:sz="6" w:space="0"/>
              <w:left w:val="single" w:color="auto" w:sz="6" w:space="0"/>
              <w:bottom w:val="single" w:color="auto" w:sz="6" w:space="0"/>
              <w:right w:val="single" w:color="auto" w:sz="6" w:space="0"/>
            </w:tcBorders>
            <w:noWrap w:val="0"/>
            <w:vAlign w:val="top"/>
          </w:tcPr>
          <w:p w14:paraId="22F961AA">
            <w:pPr>
              <w:pStyle w:val="95"/>
              <w:rPr>
                <w:rFonts w:hint="eastAsia" w:ascii="仿宋" w:hAnsi="仿宋" w:eastAsia="仿宋" w:cs="仿宋"/>
                <w:color w:val="auto"/>
                <w:sz w:val="24"/>
                <w:szCs w:val="24"/>
                <w:highlight w:val="none"/>
              </w:rPr>
            </w:pPr>
          </w:p>
        </w:tc>
        <w:tc>
          <w:tcPr>
            <w:tcW w:w="1865" w:type="dxa"/>
            <w:tcBorders>
              <w:top w:val="single" w:color="auto" w:sz="6" w:space="0"/>
              <w:left w:val="single" w:color="auto" w:sz="6" w:space="0"/>
              <w:bottom w:val="single" w:color="auto" w:sz="6" w:space="0"/>
              <w:right w:val="single" w:color="auto" w:sz="6" w:space="0"/>
            </w:tcBorders>
            <w:noWrap w:val="0"/>
            <w:vAlign w:val="top"/>
          </w:tcPr>
          <w:p w14:paraId="2737D976">
            <w:pPr>
              <w:pStyle w:val="95"/>
              <w:rPr>
                <w:rFonts w:hint="eastAsia" w:ascii="仿宋" w:hAnsi="仿宋" w:eastAsia="仿宋" w:cs="仿宋"/>
                <w:color w:val="auto"/>
                <w:sz w:val="24"/>
                <w:szCs w:val="24"/>
                <w:highlight w:val="none"/>
              </w:rPr>
            </w:pPr>
          </w:p>
        </w:tc>
        <w:tc>
          <w:tcPr>
            <w:tcW w:w="736" w:type="dxa"/>
            <w:tcBorders>
              <w:top w:val="single" w:color="auto" w:sz="6" w:space="0"/>
              <w:left w:val="single" w:color="auto" w:sz="6" w:space="0"/>
              <w:bottom w:val="single" w:color="auto" w:sz="6" w:space="0"/>
              <w:right w:val="single" w:color="auto" w:sz="6" w:space="0"/>
            </w:tcBorders>
            <w:noWrap w:val="0"/>
            <w:vAlign w:val="top"/>
          </w:tcPr>
          <w:p w14:paraId="3F711EB1">
            <w:pPr>
              <w:pStyle w:val="95"/>
              <w:rPr>
                <w:rFonts w:hint="eastAsia" w:ascii="仿宋" w:hAnsi="仿宋" w:eastAsia="仿宋" w:cs="仿宋"/>
                <w:color w:val="auto"/>
                <w:sz w:val="24"/>
                <w:szCs w:val="24"/>
                <w:highlight w:val="none"/>
              </w:rPr>
            </w:pPr>
          </w:p>
        </w:tc>
      </w:tr>
      <w:tr w14:paraId="297736B4">
        <w:tblPrEx>
          <w:tblCellMar>
            <w:top w:w="0" w:type="dxa"/>
            <w:left w:w="108" w:type="dxa"/>
            <w:bottom w:w="0" w:type="dxa"/>
            <w:right w:w="108" w:type="dxa"/>
          </w:tblCellMar>
        </w:tblPrEx>
        <w:trPr>
          <w:trHeight w:val="469" w:hRule="atLeast"/>
          <w:jc w:val="center"/>
        </w:trPr>
        <w:tc>
          <w:tcPr>
            <w:tcW w:w="724" w:type="dxa"/>
            <w:tcBorders>
              <w:top w:val="single" w:color="auto" w:sz="6" w:space="0"/>
              <w:left w:val="single" w:color="auto" w:sz="6" w:space="0"/>
              <w:bottom w:val="single" w:color="auto" w:sz="6" w:space="0"/>
              <w:right w:val="single" w:color="auto" w:sz="6" w:space="0"/>
            </w:tcBorders>
            <w:noWrap w:val="0"/>
            <w:vAlign w:val="top"/>
          </w:tcPr>
          <w:p w14:paraId="6E0E3103">
            <w:pPr>
              <w:pStyle w:val="95"/>
              <w:rPr>
                <w:rFonts w:hint="eastAsia" w:ascii="仿宋" w:hAnsi="仿宋" w:eastAsia="仿宋" w:cs="仿宋"/>
                <w:color w:val="auto"/>
                <w:sz w:val="24"/>
                <w:szCs w:val="24"/>
                <w:highlight w:val="none"/>
              </w:rPr>
            </w:pPr>
          </w:p>
        </w:tc>
        <w:tc>
          <w:tcPr>
            <w:tcW w:w="1633" w:type="dxa"/>
            <w:tcBorders>
              <w:top w:val="single" w:color="auto" w:sz="6" w:space="0"/>
              <w:left w:val="single" w:color="auto" w:sz="6" w:space="0"/>
              <w:bottom w:val="single" w:color="auto" w:sz="6" w:space="0"/>
              <w:right w:val="single" w:color="auto" w:sz="6" w:space="0"/>
            </w:tcBorders>
            <w:noWrap w:val="0"/>
            <w:vAlign w:val="top"/>
          </w:tcPr>
          <w:p w14:paraId="498F59D2">
            <w:pPr>
              <w:pStyle w:val="95"/>
              <w:rPr>
                <w:rFonts w:hint="eastAsia" w:ascii="仿宋" w:hAnsi="仿宋" w:eastAsia="仿宋" w:cs="仿宋"/>
                <w:color w:val="auto"/>
                <w:sz w:val="24"/>
                <w:szCs w:val="24"/>
                <w:highlight w:val="none"/>
              </w:rPr>
            </w:pPr>
          </w:p>
        </w:tc>
        <w:tc>
          <w:tcPr>
            <w:tcW w:w="1739" w:type="dxa"/>
            <w:tcBorders>
              <w:top w:val="single" w:color="auto" w:sz="6" w:space="0"/>
              <w:left w:val="single" w:color="auto" w:sz="6" w:space="0"/>
              <w:bottom w:val="single" w:color="auto" w:sz="6" w:space="0"/>
              <w:right w:val="single" w:color="auto" w:sz="6" w:space="0"/>
            </w:tcBorders>
            <w:noWrap w:val="0"/>
            <w:vAlign w:val="top"/>
          </w:tcPr>
          <w:p w14:paraId="2711EC11">
            <w:pPr>
              <w:pStyle w:val="95"/>
              <w:rPr>
                <w:rFonts w:hint="eastAsia" w:ascii="仿宋" w:hAnsi="仿宋" w:eastAsia="仿宋" w:cs="仿宋"/>
                <w:color w:val="auto"/>
                <w:sz w:val="24"/>
                <w:szCs w:val="24"/>
                <w:highlight w:val="none"/>
              </w:rPr>
            </w:pPr>
          </w:p>
        </w:tc>
        <w:tc>
          <w:tcPr>
            <w:tcW w:w="1652" w:type="dxa"/>
            <w:tcBorders>
              <w:top w:val="single" w:color="auto" w:sz="6" w:space="0"/>
              <w:left w:val="single" w:color="auto" w:sz="6" w:space="0"/>
              <w:bottom w:val="single" w:color="auto" w:sz="6" w:space="0"/>
              <w:right w:val="single" w:color="auto" w:sz="6" w:space="0"/>
            </w:tcBorders>
            <w:noWrap w:val="0"/>
            <w:vAlign w:val="top"/>
          </w:tcPr>
          <w:p w14:paraId="6D3AE157">
            <w:pPr>
              <w:pStyle w:val="95"/>
              <w:rPr>
                <w:rFonts w:hint="eastAsia" w:ascii="仿宋" w:hAnsi="仿宋" w:eastAsia="仿宋" w:cs="仿宋"/>
                <w:color w:val="auto"/>
                <w:sz w:val="24"/>
                <w:szCs w:val="24"/>
                <w:highlight w:val="none"/>
              </w:rPr>
            </w:pPr>
          </w:p>
        </w:tc>
        <w:tc>
          <w:tcPr>
            <w:tcW w:w="1287" w:type="dxa"/>
            <w:tcBorders>
              <w:top w:val="single" w:color="auto" w:sz="6" w:space="0"/>
              <w:left w:val="single" w:color="auto" w:sz="6" w:space="0"/>
              <w:bottom w:val="single" w:color="auto" w:sz="6" w:space="0"/>
              <w:right w:val="single" w:color="auto" w:sz="6" w:space="0"/>
            </w:tcBorders>
            <w:noWrap w:val="0"/>
            <w:vAlign w:val="top"/>
          </w:tcPr>
          <w:p w14:paraId="2A5D09EA">
            <w:pPr>
              <w:pStyle w:val="95"/>
              <w:rPr>
                <w:rFonts w:hint="eastAsia" w:ascii="仿宋" w:hAnsi="仿宋" w:eastAsia="仿宋" w:cs="仿宋"/>
                <w:color w:val="auto"/>
                <w:sz w:val="24"/>
                <w:szCs w:val="24"/>
                <w:highlight w:val="none"/>
              </w:rPr>
            </w:pPr>
          </w:p>
        </w:tc>
        <w:tc>
          <w:tcPr>
            <w:tcW w:w="1865" w:type="dxa"/>
            <w:tcBorders>
              <w:top w:val="single" w:color="auto" w:sz="6" w:space="0"/>
              <w:left w:val="single" w:color="auto" w:sz="6" w:space="0"/>
              <w:bottom w:val="single" w:color="auto" w:sz="6" w:space="0"/>
              <w:right w:val="single" w:color="auto" w:sz="6" w:space="0"/>
            </w:tcBorders>
            <w:noWrap w:val="0"/>
            <w:vAlign w:val="top"/>
          </w:tcPr>
          <w:p w14:paraId="105915D3">
            <w:pPr>
              <w:pStyle w:val="95"/>
              <w:rPr>
                <w:rFonts w:hint="eastAsia" w:ascii="仿宋" w:hAnsi="仿宋" w:eastAsia="仿宋" w:cs="仿宋"/>
                <w:color w:val="auto"/>
                <w:sz w:val="24"/>
                <w:szCs w:val="24"/>
                <w:highlight w:val="none"/>
              </w:rPr>
            </w:pPr>
          </w:p>
        </w:tc>
        <w:tc>
          <w:tcPr>
            <w:tcW w:w="736" w:type="dxa"/>
            <w:tcBorders>
              <w:top w:val="single" w:color="auto" w:sz="6" w:space="0"/>
              <w:left w:val="single" w:color="auto" w:sz="6" w:space="0"/>
              <w:bottom w:val="single" w:color="auto" w:sz="6" w:space="0"/>
              <w:right w:val="single" w:color="auto" w:sz="6" w:space="0"/>
            </w:tcBorders>
            <w:noWrap w:val="0"/>
            <w:vAlign w:val="top"/>
          </w:tcPr>
          <w:p w14:paraId="6793EDC8">
            <w:pPr>
              <w:pStyle w:val="95"/>
              <w:rPr>
                <w:rFonts w:hint="eastAsia" w:ascii="仿宋" w:hAnsi="仿宋" w:eastAsia="仿宋" w:cs="仿宋"/>
                <w:color w:val="auto"/>
                <w:sz w:val="24"/>
                <w:szCs w:val="24"/>
                <w:highlight w:val="none"/>
              </w:rPr>
            </w:pPr>
          </w:p>
        </w:tc>
      </w:tr>
      <w:tr w14:paraId="611B0C48">
        <w:tblPrEx>
          <w:tblCellMar>
            <w:top w:w="0" w:type="dxa"/>
            <w:left w:w="108" w:type="dxa"/>
            <w:bottom w:w="0" w:type="dxa"/>
            <w:right w:w="108" w:type="dxa"/>
          </w:tblCellMar>
        </w:tblPrEx>
        <w:trPr>
          <w:trHeight w:val="469" w:hRule="atLeast"/>
          <w:jc w:val="center"/>
        </w:trPr>
        <w:tc>
          <w:tcPr>
            <w:tcW w:w="724" w:type="dxa"/>
            <w:tcBorders>
              <w:top w:val="single" w:color="auto" w:sz="6" w:space="0"/>
              <w:left w:val="single" w:color="auto" w:sz="6" w:space="0"/>
              <w:bottom w:val="single" w:color="auto" w:sz="6" w:space="0"/>
              <w:right w:val="single" w:color="auto" w:sz="6" w:space="0"/>
            </w:tcBorders>
            <w:noWrap w:val="0"/>
            <w:vAlign w:val="top"/>
          </w:tcPr>
          <w:p w14:paraId="5D79F500">
            <w:pPr>
              <w:pStyle w:val="95"/>
              <w:rPr>
                <w:rFonts w:hint="eastAsia" w:ascii="仿宋" w:hAnsi="仿宋" w:eastAsia="仿宋" w:cs="仿宋"/>
                <w:color w:val="auto"/>
                <w:sz w:val="24"/>
                <w:szCs w:val="24"/>
                <w:highlight w:val="none"/>
              </w:rPr>
            </w:pPr>
          </w:p>
        </w:tc>
        <w:tc>
          <w:tcPr>
            <w:tcW w:w="1633" w:type="dxa"/>
            <w:tcBorders>
              <w:top w:val="single" w:color="auto" w:sz="6" w:space="0"/>
              <w:left w:val="single" w:color="auto" w:sz="6" w:space="0"/>
              <w:bottom w:val="single" w:color="auto" w:sz="6" w:space="0"/>
              <w:right w:val="single" w:color="auto" w:sz="6" w:space="0"/>
            </w:tcBorders>
            <w:noWrap w:val="0"/>
            <w:vAlign w:val="top"/>
          </w:tcPr>
          <w:p w14:paraId="2AAFCBF2">
            <w:pPr>
              <w:pStyle w:val="95"/>
              <w:rPr>
                <w:rFonts w:hint="eastAsia" w:ascii="仿宋" w:hAnsi="仿宋" w:eastAsia="仿宋" w:cs="仿宋"/>
                <w:color w:val="auto"/>
                <w:sz w:val="24"/>
                <w:szCs w:val="24"/>
                <w:highlight w:val="none"/>
              </w:rPr>
            </w:pPr>
          </w:p>
        </w:tc>
        <w:tc>
          <w:tcPr>
            <w:tcW w:w="1739" w:type="dxa"/>
            <w:tcBorders>
              <w:top w:val="single" w:color="auto" w:sz="6" w:space="0"/>
              <w:left w:val="single" w:color="auto" w:sz="6" w:space="0"/>
              <w:bottom w:val="single" w:color="auto" w:sz="6" w:space="0"/>
              <w:right w:val="single" w:color="auto" w:sz="6" w:space="0"/>
            </w:tcBorders>
            <w:noWrap w:val="0"/>
            <w:vAlign w:val="top"/>
          </w:tcPr>
          <w:p w14:paraId="61BF3B66">
            <w:pPr>
              <w:pStyle w:val="95"/>
              <w:rPr>
                <w:rFonts w:hint="eastAsia" w:ascii="仿宋" w:hAnsi="仿宋" w:eastAsia="仿宋" w:cs="仿宋"/>
                <w:color w:val="auto"/>
                <w:sz w:val="24"/>
                <w:szCs w:val="24"/>
                <w:highlight w:val="none"/>
              </w:rPr>
            </w:pPr>
          </w:p>
        </w:tc>
        <w:tc>
          <w:tcPr>
            <w:tcW w:w="1652" w:type="dxa"/>
            <w:tcBorders>
              <w:top w:val="single" w:color="auto" w:sz="6" w:space="0"/>
              <w:left w:val="single" w:color="auto" w:sz="6" w:space="0"/>
              <w:bottom w:val="single" w:color="auto" w:sz="6" w:space="0"/>
              <w:right w:val="single" w:color="auto" w:sz="6" w:space="0"/>
            </w:tcBorders>
            <w:noWrap w:val="0"/>
            <w:vAlign w:val="top"/>
          </w:tcPr>
          <w:p w14:paraId="3EC059E9">
            <w:pPr>
              <w:pStyle w:val="95"/>
              <w:rPr>
                <w:rFonts w:hint="eastAsia" w:ascii="仿宋" w:hAnsi="仿宋" w:eastAsia="仿宋" w:cs="仿宋"/>
                <w:color w:val="auto"/>
                <w:sz w:val="24"/>
                <w:szCs w:val="24"/>
                <w:highlight w:val="none"/>
              </w:rPr>
            </w:pPr>
          </w:p>
        </w:tc>
        <w:tc>
          <w:tcPr>
            <w:tcW w:w="1287" w:type="dxa"/>
            <w:tcBorders>
              <w:top w:val="single" w:color="auto" w:sz="6" w:space="0"/>
              <w:left w:val="single" w:color="auto" w:sz="6" w:space="0"/>
              <w:bottom w:val="single" w:color="auto" w:sz="6" w:space="0"/>
              <w:right w:val="single" w:color="auto" w:sz="6" w:space="0"/>
            </w:tcBorders>
            <w:noWrap w:val="0"/>
            <w:vAlign w:val="top"/>
          </w:tcPr>
          <w:p w14:paraId="147A7D5E">
            <w:pPr>
              <w:pStyle w:val="95"/>
              <w:rPr>
                <w:rFonts w:hint="eastAsia" w:ascii="仿宋" w:hAnsi="仿宋" w:eastAsia="仿宋" w:cs="仿宋"/>
                <w:color w:val="auto"/>
                <w:sz w:val="24"/>
                <w:szCs w:val="24"/>
                <w:highlight w:val="none"/>
              </w:rPr>
            </w:pPr>
          </w:p>
        </w:tc>
        <w:tc>
          <w:tcPr>
            <w:tcW w:w="1865" w:type="dxa"/>
            <w:tcBorders>
              <w:top w:val="single" w:color="auto" w:sz="6" w:space="0"/>
              <w:left w:val="single" w:color="auto" w:sz="6" w:space="0"/>
              <w:bottom w:val="single" w:color="auto" w:sz="6" w:space="0"/>
              <w:right w:val="single" w:color="auto" w:sz="6" w:space="0"/>
            </w:tcBorders>
            <w:noWrap w:val="0"/>
            <w:vAlign w:val="top"/>
          </w:tcPr>
          <w:p w14:paraId="7864FDD3">
            <w:pPr>
              <w:pStyle w:val="95"/>
              <w:rPr>
                <w:rFonts w:hint="eastAsia" w:ascii="仿宋" w:hAnsi="仿宋" w:eastAsia="仿宋" w:cs="仿宋"/>
                <w:color w:val="auto"/>
                <w:sz w:val="24"/>
                <w:szCs w:val="24"/>
                <w:highlight w:val="none"/>
              </w:rPr>
            </w:pPr>
          </w:p>
        </w:tc>
        <w:tc>
          <w:tcPr>
            <w:tcW w:w="736" w:type="dxa"/>
            <w:tcBorders>
              <w:top w:val="single" w:color="auto" w:sz="6" w:space="0"/>
              <w:left w:val="single" w:color="auto" w:sz="6" w:space="0"/>
              <w:bottom w:val="single" w:color="auto" w:sz="6" w:space="0"/>
              <w:right w:val="single" w:color="auto" w:sz="6" w:space="0"/>
            </w:tcBorders>
            <w:noWrap w:val="0"/>
            <w:vAlign w:val="top"/>
          </w:tcPr>
          <w:p w14:paraId="695D970D">
            <w:pPr>
              <w:pStyle w:val="95"/>
              <w:rPr>
                <w:rFonts w:hint="eastAsia" w:ascii="仿宋" w:hAnsi="仿宋" w:eastAsia="仿宋" w:cs="仿宋"/>
                <w:color w:val="auto"/>
                <w:sz w:val="24"/>
                <w:szCs w:val="24"/>
                <w:highlight w:val="none"/>
              </w:rPr>
            </w:pPr>
          </w:p>
        </w:tc>
      </w:tr>
      <w:tr w14:paraId="02F8177D">
        <w:tblPrEx>
          <w:tblCellMar>
            <w:top w:w="0" w:type="dxa"/>
            <w:left w:w="108" w:type="dxa"/>
            <w:bottom w:w="0" w:type="dxa"/>
            <w:right w:w="108" w:type="dxa"/>
          </w:tblCellMar>
        </w:tblPrEx>
        <w:trPr>
          <w:trHeight w:val="534" w:hRule="atLeast"/>
          <w:jc w:val="center"/>
        </w:trPr>
        <w:tc>
          <w:tcPr>
            <w:tcW w:w="724" w:type="dxa"/>
            <w:tcBorders>
              <w:top w:val="single" w:color="auto" w:sz="6" w:space="0"/>
              <w:left w:val="single" w:color="auto" w:sz="6" w:space="0"/>
              <w:bottom w:val="single" w:color="auto" w:sz="6" w:space="0"/>
              <w:right w:val="single" w:color="auto" w:sz="6" w:space="0"/>
            </w:tcBorders>
            <w:noWrap w:val="0"/>
            <w:vAlign w:val="top"/>
          </w:tcPr>
          <w:p w14:paraId="210ACAF8">
            <w:pPr>
              <w:pStyle w:val="95"/>
              <w:rPr>
                <w:rFonts w:hint="eastAsia" w:ascii="仿宋" w:hAnsi="仿宋" w:eastAsia="仿宋" w:cs="仿宋"/>
                <w:color w:val="auto"/>
                <w:sz w:val="24"/>
                <w:szCs w:val="24"/>
                <w:highlight w:val="none"/>
              </w:rPr>
            </w:pPr>
          </w:p>
        </w:tc>
        <w:tc>
          <w:tcPr>
            <w:tcW w:w="1633" w:type="dxa"/>
            <w:tcBorders>
              <w:top w:val="single" w:color="auto" w:sz="6" w:space="0"/>
              <w:left w:val="single" w:color="auto" w:sz="6" w:space="0"/>
              <w:bottom w:val="single" w:color="auto" w:sz="6" w:space="0"/>
              <w:right w:val="single" w:color="auto" w:sz="6" w:space="0"/>
            </w:tcBorders>
            <w:noWrap w:val="0"/>
            <w:vAlign w:val="top"/>
          </w:tcPr>
          <w:p w14:paraId="204382AC">
            <w:pPr>
              <w:pStyle w:val="95"/>
              <w:rPr>
                <w:rFonts w:hint="eastAsia" w:ascii="仿宋" w:hAnsi="仿宋" w:eastAsia="仿宋" w:cs="仿宋"/>
                <w:color w:val="auto"/>
                <w:sz w:val="24"/>
                <w:szCs w:val="24"/>
                <w:highlight w:val="none"/>
              </w:rPr>
            </w:pPr>
          </w:p>
        </w:tc>
        <w:tc>
          <w:tcPr>
            <w:tcW w:w="1739" w:type="dxa"/>
            <w:tcBorders>
              <w:top w:val="single" w:color="auto" w:sz="6" w:space="0"/>
              <w:left w:val="single" w:color="auto" w:sz="6" w:space="0"/>
              <w:bottom w:val="single" w:color="auto" w:sz="6" w:space="0"/>
              <w:right w:val="single" w:color="auto" w:sz="6" w:space="0"/>
            </w:tcBorders>
            <w:noWrap w:val="0"/>
            <w:vAlign w:val="top"/>
          </w:tcPr>
          <w:p w14:paraId="6E3808D7">
            <w:pPr>
              <w:pStyle w:val="95"/>
              <w:rPr>
                <w:rFonts w:hint="eastAsia" w:ascii="仿宋" w:hAnsi="仿宋" w:eastAsia="仿宋" w:cs="仿宋"/>
                <w:color w:val="auto"/>
                <w:sz w:val="24"/>
                <w:szCs w:val="24"/>
                <w:highlight w:val="none"/>
              </w:rPr>
            </w:pPr>
          </w:p>
        </w:tc>
        <w:tc>
          <w:tcPr>
            <w:tcW w:w="1652" w:type="dxa"/>
            <w:tcBorders>
              <w:top w:val="single" w:color="auto" w:sz="6" w:space="0"/>
              <w:left w:val="single" w:color="auto" w:sz="6" w:space="0"/>
              <w:bottom w:val="single" w:color="auto" w:sz="6" w:space="0"/>
              <w:right w:val="single" w:color="auto" w:sz="6" w:space="0"/>
            </w:tcBorders>
            <w:noWrap w:val="0"/>
            <w:vAlign w:val="top"/>
          </w:tcPr>
          <w:p w14:paraId="197A383C">
            <w:pPr>
              <w:pStyle w:val="95"/>
              <w:rPr>
                <w:rFonts w:hint="eastAsia" w:ascii="仿宋" w:hAnsi="仿宋" w:eastAsia="仿宋" w:cs="仿宋"/>
                <w:color w:val="auto"/>
                <w:sz w:val="24"/>
                <w:szCs w:val="24"/>
                <w:highlight w:val="none"/>
              </w:rPr>
            </w:pPr>
          </w:p>
        </w:tc>
        <w:tc>
          <w:tcPr>
            <w:tcW w:w="1287" w:type="dxa"/>
            <w:tcBorders>
              <w:top w:val="single" w:color="auto" w:sz="6" w:space="0"/>
              <w:left w:val="single" w:color="auto" w:sz="6" w:space="0"/>
              <w:bottom w:val="single" w:color="auto" w:sz="6" w:space="0"/>
              <w:right w:val="single" w:color="auto" w:sz="6" w:space="0"/>
            </w:tcBorders>
            <w:noWrap w:val="0"/>
            <w:vAlign w:val="top"/>
          </w:tcPr>
          <w:p w14:paraId="28C4AD42">
            <w:pPr>
              <w:pStyle w:val="95"/>
              <w:rPr>
                <w:rFonts w:hint="eastAsia" w:ascii="仿宋" w:hAnsi="仿宋" w:eastAsia="仿宋" w:cs="仿宋"/>
                <w:color w:val="auto"/>
                <w:sz w:val="24"/>
                <w:szCs w:val="24"/>
                <w:highlight w:val="none"/>
              </w:rPr>
            </w:pPr>
          </w:p>
        </w:tc>
        <w:tc>
          <w:tcPr>
            <w:tcW w:w="1865" w:type="dxa"/>
            <w:tcBorders>
              <w:top w:val="single" w:color="auto" w:sz="6" w:space="0"/>
              <w:left w:val="single" w:color="auto" w:sz="6" w:space="0"/>
              <w:bottom w:val="single" w:color="auto" w:sz="6" w:space="0"/>
              <w:right w:val="single" w:color="auto" w:sz="6" w:space="0"/>
            </w:tcBorders>
            <w:noWrap w:val="0"/>
            <w:vAlign w:val="top"/>
          </w:tcPr>
          <w:p w14:paraId="416F68C2">
            <w:pPr>
              <w:pStyle w:val="95"/>
              <w:rPr>
                <w:rFonts w:hint="eastAsia" w:ascii="仿宋" w:hAnsi="仿宋" w:eastAsia="仿宋" w:cs="仿宋"/>
                <w:color w:val="auto"/>
                <w:sz w:val="24"/>
                <w:szCs w:val="24"/>
                <w:highlight w:val="none"/>
              </w:rPr>
            </w:pPr>
          </w:p>
        </w:tc>
        <w:tc>
          <w:tcPr>
            <w:tcW w:w="736" w:type="dxa"/>
            <w:tcBorders>
              <w:top w:val="single" w:color="auto" w:sz="6" w:space="0"/>
              <w:left w:val="single" w:color="auto" w:sz="6" w:space="0"/>
              <w:bottom w:val="single" w:color="auto" w:sz="6" w:space="0"/>
              <w:right w:val="single" w:color="auto" w:sz="6" w:space="0"/>
            </w:tcBorders>
            <w:noWrap w:val="0"/>
            <w:vAlign w:val="top"/>
          </w:tcPr>
          <w:p w14:paraId="542DE43A">
            <w:pPr>
              <w:pStyle w:val="95"/>
              <w:rPr>
                <w:rFonts w:hint="eastAsia" w:ascii="仿宋" w:hAnsi="仿宋" w:eastAsia="仿宋" w:cs="仿宋"/>
                <w:color w:val="auto"/>
                <w:sz w:val="24"/>
                <w:szCs w:val="24"/>
                <w:highlight w:val="none"/>
              </w:rPr>
            </w:pPr>
          </w:p>
        </w:tc>
      </w:tr>
    </w:tbl>
    <w:p w14:paraId="2DDBA197">
      <w:pPr>
        <w:tabs>
          <w:tab w:val="left" w:pos="555"/>
          <w:tab w:val="left" w:pos="2214"/>
          <w:tab w:val="left" w:pos="3774"/>
          <w:tab w:val="left" w:pos="4854"/>
          <w:tab w:val="left" w:pos="5934"/>
          <w:tab w:val="left" w:pos="7014"/>
          <w:tab w:val="left" w:pos="8214"/>
          <w:tab w:val="left" w:pos="10134"/>
          <w:tab w:val="left" w:pos="11124"/>
        </w:tabs>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color w:val="auto"/>
          <w:sz w:val="24"/>
          <w:szCs w:val="24"/>
          <w:highlight w:val="none"/>
        </w:rPr>
        <w:t>以上业绩</w:t>
      </w:r>
      <w:r>
        <w:rPr>
          <w:rFonts w:hint="eastAsia" w:ascii="仿宋" w:hAnsi="仿宋" w:eastAsia="仿宋" w:cs="仿宋"/>
          <w:color w:val="auto"/>
          <w:sz w:val="24"/>
          <w:szCs w:val="24"/>
          <w:highlight w:val="none"/>
          <w:lang w:eastAsia="zh-CN"/>
        </w:rPr>
        <w:t>需</w:t>
      </w:r>
      <w:r>
        <w:rPr>
          <w:rFonts w:hint="eastAsia" w:ascii="仿宋" w:hAnsi="仿宋" w:eastAsia="仿宋" w:cs="仿宋"/>
          <w:color w:val="auto"/>
          <w:sz w:val="24"/>
          <w:szCs w:val="24"/>
          <w:highlight w:val="none"/>
        </w:rPr>
        <w:t>附相关证明材料</w:t>
      </w:r>
      <w:r>
        <w:rPr>
          <w:rFonts w:hint="eastAsia" w:ascii="仿宋" w:hAnsi="仿宋" w:eastAsia="仿宋" w:cs="仿宋"/>
          <w:color w:val="auto"/>
          <w:sz w:val="24"/>
          <w:szCs w:val="24"/>
          <w:highlight w:val="none"/>
          <w:lang w:eastAsia="zh-CN"/>
        </w:rPr>
        <w:t>（具体详见评审标准）</w:t>
      </w:r>
      <w:r>
        <w:rPr>
          <w:rFonts w:hint="eastAsia" w:ascii="仿宋" w:hAnsi="仿宋" w:eastAsia="仿宋" w:cs="仿宋"/>
          <w:color w:val="auto"/>
          <w:sz w:val="24"/>
          <w:szCs w:val="24"/>
          <w:highlight w:val="none"/>
        </w:rPr>
        <w:t>，否则专家在评审时将不予采信；</w:t>
      </w:r>
    </w:p>
    <w:p w14:paraId="220E7125">
      <w:pPr>
        <w:numPr>
          <w:ilvl w:val="0"/>
          <w:numId w:val="0"/>
        </w:num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项目内容请详细说明所承担的具体采购内容；</w:t>
      </w:r>
    </w:p>
    <w:p w14:paraId="75A6037C">
      <w:pPr>
        <w:spacing w:line="360" w:lineRule="auto"/>
        <w:jc w:val="both"/>
        <w:rPr>
          <w:rFonts w:hint="eastAsia" w:ascii="仿宋" w:hAnsi="仿宋" w:eastAsia="仿宋" w:cs="仿宋"/>
          <w:color w:val="auto"/>
          <w:sz w:val="24"/>
          <w:szCs w:val="24"/>
          <w:highlight w:val="none"/>
        </w:rPr>
      </w:pPr>
    </w:p>
    <w:p w14:paraId="04BDAF15">
      <w:pPr>
        <w:spacing w:line="360" w:lineRule="auto"/>
        <w:jc w:val="both"/>
        <w:rPr>
          <w:rFonts w:hint="eastAsia" w:ascii="仿宋" w:hAnsi="仿宋" w:eastAsia="仿宋" w:cs="仿宋"/>
          <w:color w:val="auto"/>
          <w:sz w:val="24"/>
          <w:szCs w:val="24"/>
          <w:highlight w:val="none"/>
        </w:rPr>
      </w:pPr>
    </w:p>
    <w:p w14:paraId="6D3E527D">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投标单位（单位公章）：</w:t>
      </w:r>
    </w:p>
    <w:p w14:paraId="02218DA6">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14:paraId="2B7455F4">
      <w:pPr>
        <w:spacing w:line="48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年   月   日</w:t>
      </w:r>
    </w:p>
    <w:p w14:paraId="5D1445B0">
      <w:pPr>
        <w:pStyle w:val="5"/>
        <w:numPr>
          <w:ilvl w:val="0"/>
          <w:numId w:val="0"/>
        </w:numPr>
        <w:spacing w:before="156" w:after="156" w:line="440" w:lineRule="exact"/>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九、拟投入的项目组人员表</w:t>
      </w:r>
    </w:p>
    <w:p w14:paraId="5BA35140">
      <w:pPr>
        <w:keepNext w:val="0"/>
        <w:keepLines w:val="0"/>
        <w:pageBreakBefore w:val="0"/>
        <w:widowControl/>
        <w:kinsoku/>
        <w:wordWrap/>
        <w:overflowPunct/>
        <w:topLinePunct w:val="0"/>
        <w:autoSpaceDE/>
        <w:autoSpaceDN/>
        <w:bidi w:val="0"/>
        <w:adjustRightInd w:val="0"/>
        <w:snapToGrid w:val="0"/>
        <w:spacing w:line="240" w:lineRule="auto"/>
        <w:ind w:firstLine="392" w:firstLineChars="196"/>
        <w:jc w:val="left"/>
        <w:textAlignment w:val="auto"/>
        <w:rPr>
          <w:rFonts w:hint="eastAsia" w:ascii="仿宋" w:hAnsi="仿宋" w:eastAsia="仿宋" w:cs="仿宋"/>
          <w:color w:val="auto"/>
          <w:sz w:val="20"/>
          <w:szCs w:val="20"/>
          <w:highlight w:val="none"/>
        </w:rPr>
      </w:pPr>
    </w:p>
    <w:p w14:paraId="7330F82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7B31CDF3">
      <w:pPr>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 xml:space="preserve">：                   </w:t>
      </w:r>
    </w:p>
    <w:tbl>
      <w:tblPr>
        <w:tblStyle w:val="48"/>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325"/>
        <w:gridCol w:w="1412"/>
        <w:gridCol w:w="1488"/>
        <w:gridCol w:w="1987"/>
        <w:gridCol w:w="1488"/>
        <w:gridCol w:w="763"/>
      </w:tblGrid>
      <w:tr w14:paraId="5DE2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14:paraId="3A13D55E">
            <w:pPr>
              <w:pageBreakBefore w:val="0"/>
              <w:kinsoku/>
              <w:wordWrap/>
              <w:overflowPunct/>
              <w:topLinePunct w:val="0"/>
              <w:bidi w:val="0"/>
              <w:snapToGrid/>
              <w:spacing w:line="480" w:lineRule="auto"/>
              <w:ind w:firstLine="241" w:firstLineChars="100"/>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序号</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26C65C05">
            <w:pPr>
              <w:pageBreakBefore w:val="0"/>
              <w:kinsoku/>
              <w:wordWrap/>
              <w:overflowPunct/>
              <w:topLinePunct w:val="0"/>
              <w:bidi w:val="0"/>
              <w:snapToGrid/>
              <w:spacing w:line="480" w:lineRule="auto"/>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姓名</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573DDB0F">
            <w:pPr>
              <w:pageBreakBefore w:val="0"/>
              <w:kinsoku/>
              <w:wordWrap/>
              <w:overflowPunct/>
              <w:topLinePunct w:val="0"/>
              <w:bidi w:val="0"/>
              <w:snapToGrid/>
              <w:spacing w:line="480" w:lineRule="auto"/>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身份证号</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54E7E0D9">
            <w:pPr>
              <w:pageBreakBefore w:val="0"/>
              <w:kinsoku/>
              <w:wordWrap/>
              <w:overflowPunct/>
              <w:topLinePunct w:val="0"/>
              <w:bidi w:val="0"/>
              <w:snapToGrid/>
              <w:spacing w:line="48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职称</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1230AD24">
            <w:pPr>
              <w:pageBreakBefore w:val="0"/>
              <w:kinsoku/>
              <w:wordWrap/>
              <w:overflowPunct/>
              <w:topLinePunct w:val="0"/>
              <w:bidi w:val="0"/>
              <w:snapToGrid/>
              <w:spacing w:line="480" w:lineRule="auto"/>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岗位</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179F22D6">
            <w:pPr>
              <w:pageBreakBefore w:val="0"/>
              <w:kinsoku/>
              <w:wordWrap/>
              <w:overflowPunct/>
              <w:topLinePunct w:val="0"/>
              <w:bidi w:val="0"/>
              <w:snapToGrid/>
              <w:spacing w:line="480" w:lineRule="auto"/>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联系电话</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637881AB">
            <w:pPr>
              <w:pageBreakBefore w:val="0"/>
              <w:kinsoku/>
              <w:wordWrap/>
              <w:overflowPunct/>
              <w:topLinePunct w:val="0"/>
              <w:bidi w:val="0"/>
              <w:snapToGrid/>
              <w:spacing w:line="48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备注</w:t>
            </w:r>
          </w:p>
        </w:tc>
      </w:tr>
      <w:tr w14:paraId="08FE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14:paraId="1C2E3CFD">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558274D">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14:paraId="68E5C511">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361C4A0A">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7E03B31C">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3CB94C96">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2E02FFDB">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r>
      <w:tr w14:paraId="6082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14:paraId="52B02749">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6725BE5F">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14:paraId="60AA0B9D">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3B740A4F">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533A425A">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72B4177E">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013998F1">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r>
      <w:tr w14:paraId="5341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14:paraId="33C34522">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46656755">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14:paraId="11E4953B">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0AAA7EA3">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1D110E09">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647B228D">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3D6B712A">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r>
      <w:tr w14:paraId="4C47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14:paraId="6F848B2E">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29D529CB">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14:paraId="3E193D73">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50487B4E">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56EC322F">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7E6060A3">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393C8393">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r>
      <w:tr w14:paraId="7AE1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14:paraId="09BF39BD">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3F787142">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14:paraId="07EAA6B3">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24856404">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29962959">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72AD2C66">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0C544168">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r>
      <w:tr w14:paraId="13AC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14:paraId="43D1E017">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4E7545AC">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14:paraId="06261F98">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096AAC9E">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7CB9047B">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28679AE4">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1AC58ECF">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r>
      <w:tr w14:paraId="49E1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14:paraId="16EDA882">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4243808C">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14:paraId="63D69B80">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67D08214">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7C4637F7">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17BBBA4C">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5C844E9F">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r>
      <w:tr w14:paraId="0F7F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14:paraId="04168F0A">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3864BFAD">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14:paraId="6E15D540">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1B2520B3">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5B4E12E9">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66D996DE">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50BCFAA6">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r>
      <w:tr w14:paraId="3919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14:paraId="52611CD8">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4EEE8F24">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14:paraId="31626E53">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6899C21E">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3FB6C336">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4E1BFDE9">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72AC4884">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color w:val="auto"/>
                <w:sz w:val="24"/>
                <w:szCs w:val="24"/>
                <w:highlight w:val="none"/>
                <w:lang w:eastAsia="zh-CN"/>
              </w:rPr>
            </w:pPr>
          </w:p>
        </w:tc>
      </w:tr>
    </w:tbl>
    <w:p w14:paraId="59AF2A58">
      <w:pPr>
        <w:tabs>
          <w:tab w:val="left" w:pos="6375"/>
        </w:tabs>
        <w:spacing w:line="360" w:lineRule="auto"/>
        <w:ind w:firstLine="241" w:firstLineChars="100"/>
        <w:rPr>
          <w:rFonts w:hint="eastAsia" w:ascii="仿宋" w:hAnsi="仿宋" w:eastAsia="仿宋" w:cs="仿宋"/>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w:t>
      </w:r>
      <w:r>
        <w:rPr>
          <w:rFonts w:hint="eastAsia" w:ascii="仿宋" w:hAnsi="仿宋" w:eastAsia="仿宋" w:cs="仿宋"/>
          <w:color w:val="auto"/>
          <w:sz w:val="24"/>
          <w:szCs w:val="24"/>
          <w:highlight w:val="none"/>
        </w:rPr>
        <w:t>以上</w:t>
      </w:r>
      <w:r>
        <w:rPr>
          <w:rFonts w:hint="eastAsia" w:ascii="仿宋" w:hAnsi="仿宋" w:eastAsia="仿宋" w:cs="仿宋"/>
          <w:color w:val="auto"/>
          <w:sz w:val="24"/>
          <w:szCs w:val="24"/>
          <w:highlight w:val="none"/>
          <w:lang w:val="en-US" w:eastAsia="zh-CN"/>
        </w:rPr>
        <w:t>人员</w:t>
      </w:r>
      <w:r>
        <w:rPr>
          <w:rFonts w:hint="eastAsia" w:ascii="仿宋" w:hAnsi="仿宋" w:eastAsia="仿宋" w:cs="仿宋"/>
          <w:color w:val="auto"/>
          <w:sz w:val="24"/>
          <w:szCs w:val="24"/>
          <w:highlight w:val="none"/>
          <w:lang w:eastAsia="zh-CN"/>
        </w:rPr>
        <w:t>需</w:t>
      </w:r>
      <w:r>
        <w:rPr>
          <w:rFonts w:hint="eastAsia" w:ascii="仿宋" w:hAnsi="仿宋" w:eastAsia="仿宋" w:cs="仿宋"/>
          <w:color w:val="auto"/>
          <w:sz w:val="24"/>
          <w:szCs w:val="24"/>
          <w:highlight w:val="none"/>
        </w:rPr>
        <w:t>附相关证明材料</w:t>
      </w:r>
      <w:r>
        <w:rPr>
          <w:rFonts w:hint="eastAsia" w:ascii="仿宋" w:hAnsi="仿宋" w:eastAsia="仿宋" w:cs="仿宋"/>
          <w:color w:val="auto"/>
          <w:sz w:val="24"/>
          <w:szCs w:val="24"/>
          <w:highlight w:val="none"/>
          <w:lang w:eastAsia="zh-CN"/>
        </w:rPr>
        <w:t>（具体详见评审标准）</w:t>
      </w:r>
      <w:r>
        <w:rPr>
          <w:rFonts w:hint="eastAsia" w:ascii="仿宋" w:hAnsi="仿宋" w:eastAsia="仿宋" w:cs="仿宋"/>
          <w:color w:val="auto"/>
          <w:sz w:val="24"/>
          <w:szCs w:val="24"/>
          <w:highlight w:val="none"/>
        </w:rPr>
        <w:t>，否则专家在评审时将不予采信</w:t>
      </w:r>
      <w:r>
        <w:rPr>
          <w:rFonts w:hint="eastAsia" w:ascii="仿宋" w:hAnsi="仿宋" w:eastAsia="仿宋" w:cs="仿宋"/>
          <w:bCs/>
          <w:color w:val="auto"/>
          <w:sz w:val="24"/>
          <w:szCs w:val="24"/>
          <w:highlight w:val="none"/>
          <w:lang w:val="en-US" w:eastAsia="zh-CN"/>
        </w:rPr>
        <w:t>；</w:t>
      </w:r>
    </w:p>
    <w:p w14:paraId="4D52103A">
      <w:pPr>
        <w:numPr>
          <w:ilvl w:val="0"/>
          <w:numId w:val="0"/>
        </w:numPr>
        <w:spacing w:line="240" w:lineRule="auto"/>
        <w:jc w:val="center"/>
        <w:rPr>
          <w:rFonts w:hint="eastAsia" w:ascii="仿宋" w:hAnsi="仿宋" w:eastAsia="仿宋" w:cs="仿宋"/>
          <w:b/>
          <w:bCs/>
          <w:color w:val="auto"/>
          <w:kern w:val="0"/>
          <w:sz w:val="24"/>
          <w:szCs w:val="24"/>
          <w:highlight w:val="none"/>
          <w:lang w:val="en-US" w:eastAsia="zh-CN" w:bidi="ar-SA"/>
        </w:rPr>
      </w:pPr>
    </w:p>
    <w:p w14:paraId="32A8F6AB">
      <w:pPr>
        <w:pStyle w:val="22"/>
        <w:rPr>
          <w:rFonts w:hint="eastAsia" w:ascii="仿宋" w:hAnsi="仿宋" w:eastAsia="仿宋" w:cs="仿宋"/>
          <w:b/>
          <w:bCs/>
          <w:color w:val="auto"/>
          <w:kern w:val="0"/>
          <w:sz w:val="24"/>
          <w:szCs w:val="24"/>
          <w:highlight w:val="none"/>
          <w:lang w:val="en-US" w:eastAsia="zh-CN" w:bidi="ar-SA"/>
        </w:rPr>
      </w:pPr>
    </w:p>
    <w:p w14:paraId="0230E2B5">
      <w:pPr>
        <w:rPr>
          <w:rFonts w:hint="eastAsia" w:ascii="仿宋" w:hAnsi="仿宋" w:eastAsia="仿宋" w:cs="仿宋"/>
          <w:b/>
          <w:bCs/>
          <w:color w:val="auto"/>
          <w:kern w:val="0"/>
          <w:sz w:val="24"/>
          <w:szCs w:val="24"/>
          <w:highlight w:val="none"/>
          <w:lang w:val="en-US" w:eastAsia="zh-CN" w:bidi="ar-SA"/>
        </w:rPr>
      </w:pPr>
    </w:p>
    <w:p w14:paraId="1FD4CD5E">
      <w:pPr>
        <w:pStyle w:val="22"/>
        <w:rPr>
          <w:rFonts w:hint="eastAsia" w:ascii="仿宋" w:hAnsi="仿宋" w:eastAsia="仿宋" w:cs="仿宋"/>
          <w:color w:val="auto"/>
          <w:highlight w:val="none"/>
          <w:lang w:val="en-US" w:eastAsia="zh-CN"/>
        </w:rPr>
      </w:pPr>
    </w:p>
    <w:p w14:paraId="18FB958F">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投标单位（单位公章）：</w:t>
      </w:r>
    </w:p>
    <w:p w14:paraId="3D56263E">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14:paraId="3597631D">
      <w:pPr>
        <w:spacing w:line="48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年   月   日</w:t>
      </w:r>
    </w:p>
    <w:p w14:paraId="210005F1">
      <w:pPr>
        <w:pStyle w:val="22"/>
        <w:rPr>
          <w:rFonts w:hint="eastAsia" w:ascii="仿宋" w:hAnsi="仿宋" w:eastAsia="仿宋" w:cs="仿宋"/>
          <w:b/>
          <w:bCs/>
          <w:color w:val="auto"/>
          <w:kern w:val="0"/>
          <w:sz w:val="24"/>
          <w:szCs w:val="24"/>
          <w:highlight w:val="none"/>
          <w:lang w:val="en-US" w:eastAsia="zh-CN" w:bidi="ar-SA"/>
        </w:rPr>
      </w:pPr>
    </w:p>
    <w:p w14:paraId="25970A3D">
      <w:pPr>
        <w:rPr>
          <w:rFonts w:hint="eastAsia" w:ascii="仿宋" w:hAnsi="仿宋" w:eastAsia="仿宋" w:cs="仿宋"/>
          <w:b/>
          <w:bCs/>
          <w:color w:val="auto"/>
          <w:kern w:val="0"/>
          <w:sz w:val="24"/>
          <w:szCs w:val="24"/>
          <w:highlight w:val="none"/>
          <w:lang w:val="en-US" w:eastAsia="zh-CN" w:bidi="ar-SA"/>
        </w:rPr>
      </w:pPr>
    </w:p>
    <w:p w14:paraId="7FCD5552">
      <w:pPr>
        <w:rPr>
          <w:rFonts w:hint="eastAsia" w:ascii="仿宋" w:hAnsi="仿宋" w:eastAsia="仿宋" w:cs="仿宋"/>
          <w:b/>
          <w:bCs/>
          <w:color w:val="auto"/>
          <w:kern w:val="0"/>
          <w:sz w:val="24"/>
          <w:szCs w:val="24"/>
          <w:highlight w:val="none"/>
          <w:lang w:val="en-US" w:eastAsia="zh-CN" w:bidi="ar-SA"/>
        </w:rPr>
      </w:pPr>
    </w:p>
    <w:p w14:paraId="7E2A6288">
      <w:pPr>
        <w:numPr>
          <w:ilvl w:val="0"/>
          <w:numId w:val="0"/>
        </w:numPr>
        <w:spacing w:line="240" w:lineRule="auto"/>
        <w:jc w:val="center"/>
        <w:rPr>
          <w:rFonts w:hint="eastAsia" w:ascii="仿宋" w:hAnsi="仿宋" w:eastAsia="仿宋" w:cs="仿宋"/>
          <w:b/>
          <w:bCs/>
          <w:color w:val="auto"/>
          <w:kern w:val="0"/>
          <w:sz w:val="28"/>
          <w:szCs w:val="28"/>
          <w:highlight w:val="none"/>
          <w:lang w:val="en-US" w:eastAsia="zh-CN" w:bidi="ar-SA"/>
        </w:rPr>
      </w:pPr>
    </w:p>
    <w:p w14:paraId="2D4CDB2C">
      <w:pPr>
        <w:keepNext w:val="0"/>
        <w:keepLines w:val="0"/>
        <w:pageBreakBefore w:val="0"/>
        <w:widowControl w:val="0"/>
        <w:numPr>
          <w:ilvl w:val="0"/>
          <w:numId w:val="0"/>
        </w:numPr>
        <w:kinsoku/>
        <w:wordWrap/>
        <w:overflowPunct/>
        <w:topLinePunct w:val="0"/>
        <w:autoSpaceDE/>
        <w:autoSpaceDN/>
        <w:bidi w:val="0"/>
        <w:spacing w:line="460" w:lineRule="exact"/>
        <w:jc w:val="center"/>
        <w:textAlignment w:val="auto"/>
        <w:rPr>
          <w:rFonts w:hint="eastAsia" w:ascii="仿宋" w:hAnsi="仿宋" w:eastAsia="仿宋" w:cs="仿宋"/>
          <w:b/>
          <w:bCs/>
          <w:color w:val="auto"/>
          <w:kern w:val="0"/>
          <w:sz w:val="28"/>
          <w:szCs w:val="28"/>
          <w:highlight w:val="none"/>
          <w:lang w:val="en-US" w:eastAsia="zh-CN" w:bidi="ar-SA"/>
        </w:rPr>
      </w:pPr>
    </w:p>
    <w:p w14:paraId="262B6350">
      <w:pPr>
        <w:keepNext w:val="0"/>
        <w:keepLines w:val="0"/>
        <w:pageBreakBefore w:val="0"/>
        <w:widowControl w:val="0"/>
        <w:numPr>
          <w:ilvl w:val="0"/>
          <w:numId w:val="0"/>
        </w:numPr>
        <w:kinsoku/>
        <w:wordWrap/>
        <w:overflowPunct/>
        <w:topLinePunct w:val="0"/>
        <w:autoSpaceDE/>
        <w:autoSpaceDN/>
        <w:bidi w:val="0"/>
        <w:spacing w:line="460" w:lineRule="exact"/>
        <w:jc w:val="center"/>
        <w:textAlignment w:val="auto"/>
        <w:rPr>
          <w:rFonts w:hint="eastAsia" w:ascii="仿宋" w:hAnsi="仿宋" w:eastAsia="仿宋" w:cs="仿宋"/>
          <w:b/>
          <w:bCs/>
          <w:color w:val="auto"/>
          <w:kern w:val="0"/>
          <w:sz w:val="28"/>
          <w:szCs w:val="28"/>
          <w:highlight w:val="none"/>
          <w:lang w:val="en-US" w:eastAsia="zh-CN" w:bidi="ar-SA"/>
        </w:rPr>
      </w:pPr>
      <w:r>
        <w:rPr>
          <w:rFonts w:hint="eastAsia" w:ascii="仿宋" w:hAnsi="仿宋" w:eastAsia="仿宋" w:cs="仿宋"/>
          <w:b/>
          <w:bCs/>
          <w:color w:val="auto"/>
          <w:kern w:val="0"/>
          <w:sz w:val="28"/>
          <w:szCs w:val="28"/>
          <w:highlight w:val="none"/>
          <w:lang w:val="en-US" w:eastAsia="zh-CN" w:bidi="ar-SA"/>
        </w:rPr>
        <w:t>十</w:t>
      </w:r>
      <w:bookmarkEnd w:id="166"/>
      <w:r>
        <w:rPr>
          <w:rFonts w:hint="eastAsia" w:ascii="仿宋" w:hAnsi="仿宋" w:eastAsia="仿宋" w:cs="仿宋"/>
          <w:b/>
          <w:bCs/>
          <w:color w:val="auto"/>
          <w:kern w:val="0"/>
          <w:sz w:val="28"/>
          <w:szCs w:val="28"/>
          <w:highlight w:val="none"/>
          <w:lang w:val="en-US" w:eastAsia="zh-CN" w:bidi="ar-SA"/>
        </w:rPr>
        <w:t>、</w:t>
      </w:r>
      <w:bookmarkStart w:id="189" w:name="_Toc6014"/>
      <w:bookmarkStart w:id="190" w:name="_Toc5144"/>
      <w:bookmarkStart w:id="191" w:name="_Toc26467"/>
      <w:bookmarkStart w:id="192" w:name="_Toc3862"/>
      <w:r>
        <w:rPr>
          <w:rFonts w:hint="eastAsia" w:ascii="仿宋" w:hAnsi="仿宋" w:eastAsia="仿宋" w:cs="仿宋"/>
          <w:b/>
          <w:bCs/>
          <w:color w:val="auto"/>
          <w:kern w:val="0"/>
          <w:sz w:val="28"/>
          <w:szCs w:val="28"/>
          <w:highlight w:val="none"/>
          <w:lang w:val="en-US" w:eastAsia="zh-CN" w:bidi="ar-SA"/>
        </w:rPr>
        <w:t>投标人的资格审查材料</w:t>
      </w:r>
    </w:p>
    <w:p w14:paraId="6A92D48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p>
    <w:p w14:paraId="7B5FF9A2">
      <w:pPr>
        <w:keepNext w:val="0"/>
        <w:keepLines w:val="0"/>
        <w:pageBreakBefore w:val="0"/>
        <w:widowControl/>
        <w:kinsoku w:val="0"/>
        <w:wordWrap/>
        <w:overflowPunct/>
        <w:topLinePunct w:val="0"/>
        <w:autoSpaceDE w:val="0"/>
        <w:autoSpaceDN w:val="0"/>
        <w:bidi w:val="0"/>
        <w:adjustRightInd w:val="0"/>
        <w:snapToGrid w:val="0"/>
        <w:spacing w:before="66" w:line="262" w:lineRule="auto"/>
        <w:ind w:left="8" w:right="74" w:firstLine="490"/>
        <w:jc w:val="lef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snapToGrid w:val="0"/>
          <w:color w:val="000000"/>
          <w:spacing w:val="-1"/>
          <w:kern w:val="0"/>
          <w:sz w:val="24"/>
          <w:szCs w:val="24"/>
          <w:lang w:eastAsia="en-US"/>
        </w:rPr>
        <w:t>具有独立承担民事责任的能力：提供在中华人民共和国境内注册的法人或其他组</w:t>
      </w:r>
      <w:r>
        <w:rPr>
          <w:rFonts w:hint="eastAsia" w:ascii="仿宋" w:hAnsi="仿宋" w:eastAsia="仿宋" w:cs="仿宋"/>
          <w:snapToGrid w:val="0"/>
          <w:color w:val="000000"/>
          <w:spacing w:val="-4"/>
          <w:kern w:val="0"/>
          <w:sz w:val="24"/>
          <w:szCs w:val="24"/>
          <w:lang w:eastAsia="en-US"/>
        </w:rPr>
        <w:t>织的营业执照或事业单位法人证书或社会团体法人登记证书复印件，如投标人为自然人</w:t>
      </w:r>
      <w:r>
        <w:rPr>
          <w:rFonts w:hint="eastAsia" w:ascii="仿宋" w:hAnsi="仿宋" w:eastAsia="仿宋" w:cs="仿宋"/>
          <w:snapToGrid w:val="0"/>
          <w:color w:val="000000"/>
          <w:spacing w:val="-5"/>
          <w:kern w:val="0"/>
          <w:sz w:val="24"/>
          <w:szCs w:val="24"/>
          <w:lang w:eastAsia="en-US"/>
        </w:rPr>
        <w:t>的提</w:t>
      </w:r>
      <w:r>
        <w:rPr>
          <w:rFonts w:hint="eastAsia" w:ascii="仿宋" w:hAnsi="仿宋" w:eastAsia="仿宋" w:cs="仿宋"/>
          <w:snapToGrid w:val="0"/>
          <w:color w:val="000000"/>
          <w:spacing w:val="-4"/>
          <w:kern w:val="0"/>
          <w:sz w:val="24"/>
          <w:szCs w:val="24"/>
          <w:lang w:eastAsia="en-US"/>
        </w:rPr>
        <w:t>供自然人身份证明复印件；如国家另有规定的，则从其定。（分支机构投标，须取得具有法</w:t>
      </w:r>
      <w:r>
        <w:rPr>
          <w:rFonts w:hint="eastAsia" w:ascii="仿宋" w:hAnsi="仿宋" w:eastAsia="仿宋" w:cs="仿宋"/>
          <w:snapToGrid w:val="0"/>
          <w:color w:val="000000"/>
          <w:spacing w:val="-9"/>
          <w:kern w:val="0"/>
          <w:sz w:val="24"/>
          <w:szCs w:val="24"/>
          <w:lang w:eastAsia="en-US"/>
        </w:rPr>
        <w:t>人资格的总公司（总所）出具给分支机构的授权书，并提供总公司（总所）和分支机构的营业</w:t>
      </w:r>
      <w:r>
        <w:rPr>
          <w:rFonts w:hint="eastAsia" w:ascii="仿宋" w:hAnsi="仿宋" w:eastAsia="仿宋" w:cs="仿宋"/>
          <w:snapToGrid w:val="0"/>
          <w:color w:val="000000"/>
          <w:spacing w:val="-4"/>
          <w:kern w:val="0"/>
          <w:sz w:val="24"/>
          <w:szCs w:val="24"/>
          <w:lang w:eastAsia="en-US"/>
        </w:rPr>
        <w:t>执照（执业许可证）复印件。已由总公司（总所）授权的，总公司（总所）取得的相关资质</w:t>
      </w:r>
      <w:r>
        <w:rPr>
          <w:rFonts w:hint="eastAsia" w:ascii="仿宋" w:hAnsi="仿宋" w:eastAsia="仿宋" w:cs="仿宋"/>
          <w:snapToGrid w:val="0"/>
          <w:color w:val="000000"/>
          <w:kern w:val="0"/>
          <w:sz w:val="24"/>
          <w:szCs w:val="24"/>
          <w:lang w:eastAsia="en-US"/>
        </w:rPr>
        <w:t>证书对分支机构有效，法律法规或者行业另有规定的除外。</w:t>
      </w:r>
      <w:r>
        <w:rPr>
          <w:rFonts w:hint="eastAsia" w:ascii="仿宋" w:hAnsi="仿宋" w:eastAsia="仿宋" w:cs="仿宋"/>
          <w:snapToGrid w:val="0"/>
          <w:color w:val="000000"/>
          <w:spacing w:val="-16"/>
          <w:kern w:val="0"/>
          <w:sz w:val="24"/>
          <w:szCs w:val="24"/>
          <w:lang w:eastAsia="en-US"/>
        </w:rPr>
        <w:t>）；</w:t>
      </w:r>
    </w:p>
    <w:p w14:paraId="60AC1874">
      <w:pPr>
        <w:keepNext w:val="0"/>
        <w:keepLines w:val="0"/>
        <w:pageBreakBefore w:val="0"/>
        <w:widowControl w:val="0"/>
        <w:kinsoku/>
        <w:wordWrap/>
        <w:overflowPunct/>
        <w:topLinePunct w:val="0"/>
        <w:autoSpaceDE/>
        <w:autoSpaceDN/>
        <w:bidi w:val="0"/>
        <w:adjustRightInd/>
        <w:snapToGrid/>
        <w:spacing w:line="420" w:lineRule="auto"/>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b w:val="0"/>
          <w:bCs w:val="0"/>
          <w:color w:val="auto"/>
          <w:sz w:val="24"/>
          <w:szCs w:val="24"/>
          <w:highlight w:val="none"/>
          <w:lang w:val="en-US" w:eastAsia="zh-CN"/>
        </w:rPr>
        <w:t>提供本单位缴纳的近三个月（近三个月是指2026年02月-2026年04月）社保缴纳证明（社保证明材料须是社保局出具的缴纳证明或社保系统导出的缴纳汇总凭证；新成立不足三个月的公司以实际发生的为准，如依法不需要缴纳社会保障资金的，应提供相应文件证明）；</w:t>
      </w:r>
    </w:p>
    <w:p w14:paraId="75177822">
      <w:pPr>
        <w:keepNext w:val="0"/>
        <w:keepLines w:val="0"/>
        <w:pageBreakBefore w:val="0"/>
        <w:widowControl w:val="0"/>
        <w:kinsoku/>
        <w:wordWrap/>
        <w:overflowPunct/>
        <w:topLinePunct w:val="0"/>
        <w:autoSpaceDE/>
        <w:autoSpaceDN/>
        <w:bidi w:val="0"/>
        <w:adjustRightInd/>
        <w:snapToGrid/>
        <w:spacing w:line="420" w:lineRule="auto"/>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投标人需提供2024年度或2025年度第三方审计机构出具的财务审计报告（会计周期不满一年的可不提供财务审计报告但需提供银行出具的近三个月的资信证明）</w:t>
      </w:r>
      <w:r>
        <w:rPr>
          <w:rFonts w:hint="eastAsia" w:ascii="仿宋" w:hAnsi="仿宋" w:eastAsia="仿宋" w:cs="仿宋"/>
          <w:color w:val="auto"/>
          <w:kern w:val="0"/>
          <w:sz w:val="24"/>
          <w:szCs w:val="24"/>
          <w:highlight w:val="none"/>
          <w:lang w:val="en-US" w:eastAsia="zh-CN" w:bidi="ar"/>
        </w:rPr>
        <w:t>；</w:t>
      </w:r>
    </w:p>
    <w:p w14:paraId="6CA58D87">
      <w:pPr>
        <w:pStyle w:val="46"/>
        <w:keepNext w:val="0"/>
        <w:keepLines w:val="0"/>
        <w:pageBreakBefore w:val="0"/>
        <w:widowControl w:val="0"/>
        <w:kinsoku/>
        <w:wordWrap/>
        <w:overflowPunct/>
        <w:topLinePunct w:val="0"/>
        <w:autoSpaceDE/>
        <w:autoSpaceDN/>
        <w:bidi w:val="0"/>
        <w:adjustRightInd/>
        <w:snapToGrid/>
        <w:spacing w:line="420" w:lineRule="auto"/>
        <w:ind w:left="0" w:leftChars="0"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提供</w:t>
      </w:r>
      <w:r>
        <w:rPr>
          <w:rFonts w:hint="eastAsia" w:ascii="仿宋" w:hAnsi="仿宋" w:eastAsia="仿宋" w:cs="仿宋"/>
          <w:b w:val="0"/>
          <w:bCs w:val="0"/>
          <w:color w:val="auto"/>
          <w:sz w:val="24"/>
          <w:szCs w:val="24"/>
          <w:highlight w:val="none"/>
          <w:lang w:val="en-US" w:eastAsia="zh-CN"/>
        </w:rPr>
        <w:t>税务部门出具近三个月（近三个月是指2026年01月-2026年03月）依法缴纳税收的完税证明（需含增值税、印花税等税种；如当月无需缴税需提供税务机关出具的无欠税证明），新成立公司按实际发生提供税务机关出具的无欠税证明</w:t>
      </w:r>
      <w:r>
        <w:rPr>
          <w:rFonts w:hint="eastAsia" w:ascii="仿宋" w:hAnsi="仿宋" w:eastAsia="仿宋" w:cs="仿宋"/>
          <w:color w:val="auto"/>
          <w:sz w:val="24"/>
          <w:szCs w:val="24"/>
          <w:highlight w:val="none"/>
          <w:lang w:val="en-US" w:eastAsia="zh-CN"/>
        </w:rPr>
        <w:t>；</w:t>
      </w:r>
    </w:p>
    <w:p w14:paraId="04B42C17">
      <w:pPr>
        <w:pStyle w:val="46"/>
        <w:keepNext w:val="0"/>
        <w:keepLines w:val="0"/>
        <w:pageBreakBefore w:val="0"/>
        <w:widowControl w:val="0"/>
        <w:kinsoku/>
        <w:wordWrap/>
        <w:overflowPunct/>
        <w:topLinePunct w:val="0"/>
        <w:autoSpaceDE/>
        <w:autoSpaceDN/>
        <w:bidi w:val="0"/>
        <w:adjustRightInd/>
        <w:snapToGrid/>
        <w:spacing w:line="420" w:lineRule="auto"/>
        <w:ind w:left="0" w:leftChars="0" w:firstLine="240" w:firstLineChars="100"/>
        <w:textAlignment w:val="auto"/>
        <w:rPr>
          <w:rFonts w:hint="eastAsia" w:ascii="仿宋" w:hAnsi="仿宋" w:eastAsia="仿宋" w:cs="仿宋"/>
          <w:color w:val="auto"/>
          <w:kern w:val="2"/>
          <w:sz w:val="24"/>
          <w:szCs w:val="24"/>
          <w:highlight w:val="none"/>
          <w:shd w:val="clear" w:color="auto" w:fill="FFFFFF"/>
          <w:lang w:val="en-US" w:eastAsia="zh-CN" w:bidi="ar-SA"/>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kern w:val="2"/>
          <w:sz w:val="24"/>
          <w:szCs w:val="24"/>
          <w:highlight w:val="none"/>
          <w:shd w:val="clear" w:color="auto" w:fill="FFFFFF"/>
          <w:lang w:val="en-US" w:eastAsia="zh-CN" w:bidi="ar-SA"/>
        </w:rPr>
        <w:t>具备履行合同所必需的设备和专业技术能力（提供《资格声明函》，格式自拟）；</w:t>
      </w:r>
    </w:p>
    <w:p w14:paraId="46D4D9D5">
      <w:pPr>
        <w:pStyle w:val="46"/>
        <w:keepNext w:val="0"/>
        <w:keepLines w:val="0"/>
        <w:pageBreakBefore w:val="0"/>
        <w:widowControl w:val="0"/>
        <w:kinsoku/>
        <w:wordWrap/>
        <w:overflowPunct/>
        <w:topLinePunct w:val="0"/>
        <w:autoSpaceDE/>
        <w:autoSpaceDN/>
        <w:bidi w:val="0"/>
        <w:adjustRightInd/>
        <w:snapToGrid/>
        <w:spacing w:line="420" w:lineRule="auto"/>
        <w:ind w:left="0" w:leftChars="0" w:firstLine="240"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kern w:val="2"/>
          <w:sz w:val="24"/>
          <w:szCs w:val="24"/>
          <w:highlight w:val="none"/>
          <w:shd w:val="clear" w:color="auto" w:fill="FFFFFF"/>
          <w:lang w:val="en-US" w:eastAsia="zh-CN" w:bidi="ar-SA"/>
        </w:rPr>
        <w:t>参加采购活动前3年内，在经营活动中没有重大违法记录（提供声明函，格式自拟）；</w:t>
      </w:r>
    </w:p>
    <w:p w14:paraId="4EBE3780">
      <w:pPr>
        <w:keepNext w:val="0"/>
        <w:keepLines w:val="0"/>
        <w:pageBreakBefore w:val="0"/>
        <w:widowControl w:val="0"/>
        <w:kinsoku/>
        <w:wordWrap/>
        <w:overflowPunct/>
        <w:topLinePunct w:val="0"/>
        <w:autoSpaceDE/>
        <w:autoSpaceDN/>
        <w:bidi w:val="0"/>
        <w:adjustRightInd/>
        <w:snapToGrid/>
        <w:spacing w:line="42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b w:val="0"/>
          <w:bCs w:val="0"/>
          <w:color w:val="auto"/>
          <w:sz w:val="24"/>
          <w:szCs w:val="24"/>
          <w:highlight w:val="none"/>
          <w:lang w:val="en-US" w:eastAsia="zh-CN"/>
        </w:rPr>
        <w:t>凡拟参加本次招标项目的投标人近三年内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被列入经营异常名录信息、严重违法失信名单（黑名单）信息（尚在处罚期内的）；将拒绝其参与本次政府采购活动</w:t>
      </w:r>
      <w:r>
        <w:rPr>
          <w:rFonts w:hint="eastAsia" w:ascii="仿宋" w:hAnsi="仿宋" w:eastAsia="仿宋" w:cs="仿宋"/>
          <w:color w:val="auto"/>
          <w:sz w:val="24"/>
          <w:szCs w:val="24"/>
          <w:highlight w:val="none"/>
          <w:lang w:val="en-US" w:eastAsia="zh-CN"/>
        </w:rPr>
        <w:t>；</w:t>
      </w:r>
      <w:r>
        <w:rPr>
          <w:rFonts w:hint="eastAsia" w:ascii="仿宋" w:hAnsi="仿宋" w:eastAsia="仿宋" w:cs="仿宋"/>
          <w:b/>
          <w:bCs/>
          <w:sz w:val="24"/>
          <w:szCs w:val="24"/>
          <w:lang w:val="en-US" w:eastAsia="zh-CN"/>
        </w:rPr>
        <w:t>（注：提供网站查询截图）</w:t>
      </w:r>
    </w:p>
    <w:p w14:paraId="1A00D46C">
      <w:pPr>
        <w:pStyle w:val="46"/>
        <w:keepNext w:val="0"/>
        <w:keepLines w:val="0"/>
        <w:pageBreakBefore w:val="0"/>
        <w:widowControl w:val="0"/>
        <w:kinsoku/>
        <w:wordWrap/>
        <w:overflowPunct/>
        <w:topLinePunct w:val="0"/>
        <w:autoSpaceDE/>
        <w:autoSpaceDN/>
        <w:bidi w:val="0"/>
        <w:adjustRightInd/>
        <w:snapToGrid/>
        <w:spacing w:line="42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b w:val="0"/>
          <w:bCs w:val="0"/>
          <w:color w:val="auto"/>
          <w:sz w:val="24"/>
          <w:szCs w:val="24"/>
          <w:highlight w:val="none"/>
          <w:lang w:val="en-US" w:eastAsia="zh-CN"/>
        </w:rPr>
        <w:t>企业负责人为同一人或者存在直接控股、管理关系的不同供应商，不得参加同一合同项下的政府采购活动。否则，皆取消投标资格</w:t>
      </w:r>
      <w:r>
        <w:rPr>
          <w:rFonts w:hint="eastAsia" w:ascii="仿宋" w:hAnsi="仿宋" w:eastAsia="仿宋" w:cs="仿宋"/>
          <w:color w:val="auto"/>
          <w:kern w:val="2"/>
          <w:sz w:val="24"/>
          <w:szCs w:val="24"/>
          <w:highlight w:val="none"/>
          <w:lang w:val="en-US" w:eastAsia="zh-CN" w:bidi="ar"/>
        </w:rPr>
        <w:t>（</w:t>
      </w:r>
      <w:r>
        <w:rPr>
          <w:rFonts w:hint="eastAsia" w:ascii="仿宋" w:hAnsi="仿宋" w:eastAsia="仿宋" w:cs="仿宋"/>
          <w:color w:val="auto"/>
          <w:kern w:val="2"/>
          <w:sz w:val="24"/>
          <w:szCs w:val="24"/>
          <w:highlight w:val="none"/>
          <w:lang w:val="en-US" w:eastAsia="zh-CN" w:bidi="ar-SA"/>
        </w:rPr>
        <w:t>提供承诺书，格式自拟；若不提供或提供虚假材料，将作否决投标处理！</w:t>
      </w:r>
      <w:r>
        <w:rPr>
          <w:rFonts w:hint="eastAsia" w:ascii="仿宋" w:hAnsi="仿宋" w:eastAsia="仿宋" w:cs="仿宋"/>
          <w:color w:val="auto"/>
          <w:kern w:val="2"/>
          <w:sz w:val="24"/>
          <w:szCs w:val="24"/>
          <w:highlight w:val="none"/>
          <w:lang w:val="en-US" w:eastAsia="zh-CN" w:bidi="ar"/>
        </w:rPr>
        <w:t>）</w:t>
      </w:r>
      <w:r>
        <w:rPr>
          <w:rFonts w:hint="eastAsia" w:ascii="仿宋" w:hAnsi="仿宋" w:eastAsia="仿宋" w:cs="仿宋"/>
          <w:color w:val="auto"/>
          <w:sz w:val="24"/>
          <w:szCs w:val="24"/>
          <w:highlight w:val="none"/>
          <w:lang w:val="en-US" w:eastAsia="zh-CN"/>
        </w:rPr>
        <w:t>；</w:t>
      </w:r>
    </w:p>
    <w:bookmarkEnd w:id="189"/>
    <w:bookmarkEnd w:id="190"/>
    <w:bookmarkEnd w:id="191"/>
    <w:bookmarkEnd w:id="192"/>
    <w:p w14:paraId="483ECB67">
      <w:pPr>
        <w:pStyle w:val="26"/>
        <w:numPr>
          <w:ilvl w:val="0"/>
          <w:numId w:val="0"/>
        </w:numPr>
        <w:spacing w:line="360" w:lineRule="auto"/>
        <w:ind w:leftChars="222"/>
        <w:jc w:val="center"/>
        <w:rPr>
          <w:rStyle w:val="149"/>
          <w:rFonts w:hint="eastAsia" w:ascii="仿宋" w:hAnsi="仿宋" w:eastAsia="仿宋" w:cs="仿宋"/>
          <w:bCs w:val="0"/>
          <w:color w:val="auto"/>
          <w:sz w:val="28"/>
          <w:szCs w:val="28"/>
          <w:highlight w:val="none"/>
          <w:lang w:eastAsia="zh-CN"/>
        </w:rPr>
      </w:pPr>
    </w:p>
    <w:p w14:paraId="76310E5A">
      <w:pPr>
        <w:pStyle w:val="26"/>
        <w:numPr>
          <w:ilvl w:val="0"/>
          <w:numId w:val="0"/>
        </w:numPr>
        <w:spacing w:line="360" w:lineRule="auto"/>
        <w:ind w:leftChars="222"/>
        <w:jc w:val="center"/>
        <w:rPr>
          <w:rStyle w:val="149"/>
          <w:rFonts w:hint="eastAsia" w:ascii="仿宋" w:hAnsi="仿宋" w:eastAsia="仿宋" w:cs="仿宋"/>
          <w:bCs w:val="0"/>
          <w:color w:val="auto"/>
          <w:sz w:val="28"/>
          <w:szCs w:val="28"/>
          <w:highlight w:val="none"/>
          <w:lang w:eastAsia="zh-CN"/>
        </w:rPr>
      </w:pPr>
    </w:p>
    <w:p w14:paraId="10476BCD">
      <w:pPr>
        <w:pStyle w:val="26"/>
        <w:numPr>
          <w:ilvl w:val="0"/>
          <w:numId w:val="0"/>
        </w:numPr>
        <w:spacing w:line="360" w:lineRule="auto"/>
        <w:ind w:leftChars="222"/>
        <w:jc w:val="center"/>
        <w:rPr>
          <w:rStyle w:val="149"/>
          <w:rFonts w:hint="eastAsia" w:ascii="仿宋" w:hAnsi="仿宋" w:eastAsia="仿宋" w:cs="仿宋"/>
          <w:bCs w:val="0"/>
          <w:color w:val="auto"/>
          <w:sz w:val="28"/>
          <w:szCs w:val="28"/>
          <w:highlight w:val="none"/>
          <w:lang w:eastAsia="zh-CN"/>
        </w:rPr>
      </w:pPr>
    </w:p>
    <w:p w14:paraId="5AA68667">
      <w:pPr>
        <w:pStyle w:val="26"/>
        <w:numPr>
          <w:ilvl w:val="0"/>
          <w:numId w:val="0"/>
        </w:numPr>
        <w:spacing w:line="360" w:lineRule="auto"/>
        <w:jc w:val="center"/>
        <w:rPr>
          <w:rStyle w:val="149"/>
          <w:rFonts w:hint="eastAsia" w:ascii="仿宋" w:hAnsi="仿宋" w:eastAsia="仿宋" w:cs="仿宋"/>
          <w:bCs w:val="0"/>
          <w:color w:val="auto"/>
          <w:sz w:val="28"/>
          <w:szCs w:val="28"/>
          <w:highlight w:val="none"/>
        </w:rPr>
      </w:pPr>
      <w:r>
        <w:rPr>
          <w:rStyle w:val="149"/>
          <w:rFonts w:hint="eastAsia" w:ascii="仿宋" w:hAnsi="仿宋" w:eastAsia="仿宋" w:cs="仿宋"/>
          <w:bCs w:val="0"/>
          <w:color w:val="auto"/>
          <w:sz w:val="28"/>
          <w:szCs w:val="28"/>
          <w:highlight w:val="none"/>
          <w:lang w:eastAsia="zh-CN"/>
        </w:rPr>
        <w:t>十</w:t>
      </w:r>
      <w:r>
        <w:rPr>
          <w:rStyle w:val="149"/>
          <w:rFonts w:hint="eastAsia" w:ascii="仿宋" w:hAnsi="仿宋" w:eastAsia="仿宋" w:cs="仿宋"/>
          <w:bCs w:val="0"/>
          <w:color w:val="auto"/>
          <w:sz w:val="28"/>
          <w:szCs w:val="28"/>
          <w:highlight w:val="none"/>
          <w:lang w:val="en-US" w:eastAsia="zh-CN"/>
        </w:rPr>
        <w:t>一</w:t>
      </w:r>
      <w:r>
        <w:rPr>
          <w:rStyle w:val="149"/>
          <w:rFonts w:hint="eastAsia" w:ascii="仿宋" w:hAnsi="仿宋" w:eastAsia="仿宋" w:cs="仿宋"/>
          <w:bCs w:val="0"/>
          <w:color w:val="auto"/>
          <w:sz w:val="28"/>
          <w:szCs w:val="28"/>
          <w:highlight w:val="none"/>
          <w:lang w:eastAsia="zh-CN"/>
        </w:rPr>
        <w:t>、</w:t>
      </w:r>
      <w:r>
        <w:rPr>
          <w:rStyle w:val="149"/>
          <w:rFonts w:hint="eastAsia" w:ascii="仿宋" w:hAnsi="仿宋" w:eastAsia="仿宋" w:cs="仿宋"/>
          <w:bCs w:val="0"/>
          <w:color w:val="auto"/>
          <w:sz w:val="28"/>
          <w:szCs w:val="28"/>
          <w:highlight w:val="none"/>
        </w:rPr>
        <w:t>投标单位（供应商）承诺书</w:t>
      </w:r>
    </w:p>
    <w:p w14:paraId="724D32AF">
      <w:pPr>
        <w:pStyle w:val="26"/>
        <w:spacing w:line="240" w:lineRule="auto"/>
        <w:ind w:left="46" w:leftChars="22" w:firstLine="482" w:firstLineChars="200"/>
        <w:jc w:val="center"/>
        <w:rPr>
          <w:rFonts w:hint="eastAsia" w:ascii="仿宋" w:hAnsi="仿宋" w:eastAsia="仿宋" w:cs="仿宋"/>
          <w:b/>
          <w:bCs/>
          <w:color w:val="auto"/>
          <w:sz w:val="24"/>
          <w:szCs w:val="24"/>
          <w:highlight w:val="none"/>
        </w:rPr>
      </w:pPr>
      <w:bookmarkStart w:id="193" w:name="_Toc29266"/>
      <w:bookmarkStart w:id="194" w:name="_Toc15248"/>
      <w:bookmarkStart w:id="195" w:name="_Toc8968"/>
      <w:bookmarkStart w:id="196" w:name="_Toc5662"/>
    </w:p>
    <w:p w14:paraId="7E013CED">
      <w:pPr>
        <w:pStyle w:val="26"/>
        <w:spacing w:line="360" w:lineRule="auto"/>
        <w:ind w:left="0" w:lef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承诺书（1）</w:t>
      </w:r>
    </w:p>
    <w:p w14:paraId="53D78926">
      <w:pPr>
        <w:pStyle w:val="26"/>
        <w:keepNext w:val="0"/>
        <w:keepLines w:val="0"/>
        <w:pageBreakBefore w:val="0"/>
        <w:widowControl w:val="0"/>
        <w:kinsoku/>
        <w:wordWrap/>
        <w:overflowPunct/>
        <w:topLinePunct w:val="0"/>
        <w:autoSpaceDE/>
        <w:autoSpaceDN/>
        <w:bidi w:val="0"/>
        <w:adjustRightInd/>
        <w:snapToGrid/>
        <w:spacing w:line="432" w:lineRule="auto"/>
        <w:ind w:left="46" w:leftChars="22" w:firstLine="840" w:firstLineChars="300"/>
        <w:textAlignment w:val="auto"/>
        <w:rPr>
          <w:rFonts w:hint="eastAsia" w:ascii="仿宋" w:hAnsi="仿宋" w:eastAsia="仿宋" w:cs="仿宋"/>
          <w:color w:val="auto"/>
          <w:sz w:val="28"/>
          <w:szCs w:val="28"/>
          <w:highlight w:val="none"/>
        </w:rPr>
      </w:pPr>
    </w:p>
    <w:p w14:paraId="2D358A77">
      <w:pPr>
        <w:pStyle w:val="26"/>
        <w:keepNext w:val="0"/>
        <w:keepLines w:val="0"/>
        <w:pageBreakBefore w:val="0"/>
        <w:widowControl w:val="0"/>
        <w:kinsoku/>
        <w:wordWrap/>
        <w:overflowPunct/>
        <w:topLinePunct w:val="0"/>
        <w:autoSpaceDE/>
        <w:autoSpaceDN/>
        <w:bidi w:val="0"/>
        <w:adjustRightInd/>
        <w:snapToGrid/>
        <w:spacing w:line="480" w:lineRule="auto"/>
        <w:ind w:left="46" w:leftChars="22"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我公司承诺在</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（项目编号、项目名称）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634A0726">
      <w:pPr>
        <w:pStyle w:val="26"/>
        <w:spacing w:line="480" w:lineRule="auto"/>
        <w:ind w:left="46" w:leftChars="22" w:firstLine="480" w:firstLineChars="200"/>
        <w:rPr>
          <w:rFonts w:hint="eastAsia" w:ascii="仿宋" w:hAnsi="仿宋" w:eastAsia="仿宋" w:cs="仿宋"/>
          <w:color w:val="auto"/>
          <w:sz w:val="24"/>
          <w:szCs w:val="24"/>
          <w:highlight w:val="none"/>
        </w:rPr>
      </w:pPr>
    </w:p>
    <w:p w14:paraId="590DEA48">
      <w:pPr>
        <w:pStyle w:val="26"/>
        <w:spacing w:line="480" w:lineRule="auto"/>
        <w:ind w:left="46" w:leftChars="22" w:firstLine="480" w:firstLineChars="200"/>
        <w:rPr>
          <w:rFonts w:hint="eastAsia" w:ascii="仿宋" w:hAnsi="仿宋" w:eastAsia="仿宋" w:cs="仿宋"/>
          <w:color w:val="auto"/>
          <w:sz w:val="24"/>
          <w:szCs w:val="24"/>
          <w:highlight w:val="none"/>
        </w:rPr>
      </w:pPr>
    </w:p>
    <w:p w14:paraId="0B4CAEB5">
      <w:pPr>
        <w:pStyle w:val="26"/>
        <w:spacing w:line="480" w:lineRule="auto"/>
        <w:ind w:left="46" w:leftChars="22" w:firstLine="480" w:firstLineChars="200"/>
        <w:rPr>
          <w:rFonts w:hint="eastAsia" w:ascii="仿宋" w:hAnsi="仿宋" w:eastAsia="仿宋" w:cs="仿宋"/>
          <w:color w:val="auto"/>
          <w:sz w:val="24"/>
          <w:szCs w:val="24"/>
          <w:highlight w:val="none"/>
        </w:rPr>
      </w:pPr>
    </w:p>
    <w:p w14:paraId="2856BCC4">
      <w:pPr>
        <w:pStyle w:val="26"/>
        <w:spacing w:line="480" w:lineRule="auto"/>
        <w:ind w:left="46" w:leftChars="22" w:firstLine="480" w:firstLineChars="200"/>
        <w:rPr>
          <w:rFonts w:hint="eastAsia" w:ascii="仿宋" w:hAnsi="仿宋" w:eastAsia="仿宋" w:cs="仿宋"/>
          <w:color w:val="auto"/>
          <w:sz w:val="24"/>
          <w:szCs w:val="24"/>
          <w:highlight w:val="none"/>
        </w:rPr>
      </w:pPr>
    </w:p>
    <w:p w14:paraId="472E00DC">
      <w:pPr>
        <w:spacing w:line="480" w:lineRule="auto"/>
        <w:rPr>
          <w:rFonts w:hint="eastAsia" w:ascii="仿宋" w:hAnsi="仿宋" w:eastAsia="仿宋" w:cs="仿宋"/>
          <w:color w:val="auto"/>
          <w:sz w:val="24"/>
          <w:szCs w:val="24"/>
          <w:highlight w:val="none"/>
        </w:rPr>
      </w:pPr>
    </w:p>
    <w:p w14:paraId="257F0967">
      <w:pPr>
        <w:spacing w:line="60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投标单位（单位公章）：</w:t>
      </w:r>
    </w:p>
    <w:p w14:paraId="7122C6E4">
      <w:pPr>
        <w:spacing w:line="60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14:paraId="1C07D69A">
      <w:pPr>
        <w:spacing w:line="60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年   月   日</w:t>
      </w:r>
    </w:p>
    <w:p w14:paraId="5FAF7285">
      <w:pPr>
        <w:pStyle w:val="26"/>
        <w:spacing w:line="360" w:lineRule="auto"/>
        <w:ind w:left="0" w:leftChars="0" w:firstLine="0" w:firstLineChars="0"/>
        <w:jc w:val="both"/>
        <w:rPr>
          <w:rFonts w:hint="eastAsia" w:ascii="仿宋" w:hAnsi="仿宋" w:eastAsia="仿宋" w:cs="仿宋"/>
          <w:color w:val="auto"/>
          <w:sz w:val="28"/>
          <w:szCs w:val="28"/>
          <w:highlight w:val="none"/>
        </w:rPr>
      </w:pPr>
    </w:p>
    <w:p w14:paraId="50F83629">
      <w:pPr>
        <w:pStyle w:val="26"/>
        <w:spacing w:line="360" w:lineRule="auto"/>
        <w:ind w:left="0" w:leftChars="0" w:firstLine="0" w:firstLineChars="0"/>
        <w:jc w:val="both"/>
        <w:rPr>
          <w:rFonts w:hint="eastAsia" w:ascii="仿宋" w:hAnsi="仿宋" w:eastAsia="仿宋" w:cs="仿宋"/>
          <w:color w:val="auto"/>
          <w:sz w:val="28"/>
          <w:szCs w:val="28"/>
          <w:highlight w:val="none"/>
        </w:rPr>
      </w:pPr>
    </w:p>
    <w:p w14:paraId="688B9F31">
      <w:pPr>
        <w:pStyle w:val="26"/>
        <w:spacing w:line="360" w:lineRule="auto"/>
        <w:ind w:left="0" w:leftChars="0" w:firstLine="0" w:firstLineChars="0"/>
        <w:jc w:val="both"/>
        <w:rPr>
          <w:rFonts w:hint="eastAsia" w:ascii="仿宋" w:hAnsi="仿宋" w:eastAsia="仿宋" w:cs="仿宋"/>
          <w:color w:val="auto"/>
          <w:sz w:val="28"/>
          <w:szCs w:val="28"/>
          <w:highlight w:val="none"/>
        </w:rPr>
      </w:pPr>
    </w:p>
    <w:p w14:paraId="6A2E732B">
      <w:pPr>
        <w:pStyle w:val="26"/>
        <w:spacing w:line="360" w:lineRule="auto"/>
        <w:ind w:left="0" w:leftChars="0" w:firstLine="0" w:firstLineChars="0"/>
        <w:jc w:val="both"/>
        <w:rPr>
          <w:rFonts w:hint="eastAsia" w:ascii="仿宋" w:hAnsi="仿宋" w:eastAsia="仿宋" w:cs="仿宋"/>
          <w:color w:val="auto"/>
          <w:sz w:val="28"/>
          <w:szCs w:val="28"/>
          <w:highlight w:val="none"/>
        </w:rPr>
      </w:pPr>
    </w:p>
    <w:p w14:paraId="623AFC74">
      <w:pPr>
        <w:pStyle w:val="26"/>
        <w:spacing w:line="240" w:lineRule="auto"/>
        <w:ind w:left="46" w:leftChars="22" w:firstLine="560" w:firstLineChars="200"/>
        <w:jc w:val="both"/>
        <w:rPr>
          <w:rFonts w:hint="eastAsia" w:ascii="仿宋" w:hAnsi="仿宋" w:eastAsia="仿宋" w:cs="仿宋"/>
          <w:color w:val="auto"/>
          <w:sz w:val="28"/>
          <w:szCs w:val="28"/>
          <w:highlight w:val="none"/>
        </w:rPr>
      </w:pPr>
    </w:p>
    <w:p w14:paraId="58633999">
      <w:pPr>
        <w:pStyle w:val="26"/>
        <w:spacing w:line="240" w:lineRule="auto"/>
        <w:ind w:left="46" w:leftChars="22" w:firstLine="562" w:firstLineChars="200"/>
        <w:jc w:val="center"/>
        <w:rPr>
          <w:rFonts w:hint="eastAsia" w:ascii="仿宋" w:hAnsi="仿宋" w:eastAsia="仿宋" w:cs="仿宋"/>
          <w:b/>
          <w:bCs/>
          <w:color w:val="auto"/>
          <w:sz w:val="28"/>
          <w:szCs w:val="28"/>
          <w:highlight w:val="none"/>
        </w:rPr>
      </w:pPr>
    </w:p>
    <w:p w14:paraId="55DE44A0">
      <w:pPr>
        <w:pStyle w:val="26"/>
        <w:spacing w:line="360" w:lineRule="auto"/>
        <w:ind w:left="46" w:leftChars="22" w:firstLine="562" w:firstLineChars="200"/>
        <w:jc w:val="center"/>
        <w:rPr>
          <w:rFonts w:hint="eastAsia" w:ascii="仿宋" w:hAnsi="仿宋" w:eastAsia="仿宋" w:cs="仿宋"/>
          <w:b/>
          <w:bCs/>
          <w:color w:val="auto"/>
          <w:sz w:val="28"/>
          <w:szCs w:val="28"/>
          <w:highlight w:val="none"/>
        </w:rPr>
      </w:pPr>
    </w:p>
    <w:p w14:paraId="0EFE37E6">
      <w:pPr>
        <w:pStyle w:val="26"/>
        <w:spacing w:line="360" w:lineRule="auto"/>
        <w:ind w:left="46" w:leftChars="22" w:firstLine="562" w:firstLineChars="200"/>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承诺书（2）</w:t>
      </w:r>
    </w:p>
    <w:p w14:paraId="4AD65FCF">
      <w:pPr>
        <w:pStyle w:val="26"/>
        <w:keepNext w:val="0"/>
        <w:keepLines w:val="0"/>
        <w:pageBreakBefore w:val="0"/>
        <w:widowControl w:val="0"/>
        <w:kinsoku/>
        <w:wordWrap/>
        <w:overflowPunct/>
        <w:topLinePunct w:val="0"/>
        <w:autoSpaceDE/>
        <w:autoSpaceDN/>
        <w:bidi w:val="0"/>
        <w:adjustRightInd/>
        <w:snapToGrid/>
        <w:spacing w:line="432" w:lineRule="auto"/>
        <w:ind w:left="46" w:leftChars="22" w:firstLine="560" w:firstLineChars="200"/>
        <w:textAlignment w:val="auto"/>
        <w:rPr>
          <w:rFonts w:hint="eastAsia" w:ascii="仿宋" w:hAnsi="仿宋" w:eastAsia="仿宋" w:cs="仿宋"/>
          <w:color w:val="auto"/>
          <w:sz w:val="28"/>
          <w:szCs w:val="28"/>
          <w:highlight w:val="none"/>
        </w:rPr>
      </w:pPr>
    </w:p>
    <w:p w14:paraId="5C46B399">
      <w:pPr>
        <w:pStyle w:val="26"/>
        <w:keepNext w:val="0"/>
        <w:keepLines w:val="0"/>
        <w:pageBreakBefore w:val="0"/>
        <w:widowControl w:val="0"/>
        <w:kinsoku/>
        <w:wordWrap/>
        <w:overflowPunct/>
        <w:topLinePunct w:val="0"/>
        <w:autoSpaceDE/>
        <w:autoSpaceDN/>
        <w:bidi w:val="0"/>
        <w:adjustRightInd/>
        <w:snapToGrid/>
        <w:spacing w:line="480" w:lineRule="auto"/>
        <w:ind w:left="46" w:leftChars="22"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我公司承诺在参加本次</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（项目编号、项目名称）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投标前三年内，无以下行为： </w:t>
      </w:r>
    </w:p>
    <w:p w14:paraId="605B04B4">
      <w:pPr>
        <w:pStyle w:val="26"/>
        <w:keepNext w:val="0"/>
        <w:keepLines w:val="0"/>
        <w:pageBreakBefore w:val="0"/>
        <w:widowControl w:val="0"/>
        <w:kinsoku/>
        <w:wordWrap/>
        <w:overflowPunct/>
        <w:topLinePunct w:val="0"/>
        <w:autoSpaceDE/>
        <w:autoSpaceDN/>
        <w:bidi w:val="0"/>
        <w:adjustRightInd/>
        <w:snapToGrid/>
        <w:spacing w:line="480" w:lineRule="auto"/>
        <w:ind w:left="46" w:leftChars="22"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重大违法行为；</w:t>
      </w:r>
    </w:p>
    <w:p w14:paraId="76B9826B">
      <w:pPr>
        <w:pStyle w:val="26"/>
        <w:keepNext w:val="0"/>
        <w:keepLines w:val="0"/>
        <w:pageBreakBefore w:val="0"/>
        <w:widowControl w:val="0"/>
        <w:kinsoku/>
        <w:wordWrap/>
        <w:overflowPunct/>
        <w:topLinePunct w:val="0"/>
        <w:autoSpaceDE/>
        <w:autoSpaceDN/>
        <w:bidi w:val="0"/>
        <w:adjustRightInd/>
        <w:snapToGrid/>
        <w:spacing w:line="480" w:lineRule="auto"/>
        <w:ind w:left="46" w:leftChars="22"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商业贿赂行为；</w:t>
      </w:r>
    </w:p>
    <w:p w14:paraId="42AB0460">
      <w:pPr>
        <w:pStyle w:val="26"/>
        <w:keepNext w:val="0"/>
        <w:keepLines w:val="0"/>
        <w:pageBreakBefore w:val="0"/>
        <w:widowControl w:val="0"/>
        <w:kinsoku/>
        <w:wordWrap/>
        <w:overflowPunct/>
        <w:topLinePunct w:val="0"/>
        <w:autoSpaceDE/>
        <w:autoSpaceDN/>
        <w:bidi w:val="0"/>
        <w:adjustRightInd/>
        <w:snapToGrid/>
        <w:spacing w:line="480" w:lineRule="auto"/>
        <w:ind w:left="46" w:leftChars="22"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政府采购法《第七十七条》，列入不良行为记录名单的各种行为；</w:t>
      </w:r>
    </w:p>
    <w:p w14:paraId="78447F39">
      <w:pPr>
        <w:pStyle w:val="26"/>
        <w:keepNext w:val="0"/>
        <w:keepLines w:val="0"/>
        <w:pageBreakBefore w:val="0"/>
        <w:widowControl w:val="0"/>
        <w:kinsoku/>
        <w:wordWrap/>
        <w:overflowPunct/>
        <w:topLinePunct w:val="0"/>
        <w:autoSpaceDE/>
        <w:autoSpaceDN/>
        <w:bidi w:val="0"/>
        <w:adjustRightInd/>
        <w:snapToGrid/>
        <w:spacing w:line="480" w:lineRule="auto"/>
        <w:ind w:left="46" w:leftChars="22"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如有上述行为，我公司及项目参与人员自愿放弃本次项目的投标、报价资格，若为预中标、成交人，也自愿放弃中标、成交资格。</w:t>
      </w:r>
    </w:p>
    <w:p w14:paraId="7B2EE6E4">
      <w:pPr>
        <w:pStyle w:val="26"/>
        <w:spacing w:line="480" w:lineRule="auto"/>
        <w:ind w:left="46" w:leftChars="22" w:firstLine="480" w:firstLineChars="200"/>
        <w:rPr>
          <w:rFonts w:hint="eastAsia" w:ascii="仿宋" w:hAnsi="仿宋" w:eastAsia="仿宋" w:cs="仿宋"/>
          <w:color w:val="auto"/>
          <w:sz w:val="24"/>
          <w:szCs w:val="24"/>
          <w:highlight w:val="none"/>
        </w:rPr>
      </w:pPr>
    </w:p>
    <w:p w14:paraId="6F96A804">
      <w:pPr>
        <w:pStyle w:val="26"/>
        <w:spacing w:line="480" w:lineRule="auto"/>
        <w:ind w:left="46" w:leftChars="22" w:firstLine="480" w:firstLineChars="200"/>
        <w:rPr>
          <w:rFonts w:hint="eastAsia" w:ascii="仿宋" w:hAnsi="仿宋" w:eastAsia="仿宋" w:cs="仿宋"/>
          <w:color w:val="auto"/>
          <w:sz w:val="24"/>
          <w:szCs w:val="24"/>
          <w:highlight w:val="none"/>
        </w:rPr>
      </w:pPr>
    </w:p>
    <w:p w14:paraId="75AD9B55">
      <w:pPr>
        <w:pStyle w:val="26"/>
        <w:spacing w:line="480" w:lineRule="auto"/>
        <w:ind w:left="46" w:leftChars="22" w:firstLine="480" w:firstLineChars="200"/>
        <w:rPr>
          <w:rFonts w:hint="eastAsia" w:ascii="仿宋" w:hAnsi="仿宋" w:eastAsia="仿宋" w:cs="仿宋"/>
          <w:color w:val="auto"/>
          <w:sz w:val="24"/>
          <w:szCs w:val="24"/>
          <w:highlight w:val="none"/>
        </w:rPr>
      </w:pPr>
    </w:p>
    <w:p w14:paraId="5866E96C">
      <w:pPr>
        <w:pStyle w:val="26"/>
        <w:spacing w:line="480" w:lineRule="auto"/>
        <w:ind w:left="46" w:leftChars="22" w:firstLine="480" w:firstLineChars="200"/>
        <w:rPr>
          <w:rFonts w:hint="eastAsia" w:ascii="仿宋" w:hAnsi="仿宋" w:eastAsia="仿宋" w:cs="仿宋"/>
          <w:color w:val="auto"/>
          <w:sz w:val="24"/>
          <w:szCs w:val="24"/>
          <w:highlight w:val="none"/>
        </w:rPr>
      </w:pPr>
    </w:p>
    <w:p w14:paraId="040FADD9">
      <w:pPr>
        <w:spacing w:line="60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投标单位（单位公章）：</w:t>
      </w:r>
    </w:p>
    <w:p w14:paraId="02456AD6">
      <w:pPr>
        <w:spacing w:line="60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14:paraId="7E897A16">
      <w:pPr>
        <w:spacing w:line="60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年   月   日</w:t>
      </w:r>
    </w:p>
    <w:p w14:paraId="61453626">
      <w:pPr>
        <w:pStyle w:val="38"/>
        <w:spacing w:before="120" w:line="600" w:lineRule="auto"/>
        <w:jc w:val="center"/>
        <w:rPr>
          <w:rStyle w:val="149"/>
          <w:rFonts w:hint="eastAsia" w:ascii="仿宋" w:hAnsi="仿宋" w:eastAsia="仿宋" w:cs="仿宋"/>
          <w:bCs w:val="0"/>
          <w:color w:val="auto"/>
          <w:kern w:val="2"/>
          <w:sz w:val="28"/>
          <w:szCs w:val="28"/>
          <w:highlight w:val="none"/>
          <w:lang w:val="en-US" w:eastAsia="zh-CN" w:bidi="ar-SA"/>
        </w:rPr>
        <w:sectPr>
          <w:headerReference r:id="rId6" w:type="default"/>
          <w:footerReference r:id="rId7" w:type="default"/>
          <w:pgSz w:w="11906" w:h="16838"/>
          <w:pgMar w:top="1440" w:right="1080" w:bottom="1440" w:left="1080" w:header="737" w:footer="737" w:gutter="0"/>
          <w:pgBorders>
            <w:top w:val="none" w:sz="0" w:space="0"/>
            <w:left w:val="none" w:sz="0" w:space="0"/>
            <w:bottom w:val="none" w:sz="0" w:space="0"/>
            <w:right w:val="none" w:sz="0" w:space="0"/>
          </w:pgBorders>
          <w:pgNumType w:fmt="decimal"/>
          <w:cols w:space="720" w:num="1"/>
          <w:rtlGutter w:val="0"/>
          <w:docGrid w:linePitch="312" w:charSpace="0"/>
        </w:sectPr>
      </w:pPr>
    </w:p>
    <w:bookmarkEnd w:id="193"/>
    <w:bookmarkEnd w:id="194"/>
    <w:bookmarkEnd w:id="195"/>
    <w:bookmarkEnd w:id="196"/>
    <w:p w14:paraId="3849528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bCs w:val="0"/>
          <w:color w:val="auto"/>
          <w:kern w:val="2"/>
          <w:sz w:val="28"/>
          <w:szCs w:val="28"/>
          <w:highlight w:val="none"/>
          <w:lang w:val="en-US" w:eastAsia="zh-CN" w:bidi="ar-SA"/>
        </w:rPr>
      </w:pPr>
      <w:r>
        <w:rPr>
          <w:rFonts w:hint="eastAsia" w:ascii="仿宋" w:hAnsi="仿宋" w:eastAsia="仿宋" w:cs="仿宋"/>
          <w:b/>
          <w:bCs w:val="0"/>
          <w:color w:val="auto"/>
          <w:kern w:val="2"/>
          <w:sz w:val="28"/>
          <w:szCs w:val="28"/>
          <w:highlight w:val="none"/>
          <w:lang w:val="en-US" w:eastAsia="zh-CN" w:bidi="ar-SA"/>
        </w:rPr>
        <w:t>十二、中小企业政策</w:t>
      </w:r>
    </w:p>
    <w:p w14:paraId="0ACE314F">
      <w:pPr>
        <w:spacing w:before="312" w:beforeLines="100" w:after="312" w:afterLines="100" w:line="360" w:lineRule="auto"/>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中小企业声明函（工程、服务）格式（如是）</w:t>
      </w:r>
    </w:p>
    <w:p w14:paraId="23464DE3">
      <w:pPr>
        <w:spacing w:line="360" w:lineRule="auto"/>
        <w:ind w:firstLine="504"/>
        <w:rPr>
          <w:rFonts w:hint="eastAsia" w:ascii="仿宋" w:hAnsi="仿宋" w:eastAsia="仿宋" w:cs="仿宋"/>
          <w:color w:val="auto"/>
          <w:spacing w:val="6"/>
          <w:sz w:val="22"/>
          <w:szCs w:val="22"/>
          <w:highlight w:val="none"/>
        </w:rPr>
      </w:pPr>
      <w:r>
        <w:rPr>
          <w:rFonts w:hint="eastAsia" w:ascii="仿宋" w:hAnsi="仿宋" w:eastAsia="仿宋" w:cs="仿宋"/>
          <w:color w:val="auto"/>
          <w:spacing w:val="6"/>
          <w:sz w:val="22"/>
          <w:szCs w:val="22"/>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B26BB0E">
      <w:pPr>
        <w:spacing w:line="360" w:lineRule="auto"/>
        <w:ind w:firstLine="504"/>
        <w:rPr>
          <w:rFonts w:hint="eastAsia" w:ascii="仿宋" w:hAnsi="仿宋" w:eastAsia="仿宋" w:cs="仿宋"/>
          <w:color w:val="auto"/>
          <w:spacing w:val="6"/>
          <w:sz w:val="22"/>
          <w:szCs w:val="22"/>
          <w:highlight w:val="none"/>
        </w:rPr>
      </w:pPr>
      <w:r>
        <w:rPr>
          <w:rFonts w:hint="eastAsia" w:ascii="仿宋" w:hAnsi="仿宋" w:eastAsia="仿宋" w:cs="仿宋"/>
          <w:color w:val="auto"/>
          <w:spacing w:val="6"/>
          <w:sz w:val="22"/>
          <w:szCs w:val="22"/>
          <w:highlight w:val="none"/>
        </w:rPr>
        <w:t>1.</w:t>
      </w:r>
      <w:r>
        <w:rPr>
          <w:rFonts w:hint="eastAsia" w:ascii="仿宋" w:hAnsi="仿宋" w:eastAsia="仿宋" w:cs="仿宋"/>
          <w:color w:val="auto"/>
          <w:spacing w:val="6"/>
          <w:sz w:val="22"/>
          <w:szCs w:val="22"/>
          <w:highlight w:val="none"/>
          <w:u w:val="single"/>
        </w:rPr>
        <w:t>（标的名称）</w:t>
      </w:r>
      <w:r>
        <w:rPr>
          <w:rFonts w:hint="eastAsia" w:ascii="仿宋" w:hAnsi="仿宋" w:eastAsia="仿宋" w:cs="仿宋"/>
          <w:color w:val="auto"/>
          <w:spacing w:val="6"/>
          <w:sz w:val="22"/>
          <w:szCs w:val="22"/>
          <w:highlight w:val="none"/>
        </w:rPr>
        <w:t>，属于</w:t>
      </w:r>
      <w:r>
        <w:rPr>
          <w:rFonts w:hint="eastAsia" w:ascii="仿宋" w:hAnsi="仿宋" w:eastAsia="仿宋" w:cs="仿宋"/>
          <w:color w:val="auto"/>
          <w:spacing w:val="6"/>
          <w:sz w:val="22"/>
          <w:szCs w:val="22"/>
          <w:highlight w:val="none"/>
          <w:u w:val="single"/>
        </w:rPr>
        <w:t>（采购文件中明确的所属行业）</w:t>
      </w:r>
      <w:r>
        <w:rPr>
          <w:rFonts w:hint="eastAsia" w:ascii="仿宋" w:hAnsi="仿宋" w:eastAsia="仿宋" w:cs="仿宋"/>
          <w:color w:val="auto"/>
          <w:spacing w:val="6"/>
          <w:sz w:val="22"/>
          <w:szCs w:val="22"/>
          <w:highlight w:val="none"/>
        </w:rPr>
        <w:t>行业；承建（承接）企业为</w:t>
      </w:r>
      <w:r>
        <w:rPr>
          <w:rFonts w:hint="eastAsia" w:ascii="仿宋" w:hAnsi="仿宋" w:eastAsia="仿宋" w:cs="仿宋"/>
          <w:color w:val="auto"/>
          <w:spacing w:val="6"/>
          <w:sz w:val="22"/>
          <w:szCs w:val="22"/>
          <w:highlight w:val="none"/>
          <w:u w:val="single"/>
        </w:rPr>
        <w:t>（企业名称）</w:t>
      </w:r>
      <w:r>
        <w:rPr>
          <w:rFonts w:hint="eastAsia" w:ascii="仿宋" w:hAnsi="仿宋" w:eastAsia="仿宋" w:cs="仿宋"/>
          <w:color w:val="auto"/>
          <w:spacing w:val="6"/>
          <w:sz w:val="22"/>
          <w:szCs w:val="22"/>
          <w:highlight w:val="none"/>
        </w:rPr>
        <w:t>，从业人员______人，营业收入为______万元，资产总额为______万元</w:t>
      </w:r>
      <w:r>
        <w:rPr>
          <w:rFonts w:hint="eastAsia" w:ascii="仿宋" w:hAnsi="仿宋" w:eastAsia="仿宋" w:cs="仿宋"/>
          <w:color w:val="auto"/>
          <w:spacing w:val="6"/>
          <w:sz w:val="22"/>
          <w:szCs w:val="22"/>
          <w:highlight w:val="none"/>
          <w:vertAlign w:val="superscript"/>
        </w:rPr>
        <w:t>1</w:t>
      </w:r>
      <w:r>
        <w:rPr>
          <w:rFonts w:hint="eastAsia" w:ascii="仿宋" w:hAnsi="仿宋" w:eastAsia="仿宋" w:cs="仿宋"/>
          <w:color w:val="auto"/>
          <w:spacing w:val="6"/>
          <w:sz w:val="22"/>
          <w:szCs w:val="22"/>
          <w:highlight w:val="none"/>
        </w:rPr>
        <w:t>，属于（中型企业、小型企业、微型企业）；</w:t>
      </w:r>
    </w:p>
    <w:p w14:paraId="77E2EDC3">
      <w:pPr>
        <w:spacing w:line="360" w:lineRule="auto"/>
        <w:ind w:firstLine="504"/>
        <w:rPr>
          <w:rFonts w:hint="eastAsia" w:ascii="仿宋" w:hAnsi="仿宋" w:eastAsia="仿宋" w:cs="仿宋"/>
          <w:color w:val="auto"/>
          <w:spacing w:val="6"/>
          <w:sz w:val="22"/>
          <w:szCs w:val="22"/>
          <w:highlight w:val="none"/>
        </w:rPr>
      </w:pPr>
      <w:r>
        <w:rPr>
          <w:rFonts w:hint="eastAsia" w:ascii="仿宋" w:hAnsi="仿宋" w:eastAsia="仿宋" w:cs="仿宋"/>
          <w:color w:val="auto"/>
          <w:spacing w:val="6"/>
          <w:sz w:val="22"/>
          <w:szCs w:val="22"/>
          <w:highlight w:val="none"/>
        </w:rPr>
        <w:t>2.</w:t>
      </w:r>
      <w:r>
        <w:rPr>
          <w:rFonts w:hint="eastAsia" w:ascii="仿宋" w:hAnsi="仿宋" w:eastAsia="仿宋" w:cs="仿宋"/>
          <w:color w:val="auto"/>
          <w:spacing w:val="6"/>
          <w:sz w:val="22"/>
          <w:szCs w:val="22"/>
          <w:highlight w:val="none"/>
          <w:u w:val="single"/>
        </w:rPr>
        <w:t>（标的名称）</w:t>
      </w:r>
      <w:r>
        <w:rPr>
          <w:rFonts w:hint="eastAsia" w:ascii="仿宋" w:hAnsi="仿宋" w:eastAsia="仿宋" w:cs="仿宋"/>
          <w:color w:val="auto"/>
          <w:spacing w:val="6"/>
          <w:sz w:val="22"/>
          <w:szCs w:val="22"/>
          <w:highlight w:val="none"/>
        </w:rPr>
        <w:t>，属于</w:t>
      </w:r>
      <w:r>
        <w:rPr>
          <w:rFonts w:hint="eastAsia" w:ascii="仿宋" w:hAnsi="仿宋" w:eastAsia="仿宋" w:cs="仿宋"/>
          <w:color w:val="auto"/>
          <w:spacing w:val="6"/>
          <w:sz w:val="22"/>
          <w:szCs w:val="22"/>
          <w:highlight w:val="none"/>
          <w:u w:val="single"/>
        </w:rPr>
        <w:t>（采购文件中明确的所属行业）</w:t>
      </w:r>
      <w:r>
        <w:rPr>
          <w:rFonts w:hint="eastAsia" w:ascii="仿宋" w:hAnsi="仿宋" w:eastAsia="仿宋" w:cs="仿宋"/>
          <w:color w:val="auto"/>
          <w:spacing w:val="6"/>
          <w:sz w:val="22"/>
          <w:szCs w:val="22"/>
          <w:highlight w:val="none"/>
        </w:rPr>
        <w:t>行业；承建（承接）企业为</w:t>
      </w:r>
      <w:r>
        <w:rPr>
          <w:rFonts w:hint="eastAsia" w:ascii="仿宋" w:hAnsi="仿宋" w:eastAsia="仿宋" w:cs="仿宋"/>
          <w:color w:val="auto"/>
          <w:spacing w:val="6"/>
          <w:sz w:val="22"/>
          <w:szCs w:val="22"/>
          <w:highlight w:val="none"/>
          <w:u w:val="single"/>
        </w:rPr>
        <w:t>（企业名称）</w:t>
      </w:r>
      <w:r>
        <w:rPr>
          <w:rFonts w:hint="eastAsia" w:ascii="仿宋" w:hAnsi="仿宋" w:eastAsia="仿宋" w:cs="仿宋"/>
          <w:color w:val="auto"/>
          <w:spacing w:val="6"/>
          <w:sz w:val="22"/>
          <w:szCs w:val="22"/>
          <w:highlight w:val="none"/>
        </w:rPr>
        <w:t>，从业人员______人，营业收入为______万元，资产总额为______万元，属于</w:t>
      </w:r>
      <w:r>
        <w:rPr>
          <w:rFonts w:hint="eastAsia" w:ascii="仿宋" w:hAnsi="仿宋" w:eastAsia="仿宋" w:cs="仿宋"/>
          <w:color w:val="auto"/>
          <w:spacing w:val="6"/>
          <w:sz w:val="22"/>
          <w:szCs w:val="22"/>
          <w:highlight w:val="none"/>
          <w:u w:val="single"/>
        </w:rPr>
        <w:t>（中型企业、小型企业、微型企业）</w:t>
      </w:r>
      <w:r>
        <w:rPr>
          <w:rFonts w:hint="eastAsia" w:ascii="仿宋" w:hAnsi="仿宋" w:eastAsia="仿宋" w:cs="仿宋"/>
          <w:color w:val="auto"/>
          <w:spacing w:val="6"/>
          <w:sz w:val="22"/>
          <w:szCs w:val="22"/>
          <w:highlight w:val="none"/>
        </w:rPr>
        <w:t>；</w:t>
      </w:r>
    </w:p>
    <w:p w14:paraId="57C83E56">
      <w:pPr>
        <w:spacing w:line="360" w:lineRule="auto"/>
        <w:ind w:firstLine="504"/>
        <w:rPr>
          <w:rFonts w:hint="eastAsia" w:ascii="仿宋" w:hAnsi="仿宋" w:eastAsia="仿宋" w:cs="仿宋"/>
          <w:color w:val="auto"/>
          <w:spacing w:val="6"/>
          <w:sz w:val="22"/>
          <w:szCs w:val="22"/>
          <w:highlight w:val="none"/>
        </w:rPr>
      </w:pPr>
    </w:p>
    <w:p w14:paraId="380C43AE">
      <w:pPr>
        <w:spacing w:line="360" w:lineRule="auto"/>
        <w:ind w:firstLine="504"/>
        <w:rPr>
          <w:rFonts w:hint="eastAsia" w:ascii="仿宋" w:hAnsi="仿宋" w:eastAsia="仿宋" w:cs="仿宋"/>
          <w:color w:val="auto"/>
          <w:spacing w:val="6"/>
          <w:sz w:val="22"/>
          <w:szCs w:val="22"/>
          <w:highlight w:val="none"/>
        </w:rPr>
      </w:pPr>
      <w:r>
        <w:rPr>
          <w:rFonts w:hint="eastAsia" w:ascii="仿宋" w:hAnsi="仿宋" w:eastAsia="仿宋" w:cs="仿宋"/>
          <w:color w:val="auto"/>
          <w:spacing w:val="6"/>
          <w:sz w:val="22"/>
          <w:szCs w:val="22"/>
          <w:highlight w:val="none"/>
        </w:rPr>
        <w:t>……</w:t>
      </w:r>
    </w:p>
    <w:p w14:paraId="498D4D44">
      <w:pPr>
        <w:spacing w:line="360" w:lineRule="auto"/>
        <w:ind w:firstLine="504"/>
        <w:rPr>
          <w:rFonts w:hint="eastAsia" w:ascii="仿宋" w:hAnsi="仿宋" w:eastAsia="仿宋" w:cs="仿宋"/>
          <w:color w:val="auto"/>
          <w:spacing w:val="6"/>
          <w:sz w:val="22"/>
          <w:szCs w:val="22"/>
          <w:highlight w:val="none"/>
        </w:rPr>
      </w:pPr>
      <w:r>
        <w:rPr>
          <w:rFonts w:hint="eastAsia" w:ascii="仿宋" w:hAnsi="仿宋" w:eastAsia="仿宋" w:cs="仿宋"/>
          <w:color w:val="auto"/>
          <w:spacing w:val="6"/>
          <w:sz w:val="22"/>
          <w:szCs w:val="22"/>
          <w:highlight w:val="none"/>
        </w:rPr>
        <w:t>以上企业，不属于大企业的分支机构，不存在控股股东为大企业的情形，也不存在与大企业的负责人为同一人的情形。</w:t>
      </w:r>
    </w:p>
    <w:p w14:paraId="4CDA087D">
      <w:pPr>
        <w:spacing w:line="360" w:lineRule="auto"/>
        <w:ind w:firstLine="504"/>
        <w:rPr>
          <w:rFonts w:hint="eastAsia" w:ascii="仿宋" w:hAnsi="仿宋" w:eastAsia="仿宋" w:cs="仿宋"/>
          <w:color w:val="auto"/>
          <w:spacing w:val="6"/>
          <w:sz w:val="22"/>
          <w:szCs w:val="22"/>
          <w:highlight w:val="none"/>
        </w:rPr>
      </w:pPr>
      <w:r>
        <w:rPr>
          <w:rFonts w:hint="eastAsia" w:ascii="仿宋" w:hAnsi="仿宋" w:eastAsia="仿宋" w:cs="仿宋"/>
          <w:color w:val="auto"/>
          <w:spacing w:val="6"/>
          <w:sz w:val="22"/>
          <w:szCs w:val="22"/>
          <w:highlight w:val="none"/>
        </w:rPr>
        <w:t>本企业对上述声明内容的真实性负责。如有虚假，将依法承担相应责任。</w:t>
      </w:r>
    </w:p>
    <w:p w14:paraId="638474A1">
      <w:pPr>
        <w:spacing w:line="360" w:lineRule="auto"/>
        <w:ind w:firstLine="504"/>
        <w:rPr>
          <w:rFonts w:hint="eastAsia" w:ascii="仿宋" w:hAnsi="仿宋" w:eastAsia="仿宋" w:cs="仿宋"/>
          <w:color w:val="auto"/>
          <w:spacing w:val="6"/>
          <w:sz w:val="22"/>
          <w:szCs w:val="22"/>
          <w:highlight w:val="none"/>
        </w:rPr>
      </w:pPr>
    </w:p>
    <w:p w14:paraId="6B7B40CB">
      <w:pPr>
        <w:spacing w:line="360" w:lineRule="auto"/>
        <w:ind w:firstLine="504"/>
        <w:rPr>
          <w:rFonts w:hint="eastAsia" w:ascii="仿宋" w:hAnsi="仿宋" w:eastAsia="仿宋" w:cs="仿宋"/>
          <w:color w:val="auto"/>
          <w:spacing w:val="6"/>
          <w:sz w:val="22"/>
          <w:szCs w:val="22"/>
          <w:highlight w:val="none"/>
        </w:rPr>
      </w:pPr>
      <w:r>
        <w:rPr>
          <w:rFonts w:hint="eastAsia" w:ascii="仿宋" w:hAnsi="仿宋" w:eastAsia="仿宋" w:cs="仿宋"/>
          <w:color w:val="auto"/>
          <w:spacing w:val="6"/>
          <w:sz w:val="22"/>
          <w:szCs w:val="22"/>
          <w:highlight w:val="none"/>
        </w:rPr>
        <w:t xml:space="preserve">                                    </w:t>
      </w:r>
    </w:p>
    <w:p w14:paraId="727192B2">
      <w:pPr>
        <w:spacing w:line="360" w:lineRule="auto"/>
        <w:ind w:firstLine="4957" w:firstLineChars="2137"/>
        <w:rPr>
          <w:rFonts w:hint="eastAsia" w:ascii="仿宋" w:hAnsi="仿宋" w:eastAsia="仿宋" w:cs="仿宋"/>
          <w:color w:val="auto"/>
          <w:spacing w:val="6"/>
          <w:sz w:val="22"/>
          <w:szCs w:val="22"/>
          <w:highlight w:val="none"/>
        </w:rPr>
      </w:pPr>
      <w:r>
        <w:rPr>
          <w:rFonts w:hint="eastAsia" w:ascii="仿宋" w:hAnsi="仿宋" w:eastAsia="仿宋" w:cs="仿宋"/>
          <w:color w:val="auto"/>
          <w:spacing w:val="6"/>
          <w:sz w:val="22"/>
          <w:szCs w:val="22"/>
          <w:highlight w:val="none"/>
        </w:rPr>
        <w:t xml:space="preserve"> 企业名称（盖章）：</w:t>
      </w:r>
    </w:p>
    <w:p w14:paraId="0A15A6AF">
      <w:pPr>
        <w:spacing w:line="360" w:lineRule="auto"/>
        <w:ind w:firstLine="5104" w:firstLineChars="2200"/>
        <w:rPr>
          <w:rFonts w:hint="eastAsia" w:ascii="仿宋" w:hAnsi="仿宋" w:eastAsia="仿宋" w:cs="仿宋"/>
          <w:color w:val="auto"/>
          <w:spacing w:val="6"/>
          <w:sz w:val="22"/>
          <w:szCs w:val="22"/>
          <w:highlight w:val="none"/>
        </w:rPr>
      </w:pPr>
    </w:p>
    <w:p w14:paraId="7BA85054">
      <w:pPr>
        <w:spacing w:line="360" w:lineRule="auto"/>
        <w:ind w:firstLine="5104" w:firstLineChars="2200"/>
        <w:rPr>
          <w:rFonts w:hint="eastAsia" w:ascii="仿宋" w:hAnsi="仿宋" w:eastAsia="仿宋" w:cs="仿宋"/>
          <w:color w:val="auto"/>
          <w:spacing w:val="6"/>
          <w:sz w:val="22"/>
          <w:szCs w:val="22"/>
          <w:highlight w:val="none"/>
        </w:rPr>
      </w:pPr>
      <w:r>
        <w:rPr>
          <w:rFonts w:hint="eastAsia" w:ascii="仿宋" w:hAnsi="仿宋" w:eastAsia="仿宋" w:cs="仿宋"/>
          <w:color w:val="auto"/>
          <w:spacing w:val="6"/>
          <w:sz w:val="22"/>
          <w:szCs w:val="22"/>
          <w:highlight w:val="none"/>
        </w:rPr>
        <w:t>日 期：</w:t>
      </w:r>
    </w:p>
    <w:p w14:paraId="031E8EAC">
      <w:pPr>
        <w:ind w:firstLine="232" w:firstLineChars="100"/>
        <w:rPr>
          <w:rFonts w:hint="eastAsia" w:ascii="仿宋" w:hAnsi="仿宋" w:eastAsia="仿宋" w:cs="仿宋"/>
          <w:color w:val="auto"/>
          <w:spacing w:val="6"/>
          <w:sz w:val="22"/>
          <w:szCs w:val="22"/>
          <w:highlight w:val="none"/>
        </w:rPr>
      </w:pPr>
    </w:p>
    <w:p w14:paraId="4653FC2E">
      <w:pPr>
        <w:ind w:firstLine="232" w:firstLineChars="100"/>
        <w:rPr>
          <w:rFonts w:hint="eastAsia" w:ascii="仿宋" w:hAnsi="仿宋" w:eastAsia="仿宋" w:cs="仿宋"/>
          <w:color w:val="auto"/>
          <w:spacing w:val="6"/>
          <w:sz w:val="22"/>
          <w:szCs w:val="22"/>
          <w:highlight w:val="none"/>
        </w:rPr>
      </w:pPr>
    </w:p>
    <w:p w14:paraId="1EFE4430">
      <w:pPr>
        <w:rPr>
          <w:rFonts w:hint="eastAsia" w:ascii="仿宋" w:hAnsi="仿宋" w:eastAsia="仿宋" w:cs="仿宋"/>
          <w:color w:val="auto"/>
          <w:spacing w:val="6"/>
          <w:sz w:val="22"/>
          <w:szCs w:val="22"/>
          <w:highlight w:val="none"/>
        </w:rPr>
      </w:pPr>
    </w:p>
    <w:p w14:paraId="0EF9B950">
      <w:pPr>
        <w:spacing w:line="360" w:lineRule="auto"/>
        <w:ind w:firstLine="504"/>
        <w:rPr>
          <w:rFonts w:hint="eastAsia" w:ascii="仿宋" w:hAnsi="仿宋" w:eastAsia="仿宋" w:cs="仿宋"/>
          <w:color w:val="auto"/>
          <w:spacing w:val="6"/>
          <w:sz w:val="22"/>
          <w:szCs w:val="22"/>
          <w:highlight w:val="none"/>
        </w:rPr>
      </w:pPr>
      <w:r>
        <w:rPr>
          <w:rFonts w:hint="eastAsia" w:ascii="仿宋" w:hAnsi="仿宋" w:eastAsia="仿宋" w:cs="仿宋"/>
          <w:color w:val="auto"/>
          <w:spacing w:val="6"/>
          <w:sz w:val="22"/>
          <w:szCs w:val="22"/>
          <w:highlight w:val="none"/>
        </w:rPr>
        <w:t>从业人员、营业收入、资产总额填报上一年度数据，无上一年度数据的新成立企业可不填报。</w:t>
      </w:r>
    </w:p>
    <w:p w14:paraId="78CBAB95">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仿宋" w:hAnsi="仿宋" w:eastAsia="仿宋" w:cs="仿宋"/>
          <w:color w:val="auto"/>
          <w:spacing w:val="6"/>
          <w:sz w:val="22"/>
          <w:szCs w:val="22"/>
          <w:highlight w:val="none"/>
        </w:rPr>
      </w:pPr>
    </w:p>
    <w:p w14:paraId="26934E6C">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仿宋" w:hAnsi="仿宋" w:eastAsia="仿宋" w:cs="仿宋"/>
          <w:color w:val="auto"/>
          <w:spacing w:val="6"/>
          <w:sz w:val="22"/>
          <w:szCs w:val="22"/>
          <w:highlight w:val="none"/>
        </w:rPr>
      </w:pPr>
    </w:p>
    <w:p w14:paraId="1451A80C">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仿宋" w:hAnsi="仿宋" w:eastAsia="仿宋" w:cs="仿宋"/>
          <w:color w:val="auto"/>
          <w:spacing w:val="6"/>
          <w:sz w:val="22"/>
          <w:szCs w:val="22"/>
          <w:highlight w:val="none"/>
        </w:rPr>
      </w:pPr>
    </w:p>
    <w:p w14:paraId="7B886363">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Style w:val="149"/>
          <w:rFonts w:hint="eastAsia" w:ascii="仿宋" w:hAnsi="仿宋" w:eastAsia="仿宋" w:cs="仿宋"/>
          <w:b/>
          <w:bCs/>
          <w:color w:val="auto"/>
          <w:kern w:val="2"/>
          <w:sz w:val="28"/>
          <w:szCs w:val="28"/>
          <w:highlight w:val="none"/>
          <w:lang w:val="en-US" w:eastAsia="zh-CN" w:bidi="ar-SA"/>
        </w:rPr>
      </w:pPr>
    </w:p>
    <w:p w14:paraId="4688F008">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仿宋" w:hAnsi="仿宋" w:eastAsia="仿宋" w:cs="仿宋"/>
          <w:b/>
          <w:bCs/>
          <w:color w:val="000000"/>
          <w:sz w:val="28"/>
          <w:szCs w:val="28"/>
          <w:highlight w:val="none"/>
        </w:rPr>
      </w:pPr>
      <w:r>
        <w:rPr>
          <w:rStyle w:val="149"/>
          <w:rFonts w:hint="eastAsia" w:ascii="仿宋" w:hAnsi="仿宋" w:eastAsia="仿宋" w:cs="仿宋"/>
          <w:b/>
          <w:bCs/>
          <w:color w:val="auto"/>
          <w:kern w:val="2"/>
          <w:sz w:val="28"/>
          <w:szCs w:val="28"/>
          <w:highlight w:val="none"/>
          <w:lang w:val="en-US" w:eastAsia="zh-CN" w:bidi="ar-SA"/>
        </w:rPr>
        <w:t>JY</w:t>
      </w:r>
      <w:r>
        <w:rPr>
          <w:rStyle w:val="149"/>
          <w:rFonts w:hint="eastAsia" w:ascii="仿宋" w:hAnsi="仿宋" w:eastAsia="仿宋" w:cs="仿宋"/>
          <w:bCs w:val="0"/>
          <w:color w:val="auto"/>
          <w:kern w:val="2"/>
          <w:sz w:val="28"/>
          <w:szCs w:val="28"/>
          <w:highlight w:val="none"/>
          <w:lang w:val="en-US" w:eastAsia="zh-CN" w:bidi="ar-SA"/>
        </w:rPr>
        <w:t>企业声明函</w:t>
      </w:r>
      <w:r>
        <w:rPr>
          <w:rStyle w:val="138"/>
          <w:rFonts w:hint="eastAsia" w:ascii="仿宋" w:hAnsi="仿宋" w:eastAsia="仿宋" w:cs="仿宋"/>
          <w:b/>
          <w:bCs/>
          <w:color w:val="auto"/>
          <w:sz w:val="28"/>
          <w:szCs w:val="28"/>
          <w:highlight w:val="none"/>
          <w:lang w:val="zh-CN" w:eastAsia="zh-CN"/>
        </w:rPr>
        <w:t>（如是）</w:t>
      </w:r>
    </w:p>
    <w:p w14:paraId="45BABAC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4"/>
          <w:szCs w:val="24"/>
          <w:highlight w:val="none"/>
          <w:lang w:val="en-US" w:eastAsia="zh-CN"/>
        </w:rPr>
      </w:pPr>
      <w:bookmarkStart w:id="197" w:name="_Toc32447"/>
      <w:r>
        <w:rPr>
          <w:rFonts w:hint="eastAsia" w:ascii="仿宋" w:hAnsi="仿宋" w:eastAsia="仿宋" w:cs="仿宋"/>
          <w:color w:val="auto"/>
          <w:sz w:val="24"/>
          <w:szCs w:val="24"/>
          <w:highlight w:val="none"/>
          <w:lang w:val="en-US" w:eastAsia="zh-CN"/>
        </w:rPr>
        <w:t>【不属于JY企业的无需填写、递交】</w:t>
      </w:r>
      <w:bookmarkEnd w:id="197"/>
    </w:p>
    <w:p w14:paraId="10B17441">
      <w:pPr>
        <w:pageBreakBefore w:val="0"/>
        <w:widowControl/>
        <w:shd w:val="clear" w:color="auto" w:fill="auto"/>
        <w:kinsoku/>
        <w:wordWrap/>
        <w:overflowPunct/>
        <w:topLinePunct w:val="0"/>
        <w:bidi w:val="0"/>
        <w:adjustRightInd w:val="0"/>
        <w:snapToGrid w:val="0"/>
        <w:spacing w:line="360" w:lineRule="auto"/>
        <w:ind w:firstLine="480" w:firstLineChars="200"/>
        <w:jc w:val="left"/>
        <w:outlineLvl w:val="9"/>
        <w:rPr>
          <w:rFonts w:hint="eastAsia" w:ascii="仿宋" w:hAnsi="仿宋" w:eastAsia="仿宋" w:cs="仿宋"/>
          <w:color w:val="auto"/>
          <w:kern w:val="0"/>
          <w:sz w:val="24"/>
          <w:highlight w:val="none"/>
        </w:rPr>
      </w:pPr>
    </w:p>
    <w:p w14:paraId="0AAF1F88">
      <w:pPr>
        <w:keepNext w:val="0"/>
        <w:keepLines w:val="0"/>
        <w:pageBreakBefore w:val="0"/>
        <w:widowControl/>
        <w:shd w:val="clear" w:color="auto" w:fill="auto"/>
        <w:kinsoku/>
        <w:wordWrap/>
        <w:overflowPunct/>
        <w:topLinePunct w:val="0"/>
        <w:autoSpaceDE/>
        <w:autoSpaceDN/>
        <w:bidi w:val="0"/>
        <w:adjustRightInd w:val="0"/>
        <w:snapToGrid w:val="0"/>
        <w:spacing w:line="480" w:lineRule="auto"/>
        <w:ind w:firstLine="480" w:firstLineChars="200"/>
        <w:jc w:val="left"/>
        <w:textAlignment w:val="auto"/>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本单位郑重声明，本单位在参加</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（采购人名称）</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（招标项目名称）</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rPr>
        <w:t>项目采购活动提供以下</w:t>
      </w:r>
      <w:r>
        <w:rPr>
          <w:rFonts w:hint="eastAsia" w:ascii="仿宋" w:hAnsi="仿宋" w:eastAsia="仿宋" w:cs="仿宋"/>
          <w:color w:val="auto"/>
          <w:kern w:val="0"/>
          <w:sz w:val="24"/>
          <w:highlight w:val="none"/>
          <w:lang w:eastAsia="zh-CN"/>
        </w:rPr>
        <w:t>JY</w:t>
      </w:r>
      <w:r>
        <w:rPr>
          <w:rFonts w:hint="eastAsia" w:ascii="仿宋" w:hAnsi="仿宋" w:eastAsia="仿宋" w:cs="仿宋"/>
          <w:color w:val="auto"/>
          <w:kern w:val="0"/>
          <w:sz w:val="24"/>
          <w:highlight w:val="none"/>
        </w:rPr>
        <w:t>企业制造的货物（或</w:t>
      </w:r>
      <w:r>
        <w:rPr>
          <w:rFonts w:hint="eastAsia" w:ascii="仿宋" w:hAnsi="仿宋" w:eastAsia="仿宋" w:cs="仿宋"/>
          <w:color w:val="auto"/>
          <w:kern w:val="0"/>
          <w:sz w:val="24"/>
          <w:highlight w:val="none"/>
          <w:lang w:eastAsia="zh-CN"/>
        </w:rPr>
        <w:t>JY</w:t>
      </w:r>
      <w:r>
        <w:rPr>
          <w:rFonts w:hint="eastAsia" w:ascii="仿宋" w:hAnsi="仿宋" w:eastAsia="仿宋" w:cs="仿宋"/>
          <w:color w:val="auto"/>
          <w:kern w:val="0"/>
          <w:sz w:val="24"/>
          <w:highlight w:val="none"/>
        </w:rPr>
        <w:t>企业承担的工程、或</w:t>
      </w:r>
      <w:r>
        <w:rPr>
          <w:rFonts w:hint="eastAsia" w:ascii="仿宋" w:hAnsi="仿宋" w:eastAsia="仿宋" w:cs="仿宋"/>
          <w:color w:val="auto"/>
          <w:kern w:val="0"/>
          <w:sz w:val="24"/>
          <w:highlight w:val="none"/>
          <w:lang w:eastAsia="zh-CN"/>
        </w:rPr>
        <w:t>JY</w:t>
      </w:r>
      <w:r>
        <w:rPr>
          <w:rFonts w:hint="eastAsia" w:ascii="仿宋" w:hAnsi="仿宋" w:eastAsia="仿宋" w:cs="仿宋"/>
          <w:color w:val="auto"/>
          <w:kern w:val="0"/>
          <w:sz w:val="24"/>
          <w:highlight w:val="none"/>
        </w:rPr>
        <w:t>企业承接的服务），具体情况如下：（按照实际情况勾选或填空）</w:t>
      </w:r>
    </w:p>
    <w:p w14:paraId="7C37956D">
      <w:pPr>
        <w:keepNext w:val="0"/>
        <w:keepLines w:val="0"/>
        <w:pageBreakBefore w:val="0"/>
        <w:widowControl/>
        <w:shd w:val="clear" w:color="auto" w:fill="auto"/>
        <w:kinsoku/>
        <w:wordWrap/>
        <w:overflowPunct/>
        <w:topLinePunct w:val="0"/>
        <w:autoSpaceDE/>
        <w:autoSpaceDN/>
        <w:bidi w:val="0"/>
        <w:adjustRightInd w:val="0"/>
        <w:snapToGrid w:val="0"/>
        <w:spacing w:line="480" w:lineRule="auto"/>
        <w:ind w:firstLine="360" w:firstLineChars="150"/>
        <w:jc w:val="left"/>
        <w:textAlignment w:val="auto"/>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u w:val="single"/>
        </w:rPr>
        <w:t>（制造商名称）</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lang w:eastAsia="zh-CN"/>
        </w:rPr>
        <w:t>JY</w:t>
      </w:r>
      <w:r>
        <w:rPr>
          <w:rFonts w:hint="eastAsia" w:ascii="仿宋" w:hAnsi="仿宋" w:eastAsia="仿宋" w:cs="仿宋"/>
          <w:color w:val="auto"/>
          <w:kern w:val="0"/>
          <w:sz w:val="24"/>
          <w:highlight w:val="none"/>
        </w:rPr>
        <w:t>企业，后附省级以上</w:t>
      </w:r>
      <w:r>
        <w:rPr>
          <w:rFonts w:hint="eastAsia" w:ascii="仿宋" w:hAnsi="仿宋" w:eastAsia="仿宋" w:cs="仿宋"/>
          <w:color w:val="auto"/>
          <w:kern w:val="0"/>
          <w:sz w:val="24"/>
          <w:highlight w:val="none"/>
          <w:lang w:eastAsia="zh-CN"/>
        </w:rPr>
        <w:t>JY</w:t>
      </w:r>
      <w:r>
        <w:rPr>
          <w:rFonts w:hint="eastAsia" w:ascii="仿宋" w:hAnsi="仿宋" w:eastAsia="仿宋" w:cs="仿宋"/>
          <w:color w:val="auto"/>
          <w:kern w:val="0"/>
          <w:sz w:val="24"/>
          <w:highlight w:val="none"/>
        </w:rPr>
        <w:t>管理局、</w:t>
      </w:r>
      <w:r>
        <w:rPr>
          <w:rFonts w:hint="eastAsia" w:ascii="仿宋" w:hAnsi="仿宋" w:eastAsia="仿宋" w:cs="仿宋"/>
          <w:color w:val="auto"/>
          <w:kern w:val="0"/>
          <w:sz w:val="24"/>
          <w:highlight w:val="none"/>
          <w:lang w:eastAsia="zh-CN"/>
        </w:rPr>
        <w:t>JD</w:t>
      </w:r>
      <w:r>
        <w:rPr>
          <w:rFonts w:hint="eastAsia" w:ascii="仿宋" w:hAnsi="仿宋" w:eastAsia="仿宋" w:cs="仿宋"/>
          <w:color w:val="auto"/>
          <w:kern w:val="0"/>
          <w:sz w:val="24"/>
          <w:highlight w:val="none"/>
        </w:rPr>
        <w:t>管理局（含新疆生产建设兵团）出具的属于</w:t>
      </w:r>
      <w:r>
        <w:rPr>
          <w:rFonts w:hint="eastAsia" w:ascii="仿宋" w:hAnsi="仿宋" w:eastAsia="仿宋" w:cs="仿宋"/>
          <w:color w:val="auto"/>
          <w:kern w:val="0"/>
          <w:sz w:val="24"/>
          <w:highlight w:val="none"/>
          <w:lang w:eastAsia="zh-CN"/>
        </w:rPr>
        <w:t>JY</w:t>
      </w:r>
      <w:r>
        <w:rPr>
          <w:rFonts w:hint="eastAsia" w:ascii="仿宋" w:hAnsi="仿宋" w:eastAsia="仿宋" w:cs="仿宋"/>
          <w:color w:val="auto"/>
          <w:kern w:val="0"/>
          <w:sz w:val="24"/>
          <w:highlight w:val="none"/>
        </w:rPr>
        <w:t>企业的证明文件。</w:t>
      </w:r>
    </w:p>
    <w:p w14:paraId="0FE16651">
      <w:pPr>
        <w:pageBreakBefore w:val="0"/>
        <w:widowControl/>
        <w:shd w:val="clear" w:color="auto" w:fill="auto"/>
        <w:kinsoku/>
        <w:wordWrap/>
        <w:overflowPunct/>
        <w:topLinePunct w:val="0"/>
        <w:bidi w:val="0"/>
        <w:adjustRightInd w:val="0"/>
        <w:snapToGrid w:val="0"/>
        <w:spacing w:line="480" w:lineRule="auto"/>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u w:val="single"/>
        </w:rPr>
        <w:t>（制造商名称）</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lang w:eastAsia="zh-CN"/>
        </w:rPr>
        <w:t>JY</w:t>
      </w:r>
      <w:r>
        <w:rPr>
          <w:rFonts w:hint="eastAsia" w:ascii="仿宋" w:hAnsi="仿宋" w:eastAsia="仿宋" w:cs="仿宋"/>
          <w:color w:val="auto"/>
          <w:kern w:val="0"/>
          <w:sz w:val="24"/>
          <w:highlight w:val="none"/>
        </w:rPr>
        <w:t>企业并作为联合体一方，其提供协议合同金额占到共同投标协议合同总金额的比例为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。后附省级以上</w:t>
      </w:r>
      <w:r>
        <w:rPr>
          <w:rFonts w:hint="eastAsia" w:ascii="仿宋" w:hAnsi="仿宋" w:eastAsia="仿宋" w:cs="仿宋"/>
          <w:color w:val="auto"/>
          <w:kern w:val="0"/>
          <w:sz w:val="24"/>
          <w:highlight w:val="none"/>
          <w:lang w:eastAsia="zh-CN"/>
        </w:rPr>
        <w:t>JY</w:t>
      </w:r>
      <w:r>
        <w:rPr>
          <w:rFonts w:hint="eastAsia" w:ascii="仿宋" w:hAnsi="仿宋" w:eastAsia="仿宋" w:cs="仿宋"/>
          <w:color w:val="auto"/>
          <w:kern w:val="0"/>
          <w:sz w:val="24"/>
          <w:highlight w:val="none"/>
        </w:rPr>
        <w:t>管理局、</w:t>
      </w:r>
      <w:r>
        <w:rPr>
          <w:rFonts w:hint="eastAsia" w:ascii="仿宋" w:hAnsi="仿宋" w:eastAsia="仿宋" w:cs="仿宋"/>
          <w:color w:val="auto"/>
          <w:kern w:val="0"/>
          <w:sz w:val="24"/>
          <w:highlight w:val="none"/>
          <w:lang w:eastAsia="zh-CN"/>
        </w:rPr>
        <w:t>JD</w:t>
      </w:r>
      <w:r>
        <w:rPr>
          <w:rFonts w:hint="eastAsia" w:ascii="仿宋" w:hAnsi="仿宋" w:eastAsia="仿宋" w:cs="仿宋"/>
          <w:color w:val="auto"/>
          <w:kern w:val="0"/>
          <w:sz w:val="24"/>
          <w:highlight w:val="none"/>
        </w:rPr>
        <w:t>管理局（含新疆生产建设兵团）出具的属于</w:t>
      </w:r>
      <w:r>
        <w:rPr>
          <w:rFonts w:hint="eastAsia" w:ascii="仿宋" w:hAnsi="仿宋" w:eastAsia="仿宋" w:cs="仿宋"/>
          <w:color w:val="auto"/>
          <w:kern w:val="0"/>
          <w:sz w:val="24"/>
          <w:highlight w:val="none"/>
          <w:lang w:eastAsia="zh-CN"/>
        </w:rPr>
        <w:t>JY</w:t>
      </w:r>
      <w:r>
        <w:rPr>
          <w:rFonts w:hint="eastAsia" w:ascii="仿宋" w:hAnsi="仿宋" w:eastAsia="仿宋" w:cs="仿宋"/>
          <w:color w:val="auto"/>
          <w:kern w:val="0"/>
          <w:sz w:val="24"/>
          <w:highlight w:val="none"/>
        </w:rPr>
        <w:t>企业的证明文件。</w:t>
      </w:r>
    </w:p>
    <w:p w14:paraId="2B1D2946">
      <w:pPr>
        <w:pageBreakBefore w:val="0"/>
        <w:widowControl/>
        <w:shd w:val="clear" w:color="auto" w:fill="auto"/>
        <w:kinsoku/>
        <w:wordWrap/>
        <w:overflowPunct/>
        <w:topLinePunct w:val="0"/>
        <w:bidi w:val="0"/>
        <w:adjustRightInd w:val="0"/>
        <w:snapToGrid w:val="0"/>
        <w:spacing w:line="480" w:lineRule="auto"/>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u w:val="single"/>
        </w:rPr>
        <w:t>（制造商名称）</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lang w:eastAsia="zh-CN"/>
        </w:rPr>
        <w:t>JY</w:t>
      </w:r>
      <w:r>
        <w:rPr>
          <w:rFonts w:hint="eastAsia" w:ascii="仿宋" w:hAnsi="仿宋" w:eastAsia="仿宋" w:cs="仿宋"/>
          <w:color w:val="auto"/>
          <w:kern w:val="0"/>
          <w:sz w:val="24"/>
          <w:highlight w:val="none"/>
        </w:rPr>
        <w:t>企业并作为分包方，其提供协议合同金额占到分包意向协议合同总金额的比例为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。后附省级以上</w:t>
      </w:r>
      <w:r>
        <w:rPr>
          <w:rFonts w:hint="eastAsia" w:ascii="仿宋" w:hAnsi="仿宋" w:eastAsia="仿宋" w:cs="仿宋"/>
          <w:color w:val="auto"/>
          <w:kern w:val="0"/>
          <w:sz w:val="24"/>
          <w:highlight w:val="none"/>
          <w:lang w:eastAsia="zh-CN"/>
        </w:rPr>
        <w:t>JY</w:t>
      </w:r>
      <w:r>
        <w:rPr>
          <w:rFonts w:hint="eastAsia" w:ascii="仿宋" w:hAnsi="仿宋" w:eastAsia="仿宋" w:cs="仿宋"/>
          <w:color w:val="auto"/>
          <w:kern w:val="0"/>
          <w:sz w:val="24"/>
          <w:highlight w:val="none"/>
        </w:rPr>
        <w:t>管理局、</w:t>
      </w:r>
      <w:r>
        <w:rPr>
          <w:rFonts w:hint="eastAsia" w:ascii="仿宋" w:hAnsi="仿宋" w:eastAsia="仿宋" w:cs="仿宋"/>
          <w:color w:val="auto"/>
          <w:kern w:val="0"/>
          <w:sz w:val="24"/>
          <w:highlight w:val="none"/>
          <w:lang w:eastAsia="zh-CN"/>
        </w:rPr>
        <w:t>JD</w:t>
      </w:r>
      <w:r>
        <w:rPr>
          <w:rFonts w:hint="eastAsia" w:ascii="仿宋" w:hAnsi="仿宋" w:eastAsia="仿宋" w:cs="仿宋"/>
          <w:color w:val="auto"/>
          <w:kern w:val="0"/>
          <w:sz w:val="24"/>
          <w:highlight w:val="none"/>
        </w:rPr>
        <w:t>管理局（含新疆生产建设兵团）出具的属于</w:t>
      </w:r>
      <w:r>
        <w:rPr>
          <w:rFonts w:hint="eastAsia" w:ascii="仿宋" w:hAnsi="仿宋" w:eastAsia="仿宋" w:cs="仿宋"/>
          <w:color w:val="auto"/>
          <w:kern w:val="0"/>
          <w:sz w:val="24"/>
          <w:highlight w:val="none"/>
          <w:lang w:eastAsia="zh-CN"/>
        </w:rPr>
        <w:t>JY</w:t>
      </w:r>
      <w:r>
        <w:rPr>
          <w:rFonts w:hint="eastAsia" w:ascii="仿宋" w:hAnsi="仿宋" w:eastAsia="仿宋" w:cs="仿宋"/>
          <w:color w:val="auto"/>
          <w:kern w:val="0"/>
          <w:sz w:val="24"/>
          <w:highlight w:val="none"/>
        </w:rPr>
        <w:t>企业的证明文件。</w:t>
      </w:r>
    </w:p>
    <w:p w14:paraId="287C0FDC">
      <w:pPr>
        <w:pageBreakBefore w:val="0"/>
        <w:widowControl/>
        <w:shd w:val="clear" w:color="auto" w:fill="auto"/>
        <w:kinsoku/>
        <w:wordWrap/>
        <w:overflowPunct/>
        <w:topLinePunct w:val="0"/>
        <w:bidi w:val="0"/>
        <w:adjustRightInd w:val="0"/>
        <w:snapToGrid w:val="0"/>
        <w:spacing w:line="480" w:lineRule="auto"/>
        <w:jc w:val="left"/>
        <w:outlineLvl w:val="9"/>
        <w:rPr>
          <w:rFonts w:hint="eastAsia" w:ascii="仿宋" w:hAnsi="仿宋" w:eastAsia="仿宋" w:cs="仿宋"/>
          <w:b/>
          <w:bCs/>
          <w:color w:val="auto"/>
          <w:kern w:val="0"/>
          <w:sz w:val="24"/>
          <w:highlight w:val="none"/>
          <w:lang w:eastAsia="zh-CN"/>
        </w:rPr>
      </w:pPr>
      <w:r>
        <w:rPr>
          <w:rFonts w:hint="eastAsia" w:ascii="仿宋" w:hAnsi="仿宋" w:eastAsia="仿宋" w:cs="仿宋"/>
          <w:color w:val="auto"/>
          <w:kern w:val="0"/>
          <w:sz w:val="24"/>
          <w:highlight w:val="none"/>
        </w:rPr>
        <w:t>　　</w:t>
      </w:r>
      <w:r>
        <w:rPr>
          <w:rFonts w:hint="eastAsia" w:ascii="仿宋" w:hAnsi="仿宋" w:eastAsia="仿宋" w:cs="仿宋"/>
          <w:b/>
          <w:bCs/>
          <w:color w:val="auto"/>
          <w:kern w:val="0"/>
          <w:sz w:val="24"/>
          <w:highlight w:val="none"/>
        </w:rPr>
        <w:t>本单位对上述声明的真实性负责。如有虚假，将依法承担相应责任</w:t>
      </w:r>
      <w:r>
        <w:rPr>
          <w:rFonts w:hint="eastAsia" w:ascii="仿宋" w:hAnsi="仿宋" w:eastAsia="仿宋" w:cs="仿宋"/>
          <w:b/>
          <w:bCs/>
          <w:color w:val="auto"/>
          <w:kern w:val="0"/>
          <w:sz w:val="24"/>
          <w:highlight w:val="none"/>
          <w:lang w:eastAsia="zh-CN"/>
        </w:rPr>
        <w:t>！</w:t>
      </w:r>
    </w:p>
    <w:p w14:paraId="46553AD2">
      <w:pPr>
        <w:pageBreakBefore w:val="0"/>
        <w:widowControl/>
        <w:shd w:val="clear" w:color="auto" w:fill="auto"/>
        <w:kinsoku/>
        <w:wordWrap/>
        <w:overflowPunct/>
        <w:topLinePunct w:val="0"/>
        <w:bidi w:val="0"/>
        <w:adjustRightInd w:val="0"/>
        <w:snapToGrid w:val="0"/>
        <w:spacing w:line="360" w:lineRule="auto"/>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p w14:paraId="554D1E12">
      <w:pPr>
        <w:pageBreakBefore w:val="0"/>
        <w:widowControl/>
        <w:shd w:val="clear" w:color="auto" w:fill="auto"/>
        <w:kinsoku/>
        <w:wordWrap/>
        <w:overflowPunct/>
        <w:topLinePunct w:val="0"/>
        <w:bidi w:val="0"/>
        <w:adjustRightInd w:val="0"/>
        <w:snapToGrid w:val="0"/>
        <w:spacing w:line="360" w:lineRule="auto"/>
        <w:jc w:val="left"/>
        <w:outlineLvl w:val="9"/>
        <w:rPr>
          <w:rFonts w:hint="eastAsia" w:ascii="仿宋" w:hAnsi="仿宋" w:eastAsia="仿宋" w:cs="仿宋"/>
          <w:color w:val="auto"/>
          <w:kern w:val="0"/>
          <w:sz w:val="24"/>
          <w:highlight w:val="none"/>
        </w:rPr>
      </w:pPr>
    </w:p>
    <w:p w14:paraId="4F6CB734">
      <w:pPr>
        <w:pageBreakBefore w:val="0"/>
        <w:shd w:val="clear" w:color="auto" w:fill="auto"/>
        <w:kinsoku/>
        <w:wordWrap/>
        <w:overflowPunct/>
        <w:topLinePunct w:val="0"/>
        <w:bidi w:val="0"/>
        <w:adjustRightInd w:val="0"/>
        <w:snapToGrid w:val="0"/>
        <w:spacing w:line="360" w:lineRule="auto"/>
        <w:ind w:hanging="540"/>
        <w:jc w:val="center"/>
        <w:outlineLvl w:val="9"/>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　</w:t>
      </w:r>
    </w:p>
    <w:p w14:paraId="7BB21FF2">
      <w:pPr>
        <w:pageBreakBefore w:val="0"/>
        <w:shd w:val="clear" w:color="auto" w:fill="auto"/>
        <w:kinsoku/>
        <w:wordWrap/>
        <w:overflowPunct/>
        <w:topLinePunct w:val="0"/>
        <w:bidi w:val="0"/>
        <w:adjustRightInd w:val="0"/>
        <w:snapToGrid w:val="0"/>
        <w:spacing w:line="480" w:lineRule="auto"/>
        <w:jc w:val="center"/>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单位名称（盖章）：</w:t>
      </w:r>
    </w:p>
    <w:p w14:paraId="6D746514">
      <w:pPr>
        <w:spacing w:line="600" w:lineRule="auto"/>
        <w:ind w:firstLine="720" w:firstLineChars="30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highlight w:val="none"/>
        </w:rPr>
        <w:t>日  期：</w:t>
      </w:r>
    </w:p>
    <w:p w14:paraId="02F4F99B">
      <w:pPr>
        <w:spacing w:line="600" w:lineRule="auto"/>
        <w:jc w:val="right"/>
        <w:rPr>
          <w:rFonts w:hint="eastAsia" w:ascii="仿宋" w:hAnsi="仿宋" w:eastAsia="仿宋" w:cs="仿宋"/>
          <w:color w:val="000000"/>
          <w:sz w:val="24"/>
          <w:szCs w:val="24"/>
          <w:highlight w:val="none"/>
        </w:rPr>
        <w:sectPr>
          <w:headerReference r:id="rId8" w:type="default"/>
          <w:footerReference r:id="rId9" w:type="default"/>
          <w:pgSz w:w="11906" w:h="16838"/>
          <w:pgMar w:top="1440" w:right="1800" w:bottom="1440" w:left="1800" w:header="737" w:footer="737" w:gutter="0"/>
          <w:pgBorders>
            <w:top w:val="none" w:sz="0" w:space="0"/>
            <w:left w:val="none" w:sz="0" w:space="0"/>
            <w:bottom w:val="none" w:sz="0" w:space="0"/>
            <w:right w:val="none" w:sz="0" w:space="0"/>
          </w:pgBorders>
          <w:pgNumType w:fmt="decimal"/>
          <w:cols w:space="720" w:num="1"/>
          <w:rtlGutter w:val="0"/>
          <w:docGrid w:linePitch="312" w:charSpace="0"/>
        </w:sectPr>
      </w:pPr>
    </w:p>
    <w:p w14:paraId="09858A9D">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仿宋" w:hAnsi="仿宋" w:eastAsia="仿宋" w:cs="仿宋"/>
          <w:b/>
          <w:bCs/>
          <w:color w:val="000000"/>
          <w:sz w:val="28"/>
          <w:szCs w:val="28"/>
          <w:highlight w:val="none"/>
          <w:lang w:eastAsia="zh-CN"/>
        </w:rPr>
      </w:pPr>
      <w:r>
        <w:rPr>
          <w:rStyle w:val="149"/>
          <w:rFonts w:hint="eastAsia" w:ascii="仿宋" w:hAnsi="仿宋" w:eastAsia="仿宋" w:cs="仿宋"/>
          <w:bCs w:val="0"/>
          <w:color w:val="auto"/>
          <w:kern w:val="2"/>
          <w:sz w:val="28"/>
          <w:szCs w:val="28"/>
          <w:highlight w:val="none"/>
          <w:lang w:val="en-US" w:eastAsia="zh-CN" w:bidi="ar-SA"/>
        </w:rPr>
        <w:t>残疾人福利性单位声明函</w:t>
      </w:r>
      <w:r>
        <w:rPr>
          <w:rFonts w:hint="eastAsia" w:ascii="仿宋" w:hAnsi="仿宋" w:eastAsia="仿宋" w:cs="仿宋"/>
          <w:b/>
          <w:bCs/>
          <w:color w:val="000000"/>
          <w:sz w:val="28"/>
          <w:szCs w:val="28"/>
          <w:highlight w:val="none"/>
          <w:lang w:eastAsia="zh-CN"/>
        </w:rPr>
        <w:t>（如是）</w:t>
      </w:r>
    </w:p>
    <w:p w14:paraId="50B52617">
      <w:pPr>
        <w:pageBreakBefore w:val="0"/>
        <w:kinsoku/>
        <w:wordWrap/>
        <w:overflowPunct/>
        <w:topLinePunct w:val="0"/>
        <w:bidi w:val="0"/>
        <w:spacing w:line="360" w:lineRule="auto"/>
        <w:jc w:val="center"/>
        <w:outlineLvl w:val="9"/>
        <w:rPr>
          <w:rFonts w:hint="eastAsia" w:ascii="仿宋" w:hAnsi="仿宋" w:eastAsia="仿宋" w:cs="仿宋"/>
          <w:color w:val="auto"/>
          <w:sz w:val="24"/>
          <w:szCs w:val="24"/>
          <w:highlight w:val="none"/>
          <w:lang w:val="en-US" w:eastAsia="zh-CN"/>
        </w:rPr>
      </w:pPr>
      <w:bookmarkStart w:id="198" w:name="_Toc28027"/>
      <w:r>
        <w:rPr>
          <w:rFonts w:hint="eastAsia" w:ascii="仿宋" w:hAnsi="仿宋" w:eastAsia="仿宋" w:cs="仿宋"/>
          <w:color w:val="auto"/>
          <w:sz w:val="24"/>
          <w:szCs w:val="24"/>
          <w:highlight w:val="none"/>
          <w:lang w:val="en-US" w:eastAsia="zh-CN"/>
        </w:rPr>
        <w:t>【不属于残疾人福利性单位的无需填写、递交】</w:t>
      </w:r>
    </w:p>
    <w:p w14:paraId="5149B926">
      <w:pPr>
        <w:pageBreakBefore w:val="0"/>
        <w:kinsoku/>
        <w:wordWrap/>
        <w:overflowPunct/>
        <w:topLinePunct w:val="0"/>
        <w:bidi w:val="0"/>
        <w:spacing w:line="360" w:lineRule="auto"/>
        <w:ind w:firstLine="720" w:firstLineChars="300"/>
        <w:outlineLvl w:val="9"/>
        <w:rPr>
          <w:rFonts w:hint="eastAsia" w:ascii="仿宋" w:hAnsi="仿宋" w:eastAsia="仿宋" w:cs="仿宋"/>
          <w:color w:val="auto"/>
          <w:sz w:val="24"/>
          <w:szCs w:val="24"/>
          <w:highlight w:val="none"/>
          <w:lang w:val="en-US" w:eastAsia="zh-CN"/>
        </w:rPr>
      </w:pPr>
    </w:p>
    <w:p w14:paraId="29A6EAF1">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本单位郑重声明，根据《财政部 民政部 中国残疾人联合会关于促进残疾人就业政府采购政策的通知》（财库〔2017〕 141号）的规定，本单位为符合条件的残疾人福利性单位，且本单位参加______________单位的______________项目采购活动提供本单位制造的货物（由本单位承担工程/提供服务），或者提供其他残疾人福利性单位制造的货物（不包括使用非残疾人福利性单位注册商标的货物）。</w:t>
      </w:r>
      <w:bookmarkEnd w:id="198"/>
    </w:p>
    <w:p w14:paraId="089436D6">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outlineLvl w:val="9"/>
        <w:rPr>
          <w:rFonts w:hint="eastAsia" w:ascii="仿宋" w:hAnsi="仿宋" w:eastAsia="仿宋" w:cs="仿宋"/>
          <w:b/>
          <w:bCs/>
          <w:color w:val="auto"/>
          <w:sz w:val="24"/>
          <w:szCs w:val="24"/>
          <w:highlight w:val="none"/>
          <w:lang w:val="en-US" w:eastAsia="zh-CN"/>
        </w:rPr>
      </w:pPr>
      <w:bookmarkStart w:id="199" w:name="_Toc8357"/>
      <w:r>
        <w:rPr>
          <w:rFonts w:hint="eastAsia" w:ascii="仿宋" w:hAnsi="仿宋" w:eastAsia="仿宋" w:cs="仿宋"/>
          <w:b/>
          <w:bCs/>
          <w:color w:val="auto"/>
          <w:sz w:val="24"/>
          <w:szCs w:val="24"/>
          <w:highlight w:val="none"/>
          <w:lang w:val="en-US" w:eastAsia="zh-CN"/>
        </w:rPr>
        <w:t>本单位对上述声明的真实性负责。如有虚假，将依法承担相应责任</w:t>
      </w:r>
      <w:bookmarkEnd w:id="199"/>
      <w:r>
        <w:rPr>
          <w:rFonts w:hint="eastAsia" w:ascii="仿宋" w:hAnsi="仿宋" w:eastAsia="仿宋" w:cs="仿宋"/>
          <w:b/>
          <w:bCs/>
          <w:color w:val="auto"/>
          <w:sz w:val="24"/>
          <w:szCs w:val="24"/>
          <w:highlight w:val="none"/>
          <w:lang w:val="en-US" w:eastAsia="zh-CN"/>
        </w:rPr>
        <w:t>！</w:t>
      </w:r>
    </w:p>
    <w:p w14:paraId="184DAD90">
      <w:pPr>
        <w:pageBreakBefore w:val="0"/>
        <w:kinsoku/>
        <w:wordWrap/>
        <w:overflowPunct/>
        <w:topLinePunct w:val="0"/>
        <w:bidi w:val="0"/>
        <w:spacing w:line="480" w:lineRule="auto"/>
        <w:ind w:firstLine="480" w:firstLineChars="200"/>
        <w:outlineLvl w:val="9"/>
        <w:rPr>
          <w:rFonts w:hint="eastAsia" w:ascii="仿宋" w:hAnsi="仿宋" w:eastAsia="仿宋" w:cs="仿宋"/>
          <w:color w:val="auto"/>
          <w:sz w:val="24"/>
          <w:szCs w:val="24"/>
          <w:highlight w:val="none"/>
          <w:lang w:val="en-US" w:eastAsia="zh-CN"/>
        </w:rPr>
      </w:pPr>
    </w:p>
    <w:p w14:paraId="20E7D3C4">
      <w:pPr>
        <w:pageBreakBefore w:val="0"/>
        <w:kinsoku/>
        <w:wordWrap/>
        <w:overflowPunct/>
        <w:topLinePunct w:val="0"/>
        <w:bidi w:val="0"/>
        <w:spacing w:line="480" w:lineRule="auto"/>
        <w:outlineLvl w:val="9"/>
        <w:rPr>
          <w:rFonts w:hint="eastAsia" w:ascii="仿宋" w:hAnsi="仿宋" w:eastAsia="仿宋" w:cs="仿宋"/>
          <w:color w:val="auto"/>
          <w:sz w:val="24"/>
          <w:szCs w:val="24"/>
          <w:highlight w:val="none"/>
          <w:lang w:val="en-US" w:eastAsia="zh-CN"/>
        </w:rPr>
      </w:pPr>
    </w:p>
    <w:p w14:paraId="7A37F067">
      <w:pPr>
        <w:pageBreakBefore w:val="0"/>
        <w:kinsoku/>
        <w:wordWrap/>
        <w:overflowPunct/>
        <w:topLinePunct w:val="0"/>
        <w:bidi w:val="0"/>
        <w:spacing w:line="480" w:lineRule="auto"/>
        <w:ind w:firstLine="480" w:firstLineChars="200"/>
        <w:jc w:val="center"/>
        <w:outlineLvl w:val="9"/>
        <w:rPr>
          <w:rFonts w:hint="eastAsia" w:ascii="仿宋" w:hAnsi="仿宋" w:eastAsia="仿宋" w:cs="仿宋"/>
          <w:color w:val="auto"/>
          <w:sz w:val="24"/>
          <w:szCs w:val="24"/>
          <w:highlight w:val="none"/>
          <w:lang w:val="en-US" w:eastAsia="zh-CN"/>
        </w:rPr>
      </w:pPr>
      <w:bookmarkStart w:id="200" w:name="_Toc26219"/>
      <w:r>
        <w:rPr>
          <w:rFonts w:hint="eastAsia" w:ascii="仿宋" w:hAnsi="仿宋" w:eastAsia="仿宋" w:cs="仿宋"/>
          <w:color w:val="auto"/>
          <w:sz w:val="24"/>
          <w:szCs w:val="24"/>
          <w:highlight w:val="none"/>
          <w:lang w:val="en-US" w:eastAsia="zh-CN"/>
        </w:rPr>
        <w:t>单位名称（盖章）：</w:t>
      </w:r>
      <w:bookmarkEnd w:id="200"/>
    </w:p>
    <w:p w14:paraId="7F297E73">
      <w:pPr>
        <w:pageBreakBefore w:val="0"/>
        <w:kinsoku/>
        <w:wordWrap/>
        <w:overflowPunct/>
        <w:topLinePunct w:val="0"/>
        <w:bidi w:val="0"/>
        <w:spacing w:line="480" w:lineRule="auto"/>
        <w:ind w:firstLine="480" w:firstLineChars="200"/>
        <w:jc w:val="center"/>
        <w:outlineLvl w:val="9"/>
        <w:rPr>
          <w:rFonts w:hint="eastAsia" w:ascii="仿宋" w:hAnsi="仿宋" w:eastAsia="仿宋" w:cs="仿宋"/>
          <w:color w:val="auto"/>
          <w:sz w:val="24"/>
          <w:szCs w:val="24"/>
          <w:highlight w:val="none"/>
          <w:lang w:val="en-US" w:eastAsia="zh-CN"/>
        </w:rPr>
      </w:pPr>
      <w:bookmarkStart w:id="201" w:name="_Toc3896"/>
      <w:r>
        <w:rPr>
          <w:rFonts w:hint="eastAsia" w:ascii="仿宋" w:hAnsi="仿宋" w:eastAsia="仿宋" w:cs="仿宋"/>
          <w:color w:val="auto"/>
          <w:sz w:val="24"/>
          <w:szCs w:val="24"/>
          <w:highlight w:val="none"/>
          <w:lang w:val="en-US" w:eastAsia="zh-CN"/>
        </w:rPr>
        <w:t>日  期：</w:t>
      </w:r>
      <w:bookmarkEnd w:id="201"/>
    </w:p>
    <w:p w14:paraId="0AA57666">
      <w:pPr>
        <w:pStyle w:val="22"/>
        <w:pageBreakBefore w:val="0"/>
        <w:kinsoku/>
        <w:wordWrap/>
        <w:overflowPunct/>
        <w:topLinePunct w:val="0"/>
        <w:bidi w:val="0"/>
        <w:outlineLvl w:val="9"/>
        <w:rPr>
          <w:rFonts w:hint="eastAsia" w:ascii="仿宋" w:hAnsi="仿宋" w:eastAsia="仿宋" w:cs="仿宋"/>
          <w:color w:val="auto"/>
          <w:highlight w:val="none"/>
          <w:lang w:val="en-US" w:eastAsia="zh-CN"/>
        </w:rPr>
      </w:pPr>
      <w:bookmarkStart w:id="202" w:name="_Toc7841"/>
    </w:p>
    <w:p w14:paraId="45D69AE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lang w:val="en-US" w:eastAsia="zh-CN"/>
        </w:rPr>
      </w:pPr>
    </w:p>
    <w:p w14:paraId="08C96DD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扶持政策说明：</w:t>
      </w:r>
      <w:bookmarkEnd w:id="202"/>
    </w:p>
    <w:p w14:paraId="518A838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bookmarkStart w:id="203" w:name="_Toc10856"/>
      <w:r>
        <w:rPr>
          <w:rFonts w:hint="eastAsia" w:ascii="仿宋" w:hAnsi="仿宋" w:eastAsia="仿宋" w:cs="仿宋"/>
          <w:color w:val="auto"/>
          <w:sz w:val="24"/>
          <w:szCs w:val="24"/>
          <w:highlight w:val="none"/>
          <w:lang w:val="en-US" w:eastAsia="zh-CN"/>
        </w:rPr>
        <w:t>1.根据财政部、工业和信息化部制定的《政府采购促进中小企业发展暂行办法》和转发财政部工业和信息化部关于印发《政府采购促进中小企业发展暂行办法》的通知，对小型或微型企业的投标报价给予10%的扣除，并用扣除后的价格计算价格评分。</w:t>
      </w:r>
      <w:bookmarkEnd w:id="203"/>
    </w:p>
    <w:p w14:paraId="7D65525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bookmarkStart w:id="204" w:name="_Toc4796"/>
      <w:r>
        <w:rPr>
          <w:rFonts w:hint="eastAsia" w:ascii="仿宋" w:hAnsi="仿宋" w:eastAsia="仿宋" w:cs="仿宋"/>
          <w:color w:val="auto"/>
          <w:sz w:val="24"/>
          <w:szCs w:val="24"/>
          <w:highlight w:val="none"/>
          <w:lang w:val="en-US" w:eastAsia="zh-CN"/>
        </w:rPr>
        <w:t>2.JY企业视同小微企业，参加本项目投标的，享受小微企业同等的价格扣除。</w:t>
      </w:r>
    </w:p>
    <w:p w14:paraId="67BDFB3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【注：提供《JY企业声明函》及其相关的充分的证明材料】。</w:t>
      </w:r>
      <w:bookmarkEnd w:id="204"/>
    </w:p>
    <w:p w14:paraId="457512D0">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bookmarkStart w:id="205" w:name="_Toc18871"/>
      <w:r>
        <w:rPr>
          <w:rFonts w:hint="eastAsia" w:ascii="仿宋" w:hAnsi="仿宋" w:eastAsia="仿宋" w:cs="仿宋"/>
          <w:color w:val="auto"/>
          <w:sz w:val="24"/>
          <w:szCs w:val="24"/>
          <w:highlight w:val="none"/>
          <w:lang w:val="en-US" w:eastAsia="zh-CN"/>
        </w:rPr>
        <w:t>3.残疾人福利性单位参加投标【提供《残疾人福利性单位声明函》】，视为小型、微型企业，享受小微企业政策扶持。</w:t>
      </w:r>
      <w:bookmarkEnd w:id="205"/>
    </w:p>
    <w:p w14:paraId="3AE965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sectPr>
          <w:headerReference r:id="rId10" w:type="default"/>
          <w:footerReference r:id="rId11" w:type="default"/>
          <w:pgSz w:w="11906" w:h="16838"/>
          <w:pgMar w:top="1440" w:right="1800" w:bottom="1440" w:left="1800" w:header="737" w:footer="737" w:gutter="0"/>
          <w:pgBorders>
            <w:top w:val="none" w:sz="0" w:space="0"/>
            <w:left w:val="none" w:sz="0" w:space="0"/>
            <w:bottom w:val="none" w:sz="0" w:space="0"/>
            <w:right w:val="none" w:sz="0" w:space="0"/>
          </w:pgBorders>
          <w:pgNumType w:fmt="decimal"/>
          <w:cols w:space="720" w:num="1"/>
          <w:rtlGutter w:val="0"/>
          <w:docGrid w:linePitch="312" w:charSpace="0"/>
        </w:sectPr>
      </w:pPr>
    </w:p>
    <w:p w14:paraId="4AA25F47">
      <w:pPr>
        <w:pageBreakBefore w:val="0"/>
        <w:numPr>
          <w:ilvl w:val="0"/>
          <w:numId w:val="0"/>
        </w:numPr>
        <w:kinsoku/>
        <w:wordWrap/>
        <w:overflowPunct/>
        <w:topLinePunct w:val="0"/>
        <w:bidi w:val="0"/>
        <w:spacing w:line="480" w:lineRule="auto"/>
        <w:jc w:val="center"/>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b/>
          <w:color w:val="auto"/>
          <w:spacing w:val="6"/>
          <w:kern w:val="2"/>
          <w:sz w:val="28"/>
          <w:szCs w:val="28"/>
          <w:highlight w:val="none"/>
          <w:lang w:val="en-US" w:eastAsia="zh-CN" w:bidi="ar-SA"/>
        </w:rPr>
        <w:t>节能、环保产品证明（如有）</w:t>
      </w:r>
    </w:p>
    <w:p w14:paraId="3510A3A0">
      <w:pPr>
        <w:pageBreakBefore w:val="0"/>
        <w:kinsoku/>
        <w:wordWrap/>
        <w:overflowPunct/>
        <w:topLinePunct w:val="0"/>
        <w:bidi w:val="0"/>
        <w:outlineLvl w:val="9"/>
        <w:rPr>
          <w:rFonts w:hint="eastAsia" w:ascii="仿宋" w:hAnsi="仿宋" w:eastAsia="仿宋" w:cs="仿宋"/>
          <w:color w:val="auto"/>
          <w:sz w:val="24"/>
          <w:highlight w:val="none"/>
        </w:rPr>
      </w:pPr>
    </w:p>
    <w:p w14:paraId="3812DCDA">
      <w:pPr>
        <w:pageBreakBefore w:val="0"/>
        <w:kinsoku/>
        <w:wordWrap/>
        <w:overflowPunct/>
        <w:topLinePunct w:val="0"/>
        <w:bidi w:val="0"/>
        <w:outlineLvl w:val="9"/>
        <w:rPr>
          <w:rFonts w:hint="eastAsia" w:ascii="仿宋" w:hAnsi="仿宋" w:eastAsia="仿宋" w:cs="仿宋"/>
          <w:color w:val="auto"/>
          <w:sz w:val="24"/>
          <w:highlight w:val="none"/>
        </w:rPr>
      </w:pPr>
    </w:p>
    <w:p w14:paraId="1E2D8449">
      <w:pPr>
        <w:pageBreakBefore w:val="0"/>
        <w:kinsoku/>
        <w:wordWrap/>
        <w:overflowPunct/>
        <w:topLinePunct w:val="0"/>
        <w:bidi w:val="0"/>
        <w:spacing w:line="480" w:lineRule="auto"/>
        <w:outlineLvl w:val="9"/>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rPr>
        <w:t>致</w:t>
      </w:r>
      <w:r>
        <w:rPr>
          <w:rFonts w:hint="eastAsia" w:ascii="仿宋" w:hAnsi="仿宋" w:eastAsia="仿宋" w:cs="仿宋"/>
          <w:b w:val="0"/>
          <w:bCs w:val="0"/>
          <w:color w:val="auto"/>
          <w:sz w:val="24"/>
          <w:highlight w:val="none"/>
          <w:u w:val="single"/>
          <w:lang w:eastAsia="zh-CN"/>
        </w:rPr>
        <w:t>（</w:t>
      </w:r>
      <w:r>
        <w:rPr>
          <w:rFonts w:hint="eastAsia" w:ascii="仿宋" w:hAnsi="仿宋" w:eastAsia="仿宋" w:cs="仿宋"/>
          <w:b w:val="0"/>
          <w:bCs w:val="0"/>
          <w:color w:val="auto"/>
          <w:sz w:val="24"/>
          <w:highlight w:val="none"/>
          <w:u w:val="single"/>
        </w:rPr>
        <w:t>采购人</w:t>
      </w:r>
      <w:r>
        <w:rPr>
          <w:rFonts w:hint="eastAsia" w:ascii="仿宋" w:hAnsi="仿宋" w:eastAsia="仿宋" w:cs="仿宋"/>
          <w:b w:val="0"/>
          <w:bCs w:val="0"/>
          <w:color w:val="auto"/>
          <w:sz w:val="24"/>
          <w:highlight w:val="none"/>
          <w:u w:val="single"/>
          <w:lang w:eastAsia="zh-CN"/>
        </w:rPr>
        <w:t>）</w:t>
      </w:r>
      <w:r>
        <w:rPr>
          <w:rFonts w:hint="eastAsia" w:ascii="仿宋" w:hAnsi="仿宋" w:eastAsia="仿宋" w:cs="仿宋"/>
          <w:b w:val="0"/>
          <w:bCs w:val="0"/>
          <w:color w:val="auto"/>
          <w:sz w:val="24"/>
          <w:highlight w:val="none"/>
          <w:u w:val="single"/>
          <w:lang w:val="en-US" w:eastAsia="zh-CN"/>
        </w:rPr>
        <w:t xml:space="preserve"> </w:t>
      </w:r>
      <w:r>
        <w:rPr>
          <w:rFonts w:hint="eastAsia" w:ascii="仿宋" w:hAnsi="仿宋" w:eastAsia="仿宋" w:cs="仿宋"/>
          <w:b w:val="0"/>
          <w:bCs w:val="0"/>
          <w:color w:val="auto"/>
          <w:sz w:val="24"/>
          <w:highlight w:val="none"/>
          <w:u w:val="single"/>
        </w:rPr>
        <w:t> </w:t>
      </w:r>
      <w:r>
        <w:rPr>
          <w:rFonts w:hint="eastAsia" w:ascii="仿宋" w:hAnsi="仿宋" w:eastAsia="仿宋" w:cs="仿宋"/>
          <w:b w:val="0"/>
          <w:bCs w:val="0"/>
          <w:color w:val="auto"/>
          <w:sz w:val="24"/>
          <w:highlight w:val="none"/>
        </w:rPr>
        <w:t>：</w:t>
      </w:r>
    </w:p>
    <w:p w14:paraId="00933F6B">
      <w:pPr>
        <w:pStyle w:val="22"/>
        <w:pageBreakBefore w:val="0"/>
        <w:kinsoku/>
        <w:wordWrap/>
        <w:overflowPunct/>
        <w:topLinePunct w:val="0"/>
        <w:bidi w:val="0"/>
        <w:spacing w:line="480" w:lineRule="auto"/>
        <w:outlineLvl w:val="9"/>
        <w:rPr>
          <w:rFonts w:hint="eastAsia" w:ascii="仿宋" w:hAnsi="仿宋" w:eastAsia="仿宋" w:cs="仿宋"/>
          <w:color w:val="auto"/>
          <w:highlight w:val="none"/>
          <w:lang w:eastAsia="zh-CN"/>
        </w:rPr>
      </w:pPr>
    </w:p>
    <w:p w14:paraId="72940A2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现附上</w:t>
      </w:r>
      <w:r>
        <w:rPr>
          <w:rFonts w:hint="eastAsia" w:ascii="仿宋" w:hAnsi="仿宋" w:eastAsia="仿宋" w:cs="仿宋"/>
          <w:color w:val="auto"/>
          <w:sz w:val="24"/>
          <w:highlight w:val="none"/>
          <w:u w:val="single"/>
        </w:rPr>
        <w:t>  （节能、环保产品产品目录）    </w:t>
      </w:r>
      <w:r>
        <w:rPr>
          <w:rFonts w:hint="eastAsia" w:ascii="仿宋" w:hAnsi="仿宋" w:eastAsia="仿宋" w:cs="仿宋"/>
          <w:color w:val="auto"/>
          <w:sz w:val="24"/>
          <w:highlight w:val="none"/>
        </w:rPr>
        <w:t> 证明文件（可在</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网站名称</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网站进行查询）复印件，该证件真实有效。</w:t>
      </w:r>
    </w:p>
    <w:p w14:paraId="337AE0B2">
      <w:pPr>
        <w:pStyle w:val="22"/>
        <w:pageBreakBefore w:val="0"/>
        <w:kinsoku/>
        <w:wordWrap/>
        <w:overflowPunct/>
        <w:topLinePunct w:val="0"/>
        <w:bidi w:val="0"/>
        <w:outlineLvl w:val="9"/>
        <w:rPr>
          <w:rFonts w:hint="eastAsia" w:ascii="仿宋" w:hAnsi="仿宋" w:eastAsia="仿宋" w:cs="仿宋"/>
          <w:color w:val="auto"/>
          <w:highlight w:val="none"/>
          <w:lang w:eastAsia="zh-CN"/>
        </w:rPr>
      </w:pPr>
    </w:p>
    <w:p w14:paraId="600D0F2B">
      <w:pPr>
        <w:pStyle w:val="22"/>
        <w:pageBreakBefore w:val="0"/>
        <w:kinsoku/>
        <w:wordWrap/>
        <w:overflowPunct/>
        <w:topLinePunct w:val="0"/>
        <w:bidi w:val="0"/>
        <w:outlineLvl w:val="9"/>
        <w:rPr>
          <w:rFonts w:hint="eastAsia" w:ascii="仿宋" w:hAnsi="仿宋" w:eastAsia="仿宋" w:cs="仿宋"/>
          <w:color w:val="auto"/>
          <w:highlight w:val="none"/>
          <w:lang w:eastAsia="zh-CN"/>
        </w:rPr>
      </w:pPr>
    </w:p>
    <w:p w14:paraId="4759C620">
      <w:pPr>
        <w:pStyle w:val="22"/>
        <w:pageBreakBefore w:val="0"/>
        <w:kinsoku/>
        <w:wordWrap/>
        <w:overflowPunct/>
        <w:topLinePunct w:val="0"/>
        <w:bidi w:val="0"/>
        <w:outlineLvl w:val="9"/>
        <w:rPr>
          <w:rFonts w:hint="eastAsia" w:ascii="仿宋" w:hAnsi="仿宋" w:eastAsia="仿宋" w:cs="仿宋"/>
          <w:color w:val="auto"/>
          <w:highlight w:val="none"/>
          <w:lang w:eastAsia="zh-CN"/>
        </w:rPr>
      </w:pPr>
    </w:p>
    <w:p w14:paraId="494A0479">
      <w:pPr>
        <w:pStyle w:val="22"/>
        <w:pageBreakBefore w:val="0"/>
        <w:kinsoku/>
        <w:wordWrap/>
        <w:overflowPunct/>
        <w:topLinePunct w:val="0"/>
        <w:bidi w:val="0"/>
        <w:outlineLvl w:val="9"/>
        <w:rPr>
          <w:rFonts w:hint="eastAsia" w:ascii="仿宋" w:hAnsi="仿宋" w:eastAsia="仿宋" w:cs="仿宋"/>
          <w:color w:val="auto"/>
          <w:highlight w:val="none"/>
          <w:lang w:eastAsia="zh-CN"/>
        </w:rPr>
      </w:pPr>
    </w:p>
    <w:p w14:paraId="69CFEB7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注：</w:t>
      </w:r>
      <w:r>
        <w:rPr>
          <w:rFonts w:hint="eastAsia" w:ascii="仿宋" w:hAnsi="仿宋" w:eastAsia="仿宋" w:cs="仿宋"/>
          <w:color w:val="auto"/>
          <w:sz w:val="24"/>
          <w:szCs w:val="24"/>
          <w:highlight w:val="none"/>
        </w:rPr>
        <w:t>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14:paraId="0D6C0A3C">
      <w:pPr>
        <w:pStyle w:val="22"/>
        <w:pageBreakBefore w:val="0"/>
        <w:kinsoku/>
        <w:wordWrap/>
        <w:overflowPunct/>
        <w:topLinePunct w:val="0"/>
        <w:bidi w:val="0"/>
        <w:outlineLvl w:val="9"/>
        <w:rPr>
          <w:rFonts w:hint="eastAsia" w:ascii="仿宋" w:hAnsi="仿宋" w:eastAsia="仿宋" w:cs="仿宋"/>
          <w:color w:val="auto"/>
          <w:highlight w:val="none"/>
          <w:lang w:eastAsia="zh-CN"/>
        </w:rPr>
      </w:pPr>
    </w:p>
    <w:p w14:paraId="37816697">
      <w:pPr>
        <w:pStyle w:val="22"/>
        <w:pageBreakBefore w:val="0"/>
        <w:kinsoku/>
        <w:wordWrap/>
        <w:overflowPunct/>
        <w:topLinePunct w:val="0"/>
        <w:bidi w:val="0"/>
        <w:outlineLvl w:val="9"/>
        <w:rPr>
          <w:rFonts w:hint="eastAsia" w:ascii="仿宋" w:hAnsi="仿宋" w:eastAsia="仿宋" w:cs="仿宋"/>
          <w:color w:val="auto"/>
          <w:highlight w:val="none"/>
          <w:lang w:eastAsia="zh-CN"/>
        </w:rPr>
      </w:pPr>
    </w:p>
    <w:p w14:paraId="180BBA38">
      <w:pPr>
        <w:pStyle w:val="22"/>
        <w:pageBreakBefore w:val="0"/>
        <w:kinsoku/>
        <w:wordWrap/>
        <w:overflowPunct/>
        <w:topLinePunct w:val="0"/>
        <w:bidi w:val="0"/>
        <w:outlineLvl w:val="9"/>
        <w:rPr>
          <w:rFonts w:hint="eastAsia" w:ascii="仿宋" w:hAnsi="仿宋" w:eastAsia="仿宋" w:cs="仿宋"/>
          <w:color w:val="auto"/>
          <w:highlight w:val="none"/>
          <w:lang w:eastAsia="zh-CN"/>
        </w:rPr>
      </w:pPr>
    </w:p>
    <w:p w14:paraId="5C94A8BA">
      <w:pPr>
        <w:pStyle w:val="22"/>
        <w:pageBreakBefore w:val="0"/>
        <w:kinsoku/>
        <w:wordWrap/>
        <w:overflowPunct/>
        <w:topLinePunct w:val="0"/>
        <w:bidi w:val="0"/>
        <w:outlineLvl w:val="9"/>
        <w:rPr>
          <w:rFonts w:hint="eastAsia" w:ascii="仿宋" w:hAnsi="仿宋" w:eastAsia="仿宋" w:cs="仿宋"/>
          <w:color w:val="auto"/>
          <w:highlight w:val="none"/>
          <w:lang w:eastAsia="zh-CN"/>
        </w:rPr>
      </w:pPr>
    </w:p>
    <w:p w14:paraId="063999D3">
      <w:pPr>
        <w:pStyle w:val="22"/>
        <w:pageBreakBefore w:val="0"/>
        <w:kinsoku/>
        <w:wordWrap/>
        <w:overflowPunct/>
        <w:topLinePunct w:val="0"/>
        <w:bidi w:val="0"/>
        <w:outlineLvl w:val="9"/>
        <w:rPr>
          <w:rFonts w:hint="eastAsia" w:ascii="仿宋" w:hAnsi="仿宋" w:eastAsia="仿宋" w:cs="仿宋"/>
          <w:color w:val="auto"/>
          <w:highlight w:val="none"/>
          <w:lang w:eastAsia="zh-CN"/>
        </w:rPr>
      </w:pPr>
    </w:p>
    <w:p w14:paraId="6E1DC7AA">
      <w:pPr>
        <w:pageBreakBefore w:val="0"/>
        <w:kinsoku/>
        <w:wordWrap/>
        <w:overflowPunct/>
        <w:topLinePunct w:val="0"/>
        <w:bidi w:val="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p w14:paraId="70EE96C3">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lang w:eastAsia="zh-CN"/>
        </w:rPr>
        <w:t>单位公章）</w:t>
      </w:r>
      <w:r>
        <w:rPr>
          <w:rFonts w:hint="eastAsia" w:ascii="仿宋" w:hAnsi="仿宋" w:eastAsia="仿宋" w:cs="仿宋"/>
          <w:color w:val="auto"/>
          <w:sz w:val="24"/>
          <w:szCs w:val="24"/>
          <w:highlight w:val="none"/>
        </w:rPr>
        <w:t>：</w:t>
      </w:r>
    </w:p>
    <w:p w14:paraId="1463F970">
      <w:pPr>
        <w:spacing w:line="360" w:lineRule="auto"/>
        <w:rPr>
          <w:rFonts w:hint="eastAsia" w:ascii="仿宋" w:hAnsi="仿宋" w:eastAsia="仿宋" w:cs="仿宋"/>
          <w:color w:val="auto"/>
          <w:sz w:val="24"/>
          <w:szCs w:val="24"/>
          <w:highlight w:val="none"/>
        </w:rPr>
      </w:pPr>
    </w:p>
    <w:p w14:paraId="28AED1BF">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rPr>
        <w:t>法定代表人或授权代理人（签</w:t>
      </w:r>
      <w:r>
        <w:rPr>
          <w:rFonts w:hint="eastAsia" w:ascii="仿宋" w:hAnsi="仿宋" w:eastAsia="仿宋" w:cs="仿宋"/>
          <w:sz w:val="24"/>
          <w:szCs w:val="24"/>
          <w:lang w:val="en-US" w:eastAsia="zh-CN"/>
        </w:rPr>
        <w:t>字或盖</w:t>
      </w:r>
      <w:r>
        <w:rPr>
          <w:rFonts w:hint="eastAsia" w:ascii="仿宋" w:hAnsi="仿宋" w:eastAsia="仿宋" w:cs="仿宋"/>
          <w:sz w:val="24"/>
          <w:szCs w:val="24"/>
        </w:rPr>
        <w:t>章）</w:t>
      </w:r>
      <w:r>
        <w:rPr>
          <w:rFonts w:hint="eastAsia" w:ascii="仿宋" w:hAnsi="仿宋" w:eastAsia="仿宋" w:cs="仿宋"/>
          <w:color w:val="auto"/>
          <w:sz w:val="24"/>
          <w:szCs w:val="24"/>
          <w:highlight w:val="none"/>
        </w:rPr>
        <w:t>：</w:t>
      </w:r>
    </w:p>
    <w:p w14:paraId="29783A87">
      <w:pPr>
        <w:spacing w:line="360" w:lineRule="auto"/>
        <w:ind w:firstLine="3360" w:firstLineChars="1400"/>
        <w:rPr>
          <w:rFonts w:hint="eastAsia" w:ascii="仿宋" w:hAnsi="仿宋" w:eastAsia="仿宋" w:cs="仿宋"/>
          <w:color w:val="auto"/>
          <w:sz w:val="24"/>
          <w:szCs w:val="24"/>
          <w:highlight w:val="none"/>
        </w:rPr>
      </w:pPr>
    </w:p>
    <w:p w14:paraId="5FFB4451">
      <w:pPr>
        <w:pageBreakBefore w:val="0"/>
        <w:kinsoku/>
        <w:wordWrap/>
        <w:overflowPunct/>
        <w:topLinePunct w:val="0"/>
        <w:bidi w:val="0"/>
        <w:ind w:firstLine="960" w:firstLineChars="4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年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月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日</w:t>
      </w:r>
    </w:p>
    <w:p w14:paraId="36960492">
      <w:pPr>
        <w:pStyle w:val="26"/>
        <w:spacing w:line="720" w:lineRule="auto"/>
        <w:ind w:left="0" w:leftChars="0" w:firstLine="0" w:firstLineChars="0"/>
        <w:jc w:val="center"/>
        <w:rPr>
          <w:rFonts w:hint="eastAsia" w:ascii="仿宋" w:hAnsi="仿宋" w:eastAsia="仿宋" w:cs="仿宋"/>
          <w:b/>
          <w:bCs/>
          <w:color w:val="000000"/>
          <w:sz w:val="28"/>
          <w:szCs w:val="28"/>
        </w:rPr>
      </w:pPr>
    </w:p>
    <w:p w14:paraId="7DC8BD71">
      <w:pPr>
        <w:pStyle w:val="26"/>
        <w:spacing w:line="720" w:lineRule="auto"/>
        <w:ind w:left="0" w:leftChars="0" w:firstLine="0" w:firstLineChars="0"/>
        <w:jc w:val="center"/>
        <w:rPr>
          <w:rFonts w:hint="eastAsia" w:ascii="仿宋" w:hAnsi="仿宋" w:eastAsia="仿宋" w:cs="仿宋"/>
          <w:b/>
          <w:bCs/>
          <w:color w:val="000000"/>
          <w:sz w:val="28"/>
          <w:szCs w:val="28"/>
        </w:rPr>
      </w:pPr>
    </w:p>
    <w:p w14:paraId="7C239995">
      <w:pPr>
        <w:pStyle w:val="5"/>
        <w:numPr>
          <w:ilvl w:val="0"/>
          <w:numId w:val="0"/>
        </w:numPr>
        <w:spacing w:before="156" w:after="156" w:line="480" w:lineRule="auto"/>
        <w:jc w:val="center"/>
        <w:rPr>
          <w:rFonts w:hint="eastAsia" w:ascii="仿宋" w:hAnsi="仿宋" w:eastAsia="仿宋" w:cs="仿宋"/>
          <w:b/>
          <w:bCs/>
          <w:color w:val="auto"/>
          <w:kern w:val="2"/>
          <w:sz w:val="24"/>
          <w:szCs w:val="24"/>
          <w:highlight w:val="none"/>
          <w:lang w:val="en-US" w:eastAsia="zh-CN" w:bidi="ar-SA"/>
        </w:rPr>
      </w:pPr>
      <w:bookmarkStart w:id="206" w:name="_Toc480368440"/>
      <w:bookmarkStart w:id="207" w:name="_Toc12999"/>
      <w:bookmarkStart w:id="208" w:name="_Toc16687"/>
      <w:bookmarkStart w:id="209" w:name="_Toc24887"/>
      <w:bookmarkStart w:id="210" w:name="_Toc23806"/>
      <w:bookmarkStart w:id="211" w:name="_Toc20918"/>
      <w:bookmarkStart w:id="212" w:name="_Toc31830"/>
      <w:r>
        <w:rPr>
          <w:rFonts w:hint="eastAsia" w:ascii="仿宋" w:hAnsi="仿宋" w:eastAsia="仿宋" w:cs="仿宋"/>
          <w:b/>
          <w:bCs/>
          <w:color w:val="auto"/>
          <w:kern w:val="2"/>
          <w:sz w:val="28"/>
          <w:szCs w:val="28"/>
          <w:highlight w:val="none"/>
          <w:lang w:val="en-US" w:eastAsia="zh-CN" w:bidi="ar-SA"/>
        </w:rPr>
        <w:t>十</w:t>
      </w:r>
      <w:bookmarkEnd w:id="206"/>
      <w:r>
        <w:rPr>
          <w:rFonts w:hint="eastAsia" w:ascii="仿宋" w:hAnsi="仿宋" w:eastAsia="仿宋" w:cs="仿宋"/>
          <w:b/>
          <w:bCs/>
          <w:color w:val="auto"/>
          <w:kern w:val="2"/>
          <w:sz w:val="28"/>
          <w:szCs w:val="28"/>
          <w:highlight w:val="none"/>
          <w:lang w:val="en-US" w:eastAsia="zh-CN" w:bidi="ar-SA"/>
        </w:rPr>
        <w:t>三、</w:t>
      </w:r>
      <w:r>
        <w:rPr>
          <w:rFonts w:hint="eastAsia" w:ascii="仿宋" w:hAnsi="仿宋" w:eastAsia="仿宋" w:cs="仿宋"/>
          <w:color w:val="auto"/>
          <w:kern w:val="0"/>
          <w:sz w:val="24"/>
          <w:szCs w:val="24"/>
          <w:lang w:val="en-US" w:eastAsia="zh-CN" w:bidi="ar-SA"/>
        </w:rPr>
        <w:t>履约能力</w:t>
      </w:r>
    </w:p>
    <w:p w14:paraId="531AF685">
      <w:pPr>
        <w:pStyle w:val="6"/>
        <w:numPr>
          <w:ilvl w:val="0"/>
          <w:numId w:val="0"/>
        </w:numPr>
        <w:spacing w:line="240" w:lineRule="auto"/>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包括但不限于</w:t>
      </w:r>
      <w:r>
        <w:rPr>
          <w:rFonts w:hint="eastAsia" w:ascii="仿宋" w:hAnsi="仿宋" w:eastAsia="仿宋" w:cs="仿宋"/>
          <w:b w:val="0"/>
          <w:bCs w:val="0"/>
          <w:color w:val="auto"/>
          <w:kern w:val="2"/>
          <w:sz w:val="24"/>
          <w:szCs w:val="24"/>
          <w:highlight w:val="none"/>
          <w:lang w:val="en-US" w:eastAsia="zh-CN" w:bidi="ar-SA"/>
        </w:rPr>
        <w:t>（具体详见评标标准，否则评审专家在评审时将不予采信）：</w:t>
      </w:r>
    </w:p>
    <w:p w14:paraId="12D9AEBE">
      <w:pPr>
        <w:numPr>
          <w:ilvl w:val="0"/>
          <w:numId w:val="0"/>
        </w:numPr>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投标人认为更有利于此次投标的其它资料；</w:t>
      </w:r>
    </w:p>
    <w:p w14:paraId="46822068">
      <w:pPr>
        <w:pStyle w:val="5"/>
        <w:numPr>
          <w:ilvl w:val="0"/>
          <w:numId w:val="0"/>
        </w:numPr>
        <w:spacing w:before="156" w:after="156" w:line="480" w:lineRule="auto"/>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十四、</w:t>
      </w:r>
      <w:r>
        <w:rPr>
          <w:rFonts w:hint="eastAsia" w:ascii="仿宋" w:hAnsi="仿宋" w:eastAsia="仿宋" w:cs="仿宋"/>
          <w:color w:val="auto"/>
          <w:kern w:val="0"/>
          <w:sz w:val="24"/>
          <w:szCs w:val="24"/>
          <w:lang w:eastAsia="zh-CN"/>
        </w:rPr>
        <w:t>售后服务</w:t>
      </w:r>
      <w:r>
        <w:rPr>
          <w:rFonts w:hint="eastAsia" w:ascii="仿宋" w:hAnsi="仿宋" w:eastAsia="仿宋" w:cs="仿宋"/>
          <w:color w:val="auto"/>
          <w:kern w:val="0"/>
          <w:sz w:val="24"/>
          <w:szCs w:val="24"/>
        </w:rPr>
        <w:t>方案</w:t>
      </w:r>
    </w:p>
    <w:p w14:paraId="02C60925">
      <w:pPr>
        <w:pStyle w:val="6"/>
        <w:numPr>
          <w:ilvl w:val="0"/>
          <w:numId w:val="0"/>
        </w:numPr>
        <w:spacing w:line="240" w:lineRule="auto"/>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包括但不限于</w:t>
      </w:r>
      <w:r>
        <w:rPr>
          <w:rFonts w:hint="eastAsia" w:ascii="仿宋" w:hAnsi="仿宋" w:eastAsia="仿宋" w:cs="仿宋"/>
          <w:b w:val="0"/>
          <w:bCs w:val="0"/>
          <w:color w:val="auto"/>
          <w:kern w:val="2"/>
          <w:sz w:val="24"/>
          <w:szCs w:val="24"/>
          <w:highlight w:val="none"/>
          <w:lang w:val="en-US" w:eastAsia="zh-CN" w:bidi="ar-SA"/>
        </w:rPr>
        <w:t>（具体详见评标标准，否则评审专家在评审时将不予采信）：</w:t>
      </w:r>
    </w:p>
    <w:p w14:paraId="6DFC0F68">
      <w:pP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投标人认为更有利于此次投标的其它资料；</w:t>
      </w:r>
    </w:p>
    <w:p w14:paraId="24B03F7D">
      <w:pPr>
        <w:pStyle w:val="2"/>
        <w:rPr>
          <w:rFonts w:hint="eastAsia" w:ascii="仿宋" w:hAnsi="仿宋" w:eastAsia="仿宋" w:cs="仿宋"/>
          <w:b w:val="0"/>
          <w:bCs w:val="0"/>
          <w:color w:val="auto"/>
          <w:kern w:val="2"/>
          <w:sz w:val="24"/>
          <w:szCs w:val="24"/>
          <w:highlight w:val="none"/>
          <w:lang w:val="en-US" w:eastAsia="zh-CN" w:bidi="ar-SA"/>
        </w:rPr>
      </w:pPr>
    </w:p>
    <w:p w14:paraId="1089963C">
      <w:pPr>
        <w:pStyle w:val="5"/>
        <w:numPr>
          <w:ilvl w:val="0"/>
          <w:numId w:val="0"/>
        </w:numPr>
        <w:spacing w:before="156" w:after="156" w:line="480" w:lineRule="auto"/>
        <w:jc w:val="center"/>
        <w:rPr>
          <w:rFonts w:hint="eastAsia" w:ascii="仿宋" w:hAnsi="仿宋" w:eastAsia="仿宋" w:cs="仿宋"/>
          <w:color w:val="auto"/>
          <w:kern w:val="0"/>
          <w:sz w:val="24"/>
          <w:szCs w:val="24"/>
          <w:lang w:eastAsia="zh-CN"/>
        </w:rPr>
      </w:pPr>
      <w:r>
        <w:rPr>
          <w:rFonts w:hint="eastAsia" w:ascii="仿宋" w:hAnsi="仿宋" w:eastAsia="仿宋" w:cs="仿宋"/>
          <w:b/>
          <w:bCs/>
          <w:color w:val="auto"/>
          <w:kern w:val="0"/>
          <w:sz w:val="24"/>
          <w:szCs w:val="24"/>
          <w:lang w:val="en-US" w:eastAsia="zh-CN" w:bidi="ar-SA"/>
        </w:rPr>
        <w:t>十五、</w:t>
      </w:r>
      <w:r>
        <w:rPr>
          <w:rFonts w:hint="eastAsia" w:ascii="仿宋" w:hAnsi="仿宋" w:eastAsia="仿宋" w:cs="仿宋"/>
          <w:color w:val="auto"/>
          <w:kern w:val="0"/>
          <w:sz w:val="24"/>
          <w:szCs w:val="24"/>
          <w:lang w:eastAsia="zh-CN"/>
        </w:rPr>
        <w:t>退换货方案</w:t>
      </w:r>
    </w:p>
    <w:p w14:paraId="23A8F866">
      <w:pPr>
        <w:pStyle w:val="6"/>
        <w:numPr>
          <w:ilvl w:val="0"/>
          <w:numId w:val="0"/>
        </w:numPr>
        <w:spacing w:line="240" w:lineRule="auto"/>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包括但不限于</w:t>
      </w:r>
      <w:r>
        <w:rPr>
          <w:rFonts w:hint="eastAsia" w:ascii="仿宋" w:hAnsi="仿宋" w:eastAsia="仿宋" w:cs="仿宋"/>
          <w:b w:val="0"/>
          <w:bCs w:val="0"/>
          <w:color w:val="auto"/>
          <w:kern w:val="2"/>
          <w:sz w:val="24"/>
          <w:szCs w:val="24"/>
          <w:highlight w:val="none"/>
          <w:lang w:val="en-US" w:eastAsia="zh-CN" w:bidi="ar-SA"/>
        </w:rPr>
        <w:t>（具体详见评标标准，否则评审专家在评审时将不予采信）：</w:t>
      </w:r>
    </w:p>
    <w:p w14:paraId="1E911F6D">
      <w:pP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投标人认为更有利于此次投标的其它资料；</w:t>
      </w:r>
    </w:p>
    <w:p w14:paraId="4B8FD16A">
      <w:pPr>
        <w:pStyle w:val="5"/>
        <w:numPr>
          <w:ilvl w:val="0"/>
          <w:numId w:val="0"/>
        </w:numPr>
        <w:spacing w:before="156" w:after="156" w:line="480" w:lineRule="auto"/>
        <w:jc w:val="center"/>
        <w:rPr>
          <w:rFonts w:hint="eastAsia" w:ascii="仿宋" w:hAnsi="仿宋" w:eastAsia="仿宋" w:cs="仿宋"/>
          <w:b/>
          <w:bCs/>
          <w:color w:val="auto"/>
          <w:kern w:val="0"/>
          <w:sz w:val="24"/>
          <w:szCs w:val="24"/>
          <w:lang w:val="en-US" w:eastAsia="zh-CN" w:bidi="ar-SA"/>
        </w:rPr>
      </w:pPr>
    </w:p>
    <w:p w14:paraId="66D88239">
      <w:pPr>
        <w:pStyle w:val="5"/>
        <w:numPr>
          <w:ilvl w:val="0"/>
          <w:numId w:val="0"/>
        </w:numPr>
        <w:spacing w:before="156" w:after="156" w:line="48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b/>
          <w:bCs/>
          <w:color w:val="auto"/>
          <w:kern w:val="0"/>
          <w:sz w:val="24"/>
          <w:szCs w:val="24"/>
          <w:lang w:val="en-US" w:eastAsia="zh-CN" w:bidi="ar-SA"/>
        </w:rPr>
        <w:t>十六、</w:t>
      </w:r>
      <w:r>
        <w:rPr>
          <w:rFonts w:hint="eastAsia" w:ascii="仿宋" w:hAnsi="仿宋" w:eastAsia="仿宋" w:cs="仿宋"/>
          <w:color w:val="auto"/>
          <w:kern w:val="0"/>
          <w:sz w:val="24"/>
          <w:szCs w:val="24"/>
          <w:lang w:eastAsia="zh-CN"/>
        </w:rPr>
        <w:t>质量保证措施</w:t>
      </w:r>
    </w:p>
    <w:p w14:paraId="0245CDCF">
      <w:pPr>
        <w:pStyle w:val="6"/>
        <w:numPr>
          <w:ilvl w:val="0"/>
          <w:numId w:val="0"/>
        </w:numPr>
        <w:spacing w:line="240" w:lineRule="auto"/>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包括但不限于</w:t>
      </w:r>
      <w:r>
        <w:rPr>
          <w:rFonts w:hint="eastAsia" w:ascii="仿宋" w:hAnsi="仿宋" w:eastAsia="仿宋" w:cs="仿宋"/>
          <w:b w:val="0"/>
          <w:bCs w:val="0"/>
          <w:color w:val="auto"/>
          <w:kern w:val="2"/>
          <w:sz w:val="24"/>
          <w:szCs w:val="24"/>
          <w:highlight w:val="none"/>
          <w:lang w:val="en-US" w:eastAsia="zh-CN" w:bidi="ar-SA"/>
        </w:rPr>
        <w:t>（具体详见评标标准，否则评审专家在评审时将不予采信）：</w:t>
      </w:r>
    </w:p>
    <w:p w14:paraId="1C1ABB45">
      <w:pP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投标人认为更有利于此次投标的其它资料；</w:t>
      </w:r>
    </w:p>
    <w:p w14:paraId="717C258B">
      <w:pPr>
        <w:pStyle w:val="5"/>
        <w:numPr>
          <w:ilvl w:val="0"/>
          <w:numId w:val="0"/>
        </w:numPr>
        <w:spacing w:before="156" w:after="156" w:line="480" w:lineRule="auto"/>
        <w:jc w:val="center"/>
        <w:rPr>
          <w:rFonts w:hint="eastAsia" w:ascii="仿宋" w:hAnsi="仿宋" w:eastAsia="仿宋" w:cs="仿宋"/>
          <w:b/>
          <w:bCs/>
          <w:color w:val="auto"/>
          <w:kern w:val="0"/>
          <w:sz w:val="24"/>
          <w:szCs w:val="24"/>
          <w:lang w:val="en-US" w:eastAsia="zh-CN" w:bidi="ar-SA"/>
        </w:rPr>
      </w:pPr>
    </w:p>
    <w:p w14:paraId="418082A1">
      <w:pPr>
        <w:pStyle w:val="5"/>
        <w:numPr>
          <w:ilvl w:val="0"/>
          <w:numId w:val="0"/>
        </w:numPr>
        <w:spacing w:before="156" w:after="156" w:line="480" w:lineRule="auto"/>
        <w:jc w:val="center"/>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十七、保密措施</w:t>
      </w:r>
    </w:p>
    <w:p w14:paraId="2D4DA11B">
      <w:pPr>
        <w:pStyle w:val="6"/>
        <w:numPr>
          <w:ilvl w:val="0"/>
          <w:numId w:val="0"/>
        </w:numPr>
        <w:spacing w:line="240" w:lineRule="auto"/>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包括但不限于</w:t>
      </w:r>
      <w:r>
        <w:rPr>
          <w:rFonts w:hint="eastAsia" w:ascii="仿宋" w:hAnsi="仿宋" w:eastAsia="仿宋" w:cs="仿宋"/>
          <w:b w:val="0"/>
          <w:bCs w:val="0"/>
          <w:color w:val="auto"/>
          <w:kern w:val="2"/>
          <w:sz w:val="24"/>
          <w:szCs w:val="24"/>
          <w:highlight w:val="none"/>
          <w:lang w:val="en-US" w:eastAsia="zh-CN" w:bidi="ar-SA"/>
        </w:rPr>
        <w:t>（具体详见评标标准，否则评审专家在评审时将不予采信）：</w:t>
      </w:r>
    </w:p>
    <w:p w14:paraId="1C27D03A">
      <w:pP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投标人认为更有利于此次投标的其它资料；</w:t>
      </w:r>
    </w:p>
    <w:p w14:paraId="1C3D9620">
      <w:pPr>
        <w:numPr>
          <w:ilvl w:val="0"/>
          <w:numId w:val="0"/>
        </w:numPr>
        <w:rPr>
          <w:rFonts w:hint="eastAsia" w:ascii="仿宋" w:hAnsi="仿宋" w:eastAsia="仿宋" w:cs="仿宋"/>
          <w:lang w:val="en-US" w:eastAsia="zh-CN"/>
        </w:rPr>
      </w:pPr>
    </w:p>
    <w:p w14:paraId="472083A4">
      <w:pPr>
        <w:pStyle w:val="2"/>
        <w:rPr>
          <w:rFonts w:hint="eastAsia" w:ascii="仿宋" w:hAnsi="仿宋" w:eastAsia="仿宋" w:cs="仿宋"/>
        </w:rPr>
      </w:pPr>
    </w:p>
    <w:p w14:paraId="195F48B0">
      <w:pPr>
        <w:numPr>
          <w:ilvl w:val="0"/>
          <w:numId w:val="0"/>
        </w:numPr>
        <w:rPr>
          <w:rFonts w:hint="eastAsia" w:ascii="仿宋" w:hAnsi="仿宋" w:eastAsia="仿宋" w:cs="仿宋"/>
          <w:lang w:val="en-US" w:eastAsia="zh-CN"/>
        </w:rPr>
      </w:pPr>
    </w:p>
    <w:p w14:paraId="64E2DB7F">
      <w:pPr>
        <w:pStyle w:val="2"/>
        <w:rPr>
          <w:rFonts w:hint="eastAsia" w:ascii="仿宋" w:hAnsi="仿宋" w:eastAsia="仿宋" w:cs="仿宋"/>
          <w:b w:val="0"/>
          <w:bCs w:val="0"/>
          <w:color w:val="auto"/>
          <w:kern w:val="2"/>
          <w:sz w:val="24"/>
          <w:szCs w:val="24"/>
          <w:highlight w:val="none"/>
          <w:lang w:val="en-US" w:eastAsia="zh-CN" w:bidi="ar-SA"/>
        </w:rPr>
      </w:pPr>
    </w:p>
    <w:p w14:paraId="05E4438E">
      <w:pPr>
        <w:rPr>
          <w:rFonts w:hint="eastAsia" w:ascii="仿宋" w:hAnsi="仿宋" w:eastAsia="仿宋" w:cs="仿宋"/>
          <w:b w:val="0"/>
          <w:bCs w:val="0"/>
          <w:color w:val="auto"/>
          <w:kern w:val="2"/>
          <w:sz w:val="24"/>
          <w:szCs w:val="24"/>
          <w:highlight w:val="none"/>
          <w:lang w:val="en-US" w:eastAsia="zh-CN" w:bidi="ar-SA"/>
        </w:rPr>
      </w:pPr>
    </w:p>
    <w:p w14:paraId="20464EAC">
      <w:pPr>
        <w:pStyle w:val="2"/>
        <w:rPr>
          <w:rFonts w:hint="eastAsia" w:ascii="仿宋" w:hAnsi="仿宋" w:eastAsia="仿宋" w:cs="仿宋"/>
          <w:lang w:val="en-US" w:eastAsia="zh-CN"/>
        </w:rPr>
      </w:pPr>
    </w:p>
    <w:p w14:paraId="071AE644">
      <w:pPr>
        <w:rPr>
          <w:rFonts w:hint="eastAsia" w:ascii="仿宋" w:hAnsi="仿宋" w:eastAsia="仿宋" w:cs="仿宋"/>
          <w:b/>
          <w:bCs/>
          <w:color w:val="auto"/>
          <w:kern w:val="2"/>
          <w:sz w:val="28"/>
          <w:szCs w:val="28"/>
          <w:highlight w:val="none"/>
          <w:lang w:val="en-US" w:eastAsia="zh-CN" w:bidi="ar-SA"/>
        </w:rPr>
      </w:pPr>
    </w:p>
    <w:p w14:paraId="4E1FCD3A">
      <w:pPr>
        <w:pStyle w:val="22"/>
        <w:rPr>
          <w:rFonts w:hint="eastAsia" w:ascii="仿宋" w:hAnsi="仿宋" w:eastAsia="仿宋" w:cs="仿宋"/>
          <w:color w:val="auto"/>
          <w:highlight w:val="none"/>
          <w:lang w:val="en-US" w:eastAsia="zh-CN"/>
        </w:rPr>
      </w:pPr>
    </w:p>
    <w:p w14:paraId="0678146F">
      <w:pPr>
        <w:pStyle w:val="5"/>
        <w:numPr>
          <w:ilvl w:val="0"/>
          <w:numId w:val="0"/>
        </w:numPr>
        <w:spacing w:before="156" w:after="156" w:line="240" w:lineRule="auto"/>
        <w:jc w:val="both"/>
        <w:rPr>
          <w:rFonts w:hint="eastAsia" w:ascii="仿宋" w:hAnsi="仿宋" w:eastAsia="仿宋" w:cs="仿宋"/>
          <w:b/>
          <w:bCs/>
          <w:color w:val="auto"/>
          <w:kern w:val="2"/>
          <w:sz w:val="24"/>
          <w:szCs w:val="24"/>
          <w:highlight w:val="none"/>
          <w:lang w:val="en-US" w:eastAsia="zh-CN" w:bidi="ar-SA"/>
        </w:rPr>
      </w:pPr>
    </w:p>
    <w:p w14:paraId="117ECE9A">
      <w:pPr>
        <w:rPr>
          <w:rFonts w:hint="eastAsia" w:ascii="仿宋" w:hAnsi="仿宋" w:eastAsia="仿宋" w:cs="仿宋"/>
          <w:lang w:val="en-US" w:eastAsia="zh-CN"/>
        </w:rPr>
      </w:pPr>
    </w:p>
    <w:p w14:paraId="6E985C1E">
      <w:pPr>
        <w:pStyle w:val="5"/>
        <w:numPr>
          <w:ilvl w:val="0"/>
          <w:numId w:val="0"/>
        </w:numPr>
        <w:spacing w:before="156" w:after="156" w:line="360" w:lineRule="auto"/>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8"/>
          <w:szCs w:val="28"/>
          <w:highlight w:val="none"/>
          <w:lang w:val="en-US" w:eastAsia="zh-CN" w:bidi="ar-SA"/>
        </w:rPr>
        <w:t>十八、供应商自行编写的技术文件</w:t>
      </w:r>
    </w:p>
    <w:p w14:paraId="7E186CBB">
      <w:pPr>
        <w:pStyle w:val="6"/>
        <w:numPr>
          <w:ilvl w:val="0"/>
          <w:numId w:val="0"/>
        </w:numPr>
        <w:spacing w:line="24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（投标企业自行编写，格式自拟）</w:t>
      </w:r>
    </w:p>
    <w:p w14:paraId="75CC0145">
      <w:pPr>
        <w:rPr>
          <w:rFonts w:hint="eastAsia" w:ascii="仿宋" w:hAnsi="仿宋" w:eastAsia="仿宋" w:cs="仿宋"/>
          <w:b/>
          <w:bCs/>
          <w:color w:val="auto"/>
          <w:kern w:val="2"/>
          <w:sz w:val="28"/>
          <w:szCs w:val="28"/>
          <w:highlight w:val="none"/>
          <w:lang w:val="en-US" w:eastAsia="zh-CN" w:bidi="ar-SA"/>
        </w:rPr>
      </w:pPr>
    </w:p>
    <w:p w14:paraId="609886F1">
      <w:pPr>
        <w:pStyle w:val="47"/>
        <w:ind w:left="0" w:leftChars="0" w:firstLine="0" w:firstLineChars="0"/>
        <w:rPr>
          <w:rFonts w:hint="eastAsia" w:ascii="仿宋" w:hAnsi="仿宋" w:eastAsia="仿宋" w:cs="仿宋"/>
          <w:lang w:val="en-US" w:eastAsia="zh-CN"/>
        </w:rPr>
      </w:pPr>
    </w:p>
    <w:p w14:paraId="3C610711">
      <w:pPr>
        <w:pStyle w:val="47"/>
        <w:rPr>
          <w:rFonts w:hint="eastAsia" w:ascii="仿宋" w:hAnsi="仿宋" w:eastAsia="仿宋" w:cs="仿宋"/>
          <w:lang w:val="en-US" w:eastAsia="zh-CN"/>
        </w:rPr>
      </w:pPr>
    </w:p>
    <w:p w14:paraId="043F2717">
      <w:pPr>
        <w:pStyle w:val="47"/>
        <w:rPr>
          <w:rFonts w:hint="eastAsia" w:ascii="仿宋" w:hAnsi="仿宋" w:eastAsia="仿宋" w:cs="仿宋"/>
          <w:lang w:val="en-US" w:eastAsia="zh-CN"/>
        </w:rPr>
      </w:pPr>
    </w:p>
    <w:p w14:paraId="32DDAE8A">
      <w:pPr>
        <w:pStyle w:val="59"/>
        <w:widowControl w:val="0"/>
        <w:numPr>
          <w:ilvl w:val="0"/>
          <w:numId w:val="0"/>
        </w:numPr>
        <w:adjustRightInd w:val="0"/>
        <w:spacing w:line="240" w:lineRule="auto"/>
        <w:ind w:leftChars="0"/>
        <w:jc w:val="center"/>
        <w:textAlignment w:val="baseline"/>
        <w:rPr>
          <w:rFonts w:hint="eastAsia" w:ascii="仿宋" w:hAnsi="仿宋" w:eastAsia="仿宋" w:cs="仿宋"/>
          <w:b/>
          <w:color w:val="auto"/>
          <w:sz w:val="21"/>
          <w:szCs w:val="21"/>
          <w:highlight w:val="none"/>
          <w:lang w:val="en-US" w:eastAsia="zh-CN"/>
        </w:rPr>
      </w:pPr>
    </w:p>
    <w:p w14:paraId="67E9DAB5">
      <w:pPr>
        <w:pStyle w:val="59"/>
        <w:widowControl w:val="0"/>
        <w:numPr>
          <w:ilvl w:val="0"/>
          <w:numId w:val="0"/>
        </w:numPr>
        <w:adjustRightInd w:val="0"/>
        <w:spacing w:line="360" w:lineRule="auto"/>
        <w:ind w:leftChars="0"/>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b/>
          <w:color w:val="auto"/>
          <w:sz w:val="28"/>
          <w:szCs w:val="28"/>
          <w:highlight w:val="none"/>
          <w:lang w:val="en-US" w:eastAsia="zh-CN"/>
        </w:rPr>
        <w:t>十九、</w:t>
      </w:r>
      <w:r>
        <w:rPr>
          <w:rFonts w:hint="eastAsia" w:ascii="仿宋" w:hAnsi="仿宋" w:eastAsia="仿宋" w:cs="仿宋"/>
          <w:b/>
          <w:bCs/>
          <w:color w:val="auto"/>
          <w:kern w:val="2"/>
          <w:sz w:val="28"/>
          <w:szCs w:val="28"/>
          <w:highlight w:val="none"/>
          <w:lang w:val="en-US" w:eastAsia="zh-CN" w:bidi="ar-SA"/>
        </w:rPr>
        <w:t>投标人认为需要提供的其他材料</w:t>
      </w:r>
    </w:p>
    <w:p w14:paraId="78AC9343">
      <w:pPr>
        <w:pStyle w:val="59"/>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eastAsia" w:ascii="仿宋" w:hAnsi="仿宋" w:eastAsia="仿宋" w:cs="仿宋"/>
          <w:b w:val="0"/>
          <w:bCs w:val="0"/>
          <w:color w:val="auto"/>
          <w:sz w:val="24"/>
          <w:szCs w:val="24"/>
          <w:highlight w:val="none"/>
          <w:lang w:val="en-US" w:eastAsia="zh-CN"/>
        </w:rPr>
      </w:pPr>
    </w:p>
    <w:p w14:paraId="2083C53C">
      <w:pPr>
        <w:pStyle w:val="59"/>
        <w:keepNext w:val="0"/>
        <w:keepLines w:val="0"/>
        <w:pageBreakBefore w:val="0"/>
        <w:widowControl w:val="0"/>
        <w:numPr>
          <w:ilvl w:val="0"/>
          <w:numId w:val="0"/>
        </w:numPr>
        <w:kinsoku/>
        <w:wordWrap/>
        <w:overflowPunct/>
        <w:topLinePunct w:val="0"/>
        <w:autoSpaceDE/>
        <w:autoSpaceDN/>
        <w:bidi w:val="0"/>
        <w:adjustRightInd w:val="0"/>
        <w:snapToGrid/>
        <w:spacing w:line="408" w:lineRule="auto"/>
        <w:jc w:val="center"/>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（提供此次投标的其它承诺书及</w:t>
      </w:r>
      <w:r>
        <w:rPr>
          <w:rFonts w:hint="eastAsia" w:ascii="仿宋" w:hAnsi="仿宋" w:eastAsia="仿宋" w:cs="仿宋"/>
          <w:b w:val="0"/>
          <w:bCs w:val="0"/>
          <w:color w:val="auto"/>
          <w:kern w:val="2"/>
          <w:sz w:val="24"/>
          <w:szCs w:val="24"/>
          <w:highlight w:val="none"/>
          <w:lang w:val="en-US" w:eastAsia="zh-CN" w:bidi="ar-SA"/>
        </w:rPr>
        <w:t>投标人认为更有利于此次投标的其它材料</w:t>
      </w:r>
      <w:r>
        <w:rPr>
          <w:rFonts w:hint="eastAsia" w:ascii="仿宋" w:hAnsi="仿宋" w:eastAsia="仿宋" w:cs="仿宋"/>
          <w:b w:val="0"/>
          <w:bCs w:val="0"/>
          <w:color w:val="auto"/>
          <w:sz w:val="24"/>
          <w:szCs w:val="24"/>
          <w:highlight w:val="none"/>
          <w:lang w:val="en-US" w:eastAsia="zh-CN"/>
        </w:rPr>
        <w:t>，</w:t>
      </w:r>
    </w:p>
    <w:p w14:paraId="1632CFB6">
      <w:pPr>
        <w:pStyle w:val="59"/>
        <w:widowControl w:val="0"/>
        <w:numPr>
          <w:ilvl w:val="0"/>
          <w:numId w:val="0"/>
        </w:numPr>
        <w:adjustRightInd w:val="0"/>
        <w:spacing w:line="360" w:lineRule="auto"/>
        <w:jc w:val="center"/>
        <w:textAlignment w:val="baseline"/>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highlight w:val="none"/>
          <w:lang w:val="en-US" w:eastAsia="zh-CN"/>
        </w:rPr>
        <w:t>可在此附件中提交或填写</w:t>
      </w:r>
      <w:r>
        <w:rPr>
          <w:rFonts w:hint="eastAsia" w:ascii="仿宋" w:hAnsi="仿宋" w:eastAsia="仿宋" w:cs="仿宋"/>
          <w:b w:val="0"/>
          <w:bCs w:val="0"/>
          <w:color w:val="auto"/>
          <w:sz w:val="24"/>
          <w:szCs w:val="24"/>
          <w:lang w:val="en-US" w:eastAsia="zh-CN"/>
        </w:rPr>
        <w:t>；投标人须对证明材料的真实性和有效性负责，</w:t>
      </w:r>
    </w:p>
    <w:p w14:paraId="6C1E3A7E">
      <w:pPr>
        <w:pStyle w:val="59"/>
        <w:widowControl w:val="0"/>
        <w:numPr>
          <w:ilvl w:val="0"/>
          <w:numId w:val="0"/>
        </w:numPr>
        <w:adjustRightInd w:val="0"/>
        <w:spacing w:line="360" w:lineRule="auto"/>
        <w:jc w:val="center"/>
        <w:textAlignment w:val="baseline"/>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若提供虚假证明材料，则按相关法规规定执行处罚。）</w:t>
      </w:r>
    </w:p>
    <w:p w14:paraId="15AF27BA">
      <w:pPr>
        <w:spacing w:line="360" w:lineRule="auto"/>
        <w:jc w:val="center"/>
        <w:rPr>
          <w:rFonts w:hint="eastAsia" w:ascii="仿宋" w:hAnsi="仿宋" w:eastAsia="仿宋" w:cs="仿宋"/>
          <w:color w:val="auto"/>
          <w:sz w:val="24"/>
          <w:szCs w:val="24"/>
          <w:highlight w:val="none"/>
        </w:rPr>
      </w:pPr>
    </w:p>
    <w:p w14:paraId="6B89A924">
      <w:pPr>
        <w:spacing w:line="360" w:lineRule="auto"/>
        <w:jc w:val="both"/>
        <w:rPr>
          <w:rFonts w:hint="eastAsia" w:ascii="仿宋" w:hAnsi="仿宋" w:eastAsia="仿宋" w:cs="仿宋"/>
          <w:color w:val="auto"/>
          <w:sz w:val="24"/>
          <w:szCs w:val="24"/>
          <w:highlight w:val="none"/>
        </w:rPr>
      </w:pPr>
    </w:p>
    <w:p w14:paraId="58903CE8">
      <w:pPr>
        <w:spacing w:line="240" w:lineRule="auto"/>
        <w:jc w:val="center"/>
        <w:rPr>
          <w:rFonts w:hint="eastAsia" w:ascii="仿宋" w:hAnsi="仿宋" w:eastAsia="仿宋" w:cs="仿宋"/>
          <w:b/>
          <w:bCs/>
          <w:color w:val="auto"/>
          <w:spacing w:val="60"/>
          <w:sz w:val="28"/>
          <w:szCs w:val="28"/>
          <w:highlight w:val="none"/>
        </w:rPr>
      </w:pPr>
    </w:p>
    <w:p w14:paraId="48238671">
      <w:pPr>
        <w:spacing w:line="600" w:lineRule="auto"/>
        <w:jc w:val="center"/>
        <w:rPr>
          <w:rFonts w:hint="eastAsia" w:ascii="仿宋" w:hAnsi="仿宋" w:eastAsia="仿宋" w:cs="仿宋"/>
          <w:color w:val="auto"/>
          <w:sz w:val="32"/>
          <w:szCs w:val="32"/>
          <w:highlight w:val="none"/>
        </w:rPr>
      </w:pPr>
      <w:r>
        <w:rPr>
          <w:rFonts w:hint="eastAsia" w:ascii="仿宋" w:hAnsi="仿宋" w:eastAsia="仿宋" w:cs="仿宋"/>
          <w:b/>
          <w:bCs/>
          <w:color w:val="auto"/>
          <w:spacing w:val="60"/>
          <w:sz w:val="32"/>
          <w:szCs w:val="32"/>
          <w:highlight w:val="none"/>
        </w:rPr>
        <w:t>注意事项</w:t>
      </w:r>
      <w:bookmarkEnd w:id="207"/>
      <w:bookmarkEnd w:id="208"/>
      <w:bookmarkEnd w:id="209"/>
      <w:bookmarkEnd w:id="210"/>
      <w:bookmarkEnd w:id="211"/>
      <w:bookmarkEnd w:id="212"/>
    </w:p>
    <w:p w14:paraId="6FD10A81">
      <w:pPr>
        <w:spacing w:line="60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1、投标人对所附表格中要求的资料和询问应做出肯定的回答。</w:t>
      </w:r>
    </w:p>
    <w:p w14:paraId="54A5A486">
      <w:pPr>
        <w:spacing w:line="60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文件的签字人应保证他所做的声明及对一切问题的回答的真实性和准确。</w:t>
      </w:r>
    </w:p>
    <w:p w14:paraId="2FF07A17">
      <w:pPr>
        <w:spacing w:line="60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3、投标人提供的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文件将由招标人使用，并据此进行评价和判断，确定投标人的能力。</w:t>
      </w:r>
    </w:p>
    <w:p w14:paraId="0DBD757E">
      <w:pPr>
        <w:spacing w:line="60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4、投标人提交的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文件将给予保密，但不退还。</w:t>
      </w:r>
    </w:p>
    <w:p w14:paraId="6219F338">
      <w:pPr>
        <w:spacing w:line="240" w:lineRule="auto"/>
        <w:rPr>
          <w:rFonts w:hint="eastAsia" w:ascii="仿宋" w:hAnsi="仿宋" w:eastAsia="仿宋" w:cs="仿宋"/>
          <w:color w:val="auto"/>
          <w:sz w:val="20"/>
          <w:highlight w:val="none"/>
        </w:rPr>
      </w:pPr>
      <w:r>
        <w:rPr>
          <w:rFonts w:hint="eastAsia" w:ascii="仿宋" w:hAnsi="仿宋" w:eastAsia="仿宋" w:cs="仿宋"/>
          <w:color w:val="auto"/>
          <w:sz w:val="28"/>
          <w:szCs w:val="28"/>
          <w:highlight w:val="none"/>
        </w:rPr>
        <w:t xml:space="preserve">  </w:t>
      </w:r>
    </w:p>
    <w:p w14:paraId="0995CBCB">
      <w:pPr>
        <w:spacing w:line="240" w:lineRule="auto"/>
        <w:rPr>
          <w:rFonts w:hint="eastAsia" w:ascii="仿宋" w:hAnsi="仿宋" w:eastAsia="仿宋" w:cs="仿宋"/>
          <w:color w:val="auto"/>
          <w:sz w:val="20"/>
          <w:highlight w:val="none"/>
        </w:rPr>
      </w:pPr>
    </w:p>
    <w:p w14:paraId="4734A724">
      <w:pPr>
        <w:spacing w:line="240" w:lineRule="auto"/>
        <w:rPr>
          <w:rFonts w:hint="eastAsia" w:ascii="仿宋" w:hAnsi="仿宋" w:eastAsia="仿宋" w:cs="仿宋"/>
          <w:color w:val="auto"/>
          <w:sz w:val="20"/>
          <w:highlight w:val="none"/>
        </w:rPr>
      </w:pPr>
    </w:p>
    <w:p w14:paraId="64C3CAC5">
      <w:pPr>
        <w:spacing w:line="240" w:lineRule="auto"/>
        <w:rPr>
          <w:rFonts w:hint="eastAsia" w:ascii="仿宋" w:hAnsi="仿宋" w:eastAsia="仿宋" w:cs="仿宋"/>
          <w:color w:val="auto"/>
          <w:sz w:val="20"/>
          <w:highlight w:val="none"/>
        </w:rPr>
      </w:pPr>
    </w:p>
    <w:p w14:paraId="1483F297">
      <w:pPr>
        <w:spacing w:line="240" w:lineRule="auto"/>
        <w:jc w:val="center"/>
        <w:rPr>
          <w:rFonts w:hint="eastAsia" w:ascii="仿宋" w:hAnsi="仿宋" w:eastAsia="仿宋" w:cs="仿宋"/>
          <w:b/>
          <w:bCs/>
          <w:color w:val="auto"/>
          <w:sz w:val="44"/>
          <w:szCs w:val="44"/>
          <w:highlight w:val="none"/>
        </w:rPr>
      </w:pPr>
    </w:p>
    <w:p w14:paraId="3F9630FA">
      <w:pPr>
        <w:spacing w:line="380" w:lineRule="exact"/>
        <w:rPr>
          <w:rFonts w:hint="eastAsia" w:ascii="仿宋" w:hAnsi="仿宋" w:eastAsia="仿宋" w:cs="仿宋"/>
          <w:color w:val="auto"/>
          <w:sz w:val="28"/>
          <w:szCs w:val="28"/>
          <w:highlight w:val="none"/>
        </w:rPr>
        <w:sectPr>
          <w:headerReference r:id="rId12" w:type="default"/>
          <w:footerReference r:id="rId13" w:type="default"/>
          <w:pgSz w:w="11907" w:h="16840"/>
          <w:pgMar w:top="1440" w:right="1080" w:bottom="1440" w:left="1080" w:header="851" w:footer="850" w:gutter="0"/>
          <w:pgBorders>
            <w:top w:val="none" w:sz="0" w:space="0"/>
            <w:left w:val="none" w:sz="0" w:space="0"/>
            <w:bottom w:val="none" w:sz="0" w:space="0"/>
            <w:right w:val="none" w:sz="0" w:space="0"/>
          </w:pgBorders>
          <w:pgNumType w:fmt="decimal"/>
          <w:cols w:space="720" w:num="1"/>
          <w:rtlGutter w:val="0"/>
          <w:docGrid w:linePitch="462" w:charSpace="0"/>
        </w:sectPr>
      </w:pPr>
    </w:p>
    <w:p w14:paraId="122274E4">
      <w:pPr>
        <w:pStyle w:val="6"/>
        <w:keepNext/>
        <w:keepLines/>
        <w:pageBreakBefore w:val="0"/>
        <w:widowControl w:val="0"/>
        <w:shd w:val="clear" w:color="auto" w:fill="auto"/>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中小企业划分标准</w:t>
      </w:r>
    </w:p>
    <w:p w14:paraId="356C1FDB">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480" w:firstLineChars="200"/>
        <w:jc w:val="both"/>
        <w:textAlignment w:val="auto"/>
        <w:rPr>
          <w:rFonts w:hint="eastAsia" w:ascii="仿宋" w:hAnsi="仿宋" w:eastAsia="仿宋" w:cs="仿宋"/>
          <w:color w:val="auto"/>
          <w:sz w:val="24"/>
          <w:szCs w:val="24"/>
          <w:highlight w:val="none"/>
        </w:rPr>
      </w:pPr>
      <w:bookmarkStart w:id="213" w:name="bookmark4"/>
      <w:bookmarkStart w:id="214" w:name="bookmark5"/>
      <w:r>
        <w:rPr>
          <w:rFonts w:hint="eastAsia" w:ascii="仿宋" w:hAnsi="仿宋" w:eastAsia="仿宋" w:cs="仿宋"/>
          <w:color w:val="auto"/>
          <w:sz w:val="24"/>
          <w:szCs w:val="24"/>
          <w:highlight w:val="none"/>
        </w:rPr>
        <w:t>工业和信息化部、国家统计局、发展改革委、财政部等四部门《关于印发中小企业划型标准规定的通知》（工信部联企业〔2011〕300号）规定中小企业划型标准如表所示：</w:t>
      </w:r>
      <w:bookmarkEnd w:id="213"/>
      <w:bookmarkEnd w:id="214"/>
    </w:p>
    <w:tbl>
      <w:tblPr>
        <w:tblStyle w:val="48"/>
        <w:tblW w:w="10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
        <w:gridCol w:w="2038"/>
        <w:gridCol w:w="1049"/>
        <w:gridCol w:w="7255"/>
      </w:tblGrid>
      <w:tr w14:paraId="1672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restart"/>
            <w:shd w:val="clear" w:color="auto" w:fill="FFFFFF"/>
            <w:noWrap w:val="0"/>
            <w:vAlign w:val="center"/>
          </w:tcPr>
          <w:p w14:paraId="0AC150DB">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2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农、林、牧、</w:t>
            </w:r>
          </w:p>
          <w:p w14:paraId="2D2A6F90">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2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渔业</w:t>
            </w:r>
          </w:p>
        </w:tc>
        <w:tc>
          <w:tcPr>
            <w:tcW w:w="8304" w:type="dxa"/>
            <w:gridSpan w:val="2"/>
            <w:shd w:val="clear" w:color="auto" w:fill="FFFFFF"/>
            <w:noWrap w:val="0"/>
            <w:vAlign w:val="center"/>
          </w:tcPr>
          <w:p w14:paraId="6E0667DB">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营业收入20000万元以下的为中小微型企业。</w:t>
            </w:r>
          </w:p>
        </w:tc>
      </w:tr>
      <w:tr w14:paraId="64D6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4041A2F2">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3C230ED3">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255" w:type="dxa"/>
            <w:shd w:val="clear" w:color="auto" w:fill="FFFFFF"/>
            <w:noWrap w:val="0"/>
            <w:vAlign w:val="center"/>
          </w:tcPr>
          <w:p w14:paraId="35284F51">
            <w:pPr>
              <w:pStyle w:val="156"/>
              <w:keepNext w:val="0"/>
              <w:keepLines w:val="0"/>
              <w:pageBreakBefore w:val="0"/>
              <w:widowControl w:val="0"/>
              <w:shd w:val="clear" w:color="auto" w:fill="auto"/>
              <w:tabs>
                <w:tab w:val="left" w:pos="1930"/>
              </w:tabs>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500万元</w:t>
            </w:r>
            <w:r>
              <w:rPr>
                <w:rFonts w:hint="eastAsia" w:ascii="仿宋" w:hAnsi="仿宋" w:eastAsia="仿宋" w:cs="仿宋"/>
                <w:color w:val="auto"/>
                <w:sz w:val="24"/>
                <w:szCs w:val="24"/>
                <w:highlight w:val="none"/>
                <w:lang w:val="en-US"/>
              </w:rPr>
              <w:t>-</w:t>
            </w:r>
            <w:r>
              <w:rPr>
                <w:rFonts w:hint="eastAsia" w:ascii="仿宋" w:hAnsi="仿宋" w:eastAsia="仿宋" w:cs="仿宋"/>
                <w:color w:val="auto"/>
                <w:sz w:val="24"/>
                <w:szCs w:val="24"/>
                <w:highlight w:val="none"/>
              </w:rPr>
              <w:t>20000万元</w:t>
            </w:r>
          </w:p>
        </w:tc>
      </w:tr>
      <w:tr w14:paraId="30A0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429038F0">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37659A1E">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255" w:type="dxa"/>
            <w:shd w:val="clear" w:color="auto" w:fill="FFFFFF"/>
            <w:noWrap w:val="0"/>
            <w:vAlign w:val="center"/>
          </w:tcPr>
          <w:p w14:paraId="50684FDB">
            <w:pPr>
              <w:pStyle w:val="156"/>
              <w:keepNext w:val="0"/>
              <w:keepLines w:val="0"/>
              <w:pageBreakBefore w:val="0"/>
              <w:widowControl w:val="0"/>
              <w:shd w:val="clear" w:color="auto" w:fill="auto"/>
              <w:tabs>
                <w:tab w:val="left" w:pos="1752"/>
              </w:tabs>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50万元</w:t>
            </w:r>
            <w:r>
              <w:rPr>
                <w:rFonts w:hint="eastAsia" w:ascii="仿宋" w:hAnsi="仿宋" w:eastAsia="仿宋" w:cs="仿宋"/>
                <w:color w:val="auto"/>
                <w:sz w:val="24"/>
                <w:szCs w:val="24"/>
                <w:highlight w:val="none"/>
                <w:lang w:val="en-US"/>
              </w:rPr>
              <w:t>-</w:t>
            </w:r>
            <w:r>
              <w:rPr>
                <w:rFonts w:hint="eastAsia" w:ascii="仿宋" w:hAnsi="仿宋" w:eastAsia="仿宋" w:cs="仿宋"/>
                <w:color w:val="auto"/>
                <w:sz w:val="24"/>
                <w:szCs w:val="24"/>
                <w:highlight w:val="none"/>
              </w:rPr>
              <w:t>500万元</w:t>
            </w:r>
          </w:p>
        </w:tc>
      </w:tr>
      <w:tr w14:paraId="28EDD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480BC0FF">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0DEA8822">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255" w:type="dxa"/>
            <w:shd w:val="clear" w:color="auto" w:fill="FFFFFF"/>
            <w:noWrap w:val="0"/>
            <w:vAlign w:val="center"/>
          </w:tcPr>
          <w:p w14:paraId="353F9F57">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50万元以下</w:t>
            </w:r>
          </w:p>
        </w:tc>
      </w:tr>
      <w:tr w14:paraId="61F4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restart"/>
            <w:shd w:val="clear" w:color="auto" w:fill="FFFFFF"/>
            <w:noWrap w:val="0"/>
            <w:vAlign w:val="center"/>
          </w:tcPr>
          <w:p w14:paraId="13085531">
            <w:pPr>
              <w:pStyle w:val="156"/>
              <w:keepNext w:val="0"/>
              <w:keepLines w:val="0"/>
              <w:pageBreakBefore w:val="0"/>
              <w:widowControl w:val="0"/>
              <w:shd w:val="clear" w:color="auto" w:fill="auto"/>
              <w:kinsoku/>
              <w:wordWrap/>
              <w:overflowPunct/>
              <w:topLinePunct w:val="0"/>
              <w:autoSpaceDE/>
              <w:autoSpaceDN/>
              <w:bidi w:val="0"/>
              <w:adjustRightInd/>
              <w:snapToGrid/>
              <w:spacing w:line="312" w:lineRule="auto"/>
              <w:ind w:right="62"/>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工业</w:t>
            </w:r>
          </w:p>
          <w:p w14:paraId="205443B4">
            <w:pPr>
              <w:pStyle w:val="156"/>
              <w:keepNext w:val="0"/>
              <w:keepLines w:val="0"/>
              <w:pageBreakBefore w:val="0"/>
              <w:widowControl w:val="0"/>
              <w:shd w:val="clear" w:color="auto" w:fill="auto"/>
              <w:kinsoku/>
              <w:wordWrap/>
              <w:overflowPunct/>
              <w:topLinePunct w:val="0"/>
              <w:autoSpaceDE/>
              <w:autoSpaceDN/>
              <w:bidi w:val="0"/>
              <w:adjustRightInd/>
              <w:snapToGrid/>
              <w:spacing w:line="312" w:lineRule="auto"/>
              <w:ind w:right="62"/>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（包括采矿业，</w:t>
            </w:r>
          </w:p>
          <w:p w14:paraId="1B084771">
            <w:pPr>
              <w:pStyle w:val="156"/>
              <w:keepNext w:val="0"/>
              <w:keepLines w:val="0"/>
              <w:pageBreakBefore w:val="0"/>
              <w:widowControl w:val="0"/>
              <w:shd w:val="clear" w:color="auto" w:fill="auto"/>
              <w:kinsoku/>
              <w:wordWrap/>
              <w:overflowPunct/>
              <w:topLinePunct w:val="0"/>
              <w:autoSpaceDE/>
              <w:autoSpaceDN/>
              <w:bidi w:val="0"/>
              <w:adjustRightInd/>
              <w:snapToGrid/>
              <w:spacing w:line="312" w:lineRule="auto"/>
              <w:ind w:right="62"/>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制造业，电力、</w:t>
            </w:r>
          </w:p>
          <w:p w14:paraId="77BF8498">
            <w:pPr>
              <w:pStyle w:val="156"/>
              <w:keepNext w:val="0"/>
              <w:keepLines w:val="0"/>
              <w:pageBreakBefore w:val="0"/>
              <w:widowControl w:val="0"/>
              <w:shd w:val="clear" w:color="auto" w:fill="auto"/>
              <w:kinsoku/>
              <w:wordWrap/>
              <w:overflowPunct/>
              <w:topLinePunct w:val="0"/>
              <w:autoSpaceDE/>
              <w:autoSpaceDN/>
              <w:bidi w:val="0"/>
              <w:adjustRightInd/>
              <w:snapToGrid/>
              <w:spacing w:line="312" w:lineRule="auto"/>
              <w:ind w:right="62"/>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热力、燃气及</w:t>
            </w:r>
          </w:p>
          <w:p w14:paraId="0A4E6E5C">
            <w:pPr>
              <w:pStyle w:val="156"/>
              <w:keepNext w:val="0"/>
              <w:keepLines w:val="0"/>
              <w:pageBreakBefore w:val="0"/>
              <w:widowControl w:val="0"/>
              <w:shd w:val="clear" w:color="auto" w:fill="auto"/>
              <w:kinsoku/>
              <w:wordWrap/>
              <w:overflowPunct/>
              <w:topLinePunct w:val="0"/>
              <w:autoSpaceDE/>
              <w:autoSpaceDN/>
              <w:bidi w:val="0"/>
              <w:adjustRightInd/>
              <w:snapToGrid/>
              <w:spacing w:line="312"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水生产和供应业）</w:t>
            </w:r>
          </w:p>
        </w:tc>
        <w:tc>
          <w:tcPr>
            <w:tcW w:w="8304" w:type="dxa"/>
            <w:gridSpan w:val="2"/>
            <w:shd w:val="clear" w:color="auto" w:fill="FFFFFF"/>
            <w:noWrap w:val="0"/>
            <w:vAlign w:val="center"/>
          </w:tcPr>
          <w:p w14:paraId="20120A0B">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从业人员1 000人以下或营业收入 40000万元以下的为中小微型企业。</w:t>
            </w:r>
          </w:p>
        </w:tc>
      </w:tr>
      <w:tr w14:paraId="39E8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7DCCCDA7">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67C122B3">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255" w:type="dxa"/>
            <w:shd w:val="clear" w:color="auto" w:fill="FFFFFF"/>
            <w:noWrap w:val="0"/>
            <w:vAlign w:val="center"/>
          </w:tcPr>
          <w:p w14:paraId="780916B4">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 300人一1 000人，且营业收入 2000万元一40000万元</w:t>
            </w:r>
          </w:p>
        </w:tc>
      </w:tr>
      <w:tr w14:paraId="530A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04444D34">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3EBC5AA2">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255" w:type="dxa"/>
            <w:shd w:val="clear" w:color="auto" w:fill="FFFFFF"/>
            <w:noWrap w:val="0"/>
            <w:vAlign w:val="center"/>
          </w:tcPr>
          <w:p w14:paraId="15B7920F">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从业人员20人一300人，且营业收入 300万元一2 000万元</w:t>
            </w:r>
          </w:p>
        </w:tc>
      </w:tr>
      <w:tr w14:paraId="081C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366" w:hRule="atLeast"/>
          <w:jc w:val="center"/>
        </w:trPr>
        <w:tc>
          <w:tcPr>
            <w:tcW w:w="2038" w:type="dxa"/>
            <w:vMerge w:val="continue"/>
            <w:shd w:val="clear" w:color="auto" w:fill="FFFFFF"/>
            <w:noWrap w:val="0"/>
            <w:vAlign w:val="center"/>
          </w:tcPr>
          <w:p w14:paraId="1063C8DF">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2A552E84">
            <w:pPr>
              <w:pStyle w:val="156"/>
              <w:keepNext w:val="0"/>
              <w:keepLines w:val="0"/>
              <w:pageBreakBefore w:val="0"/>
              <w:widowControl w:val="0"/>
              <w:shd w:val="clear" w:color="auto" w:fill="auto"/>
              <w:kinsoku/>
              <w:wordWrap/>
              <w:overflowPunct/>
              <w:topLinePunct w:val="0"/>
              <w:autoSpaceDE/>
              <w:autoSpaceDN/>
              <w:bidi w:val="0"/>
              <w:adjustRightInd/>
              <w:snapToGrid/>
              <w:spacing w:line="240"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255" w:type="dxa"/>
            <w:shd w:val="clear" w:color="auto" w:fill="FFFFFF"/>
            <w:noWrap w:val="0"/>
            <w:vAlign w:val="center"/>
          </w:tcPr>
          <w:p w14:paraId="54689AC0">
            <w:pPr>
              <w:pStyle w:val="156"/>
              <w:keepNext w:val="0"/>
              <w:keepLines w:val="0"/>
              <w:pageBreakBefore w:val="0"/>
              <w:widowControl w:val="0"/>
              <w:shd w:val="clear" w:color="auto" w:fill="auto"/>
              <w:kinsoku/>
              <w:wordWrap/>
              <w:overflowPunct/>
              <w:topLinePunct w:val="0"/>
              <w:autoSpaceDE/>
              <w:autoSpaceDN/>
              <w:bidi w:val="0"/>
              <w:adjustRightInd/>
              <w:snapToGrid/>
              <w:spacing w:line="240"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从业人员20人以下或营业收入 300万元以下</w:t>
            </w:r>
          </w:p>
        </w:tc>
      </w:tr>
      <w:tr w14:paraId="093E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restart"/>
            <w:shd w:val="clear" w:color="auto" w:fill="FFFFFF"/>
            <w:noWrap w:val="0"/>
            <w:vAlign w:val="center"/>
          </w:tcPr>
          <w:p w14:paraId="232934B9">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建筑业</w:t>
            </w:r>
          </w:p>
        </w:tc>
        <w:tc>
          <w:tcPr>
            <w:tcW w:w="8304" w:type="dxa"/>
            <w:gridSpan w:val="2"/>
            <w:shd w:val="clear" w:color="auto" w:fill="FFFFFF"/>
            <w:noWrap w:val="0"/>
            <w:vAlign w:val="center"/>
          </w:tcPr>
          <w:p w14:paraId="1D7D4402">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营业收入80000万元以下或资产总额 80000万元以下的为中小微型企业。</w:t>
            </w:r>
          </w:p>
        </w:tc>
      </w:tr>
      <w:tr w14:paraId="6D68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72F0F789">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7DC13B84">
            <w:pPr>
              <w:pStyle w:val="156"/>
              <w:keepNext w:val="0"/>
              <w:keepLines w:val="0"/>
              <w:pageBreakBefore w:val="0"/>
              <w:widowControl w:val="0"/>
              <w:shd w:val="clear" w:color="auto" w:fill="auto"/>
              <w:kinsoku/>
              <w:wordWrap/>
              <w:overflowPunct/>
              <w:topLinePunct w:val="0"/>
              <w:autoSpaceDE/>
              <w:autoSpaceDN/>
              <w:bidi w:val="0"/>
              <w:adjustRightInd/>
              <w:snapToGrid/>
              <w:spacing w:line="240"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255" w:type="dxa"/>
            <w:shd w:val="clear" w:color="auto" w:fill="FFFFFF"/>
            <w:noWrap w:val="0"/>
            <w:vAlign w:val="center"/>
          </w:tcPr>
          <w:p w14:paraId="4C9C8093">
            <w:pPr>
              <w:pStyle w:val="156"/>
              <w:keepNext w:val="0"/>
              <w:keepLines w:val="0"/>
              <w:pageBreakBefore w:val="0"/>
              <w:widowControl w:val="0"/>
              <w:shd w:val="clear" w:color="auto" w:fill="auto"/>
              <w:kinsoku/>
              <w:wordWrap/>
              <w:overflowPunct/>
              <w:topLinePunct w:val="0"/>
              <w:autoSpaceDE/>
              <w:autoSpaceDN/>
              <w:bidi w:val="0"/>
              <w:adjustRightInd/>
              <w:snapToGrid/>
              <w:spacing w:line="240"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营业收入6000万元一80000万元，且资产总额 5 000万元一80 000 万元</w:t>
            </w:r>
          </w:p>
        </w:tc>
      </w:tr>
      <w:tr w14:paraId="38EF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26417A7B">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129BC7BA">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255" w:type="dxa"/>
            <w:shd w:val="clear" w:color="auto" w:fill="FFFFFF"/>
            <w:noWrap w:val="0"/>
            <w:vAlign w:val="center"/>
          </w:tcPr>
          <w:p w14:paraId="6415D6D4">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 300万元一6 000万元，且资产总额 300万一5 000万元</w:t>
            </w:r>
          </w:p>
        </w:tc>
      </w:tr>
      <w:tr w14:paraId="6C2F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7FA2522D">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0A5E4A8D">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255" w:type="dxa"/>
            <w:shd w:val="clear" w:color="auto" w:fill="FFFFFF"/>
            <w:noWrap w:val="0"/>
            <w:vAlign w:val="center"/>
          </w:tcPr>
          <w:p w14:paraId="4A9798CB">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营业收入300万元以下或资产总额 300万元以下</w:t>
            </w:r>
          </w:p>
        </w:tc>
      </w:tr>
      <w:tr w14:paraId="0EC71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restart"/>
            <w:shd w:val="clear" w:color="auto" w:fill="FFFFFF"/>
            <w:noWrap w:val="0"/>
            <w:vAlign w:val="center"/>
          </w:tcPr>
          <w:p w14:paraId="755C3FE3">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批发业</w:t>
            </w:r>
          </w:p>
        </w:tc>
        <w:tc>
          <w:tcPr>
            <w:tcW w:w="8304" w:type="dxa"/>
            <w:gridSpan w:val="2"/>
            <w:shd w:val="clear" w:color="auto" w:fill="FFFFFF"/>
            <w:noWrap w:val="0"/>
            <w:vAlign w:val="center"/>
          </w:tcPr>
          <w:p w14:paraId="4E155549">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从业人员200人以下或营业收入 40 000万元以下的为中小微型企业。</w:t>
            </w:r>
          </w:p>
        </w:tc>
      </w:tr>
      <w:tr w14:paraId="7E4A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54212B40">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b w:val="0"/>
                <w:bCs w:val="0"/>
                <w:color w:val="auto"/>
                <w:sz w:val="24"/>
                <w:szCs w:val="24"/>
                <w:highlight w:val="none"/>
              </w:rPr>
            </w:pPr>
          </w:p>
        </w:tc>
        <w:tc>
          <w:tcPr>
            <w:tcW w:w="1049" w:type="dxa"/>
            <w:shd w:val="clear" w:color="auto" w:fill="FFFFFF"/>
            <w:noWrap w:val="0"/>
            <w:vAlign w:val="center"/>
          </w:tcPr>
          <w:p w14:paraId="18DBC14E">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中型</w:t>
            </w:r>
          </w:p>
        </w:tc>
        <w:tc>
          <w:tcPr>
            <w:tcW w:w="7255" w:type="dxa"/>
            <w:shd w:val="clear" w:color="auto" w:fill="FFFFFF"/>
            <w:noWrap w:val="0"/>
            <w:vAlign w:val="center"/>
          </w:tcPr>
          <w:p w14:paraId="7CF0B370">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从业人员20人一200人，且营业收入 5 000万元一40 000万元</w:t>
            </w:r>
          </w:p>
        </w:tc>
      </w:tr>
      <w:tr w14:paraId="2082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198E6D63">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b w:val="0"/>
                <w:bCs w:val="0"/>
                <w:color w:val="auto"/>
                <w:sz w:val="24"/>
                <w:szCs w:val="24"/>
                <w:highlight w:val="none"/>
              </w:rPr>
            </w:pPr>
          </w:p>
        </w:tc>
        <w:tc>
          <w:tcPr>
            <w:tcW w:w="1049" w:type="dxa"/>
            <w:shd w:val="clear" w:color="auto" w:fill="FFFFFF"/>
            <w:noWrap w:val="0"/>
            <w:vAlign w:val="center"/>
          </w:tcPr>
          <w:p w14:paraId="61DA92F2">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小型</w:t>
            </w:r>
          </w:p>
        </w:tc>
        <w:tc>
          <w:tcPr>
            <w:tcW w:w="7255" w:type="dxa"/>
            <w:shd w:val="clear" w:color="auto" w:fill="FFFFFF"/>
            <w:noWrap w:val="0"/>
            <w:vAlign w:val="center"/>
          </w:tcPr>
          <w:p w14:paraId="4E5496C8">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从业人员5人一20人，且营业收入 1 000万元一5 000万元</w:t>
            </w:r>
          </w:p>
        </w:tc>
      </w:tr>
      <w:tr w14:paraId="104C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21024FD8">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b w:val="0"/>
                <w:bCs w:val="0"/>
                <w:color w:val="auto"/>
                <w:sz w:val="24"/>
                <w:szCs w:val="24"/>
                <w:highlight w:val="none"/>
              </w:rPr>
            </w:pPr>
          </w:p>
        </w:tc>
        <w:tc>
          <w:tcPr>
            <w:tcW w:w="1049" w:type="dxa"/>
            <w:shd w:val="clear" w:color="auto" w:fill="FFFFFF"/>
            <w:noWrap w:val="0"/>
            <w:vAlign w:val="center"/>
          </w:tcPr>
          <w:p w14:paraId="1465F174">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微型</w:t>
            </w:r>
          </w:p>
        </w:tc>
        <w:tc>
          <w:tcPr>
            <w:tcW w:w="7255" w:type="dxa"/>
            <w:shd w:val="clear" w:color="auto" w:fill="FFFFFF"/>
            <w:noWrap w:val="0"/>
            <w:vAlign w:val="center"/>
          </w:tcPr>
          <w:p w14:paraId="282011E4">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从业人员5人以下或营业收入 1 000万元以下</w:t>
            </w:r>
          </w:p>
        </w:tc>
      </w:tr>
      <w:tr w14:paraId="336D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restart"/>
            <w:shd w:val="clear" w:color="auto" w:fill="FFFFFF"/>
            <w:noWrap w:val="0"/>
            <w:vAlign w:val="center"/>
          </w:tcPr>
          <w:p w14:paraId="07944406">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零售业</w:t>
            </w:r>
          </w:p>
        </w:tc>
        <w:tc>
          <w:tcPr>
            <w:tcW w:w="8304" w:type="dxa"/>
            <w:gridSpan w:val="2"/>
            <w:shd w:val="clear" w:color="auto" w:fill="FFFFFF"/>
            <w:noWrap w:val="0"/>
            <w:vAlign w:val="center"/>
          </w:tcPr>
          <w:p w14:paraId="47775C2D">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从业人员300人以下或营业收入 20 000万元以下的为中小微型企业。</w:t>
            </w:r>
          </w:p>
        </w:tc>
      </w:tr>
      <w:tr w14:paraId="5597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2048C4D1">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41274642">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255" w:type="dxa"/>
            <w:shd w:val="clear" w:color="auto" w:fill="FFFFFF"/>
            <w:noWrap w:val="0"/>
            <w:vAlign w:val="center"/>
          </w:tcPr>
          <w:p w14:paraId="09AFF56C">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 50人一300人，且营业收入 500万元一20 000万元</w:t>
            </w:r>
          </w:p>
        </w:tc>
      </w:tr>
      <w:tr w14:paraId="7645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0F1F0032">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09D69B2F">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255" w:type="dxa"/>
            <w:shd w:val="clear" w:color="auto" w:fill="FFFFFF"/>
            <w:noWrap w:val="0"/>
            <w:vAlign w:val="center"/>
          </w:tcPr>
          <w:p w14:paraId="18EE8573">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从业人员10人一50人，且营业收入 100万元一500万元</w:t>
            </w:r>
          </w:p>
        </w:tc>
      </w:tr>
      <w:tr w14:paraId="02AD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2897F5B3">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0033247B">
            <w:pPr>
              <w:pStyle w:val="156"/>
              <w:keepNext w:val="0"/>
              <w:keepLines w:val="0"/>
              <w:pageBreakBefore w:val="0"/>
              <w:widowControl w:val="0"/>
              <w:shd w:val="clear" w:color="auto" w:fill="auto"/>
              <w:kinsoku/>
              <w:wordWrap/>
              <w:overflowPunct/>
              <w:topLinePunct w:val="0"/>
              <w:autoSpaceDE/>
              <w:autoSpaceDN/>
              <w:bidi w:val="0"/>
              <w:adjustRightInd/>
              <w:snapToGrid/>
              <w:spacing w:before="80"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255" w:type="dxa"/>
            <w:shd w:val="clear" w:color="auto" w:fill="FFFFFF"/>
            <w:noWrap w:val="0"/>
            <w:vAlign w:val="center"/>
          </w:tcPr>
          <w:p w14:paraId="5D115477">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从业人员10人以下或营业收入 100万元以下</w:t>
            </w:r>
          </w:p>
        </w:tc>
      </w:tr>
      <w:tr w14:paraId="03CD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restart"/>
            <w:shd w:val="clear" w:color="auto" w:fill="FFFFFF"/>
            <w:noWrap w:val="0"/>
            <w:vAlign w:val="center"/>
          </w:tcPr>
          <w:p w14:paraId="00445E27">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交通运输业 （不含铁路运输业）</w:t>
            </w:r>
          </w:p>
        </w:tc>
        <w:tc>
          <w:tcPr>
            <w:tcW w:w="8304" w:type="dxa"/>
            <w:gridSpan w:val="2"/>
            <w:shd w:val="clear" w:color="auto" w:fill="FFFFFF"/>
            <w:noWrap w:val="0"/>
            <w:vAlign w:val="center"/>
          </w:tcPr>
          <w:p w14:paraId="5C1C205E">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从业人员1 000人以下或营业收入 30 000万元以下的为中小微型企业。</w:t>
            </w:r>
          </w:p>
        </w:tc>
      </w:tr>
      <w:tr w14:paraId="5CAF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78EC27CC">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358E518D">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255" w:type="dxa"/>
            <w:shd w:val="clear" w:color="auto" w:fill="FFFFFF"/>
            <w:noWrap w:val="0"/>
            <w:vAlign w:val="center"/>
          </w:tcPr>
          <w:p w14:paraId="3D0A6C0D">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 300人一1 000人，且营业收入 3 000万元一30 000万元</w:t>
            </w:r>
          </w:p>
        </w:tc>
      </w:tr>
      <w:tr w14:paraId="5C20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38E86CAA">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7B248B4A">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255" w:type="dxa"/>
            <w:shd w:val="clear" w:color="auto" w:fill="FFFFFF"/>
            <w:noWrap w:val="0"/>
            <w:vAlign w:val="center"/>
          </w:tcPr>
          <w:p w14:paraId="21098213">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从业人员20人一300人，且营业收入 200万元一3 000万元</w:t>
            </w:r>
          </w:p>
        </w:tc>
      </w:tr>
      <w:tr w14:paraId="1A92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31C1BDF7">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665DA6CB">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255" w:type="dxa"/>
            <w:shd w:val="clear" w:color="auto" w:fill="FFFFFF"/>
            <w:noWrap w:val="0"/>
            <w:vAlign w:val="center"/>
          </w:tcPr>
          <w:p w14:paraId="6B20E9DE">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从业人员20人以下或营业收入 200万元以下</w:t>
            </w:r>
          </w:p>
        </w:tc>
      </w:tr>
      <w:tr w14:paraId="35FC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restart"/>
            <w:shd w:val="clear" w:color="auto" w:fill="FFFFFF"/>
            <w:noWrap w:val="0"/>
            <w:vAlign w:val="center"/>
          </w:tcPr>
          <w:p w14:paraId="1CA1FBDF">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仓储业</w:t>
            </w:r>
          </w:p>
        </w:tc>
        <w:tc>
          <w:tcPr>
            <w:tcW w:w="8304" w:type="dxa"/>
            <w:gridSpan w:val="2"/>
            <w:shd w:val="clear" w:color="auto" w:fill="FFFFFF"/>
            <w:noWrap w:val="0"/>
            <w:vAlign w:val="center"/>
          </w:tcPr>
          <w:p w14:paraId="46C605AB">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从业人员200人以下或营业收入 30 000万元以下的为中小微型企业。</w:t>
            </w:r>
          </w:p>
        </w:tc>
      </w:tr>
      <w:tr w14:paraId="7667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54D8CFB3">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34F15F7F">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255" w:type="dxa"/>
            <w:shd w:val="clear" w:color="auto" w:fill="FFFFFF"/>
            <w:noWrap w:val="0"/>
            <w:vAlign w:val="center"/>
          </w:tcPr>
          <w:p w14:paraId="02306BB0">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从业人员100人一200人，且营业收入 1 000万元一30 000万元</w:t>
            </w:r>
          </w:p>
        </w:tc>
      </w:tr>
      <w:tr w14:paraId="25B7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210FB90A">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3DD82CD6">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255" w:type="dxa"/>
            <w:shd w:val="clear" w:color="auto" w:fill="FFFFFF"/>
            <w:noWrap w:val="0"/>
            <w:vAlign w:val="center"/>
          </w:tcPr>
          <w:p w14:paraId="477FD860">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从业人员20人一100人，且营业收入 100万元一1 000万元</w:t>
            </w:r>
          </w:p>
        </w:tc>
      </w:tr>
      <w:tr w14:paraId="5DA1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4EF470AF">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4EB8F28F">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255" w:type="dxa"/>
            <w:shd w:val="clear" w:color="auto" w:fill="FFFFFF"/>
            <w:noWrap w:val="0"/>
            <w:vAlign w:val="center"/>
          </w:tcPr>
          <w:p w14:paraId="0A5325B2">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从业人员20人以下或营业收入 100万元以下</w:t>
            </w:r>
          </w:p>
        </w:tc>
      </w:tr>
      <w:tr w14:paraId="1EDB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restart"/>
            <w:shd w:val="clear" w:color="auto" w:fill="FFFFFF"/>
            <w:noWrap w:val="0"/>
            <w:vAlign w:val="center"/>
          </w:tcPr>
          <w:p w14:paraId="708A1010">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邮政业</w:t>
            </w:r>
          </w:p>
        </w:tc>
        <w:tc>
          <w:tcPr>
            <w:tcW w:w="8304" w:type="dxa"/>
            <w:gridSpan w:val="2"/>
            <w:shd w:val="clear" w:color="auto" w:fill="FFFFFF"/>
            <w:noWrap w:val="0"/>
            <w:vAlign w:val="center"/>
          </w:tcPr>
          <w:p w14:paraId="2ED47FE7">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从业人员1 000人以下或营业收入 30 000万元以下的为中小微型企业。</w:t>
            </w:r>
          </w:p>
        </w:tc>
      </w:tr>
      <w:tr w14:paraId="6C208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0FFFB2E0">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076FB119">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255" w:type="dxa"/>
            <w:shd w:val="clear" w:color="auto" w:fill="FFFFFF"/>
            <w:noWrap w:val="0"/>
            <w:vAlign w:val="center"/>
          </w:tcPr>
          <w:p w14:paraId="3668C0C7">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 300人一1 000人，且营业收入 2 000万元一30 000万元</w:t>
            </w:r>
          </w:p>
        </w:tc>
      </w:tr>
      <w:tr w14:paraId="59E9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5F366629">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22CFB2E0">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255" w:type="dxa"/>
            <w:shd w:val="clear" w:color="auto" w:fill="FFFFFF"/>
            <w:noWrap w:val="0"/>
            <w:vAlign w:val="center"/>
          </w:tcPr>
          <w:p w14:paraId="64B73168">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从业人员20人一300人，且营业收入 100万元一2 000万元</w:t>
            </w:r>
          </w:p>
        </w:tc>
      </w:tr>
      <w:tr w14:paraId="6D99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25665793">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23A31185">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255" w:type="dxa"/>
            <w:shd w:val="clear" w:color="auto" w:fill="FFFFFF"/>
            <w:noWrap w:val="0"/>
            <w:vAlign w:val="center"/>
          </w:tcPr>
          <w:p w14:paraId="7F0E1725">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从业人员20人以下或营业收入 100万元以下</w:t>
            </w:r>
          </w:p>
        </w:tc>
      </w:tr>
      <w:tr w14:paraId="2FEE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restart"/>
            <w:shd w:val="clear" w:color="auto" w:fill="FFFFFF"/>
            <w:noWrap w:val="0"/>
            <w:vAlign w:val="center"/>
          </w:tcPr>
          <w:p w14:paraId="1C208D74">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住宿业</w:t>
            </w:r>
          </w:p>
        </w:tc>
        <w:tc>
          <w:tcPr>
            <w:tcW w:w="8304" w:type="dxa"/>
            <w:gridSpan w:val="2"/>
            <w:shd w:val="clear" w:color="auto" w:fill="FFFFFF"/>
            <w:noWrap w:val="0"/>
            <w:vAlign w:val="center"/>
          </w:tcPr>
          <w:p w14:paraId="2953CEB0">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从业人员300人以下或营业收入 10000万元以下的为中小微型企业。</w:t>
            </w:r>
          </w:p>
        </w:tc>
      </w:tr>
      <w:tr w14:paraId="56E8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302FFF97">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3A81985A">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255" w:type="dxa"/>
            <w:shd w:val="clear" w:color="auto" w:fill="FFFFFF"/>
            <w:noWrap w:val="0"/>
            <w:vAlign w:val="center"/>
          </w:tcPr>
          <w:p w14:paraId="4BCDCEFE">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从业人员100人一300人，且营业收入 2 000万元一10 000万元</w:t>
            </w:r>
          </w:p>
        </w:tc>
      </w:tr>
      <w:tr w14:paraId="6CE3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4FA36089">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351CB9CE">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255" w:type="dxa"/>
            <w:shd w:val="clear" w:color="auto" w:fill="FFFFFF"/>
            <w:noWrap w:val="0"/>
            <w:vAlign w:val="center"/>
          </w:tcPr>
          <w:p w14:paraId="76B9822B">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从业人员10人一100人，且营业收入 100万元一2 000万元</w:t>
            </w:r>
          </w:p>
        </w:tc>
      </w:tr>
      <w:tr w14:paraId="6E6B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3496E350">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247CF7B8">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255" w:type="dxa"/>
            <w:shd w:val="clear" w:color="auto" w:fill="FFFFFF"/>
            <w:noWrap w:val="0"/>
            <w:vAlign w:val="center"/>
          </w:tcPr>
          <w:p w14:paraId="1683B7D8">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从业人员10人以下或营业收入 100万元以下</w:t>
            </w:r>
          </w:p>
        </w:tc>
      </w:tr>
      <w:tr w14:paraId="194C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restart"/>
            <w:shd w:val="clear" w:color="auto" w:fill="FFFFFF"/>
            <w:noWrap w:val="0"/>
            <w:vAlign w:val="center"/>
          </w:tcPr>
          <w:p w14:paraId="1AFD2D07">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餐饮业</w:t>
            </w:r>
          </w:p>
        </w:tc>
        <w:tc>
          <w:tcPr>
            <w:tcW w:w="8304" w:type="dxa"/>
            <w:gridSpan w:val="2"/>
            <w:shd w:val="clear" w:color="auto" w:fill="FFFFFF"/>
            <w:noWrap w:val="0"/>
            <w:vAlign w:val="center"/>
          </w:tcPr>
          <w:p w14:paraId="2157476B">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从业人员300人以下或营业收入 10 000万元以下的为中小微型企业。</w:t>
            </w:r>
          </w:p>
        </w:tc>
      </w:tr>
      <w:tr w14:paraId="0AFD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16E8BFE6">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6925D044">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255" w:type="dxa"/>
            <w:shd w:val="clear" w:color="auto" w:fill="FFFFFF"/>
            <w:noWrap w:val="0"/>
            <w:vAlign w:val="center"/>
          </w:tcPr>
          <w:p w14:paraId="34912445">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 300人，且营业收入 2 000万元一10 000万元</w:t>
            </w:r>
          </w:p>
        </w:tc>
      </w:tr>
      <w:tr w14:paraId="08A9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7BCEDFD9">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3EEC2D58">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255" w:type="dxa"/>
            <w:shd w:val="clear" w:color="auto" w:fill="FFFFFF"/>
            <w:noWrap w:val="0"/>
            <w:vAlign w:val="center"/>
          </w:tcPr>
          <w:p w14:paraId="6A98E0E7">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从业人员10人一100人，且营业收入 100万元一2 000万元</w:t>
            </w:r>
          </w:p>
        </w:tc>
      </w:tr>
      <w:tr w14:paraId="6E45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4E702251">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1DEB72DA">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255" w:type="dxa"/>
            <w:shd w:val="clear" w:color="auto" w:fill="FFFFFF"/>
            <w:noWrap w:val="0"/>
            <w:vAlign w:val="center"/>
          </w:tcPr>
          <w:p w14:paraId="1C392361">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从业人员10人以下或营业收入 100万元以下</w:t>
            </w:r>
          </w:p>
        </w:tc>
      </w:tr>
      <w:tr w14:paraId="609B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restart"/>
            <w:shd w:val="clear" w:color="auto" w:fill="FFFFFF"/>
            <w:noWrap w:val="0"/>
            <w:vAlign w:val="center"/>
          </w:tcPr>
          <w:p w14:paraId="2E0BC19E">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信息传输业 （包括电信、互联网和相关服务）</w:t>
            </w:r>
          </w:p>
        </w:tc>
        <w:tc>
          <w:tcPr>
            <w:tcW w:w="8304" w:type="dxa"/>
            <w:gridSpan w:val="2"/>
            <w:shd w:val="clear" w:color="auto" w:fill="FFFFFF"/>
            <w:noWrap w:val="0"/>
            <w:vAlign w:val="center"/>
          </w:tcPr>
          <w:p w14:paraId="5BD9D9C5">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从业人员2 000人以下或营业收入 100 000万元以下的为中小微型企业。</w:t>
            </w:r>
          </w:p>
        </w:tc>
      </w:tr>
      <w:tr w14:paraId="20FE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54C39717">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7EAD2228">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255" w:type="dxa"/>
            <w:shd w:val="clear" w:color="auto" w:fill="FFFFFF"/>
            <w:noWrap w:val="0"/>
            <w:vAlign w:val="center"/>
          </w:tcPr>
          <w:p w14:paraId="206FB9BF">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从业人员100人一2 000人，且营业收入 1 000万元一10 000万元</w:t>
            </w:r>
          </w:p>
        </w:tc>
      </w:tr>
      <w:tr w14:paraId="1200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675DBDA3">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5B49302E">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255" w:type="dxa"/>
            <w:shd w:val="clear" w:color="auto" w:fill="FFFFFF"/>
            <w:noWrap w:val="0"/>
            <w:vAlign w:val="center"/>
          </w:tcPr>
          <w:p w14:paraId="154585DE">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从业人员10人一100人，且营业收入 100万元一1 000万元</w:t>
            </w:r>
          </w:p>
        </w:tc>
      </w:tr>
      <w:tr w14:paraId="4B9C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68B74AD2">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41C471CC">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255" w:type="dxa"/>
            <w:shd w:val="clear" w:color="auto" w:fill="FFFFFF"/>
            <w:noWrap w:val="0"/>
            <w:vAlign w:val="center"/>
          </w:tcPr>
          <w:p w14:paraId="4EC8F337">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从业人员10人以下或营业收入 100万元以下</w:t>
            </w:r>
          </w:p>
        </w:tc>
      </w:tr>
      <w:tr w14:paraId="18AE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restart"/>
            <w:shd w:val="clear" w:color="auto" w:fill="FFFFFF"/>
            <w:noWrap w:val="0"/>
            <w:vAlign w:val="center"/>
          </w:tcPr>
          <w:p w14:paraId="48B5B2AD">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软件和信息</w:t>
            </w:r>
          </w:p>
          <w:p w14:paraId="57A4D3A0">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技术服务业</w:t>
            </w:r>
          </w:p>
        </w:tc>
        <w:tc>
          <w:tcPr>
            <w:tcW w:w="8304" w:type="dxa"/>
            <w:gridSpan w:val="2"/>
            <w:shd w:val="clear" w:color="auto" w:fill="FFFFFF"/>
            <w:noWrap w:val="0"/>
            <w:vAlign w:val="center"/>
          </w:tcPr>
          <w:p w14:paraId="5CA8F686">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从业人员300人以下或营业收入 10000万元以下的为中小微型企业。</w:t>
            </w:r>
          </w:p>
        </w:tc>
      </w:tr>
      <w:tr w14:paraId="3F85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181EB767">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01FFFCB2">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255" w:type="dxa"/>
            <w:shd w:val="clear" w:color="auto" w:fill="FFFFFF"/>
            <w:noWrap w:val="0"/>
            <w:vAlign w:val="center"/>
          </w:tcPr>
          <w:p w14:paraId="4EACE2FC">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 300人，且营业收入 1 000万元一10 000万元</w:t>
            </w:r>
          </w:p>
        </w:tc>
      </w:tr>
      <w:tr w14:paraId="3C2F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1A75518E">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304E8E74">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255" w:type="dxa"/>
            <w:shd w:val="clear" w:color="auto" w:fill="FFFFFF"/>
            <w:noWrap w:val="0"/>
            <w:vAlign w:val="center"/>
          </w:tcPr>
          <w:p w14:paraId="20E01A6A">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从业人员10人一100人，且营业收入 50万元一1 000万元</w:t>
            </w:r>
          </w:p>
        </w:tc>
      </w:tr>
      <w:tr w14:paraId="50B0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0D86BFBC">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6DF670AA">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255" w:type="dxa"/>
            <w:shd w:val="clear" w:color="auto" w:fill="FFFFFF"/>
            <w:noWrap w:val="0"/>
            <w:vAlign w:val="center"/>
          </w:tcPr>
          <w:p w14:paraId="290E31D0">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从业人员10人以下或营业收入 50万元以下</w:t>
            </w:r>
          </w:p>
        </w:tc>
      </w:tr>
      <w:tr w14:paraId="697B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restart"/>
            <w:shd w:val="clear" w:color="auto" w:fill="FFFFFF"/>
            <w:noWrap w:val="0"/>
            <w:vAlign w:val="center"/>
          </w:tcPr>
          <w:p w14:paraId="45A41E33">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房地产开发经营</w:t>
            </w:r>
          </w:p>
        </w:tc>
        <w:tc>
          <w:tcPr>
            <w:tcW w:w="8304" w:type="dxa"/>
            <w:gridSpan w:val="2"/>
            <w:shd w:val="clear" w:color="auto" w:fill="FFFFFF"/>
            <w:noWrap w:val="0"/>
            <w:vAlign w:val="center"/>
          </w:tcPr>
          <w:p w14:paraId="1123C20B">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营业收入200 000万元以下或资产总额 10 000万元以下的为中小微型企业。</w:t>
            </w:r>
          </w:p>
        </w:tc>
      </w:tr>
      <w:tr w14:paraId="2FE5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04DBC07A">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50A176DB">
            <w:pPr>
              <w:pStyle w:val="156"/>
              <w:keepNext w:val="0"/>
              <w:keepLines w:val="0"/>
              <w:pageBreakBefore w:val="0"/>
              <w:widowControl w:val="0"/>
              <w:shd w:val="clear" w:color="auto" w:fill="auto"/>
              <w:kinsoku/>
              <w:wordWrap/>
              <w:overflowPunct/>
              <w:topLinePunct w:val="0"/>
              <w:autoSpaceDE/>
              <w:autoSpaceDN/>
              <w:bidi w:val="0"/>
              <w:adjustRightInd/>
              <w:snapToGrid/>
              <w:spacing w:line="240"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255" w:type="dxa"/>
            <w:shd w:val="clear" w:color="auto" w:fill="FFFFFF"/>
            <w:noWrap w:val="0"/>
            <w:vAlign w:val="center"/>
          </w:tcPr>
          <w:p w14:paraId="4292F3E3">
            <w:pPr>
              <w:pStyle w:val="156"/>
              <w:keepNext w:val="0"/>
              <w:keepLines w:val="0"/>
              <w:pageBreakBefore w:val="0"/>
              <w:widowControl w:val="0"/>
              <w:shd w:val="clear" w:color="auto" w:fill="auto"/>
              <w:kinsoku/>
              <w:wordWrap/>
              <w:overflowPunct/>
              <w:topLinePunct w:val="0"/>
              <w:autoSpaceDE/>
              <w:autoSpaceDN/>
              <w:bidi w:val="0"/>
              <w:adjustRightInd/>
              <w:snapToGrid/>
              <w:spacing w:after="120" w:line="240"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营业收入1 000万元一200 000万元，且资产总额 5 000万元一10000万元</w:t>
            </w:r>
          </w:p>
        </w:tc>
      </w:tr>
      <w:tr w14:paraId="6195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7E28547E">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0F6A04AA">
            <w:pPr>
              <w:pStyle w:val="156"/>
              <w:keepNext w:val="0"/>
              <w:keepLines w:val="0"/>
              <w:pageBreakBefore w:val="0"/>
              <w:widowControl w:val="0"/>
              <w:shd w:val="clear" w:color="auto" w:fill="auto"/>
              <w:kinsoku/>
              <w:wordWrap/>
              <w:overflowPunct/>
              <w:topLinePunct w:val="0"/>
              <w:autoSpaceDE/>
              <w:autoSpaceDN/>
              <w:bidi w:val="0"/>
              <w:adjustRightInd/>
              <w:snapToGrid/>
              <w:spacing w:line="240"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255" w:type="dxa"/>
            <w:shd w:val="clear" w:color="auto" w:fill="FFFFFF"/>
            <w:noWrap w:val="0"/>
            <w:vAlign w:val="center"/>
          </w:tcPr>
          <w:p w14:paraId="2B759B22">
            <w:pPr>
              <w:pStyle w:val="156"/>
              <w:keepNext w:val="0"/>
              <w:keepLines w:val="0"/>
              <w:pageBreakBefore w:val="0"/>
              <w:widowControl w:val="0"/>
              <w:shd w:val="clear" w:color="auto" w:fill="auto"/>
              <w:kinsoku/>
              <w:wordWrap/>
              <w:overflowPunct/>
              <w:topLinePunct w:val="0"/>
              <w:autoSpaceDE/>
              <w:autoSpaceDN/>
              <w:bidi w:val="0"/>
              <w:adjustRightInd/>
              <w:snapToGrid/>
              <w:spacing w:line="240" w:lineRule="auto"/>
              <w:ind w:left="140"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营业收入100万元一1 000万元，且资产总额 2 000万元一5 000 万元</w:t>
            </w:r>
          </w:p>
        </w:tc>
      </w:tr>
      <w:tr w14:paraId="79C7E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73659558">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140EEFE4">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255" w:type="dxa"/>
            <w:shd w:val="clear" w:color="auto" w:fill="FFFFFF"/>
            <w:noWrap w:val="0"/>
            <w:vAlign w:val="center"/>
          </w:tcPr>
          <w:p w14:paraId="54ED20F3">
            <w:pPr>
              <w:pStyle w:val="156"/>
              <w:keepNext w:val="0"/>
              <w:keepLines w:val="0"/>
              <w:pageBreakBefore w:val="0"/>
              <w:widowControl w:val="0"/>
              <w:shd w:val="clear" w:color="auto" w:fill="auto"/>
              <w:tabs>
                <w:tab w:val="left" w:pos="5256"/>
              </w:tabs>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营业收入100万元以下或资产总额2 000万元以下的为微型企业</w:t>
            </w:r>
          </w:p>
        </w:tc>
      </w:tr>
      <w:tr w14:paraId="1AFA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restart"/>
            <w:shd w:val="clear" w:color="auto" w:fill="FFFFFF"/>
            <w:noWrap w:val="0"/>
            <w:vAlign w:val="center"/>
          </w:tcPr>
          <w:p w14:paraId="543F96A6">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物业管理</w:t>
            </w:r>
          </w:p>
        </w:tc>
        <w:tc>
          <w:tcPr>
            <w:tcW w:w="8304" w:type="dxa"/>
            <w:gridSpan w:val="2"/>
            <w:shd w:val="clear" w:color="auto" w:fill="FFFFFF"/>
            <w:noWrap w:val="0"/>
            <w:vAlign w:val="center"/>
          </w:tcPr>
          <w:p w14:paraId="464613D0">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从业人员1 000人以下或营业收入 5 000万元以下的为中小微型企业。</w:t>
            </w:r>
          </w:p>
        </w:tc>
      </w:tr>
      <w:tr w14:paraId="7BEC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1785E992">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50128B64">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255" w:type="dxa"/>
            <w:shd w:val="clear" w:color="auto" w:fill="FFFFFF"/>
            <w:noWrap w:val="0"/>
            <w:vAlign w:val="center"/>
          </w:tcPr>
          <w:p w14:paraId="78A9C5AB">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 300人一1 000人，且营业收入 1000万元一5 000万元</w:t>
            </w:r>
          </w:p>
        </w:tc>
      </w:tr>
      <w:tr w14:paraId="5698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1A4041D1">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3E44A549">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255" w:type="dxa"/>
            <w:shd w:val="clear" w:color="auto" w:fill="FFFFFF"/>
            <w:noWrap w:val="0"/>
            <w:vAlign w:val="center"/>
          </w:tcPr>
          <w:p w14:paraId="415300FF">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从业人员100人一300人，且营业收入 500万元一1 000万元</w:t>
            </w:r>
          </w:p>
        </w:tc>
      </w:tr>
      <w:tr w14:paraId="7693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2AAAFCA2">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3374F7DF">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255" w:type="dxa"/>
            <w:shd w:val="clear" w:color="auto" w:fill="FFFFFF"/>
            <w:noWrap w:val="0"/>
            <w:vAlign w:val="center"/>
          </w:tcPr>
          <w:p w14:paraId="58353F46">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从业人员100人以下或营业收入 500万元以下</w:t>
            </w:r>
          </w:p>
        </w:tc>
      </w:tr>
      <w:tr w14:paraId="5B0A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restart"/>
            <w:shd w:val="clear" w:color="auto" w:fill="FFFFFF"/>
            <w:noWrap w:val="0"/>
            <w:vAlign w:val="center"/>
          </w:tcPr>
          <w:p w14:paraId="3713C26C">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24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租赁和商务</w:t>
            </w:r>
          </w:p>
          <w:p w14:paraId="473A19D8">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24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服务业</w:t>
            </w:r>
          </w:p>
        </w:tc>
        <w:tc>
          <w:tcPr>
            <w:tcW w:w="8304" w:type="dxa"/>
            <w:gridSpan w:val="2"/>
            <w:shd w:val="clear" w:color="auto" w:fill="FFFFFF"/>
            <w:noWrap w:val="0"/>
            <w:vAlign w:val="center"/>
          </w:tcPr>
          <w:p w14:paraId="396724E3">
            <w:pPr>
              <w:pStyle w:val="156"/>
              <w:keepNext w:val="0"/>
              <w:keepLines w:val="0"/>
              <w:pageBreakBefore w:val="0"/>
              <w:widowControl w:val="0"/>
              <w:shd w:val="clear" w:color="auto" w:fill="auto"/>
              <w:tabs>
                <w:tab w:val="left" w:pos="10666"/>
              </w:tabs>
              <w:kinsoku/>
              <w:wordWrap/>
              <w:overflowPunct/>
              <w:topLinePunct w:val="0"/>
              <w:autoSpaceDE/>
              <w:autoSpaceDN/>
              <w:bidi w:val="0"/>
              <w:adjustRightInd/>
              <w:snapToGrid/>
              <w:spacing w:line="312" w:lineRule="auto"/>
              <w:ind w:right="62"/>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从业人员300人以下或资产总额 120 000万元以下的为中小微型企业。 其中， 从业人员100人及以上，且资产总额 8 000万元及以上的为中型企业；从业 人员10人及以上，且资产总额 100万元及以上的为小型企业；从业人员</w:t>
            </w:r>
            <w:r>
              <w:rPr>
                <w:rFonts w:hint="eastAsia" w:ascii="仿宋" w:hAnsi="仿宋" w:eastAsia="仿宋" w:cs="仿宋"/>
                <w:b w:val="0"/>
                <w:bCs w:val="0"/>
                <w:color w:val="auto"/>
                <w:sz w:val="24"/>
                <w:szCs w:val="24"/>
                <w:highlight w:val="none"/>
                <w:lang w:val="en-US"/>
              </w:rPr>
              <w:t>10</w:t>
            </w:r>
            <w:r>
              <w:rPr>
                <w:rFonts w:hint="eastAsia" w:ascii="仿宋" w:hAnsi="仿宋" w:eastAsia="仿宋" w:cs="仿宋"/>
                <w:b w:val="0"/>
                <w:bCs w:val="0"/>
                <w:color w:val="auto"/>
                <w:sz w:val="24"/>
                <w:szCs w:val="24"/>
                <w:highlight w:val="none"/>
              </w:rPr>
              <w:t>人以下或资产总额 100万元以下的为微型企业。</w:t>
            </w:r>
          </w:p>
        </w:tc>
      </w:tr>
      <w:tr w14:paraId="1604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2BCFEA26">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b w:val="0"/>
                <w:bCs w:val="0"/>
                <w:color w:val="auto"/>
                <w:sz w:val="24"/>
                <w:szCs w:val="24"/>
                <w:highlight w:val="none"/>
              </w:rPr>
            </w:pPr>
          </w:p>
        </w:tc>
        <w:tc>
          <w:tcPr>
            <w:tcW w:w="1049" w:type="dxa"/>
            <w:shd w:val="clear" w:color="auto" w:fill="FFFFFF"/>
            <w:noWrap w:val="0"/>
            <w:vAlign w:val="center"/>
          </w:tcPr>
          <w:p w14:paraId="0E10C703">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中型</w:t>
            </w:r>
          </w:p>
        </w:tc>
        <w:tc>
          <w:tcPr>
            <w:tcW w:w="7255" w:type="dxa"/>
            <w:shd w:val="clear" w:color="auto" w:fill="FFFFFF"/>
            <w:noWrap w:val="0"/>
            <w:vAlign w:val="center"/>
          </w:tcPr>
          <w:p w14:paraId="13D423C8">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从业人员100人一300人，且资产总额 8 000万元一120 000万元</w:t>
            </w:r>
          </w:p>
        </w:tc>
      </w:tr>
      <w:tr w14:paraId="557A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028E1EE6">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b w:val="0"/>
                <w:bCs w:val="0"/>
                <w:color w:val="auto"/>
                <w:sz w:val="24"/>
                <w:szCs w:val="24"/>
                <w:highlight w:val="none"/>
              </w:rPr>
            </w:pPr>
          </w:p>
        </w:tc>
        <w:tc>
          <w:tcPr>
            <w:tcW w:w="1049" w:type="dxa"/>
            <w:shd w:val="clear" w:color="auto" w:fill="FFFFFF"/>
            <w:noWrap w:val="0"/>
            <w:vAlign w:val="center"/>
          </w:tcPr>
          <w:p w14:paraId="60FFB3ED">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小型</w:t>
            </w:r>
          </w:p>
        </w:tc>
        <w:tc>
          <w:tcPr>
            <w:tcW w:w="7255" w:type="dxa"/>
            <w:shd w:val="clear" w:color="auto" w:fill="FFFFFF"/>
            <w:noWrap w:val="0"/>
            <w:vAlign w:val="center"/>
          </w:tcPr>
          <w:p w14:paraId="38F7FAA9">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从业人员10人一100人，且资产总额 100万元一8 000万元</w:t>
            </w:r>
          </w:p>
        </w:tc>
      </w:tr>
      <w:tr w14:paraId="0241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6CF01DE3">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b w:val="0"/>
                <w:bCs w:val="0"/>
                <w:color w:val="auto"/>
                <w:sz w:val="24"/>
                <w:szCs w:val="24"/>
                <w:highlight w:val="none"/>
              </w:rPr>
            </w:pPr>
          </w:p>
        </w:tc>
        <w:tc>
          <w:tcPr>
            <w:tcW w:w="1049" w:type="dxa"/>
            <w:shd w:val="clear" w:color="auto" w:fill="FFFFFF"/>
            <w:noWrap w:val="0"/>
            <w:vAlign w:val="center"/>
          </w:tcPr>
          <w:p w14:paraId="5B0945DA">
            <w:pPr>
              <w:pStyle w:val="156"/>
              <w:keepNext w:val="0"/>
              <w:keepLines w:val="0"/>
              <w:pageBreakBefore w:val="0"/>
              <w:widowControl w:val="0"/>
              <w:shd w:val="clear" w:color="auto" w:fill="auto"/>
              <w:kinsoku/>
              <w:wordWrap/>
              <w:overflowPunct/>
              <w:topLinePunct w:val="0"/>
              <w:autoSpaceDE/>
              <w:autoSpaceDN/>
              <w:bidi w:val="0"/>
              <w:adjustRightInd/>
              <w:snapToGrid/>
              <w:spacing w:before="100" w:line="384" w:lineRule="auto"/>
              <w:ind w:right="62"/>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微型</w:t>
            </w:r>
          </w:p>
        </w:tc>
        <w:tc>
          <w:tcPr>
            <w:tcW w:w="7255" w:type="dxa"/>
            <w:shd w:val="clear" w:color="auto" w:fill="FFFFFF"/>
            <w:noWrap w:val="0"/>
            <w:vAlign w:val="center"/>
          </w:tcPr>
          <w:p w14:paraId="43B89A83">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从业人员10人以下或资产总额 100万元以下</w:t>
            </w:r>
          </w:p>
        </w:tc>
      </w:tr>
      <w:tr w14:paraId="12C8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restart"/>
            <w:shd w:val="clear" w:color="auto" w:fill="FFFFFF"/>
            <w:noWrap w:val="0"/>
            <w:vAlign w:val="center"/>
          </w:tcPr>
          <w:p w14:paraId="4DB3CE9A">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其他未列明行业</w:t>
            </w:r>
          </w:p>
        </w:tc>
        <w:tc>
          <w:tcPr>
            <w:tcW w:w="8304" w:type="dxa"/>
            <w:gridSpan w:val="2"/>
            <w:shd w:val="clear" w:color="auto" w:fill="FFFFFF"/>
            <w:noWrap w:val="0"/>
            <w:vAlign w:val="center"/>
          </w:tcPr>
          <w:p w14:paraId="555EFD11">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从业人员300人以下的为中小微型企业。</w:t>
            </w:r>
          </w:p>
        </w:tc>
      </w:tr>
      <w:tr w14:paraId="3F26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26654FBB">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71AFF3C1">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255" w:type="dxa"/>
            <w:shd w:val="clear" w:color="auto" w:fill="FFFFFF"/>
            <w:noWrap w:val="0"/>
            <w:vAlign w:val="center"/>
          </w:tcPr>
          <w:p w14:paraId="3694481B">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 300人</w:t>
            </w:r>
          </w:p>
        </w:tc>
      </w:tr>
      <w:tr w14:paraId="2F5F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0985270D">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6F20708E">
            <w:pPr>
              <w:pStyle w:val="156"/>
              <w:keepNext w:val="0"/>
              <w:keepLines w:val="0"/>
              <w:pageBreakBefore w:val="0"/>
              <w:widowControl w:val="0"/>
              <w:shd w:val="clear" w:color="auto" w:fill="auto"/>
              <w:kinsoku/>
              <w:wordWrap/>
              <w:overflowPunct/>
              <w:topLinePunct w:val="0"/>
              <w:autoSpaceDE/>
              <w:autoSpaceDN/>
              <w:bidi w:val="0"/>
              <w:adjustRightInd/>
              <w:snapToGrid/>
              <w:spacing w:before="80"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255" w:type="dxa"/>
            <w:shd w:val="clear" w:color="auto" w:fill="FFFFFF"/>
            <w:noWrap w:val="0"/>
            <w:vAlign w:val="center"/>
          </w:tcPr>
          <w:p w14:paraId="6D6B4798">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从业人员10人一100人</w:t>
            </w:r>
          </w:p>
        </w:tc>
      </w:tr>
      <w:tr w14:paraId="3ED6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0EE7F247">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6000879D">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255" w:type="dxa"/>
            <w:shd w:val="clear" w:color="auto" w:fill="FFFFFF"/>
            <w:noWrap w:val="0"/>
            <w:vAlign w:val="center"/>
          </w:tcPr>
          <w:p w14:paraId="63C534C6">
            <w:pPr>
              <w:pStyle w:val="156"/>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从业人员10人以下</w:t>
            </w:r>
          </w:p>
        </w:tc>
      </w:tr>
    </w:tbl>
    <w:p w14:paraId="118A9D3C">
      <w:pPr>
        <w:pageBreakBefore w:val="0"/>
        <w:kinsoku/>
        <w:wordWrap/>
        <w:overflowPunct/>
        <w:topLinePunct w:val="0"/>
        <w:bidi w:val="0"/>
        <w:spacing w:line="360" w:lineRule="auto"/>
        <w:outlineLvl w:val="9"/>
        <w:rPr>
          <w:rFonts w:hint="eastAsia" w:ascii="仿宋" w:hAnsi="仿宋" w:eastAsia="仿宋" w:cs="仿宋"/>
          <w:color w:val="auto"/>
          <w:sz w:val="24"/>
          <w:highlight w:val="none"/>
          <w:lang w:val="en-US" w:eastAsia="zh-CN"/>
        </w:rPr>
      </w:pPr>
    </w:p>
    <w:p w14:paraId="4D2DCCE8">
      <w:pPr>
        <w:spacing w:line="360" w:lineRule="auto"/>
        <w:jc w:val="center"/>
        <w:rPr>
          <w:rFonts w:hint="eastAsia" w:ascii="仿宋" w:hAnsi="仿宋" w:eastAsia="仿宋" w:cs="仿宋"/>
          <w:color w:val="auto"/>
          <w:sz w:val="24"/>
          <w:szCs w:val="24"/>
          <w:highlight w:val="none"/>
        </w:rPr>
      </w:pPr>
    </w:p>
    <w:p w14:paraId="7561B428">
      <w:pPr>
        <w:pStyle w:val="37"/>
        <w:rPr>
          <w:rFonts w:hint="eastAsia" w:ascii="仿宋" w:hAnsi="仿宋" w:eastAsia="仿宋" w:cs="仿宋"/>
          <w:color w:val="auto"/>
          <w:highlight w:val="none"/>
        </w:rPr>
      </w:pPr>
    </w:p>
    <w:sectPr>
      <w:headerReference r:id="rId14" w:type="default"/>
      <w:footerReference r:id="rId1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203" w:usb1="288F0000" w:usb2="0000000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4CD5A">
    <w:pPr>
      <w:pStyle w:val="3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FE98B3">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FE98B3">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04F36">
    <w:pPr>
      <w:pStyle w:val="3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F1DBB6C">
                          <w:pPr>
                            <w:pStyle w:val="32"/>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oaYJL0wAAAAUBAAAPAAAAAAAA&#10;AAEAIAAAACIAAABkcnMvZG93bnJldi54bWxQSwECFAAUAAAACACHTuJAp9xmRN4BAAC8AwAADgAA&#10;AAAAAAABACAAAAAiAQAAZHJzL2Uyb0RvYy54bWxQSwUGAAAAAAYABgBZAQAAcgUAAAAA&#10;">
              <v:fill on="f" focussize="0,0"/>
              <v:stroke on="f" weight="1.25pt"/>
              <v:imagedata o:title=""/>
              <o:lock v:ext="edit" aspectratio="f"/>
              <v:textbox inset="0mm,0mm,0mm,0mm" style="mso-fit-shape-to-text:t;">
                <w:txbxContent>
                  <w:p w14:paraId="5F1DBB6C">
                    <w:pPr>
                      <w:pStyle w:val="32"/>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p w14:paraId="318B1EE6">
    <w:pPr>
      <w:pStyle w:val="3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E5234">
    <w:pPr>
      <w:pStyle w:val="32"/>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C51EA6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59</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KIZtLvTAQAApQMAAA4AAAAAAAAAAQAgAAAA&#10;IgEAAGRycy9lMm9Eb2MueG1sUEsFBgAAAAAGAAYAWQEAAGcFAAAAAA==&#10;">
              <v:fill on="f" focussize="0,0"/>
              <v:stroke on="f" weight="1.25pt"/>
              <v:imagedata o:title=""/>
              <o:lock v:ext="edit" aspectratio="f"/>
              <v:textbox inset="0mm,0mm,0mm,0mm" style="mso-fit-shape-to-text:t;">
                <w:txbxContent>
                  <w:p w14:paraId="5C51EA6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59</w:t>
                    </w:r>
                    <w:r>
                      <w:rPr>
                        <w:rFonts w:hint="eastAsia"/>
                        <w:sz w:val="18"/>
                      </w:rPr>
                      <w:fldChar w:fldCharType="end"/>
                    </w:r>
                  </w:p>
                </w:txbxContent>
              </v:textbox>
            </v:shape>
          </w:pict>
        </mc:Fallback>
      </mc:AlternateContent>
    </w:r>
  </w:p>
  <w:p w14:paraId="2FDA5929">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B9DEB">
    <w:pPr>
      <w:pStyle w:val="32"/>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6E652A">
                          <w:pPr>
                            <w:pStyle w:val="32"/>
                          </w:pPr>
                          <w:r>
                            <w:fldChar w:fldCharType="begin"/>
                          </w:r>
                          <w:r>
                            <w:instrText xml:space="preserve"> PAGE  \* MERGEFORMAT </w:instrText>
                          </w:r>
                          <w:r>
                            <w:fldChar w:fldCharType="separate"/>
                          </w:r>
                          <w:r>
                            <w:t>62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6E652A">
                    <w:pPr>
                      <w:pStyle w:val="32"/>
                    </w:pPr>
                    <w:r>
                      <w:fldChar w:fldCharType="begin"/>
                    </w:r>
                    <w:r>
                      <w:instrText xml:space="preserve"> PAGE  \* MERGEFORMAT </w:instrText>
                    </w:r>
                    <w:r>
                      <w:fldChar w:fldCharType="separate"/>
                    </w:r>
                    <w:r>
                      <w:t>62</w:t>
                    </w:r>
                    <w:r>
                      <w:fldChar w:fldCharType="end"/>
                    </w:r>
                  </w:p>
                </w:txbxContent>
              </v:textbox>
            </v:shape>
          </w:pict>
        </mc:Fallback>
      </mc:AlternateContent>
    </w:r>
  </w:p>
  <w:p w14:paraId="07CEECAB">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41462">
    <w:pPr>
      <w:pStyle w:val="32"/>
      <w:jc w:val="center"/>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8041F7">
                          <w:pPr>
                            <w:pStyle w:val="32"/>
                          </w:pPr>
                          <w:r>
                            <w:fldChar w:fldCharType="begin"/>
                          </w:r>
                          <w:r>
                            <w:instrText xml:space="preserve"> PAGE  \* MERGEFORMAT </w:instrText>
                          </w:r>
                          <w:r>
                            <w:fldChar w:fldCharType="separate"/>
                          </w:r>
                          <w:r>
                            <w:t>67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368041F7">
                    <w:pPr>
                      <w:pStyle w:val="32"/>
                    </w:pPr>
                    <w:r>
                      <w:fldChar w:fldCharType="begin"/>
                    </w:r>
                    <w:r>
                      <w:instrText xml:space="preserve"> PAGE  \* MERGEFORMAT </w:instrText>
                    </w:r>
                    <w:r>
                      <w:fldChar w:fldCharType="separate"/>
                    </w:r>
                    <w:r>
                      <w:t>67</w:t>
                    </w:r>
                    <w:r>
                      <w:fldChar w:fldCharType="end"/>
                    </w:r>
                  </w:p>
                </w:txbxContent>
              </v:textbox>
            </v:shape>
          </w:pict>
        </mc:Fallback>
      </mc:AlternateContent>
    </w:r>
  </w:p>
  <w:p w14:paraId="3C765553">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35192">
    <w:pPr>
      <w:pStyle w:val="32"/>
      <w:ind w:right="36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C32B2FE">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NpGRx+EBAAC8AwAA&#10;DgAAAAAAAAABACAAAAAiAQAAZHJzL2Uyb0RvYy54bWxQSwUGAAAAAAYABgBZAQAAdQUAAAAA&#10;">
              <v:fill on="f" focussize="0,0"/>
              <v:stroke on="f" weight="1.25pt"/>
              <v:imagedata o:title=""/>
              <o:lock v:ext="edit" aspectratio="f"/>
              <v:textbox inset="0mm,0mm,0mm,0mm" style="mso-fit-shape-to-text:t;">
                <w:txbxContent>
                  <w:p w14:paraId="7C32B2FE">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751BA">
    <w:pPr>
      <w:pStyle w:val="32"/>
      <w:ind w:right="360"/>
      <w:jc w:val="center"/>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44B8E7">
                          <w:pPr>
                            <w:pStyle w:val="32"/>
                          </w:pPr>
                          <w:r>
                            <w:fldChar w:fldCharType="begin"/>
                          </w:r>
                          <w:r>
                            <w:instrText xml:space="preserve"> PAGE  \* MERGEFORMAT </w:instrText>
                          </w:r>
                          <w:r>
                            <w:fldChar w:fldCharType="separate"/>
                          </w:r>
                          <w:r>
                            <w:t>68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4A44B8E7">
                    <w:pPr>
                      <w:pStyle w:val="32"/>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255B0">
    <w:pPr>
      <w:pStyle w:val="3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960FE">
    <w:pPr>
      <w:tabs>
        <w:tab w:val="left" w:pos="2863"/>
      </w:tabs>
      <w:jc w:val="cente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3C919">
    <w:pPr>
      <w:tabs>
        <w:tab w:val="left" w:pos="2863"/>
      </w:tabs>
      <w:jc w:val="cente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606B6">
    <w:pPr>
      <w:tabs>
        <w:tab w:val="left" w:pos="2863"/>
      </w:tabs>
      <w:jc w:val="cente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47DD">
    <w:pPr>
      <w:pStyle w:val="34"/>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A9955">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96CC2A"/>
    <w:multiLevelType w:val="singleLevel"/>
    <w:tmpl w:val="BD96CC2A"/>
    <w:lvl w:ilvl="0" w:tentative="0">
      <w:start w:val="2"/>
      <w:numFmt w:val="chineseCounting"/>
      <w:suff w:val="nothing"/>
      <w:lvlText w:val="（%1）"/>
      <w:lvlJc w:val="left"/>
      <w:rPr>
        <w:rFonts w:hint="eastAsia"/>
      </w:rPr>
    </w:lvl>
  </w:abstractNum>
  <w:abstractNum w:abstractNumId="1">
    <w:nsid w:val="CE48D951"/>
    <w:multiLevelType w:val="singleLevel"/>
    <w:tmpl w:val="CE48D951"/>
    <w:lvl w:ilvl="0" w:tentative="0">
      <w:start w:val="1"/>
      <w:numFmt w:val="decimal"/>
      <w:pStyle w:val="83"/>
      <w:suff w:val="nothing"/>
      <w:lvlText w:val="%1、"/>
      <w:lvlJc w:val="left"/>
    </w:lvl>
  </w:abstractNum>
  <w:abstractNum w:abstractNumId="2">
    <w:nsid w:val="FFFA5E5F"/>
    <w:multiLevelType w:val="singleLevel"/>
    <w:tmpl w:val="FFFA5E5F"/>
    <w:lvl w:ilvl="0" w:tentative="0">
      <w:start w:val="1"/>
      <w:numFmt w:val="decimal"/>
      <w:suff w:val="nothing"/>
      <w:lvlText w:val="%1、"/>
      <w:lvlJc w:val="left"/>
    </w:lvl>
  </w:abstractNum>
  <w:abstractNum w:abstractNumId="3">
    <w:nsid w:val="0000000C"/>
    <w:multiLevelType w:val="multilevel"/>
    <w:tmpl w:val="0000000C"/>
    <w:lvl w:ilvl="0" w:tentative="0">
      <w:start w:val="2"/>
      <w:numFmt w:val="decimal"/>
      <w:pStyle w:val="59"/>
      <w:suff w:val="nothing"/>
      <w:lvlText w:val="%1、"/>
      <w:lvlJc w:val="left"/>
    </w:lvl>
    <w:lvl w:ilvl="1" w:tentative="0">
      <w:start w:val="1"/>
      <w:numFmt w:val="decimal"/>
      <w:pStyle w:val="82"/>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pStyle w:val="7"/>
      <w:lvlText w:val="%4)"/>
      <w:lvlJc w:val="left"/>
      <w:pPr>
        <w:tabs>
          <w:tab w:val="left" w:pos="1680"/>
        </w:tabs>
        <w:ind w:left="1680" w:hanging="420"/>
      </w:pPr>
      <w:rPr>
        <w:rFonts w:hint="default"/>
      </w:rPr>
    </w:lvl>
    <w:lvl w:ilvl="4" w:tentative="0">
      <w:start w:val="1"/>
      <w:numFmt w:val="lowerLetter"/>
      <w:pStyle w:val="8"/>
      <w:lvlText w:val="%5."/>
      <w:lvlJc w:val="left"/>
      <w:pPr>
        <w:tabs>
          <w:tab w:val="left" w:pos="2100"/>
        </w:tabs>
        <w:ind w:left="2100" w:hanging="420"/>
      </w:pPr>
      <w:rPr>
        <w:rFonts w:hint="default"/>
      </w:rPr>
    </w:lvl>
    <w:lvl w:ilvl="5" w:tentative="0">
      <w:start w:val="1"/>
      <w:numFmt w:val="lowerLetter"/>
      <w:pStyle w:val="9"/>
      <w:lvlText w:val="%6)"/>
      <w:lvlJc w:val="left"/>
      <w:pPr>
        <w:tabs>
          <w:tab w:val="left" w:pos="2520"/>
        </w:tabs>
        <w:ind w:left="2520" w:hanging="420"/>
      </w:pPr>
      <w:rPr>
        <w:rFonts w:hint="default"/>
      </w:rPr>
    </w:lvl>
    <w:lvl w:ilvl="6" w:tentative="0">
      <w:start w:val="1"/>
      <w:numFmt w:val="lowerRoman"/>
      <w:pStyle w:val="10"/>
      <w:lvlText w:val="%7."/>
      <w:lvlJc w:val="left"/>
      <w:pPr>
        <w:tabs>
          <w:tab w:val="left" w:pos="2940"/>
        </w:tabs>
        <w:ind w:left="2940" w:hanging="420"/>
      </w:pPr>
      <w:rPr>
        <w:rFonts w:hint="default"/>
      </w:rPr>
    </w:lvl>
    <w:lvl w:ilvl="7" w:tentative="0">
      <w:start w:val="1"/>
      <w:numFmt w:val="lowerRoman"/>
      <w:pStyle w:val="11"/>
      <w:lvlText w:val="%8)"/>
      <w:lvlJc w:val="left"/>
      <w:pPr>
        <w:tabs>
          <w:tab w:val="left" w:pos="3360"/>
        </w:tabs>
        <w:ind w:left="3360" w:hanging="420"/>
      </w:pPr>
      <w:rPr>
        <w:rFonts w:hint="default"/>
      </w:rPr>
    </w:lvl>
    <w:lvl w:ilvl="8" w:tentative="0">
      <w:start w:val="1"/>
      <w:numFmt w:val="lowerLetter"/>
      <w:pStyle w:val="12"/>
      <w:lvlText w:val="%9."/>
      <w:lvlJc w:val="left"/>
      <w:pPr>
        <w:tabs>
          <w:tab w:val="left" w:pos="3780"/>
        </w:tabs>
        <w:ind w:left="3780" w:hanging="420"/>
      </w:pPr>
      <w:rPr>
        <w:rFonts w:hint="default"/>
      </w:rPr>
    </w:lvl>
  </w:abstractNum>
  <w:abstractNum w:abstractNumId="4">
    <w:nsid w:val="0000001B"/>
    <w:multiLevelType w:val="singleLevel"/>
    <w:tmpl w:val="0000001B"/>
    <w:lvl w:ilvl="0" w:tentative="0">
      <w:start w:val="2"/>
      <w:numFmt w:val="chineseCounting"/>
      <w:suff w:val="nothing"/>
      <w:lvlText w:val="%1、"/>
      <w:lvlJc w:val="left"/>
    </w:lvl>
  </w:abstractNum>
  <w:abstractNum w:abstractNumId="5">
    <w:nsid w:val="19C5E42D"/>
    <w:multiLevelType w:val="singleLevel"/>
    <w:tmpl w:val="19C5E42D"/>
    <w:lvl w:ilvl="0" w:tentative="0">
      <w:start w:val="1"/>
      <w:numFmt w:val="decimal"/>
      <w:pStyle w:val="15"/>
      <w:lvlText w:val="%1."/>
      <w:lvlJc w:val="left"/>
      <w:pPr>
        <w:tabs>
          <w:tab w:val="left" w:pos="360"/>
        </w:tabs>
        <w:ind w:left="360" w:hanging="360"/>
      </w:pPr>
    </w:lvl>
  </w:abstractNum>
  <w:abstractNum w:abstractNumId="6">
    <w:nsid w:val="520A7DAA"/>
    <w:multiLevelType w:val="multilevel"/>
    <w:tmpl w:val="520A7DAA"/>
    <w:lvl w:ilvl="0" w:tentative="0">
      <w:start w:val="1"/>
      <w:numFmt w:val="decimal"/>
      <w:lvlText w:val="%1、"/>
      <w:lvlJc w:val="left"/>
      <w:pPr>
        <w:tabs>
          <w:tab w:val="left" w:pos="840"/>
        </w:tabs>
        <w:ind w:left="840" w:hanging="360"/>
      </w:pPr>
      <w:rPr>
        <w:rFonts w:hint="default"/>
        <w:u w:val="none"/>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6CAAD70C"/>
    <w:multiLevelType w:val="singleLevel"/>
    <w:tmpl w:val="6CAAD70C"/>
    <w:lvl w:ilvl="0" w:tentative="0">
      <w:start w:val="11"/>
      <w:numFmt w:val="decimal"/>
      <w:suff w:val="nothing"/>
      <w:lvlText w:val="%1、"/>
      <w:lvlJc w:val="left"/>
      <w:pPr>
        <w:ind w:left="481" w:firstLine="0"/>
      </w:pPr>
    </w:lvl>
  </w:abstractNum>
  <w:abstractNum w:abstractNumId="8">
    <w:nsid w:val="7DF408C0"/>
    <w:multiLevelType w:val="singleLevel"/>
    <w:tmpl w:val="7DF408C0"/>
    <w:lvl w:ilvl="0" w:tentative="0">
      <w:start w:val="1"/>
      <w:numFmt w:val="chineseCounting"/>
      <w:suff w:val="nothing"/>
      <w:lvlText w:val="%1、"/>
      <w:lvlJc w:val="left"/>
      <w:rPr>
        <w:rFonts w:hint="eastAsia"/>
      </w:rPr>
    </w:lvl>
  </w:abstractNum>
  <w:num w:numId="1">
    <w:abstractNumId w:val="3"/>
  </w:num>
  <w:num w:numId="2">
    <w:abstractNumId w:val="5"/>
  </w:num>
  <w:num w:numId="3">
    <w:abstractNumId w:val="1"/>
  </w:num>
  <w:num w:numId="4">
    <w:abstractNumId w:val="7"/>
  </w:num>
  <w:num w:numId="5">
    <w:abstractNumId w:val="8"/>
  </w:num>
  <w:num w:numId="6">
    <w:abstractNumId w:val="2"/>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4MDFhNzRlYjc0M2QyNWU5YTA1MzRkYThlMTQzMjUifQ=="/>
  </w:docVars>
  <w:rsids>
    <w:rsidRoot w:val="00172A27"/>
    <w:rsid w:val="000F78F8"/>
    <w:rsid w:val="00164C33"/>
    <w:rsid w:val="00276E33"/>
    <w:rsid w:val="002F5EFC"/>
    <w:rsid w:val="002F6D43"/>
    <w:rsid w:val="004852A3"/>
    <w:rsid w:val="006843FA"/>
    <w:rsid w:val="006A7838"/>
    <w:rsid w:val="00735ACC"/>
    <w:rsid w:val="0078578F"/>
    <w:rsid w:val="008200BB"/>
    <w:rsid w:val="00842086"/>
    <w:rsid w:val="00912417"/>
    <w:rsid w:val="009D1D6B"/>
    <w:rsid w:val="00A54779"/>
    <w:rsid w:val="00B42D9D"/>
    <w:rsid w:val="00B71FBF"/>
    <w:rsid w:val="00C56DFF"/>
    <w:rsid w:val="00C81F7F"/>
    <w:rsid w:val="00D41950"/>
    <w:rsid w:val="00D4336C"/>
    <w:rsid w:val="00D70EA7"/>
    <w:rsid w:val="00E15234"/>
    <w:rsid w:val="00E3321F"/>
    <w:rsid w:val="00E77F2B"/>
    <w:rsid w:val="00E83F8F"/>
    <w:rsid w:val="00ED2C7D"/>
    <w:rsid w:val="00EF1595"/>
    <w:rsid w:val="00FD7FED"/>
    <w:rsid w:val="0123584C"/>
    <w:rsid w:val="014673F9"/>
    <w:rsid w:val="017753C6"/>
    <w:rsid w:val="017F5739"/>
    <w:rsid w:val="01875DDB"/>
    <w:rsid w:val="01916D9E"/>
    <w:rsid w:val="01995B0E"/>
    <w:rsid w:val="01D10442"/>
    <w:rsid w:val="01DE5A0A"/>
    <w:rsid w:val="020B6A0C"/>
    <w:rsid w:val="022A7A8C"/>
    <w:rsid w:val="024A0BA6"/>
    <w:rsid w:val="025678F5"/>
    <w:rsid w:val="02581525"/>
    <w:rsid w:val="02647AD4"/>
    <w:rsid w:val="026825AB"/>
    <w:rsid w:val="027A76EE"/>
    <w:rsid w:val="02C1531D"/>
    <w:rsid w:val="03164A81"/>
    <w:rsid w:val="03170920"/>
    <w:rsid w:val="032B0404"/>
    <w:rsid w:val="0332738A"/>
    <w:rsid w:val="033A01A8"/>
    <w:rsid w:val="035F0ED3"/>
    <w:rsid w:val="03631D42"/>
    <w:rsid w:val="03793B97"/>
    <w:rsid w:val="03833451"/>
    <w:rsid w:val="03895ADE"/>
    <w:rsid w:val="038B1C6A"/>
    <w:rsid w:val="03A30AAD"/>
    <w:rsid w:val="03C358AA"/>
    <w:rsid w:val="03C61693"/>
    <w:rsid w:val="03CA7259"/>
    <w:rsid w:val="03D57E37"/>
    <w:rsid w:val="03D604BB"/>
    <w:rsid w:val="04257B1C"/>
    <w:rsid w:val="044B5AAE"/>
    <w:rsid w:val="04506958"/>
    <w:rsid w:val="04564DC5"/>
    <w:rsid w:val="046606E7"/>
    <w:rsid w:val="048C2C9E"/>
    <w:rsid w:val="04D670A0"/>
    <w:rsid w:val="04FD70C7"/>
    <w:rsid w:val="0510448D"/>
    <w:rsid w:val="052A1971"/>
    <w:rsid w:val="05536562"/>
    <w:rsid w:val="055920B6"/>
    <w:rsid w:val="055F386B"/>
    <w:rsid w:val="05621F2C"/>
    <w:rsid w:val="05692D56"/>
    <w:rsid w:val="059644EF"/>
    <w:rsid w:val="05B940DC"/>
    <w:rsid w:val="05DC228D"/>
    <w:rsid w:val="060D148A"/>
    <w:rsid w:val="062B7991"/>
    <w:rsid w:val="0656577C"/>
    <w:rsid w:val="066C0146"/>
    <w:rsid w:val="06717375"/>
    <w:rsid w:val="068E19BA"/>
    <w:rsid w:val="06AF013D"/>
    <w:rsid w:val="06D82C35"/>
    <w:rsid w:val="06F9464B"/>
    <w:rsid w:val="06FD334C"/>
    <w:rsid w:val="07436C5F"/>
    <w:rsid w:val="0794744A"/>
    <w:rsid w:val="07A1396F"/>
    <w:rsid w:val="07A501D4"/>
    <w:rsid w:val="07A56FBB"/>
    <w:rsid w:val="07AF1BE8"/>
    <w:rsid w:val="07B25F62"/>
    <w:rsid w:val="07BA1167"/>
    <w:rsid w:val="07C338E5"/>
    <w:rsid w:val="07C619D1"/>
    <w:rsid w:val="07E01D22"/>
    <w:rsid w:val="07E15CC2"/>
    <w:rsid w:val="07EA0E72"/>
    <w:rsid w:val="07EF38E3"/>
    <w:rsid w:val="081C1A7E"/>
    <w:rsid w:val="08266468"/>
    <w:rsid w:val="082F3FD3"/>
    <w:rsid w:val="084102C7"/>
    <w:rsid w:val="084F6F27"/>
    <w:rsid w:val="08735B02"/>
    <w:rsid w:val="0882554E"/>
    <w:rsid w:val="08915791"/>
    <w:rsid w:val="08F5187D"/>
    <w:rsid w:val="091559BB"/>
    <w:rsid w:val="095C4021"/>
    <w:rsid w:val="09644A78"/>
    <w:rsid w:val="097A4F8F"/>
    <w:rsid w:val="09896468"/>
    <w:rsid w:val="098E11E0"/>
    <w:rsid w:val="099A5D5B"/>
    <w:rsid w:val="09BE4C26"/>
    <w:rsid w:val="09F758E1"/>
    <w:rsid w:val="0A035572"/>
    <w:rsid w:val="0A232419"/>
    <w:rsid w:val="0A4B065E"/>
    <w:rsid w:val="0A785749"/>
    <w:rsid w:val="0A8214DE"/>
    <w:rsid w:val="0A932CCA"/>
    <w:rsid w:val="0A964AA8"/>
    <w:rsid w:val="0AA36361"/>
    <w:rsid w:val="0AB637A9"/>
    <w:rsid w:val="0AC43BFC"/>
    <w:rsid w:val="0ACD2C9C"/>
    <w:rsid w:val="0AD1579D"/>
    <w:rsid w:val="0B0D74D9"/>
    <w:rsid w:val="0B10320D"/>
    <w:rsid w:val="0B21104E"/>
    <w:rsid w:val="0B2A24AD"/>
    <w:rsid w:val="0B357B6B"/>
    <w:rsid w:val="0B410F8B"/>
    <w:rsid w:val="0B58238F"/>
    <w:rsid w:val="0B6D646F"/>
    <w:rsid w:val="0B7E012E"/>
    <w:rsid w:val="0B7F57EF"/>
    <w:rsid w:val="0B8C1F3D"/>
    <w:rsid w:val="0BBA6113"/>
    <w:rsid w:val="0BCA5242"/>
    <w:rsid w:val="0BD81D82"/>
    <w:rsid w:val="0C362D43"/>
    <w:rsid w:val="0C4F5747"/>
    <w:rsid w:val="0C6243A4"/>
    <w:rsid w:val="0C70367A"/>
    <w:rsid w:val="0C703F88"/>
    <w:rsid w:val="0C7D35F5"/>
    <w:rsid w:val="0CB5324D"/>
    <w:rsid w:val="0CC54204"/>
    <w:rsid w:val="0CC96286"/>
    <w:rsid w:val="0CDB347F"/>
    <w:rsid w:val="0D2E35AF"/>
    <w:rsid w:val="0D3851A2"/>
    <w:rsid w:val="0D410B01"/>
    <w:rsid w:val="0D505C1B"/>
    <w:rsid w:val="0DB07B88"/>
    <w:rsid w:val="0DC54E21"/>
    <w:rsid w:val="0DF07B3F"/>
    <w:rsid w:val="0DFC545B"/>
    <w:rsid w:val="0E187EE3"/>
    <w:rsid w:val="0E395338"/>
    <w:rsid w:val="0E462B7A"/>
    <w:rsid w:val="0E700B0D"/>
    <w:rsid w:val="0E8D07A9"/>
    <w:rsid w:val="0EA14593"/>
    <w:rsid w:val="0EA24254"/>
    <w:rsid w:val="0EAC48BD"/>
    <w:rsid w:val="0EBF3FBE"/>
    <w:rsid w:val="0EDB6782"/>
    <w:rsid w:val="0EEC54CF"/>
    <w:rsid w:val="0F1D38DB"/>
    <w:rsid w:val="0F2A5FF8"/>
    <w:rsid w:val="0F2D4EC8"/>
    <w:rsid w:val="0F2D7FC5"/>
    <w:rsid w:val="0F3341F4"/>
    <w:rsid w:val="0F3B0774"/>
    <w:rsid w:val="0F597EC1"/>
    <w:rsid w:val="0F6D24C6"/>
    <w:rsid w:val="0F6E461C"/>
    <w:rsid w:val="0F8F707C"/>
    <w:rsid w:val="0F9E371B"/>
    <w:rsid w:val="0FA85CEB"/>
    <w:rsid w:val="0FB3217F"/>
    <w:rsid w:val="0FCA4B12"/>
    <w:rsid w:val="0FF860F6"/>
    <w:rsid w:val="102D3FF1"/>
    <w:rsid w:val="1046608D"/>
    <w:rsid w:val="105D6BCF"/>
    <w:rsid w:val="10662D33"/>
    <w:rsid w:val="10807222"/>
    <w:rsid w:val="10824ED0"/>
    <w:rsid w:val="108300B5"/>
    <w:rsid w:val="108B08F2"/>
    <w:rsid w:val="108B685B"/>
    <w:rsid w:val="10907D37"/>
    <w:rsid w:val="10AA2A25"/>
    <w:rsid w:val="110A6221"/>
    <w:rsid w:val="11114205"/>
    <w:rsid w:val="1120496E"/>
    <w:rsid w:val="11693E13"/>
    <w:rsid w:val="11912154"/>
    <w:rsid w:val="11D9089D"/>
    <w:rsid w:val="11E93B5E"/>
    <w:rsid w:val="120945EA"/>
    <w:rsid w:val="120B2110"/>
    <w:rsid w:val="12303B3B"/>
    <w:rsid w:val="12631F4C"/>
    <w:rsid w:val="126E51E3"/>
    <w:rsid w:val="12723C85"/>
    <w:rsid w:val="12760777"/>
    <w:rsid w:val="127A1044"/>
    <w:rsid w:val="1285676A"/>
    <w:rsid w:val="12A24DD1"/>
    <w:rsid w:val="12C246A7"/>
    <w:rsid w:val="12D9751F"/>
    <w:rsid w:val="12DF6ABC"/>
    <w:rsid w:val="12F110CC"/>
    <w:rsid w:val="131655CE"/>
    <w:rsid w:val="1317264C"/>
    <w:rsid w:val="131E2317"/>
    <w:rsid w:val="1320787A"/>
    <w:rsid w:val="134C2C02"/>
    <w:rsid w:val="13532147"/>
    <w:rsid w:val="13A02D2C"/>
    <w:rsid w:val="13EA53A0"/>
    <w:rsid w:val="13F866C4"/>
    <w:rsid w:val="14471189"/>
    <w:rsid w:val="144E4536"/>
    <w:rsid w:val="14710DC1"/>
    <w:rsid w:val="14754F4B"/>
    <w:rsid w:val="147D7540"/>
    <w:rsid w:val="14D868FD"/>
    <w:rsid w:val="151412DC"/>
    <w:rsid w:val="15280F0F"/>
    <w:rsid w:val="153F193C"/>
    <w:rsid w:val="15524BE4"/>
    <w:rsid w:val="155362A8"/>
    <w:rsid w:val="156C4F68"/>
    <w:rsid w:val="15735B96"/>
    <w:rsid w:val="15DB6150"/>
    <w:rsid w:val="162D6097"/>
    <w:rsid w:val="165E2C35"/>
    <w:rsid w:val="16C531D6"/>
    <w:rsid w:val="16FE54D9"/>
    <w:rsid w:val="171C6B8B"/>
    <w:rsid w:val="17292AE8"/>
    <w:rsid w:val="175350F8"/>
    <w:rsid w:val="17585B5C"/>
    <w:rsid w:val="175B1B2C"/>
    <w:rsid w:val="17780F9F"/>
    <w:rsid w:val="178253FE"/>
    <w:rsid w:val="17842684"/>
    <w:rsid w:val="17A0586A"/>
    <w:rsid w:val="17C52AFB"/>
    <w:rsid w:val="17F378CF"/>
    <w:rsid w:val="180E64B6"/>
    <w:rsid w:val="184F474B"/>
    <w:rsid w:val="185A1CFF"/>
    <w:rsid w:val="18602A8A"/>
    <w:rsid w:val="1867248F"/>
    <w:rsid w:val="1867549B"/>
    <w:rsid w:val="18725D99"/>
    <w:rsid w:val="189E2620"/>
    <w:rsid w:val="18A62B93"/>
    <w:rsid w:val="18D46954"/>
    <w:rsid w:val="190520DB"/>
    <w:rsid w:val="190939F8"/>
    <w:rsid w:val="191663F0"/>
    <w:rsid w:val="192E6CB4"/>
    <w:rsid w:val="197163E1"/>
    <w:rsid w:val="19765F8E"/>
    <w:rsid w:val="199F094C"/>
    <w:rsid w:val="199F4FEB"/>
    <w:rsid w:val="19A253D3"/>
    <w:rsid w:val="19A63F5F"/>
    <w:rsid w:val="19BE215E"/>
    <w:rsid w:val="19D40F30"/>
    <w:rsid w:val="1A094190"/>
    <w:rsid w:val="1A0977DE"/>
    <w:rsid w:val="1A295829"/>
    <w:rsid w:val="1A415875"/>
    <w:rsid w:val="1A705206"/>
    <w:rsid w:val="1A9058A9"/>
    <w:rsid w:val="1A9F3D3E"/>
    <w:rsid w:val="1AFC13A6"/>
    <w:rsid w:val="1B2158C7"/>
    <w:rsid w:val="1B36540D"/>
    <w:rsid w:val="1B4B4BDD"/>
    <w:rsid w:val="1BD565F1"/>
    <w:rsid w:val="1C006EAF"/>
    <w:rsid w:val="1C16002F"/>
    <w:rsid w:val="1C190A99"/>
    <w:rsid w:val="1C1F24EB"/>
    <w:rsid w:val="1C206580"/>
    <w:rsid w:val="1C3D63ED"/>
    <w:rsid w:val="1C5D66E6"/>
    <w:rsid w:val="1C650A0C"/>
    <w:rsid w:val="1C721A66"/>
    <w:rsid w:val="1C8E416E"/>
    <w:rsid w:val="1CCB2A5A"/>
    <w:rsid w:val="1CD91ED5"/>
    <w:rsid w:val="1CDF10ED"/>
    <w:rsid w:val="1CE2284F"/>
    <w:rsid w:val="1CE27665"/>
    <w:rsid w:val="1CFF3C46"/>
    <w:rsid w:val="1D1F7314"/>
    <w:rsid w:val="1D7227F9"/>
    <w:rsid w:val="1D841283"/>
    <w:rsid w:val="1D970CFC"/>
    <w:rsid w:val="1D985169"/>
    <w:rsid w:val="1DA754D4"/>
    <w:rsid w:val="1DAA1CFA"/>
    <w:rsid w:val="1DF47391"/>
    <w:rsid w:val="1E046ED9"/>
    <w:rsid w:val="1E0B6D0F"/>
    <w:rsid w:val="1E105829"/>
    <w:rsid w:val="1E436CBC"/>
    <w:rsid w:val="1E4F29BA"/>
    <w:rsid w:val="1E4F50EF"/>
    <w:rsid w:val="1E793094"/>
    <w:rsid w:val="1E8C66EB"/>
    <w:rsid w:val="1E9637FD"/>
    <w:rsid w:val="1EBB7EAA"/>
    <w:rsid w:val="1F026509"/>
    <w:rsid w:val="1F090174"/>
    <w:rsid w:val="1F132D87"/>
    <w:rsid w:val="1F34517D"/>
    <w:rsid w:val="1F4377A5"/>
    <w:rsid w:val="1F4853F4"/>
    <w:rsid w:val="1F771A4D"/>
    <w:rsid w:val="1FB74DC5"/>
    <w:rsid w:val="1FD44489"/>
    <w:rsid w:val="202265AF"/>
    <w:rsid w:val="202A1620"/>
    <w:rsid w:val="20451F26"/>
    <w:rsid w:val="20486AAC"/>
    <w:rsid w:val="206705CC"/>
    <w:rsid w:val="207C716F"/>
    <w:rsid w:val="20850AF0"/>
    <w:rsid w:val="20A6633B"/>
    <w:rsid w:val="20D11B48"/>
    <w:rsid w:val="20D15B14"/>
    <w:rsid w:val="20D37F4F"/>
    <w:rsid w:val="20EC75B1"/>
    <w:rsid w:val="20F011EF"/>
    <w:rsid w:val="21310218"/>
    <w:rsid w:val="215666B4"/>
    <w:rsid w:val="2168611F"/>
    <w:rsid w:val="21821CC3"/>
    <w:rsid w:val="21A165ED"/>
    <w:rsid w:val="21A16738"/>
    <w:rsid w:val="21BA4918"/>
    <w:rsid w:val="21BB1762"/>
    <w:rsid w:val="21D41DD3"/>
    <w:rsid w:val="21DC0A70"/>
    <w:rsid w:val="21DD2101"/>
    <w:rsid w:val="21E620E9"/>
    <w:rsid w:val="21FA7FF4"/>
    <w:rsid w:val="21FC6523"/>
    <w:rsid w:val="220215B6"/>
    <w:rsid w:val="223B5ADD"/>
    <w:rsid w:val="223E4ECA"/>
    <w:rsid w:val="225673D8"/>
    <w:rsid w:val="22702D55"/>
    <w:rsid w:val="22AF4D3A"/>
    <w:rsid w:val="22B0330A"/>
    <w:rsid w:val="22F15D44"/>
    <w:rsid w:val="22F41235"/>
    <w:rsid w:val="23344974"/>
    <w:rsid w:val="235D7388"/>
    <w:rsid w:val="23696C97"/>
    <w:rsid w:val="236A3274"/>
    <w:rsid w:val="2389558B"/>
    <w:rsid w:val="239006C7"/>
    <w:rsid w:val="23915BF2"/>
    <w:rsid w:val="23AE6F3A"/>
    <w:rsid w:val="23F9781D"/>
    <w:rsid w:val="24044485"/>
    <w:rsid w:val="2473520F"/>
    <w:rsid w:val="247B615F"/>
    <w:rsid w:val="248E4857"/>
    <w:rsid w:val="24937C83"/>
    <w:rsid w:val="24997A50"/>
    <w:rsid w:val="24B959FC"/>
    <w:rsid w:val="24BB5C18"/>
    <w:rsid w:val="24ED1F1B"/>
    <w:rsid w:val="25253091"/>
    <w:rsid w:val="25370A0B"/>
    <w:rsid w:val="2567077F"/>
    <w:rsid w:val="2592122A"/>
    <w:rsid w:val="259B4ADE"/>
    <w:rsid w:val="25BB2B7A"/>
    <w:rsid w:val="25ED53CE"/>
    <w:rsid w:val="262D4932"/>
    <w:rsid w:val="26360BC2"/>
    <w:rsid w:val="26527375"/>
    <w:rsid w:val="266542FD"/>
    <w:rsid w:val="26697D7B"/>
    <w:rsid w:val="26750607"/>
    <w:rsid w:val="26845B90"/>
    <w:rsid w:val="268A76CB"/>
    <w:rsid w:val="26955E2C"/>
    <w:rsid w:val="26A10E3D"/>
    <w:rsid w:val="26A15028"/>
    <w:rsid w:val="26AF313E"/>
    <w:rsid w:val="26B318C4"/>
    <w:rsid w:val="26B4308E"/>
    <w:rsid w:val="26EF3957"/>
    <w:rsid w:val="26F70735"/>
    <w:rsid w:val="274E67DF"/>
    <w:rsid w:val="27585507"/>
    <w:rsid w:val="275E310C"/>
    <w:rsid w:val="278F4D26"/>
    <w:rsid w:val="27AB234F"/>
    <w:rsid w:val="27AD4AFE"/>
    <w:rsid w:val="27B70919"/>
    <w:rsid w:val="27C54C43"/>
    <w:rsid w:val="27CB1478"/>
    <w:rsid w:val="27D677D0"/>
    <w:rsid w:val="27E7543C"/>
    <w:rsid w:val="27FE496D"/>
    <w:rsid w:val="280F6B03"/>
    <w:rsid w:val="281015F1"/>
    <w:rsid w:val="282472DA"/>
    <w:rsid w:val="284400AE"/>
    <w:rsid w:val="285D6E5B"/>
    <w:rsid w:val="285E7FE7"/>
    <w:rsid w:val="28727659"/>
    <w:rsid w:val="28845CC2"/>
    <w:rsid w:val="289123ED"/>
    <w:rsid w:val="28A702B9"/>
    <w:rsid w:val="28AA25E9"/>
    <w:rsid w:val="28BE3623"/>
    <w:rsid w:val="28C96735"/>
    <w:rsid w:val="28DB6EAA"/>
    <w:rsid w:val="28EF7C3E"/>
    <w:rsid w:val="28F2797C"/>
    <w:rsid w:val="29053906"/>
    <w:rsid w:val="29114058"/>
    <w:rsid w:val="294A1737"/>
    <w:rsid w:val="295403E9"/>
    <w:rsid w:val="296C4096"/>
    <w:rsid w:val="29A123BB"/>
    <w:rsid w:val="29B80F87"/>
    <w:rsid w:val="29E96D83"/>
    <w:rsid w:val="29FF3CC3"/>
    <w:rsid w:val="2A17480D"/>
    <w:rsid w:val="2A3558B4"/>
    <w:rsid w:val="2A41096D"/>
    <w:rsid w:val="2A44220C"/>
    <w:rsid w:val="2A613DB9"/>
    <w:rsid w:val="2A677406"/>
    <w:rsid w:val="2A7D211C"/>
    <w:rsid w:val="2AA8758A"/>
    <w:rsid w:val="2AAE6BCF"/>
    <w:rsid w:val="2AE06085"/>
    <w:rsid w:val="2B043FCC"/>
    <w:rsid w:val="2B2D09A1"/>
    <w:rsid w:val="2B433BE2"/>
    <w:rsid w:val="2B610D8E"/>
    <w:rsid w:val="2B9110E8"/>
    <w:rsid w:val="2BAC62BA"/>
    <w:rsid w:val="2BBD2276"/>
    <w:rsid w:val="2BC316BB"/>
    <w:rsid w:val="2BF919E4"/>
    <w:rsid w:val="2C0078D2"/>
    <w:rsid w:val="2C2B5431"/>
    <w:rsid w:val="2C2C721C"/>
    <w:rsid w:val="2C632468"/>
    <w:rsid w:val="2C6D54FC"/>
    <w:rsid w:val="2C972AC7"/>
    <w:rsid w:val="2CCA4BF0"/>
    <w:rsid w:val="2CD4492C"/>
    <w:rsid w:val="2CDA0972"/>
    <w:rsid w:val="2CE04BB6"/>
    <w:rsid w:val="2CE87C82"/>
    <w:rsid w:val="2D241E80"/>
    <w:rsid w:val="2D3F156A"/>
    <w:rsid w:val="2D4F7387"/>
    <w:rsid w:val="2D5E4D91"/>
    <w:rsid w:val="2D6D7CCB"/>
    <w:rsid w:val="2D746964"/>
    <w:rsid w:val="2D913ECB"/>
    <w:rsid w:val="2DB31B82"/>
    <w:rsid w:val="2DB81FF5"/>
    <w:rsid w:val="2DC16D9B"/>
    <w:rsid w:val="2DE927AA"/>
    <w:rsid w:val="2DFF6B75"/>
    <w:rsid w:val="2E231423"/>
    <w:rsid w:val="2E4B76EC"/>
    <w:rsid w:val="2E5E5928"/>
    <w:rsid w:val="2E656033"/>
    <w:rsid w:val="2E682EB4"/>
    <w:rsid w:val="2E741DF0"/>
    <w:rsid w:val="2EC51780"/>
    <w:rsid w:val="2EF56EA2"/>
    <w:rsid w:val="2F0D32E9"/>
    <w:rsid w:val="2F1D1D8E"/>
    <w:rsid w:val="2F2A04CA"/>
    <w:rsid w:val="2F2C46B5"/>
    <w:rsid w:val="2F307202"/>
    <w:rsid w:val="2F4C12F7"/>
    <w:rsid w:val="2F52087C"/>
    <w:rsid w:val="2F570AD7"/>
    <w:rsid w:val="2F84708E"/>
    <w:rsid w:val="2F8D1F5F"/>
    <w:rsid w:val="2F9D1627"/>
    <w:rsid w:val="2FA0650B"/>
    <w:rsid w:val="2FBB224C"/>
    <w:rsid w:val="2FD76221"/>
    <w:rsid w:val="2FEA776D"/>
    <w:rsid w:val="300A4BE4"/>
    <w:rsid w:val="302225B6"/>
    <w:rsid w:val="302945C4"/>
    <w:rsid w:val="30384235"/>
    <w:rsid w:val="3042163A"/>
    <w:rsid w:val="3058407F"/>
    <w:rsid w:val="306727B0"/>
    <w:rsid w:val="306758CD"/>
    <w:rsid w:val="3072201D"/>
    <w:rsid w:val="308E56AB"/>
    <w:rsid w:val="30B240A1"/>
    <w:rsid w:val="30EB3AFB"/>
    <w:rsid w:val="30EE1123"/>
    <w:rsid w:val="30F465F9"/>
    <w:rsid w:val="30F9075B"/>
    <w:rsid w:val="31014858"/>
    <w:rsid w:val="31224929"/>
    <w:rsid w:val="31665252"/>
    <w:rsid w:val="317131A4"/>
    <w:rsid w:val="31BC42DD"/>
    <w:rsid w:val="31C61758"/>
    <w:rsid w:val="31CB168D"/>
    <w:rsid w:val="31D01CB1"/>
    <w:rsid w:val="31EB38F9"/>
    <w:rsid w:val="31F877A0"/>
    <w:rsid w:val="31FC2441"/>
    <w:rsid w:val="320B3E33"/>
    <w:rsid w:val="32207088"/>
    <w:rsid w:val="324B53AC"/>
    <w:rsid w:val="3256662F"/>
    <w:rsid w:val="32585BE8"/>
    <w:rsid w:val="32731930"/>
    <w:rsid w:val="32737319"/>
    <w:rsid w:val="329218B6"/>
    <w:rsid w:val="32B31868"/>
    <w:rsid w:val="32CC7242"/>
    <w:rsid w:val="32D86E66"/>
    <w:rsid w:val="331B4D08"/>
    <w:rsid w:val="332B3C8B"/>
    <w:rsid w:val="332E6D2C"/>
    <w:rsid w:val="33374CE0"/>
    <w:rsid w:val="33650BC1"/>
    <w:rsid w:val="33A9307D"/>
    <w:rsid w:val="33AD37C7"/>
    <w:rsid w:val="33B24609"/>
    <w:rsid w:val="33B5674A"/>
    <w:rsid w:val="33E83305"/>
    <w:rsid w:val="33F46A50"/>
    <w:rsid w:val="33F64849"/>
    <w:rsid w:val="34024F70"/>
    <w:rsid w:val="3405793E"/>
    <w:rsid w:val="341A69F5"/>
    <w:rsid w:val="341E6BA4"/>
    <w:rsid w:val="342601B1"/>
    <w:rsid w:val="343A316D"/>
    <w:rsid w:val="346A32BF"/>
    <w:rsid w:val="347313B0"/>
    <w:rsid w:val="347C79C5"/>
    <w:rsid w:val="34B97B11"/>
    <w:rsid w:val="34D23D8F"/>
    <w:rsid w:val="34E17CC1"/>
    <w:rsid w:val="34FD2A87"/>
    <w:rsid w:val="351C3972"/>
    <w:rsid w:val="351F6776"/>
    <w:rsid w:val="357830FD"/>
    <w:rsid w:val="358A639D"/>
    <w:rsid w:val="35DD617F"/>
    <w:rsid w:val="35DF693A"/>
    <w:rsid w:val="35F44697"/>
    <w:rsid w:val="36101977"/>
    <w:rsid w:val="363A12E4"/>
    <w:rsid w:val="364610BA"/>
    <w:rsid w:val="365517B7"/>
    <w:rsid w:val="36722E94"/>
    <w:rsid w:val="3681127D"/>
    <w:rsid w:val="36853677"/>
    <w:rsid w:val="368C74AA"/>
    <w:rsid w:val="369A4AAB"/>
    <w:rsid w:val="369E2CA4"/>
    <w:rsid w:val="36B44275"/>
    <w:rsid w:val="36B63A76"/>
    <w:rsid w:val="36BE7648"/>
    <w:rsid w:val="36D16E9F"/>
    <w:rsid w:val="36E83F1F"/>
    <w:rsid w:val="37180D0B"/>
    <w:rsid w:val="37256F21"/>
    <w:rsid w:val="37270EEB"/>
    <w:rsid w:val="37352257"/>
    <w:rsid w:val="37421881"/>
    <w:rsid w:val="374C7D9F"/>
    <w:rsid w:val="374F4745"/>
    <w:rsid w:val="375A3AF3"/>
    <w:rsid w:val="37622048"/>
    <w:rsid w:val="37B3277F"/>
    <w:rsid w:val="381370C2"/>
    <w:rsid w:val="38183972"/>
    <w:rsid w:val="385F5938"/>
    <w:rsid w:val="3862667F"/>
    <w:rsid w:val="389A62DA"/>
    <w:rsid w:val="38AA5386"/>
    <w:rsid w:val="38B44A00"/>
    <w:rsid w:val="38BE762D"/>
    <w:rsid w:val="38C60AB9"/>
    <w:rsid w:val="38E6239E"/>
    <w:rsid w:val="38EE5DE8"/>
    <w:rsid w:val="38F57D19"/>
    <w:rsid w:val="38FA6EBF"/>
    <w:rsid w:val="39083B56"/>
    <w:rsid w:val="39475874"/>
    <w:rsid w:val="39492C1E"/>
    <w:rsid w:val="395E28CA"/>
    <w:rsid w:val="39DD53FD"/>
    <w:rsid w:val="3A05640B"/>
    <w:rsid w:val="3A1E35A8"/>
    <w:rsid w:val="3A34505A"/>
    <w:rsid w:val="3A442FE9"/>
    <w:rsid w:val="3A500759"/>
    <w:rsid w:val="3A5969B4"/>
    <w:rsid w:val="3A7D1EB2"/>
    <w:rsid w:val="3B01307F"/>
    <w:rsid w:val="3B09296F"/>
    <w:rsid w:val="3B190B4B"/>
    <w:rsid w:val="3B5200C1"/>
    <w:rsid w:val="3B546F95"/>
    <w:rsid w:val="3B634059"/>
    <w:rsid w:val="3B787F67"/>
    <w:rsid w:val="3B7F4C3A"/>
    <w:rsid w:val="3B887742"/>
    <w:rsid w:val="3B8C0B37"/>
    <w:rsid w:val="3B9628EE"/>
    <w:rsid w:val="3B9B23CA"/>
    <w:rsid w:val="3BAC5E63"/>
    <w:rsid w:val="3BB6283D"/>
    <w:rsid w:val="3BD3519D"/>
    <w:rsid w:val="3C1C6A6E"/>
    <w:rsid w:val="3C1F4887"/>
    <w:rsid w:val="3C3A012D"/>
    <w:rsid w:val="3C457305"/>
    <w:rsid w:val="3C49580B"/>
    <w:rsid w:val="3C5B7C42"/>
    <w:rsid w:val="3C621722"/>
    <w:rsid w:val="3CA36A8E"/>
    <w:rsid w:val="3CB31014"/>
    <w:rsid w:val="3CC60841"/>
    <w:rsid w:val="3CD051BA"/>
    <w:rsid w:val="3CE17E80"/>
    <w:rsid w:val="3CE55879"/>
    <w:rsid w:val="3CF83553"/>
    <w:rsid w:val="3D0D1480"/>
    <w:rsid w:val="3D2739F3"/>
    <w:rsid w:val="3D2F72C4"/>
    <w:rsid w:val="3D3D6556"/>
    <w:rsid w:val="3D453E79"/>
    <w:rsid w:val="3D606F05"/>
    <w:rsid w:val="3D653CDC"/>
    <w:rsid w:val="3D8735DC"/>
    <w:rsid w:val="3DAF5796"/>
    <w:rsid w:val="3DC56D15"/>
    <w:rsid w:val="3DCD2205"/>
    <w:rsid w:val="3DD0408A"/>
    <w:rsid w:val="3DE758F0"/>
    <w:rsid w:val="3DEB48E9"/>
    <w:rsid w:val="3DF46EE2"/>
    <w:rsid w:val="3E0151D6"/>
    <w:rsid w:val="3E12578C"/>
    <w:rsid w:val="3E1653FC"/>
    <w:rsid w:val="3E1B7080"/>
    <w:rsid w:val="3E3B3C8A"/>
    <w:rsid w:val="3E5F0393"/>
    <w:rsid w:val="3EA70407"/>
    <w:rsid w:val="3EB267C9"/>
    <w:rsid w:val="3ED34C31"/>
    <w:rsid w:val="3ED90F31"/>
    <w:rsid w:val="3EDA5274"/>
    <w:rsid w:val="3EDE3CCE"/>
    <w:rsid w:val="3F0F2990"/>
    <w:rsid w:val="3F177A97"/>
    <w:rsid w:val="3F1D60A0"/>
    <w:rsid w:val="3F1F7AF9"/>
    <w:rsid w:val="3F4A6767"/>
    <w:rsid w:val="3F624167"/>
    <w:rsid w:val="3F6E1C6A"/>
    <w:rsid w:val="3F854B38"/>
    <w:rsid w:val="3F915D5B"/>
    <w:rsid w:val="3F93756D"/>
    <w:rsid w:val="3F9748DA"/>
    <w:rsid w:val="3FA13A7E"/>
    <w:rsid w:val="3FB90913"/>
    <w:rsid w:val="3FC01EDD"/>
    <w:rsid w:val="3FC75019"/>
    <w:rsid w:val="3FC8264C"/>
    <w:rsid w:val="3FC91C24"/>
    <w:rsid w:val="3FC94073"/>
    <w:rsid w:val="3FD84343"/>
    <w:rsid w:val="3FE609C1"/>
    <w:rsid w:val="3FE756BB"/>
    <w:rsid w:val="4028226F"/>
    <w:rsid w:val="403826DB"/>
    <w:rsid w:val="406946E9"/>
    <w:rsid w:val="407A6EF0"/>
    <w:rsid w:val="40957516"/>
    <w:rsid w:val="40A87761"/>
    <w:rsid w:val="40C53A5F"/>
    <w:rsid w:val="40F56DBE"/>
    <w:rsid w:val="410D4CAE"/>
    <w:rsid w:val="41230975"/>
    <w:rsid w:val="41354204"/>
    <w:rsid w:val="41557D0E"/>
    <w:rsid w:val="41567D5E"/>
    <w:rsid w:val="41661607"/>
    <w:rsid w:val="417F7261"/>
    <w:rsid w:val="41B164B6"/>
    <w:rsid w:val="41CF588A"/>
    <w:rsid w:val="41D1176A"/>
    <w:rsid w:val="41D628A7"/>
    <w:rsid w:val="41E24788"/>
    <w:rsid w:val="41EC593B"/>
    <w:rsid w:val="41EE08A5"/>
    <w:rsid w:val="42087784"/>
    <w:rsid w:val="420C2C04"/>
    <w:rsid w:val="424240BB"/>
    <w:rsid w:val="42645DC4"/>
    <w:rsid w:val="427325F4"/>
    <w:rsid w:val="42882165"/>
    <w:rsid w:val="42907674"/>
    <w:rsid w:val="429531AD"/>
    <w:rsid w:val="429F5B3A"/>
    <w:rsid w:val="430640AA"/>
    <w:rsid w:val="430C2C22"/>
    <w:rsid w:val="43827BD5"/>
    <w:rsid w:val="4398548A"/>
    <w:rsid w:val="439E61FC"/>
    <w:rsid w:val="43BE4985"/>
    <w:rsid w:val="43F77E57"/>
    <w:rsid w:val="43F922C9"/>
    <w:rsid w:val="44007403"/>
    <w:rsid w:val="44213529"/>
    <w:rsid w:val="44BD7608"/>
    <w:rsid w:val="44BD7C24"/>
    <w:rsid w:val="44C1649E"/>
    <w:rsid w:val="44DD2EE3"/>
    <w:rsid w:val="450D3EDC"/>
    <w:rsid w:val="450D65D4"/>
    <w:rsid w:val="4517259F"/>
    <w:rsid w:val="453F4C4F"/>
    <w:rsid w:val="455E4BA2"/>
    <w:rsid w:val="456071E7"/>
    <w:rsid w:val="45863910"/>
    <w:rsid w:val="459D123E"/>
    <w:rsid w:val="45DC5978"/>
    <w:rsid w:val="45EB3DD6"/>
    <w:rsid w:val="461C6256"/>
    <w:rsid w:val="46291EB8"/>
    <w:rsid w:val="462D5C7F"/>
    <w:rsid w:val="46325C58"/>
    <w:rsid w:val="46466F77"/>
    <w:rsid w:val="467008B0"/>
    <w:rsid w:val="46987090"/>
    <w:rsid w:val="46A74B88"/>
    <w:rsid w:val="46B76B4B"/>
    <w:rsid w:val="46BA07E8"/>
    <w:rsid w:val="46E4489A"/>
    <w:rsid w:val="47304E59"/>
    <w:rsid w:val="475278BE"/>
    <w:rsid w:val="475742F1"/>
    <w:rsid w:val="477D5E92"/>
    <w:rsid w:val="479C4D6D"/>
    <w:rsid w:val="47B5320C"/>
    <w:rsid w:val="47B944D6"/>
    <w:rsid w:val="47D66741"/>
    <w:rsid w:val="47E44BEF"/>
    <w:rsid w:val="482632B6"/>
    <w:rsid w:val="483E6094"/>
    <w:rsid w:val="48435304"/>
    <w:rsid w:val="48690401"/>
    <w:rsid w:val="486D481D"/>
    <w:rsid w:val="48A976BC"/>
    <w:rsid w:val="48AC1460"/>
    <w:rsid w:val="48AE16A4"/>
    <w:rsid w:val="48B40A50"/>
    <w:rsid w:val="48C87B66"/>
    <w:rsid w:val="48DA6CED"/>
    <w:rsid w:val="48DD2127"/>
    <w:rsid w:val="48E716FF"/>
    <w:rsid w:val="48F93DF4"/>
    <w:rsid w:val="49154F13"/>
    <w:rsid w:val="49177576"/>
    <w:rsid w:val="49204B5B"/>
    <w:rsid w:val="493731C3"/>
    <w:rsid w:val="494B0A69"/>
    <w:rsid w:val="4964375B"/>
    <w:rsid w:val="496E2020"/>
    <w:rsid w:val="4971269F"/>
    <w:rsid w:val="498B2FA1"/>
    <w:rsid w:val="49A85EBB"/>
    <w:rsid w:val="49C71CCA"/>
    <w:rsid w:val="49E13B64"/>
    <w:rsid w:val="4A1B7A43"/>
    <w:rsid w:val="4A2720B2"/>
    <w:rsid w:val="4A2732E1"/>
    <w:rsid w:val="4A2951D7"/>
    <w:rsid w:val="4A4D0245"/>
    <w:rsid w:val="4A9D70A2"/>
    <w:rsid w:val="4A9D7E98"/>
    <w:rsid w:val="4ADA3DD6"/>
    <w:rsid w:val="4AE33DD0"/>
    <w:rsid w:val="4AED40DB"/>
    <w:rsid w:val="4B037A9E"/>
    <w:rsid w:val="4B133808"/>
    <w:rsid w:val="4B283178"/>
    <w:rsid w:val="4B49722A"/>
    <w:rsid w:val="4B543A83"/>
    <w:rsid w:val="4B5931AB"/>
    <w:rsid w:val="4B875EEF"/>
    <w:rsid w:val="4B9F73FC"/>
    <w:rsid w:val="4BA708E2"/>
    <w:rsid w:val="4C070B39"/>
    <w:rsid w:val="4C272F70"/>
    <w:rsid w:val="4C373527"/>
    <w:rsid w:val="4C770388"/>
    <w:rsid w:val="4C863258"/>
    <w:rsid w:val="4CA014AC"/>
    <w:rsid w:val="4CAE1A3B"/>
    <w:rsid w:val="4CB035B1"/>
    <w:rsid w:val="4CC61EFA"/>
    <w:rsid w:val="4CD7475C"/>
    <w:rsid w:val="4CE216E4"/>
    <w:rsid w:val="4D0D6162"/>
    <w:rsid w:val="4D2F41FE"/>
    <w:rsid w:val="4D3105D5"/>
    <w:rsid w:val="4D3E5B5A"/>
    <w:rsid w:val="4D790D7A"/>
    <w:rsid w:val="4D8773EE"/>
    <w:rsid w:val="4DAB7D28"/>
    <w:rsid w:val="4DBF1A26"/>
    <w:rsid w:val="4DCA65D0"/>
    <w:rsid w:val="4DE66FB2"/>
    <w:rsid w:val="4DF14A2F"/>
    <w:rsid w:val="4DF32B56"/>
    <w:rsid w:val="4DFA58AA"/>
    <w:rsid w:val="4E0062C6"/>
    <w:rsid w:val="4E18792B"/>
    <w:rsid w:val="4E3221F7"/>
    <w:rsid w:val="4E37382D"/>
    <w:rsid w:val="4E3D23B6"/>
    <w:rsid w:val="4E596E8E"/>
    <w:rsid w:val="4E984E43"/>
    <w:rsid w:val="4EB96475"/>
    <w:rsid w:val="4EC45545"/>
    <w:rsid w:val="4ED65115"/>
    <w:rsid w:val="4EE554BC"/>
    <w:rsid w:val="4F010D6B"/>
    <w:rsid w:val="4F08489B"/>
    <w:rsid w:val="4F59232C"/>
    <w:rsid w:val="4F8B03CD"/>
    <w:rsid w:val="4F965987"/>
    <w:rsid w:val="4FA8325E"/>
    <w:rsid w:val="4FBF0985"/>
    <w:rsid w:val="4FD35314"/>
    <w:rsid w:val="4FEC1657"/>
    <w:rsid w:val="4FF2658A"/>
    <w:rsid w:val="4FFD2638"/>
    <w:rsid w:val="503F51ED"/>
    <w:rsid w:val="505D789C"/>
    <w:rsid w:val="50646DBF"/>
    <w:rsid w:val="506B3313"/>
    <w:rsid w:val="506C4329"/>
    <w:rsid w:val="50911C70"/>
    <w:rsid w:val="50E07E53"/>
    <w:rsid w:val="50E50622"/>
    <w:rsid w:val="511E5C60"/>
    <w:rsid w:val="51245C0E"/>
    <w:rsid w:val="51281690"/>
    <w:rsid w:val="512F2209"/>
    <w:rsid w:val="514E5C3F"/>
    <w:rsid w:val="51681AE8"/>
    <w:rsid w:val="518728D1"/>
    <w:rsid w:val="51983043"/>
    <w:rsid w:val="519F6E1A"/>
    <w:rsid w:val="51A60B93"/>
    <w:rsid w:val="51A60DC3"/>
    <w:rsid w:val="520A725E"/>
    <w:rsid w:val="520F2B20"/>
    <w:rsid w:val="52103A14"/>
    <w:rsid w:val="521C76E1"/>
    <w:rsid w:val="522B768A"/>
    <w:rsid w:val="5278698A"/>
    <w:rsid w:val="528538C1"/>
    <w:rsid w:val="528D5C4E"/>
    <w:rsid w:val="52BB5599"/>
    <w:rsid w:val="52C8312A"/>
    <w:rsid w:val="52D65847"/>
    <w:rsid w:val="52E2398A"/>
    <w:rsid w:val="52F3391C"/>
    <w:rsid w:val="530E61AC"/>
    <w:rsid w:val="53151A46"/>
    <w:rsid w:val="531C15FC"/>
    <w:rsid w:val="532224CC"/>
    <w:rsid w:val="53395CCF"/>
    <w:rsid w:val="53510116"/>
    <w:rsid w:val="535B5D4C"/>
    <w:rsid w:val="536C1CB9"/>
    <w:rsid w:val="538A147C"/>
    <w:rsid w:val="539270DB"/>
    <w:rsid w:val="53AD5812"/>
    <w:rsid w:val="53B768FB"/>
    <w:rsid w:val="53D93A4E"/>
    <w:rsid w:val="53F37FFE"/>
    <w:rsid w:val="542256EF"/>
    <w:rsid w:val="54370568"/>
    <w:rsid w:val="545413CC"/>
    <w:rsid w:val="5455279C"/>
    <w:rsid w:val="54624EB9"/>
    <w:rsid w:val="54980BF4"/>
    <w:rsid w:val="549C486F"/>
    <w:rsid w:val="54B47EFB"/>
    <w:rsid w:val="54B5282D"/>
    <w:rsid w:val="54D264E2"/>
    <w:rsid w:val="54DB0F18"/>
    <w:rsid w:val="54DC6E73"/>
    <w:rsid w:val="55011C7A"/>
    <w:rsid w:val="554B7041"/>
    <w:rsid w:val="55543AF1"/>
    <w:rsid w:val="555B1B57"/>
    <w:rsid w:val="55706241"/>
    <w:rsid w:val="557A71CC"/>
    <w:rsid w:val="559C6CBA"/>
    <w:rsid w:val="55A91602"/>
    <w:rsid w:val="55B94875"/>
    <w:rsid w:val="55D51B93"/>
    <w:rsid w:val="55DD6540"/>
    <w:rsid w:val="560B4775"/>
    <w:rsid w:val="5640122A"/>
    <w:rsid w:val="569951D6"/>
    <w:rsid w:val="56B714EC"/>
    <w:rsid w:val="56D07CFF"/>
    <w:rsid w:val="5719502F"/>
    <w:rsid w:val="5727645D"/>
    <w:rsid w:val="57337211"/>
    <w:rsid w:val="573E4390"/>
    <w:rsid w:val="574216FD"/>
    <w:rsid w:val="57666D3D"/>
    <w:rsid w:val="576D24F2"/>
    <w:rsid w:val="578339E3"/>
    <w:rsid w:val="57B341DC"/>
    <w:rsid w:val="57C54D03"/>
    <w:rsid w:val="57E53B64"/>
    <w:rsid w:val="583409BB"/>
    <w:rsid w:val="58344D8C"/>
    <w:rsid w:val="583515C0"/>
    <w:rsid w:val="584C035A"/>
    <w:rsid w:val="585C5402"/>
    <w:rsid w:val="585D5AB2"/>
    <w:rsid w:val="58807F6E"/>
    <w:rsid w:val="588210B0"/>
    <w:rsid w:val="588F48D4"/>
    <w:rsid w:val="58AB7BD9"/>
    <w:rsid w:val="58AF759C"/>
    <w:rsid w:val="58C46E3D"/>
    <w:rsid w:val="58D60D6F"/>
    <w:rsid w:val="58DA7713"/>
    <w:rsid w:val="58E66A6D"/>
    <w:rsid w:val="58EA7F3A"/>
    <w:rsid w:val="58F12166"/>
    <w:rsid w:val="58F634D5"/>
    <w:rsid w:val="591A2160"/>
    <w:rsid w:val="597328A2"/>
    <w:rsid w:val="597426C7"/>
    <w:rsid w:val="59875576"/>
    <w:rsid w:val="5987789B"/>
    <w:rsid w:val="59880060"/>
    <w:rsid w:val="599124C8"/>
    <w:rsid w:val="59DB079F"/>
    <w:rsid w:val="59E27009"/>
    <w:rsid w:val="59FA4317"/>
    <w:rsid w:val="5A0E3B87"/>
    <w:rsid w:val="5A6539D1"/>
    <w:rsid w:val="5A88315D"/>
    <w:rsid w:val="5AA2162F"/>
    <w:rsid w:val="5ABD109B"/>
    <w:rsid w:val="5ABE380A"/>
    <w:rsid w:val="5ADD5E18"/>
    <w:rsid w:val="5AE03EFA"/>
    <w:rsid w:val="5B212785"/>
    <w:rsid w:val="5B5A7531"/>
    <w:rsid w:val="5B6A1223"/>
    <w:rsid w:val="5BB33A97"/>
    <w:rsid w:val="5BB500C9"/>
    <w:rsid w:val="5C052CF9"/>
    <w:rsid w:val="5C1949F7"/>
    <w:rsid w:val="5C2E0652"/>
    <w:rsid w:val="5C4656C4"/>
    <w:rsid w:val="5C514CA0"/>
    <w:rsid w:val="5C5D48E3"/>
    <w:rsid w:val="5CA16269"/>
    <w:rsid w:val="5CA57B86"/>
    <w:rsid w:val="5CC77C96"/>
    <w:rsid w:val="5CF557A7"/>
    <w:rsid w:val="5D230D1C"/>
    <w:rsid w:val="5D2327C3"/>
    <w:rsid w:val="5D2B49E2"/>
    <w:rsid w:val="5D3B6F2A"/>
    <w:rsid w:val="5D523508"/>
    <w:rsid w:val="5D546753"/>
    <w:rsid w:val="5D663155"/>
    <w:rsid w:val="5D6D7EF5"/>
    <w:rsid w:val="5D744CF0"/>
    <w:rsid w:val="5DA30A1C"/>
    <w:rsid w:val="5DA61822"/>
    <w:rsid w:val="5DA930C5"/>
    <w:rsid w:val="5DBC7D30"/>
    <w:rsid w:val="5DFE458C"/>
    <w:rsid w:val="5E0A1538"/>
    <w:rsid w:val="5E2A239D"/>
    <w:rsid w:val="5E5B1E18"/>
    <w:rsid w:val="5EBA4736"/>
    <w:rsid w:val="5F1C355C"/>
    <w:rsid w:val="5F2516CE"/>
    <w:rsid w:val="5F480A20"/>
    <w:rsid w:val="5F541A66"/>
    <w:rsid w:val="5F6A29B1"/>
    <w:rsid w:val="5FA017B5"/>
    <w:rsid w:val="5FAE5456"/>
    <w:rsid w:val="5FBC4017"/>
    <w:rsid w:val="5FBE0266"/>
    <w:rsid w:val="5FC6687A"/>
    <w:rsid w:val="5FD21AD3"/>
    <w:rsid w:val="5FDF599A"/>
    <w:rsid w:val="5FE56811"/>
    <w:rsid w:val="5FEC38EF"/>
    <w:rsid w:val="5FF37A81"/>
    <w:rsid w:val="600166E8"/>
    <w:rsid w:val="602C45FD"/>
    <w:rsid w:val="60771CEC"/>
    <w:rsid w:val="60795CBD"/>
    <w:rsid w:val="60DD5FF3"/>
    <w:rsid w:val="60E70C20"/>
    <w:rsid w:val="60E7755F"/>
    <w:rsid w:val="60F23855"/>
    <w:rsid w:val="60F47BEC"/>
    <w:rsid w:val="612006AC"/>
    <w:rsid w:val="613B6451"/>
    <w:rsid w:val="61444430"/>
    <w:rsid w:val="61816125"/>
    <w:rsid w:val="618172C6"/>
    <w:rsid w:val="61923195"/>
    <w:rsid w:val="61A1336B"/>
    <w:rsid w:val="61A46B11"/>
    <w:rsid w:val="61C176C2"/>
    <w:rsid w:val="61D513C0"/>
    <w:rsid w:val="61E95D43"/>
    <w:rsid w:val="62434718"/>
    <w:rsid w:val="624806F1"/>
    <w:rsid w:val="625A5036"/>
    <w:rsid w:val="628030DA"/>
    <w:rsid w:val="628C1A7E"/>
    <w:rsid w:val="629D0895"/>
    <w:rsid w:val="62B525EA"/>
    <w:rsid w:val="62C0222F"/>
    <w:rsid w:val="631C6F6F"/>
    <w:rsid w:val="63443247"/>
    <w:rsid w:val="635273C6"/>
    <w:rsid w:val="63C146BD"/>
    <w:rsid w:val="63CE5C30"/>
    <w:rsid w:val="63EA5A54"/>
    <w:rsid w:val="64133AE3"/>
    <w:rsid w:val="6415508D"/>
    <w:rsid w:val="644019DA"/>
    <w:rsid w:val="648038FA"/>
    <w:rsid w:val="6486074F"/>
    <w:rsid w:val="648A46E4"/>
    <w:rsid w:val="648C4D5D"/>
    <w:rsid w:val="64F80583"/>
    <w:rsid w:val="651F4D5E"/>
    <w:rsid w:val="65367A73"/>
    <w:rsid w:val="653F54CE"/>
    <w:rsid w:val="657A47E1"/>
    <w:rsid w:val="658978B2"/>
    <w:rsid w:val="658F0EF9"/>
    <w:rsid w:val="65C75629"/>
    <w:rsid w:val="65EB6652"/>
    <w:rsid w:val="65EC5184"/>
    <w:rsid w:val="65F7258F"/>
    <w:rsid w:val="66212F88"/>
    <w:rsid w:val="66417FB7"/>
    <w:rsid w:val="66496768"/>
    <w:rsid w:val="665309BD"/>
    <w:rsid w:val="66574FE9"/>
    <w:rsid w:val="665C20B0"/>
    <w:rsid w:val="666351EC"/>
    <w:rsid w:val="669727FD"/>
    <w:rsid w:val="66C739CD"/>
    <w:rsid w:val="66C8233B"/>
    <w:rsid w:val="66D1260E"/>
    <w:rsid w:val="66F629D6"/>
    <w:rsid w:val="672F2741"/>
    <w:rsid w:val="67346C35"/>
    <w:rsid w:val="6744454D"/>
    <w:rsid w:val="67562C69"/>
    <w:rsid w:val="67754838"/>
    <w:rsid w:val="67762C3A"/>
    <w:rsid w:val="677A4210"/>
    <w:rsid w:val="679B13E4"/>
    <w:rsid w:val="67C04262"/>
    <w:rsid w:val="67F264CF"/>
    <w:rsid w:val="67FB3BC8"/>
    <w:rsid w:val="67FF6CD4"/>
    <w:rsid w:val="680B4763"/>
    <w:rsid w:val="681A7E9D"/>
    <w:rsid w:val="68292BF9"/>
    <w:rsid w:val="68E87775"/>
    <w:rsid w:val="691E5105"/>
    <w:rsid w:val="69360996"/>
    <w:rsid w:val="6936791F"/>
    <w:rsid w:val="69383672"/>
    <w:rsid w:val="693E784B"/>
    <w:rsid w:val="696B5AAD"/>
    <w:rsid w:val="69803202"/>
    <w:rsid w:val="699F58C1"/>
    <w:rsid w:val="69F60484"/>
    <w:rsid w:val="6A354541"/>
    <w:rsid w:val="6A3660CC"/>
    <w:rsid w:val="6A411E5B"/>
    <w:rsid w:val="6A6F5CE6"/>
    <w:rsid w:val="6A6F5F93"/>
    <w:rsid w:val="6A786D8C"/>
    <w:rsid w:val="6AC81AC2"/>
    <w:rsid w:val="6AD00976"/>
    <w:rsid w:val="6AD2040A"/>
    <w:rsid w:val="6B0228A0"/>
    <w:rsid w:val="6B453FD7"/>
    <w:rsid w:val="6B485926"/>
    <w:rsid w:val="6B5031E8"/>
    <w:rsid w:val="6B5B576C"/>
    <w:rsid w:val="6B6B3BF6"/>
    <w:rsid w:val="6B6B40AC"/>
    <w:rsid w:val="6B707A3D"/>
    <w:rsid w:val="6B756C3F"/>
    <w:rsid w:val="6B7B1A68"/>
    <w:rsid w:val="6BA537D6"/>
    <w:rsid w:val="6BB1273B"/>
    <w:rsid w:val="6BB85D17"/>
    <w:rsid w:val="6BC10A5E"/>
    <w:rsid w:val="6BC82C73"/>
    <w:rsid w:val="6BDB75D3"/>
    <w:rsid w:val="6BDD77EF"/>
    <w:rsid w:val="6C0568F0"/>
    <w:rsid w:val="6C071FC4"/>
    <w:rsid w:val="6C103D4F"/>
    <w:rsid w:val="6C293773"/>
    <w:rsid w:val="6C2C7FB1"/>
    <w:rsid w:val="6C33740F"/>
    <w:rsid w:val="6C5B4CE2"/>
    <w:rsid w:val="6CB52336"/>
    <w:rsid w:val="6CF751FF"/>
    <w:rsid w:val="6CF94CF7"/>
    <w:rsid w:val="6D0B038C"/>
    <w:rsid w:val="6D460E78"/>
    <w:rsid w:val="6D484B52"/>
    <w:rsid w:val="6D535911"/>
    <w:rsid w:val="6D5B5D83"/>
    <w:rsid w:val="6D7878FB"/>
    <w:rsid w:val="6DAA1E78"/>
    <w:rsid w:val="6DB35E59"/>
    <w:rsid w:val="6DB535CA"/>
    <w:rsid w:val="6DBA6446"/>
    <w:rsid w:val="6DC64D96"/>
    <w:rsid w:val="6DE44E65"/>
    <w:rsid w:val="6DE61BA4"/>
    <w:rsid w:val="6DFF3A4C"/>
    <w:rsid w:val="6E1F5E9D"/>
    <w:rsid w:val="6E1F7C4B"/>
    <w:rsid w:val="6E6D2858"/>
    <w:rsid w:val="6E7D3EAA"/>
    <w:rsid w:val="6E8937B6"/>
    <w:rsid w:val="6E8C1058"/>
    <w:rsid w:val="6E8C4423"/>
    <w:rsid w:val="6E9A4229"/>
    <w:rsid w:val="6E9C129B"/>
    <w:rsid w:val="6EC47B07"/>
    <w:rsid w:val="6EEE1ED2"/>
    <w:rsid w:val="6EF9070E"/>
    <w:rsid w:val="6EFA2348"/>
    <w:rsid w:val="6EFC7DC4"/>
    <w:rsid w:val="6F65407A"/>
    <w:rsid w:val="6F902A70"/>
    <w:rsid w:val="6FBC32DD"/>
    <w:rsid w:val="6FE47D82"/>
    <w:rsid w:val="6FEB70E8"/>
    <w:rsid w:val="6FEE308D"/>
    <w:rsid w:val="6FFB46E7"/>
    <w:rsid w:val="70017D21"/>
    <w:rsid w:val="700E1F9E"/>
    <w:rsid w:val="701731A7"/>
    <w:rsid w:val="702678A4"/>
    <w:rsid w:val="704C285A"/>
    <w:rsid w:val="70756248"/>
    <w:rsid w:val="70957B36"/>
    <w:rsid w:val="70A90FD3"/>
    <w:rsid w:val="70BA2FFA"/>
    <w:rsid w:val="70F33611"/>
    <w:rsid w:val="70F57389"/>
    <w:rsid w:val="711573A9"/>
    <w:rsid w:val="71227C32"/>
    <w:rsid w:val="713A744C"/>
    <w:rsid w:val="7141561C"/>
    <w:rsid w:val="71465DA4"/>
    <w:rsid w:val="715A74D5"/>
    <w:rsid w:val="718E0763"/>
    <w:rsid w:val="71B50FA0"/>
    <w:rsid w:val="71C034F3"/>
    <w:rsid w:val="71D37FA9"/>
    <w:rsid w:val="720E0E5A"/>
    <w:rsid w:val="721E4D5F"/>
    <w:rsid w:val="721E6D0E"/>
    <w:rsid w:val="72381106"/>
    <w:rsid w:val="723E5522"/>
    <w:rsid w:val="7268421C"/>
    <w:rsid w:val="72A82C84"/>
    <w:rsid w:val="72AA61C2"/>
    <w:rsid w:val="72E17BC5"/>
    <w:rsid w:val="73050C51"/>
    <w:rsid w:val="73365D05"/>
    <w:rsid w:val="733F6D56"/>
    <w:rsid w:val="734168B5"/>
    <w:rsid w:val="73870838"/>
    <w:rsid w:val="739871D5"/>
    <w:rsid w:val="73993FFB"/>
    <w:rsid w:val="73AA21D8"/>
    <w:rsid w:val="73F11288"/>
    <w:rsid w:val="73F23F7B"/>
    <w:rsid w:val="74067081"/>
    <w:rsid w:val="741C1C19"/>
    <w:rsid w:val="743A210C"/>
    <w:rsid w:val="745B39A7"/>
    <w:rsid w:val="745C717D"/>
    <w:rsid w:val="745E05AD"/>
    <w:rsid w:val="746479B9"/>
    <w:rsid w:val="747249F6"/>
    <w:rsid w:val="74835184"/>
    <w:rsid w:val="74A4132C"/>
    <w:rsid w:val="74A964C0"/>
    <w:rsid w:val="74BA63C8"/>
    <w:rsid w:val="74BB7AF3"/>
    <w:rsid w:val="74C01A29"/>
    <w:rsid w:val="74DF38DF"/>
    <w:rsid w:val="74E00288"/>
    <w:rsid w:val="75311E5B"/>
    <w:rsid w:val="75461F61"/>
    <w:rsid w:val="75620818"/>
    <w:rsid w:val="75671607"/>
    <w:rsid w:val="75787206"/>
    <w:rsid w:val="7580642B"/>
    <w:rsid w:val="75874327"/>
    <w:rsid w:val="75952577"/>
    <w:rsid w:val="75A512B8"/>
    <w:rsid w:val="75BF77EE"/>
    <w:rsid w:val="75CB4B5C"/>
    <w:rsid w:val="75D70FF2"/>
    <w:rsid w:val="75F479B7"/>
    <w:rsid w:val="75FA1E0C"/>
    <w:rsid w:val="75FB3FF3"/>
    <w:rsid w:val="76186A30"/>
    <w:rsid w:val="762C31BE"/>
    <w:rsid w:val="763B7AB2"/>
    <w:rsid w:val="764535CC"/>
    <w:rsid w:val="7653467E"/>
    <w:rsid w:val="76BE3814"/>
    <w:rsid w:val="76D4359C"/>
    <w:rsid w:val="76F83A56"/>
    <w:rsid w:val="77194BA1"/>
    <w:rsid w:val="772B4ED2"/>
    <w:rsid w:val="772C579E"/>
    <w:rsid w:val="774540E9"/>
    <w:rsid w:val="77777E50"/>
    <w:rsid w:val="77935205"/>
    <w:rsid w:val="77A92C7B"/>
    <w:rsid w:val="77B647B1"/>
    <w:rsid w:val="77CB1D0B"/>
    <w:rsid w:val="77DC6181"/>
    <w:rsid w:val="77E50C60"/>
    <w:rsid w:val="77E652C6"/>
    <w:rsid w:val="77FF4B38"/>
    <w:rsid w:val="782563F5"/>
    <w:rsid w:val="78880F29"/>
    <w:rsid w:val="788E0646"/>
    <w:rsid w:val="788E6CF9"/>
    <w:rsid w:val="78986F77"/>
    <w:rsid w:val="78CA5B8B"/>
    <w:rsid w:val="790C1713"/>
    <w:rsid w:val="793E2D35"/>
    <w:rsid w:val="794723D1"/>
    <w:rsid w:val="7977267E"/>
    <w:rsid w:val="797926FA"/>
    <w:rsid w:val="7996531F"/>
    <w:rsid w:val="799948D8"/>
    <w:rsid w:val="79C334E0"/>
    <w:rsid w:val="7A120583"/>
    <w:rsid w:val="7A3241A6"/>
    <w:rsid w:val="7A3507F6"/>
    <w:rsid w:val="7AA6237E"/>
    <w:rsid w:val="7AAD0934"/>
    <w:rsid w:val="7AB67AD9"/>
    <w:rsid w:val="7ACA6A91"/>
    <w:rsid w:val="7ACE1913"/>
    <w:rsid w:val="7ADD76F1"/>
    <w:rsid w:val="7B033F47"/>
    <w:rsid w:val="7B0E23F7"/>
    <w:rsid w:val="7B316901"/>
    <w:rsid w:val="7B515EAC"/>
    <w:rsid w:val="7BAA251B"/>
    <w:rsid w:val="7BCB3A64"/>
    <w:rsid w:val="7BDC361F"/>
    <w:rsid w:val="7BEC1388"/>
    <w:rsid w:val="7C06770E"/>
    <w:rsid w:val="7C1C7EBF"/>
    <w:rsid w:val="7C6F65A8"/>
    <w:rsid w:val="7C832C2A"/>
    <w:rsid w:val="7C8E03A3"/>
    <w:rsid w:val="7C90112B"/>
    <w:rsid w:val="7C946125"/>
    <w:rsid w:val="7CAA7279"/>
    <w:rsid w:val="7CC32006"/>
    <w:rsid w:val="7CD35C4B"/>
    <w:rsid w:val="7CD67A48"/>
    <w:rsid w:val="7CE017BB"/>
    <w:rsid w:val="7CE335DB"/>
    <w:rsid w:val="7D0664BA"/>
    <w:rsid w:val="7D0821F2"/>
    <w:rsid w:val="7D2324BD"/>
    <w:rsid w:val="7D284FEE"/>
    <w:rsid w:val="7DBA0645"/>
    <w:rsid w:val="7DD276D6"/>
    <w:rsid w:val="7DE61A14"/>
    <w:rsid w:val="7E0D5970"/>
    <w:rsid w:val="7E2B4FF1"/>
    <w:rsid w:val="7E3566D4"/>
    <w:rsid w:val="7E367B16"/>
    <w:rsid w:val="7E3937A2"/>
    <w:rsid w:val="7E5A6E32"/>
    <w:rsid w:val="7E604E32"/>
    <w:rsid w:val="7EB443DF"/>
    <w:rsid w:val="7EC34539"/>
    <w:rsid w:val="7ECB34D7"/>
    <w:rsid w:val="7EFC5B0D"/>
    <w:rsid w:val="7F0215EE"/>
    <w:rsid w:val="7F3103EC"/>
    <w:rsid w:val="7F3777F1"/>
    <w:rsid w:val="7F4A08A0"/>
    <w:rsid w:val="7F5176FB"/>
    <w:rsid w:val="7F794FD4"/>
    <w:rsid w:val="7F8244DD"/>
    <w:rsid w:val="7FB97105"/>
    <w:rsid w:val="7FD650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4"/>
    <w:link w:val="61"/>
    <w:autoRedefine/>
    <w:qFormat/>
    <w:uiPriority w:val="0"/>
    <w:pPr>
      <w:keepNext/>
      <w:keepLines/>
      <w:spacing w:before="340" w:beforeLines="0" w:after="330" w:afterLines="0" w:line="578" w:lineRule="auto"/>
      <w:outlineLvl w:val="0"/>
    </w:pPr>
    <w:rPr>
      <w:kern w:val="44"/>
      <w:sz w:val="44"/>
      <w:szCs w:val="44"/>
    </w:rPr>
  </w:style>
  <w:style w:type="paragraph" w:styleId="5">
    <w:name w:val="heading 2"/>
    <w:basedOn w:val="1"/>
    <w:next w:val="1"/>
    <w:link w:val="138"/>
    <w:autoRedefine/>
    <w:qFormat/>
    <w:uiPriority w:val="0"/>
    <w:pPr>
      <w:keepNext/>
      <w:keepLines/>
      <w:spacing w:before="260" w:beforeLines="0" w:after="260" w:afterLines="0" w:line="416" w:lineRule="auto"/>
      <w:outlineLvl w:val="1"/>
    </w:pPr>
    <w:rPr>
      <w:rFonts w:ascii="Arial Black" w:hAnsi="Arial Black" w:eastAsia="黑体"/>
      <w:b/>
      <w:bCs/>
      <w:sz w:val="32"/>
      <w:szCs w:val="32"/>
    </w:rPr>
  </w:style>
  <w:style w:type="paragraph" w:styleId="6">
    <w:name w:val="heading 3"/>
    <w:basedOn w:val="1"/>
    <w:next w:val="1"/>
    <w:link w:val="149"/>
    <w:autoRedefine/>
    <w:qFormat/>
    <w:uiPriority w:val="0"/>
    <w:pPr>
      <w:keepNext/>
      <w:keepLines/>
      <w:spacing w:before="260" w:beforeLines="0" w:after="260" w:afterLines="0" w:line="416" w:lineRule="auto"/>
      <w:outlineLvl w:val="2"/>
    </w:pPr>
    <w:rPr>
      <w:rFonts w:eastAsia="宋体"/>
      <w:b/>
      <w:bCs/>
      <w:kern w:val="2"/>
      <w:sz w:val="32"/>
      <w:szCs w:val="32"/>
      <w:lang w:val="en-US" w:eastAsia="zh-CN" w:bidi="ar-SA"/>
    </w:rPr>
  </w:style>
  <w:style w:type="paragraph" w:styleId="7">
    <w:name w:val="heading 4"/>
    <w:basedOn w:val="1"/>
    <w:next w:val="1"/>
    <w:link w:val="145"/>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8">
    <w:name w:val="heading 5"/>
    <w:basedOn w:val="1"/>
    <w:next w:val="1"/>
    <w:link w:val="139"/>
    <w:autoRedefine/>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115"/>
    <w:autoRedefine/>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10">
    <w:name w:val="heading 7"/>
    <w:basedOn w:val="1"/>
    <w:next w:val="1"/>
    <w:link w:val="140"/>
    <w:autoRedefine/>
    <w:qFormat/>
    <w:uiPriority w:val="0"/>
    <w:pPr>
      <w:keepNext/>
      <w:keepLines/>
      <w:numPr>
        <w:ilvl w:val="6"/>
        <w:numId w:val="1"/>
      </w:numPr>
      <w:adjustRightInd w:val="0"/>
      <w:spacing w:before="240" w:after="64" w:line="320" w:lineRule="atLeast"/>
      <w:jc w:val="left"/>
      <w:textAlignment w:val="baseline"/>
      <w:outlineLvl w:val="6"/>
    </w:pPr>
    <w:rPr>
      <w:b/>
      <w:bCs/>
      <w:kern w:val="0"/>
      <w:sz w:val="24"/>
      <w:szCs w:val="24"/>
    </w:rPr>
  </w:style>
  <w:style w:type="paragraph" w:styleId="11">
    <w:name w:val="heading 8"/>
    <w:basedOn w:val="1"/>
    <w:next w:val="1"/>
    <w:link w:val="120"/>
    <w:autoRedefine/>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szCs w:val="24"/>
    </w:rPr>
  </w:style>
  <w:style w:type="paragraph" w:styleId="12">
    <w:name w:val="heading 9"/>
    <w:basedOn w:val="1"/>
    <w:next w:val="1"/>
    <w:link w:val="144"/>
    <w:autoRedefine/>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50">
    <w:name w:val="Default Paragraph Font"/>
    <w:link w:val="51"/>
    <w:autoRedefine/>
    <w:qFormat/>
    <w:uiPriority w:val="0"/>
    <w:rPr>
      <w:szCs w:val="21"/>
    </w:rPr>
  </w:style>
  <w:style w:type="table" w:default="1" w:styleId="48">
    <w:name w:val="Normal Table"/>
    <w:autoRedefine/>
    <w:semiHidden/>
    <w:qFormat/>
    <w:uiPriority w:val="0"/>
    <w:tblPr>
      <w:tblCellMar>
        <w:top w:w="0" w:type="dxa"/>
        <w:left w:w="108" w:type="dxa"/>
        <w:bottom w:w="0" w:type="dxa"/>
        <w:right w:w="108" w:type="dxa"/>
      </w:tblCellMar>
    </w:tblPr>
  </w:style>
  <w:style w:type="paragraph" w:styleId="2">
    <w:name w:val="index 6"/>
    <w:basedOn w:val="1"/>
    <w:next w:val="1"/>
    <w:qFormat/>
    <w:uiPriority w:val="99"/>
    <w:pPr>
      <w:ind w:left="2100"/>
    </w:pPr>
  </w:style>
  <w:style w:type="paragraph" w:customStyle="1" w:styleId="4">
    <w:name w:val="文本正文"/>
    <w:basedOn w:val="1"/>
    <w:autoRedefine/>
    <w:qFormat/>
    <w:uiPriority w:val="0"/>
    <w:pPr>
      <w:spacing w:afterLines="50"/>
      <w:ind w:firstLine="200" w:firstLineChars="200"/>
      <w:jc w:val="left"/>
    </w:pPr>
    <w:rPr>
      <w:rFonts w:ascii="Calibri" w:hAnsi="Calibri"/>
      <w:szCs w:val="22"/>
      <w:lang w:bidi="en-US"/>
    </w:rPr>
  </w:style>
  <w:style w:type="paragraph" w:styleId="13">
    <w:name w:val="List 3"/>
    <w:basedOn w:val="1"/>
    <w:autoRedefine/>
    <w:qFormat/>
    <w:uiPriority w:val="0"/>
    <w:pPr>
      <w:ind w:left="100" w:leftChars="400" w:hanging="200" w:hangingChars="200"/>
    </w:pPr>
    <w:rPr>
      <w:szCs w:val="24"/>
    </w:rPr>
  </w:style>
  <w:style w:type="paragraph" w:styleId="14">
    <w:name w:val="table of authorities"/>
    <w:basedOn w:val="1"/>
    <w:next w:val="1"/>
    <w:qFormat/>
    <w:uiPriority w:val="99"/>
    <w:pPr>
      <w:ind w:left="420" w:leftChars="200"/>
    </w:pPr>
  </w:style>
  <w:style w:type="paragraph" w:styleId="15">
    <w:name w:val="List Number"/>
    <w:basedOn w:val="1"/>
    <w:autoRedefine/>
    <w:qFormat/>
    <w:uiPriority w:val="0"/>
    <w:pPr>
      <w:numPr>
        <w:ilvl w:val="0"/>
        <w:numId w:val="2"/>
      </w:numPr>
    </w:pPr>
  </w:style>
  <w:style w:type="paragraph" w:styleId="16">
    <w:name w:val="Normal Indent"/>
    <w:basedOn w:val="1"/>
    <w:next w:val="1"/>
    <w:autoRedefine/>
    <w:qFormat/>
    <w:uiPriority w:val="0"/>
    <w:pPr>
      <w:adjustRightInd w:val="0"/>
      <w:ind w:firstLine="420"/>
    </w:pPr>
    <w:rPr>
      <w:rFonts w:eastAsia="楷体_GB2312"/>
      <w:sz w:val="24"/>
      <w:lang w:val="en-US" w:eastAsia="zh-CN" w:bidi="ar-SA"/>
    </w:rPr>
  </w:style>
  <w:style w:type="paragraph" w:styleId="17">
    <w:name w:val="caption"/>
    <w:basedOn w:val="1"/>
    <w:next w:val="1"/>
    <w:autoRedefine/>
    <w:qFormat/>
    <w:uiPriority w:val="0"/>
    <w:pPr>
      <w:spacing w:before="152" w:after="160"/>
    </w:pPr>
    <w:rPr>
      <w:rFonts w:ascii="Arial" w:hAnsi="Arial" w:eastAsia="黑体" w:cs="Arial"/>
      <w:sz w:val="20"/>
    </w:rPr>
  </w:style>
  <w:style w:type="paragraph" w:styleId="18">
    <w:name w:val="Document Map"/>
    <w:basedOn w:val="1"/>
    <w:link w:val="118"/>
    <w:autoRedefine/>
    <w:qFormat/>
    <w:uiPriority w:val="0"/>
    <w:pPr>
      <w:shd w:val="clear" w:color="auto" w:fill="000080"/>
    </w:pPr>
    <w:rPr>
      <w:szCs w:val="24"/>
    </w:rPr>
  </w:style>
  <w:style w:type="paragraph" w:styleId="19">
    <w:name w:val="toa heading"/>
    <w:basedOn w:val="1"/>
    <w:next w:val="1"/>
    <w:autoRedefine/>
    <w:qFormat/>
    <w:uiPriority w:val="0"/>
    <w:rPr>
      <w:rFonts w:ascii="Arial" w:hAnsi="Arial"/>
      <w:sz w:val="24"/>
    </w:rPr>
  </w:style>
  <w:style w:type="paragraph" w:styleId="20">
    <w:name w:val="annotation text"/>
    <w:basedOn w:val="1"/>
    <w:link w:val="101"/>
    <w:autoRedefine/>
    <w:qFormat/>
    <w:uiPriority w:val="0"/>
    <w:pPr>
      <w:jc w:val="left"/>
    </w:pPr>
  </w:style>
  <w:style w:type="paragraph" w:styleId="21">
    <w:name w:val="Body Text 3"/>
    <w:basedOn w:val="1"/>
    <w:link w:val="141"/>
    <w:autoRedefine/>
    <w:qFormat/>
    <w:uiPriority w:val="0"/>
    <w:pPr>
      <w:spacing w:after="120"/>
    </w:pPr>
    <w:rPr>
      <w:sz w:val="16"/>
      <w:szCs w:val="16"/>
    </w:rPr>
  </w:style>
  <w:style w:type="paragraph" w:styleId="22">
    <w:name w:val="Body Text"/>
    <w:basedOn w:val="1"/>
    <w:next w:val="23"/>
    <w:link w:val="132"/>
    <w:autoRedefine/>
    <w:qFormat/>
    <w:uiPriority w:val="0"/>
    <w:pPr>
      <w:spacing w:after="120"/>
    </w:pPr>
    <w:rPr>
      <w:szCs w:val="24"/>
    </w:rPr>
  </w:style>
  <w:style w:type="paragraph" w:customStyle="1" w:styleId="23">
    <w:name w:val="_Style 2"/>
    <w:basedOn w:val="1"/>
    <w:next w:val="1"/>
    <w:qFormat/>
    <w:uiPriority w:val="0"/>
    <w:pPr>
      <w:ind w:firstLine="200" w:firstLineChars="200"/>
    </w:pPr>
    <w:rPr>
      <w:rFonts w:ascii="Calibri" w:hAnsi="Calibri"/>
      <w:sz w:val="28"/>
      <w:szCs w:val="22"/>
    </w:rPr>
  </w:style>
  <w:style w:type="paragraph" w:styleId="24">
    <w:name w:val="Body Text Indent"/>
    <w:basedOn w:val="1"/>
    <w:next w:val="25"/>
    <w:link w:val="125"/>
    <w:autoRedefine/>
    <w:qFormat/>
    <w:uiPriority w:val="0"/>
    <w:pPr>
      <w:spacing w:line="360" w:lineRule="auto"/>
      <w:ind w:firstLine="560" w:firstLineChars="200"/>
    </w:pPr>
    <w:rPr>
      <w:sz w:val="28"/>
    </w:rPr>
  </w:style>
  <w:style w:type="paragraph" w:styleId="25">
    <w:name w:val="Normal (Web)"/>
    <w:basedOn w:val="1"/>
    <w:next w:val="1"/>
    <w:autoRedefine/>
    <w:qFormat/>
    <w:uiPriority w:val="0"/>
    <w:pPr>
      <w:spacing w:before="100" w:beforeLines="0" w:beforeAutospacing="1" w:after="100" w:afterLines="0" w:afterAutospacing="1"/>
      <w:jc w:val="left"/>
    </w:pPr>
    <w:rPr>
      <w:rFonts w:ascii="Calibri" w:hAnsi="Calibri"/>
      <w:kern w:val="0"/>
      <w:sz w:val="24"/>
      <w:szCs w:val="24"/>
    </w:rPr>
  </w:style>
  <w:style w:type="paragraph" w:styleId="26">
    <w:name w:val="List 2"/>
    <w:basedOn w:val="1"/>
    <w:autoRedefine/>
    <w:qFormat/>
    <w:uiPriority w:val="0"/>
    <w:pPr>
      <w:ind w:left="100" w:leftChars="200" w:hanging="200" w:hangingChars="200"/>
    </w:pPr>
    <w:rPr>
      <w:szCs w:val="24"/>
    </w:rPr>
  </w:style>
  <w:style w:type="paragraph" w:styleId="27">
    <w:name w:val="toc 3"/>
    <w:basedOn w:val="1"/>
    <w:next w:val="1"/>
    <w:autoRedefine/>
    <w:qFormat/>
    <w:uiPriority w:val="39"/>
    <w:pPr>
      <w:ind w:left="840" w:leftChars="400"/>
    </w:pPr>
    <w:rPr>
      <w:szCs w:val="24"/>
    </w:rPr>
  </w:style>
  <w:style w:type="paragraph" w:styleId="28">
    <w:name w:val="Plain Text"/>
    <w:basedOn w:val="1"/>
    <w:link w:val="121"/>
    <w:autoRedefine/>
    <w:qFormat/>
    <w:uiPriority w:val="0"/>
    <w:rPr>
      <w:rFonts w:ascii="宋体" w:hAnsi="Courier New"/>
    </w:rPr>
  </w:style>
  <w:style w:type="paragraph" w:styleId="29">
    <w:name w:val="Date"/>
    <w:basedOn w:val="1"/>
    <w:next w:val="1"/>
    <w:link w:val="135"/>
    <w:autoRedefine/>
    <w:qFormat/>
    <w:uiPriority w:val="0"/>
    <w:pPr>
      <w:ind w:left="100" w:leftChars="2500"/>
    </w:pPr>
    <w:rPr>
      <w:szCs w:val="24"/>
    </w:rPr>
  </w:style>
  <w:style w:type="paragraph" w:styleId="30">
    <w:name w:val="Body Text Indent 2"/>
    <w:basedOn w:val="1"/>
    <w:link w:val="143"/>
    <w:autoRedefine/>
    <w:qFormat/>
    <w:uiPriority w:val="0"/>
    <w:pPr>
      <w:spacing w:after="120" w:line="480" w:lineRule="auto"/>
      <w:ind w:left="420" w:leftChars="200"/>
    </w:pPr>
    <w:rPr>
      <w:szCs w:val="24"/>
    </w:rPr>
  </w:style>
  <w:style w:type="paragraph" w:styleId="31">
    <w:name w:val="Balloon Text"/>
    <w:basedOn w:val="1"/>
    <w:link w:val="142"/>
    <w:autoRedefine/>
    <w:qFormat/>
    <w:uiPriority w:val="0"/>
    <w:rPr>
      <w:sz w:val="18"/>
      <w:szCs w:val="18"/>
    </w:rPr>
  </w:style>
  <w:style w:type="paragraph" w:styleId="32">
    <w:name w:val="footer"/>
    <w:basedOn w:val="1"/>
    <w:link w:val="119"/>
    <w:autoRedefine/>
    <w:qFormat/>
    <w:uiPriority w:val="99"/>
    <w:pPr>
      <w:tabs>
        <w:tab w:val="center" w:pos="4153"/>
        <w:tab w:val="right" w:pos="8306"/>
      </w:tabs>
      <w:snapToGrid w:val="0"/>
      <w:jc w:val="left"/>
    </w:pPr>
    <w:rPr>
      <w:sz w:val="18"/>
      <w:szCs w:val="18"/>
    </w:rPr>
  </w:style>
  <w:style w:type="paragraph" w:styleId="33">
    <w:name w:val="envelope return"/>
    <w:basedOn w:val="1"/>
    <w:qFormat/>
    <w:uiPriority w:val="0"/>
    <w:pPr>
      <w:snapToGrid w:val="0"/>
      <w:spacing w:line="360" w:lineRule="auto"/>
    </w:pPr>
    <w:rPr>
      <w:rFonts w:ascii="Arial" w:hAnsi="Arial"/>
      <w:sz w:val="24"/>
    </w:rPr>
  </w:style>
  <w:style w:type="paragraph" w:styleId="34">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35">
    <w:name w:val="toc 1"/>
    <w:basedOn w:val="1"/>
    <w:next w:val="1"/>
    <w:autoRedefine/>
    <w:qFormat/>
    <w:uiPriority w:val="39"/>
    <w:rPr>
      <w:szCs w:val="24"/>
    </w:rPr>
  </w:style>
  <w:style w:type="paragraph" w:styleId="36">
    <w:name w:val="Subtitle"/>
    <w:basedOn w:val="1"/>
    <w:next w:val="1"/>
    <w:link w:val="130"/>
    <w:autoRedefine/>
    <w:qFormat/>
    <w:uiPriority w:val="0"/>
    <w:pPr>
      <w:spacing w:before="240" w:beforeLines="0" w:after="60" w:afterLines="0" w:line="312" w:lineRule="auto"/>
      <w:jc w:val="center"/>
      <w:outlineLvl w:val="1"/>
    </w:pPr>
    <w:rPr>
      <w:rFonts w:ascii="Cambria" w:hAnsi="Cambria"/>
      <w:b/>
      <w:bCs/>
      <w:kern w:val="28"/>
      <w:sz w:val="32"/>
      <w:szCs w:val="32"/>
    </w:rPr>
  </w:style>
  <w:style w:type="paragraph" w:styleId="37">
    <w:name w:val="List"/>
    <w:basedOn w:val="1"/>
    <w:autoRedefine/>
    <w:qFormat/>
    <w:uiPriority w:val="0"/>
    <w:pPr>
      <w:spacing w:before="312" w:beforeLines="100" w:line="360" w:lineRule="auto"/>
      <w:jc w:val="center"/>
    </w:pPr>
    <w:rPr>
      <w:rFonts w:ascii="宋体" w:hAnsi="宋体"/>
      <w:b/>
      <w:sz w:val="28"/>
      <w:szCs w:val="24"/>
    </w:rPr>
  </w:style>
  <w:style w:type="paragraph" w:styleId="38">
    <w:name w:val="footnote text"/>
    <w:basedOn w:val="1"/>
    <w:link w:val="129"/>
    <w:autoRedefine/>
    <w:qFormat/>
    <w:uiPriority w:val="0"/>
    <w:pPr>
      <w:adjustRightInd w:val="0"/>
      <w:spacing w:line="312" w:lineRule="atLeast"/>
      <w:textAlignment w:val="baseline"/>
    </w:pPr>
    <w:rPr>
      <w:kern w:val="0"/>
      <w:sz w:val="18"/>
    </w:rPr>
  </w:style>
  <w:style w:type="paragraph" w:styleId="39">
    <w:name w:val="Body Text Indent 3"/>
    <w:basedOn w:val="1"/>
    <w:link w:val="106"/>
    <w:autoRedefine/>
    <w:qFormat/>
    <w:uiPriority w:val="0"/>
    <w:pPr>
      <w:tabs>
        <w:tab w:val="left" w:pos="1134"/>
        <w:tab w:val="left" w:pos="5481"/>
        <w:tab w:val="left" w:pos="5859"/>
      </w:tabs>
      <w:spacing w:line="500" w:lineRule="exact"/>
      <w:ind w:firstLine="8275" w:firstLineChars="1200"/>
    </w:pPr>
    <w:rPr>
      <w:rFonts w:eastAsia="黑体"/>
      <w:b/>
      <w:bCs/>
      <w:sz w:val="72"/>
      <w:szCs w:val="24"/>
    </w:rPr>
  </w:style>
  <w:style w:type="paragraph" w:styleId="40">
    <w:name w:val="index 7"/>
    <w:basedOn w:val="1"/>
    <w:next w:val="1"/>
    <w:autoRedefine/>
    <w:qFormat/>
    <w:uiPriority w:val="0"/>
    <w:pPr>
      <w:ind w:left="1200" w:leftChars="1200"/>
    </w:pPr>
    <w:rPr>
      <w:szCs w:val="24"/>
    </w:rPr>
  </w:style>
  <w:style w:type="paragraph" w:styleId="41">
    <w:name w:val="toc 2"/>
    <w:basedOn w:val="1"/>
    <w:next w:val="1"/>
    <w:autoRedefine/>
    <w:qFormat/>
    <w:uiPriority w:val="39"/>
    <w:pPr>
      <w:ind w:left="420" w:leftChars="200"/>
    </w:pPr>
    <w:rPr>
      <w:szCs w:val="24"/>
    </w:rPr>
  </w:style>
  <w:style w:type="paragraph" w:styleId="42">
    <w:name w:val="Body Text 2"/>
    <w:basedOn w:val="1"/>
    <w:autoRedefine/>
    <w:qFormat/>
    <w:uiPriority w:val="0"/>
    <w:pPr>
      <w:autoSpaceDE w:val="0"/>
      <w:autoSpaceDN w:val="0"/>
      <w:adjustRightInd w:val="0"/>
      <w:jc w:val="center"/>
    </w:pPr>
    <w:rPr>
      <w:rFonts w:ascii="幼圆" w:eastAsia="幼圆"/>
      <w:b/>
      <w:bCs/>
      <w:color w:val="000000"/>
      <w:kern w:val="0"/>
      <w:sz w:val="72"/>
      <w:szCs w:val="44"/>
    </w:rPr>
  </w:style>
  <w:style w:type="paragraph" w:styleId="43">
    <w:name w:val="HTML Preformatted"/>
    <w:basedOn w:val="1"/>
    <w:link w:val="10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4">
    <w:name w:val="Title"/>
    <w:basedOn w:val="1"/>
    <w:next w:val="1"/>
    <w:link w:val="134"/>
    <w:autoRedefine/>
    <w:qFormat/>
    <w:uiPriority w:val="0"/>
    <w:pPr>
      <w:spacing w:before="240" w:after="60"/>
      <w:jc w:val="center"/>
      <w:outlineLvl w:val="0"/>
    </w:pPr>
    <w:rPr>
      <w:rFonts w:ascii="Cambria" w:hAnsi="Cambria"/>
      <w:b/>
      <w:bCs/>
      <w:sz w:val="32"/>
      <w:szCs w:val="32"/>
    </w:rPr>
  </w:style>
  <w:style w:type="paragraph" w:styleId="45">
    <w:name w:val="annotation subject"/>
    <w:basedOn w:val="20"/>
    <w:next w:val="20"/>
    <w:link w:val="114"/>
    <w:autoRedefine/>
    <w:qFormat/>
    <w:uiPriority w:val="0"/>
    <w:rPr>
      <w:b/>
      <w:bCs/>
      <w:szCs w:val="24"/>
    </w:rPr>
  </w:style>
  <w:style w:type="paragraph" w:styleId="46">
    <w:name w:val="Body Text First Indent"/>
    <w:basedOn w:val="22"/>
    <w:autoRedefine/>
    <w:qFormat/>
    <w:uiPriority w:val="0"/>
    <w:pPr>
      <w:tabs>
        <w:tab w:val="left" w:pos="9214"/>
      </w:tabs>
      <w:spacing w:after="0"/>
      <w:ind w:firstLine="200" w:firstLineChars="200"/>
    </w:pPr>
  </w:style>
  <w:style w:type="paragraph" w:styleId="47">
    <w:name w:val="Body Text First Indent 2"/>
    <w:basedOn w:val="24"/>
    <w:link w:val="124"/>
    <w:autoRedefine/>
    <w:qFormat/>
    <w:uiPriority w:val="0"/>
    <w:pPr>
      <w:ind w:left="1588" w:leftChars="832" w:firstLine="433"/>
    </w:pPr>
    <w:rPr>
      <w:rFonts w:eastAsia="仿宋_GB2312"/>
      <w:spacing w:val="15"/>
      <w:kern w:val="10"/>
      <w:sz w:val="24"/>
      <w:szCs w:val="24"/>
    </w:rPr>
  </w:style>
  <w:style w:type="table" w:styleId="49">
    <w:name w:val="Table Grid"/>
    <w:basedOn w:val="4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
    <w:name w:val="Char Char Char Char"/>
    <w:basedOn w:val="1"/>
    <w:link w:val="50"/>
    <w:autoRedefine/>
    <w:qFormat/>
    <w:uiPriority w:val="0"/>
    <w:rPr>
      <w:szCs w:val="21"/>
    </w:rPr>
  </w:style>
  <w:style w:type="character" w:styleId="52">
    <w:name w:val="Strong"/>
    <w:basedOn w:val="50"/>
    <w:autoRedefine/>
    <w:qFormat/>
    <w:uiPriority w:val="0"/>
    <w:rPr>
      <w:b/>
      <w:bCs/>
    </w:rPr>
  </w:style>
  <w:style w:type="character" w:styleId="53">
    <w:name w:val="page number"/>
    <w:basedOn w:val="50"/>
    <w:autoRedefine/>
    <w:qFormat/>
    <w:uiPriority w:val="0"/>
  </w:style>
  <w:style w:type="character" w:styleId="54">
    <w:name w:val="Emphasis"/>
    <w:basedOn w:val="50"/>
    <w:autoRedefine/>
    <w:qFormat/>
    <w:uiPriority w:val="0"/>
    <w:rPr>
      <w:i/>
    </w:rPr>
  </w:style>
  <w:style w:type="character" w:styleId="55">
    <w:name w:val="Hyperlink"/>
    <w:basedOn w:val="50"/>
    <w:autoRedefine/>
    <w:qFormat/>
    <w:uiPriority w:val="99"/>
    <w:rPr>
      <w:color w:val="0000FF"/>
      <w:u w:val="single"/>
    </w:rPr>
  </w:style>
  <w:style w:type="character" w:styleId="56">
    <w:name w:val="annotation reference"/>
    <w:autoRedefine/>
    <w:qFormat/>
    <w:uiPriority w:val="0"/>
    <w:rPr>
      <w:sz w:val="21"/>
      <w:szCs w:val="21"/>
    </w:rPr>
  </w:style>
  <w:style w:type="paragraph" w:customStyle="1" w:styleId="5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8">
    <w:name w:val="NormalIndent"/>
    <w:basedOn w:val="1"/>
    <w:next w:val="1"/>
    <w:autoRedefine/>
    <w:qFormat/>
    <w:uiPriority w:val="0"/>
    <w:pPr>
      <w:ind w:firstLine="420" w:firstLineChars="200"/>
    </w:pPr>
    <w:rPr>
      <w:sz w:val="24"/>
      <w:szCs w:val="20"/>
    </w:rPr>
  </w:style>
  <w:style w:type="paragraph" w:customStyle="1" w:styleId="59">
    <w:name w:val="样式1"/>
    <w:basedOn w:val="60"/>
    <w:next w:val="7"/>
    <w:autoRedefine/>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60">
    <w:name w:val="toa heading"/>
    <w:basedOn w:val="1"/>
    <w:next w:val="1"/>
    <w:qFormat/>
    <w:uiPriority w:val="0"/>
    <w:rPr>
      <w:rFonts w:ascii="Arial" w:hAnsi="Arial"/>
      <w:sz w:val="24"/>
    </w:rPr>
  </w:style>
  <w:style w:type="character" w:customStyle="1" w:styleId="61">
    <w:name w:val="标题 1 Char"/>
    <w:link w:val="3"/>
    <w:autoRedefine/>
    <w:qFormat/>
    <w:uiPriority w:val="0"/>
    <w:rPr>
      <w:b/>
      <w:bCs/>
      <w:kern w:val="44"/>
      <w:sz w:val="44"/>
      <w:szCs w:val="44"/>
    </w:rPr>
  </w:style>
  <w:style w:type="paragraph" w:customStyle="1" w:styleId="62">
    <w:name w:val="_Style 5"/>
    <w:basedOn w:val="1"/>
    <w:autoRedefine/>
    <w:qFormat/>
    <w:uiPriority w:val="0"/>
    <w:pPr>
      <w:tabs>
        <w:tab w:val="left" w:pos="360"/>
      </w:tabs>
      <w:ind w:firstLine="420" w:firstLineChars="150"/>
    </w:pPr>
    <w:rPr>
      <w:rFonts w:ascii="Arial" w:hAnsi="Arial" w:cs="Arial"/>
      <w:sz w:val="20"/>
    </w:rPr>
  </w:style>
  <w:style w:type="paragraph" w:customStyle="1" w:styleId="63">
    <w:name w:val="WPSOffice手动目录 1"/>
    <w:autoRedefine/>
    <w:qFormat/>
    <w:uiPriority w:val="0"/>
    <w:rPr>
      <w:rFonts w:ascii="Times New Roman" w:hAnsi="Times New Roman" w:eastAsia="宋体" w:cs="Times New Roman"/>
      <w:lang w:val="en-US" w:eastAsia="zh-CN" w:bidi="ar-SA"/>
    </w:rPr>
  </w:style>
  <w:style w:type="paragraph" w:customStyle="1" w:styleId="64">
    <w:name w:val="pa-7"/>
    <w:basedOn w:val="1"/>
    <w:autoRedefine/>
    <w:qFormat/>
    <w:uiPriority w:val="0"/>
    <w:pPr>
      <w:widowControl/>
      <w:spacing w:before="150" w:beforeLines="0" w:after="150" w:afterLines="0"/>
      <w:jc w:val="left"/>
    </w:pPr>
    <w:rPr>
      <w:rFonts w:ascii="宋体" w:hAnsi="宋体" w:cs="宋体"/>
      <w:kern w:val="0"/>
      <w:sz w:val="24"/>
      <w:szCs w:val="24"/>
    </w:rPr>
  </w:style>
  <w:style w:type="paragraph" w:customStyle="1" w:styleId="65">
    <w:name w:val="Char Char Char Char Char Char"/>
    <w:basedOn w:val="18"/>
    <w:autoRedefine/>
    <w:qFormat/>
    <w:uiPriority w:val="0"/>
    <w:rPr>
      <w:rFonts w:ascii="Tahoma" w:hAnsi="Tahoma"/>
      <w:sz w:val="24"/>
    </w:rPr>
  </w:style>
  <w:style w:type="paragraph" w:customStyle="1" w:styleId="66">
    <w:name w:val="缺省文本"/>
    <w:autoRedefine/>
    <w:qFormat/>
    <w:uiPriority w:val="99"/>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67">
    <w:name w:val="p16"/>
    <w:basedOn w:val="1"/>
    <w:autoRedefine/>
    <w:qFormat/>
    <w:uiPriority w:val="0"/>
    <w:pPr>
      <w:widowControl/>
    </w:pPr>
    <w:rPr>
      <w:kern w:val="0"/>
      <w:szCs w:val="21"/>
    </w:rPr>
  </w:style>
  <w:style w:type="paragraph" w:customStyle="1" w:styleId="68">
    <w:name w:val="WPSOffice手动目录 2"/>
    <w:autoRedefine/>
    <w:qFormat/>
    <w:uiPriority w:val="0"/>
    <w:pPr>
      <w:ind w:leftChars="200"/>
    </w:pPr>
    <w:rPr>
      <w:rFonts w:ascii="Times New Roman" w:hAnsi="Times New Roman" w:eastAsia="宋体" w:cs="Times New Roman"/>
      <w:sz w:val="20"/>
      <w:szCs w:val="20"/>
    </w:rPr>
  </w:style>
  <w:style w:type="paragraph" w:customStyle="1" w:styleId="69">
    <w:name w:val="段"/>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70">
    <w:name w:val=" Char Char Char Char"/>
    <w:basedOn w:val="1"/>
    <w:autoRedefine/>
    <w:qFormat/>
    <w:uiPriority w:val="0"/>
    <w:pPr>
      <w:tabs>
        <w:tab w:val="left" w:pos="360"/>
      </w:tabs>
      <w:ind w:firstLine="420" w:firstLineChars="150"/>
    </w:pPr>
    <w:rPr>
      <w:rFonts w:ascii="Arial" w:hAnsi="Arial" w:cs="Arial"/>
      <w:sz w:val="20"/>
    </w:rPr>
  </w:style>
  <w:style w:type="paragraph" w:customStyle="1" w:styleId="71">
    <w:name w:val="Plain Text1"/>
    <w:basedOn w:val="1"/>
    <w:autoRedefine/>
    <w:qFormat/>
    <w:uiPriority w:val="99"/>
    <w:rPr>
      <w:rFonts w:ascii="宋体" w:hAnsi="Courier New"/>
    </w:rPr>
  </w:style>
  <w:style w:type="paragraph" w:customStyle="1" w:styleId="72">
    <w:name w:val="Char Char Char"/>
    <w:basedOn w:val="1"/>
    <w:autoRedefine/>
    <w:qFormat/>
    <w:uiPriority w:val="0"/>
    <w:pPr>
      <w:widowControl/>
      <w:spacing w:after="160" w:line="240" w:lineRule="exact"/>
      <w:jc w:val="left"/>
    </w:pPr>
    <w:rPr>
      <w:szCs w:val="24"/>
    </w:rPr>
  </w:style>
  <w:style w:type="paragraph" w:customStyle="1" w:styleId="73">
    <w:name w:val="正文缩进1"/>
    <w:basedOn w:val="1"/>
    <w:autoRedefine/>
    <w:qFormat/>
    <w:uiPriority w:val="0"/>
    <w:pPr>
      <w:autoSpaceDE w:val="0"/>
      <w:autoSpaceDN w:val="0"/>
      <w:adjustRightInd w:val="0"/>
      <w:ind w:firstLine="420"/>
    </w:pPr>
    <w:rPr>
      <w:rFonts w:ascii="宋体" w:hAnsi="Calibri"/>
      <w:szCs w:val="22"/>
    </w:rPr>
  </w:style>
  <w:style w:type="paragraph" w:customStyle="1" w:styleId="74">
    <w:name w:val="Normal"/>
    <w:autoRedefine/>
    <w:qFormat/>
    <w:uiPriority w:val="0"/>
    <w:rPr>
      <w:rFonts w:ascii="Times New Roman" w:hAnsi="Times New Roman" w:eastAsia="Times New Roman" w:cs="Times New Roman"/>
      <w:sz w:val="24"/>
      <w:szCs w:val="24"/>
      <w:lang w:val="en-US" w:eastAsia="zh-CN" w:bidi="ar-SA"/>
    </w:rPr>
  </w:style>
  <w:style w:type="paragraph" w:customStyle="1" w:styleId="75">
    <w:name w:val="List 2"/>
    <w:basedOn w:val="1"/>
    <w:autoRedefine/>
    <w:qFormat/>
    <w:uiPriority w:val="0"/>
    <w:pPr>
      <w:spacing w:beforeAutospacing="1" w:afterAutospacing="1" w:line="360" w:lineRule="auto"/>
      <w:ind w:left="100" w:leftChars="200" w:hanging="200" w:hangingChars="200"/>
      <w:contextualSpacing/>
    </w:pPr>
    <w:rPr>
      <w:sz w:val="24"/>
    </w:rPr>
  </w:style>
  <w:style w:type="paragraph" w:customStyle="1" w:styleId="76">
    <w:name w:val="_Style 62"/>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7">
    <w:name w:val="_Style 7"/>
    <w:basedOn w:val="1"/>
    <w:autoRedefine/>
    <w:qFormat/>
    <w:uiPriority w:val="0"/>
    <w:pPr>
      <w:tabs>
        <w:tab w:val="left" w:pos="360"/>
      </w:tabs>
      <w:ind w:firstLine="420" w:firstLineChars="150"/>
    </w:pPr>
    <w:rPr>
      <w:rFonts w:ascii="Arial" w:hAnsi="Arial" w:cs="Arial"/>
      <w:sz w:val="20"/>
    </w:rPr>
  </w:style>
  <w:style w:type="paragraph" w:customStyle="1" w:styleId="78">
    <w:name w:val="_Style 11"/>
    <w:basedOn w:val="1"/>
    <w:autoRedefine/>
    <w:qFormat/>
    <w:uiPriority w:val="0"/>
    <w:pPr>
      <w:tabs>
        <w:tab w:val="left" w:pos="360"/>
      </w:tabs>
      <w:ind w:firstLine="420" w:firstLineChars="150"/>
    </w:pPr>
    <w:rPr>
      <w:rFonts w:ascii="Arial" w:hAnsi="Arial" w:cs="Arial"/>
      <w:sz w:val="20"/>
    </w:rPr>
  </w:style>
  <w:style w:type="paragraph" w:customStyle="1" w:styleId="79">
    <w:name w:val="p15"/>
    <w:basedOn w:val="1"/>
    <w:autoRedefine/>
    <w:qFormat/>
    <w:uiPriority w:val="0"/>
    <w:pPr>
      <w:widowControl/>
    </w:pPr>
    <w:rPr>
      <w:rFonts w:ascii="宋体" w:hAnsi="宋体" w:cs="宋体"/>
      <w:kern w:val="0"/>
      <w:szCs w:val="21"/>
    </w:rPr>
  </w:style>
  <w:style w:type="paragraph" w:customStyle="1" w:styleId="80">
    <w:name w:val="正文_0_0"/>
    <w:autoRedefine/>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81">
    <w:name w:val="正文1"/>
    <w:basedOn w:val="1"/>
    <w:autoRedefine/>
    <w:qFormat/>
    <w:uiPriority w:val="0"/>
    <w:pPr>
      <w:spacing w:before="156" w:beforeLines="50" w:line="360" w:lineRule="auto"/>
      <w:ind w:firstLine="420" w:firstLineChars="200"/>
    </w:pPr>
    <w:rPr>
      <w:rFonts w:ascii="宋体" w:hAnsi="宋体"/>
      <w:iCs/>
      <w:szCs w:val="21"/>
    </w:rPr>
  </w:style>
  <w:style w:type="paragraph" w:customStyle="1" w:styleId="82">
    <w:name w:val="样式 标题 2 + 宋体 五号 非加粗 黑色"/>
    <w:basedOn w:val="5"/>
    <w:autoRedefine/>
    <w:qFormat/>
    <w:uiPriority w:val="0"/>
    <w:pPr>
      <w:numPr>
        <w:ilvl w:val="1"/>
        <w:numId w:val="1"/>
      </w:numPr>
      <w:adjustRightInd w:val="0"/>
      <w:spacing w:line="416" w:lineRule="atLeast"/>
      <w:jc w:val="left"/>
      <w:textAlignment w:val="baseline"/>
    </w:pPr>
    <w:rPr>
      <w:rFonts w:ascii="宋体" w:hAnsi="宋体" w:eastAsia="宋体"/>
      <w:b w:val="0"/>
      <w:bCs w:val="0"/>
      <w:color w:val="000000"/>
      <w:kern w:val="0"/>
      <w:sz w:val="21"/>
    </w:rPr>
  </w:style>
  <w:style w:type="paragraph" w:customStyle="1" w:styleId="83">
    <w:name w:val="正文序号 1"/>
    <w:basedOn w:val="1"/>
    <w:autoRedefine/>
    <w:qFormat/>
    <w:uiPriority w:val="0"/>
    <w:pPr>
      <w:numPr>
        <w:ilvl w:val="0"/>
        <w:numId w:val="3"/>
      </w:numPr>
      <w:tabs>
        <w:tab w:val="left" w:pos="502"/>
        <w:tab w:val="left" w:pos="839"/>
      </w:tabs>
      <w:spacing w:before="60"/>
    </w:pPr>
    <w:rPr>
      <w:szCs w:val="24"/>
    </w:rPr>
  </w:style>
  <w:style w:type="paragraph" w:customStyle="1" w:styleId="84">
    <w:name w:val="p0"/>
    <w:basedOn w:val="1"/>
    <w:autoRedefine/>
    <w:qFormat/>
    <w:uiPriority w:val="0"/>
    <w:pPr>
      <w:widowControl/>
      <w:jc w:val="left"/>
    </w:pPr>
    <w:rPr>
      <w:kern w:val="0"/>
      <w:szCs w:val="21"/>
    </w:rPr>
  </w:style>
  <w:style w:type="paragraph" w:customStyle="1" w:styleId="85">
    <w:name w:val="Char Char2"/>
    <w:basedOn w:val="1"/>
    <w:autoRedefine/>
    <w:qFormat/>
    <w:uiPriority w:val="0"/>
    <w:pPr>
      <w:widowControl/>
      <w:spacing w:after="160" w:line="240" w:lineRule="exact"/>
      <w:jc w:val="left"/>
    </w:pPr>
    <w:rPr>
      <w:rFonts w:ascii="Verdana" w:hAnsi="Verdana"/>
      <w:kern w:val="0"/>
      <w:sz w:val="20"/>
      <w:lang w:eastAsia="en-US"/>
    </w:rPr>
  </w:style>
  <w:style w:type="paragraph" w:customStyle="1" w:styleId="86">
    <w:name w:val="样式 标题 4 + 段前: 5 磅 段后: 5 磅 行距: 单倍行距"/>
    <w:basedOn w:val="7"/>
    <w:autoRedefine/>
    <w:qFormat/>
    <w:uiPriority w:val="0"/>
    <w:pPr>
      <w:spacing w:before="100" w:after="100" w:line="240" w:lineRule="auto"/>
    </w:pPr>
    <w:rPr>
      <w:rFonts w:cs="宋体"/>
      <w:szCs w:val="20"/>
    </w:rPr>
  </w:style>
  <w:style w:type="paragraph" w:customStyle="1" w:styleId="87">
    <w:name w:val=" Char"/>
    <w:basedOn w:val="1"/>
    <w:autoRedefine/>
    <w:qFormat/>
    <w:uiPriority w:val="0"/>
    <w:pPr>
      <w:widowControl/>
      <w:spacing w:after="160" w:afterLines="0" w:line="240" w:lineRule="exact"/>
      <w:jc w:val="left"/>
    </w:pPr>
    <w:rPr>
      <w:rFonts w:ascii="Verdana" w:hAnsi="Verdana" w:cs="Verdana"/>
      <w:kern w:val="0"/>
      <w:szCs w:val="21"/>
      <w:lang w:eastAsia="en-US"/>
    </w:rPr>
  </w:style>
  <w:style w:type="paragraph" w:customStyle="1" w:styleId="88">
    <w:name w:val="列出段落1"/>
    <w:basedOn w:val="1"/>
    <w:autoRedefine/>
    <w:qFormat/>
    <w:uiPriority w:val="34"/>
    <w:pPr>
      <w:ind w:firstLine="420" w:firstLineChars="200"/>
    </w:pPr>
  </w:style>
  <w:style w:type="paragraph" w:customStyle="1" w:styleId="89">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0">
    <w:name w:val="Char"/>
    <w:basedOn w:val="1"/>
    <w:autoRedefine/>
    <w:qFormat/>
    <w:uiPriority w:val="0"/>
    <w:pPr>
      <w:tabs>
        <w:tab w:val="left" w:pos="360"/>
      </w:tabs>
      <w:spacing w:line="360" w:lineRule="auto"/>
      <w:ind w:firstLine="480" w:firstLineChars="200"/>
    </w:pPr>
    <w:rPr>
      <w:rFonts w:ascii="楷体_GB2312" w:eastAsia="楷体_GB2312"/>
      <w:sz w:val="24"/>
      <w:szCs w:val="24"/>
    </w:rPr>
  </w:style>
  <w:style w:type="paragraph" w:customStyle="1" w:styleId="91">
    <w:name w:val="表头文本"/>
    <w:basedOn w:val="1"/>
    <w:autoRedefine/>
    <w:qFormat/>
    <w:uiPriority w:val="0"/>
    <w:pPr>
      <w:autoSpaceDE w:val="0"/>
      <w:autoSpaceDN w:val="0"/>
      <w:adjustRightInd w:val="0"/>
      <w:jc w:val="center"/>
    </w:pPr>
    <w:rPr>
      <w:b/>
      <w:kern w:val="0"/>
      <w:sz w:val="24"/>
    </w:rPr>
  </w:style>
  <w:style w:type="paragraph" w:customStyle="1" w:styleId="92">
    <w:name w:val="默认段落字体 Para Char Char Char Char Char Char Char Char Char Char Char Char Char Char Char Char"/>
    <w:basedOn w:val="1"/>
    <w:autoRedefine/>
    <w:qFormat/>
    <w:uiPriority w:val="0"/>
    <w:rPr>
      <w:rFonts w:ascii="Tahoma" w:hAnsi="Tahoma"/>
      <w:sz w:val="24"/>
    </w:rPr>
  </w:style>
  <w:style w:type="paragraph" w:customStyle="1" w:styleId="93">
    <w:name w:val="_Style 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正文样式2"/>
    <w:basedOn w:val="1"/>
    <w:autoRedefine/>
    <w:qFormat/>
    <w:uiPriority w:val="0"/>
    <w:pPr>
      <w:spacing w:line="560" w:lineRule="exact"/>
      <w:ind w:firstLine="601"/>
    </w:pPr>
    <w:rPr>
      <w:rFonts w:eastAsia="宋体"/>
      <w:kern w:val="2"/>
      <w:sz w:val="28"/>
      <w:lang w:val="en-US" w:eastAsia="zh-CN" w:bidi="ar-SA"/>
    </w:rPr>
  </w:style>
  <w:style w:type="paragraph" w:customStyle="1" w:styleId="95">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6">
    <w:name w:val="标题 3_0"/>
    <w:basedOn w:val="80"/>
    <w:next w:val="80"/>
    <w:link w:val="127"/>
    <w:autoRedefine/>
    <w:qFormat/>
    <w:uiPriority w:val="0"/>
    <w:pPr>
      <w:autoSpaceDE w:val="0"/>
      <w:autoSpaceDN w:val="0"/>
      <w:adjustRightInd w:val="0"/>
      <w:spacing w:line="500" w:lineRule="exact"/>
      <w:jc w:val="center"/>
      <w:outlineLvl w:val="2"/>
    </w:pPr>
    <w:rPr>
      <w:rFonts w:ascii="宋体" w:hAnsi="宋体"/>
      <w:b/>
      <w:szCs w:val="28"/>
    </w:rPr>
  </w:style>
  <w:style w:type="paragraph" w:customStyle="1" w:styleId="97">
    <w:name w:val="附件正文"/>
    <w:basedOn w:val="1"/>
    <w:autoRedefine/>
    <w:qFormat/>
    <w:uiPriority w:val="0"/>
    <w:pPr>
      <w:snapToGrid w:val="0"/>
      <w:spacing w:line="500" w:lineRule="exact"/>
      <w:ind w:firstLine="540" w:firstLineChars="225"/>
    </w:pPr>
    <w:rPr>
      <w:kern w:val="0"/>
      <w:sz w:val="24"/>
      <w:szCs w:val="24"/>
    </w:rPr>
  </w:style>
  <w:style w:type="paragraph" w:styleId="98">
    <w:name w:val="List Paragraph"/>
    <w:basedOn w:val="1"/>
    <w:autoRedefine/>
    <w:qFormat/>
    <w:uiPriority w:val="0"/>
    <w:pPr>
      <w:ind w:firstLine="420" w:firstLineChars="200"/>
    </w:pPr>
    <w:rPr>
      <w:rFonts w:ascii="Calibri" w:hAnsi="Calibri"/>
      <w:szCs w:val="22"/>
    </w:rPr>
  </w:style>
  <w:style w:type="paragraph" w:customStyle="1" w:styleId="99">
    <w:name w:val="正文文字"/>
    <w:basedOn w:val="1"/>
    <w:link w:val="126"/>
    <w:autoRedefine/>
    <w:qFormat/>
    <w:uiPriority w:val="0"/>
    <w:pPr>
      <w:widowControl/>
      <w:spacing w:line="2375" w:lineRule="atLeast"/>
      <w:ind w:firstLine="419"/>
      <w:textAlignment w:val="baseline"/>
    </w:pPr>
    <w:rPr>
      <w:rFonts w:ascii="宋体"/>
      <w:color w:val="000000"/>
      <w:kern w:val="0"/>
      <w:sz w:val="28"/>
      <w:u w:val="none" w:color="000000"/>
    </w:rPr>
  </w:style>
  <w:style w:type="paragraph" w:customStyle="1" w:styleId="100">
    <w:name w:val="WPSOffice手动目录 3"/>
    <w:autoRedefine/>
    <w:qFormat/>
    <w:uiPriority w:val="0"/>
    <w:pPr>
      <w:ind w:leftChars="400"/>
    </w:pPr>
    <w:rPr>
      <w:rFonts w:ascii="Times New Roman" w:hAnsi="Times New Roman" w:eastAsia="宋体" w:cs="Times New Roman"/>
      <w:sz w:val="20"/>
      <w:szCs w:val="20"/>
    </w:rPr>
  </w:style>
  <w:style w:type="character" w:customStyle="1" w:styleId="101">
    <w:name w:val="批注文字 Char1"/>
    <w:basedOn w:val="50"/>
    <w:link w:val="20"/>
    <w:autoRedefine/>
    <w:qFormat/>
    <w:uiPriority w:val="0"/>
    <w:rPr>
      <w:kern w:val="2"/>
      <w:sz w:val="21"/>
    </w:rPr>
  </w:style>
  <w:style w:type="character" w:customStyle="1" w:styleId="102">
    <w:name w:val="批注文字 Char"/>
    <w:autoRedefine/>
    <w:qFormat/>
    <w:uiPriority w:val="0"/>
    <w:rPr>
      <w:rFonts w:eastAsia="宋体"/>
      <w:kern w:val="2"/>
      <w:sz w:val="21"/>
      <w:szCs w:val="24"/>
      <w:lang w:val="en-US" w:eastAsia="zh-CN" w:bidi="ar-SA"/>
    </w:rPr>
  </w:style>
  <w:style w:type="character" w:customStyle="1" w:styleId="103">
    <w:name w:val="font41"/>
    <w:basedOn w:val="50"/>
    <w:autoRedefine/>
    <w:qFormat/>
    <w:uiPriority w:val="0"/>
    <w:rPr>
      <w:rFonts w:hint="eastAsia" w:ascii="宋体" w:hAnsi="宋体" w:eastAsia="宋体" w:cs="宋体"/>
      <w:color w:val="000000"/>
      <w:sz w:val="20"/>
      <w:szCs w:val="20"/>
      <w:u w:val="none"/>
    </w:rPr>
  </w:style>
  <w:style w:type="character" w:customStyle="1" w:styleId="104">
    <w:name w:val="font141"/>
    <w:basedOn w:val="50"/>
    <w:autoRedefine/>
    <w:qFormat/>
    <w:uiPriority w:val="0"/>
    <w:rPr>
      <w:rFonts w:hint="eastAsia" w:ascii="宋体" w:hAnsi="宋体" w:eastAsia="宋体" w:cs="宋体"/>
      <w:color w:val="000000"/>
      <w:sz w:val="24"/>
      <w:szCs w:val="24"/>
      <w:u w:val="none"/>
    </w:rPr>
  </w:style>
  <w:style w:type="character" w:customStyle="1" w:styleId="105">
    <w:name w:val="font51"/>
    <w:basedOn w:val="50"/>
    <w:autoRedefine/>
    <w:qFormat/>
    <w:uiPriority w:val="0"/>
    <w:rPr>
      <w:rFonts w:hint="eastAsia" w:ascii="宋体" w:hAnsi="宋体" w:eastAsia="宋体" w:cs="宋体"/>
      <w:color w:val="FF0000"/>
      <w:sz w:val="20"/>
      <w:szCs w:val="20"/>
      <w:u w:val="none"/>
    </w:rPr>
  </w:style>
  <w:style w:type="character" w:customStyle="1" w:styleId="106">
    <w:name w:val="正文文本缩进 3 Char"/>
    <w:basedOn w:val="50"/>
    <w:link w:val="39"/>
    <w:autoRedefine/>
    <w:qFormat/>
    <w:uiPriority w:val="0"/>
    <w:rPr>
      <w:rFonts w:eastAsia="黑体"/>
      <w:b/>
      <w:bCs/>
      <w:kern w:val="2"/>
      <w:sz w:val="72"/>
      <w:szCs w:val="24"/>
    </w:rPr>
  </w:style>
  <w:style w:type="character" w:customStyle="1" w:styleId="107">
    <w:name w:val="HTML 预设格式 Char"/>
    <w:basedOn w:val="50"/>
    <w:link w:val="43"/>
    <w:autoRedefine/>
    <w:qFormat/>
    <w:uiPriority w:val="0"/>
    <w:rPr>
      <w:rFonts w:ascii="宋体" w:hAnsi="宋体"/>
      <w:sz w:val="24"/>
      <w:szCs w:val="24"/>
    </w:rPr>
  </w:style>
  <w:style w:type="character" w:customStyle="1" w:styleId="108">
    <w:name w:val="font31"/>
    <w:basedOn w:val="50"/>
    <w:autoRedefine/>
    <w:qFormat/>
    <w:uiPriority w:val="0"/>
    <w:rPr>
      <w:rFonts w:hint="eastAsia" w:ascii="宋体" w:hAnsi="宋体" w:eastAsia="宋体" w:cs="宋体"/>
      <w:color w:val="000000"/>
      <w:sz w:val="16"/>
      <w:szCs w:val="16"/>
      <w:u w:val="none"/>
    </w:rPr>
  </w:style>
  <w:style w:type="character" w:customStyle="1" w:styleId="109">
    <w:name w:val="标题 3 Char"/>
    <w:basedOn w:val="50"/>
    <w:link w:val="6"/>
    <w:autoRedefine/>
    <w:qFormat/>
    <w:uiPriority w:val="0"/>
    <w:rPr>
      <w:b/>
      <w:bCs/>
      <w:kern w:val="2"/>
      <w:sz w:val="32"/>
      <w:szCs w:val="32"/>
    </w:rPr>
  </w:style>
  <w:style w:type="character" w:customStyle="1" w:styleId="110">
    <w:name w:val="正文文本缩进 Char"/>
    <w:autoRedefine/>
    <w:qFormat/>
    <w:uiPriority w:val="0"/>
    <w:rPr>
      <w:rFonts w:eastAsia="宋体"/>
      <w:kern w:val="2"/>
      <w:sz w:val="24"/>
      <w:szCs w:val="24"/>
      <w:lang w:val="en-US" w:eastAsia="zh-CN" w:bidi="ar-SA"/>
    </w:rPr>
  </w:style>
  <w:style w:type="character" w:customStyle="1" w:styleId="111">
    <w:name w:val="font11"/>
    <w:basedOn w:val="50"/>
    <w:autoRedefine/>
    <w:qFormat/>
    <w:uiPriority w:val="0"/>
    <w:rPr>
      <w:rFonts w:hint="eastAsia" w:ascii="宋体" w:hAnsi="宋体" w:eastAsia="宋体" w:cs="宋体"/>
      <w:color w:val="000000"/>
      <w:sz w:val="16"/>
      <w:szCs w:val="16"/>
      <w:u w:val="none"/>
    </w:rPr>
  </w:style>
  <w:style w:type="character" w:customStyle="1" w:styleId="112">
    <w:name w:val="font01"/>
    <w:basedOn w:val="50"/>
    <w:autoRedefine/>
    <w:qFormat/>
    <w:uiPriority w:val="0"/>
    <w:rPr>
      <w:rFonts w:hint="eastAsia" w:ascii="宋体" w:hAnsi="宋体" w:eastAsia="宋体" w:cs="宋体"/>
      <w:color w:val="000000"/>
      <w:sz w:val="24"/>
      <w:szCs w:val="24"/>
      <w:u w:val="none"/>
    </w:rPr>
  </w:style>
  <w:style w:type="character" w:customStyle="1" w:styleId="113">
    <w:name w:val="正文文本 Char1"/>
    <w:basedOn w:val="50"/>
    <w:link w:val="22"/>
    <w:autoRedefine/>
    <w:qFormat/>
    <w:uiPriority w:val="0"/>
    <w:rPr>
      <w:kern w:val="2"/>
      <w:sz w:val="21"/>
    </w:rPr>
  </w:style>
  <w:style w:type="character" w:customStyle="1" w:styleId="114">
    <w:name w:val="批注主题 Char"/>
    <w:basedOn w:val="101"/>
    <w:link w:val="45"/>
    <w:autoRedefine/>
    <w:qFormat/>
    <w:uiPriority w:val="0"/>
  </w:style>
  <w:style w:type="character" w:customStyle="1" w:styleId="115">
    <w:name w:val="标题 6 Char"/>
    <w:basedOn w:val="50"/>
    <w:link w:val="9"/>
    <w:autoRedefine/>
    <w:qFormat/>
    <w:uiPriority w:val="0"/>
    <w:rPr>
      <w:rFonts w:eastAsia="黑体"/>
      <w:b/>
      <w:bCs/>
      <w:sz w:val="24"/>
      <w:szCs w:val="24"/>
    </w:rPr>
  </w:style>
  <w:style w:type="character" w:customStyle="1" w:styleId="116">
    <w:name w:val="font151"/>
    <w:basedOn w:val="50"/>
    <w:autoRedefine/>
    <w:qFormat/>
    <w:uiPriority w:val="0"/>
    <w:rPr>
      <w:rFonts w:hint="default" w:ascii="Times New Roman" w:hAnsi="Times New Roman" w:cs="Times New Roman"/>
      <w:color w:val="000000"/>
      <w:sz w:val="20"/>
      <w:szCs w:val="20"/>
      <w:u w:val="none"/>
    </w:rPr>
  </w:style>
  <w:style w:type="character" w:customStyle="1" w:styleId="117">
    <w:name w:val="font61"/>
    <w:basedOn w:val="50"/>
    <w:autoRedefine/>
    <w:qFormat/>
    <w:uiPriority w:val="0"/>
    <w:rPr>
      <w:rFonts w:hint="eastAsia" w:ascii="微软雅黑" w:hAnsi="微软雅黑" w:eastAsia="微软雅黑" w:cs="微软雅黑"/>
      <w:color w:val="000000"/>
      <w:sz w:val="16"/>
      <w:szCs w:val="16"/>
      <w:u w:val="none"/>
    </w:rPr>
  </w:style>
  <w:style w:type="character" w:customStyle="1" w:styleId="118">
    <w:name w:val="文档结构图 Char"/>
    <w:basedOn w:val="50"/>
    <w:link w:val="18"/>
    <w:autoRedefine/>
    <w:qFormat/>
    <w:uiPriority w:val="0"/>
    <w:rPr>
      <w:kern w:val="2"/>
      <w:sz w:val="21"/>
      <w:szCs w:val="24"/>
      <w:shd w:val="clear" w:color="auto" w:fill="000080"/>
    </w:rPr>
  </w:style>
  <w:style w:type="character" w:customStyle="1" w:styleId="119">
    <w:name w:val="页脚 Char"/>
    <w:link w:val="32"/>
    <w:autoRedefine/>
    <w:qFormat/>
    <w:uiPriority w:val="99"/>
    <w:rPr>
      <w:kern w:val="2"/>
      <w:sz w:val="18"/>
      <w:szCs w:val="18"/>
    </w:rPr>
  </w:style>
  <w:style w:type="character" w:customStyle="1" w:styleId="120">
    <w:name w:val="标题 8 Char"/>
    <w:basedOn w:val="50"/>
    <w:link w:val="11"/>
    <w:autoRedefine/>
    <w:qFormat/>
    <w:uiPriority w:val="0"/>
    <w:rPr>
      <w:rFonts w:eastAsia="黑体"/>
      <w:sz w:val="24"/>
      <w:szCs w:val="24"/>
    </w:rPr>
  </w:style>
  <w:style w:type="character" w:customStyle="1" w:styleId="121">
    <w:name w:val="纯文本 Char"/>
    <w:link w:val="28"/>
    <w:autoRedefine/>
    <w:qFormat/>
    <w:uiPriority w:val="0"/>
    <w:rPr>
      <w:rFonts w:ascii="宋体" w:hAnsi="Courier New"/>
      <w:kern w:val="2"/>
      <w:sz w:val="21"/>
    </w:rPr>
  </w:style>
  <w:style w:type="character" w:customStyle="1" w:styleId="122">
    <w:name w:val="font112"/>
    <w:basedOn w:val="50"/>
    <w:autoRedefine/>
    <w:qFormat/>
    <w:uiPriority w:val="0"/>
    <w:rPr>
      <w:rFonts w:hint="eastAsia" w:ascii="宋体" w:hAnsi="宋体" w:eastAsia="宋体" w:cs="宋体"/>
      <w:color w:val="000000"/>
      <w:sz w:val="16"/>
      <w:szCs w:val="16"/>
      <w:u w:val="none"/>
    </w:rPr>
  </w:style>
  <w:style w:type="character" w:customStyle="1" w:styleId="123">
    <w:name w:val="纯文本 Char1"/>
    <w:basedOn w:val="50"/>
    <w:autoRedefine/>
    <w:qFormat/>
    <w:uiPriority w:val="0"/>
    <w:rPr>
      <w:rFonts w:eastAsia="宋体"/>
      <w:kern w:val="2"/>
      <w:sz w:val="24"/>
      <w:lang w:val="en-US" w:eastAsia="zh-CN" w:bidi="ar-SA"/>
    </w:rPr>
  </w:style>
  <w:style w:type="character" w:customStyle="1" w:styleId="124">
    <w:name w:val="正文首行缩进 2 Char"/>
    <w:basedOn w:val="125"/>
    <w:link w:val="47"/>
    <w:autoRedefine/>
    <w:qFormat/>
    <w:uiPriority w:val="0"/>
  </w:style>
  <w:style w:type="character" w:customStyle="1" w:styleId="125">
    <w:name w:val="正文文本缩进 Char1"/>
    <w:basedOn w:val="50"/>
    <w:link w:val="24"/>
    <w:autoRedefine/>
    <w:qFormat/>
    <w:uiPriority w:val="0"/>
    <w:rPr>
      <w:kern w:val="2"/>
      <w:sz w:val="28"/>
    </w:rPr>
  </w:style>
  <w:style w:type="character" w:customStyle="1" w:styleId="126">
    <w:name w:val="正文文字 Char1"/>
    <w:basedOn w:val="50"/>
    <w:link w:val="99"/>
    <w:autoRedefine/>
    <w:qFormat/>
    <w:uiPriority w:val="0"/>
    <w:rPr>
      <w:rFonts w:ascii="宋体"/>
      <w:color w:val="000000"/>
      <w:kern w:val="0"/>
      <w:sz w:val="28"/>
      <w:u w:val="none" w:color="000000"/>
    </w:rPr>
  </w:style>
  <w:style w:type="character" w:customStyle="1" w:styleId="127">
    <w:name w:val="标题 3 Char_0"/>
    <w:link w:val="96"/>
    <w:autoRedefine/>
    <w:qFormat/>
    <w:uiPriority w:val="0"/>
    <w:rPr>
      <w:rFonts w:ascii="宋体" w:hAnsi="宋体"/>
      <w:b/>
      <w:kern w:val="2"/>
      <w:sz w:val="28"/>
      <w:szCs w:val="28"/>
    </w:rPr>
  </w:style>
  <w:style w:type="character" w:customStyle="1" w:styleId="128">
    <w:name w:val="font21"/>
    <w:basedOn w:val="50"/>
    <w:autoRedefine/>
    <w:qFormat/>
    <w:uiPriority w:val="0"/>
    <w:rPr>
      <w:rFonts w:hint="eastAsia" w:ascii="宋体" w:hAnsi="宋体" w:eastAsia="宋体" w:cs="宋体"/>
      <w:color w:val="000000"/>
      <w:sz w:val="22"/>
      <w:szCs w:val="22"/>
      <w:u w:val="none"/>
    </w:rPr>
  </w:style>
  <w:style w:type="character" w:customStyle="1" w:styleId="129">
    <w:name w:val="脚注文本 Char"/>
    <w:basedOn w:val="50"/>
    <w:link w:val="38"/>
    <w:autoRedefine/>
    <w:qFormat/>
    <w:uiPriority w:val="0"/>
    <w:rPr>
      <w:sz w:val="18"/>
    </w:rPr>
  </w:style>
  <w:style w:type="character" w:customStyle="1" w:styleId="130">
    <w:name w:val="副标题 Char"/>
    <w:link w:val="36"/>
    <w:autoRedefine/>
    <w:qFormat/>
    <w:uiPriority w:val="0"/>
    <w:rPr>
      <w:rFonts w:ascii="Cambria" w:hAnsi="Cambria" w:eastAsia="宋体"/>
      <w:b/>
      <w:bCs/>
      <w:kern w:val="28"/>
      <w:sz w:val="32"/>
      <w:szCs w:val="32"/>
      <w:lang w:val="en-US" w:eastAsia="zh-CN" w:bidi="ar-SA"/>
    </w:rPr>
  </w:style>
  <w:style w:type="character" w:customStyle="1" w:styleId="131">
    <w:name w:val=" Char Char3"/>
    <w:autoRedefine/>
    <w:qFormat/>
    <w:uiPriority w:val="0"/>
    <w:rPr>
      <w:rFonts w:eastAsia="宋体"/>
      <w:kern w:val="2"/>
      <w:sz w:val="21"/>
      <w:szCs w:val="24"/>
      <w:lang w:val="en-US" w:eastAsia="zh-CN" w:bidi="ar-SA"/>
    </w:rPr>
  </w:style>
  <w:style w:type="character" w:customStyle="1" w:styleId="132">
    <w:name w:val="正文文本 Char"/>
    <w:link w:val="22"/>
    <w:autoRedefine/>
    <w:qFormat/>
    <w:uiPriority w:val="0"/>
    <w:rPr>
      <w:kern w:val="2"/>
      <w:sz w:val="21"/>
      <w:szCs w:val="24"/>
    </w:rPr>
  </w:style>
  <w:style w:type="character" w:customStyle="1" w:styleId="133">
    <w:name w:val=" Char Char6"/>
    <w:autoRedefine/>
    <w:qFormat/>
    <w:uiPriority w:val="0"/>
    <w:rPr>
      <w:rFonts w:eastAsia="宋体"/>
      <w:kern w:val="2"/>
      <w:sz w:val="21"/>
      <w:szCs w:val="24"/>
      <w:lang w:val="en-US" w:eastAsia="zh-CN" w:bidi="ar-SA"/>
    </w:rPr>
  </w:style>
  <w:style w:type="character" w:customStyle="1" w:styleId="134">
    <w:name w:val="标题 Char"/>
    <w:basedOn w:val="50"/>
    <w:link w:val="44"/>
    <w:autoRedefine/>
    <w:qFormat/>
    <w:uiPriority w:val="0"/>
    <w:rPr>
      <w:rFonts w:ascii="Cambria" w:hAnsi="Cambria"/>
      <w:b/>
      <w:bCs/>
      <w:kern w:val="2"/>
      <w:sz w:val="32"/>
      <w:szCs w:val="32"/>
    </w:rPr>
  </w:style>
  <w:style w:type="character" w:customStyle="1" w:styleId="135">
    <w:name w:val="日期 Char"/>
    <w:basedOn w:val="50"/>
    <w:link w:val="29"/>
    <w:autoRedefine/>
    <w:qFormat/>
    <w:uiPriority w:val="0"/>
    <w:rPr>
      <w:kern w:val="2"/>
      <w:sz w:val="21"/>
      <w:szCs w:val="24"/>
    </w:rPr>
  </w:style>
  <w:style w:type="character" w:customStyle="1" w:styleId="136">
    <w:name w:val="ca-1"/>
    <w:basedOn w:val="50"/>
    <w:autoRedefine/>
    <w:qFormat/>
    <w:uiPriority w:val="0"/>
  </w:style>
  <w:style w:type="character" w:customStyle="1" w:styleId="137">
    <w:name w:val="font101"/>
    <w:basedOn w:val="50"/>
    <w:autoRedefine/>
    <w:qFormat/>
    <w:uiPriority w:val="0"/>
    <w:rPr>
      <w:rFonts w:ascii="Arial Unicode MS" w:hAnsi="Arial Unicode MS" w:eastAsia="Arial Unicode MS" w:cs="Arial Unicode MS"/>
      <w:color w:val="000000"/>
      <w:sz w:val="16"/>
      <w:szCs w:val="16"/>
      <w:u w:val="none"/>
    </w:rPr>
  </w:style>
  <w:style w:type="character" w:customStyle="1" w:styleId="138">
    <w:name w:val="标题 2 Char"/>
    <w:basedOn w:val="50"/>
    <w:link w:val="5"/>
    <w:autoRedefine/>
    <w:qFormat/>
    <w:uiPriority w:val="0"/>
    <w:rPr>
      <w:rFonts w:ascii="Arial Black" w:hAnsi="Arial Black" w:eastAsia="黑体"/>
      <w:b/>
      <w:bCs/>
      <w:kern w:val="2"/>
      <w:sz w:val="32"/>
      <w:szCs w:val="32"/>
      <w:lang w:val="en-US" w:eastAsia="zh-CN" w:bidi="ar-SA"/>
    </w:rPr>
  </w:style>
  <w:style w:type="character" w:customStyle="1" w:styleId="139">
    <w:name w:val="标题 5 Char"/>
    <w:basedOn w:val="50"/>
    <w:link w:val="8"/>
    <w:autoRedefine/>
    <w:qFormat/>
    <w:uiPriority w:val="0"/>
    <w:rPr>
      <w:b/>
      <w:bCs/>
      <w:sz w:val="28"/>
      <w:szCs w:val="28"/>
    </w:rPr>
  </w:style>
  <w:style w:type="character" w:customStyle="1" w:styleId="140">
    <w:name w:val="标题 7 Char"/>
    <w:basedOn w:val="50"/>
    <w:link w:val="10"/>
    <w:autoRedefine/>
    <w:qFormat/>
    <w:uiPriority w:val="0"/>
    <w:rPr>
      <w:b/>
      <w:bCs/>
      <w:sz w:val="24"/>
      <w:szCs w:val="24"/>
    </w:rPr>
  </w:style>
  <w:style w:type="character" w:customStyle="1" w:styleId="141">
    <w:name w:val="正文文本 3 Char"/>
    <w:basedOn w:val="50"/>
    <w:link w:val="21"/>
    <w:autoRedefine/>
    <w:qFormat/>
    <w:uiPriority w:val="0"/>
    <w:rPr>
      <w:kern w:val="2"/>
      <w:sz w:val="16"/>
      <w:szCs w:val="16"/>
    </w:rPr>
  </w:style>
  <w:style w:type="character" w:customStyle="1" w:styleId="142">
    <w:name w:val="批注框文本 Char"/>
    <w:basedOn w:val="50"/>
    <w:link w:val="31"/>
    <w:autoRedefine/>
    <w:qFormat/>
    <w:uiPriority w:val="0"/>
    <w:rPr>
      <w:kern w:val="2"/>
      <w:sz w:val="18"/>
      <w:szCs w:val="18"/>
    </w:rPr>
  </w:style>
  <w:style w:type="character" w:customStyle="1" w:styleId="143">
    <w:name w:val="正文文本缩进 2 Char"/>
    <w:basedOn w:val="50"/>
    <w:link w:val="30"/>
    <w:autoRedefine/>
    <w:qFormat/>
    <w:uiPriority w:val="0"/>
    <w:rPr>
      <w:kern w:val="2"/>
      <w:sz w:val="21"/>
      <w:szCs w:val="24"/>
    </w:rPr>
  </w:style>
  <w:style w:type="character" w:customStyle="1" w:styleId="144">
    <w:name w:val="标题 9 Char"/>
    <w:basedOn w:val="50"/>
    <w:link w:val="12"/>
    <w:autoRedefine/>
    <w:qFormat/>
    <w:uiPriority w:val="0"/>
    <w:rPr>
      <w:rFonts w:eastAsia="黑体"/>
      <w:sz w:val="21"/>
      <w:szCs w:val="21"/>
    </w:rPr>
  </w:style>
  <w:style w:type="character" w:customStyle="1" w:styleId="145">
    <w:name w:val="标题 4 Char"/>
    <w:basedOn w:val="50"/>
    <w:link w:val="7"/>
    <w:autoRedefine/>
    <w:qFormat/>
    <w:uiPriority w:val="0"/>
    <w:rPr>
      <w:rFonts w:eastAsia="黑体"/>
      <w:b/>
      <w:bCs/>
      <w:sz w:val="28"/>
      <w:szCs w:val="28"/>
    </w:rPr>
  </w:style>
  <w:style w:type="character" w:customStyle="1" w:styleId="146">
    <w:name w:val="font91"/>
    <w:basedOn w:val="50"/>
    <w:autoRedefine/>
    <w:qFormat/>
    <w:uiPriority w:val="0"/>
    <w:rPr>
      <w:rFonts w:hint="eastAsia" w:ascii="宋体" w:hAnsi="宋体" w:eastAsia="宋体" w:cs="宋体"/>
      <w:b/>
      <w:color w:val="FF0000"/>
      <w:sz w:val="20"/>
      <w:szCs w:val="20"/>
      <w:u w:val="none"/>
    </w:rPr>
  </w:style>
  <w:style w:type="paragraph" w:customStyle="1" w:styleId="147">
    <w:name w:val="Table Paragraph"/>
    <w:basedOn w:val="1"/>
    <w:autoRedefine/>
    <w:qFormat/>
    <w:uiPriority w:val="1"/>
    <w:rPr>
      <w:rFonts w:ascii="宋体" w:hAnsi="宋体" w:eastAsia="宋体" w:cs="宋体"/>
      <w:lang w:val="zh-CN" w:eastAsia="zh-CN" w:bidi="zh-CN"/>
    </w:rPr>
  </w:style>
  <w:style w:type="paragraph" w:customStyle="1" w:styleId="148">
    <w:name w:val="图"/>
    <w:basedOn w:val="1"/>
    <w:autoRedefine/>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character" w:customStyle="1" w:styleId="149">
    <w:name w:val="标题 3 字符"/>
    <w:basedOn w:val="50"/>
    <w:link w:val="6"/>
    <w:autoRedefine/>
    <w:semiHidden/>
    <w:qFormat/>
    <w:locked/>
    <w:uiPriority w:val="99"/>
    <w:rPr>
      <w:rFonts w:cs="Times New Roman"/>
      <w:b/>
      <w:bCs/>
      <w:sz w:val="32"/>
      <w:szCs w:val="32"/>
    </w:rPr>
  </w:style>
  <w:style w:type="paragraph" w:customStyle="1" w:styleId="150">
    <w:name w:val="样式3"/>
    <w:basedOn w:val="28"/>
    <w:autoRedefine/>
    <w:qFormat/>
    <w:uiPriority w:val="0"/>
    <w:pPr>
      <w:spacing w:line="0" w:lineRule="atLeast"/>
      <w:outlineLvl w:val="0"/>
    </w:pPr>
    <w:rPr>
      <w:sz w:val="28"/>
    </w:rPr>
  </w:style>
  <w:style w:type="paragraph" w:customStyle="1" w:styleId="151">
    <w:name w:val="?y??"/>
    <w:autoRedefine/>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152">
    <w:name w:val="纯文本1"/>
    <w:basedOn w:val="1"/>
    <w:autoRedefine/>
    <w:qFormat/>
    <w:uiPriority w:val="0"/>
    <w:rPr>
      <w:rFonts w:ascii="宋体" w:hAnsi="Courier New" w:eastAsia="宋体" w:cs="Times New Roman"/>
      <w:szCs w:val="22"/>
    </w:rPr>
  </w:style>
  <w:style w:type="paragraph" w:customStyle="1" w:styleId="153">
    <w:name w:val="无间隔1"/>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154">
    <w:name w:val="NormalCharacter"/>
    <w:autoRedefine/>
    <w:qFormat/>
    <w:uiPriority w:val="0"/>
  </w:style>
  <w:style w:type="character" w:customStyle="1" w:styleId="155">
    <w:name w:val="font81"/>
    <w:basedOn w:val="50"/>
    <w:autoRedefine/>
    <w:qFormat/>
    <w:uiPriority w:val="0"/>
    <w:rPr>
      <w:rFonts w:hint="eastAsia" w:ascii="宋体" w:hAnsi="宋体" w:eastAsia="宋体" w:cs="宋体"/>
      <w:color w:val="FF0000"/>
      <w:sz w:val="22"/>
      <w:szCs w:val="22"/>
      <w:u w:val="none"/>
    </w:rPr>
  </w:style>
  <w:style w:type="paragraph" w:customStyle="1" w:styleId="156">
    <w:name w:val="其他"/>
    <w:basedOn w:val="1"/>
    <w:autoRedefine/>
    <w:qFormat/>
    <w:uiPriority w:val="0"/>
    <w:pPr>
      <w:widowControl w:val="0"/>
      <w:shd w:val="clear" w:color="auto" w:fill="FFFFFF"/>
    </w:pPr>
    <w:rPr>
      <w:rFonts w:ascii="新宋体" w:hAnsi="新宋体" w:eastAsia="新宋体" w:cs="新宋体"/>
      <w:sz w:val="30"/>
      <w:szCs w:val="30"/>
      <w:u w:val="none"/>
      <w:lang w:val="zh-CN" w:eastAsia="zh-CN" w:bidi="zh-CN"/>
    </w:rPr>
  </w:style>
  <w:style w:type="character" w:customStyle="1" w:styleId="157">
    <w:name w:val="font71"/>
    <w:basedOn w:val="50"/>
    <w:autoRedefine/>
    <w:qFormat/>
    <w:uiPriority w:val="0"/>
    <w:rPr>
      <w:rFonts w:hint="default" w:ascii="华文细黑" w:hAnsi="华文细黑" w:eastAsia="华文细黑" w:cs="华文细黑"/>
      <w:color w:val="FF0000"/>
      <w:sz w:val="22"/>
      <w:szCs w:val="22"/>
      <w:u w:val="none"/>
    </w:rPr>
  </w:style>
  <w:style w:type="table" w:customStyle="1" w:styleId="158">
    <w:name w:val="Table Normal"/>
    <w:semiHidden/>
    <w:unhideWhenUsed/>
    <w:qFormat/>
    <w:uiPriority w:val="0"/>
    <w:tblPr>
      <w:tblCellMar>
        <w:top w:w="0" w:type="dxa"/>
        <w:left w:w="0" w:type="dxa"/>
        <w:bottom w:w="0" w:type="dxa"/>
        <w:right w:w="0" w:type="dxa"/>
      </w:tblCellMar>
    </w:tblPr>
  </w:style>
  <w:style w:type="paragraph" w:customStyle="1" w:styleId="159">
    <w:name w:val="Table Text"/>
    <w:basedOn w:val="1"/>
    <w:semiHidden/>
    <w:qFormat/>
    <w:uiPriority w:val="0"/>
    <w:rPr>
      <w:rFonts w:ascii="宋体" w:hAnsi="宋体" w:eastAsia="宋体" w:cs="宋体"/>
      <w:sz w:val="24"/>
      <w:szCs w:val="24"/>
      <w:lang w:val="en-US" w:eastAsia="en-US" w:bidi="ar-SA"/>
    </w:rPr>
  </w:style>
  <w:style w:type="paragraph" w:customStyle="1" w:styleId="160">
    <w:name w:val="正文缩进2格"/>
    <w:basedOn w:val="1"/>
    <w:unhideWhenUsed/>
    <w:qFormat/>
    <w:uiPriority w:val="99"/>
    <w:pPr>
      <w:spacing w:line="600" w:lineRule="exact"/>
      <w:ind w:firstLine="639" w:firstLineChars="206"/>
    </w:pPr>
    <w:rPr>
      <w:rFonts w:hAnsi="宋体" w:eastAsia="Times New Roman"/>
      <w:sz w:val="31"/>
      <w:szCs w:val="24"/>
    </w:rPr>
  </w:style>
  <w:style w:type="paragraph" w:customStyle="1" w:styleId="161">
    <w:name w:val="列出段落"/>
    <w:basedOn w:val="1"/>
    <w:qFormat/>
    <w:uiPriority w:val="34"/>
    <w:pPr>
      <w:ind w:firstLine="420" w:firstLineChars="200"/>
    </w:pPr>
  </w:style>
  <w:style w:type="paragraph" w:customStyle="1" w:styleId="162">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163">
    <w:name w:val="Normal Indent"/>
    <w:basedOn w:val="1"/>
    <w:qFormat/>
    <w:uiPriority w:val="0"/>
    <w:pPr>
      <w:ind w:firstLine="420" w:firstLineChars="200"/>
    </w:pPr>
  </w:style>
  <w:style w:type="paragraph" w:customStyle="1" w:styleId="164">
    <w:name w:val="Normal (Web)"/>
    <w:basedOn w:val="1"/>
    <w:qFormat/>
    <w:uiPriority w:val="0"/>
    <w:rPr>
      <w:sz w:val="24"/>
    </w:rPr>
  </w:style>
  <w:style w:type="paragraph" w:customStyle="1" w:styleId="165">
    <w:name w:val="索引 11"/>
    <w:basedOn w:val="1"/>
    <w:next w:val="1"/>
    <w:qFormat/>
    <w:uiPriority w:val="0"/>
    <w:pPr>
      <w:spacing w:line="360" w:lineRule="auto"/>
    </w:pPr>
    <w:rPr>
      <w:rFonts w:ascii="仿宋_GB2312" w:eastAsia="仿宋_GB2312"/>
      <w:sz w:val="24"/>
      <w:szCs w:val="20"/>
    </w:rPr>
  </w:style>
  <w:style w:type="paragraph" w:customStyle="1" w:styleId="166">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67">
    <w:name w:val="正文_0_0_0_0"/>
    <w:qFormat/>
    <w:uiPriority w:val="0"/>
    <w:pPr>
      <w:widowControl w:val="0"/>
      <w:jc w:val="both"/>
    </w:pPr>
    <w:rPr>
      <w:rFonts w:ascii="Times New Roman" w:hAnsi="Times New Roman"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93</Pages>
  <Words>23283</Words>
  <Characters>25434</Characters>
  <Lines>227</Lines>
  <Paragraphs>64</Paragraphs>
  <TotalTime>1</TotalTime>
  <ScaleCrop>false</ScaleCrop>
  <LinksUpToDate>false</LinksUpToDate>
  <CharactersWithSpaces>26130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2011-04-12T08:42:00Z</dcterms:created>
  <dc:creator>微软用户</dc:creator>
  <cp:lastModifiedBy>庆信达招标代理郑泽娟</cp:lastModifiedBy>
  <cp:lastPrinted>2024-06-03T09:35:00Z</cp:lastPrinted>
  <dcterms:modified xsi:type="dcterms:W3CDTF">2026-05-21T07:22:24Z</dcterms:modified>
  <dc:title>招标文件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1DCD1732B9AB45FD9E2B4A88CBB58605_13</vt:lpwstr>
  </property>
  <property fmtid="{D5CDD505-2E9C-101B-9397-08002B2CF9AE}" pid="4" name="KSOTemplateDocerSaveRecord">
    <vt:lpwstr>eyJoZGlkIjoiZjk2N2VjYmQyODExY2IyNzNkZGE1NDZlMGFhODdlNzUiLCJ1c2VySWQiOiIxMzYwNzAxNzU2In0=</vt:lpwstr>
  </property>
</Properties>
</file>