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049B">
      <w:pPr>
        <w:spacing w:line="360" w:lineRule="auto"/>
        <w:jc w:val="center"/>
        <w:rPr>
          <w:rFonts w:hint="eastAsia" w:ascii="宋体" w:hAnsi="宋体" w:cs="宋体"/>
          <w:b/>
          <w:color w:val="auto"/>
          <w:sz w:val="24"/>
          <w:highlight w:val="none"/>
        </w:rPr>
      </w:pPr>
    </w:p>
    <w:p w14:paraId="718E5618">
      <w:pPr>
        <w:spacing w:line="360" w:lineRule="auto"/>
        <w:jc w:val="center"/>
        <w:rPr>
          <w:rFonts w:hint="eastAsia" w:ascii="宋体" w:hAnsi="宋体" w:cs="宋体"/>
          <w:b/>
          <w:color w:val="auto"/>
          <w:sz w:val="24"/>
          <w:highlight w:val="none"/>
        </w:rPr>
      </w:pPr>
    </w:p>
    <w:p w14:paraId="7C89C1DD">
      <w:pPr>
        <w:adjustRightInd/>
        <w:spacing w:line="360" w:lineRule="auto"/>
        <w:jc w:val="center"/>
        <w:rPr>
          <w:rFonts w:hint="eastAsia" w:ascii="宋体" w:hAnsi="宋体" w:cs="宋体"/>
          <w:b/>
          <w:color w:val="auto"/>
          <w:sz w:val="44"/>
          <w:szCs w:val="44"/>
          <w:highlight w:val="none"/>
        </w:rPr>
      </w:pPr>
    </w:p>
    <w:p w14:paraId="4BDF31E5">
      <w:pPr>
        <w:spacing w:line="360" w:lineRule="auto"/>
        <w:jc w:val="center"/>
        <w:rPr>
          <w:rFonts w:hint="eastAsia" w:ascii="宋体" w:hAnsi="宋体" w:cs="宋体"/>
          <w:b/>
          <w:color w:val="auto"/>
          <w:sz w:val="44"/>
          <w:szCs w:val="44"/>
          <w:highlight w:val="none"/>
        </w:rPr>
      </w:pPr>
    </w:p>
    <w:p w14:paraId="4C8A0CB6">
      <w:pPr>
        <w:adjustRightInd/>
        <w:spacing w:line="360" w:lineRule="auto"/>
        <w:jc w:val="center"/>
        <w:rPr>
          <w:rFonts w:hint="eastAsia" w:ascii="宋体" w:hAnsi="宋体" w:cs="宋体"/>
          <w:b/>
          <w:color w:val="auto"/>
          <w:sz w:val="48"/>
          <w:szCs w:val="48"/>
          <w:highlight w:val="none"/>
        </w:rPr>
      </w:pPr>
    </w:p>
    <w:p w14:paraId="671678E2">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 xml:space="preserve">旗杆东侧室外篮球场建设  </w:t>
      </w:r>
    </w:p>
    <w:p w14:paraId="64285CFA">
      <w:pPr>
        <w:adjustRightInd/>
        <w:spacing w:line="360" w:lineRule="auto"/>
        <w:jc w:val="center"/>
        <w:rPr>
          <w:rFonts w:hint="eastAsia" w:ascii="宋体" w:hAnsi="宋体" w:cs="宋体"/>
          <w:color w:val="auto"/>
          <w:sz w:val="48"/>
          <w:szCs w:val="48"/>
          <w:highlight w:val="none"/>
        </w:rPr>
      </w:pPr>
      <w:r>
        <w:rPr>
          <w:rFonts w:hint="eastAsia" w:ascii="宋体" w:hAnsi="宋体" w:cs="宋体"/>
          <w:color w:val="auto"/>
          <w:sz w:val="48"/>
          <w:szCs w:val="48"/>
          <w:highlight w:val="none"/>
        </w:rPr>
        <w:t>竞争性磋商文件</w:t>
      </w:r>
    </w:p>
    <w:p w14:paraId="7B83CBB7">
      <w:pPr>
        <w:adjustRightInd/>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（电子交易）</w:t>
      </w:r>
    </w:p>
    <w:p w14:paraId="0A2B3713">
      <w:pPr>
        <w:snapToGrid w:val="0"/>
        <w:spacing w:line="360" w:lineRule="auto"/>
        <w:jc w:val="center"/>
        <w:rPr>
          <w:rFonts w:hint="eastAsia" w:ascii="宋体" w:hAnsi="宋体" w:eastAsia="宋体" w:cs="宋体"/>
          <w:color w:val="auto"/>
          <w:sz w:val="30"/>
          <w:szCs w:val="30"/>
          <w:highlight w:val="none"/>
          <w:lang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eastAsia="zh-CN"/>
        </w:rPr>
        <w:t>330100261010520000006-0512</w:t>
      </w:r>
    </w:p>
    <w:p w14:paraId="36EC96AA">
      <w:pPr>
        <w:adjustRightInd/>
        <w:spacing w:line="360" w:lineRule="auto"/>
        <w:rPr>
          <w:rFonts w:hint="eastAsia" w:ascii="宋体" w:hAnsi="宋体" w:cs="宋体"/>
          <w:color w:val="auto"/>
          <w:sz w:val="28"/>
          <w:szCs w:val="20"/>
          <w:highlight w:val="none"/>
        </w:rPr>
      </w:pPr>
    </w:p>
    <w:p w14:paraId="2D5CCB87">
      <w:pPr>
        <w:spacing w:line="360" w:lineRule="auto"/>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5BF8D6BA">
      <w:pPr>
        <w:spacing w:line="360" w:lineRule="auto"/>
        <w:jc w:val="center"/>
        <w:rPr>
          <w:rFonts w:hint="eastAsia" w:ascii="宋体" w:hAnsi="宋体" w:cs="宋体"/>
          <w:b/>
          <w:color w:val="auto"/>
          <w:sz w:val="44"/>
          <w:szCs w:val="44"/>
          <w:highlight w:val="none"/>
        </w:rPr>
      </w:pPr>
    </w:p>
    <w:p w14:paraId="745291DB">
      <w:pPr>
        <w:spacing w:line="360" w:lineRule="auto"/>
        <w:jc w:val="center"/>
        <w:rPr>
          <w:rFonts w:hint="eastAsia" w:ascii="宋体" w:hAnsi="宋体" w:cs="宋体"/>
          <w:color w:val="auto"/>
          <w:sz w:val="24"/>
          <w:highlight w:val="none"/>
        </w:rPr>
      </w:pPr>
    </w:p>
    <w:p w14:paraId="1EB27B2B">
      <w:pPr>
        <w:spacing w:line="360" w:lineRule="auto"/>
        <w:jc w:val="center"/>
        <w:rPr>
          <w:rFonts w:hint="eastAsia" w:ascii="宋体" w:hAnsi="宋体" w:cs="宋体"/>
          <w:color w:val="auto"/>
          <w:sz w:val="24"/>
          <w:highlight w:val="none"/>
        </w:rPr>
      </w:pPr>
    </w:p>
    <w:p w14:paraId="402BD6CB">
      <w:pPr>
        <w:spacing w:line="360" w:lineRule="auto"/>
        <w:rPr>
          <w:rFonts w:hint="eastAsia" w:ascii="宋体" w:hAnsi="宋体" w:cs="宋体"/>
          <w:color w:val="auto"/>
          <w:sz w:val="32"/>
          <w:szCs w:val="32"/>
          <w:highlight w:val="none"/>
        </w:rPr>
      </w:pPr>
    </w:p>
    <w:p w14:paraId="6CDC1019">
      <w:pPr>
        <w:snapToGrid w:val="0"/>
        <w:spacing w:line="360" w:lineRule="auto"/>
        <w:jc w:val="center"/>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杭州市中策职业学校钱塘学校       </w:t>
      </w:r>
    </w:p>
    <w:p w14:paraId="51626D91">
      <w:pPr>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浙江中通通信有限公司</w:t>
      </w:r>
    </w:p>
    <w:p w14:paraId="48122F76">
      <w:pPr>
        <w:snapToGrid w:val="0"/>
        <w:spacing w:line="360" w:lineRule="auto"/>
        <w:jc w:val="center"/>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二〇二六年</w:t>
      </w:r>
      <w:r>
        <w:rPr>
          <w:rFonts w:hint="eastAsia" w:ascii="宋体" w:hAnsi="宋体" w:cs="宋体"/>
          <w:bCs/>
          <w:color w:val="auto"/>
          <w:sz w:val="32"/>
          <w:szCs w:val="32"/>
          <w:highlight w:val="none"/>
          <w:lang w:val="en-US" w:eastAsia="zh-CN"/>
        </w:rPr>
        <w:t>五</w:t>
      </w:r>
      <w:r>
        <w:rPr>
          <w:rFonts w:hint="eastAsia" w:ascii="宋体" w:hAnsi="宋体" w:cs="宋体"/>
          <w:bCs/>
          <w:color w:val="auto"/>
          <w:sz w:val="32"/>
          <w:szCs w:val="32"/>
          <w:highlight w:val="none"/>
        </w:rPr>
        <w:t>月</w:t>
      </w:r>
    </w:p>
    <w:p w14:paraId="7CB3AF42">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4577EAD">
      <w:pPr>
        <w:spacing w:line="360" w:lineRule="auto"/>
        <w:jc w:val="center"/>
        <w:rPr>
          <w:rFonts w:hint="eastAsia" w:ascii="宋体" w:hAnsi="宋体" w:cs="宋体"/>
          <w:color w:val="auto"/>
          <w:sz w:val="24"/>
          <w:highlight w:val="none"/>
        </w:rPr>
      </w:pPr>
    </w:p>
    <w:p w14:paraId="7BA36486">
      <w:pPr>
        <w:spacing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目  录</w:t>
      </w:r>
    </w:p>
    <w:p w14:paraId="465452EE">
      <w:pPr>
        <w:spacing w:line="360" w:lineRule="auto"/>
        <w:rPr>
          <w:rFonts w:hint="eastAsia" w:ascii="宋体" w:hAnsi="宋体" w:cs="宋体"/>
          <w:color w:val="auto"/>
          <w:sz w:val="32"/>
          <w:szCs w:val="32"/>
          <w:highlight w:val="none"/>
        </w:rPr>
      </w:pPr>
    </w:p>
    <w:p w14:paraId="2BFE3DD1">
      <w:pPr>
        <w:spacing w:line="360" w:lineRule="auto"/>
        <w:rPr>
          <w:rFonts w:hint="eastAsia" w:ascii="宋体" w:hAnsi="宋体" w:cs="宋体"/>
          <w:color w:val="auto"/>
          <w:sz w:val="32"/>
          <w:szCs w:val="32"/>
          <w:highlight w:val="none"/>
        </w:rPr>
      </w:pPr>
    </w:p>
    <w:p w14:paraId="53964E18">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第一部分      竞争性磋商公告</w:t>
      </w:r>
    </w:p>
    <w:p w14:paraId="483EE063">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第二部分      供应商须知</w:t>
      </w:r>
    </w:p>
    <w:p w14:paraId="2F32FE7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25A2162">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第四部分      评审办法</w:t>
      </w:r>
    </w:p>
    <w:p w14:paraId="66BF7EDF">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5B731BC8">
      <w:pPr>
        <w:spacing w:line="360" w:lineRule="auto"/>
        <w:ind w:firstLine="1280" w:firstLineChars="400"/>
        <w:rPr>
          <w:rFonts w:hint="eastAsia"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69FDC1A3">
      <w:pPr>
        <w:spacing w:line="360" w:lineRule="auto"/>
        <w:ind w:firstLine="1280" w:firstLineChars="400"/>
        <w:rPr>
          <w:rFonts w:hint="eastAsia" w:ascii="宋体" w:hAnsi="宋体" w:cs="宋体"/>
          <w:color w:val="auto"/>
          <w:sz w:val="32"/>
          <w:szCs w:val="32"/>
          <w:highlight w:val="none"/>
        </w:rPr>
      </w:pPr>
    </w:p>
    <w:p w14:paraId="46FA7F54">
      <w:pPr>
        <w:spacing w:line="360" w:lineRule="auto"/>
        <w:ind w:firstLine="549" w:firstLineChars="229"/>
        <w:rPr>
          <w:rFonts w:hint="eastAsia" w:ascii="宋体" w:hAnsi="宋体" w:cs="宋体"/>
          <w:color w:val="auto"/>
          <w:sz w:val="24"/>
          <w:highlight w:val="none"/>
        </w:rPr>
      </w:pPr>
      <w:bookmarkStart w:id="1" w:name="_Hlt91233176"/>
      <w:bookmarkEnd w:id="1"/>
      <w:bookmarkStart w:id="2" w:name="_Toc91899869"/>
    </w:p>
    <w:p w14:paraId="12F38FB0">
      <w:pPr>
        <w:spacing w:line="360" w:lineRule="auto"/>
        <w:ind w:firstLine="549" w:firstLineChars="229"/>
        <w:rPr>
          <w:rFonts w:hint="eastAsia" w:ascii="宋体" w:hAnsi="宋体" w:cs="宋体"/>
          <w:color w:val="auto"/>
          <w:sz w:val="24"/>
          <w:highlight w:val="none"/>
        </w:rPr>
      </w:pPr>
    </w:p>
    <w:p w14:paraId="24DC0212">
      <w:pPr>
        <w:spacing w:line="360" w:lineRule="auto"/>
        <w:ind w:firstLine="549" w:firstLineChars="229"/>
        <w:rPr>
          <w:rFonts w:hint="eastAsia" w:ascii="宋体" w:hAnsi="宋体" w:cs="宋体"/>
          <w:color w:val="auto"/>
          <w:sz w:val="24"/>
          <w:highlight w:val="none"/>
        </w:rPr>
      </w:pPr>
    </w:p>
    <w:p w14:paraId="274829AF">
      <w:pPr>
        <w:spacing w:line="360" w:lineRule="auto"/>
        <w:ind w:firstLine="549" w:firstLineChars="229"/>
        <w:rPr>
          <w:rFonts w:hint="eastAsia" w:ascii="宋体" w:hAnsi="宋体" w:cs="宋体"/>
          <w:color w:val="auto"/>
          <w:sz w:val="24"/>
          <w:highlight w:val="none"/>
        </w:rPr>
      </w:pPr>
    </w:p>
    <w:p w14:paraId="1673DA72">
      <w:pPr>
        <w:spacing w:line="360" w:lineRule="auto"/>
        <w:ind w:firstLine="549" w:firstLineChars="229"/>
        <w:rPr>
          <w:rFonts w:hint="eastAsia" w:ascii="宋体" w:hAnsi="宋体" w:cs="宋体"/>
          <w:color w:val="auto"/>
          <w:sz w:val="24"/>
          <w:highlight w:val="none"/>
        </w:rPr>
      </w:pPr>
    </w:p>
    <w:p w14:paraId="758FFFE8">
      <w:pPr>
        <w:spacing w:line="360" w:lineRule="auto"/>
        <w:ind w:firstLine="549" w:firstLineChars="229"/>
        <w:rPr>
          <w:rFonts w:hint="eastAsia" w:ascii="宋体" w:hAnsi="宋体" w:cs="宋体"/>
          <w:color w:val="auto"/>
          <w:sz w:val="24"/>
          <w:highlight w:val="none"/>
        </w:rPr>
      </w:pPr>
    </w:p>
    <w:p w14:paraId="305965D6">
      <w:pPr>
        <w:spacing w:line="360" w:lineRule="auto"/>
        <w:ind w:firstLine="549" w:firstLineChars="229"/>
        <w:rPr>
          <w:rFonts w:hint="eastAsia" w:ascii="宋体" w:hAnsi="宋体" w:cs="宋体"/>
          <w:color w:val="auto"/>
          <w:sz w:val="24"/>
          <w:highlight w:val="none"/>
        </w:rPr>
      </w:pPr>
    </w:p>
    <w:p w14:paraId="70A494A3">
      <w:pPr>
        <w:spacing w:line="360" w:lineRule="auto"/>
        <w:ind w:firstLine="549" w:firstLineChars="229"/>
        <w:rPr>
          <w:rFonts w:hint="eastAsia" w:ascii="宋体" w:hAnsi="宋体" w:cs="宋体"/>
          <w:color w:val="auto"/>
          <w:sz w:val="24"/>
          <w:highlight w:val="none"/>
        </w:rPr>
      </w:pPr>
    </w:p>
    <w:p w14:paraId="74E71F82">
      <w:pPr>
        <w:spacing w:line="360" w:lineRule="auto"/>
        <w:ind w:firstLine="549" w:firstLineChars="229"/>
        <w:rPr>
          <w:rFonts w:hint="eastAsia" w:ascii="宋体" w:hAnsi="宋体" w:cs="宋体"/>
          <w:color w:val="auto"/>
          <w:sz w:val="24"/>
          <w:highlight w:val="none"/>
        </w:rPr>
      </w:pPr>
    </w:p>
    <w:p w14:paraId="61B0A673">
      <w:pPr>
        <w:spacing w:line="360" w:lineRule="auto"/>
        <w:ind w:firstLine="549" w:firstLineChars="229"/>
        <w:rPr>
          <w:rFonts w:hint="eastAsia" w:ascii="宋体" w:hAnsi="宋体" w:cs="宋体"/>
          <w:color w:val="auto"/>
          <w:sz w:val="24"/>
          <w:highlight w:val="none"/>
        </w:rPr>
      </w:pPr>
    </w:p>
    <w:p w14:paraId="50EE7D17">
      <w:pPr>
        <w:spacing w:line="360" w:lineRule="auto"/>
        <w:ind w:firstLine="549" w:firstLineChars="229"/>
        <w:rPr>
          <w:rFonts w:hint="eastAsia" w:ascii="宋体" w:hAnsi="宋体" w:cs="宋体"/>
          <w:color w:val="auto"/>
          <w:sz w:val="24"/>
          <w:highlight w:val="none"/>
        </w:rPr>
      </w:pPr>
    </w:p>
    <w:p w14:paraId="6841CA19">
      <w:pPr>
        <w:spacing w:line="360" w:lineRule="auto"/>
        <w:ind w:firstLine="549" w:firstLineChars="229"/>
        <w:rPr>
          <w:rFonts w:hint="eastAsia" w:ascii="宋体" w:hAnsi="宋体" w:cs="宋体"/>
          <w:color w:val="auto"/>
          <w:sz w:val="24"/>
          <w:highlight w:val="none"/>
        </w:rPr>
      </w:pPr>
    </w:p>
    <w:p w14:paraId="3EF30CC1">
      <w:pPr>
        <w:spacing w:line="360" w:lineRule="auto"/>
        <w:ind w:firstLine="549" w:firstLineChars="229"/>
        <w:rPr>
          <w:rFonts w:hint="eastAsia" w:ascii="宋体" w:hAnsi="宋体" w:cs="宋体"/>
          <w:color w:val="auto"/>
          <w:sz w:val="24"/>
          <w:highlight w:val="none"/>
        </w:rPr>
      </w:pPr>
    </w:p>
    <w:p w14:paraId="0D3D22A1">
      <w:pPr>
        <w:spacing w:line="360" w:lineRule="auto"/>
        <w:rPr>
          <w:rFonts w:hint="eastAsia" w:ascii="宋体" w:hAnsi="宋体" w:cs="宋体"/>
          <w:color w:val="auto"/>
          <w:sz w:val="24"/>
          <w:highlight w:val="none"/>
        </w:rPr>
      </w:pPr>
    </w:p>
    <w:p w14:paraId="7D663E25">
      <w:pPr>
        <w:adjustRightInd/>
        <w:spacing w:line="360" w:lineRule="auto"/>
        <w:jc w:val="center"/>
        <w:outlineLvl w:val="0"/>
        <w:rPr>
          <w:rFonts w:hint="eastAsia"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8647"/>
      <w:bookmarkEnd w:id="4"/>
      <w:bookmarkStart w:id="5" w:name="_Hlt74729822"/>
      <w:bookmarkEnd w:id="5"/>
      <w:bookmarkStart w:id="6" w:name="_Hlt74707423"/>
      <w:bookmarkEnd w:id="6"/>
      <w:bookmarkStart w:id="7" w:name="_Hlt74649545"/>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竞争性磋商公告</w:t>
      </w:r>
    </w:p>
    <w:p w14:paraId="566B127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64B05757">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旗杆东侧室外篮球场建设 </w:t>
      </w:r>
      <w:r>
        <w:rPr>
          <w:rFonts w:hint="eastAsia" w:ascii="宋体" w:hAnsi="宋体" w:cs="宋体"/>
          <w:color w:val="auto"/>
          <w:sz w:val="24"/>
          <w:highlight w:val="none"/>
        </w:rPr>
        <w:t>采购项目的潜在供应商应在政采云平台（</w:t>
      </w:r>
      <w:r>
        <w:rPr>
          <w:rFonts w:hint="eastAsia"/>
          <w:color w:val="auto"/>
          <w:highlight w:val="none"/>
        </w:rPr>
        <w:fldChar w:fldCharType="begin"/>
      </w:r>
      <w:r>
        <w:rPr>
          <w:color w:val="auto"/>
          <w:highlight w:val="none"/>
        </w:rPr>
        <w:instrText xml:space="preserve"> HYPERLINK "https://www.zcygov.cn/）获取（下载）招标文件，并于2021年" </w:instrText>
      </w:r>
      <w:r>
        <w:rPr>
          <w:rFonts w:hint="eastAsia"/>
          <w:color w:val="auto"/>
          <w:highlight w:val="none"/>
        </w:rPr>
        <w:fldChar w:fldCharType="separate"/>
      </w:r>
      <w:r>
        <w:rPr>
          <w:rStyle w:val="77"/>
          <w:rFonts w:hint="eastAsia" w:ascii="宋体" w:hAnsi="宋体" w:eastAsia="宋体" w:cs="宋体"/>
          <w:snapToGrid/>
          <w:color w:val="auto"/>
          <w:kern w:val="2"/>
          <w:sz w:val="24"/>
          <w:szCs w:val="24"/>
          <w:highlight w:val="none"/>
        </w:rPr>
        <w:t>https://www.zcygov.cn/）获取（下载）采购文件，并于</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05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0分</w:t>
      </w:r>
      <w:r>
        <w:rPr>
          <w:rFonts w:hint="eastAsia" w:ascii="宋体" w:hAnsi="宋体" w:cs="宋体"/>
          <w:bCs/>
          <w:color w:val="auto"/>
          <w:sz w:val="24"/>
          <w:highlight w:val="none"/>
          <w:u w:val="single"/>
        </w:rPr>
        <w:t>00秒</w:t>
      </w:r>
      <w:r>
        <w:rPr>
          <w:rFonts w:hint="eastAsia" w:ascii="宋体" w:hAnsi="宋体" w:cs="宋体"/>
          <w:bCs/>
          <w:color w:val="auto"/>
          <w:sz w:val="24"/>
          <w:highlight w:val="none"/>
          <w:u w:val="singl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提交（上传）响应文件。</w:t>
      </w:r>
    </w:p>
    <w:p w14:paraId="5C1384F6">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73E0C1D5">
      <w:pPr>
        <w:snapToGrid w:val="0"/>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330100261010520000006-0512</w:t>
      </w:r>
    </w:p>
    <w:p w14:paraId="1078FADF">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项目名称：</w:t>
      </w:r>
      <w:r>
        <w:rPr>
          <w:rFonts w:hint="eastAsia" w:ascii="宋体" w:hAnsi="宋体" w:cs="宋体"/>
          <w:color w:val="auto"/>
          <w:sz w:val="24"/>
          <w:highlight w:val="none"/>
        </w:rPr>
        <w:t xml:space="preserve">旗杆东侧室外篮球场建设  </w:t>
      </w:r>
    </w:p>
    <w:p w14:paraId="0C3D0579">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预算金额（元）：1652900</w:t>
      </w:r>
      <w:r>
        <w:rPr>
          <w:rFonts w:hint="eastAsia" w:ascii="宋体" w:hAnsi="宋体" w:cs="宋体"/>
          <w:color w:val="auto"/>
          <w:sz w:val="24"/>
          <w:highlight w:val="none"/>
        </w:rPr>
        <w:t xml:space="preserve">  </w:t>
      </w:r>
    </w:p>
    <w:p w14:paraId="1C0798E0">
      <w:pPr>
        <w:snapToGrid w:val="0"/>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b/>
          <w:color w:val="auto"/>
          <w:sz w:val="24"/>
          <w:highlight w:val="none"/>
          <w:lang w:eastAsia="zh-CN"/>
        </w:rPr>
        <w:t>1649973</w:t>
      </w:r>
      <w:r>
        <w:rPr>
          <w:rFonts w:hint="eastAsia" w:ascii="宋体" w:hAnsi="宋体" w:cs="宋体"/>
          <w:color w:val="auto"/>
          <w:sz w:val="24"/>
          <w:highlight w:val="none"/>
        </w:rPr>
        <w:t xml:space="preserve">       </w:t>
      </w:r>
    </w:p>
    <w:p w14:paraId="6A807967">
      <w:pPr>
        <w:pStyle w:val="4"/>
        <w:spacing w:line="360" w:lineRule="auto"/>
        <w:ind w:firstLine="482" w:firstLineChars="200"/>
        <w:rPr>
          <w:rFonts w:hint="eastAsia"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旗杆东侧室外篮球场建设，主要内容：原有绿化场地改建成篮球场及笼式足球场四周设置4m高围网，笼式足球场内设置坐凳等。详见采购文件第三部分采购需求。</w:t>
      </w:r>
    </w:p>
    <w:p w14:paraId="5DBE4ED1">
      <w:pPr>
        <w:pStyle w:val="132"/>
        <w:snapToGrid w:val="0"/>
        <w:spacing w:before="0"/>
        <w:ind w:firstLine="482"/>
        <w:outlineLvl w:val="2"/>
        <w:rPr>
          <w:rFonts w:hint="eastAsia" w:ascii="宋体" w:hAnsi="宋体" w:cs="宋体"/>
          <w:bCs/>
          <w:color w:val="auto"/>
          <w:highlight w:val="none"/>
        </w:rPr>
      </w:pPr>
      <w:r>
        <w:rPr>
          <w:rFonts w:hint="eastAsia" w:ascii="宋体" w:hAnsi="宋体" w:cs="宋体"/>
          <w:b/>
          <w:color w:val="auto"/>
          <w:highlight w:val="none"/>
        </w:rPr>
        <w:t>合同履约期限：</w:t>
      </w:r>
      <w:r>
        <w:rPr>
          <w:rFonts w:hint="eastAsia" w:ascii="宋体" w:hAnsi="宋体" w:cs="宋体"/>
          <w:bCs/>
          <w:color w:val="auto"/>
          <w:highlight w:val="none"/>
        </w:rPr>
        <w:t>计划开始工作日期：2026年7月10日，计划竣工日期：2026年8月30日，工期52天。</w:t>
      </w:r>
    </w:p>
    <w:p w14:paraId="68E27F11">
      <w:pPr>
        <w:pStyle w:val="4"/>
        <w:spacing w:line="360" w:lineRule="auto"/>
        <w:ind w:firstLine="482" w:firstLineChars="200"/>
        <w:rPr>
          <w:rFonts w:hint="eastAsia" w:hAnsi="宋体" w:cs="宋体"/>
          <w:b/>
          <w:color w:val="auto"/>
          <w:sz w:val="24"/>
          <w:highlight w:val="none"/>
        </w:rPr>
      </w:pPr>
      <w:r>
        <w:rPr>
          <w:rFonts w:hint="eastAsia" w:hAnsi="宋体" w:cs="宋体"/>
          <w:b/>
          <w:color w:val="auto"/>
          <w:sz w:val="24"/>
          <w:highlight w:val="none"/>
        </w:rPr>
        <w:t>本项目接受联合体：</w:t>
      </w:r>
    </w:p>
    <w:p w14:paraId="54319288">
      <w:pPr>
        <w:pStyle w:val="4"/>
        <w:spacing w:line="360" w:lineRule="auto"/>
        <w:ind w:firstLine="480" w:firstLineChars="200"/>
        <w:rPr>
          <w:rFonts w:hint="eastAsia" w:hAnsi="宋体" w:cs="宋体"/>
          <w:color w:val="auto"/>
          <w:sz w:val="24"/>
          <w:highlight w:val="none"/>
        </w:rPr>
      </w:pPr>
      <w:sdt>
        <w:sdtPr>
          <w:rPr>
            <w:rFonts w:hint="eastAsia" w:hAnsi="宋体" w:cs="宋体"/>
            <w:color w:val="auto"/>
            <w:kern w:val="0"/>
            <w:sz w:val="24"/>
            <w:highlight w:val="none"/>
          </w:rPr>
          <w:id w:val="2035453831"/>
          <w14:checkbox>
            <w14:checked w14:val="1"/>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color w:val="auto"/>
          <w:sz w:val="24"/>
          <w:highlight w:val="none"/>
        </w:rPr>
        <w:t>是；</w:t>
      </w:r>
    </w:p>
    <w:p w14:paraId="0CCF3FB4">
      <w:pPr>
        <w:pStyle w:val="4"/>
        <w:spacing w:line="360" w:lineRule="auto"/>
        <w:ind w:firstLine="480" w:firstLineChars="200"/>
        <w:rPr>
          <w:rFonts w:hint="eastAsia" w:hAnsi="宋体" w:cs="宋体"/>
          <w:color w:val="auto"/>
          <w:kern w:val="0"/>
          <w:sz w:val="24"/>
          <w:highlight w:val="none"/>
        </w:rPr>
      </w:pPr>
      <w:sdt>
        <w:sdtPr>
          <w:rPr>
            <w:rFonts w:hint="eastAsia" w:hAnsi="宋体" w:cs="宋体"/>
            <w:color w:val="auto"/>
            <w:kern w:val="0"/>
            <w:sz w:val="24"/>
            <w:highlight w:val="none"/>
          </w:rPr>
          <w:id w:val="87168129"/>
          <w14:checkbox>
            <w14:checked w14:val="0"/>
            <w14:checkedState w14:val="00FE" w14:font="Wingdings"/>
            <w14:uncheckedState w14:val="2610" w14:font="MS Gothic"/>
          </w14:checkbox>
        </w:sdtPr>
        <w:sdtEndPr>
          <w:rPr>
            <w:rFonts w:hint="eastAsia" w:hAnsi="宋体" w:cs="宋体"/>
            <w:color w:val="auto"/>
            <w:kern w:val="0"/>
            <w:sz w:val="24"/>
            <w:highlight w:val="none"/>
          </w:rPr>
        </w:sdtEndPr>
        <w:sdtContent>
          <w:r>
            <w:rPr>
              <w:rFonts w:hAnsi="宋体" w:cs="宋体"/>
              <w:color w:val="auto"/>
              <w:kern w:val="0"/>
              <w:sz w:val="24"/>
              <w:highlight w:val="none"/>
            </w:rPr>
            <w:t>☐</w:t>
          </w:r>
        </w:sdtContent>
      </w:sdt>
      <w:r>
        <w:rPr>
          <w:rFonts w:hint="eastAsia" w:hAnsi="宋体" w:cs="宋体"/>
          <w:color w:val="auto"/>
          <w:sz w:val="24"/>
          <w:highlight w:val="none"/>
        </w:rPr>
        <w:t>否</w:t>
      </w:r>
      <w:r>
        <w:rPr>
          <w:rFonts w:hint="eastAsia" w:hAnsi="宋体" w:cs="宋体"/>
          <w:color w:val="auto"/>
          <w:kern w:val="0"/>
          <w:sz w:val="24"/>
          <w:highlight w:val="none"/>
        </w:rPr>
        <w:t>，不接受联合体理由：</w:t>
      </w:r>
      <w:r>
        <w:rPr>
          <w:rFonts w:hAnsi="宋体" w:cs="宋体"/>
          <w:color w:val="auto"/>
          <w:kern w:val="0"/>
          <w:sz w:val="24"/>
          <w:highlight w:val="none"/>
          <w:u w:val="single"/>
        </w:rPr>
        <w:t xml:space="preserve">              </w:t>
      </w:r>
      <w:r>
        <w:rPr>
          <w:rFonts w:hint="eastAsia" w:hAnsi="宋体" w:cs="宋体"/>
          <w:color w:val="auto"/>
          <w:kern w:val="0"/>
          <w:sz w:val="24"/>
          <w:highlight w:val="none"/>
        </w:rPr>
        <w:t>。</w:t>
      </w:r>
    </w:p>
    <w:p w14:paraId="05CB9D22">
      <w:pPr>
        <w:pStyle w:val="132"/>
        <w:snapToGrid w:val="0"/>
        <w:spacing w:before="0"/>
        <w:ind w:firstLine="482"/>
        <w:outlineLvl w:val="2"/>
        <w:rPr>
          <w:rFonts w:hint="eastAsia" w:ascii="宋体" w:hAnsi="宋体" w:cs="宋体"/>
          <w:b/>
          <w:color w:val="auto"/>
          <w:highlight w:val="none"/>
        </w:rPr>
      </w:pPr>
      <w:r>
        <w:rPr>
          <w:rFonts w:hint="eastAsia" w:ascii="宋体" w:hAnsi="宋体" w:cs="宋体"/>
          <w:b/>
          <w:color w:val="auto"/>
          <w:highlight w:val="none"/>
        </w:rPr>
        <w:t>注：不得限制大中型企业与小微企业组成联合体参与。</w:t>
      </w:r>
    </w:p>
    <w:p w14:paraId="6F57D26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二、</w:t>
      </w:r>
      <w:bookmarkStart w:id="11" w:name="_Hlk101132948"/>
      <w:r>
        <w:rPr>
          <w:rFonts w:hint="eastAsia" w:ascii="宋体" w:hAnsi="宋体" w:cs="宋体"/>
          <w:b/>
          <w:color w:val="auto"/>
          <w:sz w:val="24"/>
          <w:highlight w:val="none"/>
        </w:rPr>
        <w:t>申请人的资格要求</w:t>
      </w:r>
      <w:bookmarkEnd w:id="11"/>
      <w:r>
        <w:rPr>
          <w:rFonts w:hint="eastAsia" w:ascii="宋体" w:hAnsi="宋体" w:cs="宋体"/>
          <w:b/>
          <w:color w:val="auto"/>
          <w:sz w:val="24"/>
          <w:highlight w:val="none"/>
        </w:rPr>
        <w:t>：</w:t>
      </w:r>
    </w:p>
    <w:p w14:paraId="17309ED4">
      <w:pPr>
        <w:spacing w:line="360" w:lineRule="auto"/>
        <w:ind w:firstLine="480"/>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F49EEFA">
      <w:pPr>
        <w:spacing w:line="360" w:lineRule="auto"/>
        <w:rPr>
          <w:rFonts w:hint="eastAsia"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以联合体形式参与的，提供联合协议(本项目不接受联合体或者供应商不以联合体形式参与的，则不需要提供) ；</w:t>
      </w:r>
    </w:p>
    <w:p w14:paraId="1261BCFF">
      <w:pPr>
        <w:spacing w:line="360" w:lineRule="auto"/>
        <w:ind w:firstLine="480" w:firstLineChars="200"/>
        <w:rPr>
          <w:rFonts w:hint="eastAsia"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4A9C43C0">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无；</w:t>
      </w:r>
    </w:p>
    <w:p w14:paraId="67DFF0AB">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60915949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1520BABF">
      <w:pPr>
        <w:spacing w:line="360" w:lineRule="auto"/>
        <w:ind w:firstLine="897" w:firstLineChars="374"/>
        <w:rPr>
          <w:rFonts w:hint="eastAsia" w:ascii="宋体" w:hAnsi="宋体" w:cs="宋体"/>
          <w:color w:val="auto"/>
          <w:sz w:val="24"/>
          <w:highlight w:val="none"/>
          <w:u w:val="single"/>
        </w:rPr>
      </w:pPr>
      <w:sdt>
        <w:sdtPr>
          <w:rPr>
            <w:rFonts w:hint="eastAsia" w:ascii="宋体" w:hAnsi="宋体" w:cs="宋体"/>
            <w:color w:val="auto"/>
            <w:kern w:val="0"/>
            <w:sz w:val="24"/>
            <w:highlight w:val="none"/>
          </w:rPr>
          <w:id w:val="22816380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cs="宋体"/>
              <w:color w:val="auto"/>
              <w:kern w:val="0"/>
              <w:sz w:val="24"/>
              <w:highlight w:val="none"/>
            </w:rPr>
            <w:t>þ</w:t>
          </w:r>
        </w:sdtContent>
      </w:sdt>
      <w:r>
        <w:rPr>
          <w:rFonts w:hint="eastAsia" w:ascii="宋体" w:hAnsi="宋体" w:cs="宋体"/>
          <w:color w:val="auto"/>
          <w:sz w:val="24"/>
          <w:highlight w:val="none"/>
        </w:rPr>
        <w:t>工程全部由符合政策要求的中小企业承建，提供中小企业声明函；</w:t>
      </w:r>
    </w:p>
    <w:p w14:paraId="23A8F712">
      <w:pPr>
        <w:spacing w:line="360" w:lineRule="auto"/>
        <w:ind w:firstLine="897" w:firstLineChars="374"/>
        <w:rPr>
          <w:rFonts w:hint="eastAsia" w:ascii="宋体" w:hAnsi="宋体" w:cs="宋体"/>
          <w:color w:val="auto"/>
          <w:sz w:val="24"/>
          <w:highlight w:val="none"/>
        </w:rPr>
      </w:pPr>
      <w:sdt>
        <w:sdtPr>
          <w:rPr>
            <w:rFonts w:hint="eastAsia" w:ascii="宋体" w:hAnsi="宋体" w:cs="宋体"/>
            <w:color w:val="auto"/>
            <w:kern w:val="0"/>
            <w:sz w:val="24"/>
            <w:highlight w:val="none"/>
          </w:rPr>
          <w:id w:val="70114385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sz w:val="24"/>
          <w:highlight w:val="none"/>
        </w:rPr>
        <w:t>工程全部由符合政策要求的小微企业承建，提供中小企业声明函；</w:t>
      </w:r>
    </w:p>
    <w:p w14:paraId="241B4488">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392801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bookmarkStart w:id="12" w:name="_Hlk101132524"/>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bookmarkEnd w:id="12"/>
    <w:p w14:paraId="4520EAD3">
      <w:pPr>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如果供应商本身提供所有标的均由中小企业承建，并相应达到了前述比例要求，视同符合了资格条件，无需再向中小企业分包，无需提供分包意向协议</w:t>
      </w:r>
      <w:r>
        <w:rPr>
          <w:rFonts w:hint="eastAsia" w:ascii="宋体" w:hAnsi="宋体" w:cs="宋体"/>
          <w:color w:val="auto"/>
          <w:sz w:val="24"/>
          <w:highlight w:val="none"/>
        </w:rPr>
        <w:t>；</w:t>
      </w:r>
    </w:p>
    <w:p w14:paraId="1ADD7D31">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E1880CA">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无。</w:t>
      </w:r>
    </w:p>
    <w:p w14:paraId="4D11A3DE">
      <w:pPr>
        <w:snapToGrid w:val="0"/>
        <w:spacing w:line="360" w:lineRule="auto"/>
        <w:ind w:firstLine="480" w:firstLineChars="200"/>
        <w:rPr>
          <w:rFonts w:hint="eastAsia" w:ascii="宋体" w:hAnsi="宋体" w:cs="宋体"/>
          <w:color w:val="auto"/>
          <w:sz w:val="24"/>
          <w:highlight w:val="none"/>
        </w:rPr>
      </w:pPr>
      <w:sdt>
        <w:sdtPr>
          <w:rPr>
            <w:rFonts w:hint="eastAsia" w:ascii="宋体" w:hAnsi="宋体" w:cs="宋体"/>
            <w:color w:val="auto"/>
            <w:kern w:val="0"/>
            <w:sz w:val="24"/>
            <w:highlight w:val="none"/>
          </w:rPr>
          <w:id w:val="90064844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highlight w:val="none"/>
            </w:rPr>
            <w:t>þ</w:t>
          </w:r>
        </w:sdtContent>
      </w:sdt>
      <w:r>
        <w:rPr>
          <w:rFonts w:hint="eastAsia" w:ascii="宋体" w:hAnsi="宋体" w:cs="宋体"/>
          <w:color w:val="auto"/>
          <w:sz w:val="24"/>
          <w:highlight w:val="none"/>
        </w:rPr>
        <w:t>有特定资格要求：</w:t>
      </w:r>
    </w:p>
    <w:p w14:paraId="38C8575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（1）具有市政公用工程施工总承包三级及以上资质；具有有效的安全生产许可证；</w:t>
      </w:r>
    </w:p>
    <w:p w14:paraId="78CC4A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企业主要负责人（法定代表人、企业经理、企业分管安全生产的副经理、企业技术负责人）具有“三类人员”有效A类证书，企业分管安全生产的副经理具有任命文件；拟派项目经理具有有效的市政公用工程专业二级及以上注册建造师证书及“三类人员”有效B类证书；拟派现场安全生产专职管理人员具有“三类人员”有效C类证书。</w:t>
      </w:r>
    </w:p>
    <w:p w14:paraId="50604C4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提供拟派项目负责人无在建工程承诺书。在响应文件提交（上传）截止时间存在在其他任何在建合同工程上担任项目负责人的，不得以拟派项目负责人的身份参加本次投标。在建合同工程的开始时间为合同工程中标通知书发出日期（不通过招标方式的，开始时间为合同签订日期），结束时间为该合同工程通过验收或合同解除日期。已被其他项目推荐为第一中标候选人且已公示期的项目负责人视为有在建工程。</w:t>
      </w:r>
    </w:p>
    <w:p w14:paraId="195B6443">
      <w:pPr>
        <w:snapToGrid w:val="0"/>
        <w:spacing w:line="360" w:lineRule="auto"/>
        <w:ind w:firstLine="480" w:firstLineChars="200"/>
        <w:rPr>
          <w:rFonts w:hint="eastAsia"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2222CB7">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 xml:space="preserve">三、获取采购文件 </w:t>
      </w:r>
    </w:p>
    <w:p w14:paraId="541A422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E6955B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7A0A5579">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797DF6CB">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7071C30D">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四、响应文件提交（上传）</w:t>
      </w:r>
    </w:p>
    <w:p w14:paraId="5754CCEC">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截止时间：</w:t>
      </w:r>
      <w:r>
        <w:rPr>
          <w:rFonts w:hint="eastAsia" w:ascii="宋体" w:hAnsi="宋体" w:cs="宋体"/>
          <w:color w:val="auto"/>
          <w:sz w:val="24"/>
          <w:highlight w:val="none"/>
          <w:u w:val="single"/>
        </w:rPr>
        <w:t xml:space="preserve"> 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0分</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B4655AB">
      <w:pPr>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04517C75">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五、响应文件开启 </w:t>
      </w:r>
    </w:p>
    <w:p w14:paraId="45204761">
      <w:pPr>
        <w:spacing w:line="360" w:lineRule="auto"/>
        <w:ind w:firstLine="482" w:firstLineChars="200"/>
        <w:rPr>
          <w:rFonts w:hint="eastAsia" w:ascii="宋体" w:hAnsi="宋体" w:cs="宋体"/>
          <w:bCs/>
          <w:color w:val="auto"/>
          <w:sz w:val="24"/>
          <w:highlight w:val="none"/>
          <w:u w:val="single"/>
        </w:rPr>
      </w:pPr>
      <w:r>
        <w:rPr>
          <w:rFonts w:hint="eastAsia" w:ascii="宋体" w:hAnsi="宋体" w:cs="宋体"/>
          <w:b/>
          <w:color w:val="auto"/>
          <w:sz w:val="24"/>
          <w:highlight w:val="none"/>
        </w:rPr>
        <w:t>开启时间：</w:t>
      </w:r>
      <w:r>
        <w:rPr>
          <w:rFonts w:hint="eastAsia" w:ascii="宋体" w:hAnsi="宋体" w:cs="宋体"/>
          <w:color w:val="auto"/>
          <w:sz w:val="24"/>
          <w:highlight w:val="none"/>
          <w:u w:val="single"/>
        </w:rPr>
        <w:t>2026年</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25</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0分</w:t>
      </w:r>
      <w:r>
        <w:rPr>
          <w:rFonts w:hint="eastAsia" w:ascii="宋体" w:hAnsi="宋体" w:cs="宋体"/>
          <w:bCs/>
          <w:color w:val="auto"/>
          <w:sz w:val="24"/>
          <w:highlight w:val="none"/>
          <w:u w:val="single"/>
        </w:rPr>
        <w:t xml:space="preserve"> </w:t>
      </w:r>
    </w:p>
    <w:p w14:paraId="025F3AE5">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政采云平台（https://www.zcygov.cn/）</w:t>
      </w:r>
    </w:p>
    <w:p w14:paraId="1A6310D3">
      <w:pPr>
        <w:spacing w:line="360" w:lineRule="auto"/>
        <w:rPr>
          <w:rFonts w:hint="eastAsia" w:ascii="宋体" w:hAnsi="宋体" w:cs="宋体"/>
          <w:color w:val="auto"/>
          <w:sz w:val="24"/>
          <w:highlight w:val="none"/>
        </w:rPr>
      </w:pPr>
      <w:r>
        <w:rPr>
          <w:rFonts w:hint="eastAsia" w:ascii="宋体" w:hAnsi="宋体" w:cs="宋体"/>
          <w:b/>
          <w:color w:val="auto"/>
          <w:sz w:val="24"/>
          <w:highlight w:val="none"/>
        </w:rPr>
        <w:t xml:space="preserve">六、公告期限 </w:t>
      </w:r>
    </w:p>
    <w:p w14:paraId="658939E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自本公告发布之日起3个工作日。</w:t>
      </w:r>
    </w:p>
    <w:p w14:paraId="5C7E6BAA">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七、其他补充事宜</w:t>
      </w:r>
    </w:p>
    <w:p w14:paraId="78F54D6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1.《浙江省财政厅关于进一步发挥政府采购政策功能全力推动经济稳进提质的通知》 （浙财采监（2022）3号）、《浙江省财政厅关于进一步促进政府采购公平竞争打造最优营商环境的通知》（浙财采监（2021）22号）、《</w:t>
      </w:r>
      <w:r>
        <w:rPr>
          <w:rFonts w:ascii="华文中宋" w:hAnsi="华文中宋" w:eastAsia="华文中宋" w:cs="华文中宋"/>
          <w:color w:val="auto"/>
          <w:sz w:val="24"/>
          <w:highlight w:val="none"/>
          <w:shd w:val="clear" w:color="auto" w:fill="FFFFFF"/>
        </w:rPr>
        <w:t>浙江省财政厅关于进一步加大政府采购 支持中小企业力度 助力扎实稳住经济 的通知</w:t>
      </w:r>
      <w:r>
        <w:rPr>
          <w:rFonts w:hint="eastAsia" w:ascii="华文中宋" w:hAnsi="华文中宋" w:eastAsia="华文中宋" w:cs="华文中宋"/>
          <w:color w:val="auto"/>
          <w:sz w:val="24"/>
          <w:highlight w:val="none"/>
          <w:shd w:val="clear" w:color="auto" w:fill="FFFFFF"/>
        </w:rPr>
        <w:t>》（浙财采监〔2022〕8号）</w:t>
      </w:r>
      <w:r>
        <w:rPr>
          <w:rFonts w:hint="eastAsia" w:ascii="宋体" w:hAnsi="宋体" w:cs="宋体"/>
          <w:color w:val="auto"/>
          <w:sz w:val="24"/>
          <w:highlight w:val="none"/>
        </w:rPr>
        <w:t>已分别于2022年1月29日、2022年2月1日和2022年7月1日开始实施，此前有关规定与上述文件内容不一致的，按上述文件要求执行。</w:t>
      </w:r>
    </w:p>
    <w:p w14:paraId="75A7FAF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5350D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F51E94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采购文件的第二部分总则。（2）电子交易的说明：①电子交易：本项目以数据电文形式，依托“政府采购云平台（www.zcygov.cn）”进行招投标活动，不接受纸质响应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采购文件的获取：使用账号登录或者使用CA登录政采云平台；进入“项目采购”应用，在获取采购文件菜单中选择项目，获取采购文件；④响应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采购文件的供应商进行投标活动； ⑥对未按上述方式获取采购文件的供应商对该文件提出的质疑，采购人或采购代理机构将不予处理；⑦不提供采购文件纸质版；⑧响应文件的传输递交：供应商在响应文件提交（上传）截止时间前将加密的响应文件上传至政府采购云平台，还可以在响应文件提交（上传）截止时间前直接提交或者以邮政快递方式递交备份响应文件1份。备份响应文件的制作、存储、密封详见采购文件第二部分第15点—“备份响应文件”；⑨响应文件的解密：供应商按照平台提示和采购文件的规定在半小时内完成在线解密。通过“政府采购云平台”上传递交的响应文件无法按时解密，供应商递交了备份响应文件的，以备份响应文件为依据，否则视为响应文件撤回。通过“政府采购云平台”上传递交的响应文件已按时解密的，备份响应文件自动失效。供应商仅提交备份响应文件，未在电子交易平台传输递交响应文件的，响应文件无效；⑩具体操作指南：详见政采云平台“服务中心-帮助文档-项目采购-操作流程-电子招投标-政府采购项目电子交易管理操作指南-供应商”。（3）采购文件公告期限与竞争性磋商公告的公告期限一致。</w:t>
      </w:r>
    </w:p>
    <w:p w14:paraId="446E3A94">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八、对本次采购提出询问、质疑、投诉，请按以下方式联系</w:t>
      </w:r>
    </w:p>
    <w:p w14:paraId="53CA230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1.采购人信息</w:t>
      </w:r>
    </w:p>
    <w:p w14:paraId="0CAF50B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名    称：杭州市中策职业学校钱塘学校    </w:t>
      </w:r>
    </w:p>
    <w:p w14:paraId="3CB734C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Theme="majorEastAsia" w:hAnsiTheme="majorEastAsia" w:eastAsiaTheme="majorEastAsia"/>
          <w:color w:val="auto"/>
          <w:sz w:val="24"/>
          <w:highlight w:val="none"/>
        </w:rPr>
        <w:t>杭州市钱塘新区奕策巷1号</w:t>
      </w:r>
      <w:r>
        <w:rPr>
          <w:rFonts w:hint="eastAsia" w:ascii="宋体" w:hAnsi="宋体" w:cs="宋体"/>
          <w:color w:val="auto"/>
          <w:sz w:val="24"/>
          <w:highlight w:val="none"/>
        </w:rPr>
        <w:t xml:space="preserve">      </w:t>
      </w:r>
    </w:p>
    <w:p w14:paraId="5B714D2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传    真： /</w:t>
      </w:r>
    </w:p>
    <w:p w14:paraId="24AA93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项目联系人（询问）： </w:t>
      </w:r>
      <w:r>
        <w:rPr>
          <w:rFonts w:hint="eastAsia" w:asciiTheme="majorEastAsia" w:hAnsiTheme="majorEastAsia" w:eastAsiaTheme="majorEastAsia"/>
          <w:color w:val="auto"/>
          <w:sz w:val="24"/>
          <w:highlight w:val="none"/>
        </w:rPr>
        <w:t>蒋老师</w:t>
      </w:r>
      <w:r>
        <w:rPr>
          <w:rFonts w:hint="eastAsia" w:ascii="宋体" w:hAnsi="宋体" w:cs="宋体"/>
          <w:color w:val="auto"/>
          <w:sz w:val="24"/>
          <w:highlight w:val="none"/>
        </w:rPr>
        <w:t xml:space="preserve"> </w:t>
      </w:r>
    </w:p>
    <w:p w14:paraId="3EF26BB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项目联系方式（询问）：0571-86659600</w:t>
      </w:r>
    </w:p>
    <w:p w14:paraId="751B0BD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质疑联系人：</w:t>
      </w:r>
      <w:r>
        <w:rPr>
          <w:rFonts w:hint="eastAsia" w:asciiTheme="majorEastAsia" w:hAnsiTheme="majorEastAsia" w:eastAsiaTheme="majorEastAsia"/>
          <w:color w:val="auto"/>
          <w:sz w:val="24"/>
          <w:highlight w:val="none"/>
        </w:rPr>
        <w:t>童老师</w:t>
      </w:r>
      <w:r>
        <w:rPr>
          <w:rFonts w:hint="eastAsia" w:ascii="宋体" w:hAnsi="宋体" w:cs="宋体"/>
          <w:color w:val="auto"/>
          <w:sz w:val="24"/>
          <w:highlight w:val="none"/>
        </w:rPr>
        <w:t xml:space="preserve"> </w:t>
      </w:r>
    </w:p>
    <w:p w14:paraId="29A2386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质疑联系方式：0571-86659577 </w:t>
      </w:r>
    </w:p>
    <w:p w14:paraId="4F5BC19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2.采购代理机构信息            </w:t>
      </w:r>
    </w:p>
    <w:p w14:paraId="0E1E410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称：浙江中通通信有限公司</w:t>
      </w:r>
    </w:p>
    <w:p w14:paraId="39B08EF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地    址：杭州市拱墅区河东路215号</w:t>
      </w:r>
    </w:p>
    <w:p w14:paraId="45697E2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传    真：/            </w:t>
      </w:r>
    </w:p>
    <w:p w14:paraId="7B18C77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项目联系人（询问）：干祥平          </w:t>
      </w:r>
    </w:p>
    <w:p w14:paraId="00A9671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项目联系方式（询问）：15068155620</w:t>
      </w:r>
    </w:p>
    <w:p w14:paraId="7DE4BA30">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质疑联系人：严老师             </w:t>
      </w:r>
    </w:p>
    <w:p w14:paraId="4AC7C5A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质疑联系方式：13967186642</w:t>
      </w:r>
    </w:p>
    <w:p w14:paraId="6CF6E44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3.同级政府采购监督管理部门            </w:t>
      </w:r>
    </w:p>
    <w:p w14:paraId="56A113C5">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    称：杭州市财政局政府采购监管处 /浙江省政府采购行政裁决服务中心（杭州）</w:t>
      </w:r>
    </w:p>
    <w:p w14:paraId="7C80569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地    址：杭州市上城区清泰街549号城建综合大楼11楼（快递仅限ems或顺丰） </w:t>
      </w:r>
    </w:p>
    <w:p w14:paraId="6286B98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6587F51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联系人 ：朱女士、王女士</w:t>
      </w:r>
    </w:p>
    <w:p w14:paraId="2BD1472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监督投诉电话：0571-87227671,0571-87800218     </w:t>
      </w:r>
    </w:p>
    <w:p w14:paraId="16A42D1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Theme="minorEastAsia" w:hAnsiTheme="minorEastAsia" w:eastAsiaTheme="minorEastAsia"/>
          <w:color w:val="auto"/>
          <w:sz w:val="24"/>
          <w:highlight w:val="none"/>
        </w:rPr>
        <w:t>95763</w:t>
      </w:r>
      <w:r>
        <w:rPr>
          <w:rFonts w:hint="eastAsia" w:ascii="宋体" w:hAnsi="宋体" w:cs="宋体"/>
          <w:color w:val="auto"/>
          <w:sz w:val="24"/>
          <w:highlight w:val="none"/>
        </w:rPr>
        <w:t>获取热线服务帮助。</w:t>
      </w:r>
    </w:p>
    <w:p w14:paraId="3362977C">
      <w:pPr>
        <w:snapToGrid w:val="0"/>
        <w:spacing w:line="360" w:lineRule="auto"/>
        <w:ind w:firstLine="480" w:firstLineChars="200"/>
        <w:rPr>
          <w:rFonts w:hint="eastAsia" w:ascii="宋体" w:hAnsi="宋体" w:cs="宋体"/>
          <w:color w:val="auto"/>
          <w:sz w:val="24"/>
          <w:highlight w:val="none"/>
        </w:rPr>
        <w:sectPr>
          <w:headerReference r:id="rId4" w:type="first"/>
          <w:footerReference r:id="rId7" w:type="first"/>
          <w:headerReference r:id="rId3" w:type="default"/>
          <w:footerReference r:id="rId5" w:type="default"/>
          <w:footerReference r:id="rId6" w:type="even"/>
          <w:pgSz w:w="11906" w:h="16838"/>
          <w:pgMar w:top="1440" w:right="1080" w:bottom="1440" w:left="1080" w:header="851" w:footer="992" w:gutter="0"/>
          <w:cols w:space="720" w:num="1"/>
          <w:titlePg/>
          <w:docGrid w:linePitch="312" w:charSpace="0"/>
        </w:sectPr>
      </w:pPr>
      <w:r>
        <w:rPr>
          <w:rFonts w:hint="eastAsia" w:ascii="宋体" w:hAnsi="宋体" w:cs="宋体"/>
          <w:color w:val="auto"/>
          <w:sz w:val="24"/>
          <w:highlight w:val="none"/>
        </w:rPr>
        <w:t>CA问题联系电话（人工）：汇信CA 400-888-4636；天谷CA 400-087-8198。</w:t>
      </w:r>
    </w:p>
    <w:p w14:paraId="685A3880">
      <w:pPr>
        <w:pStyle w:val="35"/>
        <w:spacing w:line="360" w:lineRule="auto"/>
        <w:jc w:val="center"/>
        <w:outlineLvl w:val="0"/>
        <w:rPr>
          <w:rFonts w:hint="eastAsia" w:hAnsi="宋体" w:cs="宋体"/>
          <w:b/>
          <w:snapToGrid/>
          <w:color w:val="auto"/>
          <w:sz w:val="36"/>
          <w:szCs w:val="20"/>
          <w:highlight w:val="none"/>
        </w:rPr>
      </w:pPr>
      <w:r>
        <w:rPr>
          <w:rFonts w:hint="eastAsia" w:hAnsi="宋体" w:cs="宋体"/>
          <w:b/>
          <w:snapToGrid/>
          <w:color w:val="auto"/>
          <w:sz w:val="36"/>
          <w:szCs w:val="20"/>
          <w:highlight w:val="none"/>
        </w:rPr>
        <w:t>第二部分</w:t>
      </w:r>
      <w:bookmarkEnd w:id="8"/>
      <w:r>
        <w:rPr>
          <w:rFonts w:hint="eastAsia" w:hAnsi="宋体" w:cs="宋体"/>
          <w:b/>
          <w:snapToGrid/>
          <w:color w:val="auto"/>
          <w:sz w:val="36"/>
          <w:szCs w:val="20"/>
          <w:highlight w:val="none"/>
        </w:rPr>
        <w:t xml:space="preserve"> 供应商须知</w:t>
      </w:r>
      <w:bookmarkEnd w:id="9"/>
    </w:p>
    <w:p w14:paraId="68367923">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14"/>
        <w:gridCol w:w="2093"/>
        <w:gridCol w:w="6927"/>
      </w:tblGrid>
      <w:tr w14:paraId="05D2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0CD23079">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093" w:type="dxa"/>
            <w:vAlign w:val="center"/>
          </w:tcPr>
          <w:p w14:paraId="769A55FD">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事项</w:t>
            </w:r>
          </w:p>
        </w:tc>
        <w:tc>
          <w:tcPr>
            <w:tcW w:w="6927" w:type="dxa"/>
            <w:vAlign w:val="center"/>
          </w:tcPr>
          <w:p w14:paraId="19E1C86B">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本项目的特别规定</w:t>
            </w:r>
          </w:p>
        </w:tc>
      </w:tr>
      <w:tr w14:paraId="67869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4D06B7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093" w:type="dxa"/>
            <w:vAlign w:val="center"/>
          </w:tcPr>
          <w:p w14:paraId="7AB6FDC1">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项目属性</w:t>
            </w:r>
          </w:p>
        </w:tc>
        <w:tc>
          <w:tcPr>
            <w:tcW w:w="6927" w:type="dxa"/>
            <w:vAlign w:val="center"/>
          </w:tcPr>
          <w:p w14:paraId="5931D35E">
            <w:pPr>
              <w:spacing w:line="360" w:lineRule="auto"/>
              <w:rPr>
                <w:rFonts w:hint="eastAsia" w:ascii="宋体" w:hAnsi="宋体" w:cs="宋体"/>
                <w:color w:val="auto"/>
                <w:sz w:val="24"/>
                <w:highlight w:val="none"/>
              </w:rPr>
            </w:pPr>
            <w:r>
              <w:rPr>
                <w:rFonts w:hint="eastAsia" w:ascii="宋体" w:hAnsi="宋体" w:cs="宋体"/>
                <w:color w:val="auto"/>
                <w:kern w:val="0"/>
                <w:sz w:val="24"/>
                <w:highlight w:val="none"/>
              </w:rPr>
              <w:t>工程</w:t>
            </w:r>
            <w:r>
              <w:rPr>
                <w:rFonts w:hint="eastAsia" w:ascii="宋体" w:hAnsi="宋体" w:cs="宋体"/>
                <w:color w:val="auto"/>
                <w:sz w:val="24"/>
                <w:highlight w:val="none"/>
              </w:rPr>
              <w:t>类</w:t>
            </w:r>
          </w:p>
        </w:tc>
      </w:tr>
      <w:tr w14:paraId="0662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31BCF530">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2093" w:type="dxa"/>
            <w:vAlign w:val="center"/>
          </w:tcPr>
          <w:p w14:paraId="3916F2CD">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927" w:type="dxa"/>
            <w:vAlign w:val="center"/>
          </w:tcPr>
          <w:p w14:paraId="406D7D70">
            <w:pPr>
              <w:pStyle w:val="3"/>
              <w:rPr>
                <w:rFonts w:hint="eastAsia" w:ascii="宋体" w:hAnsi="宋体" w:cs="宋体"/>
                <w:color w:val="auto"/>
                <w:kern w:val="0"/>
                <w:sz w:val="24"/>
                <w:highlight w:val="none"/>
              </w:rPr>
            </w:pP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旗杆东侧室外篮球场建设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建筑业 </w:t>
            </w:r>
            <w:r>
              <w:rPr>
                <w:rFonts w:hint="eastAsia" w:ascii="宋体" w:hAnsi="宋体" w:cs="宋体"/>
                <w:color w:val="auto"/>
                <w:kern w:val="0"/>
                <w:sz w:val="24"/>
                <w:highlight w:val="none"/>
              </w:rPr>
              <w:t>行业；</w:t>
            </w:r>
          </w:p>
          <w:p w14:paraId="4371F8CB">
            <w:pPr>
              <w:pStyle w:val="3"/>
              <w:ind w:left="0" w:firstLine="0"/>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根据《关于印发中小企业划型标准规定的通知》（工信部联企业〔2011〕300号）第四条第（三）项规定：建筑业行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14:paraId="4A33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8D7DC3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2093" w:type="dxa"/>
            <w:vAlign w:val="center"/>
          </w:tcPr>
          <w:p w14:paraId="5C279A8B">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927" w:type="dxa"/>
            <w:vAlign w:val="center"/>
          </w:tcPr>
          <w:p w14:paraId="7660B6A9">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39348121"/>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774C6E5F">
            <w:pPr>
              <w:spacing w:line="360" w:lineRule="auto"/>
              <w:rPr>
                <w:rFonts w:hint="eastAsia" w:ascii="宋体" w:hAnsi="宋体" w:cs="宋体"/>
                <w:color w:val="auto"/>
                <w:highlight w:val="none"/>
              </w:rPr>
            </w:pPr>
            <w:sdt>
              <w:sdtPr>
                <w:rPr>
                  <w:rFonts w:hint="eastAsia" w:ascii="宋体" w:hAnsi="宋体" w:cs="宋体"/>
                  <w:color w:val="auto"/>
                  <w:kern w:val="0"/>
                  <w:sz w:val="24"/>
                  <w:highlight w:val="none"/>
                </w:rPr>
                <w:id w:val="934249032"/>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348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90AE9C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2093" w:type="dxa"/>
            <w:vAlign w:val="center"/>
          </w:tcPr>
          <w:p w14:paraId="22B762BE">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分包</w:t>
            </w:r>
          </w:p>
        </w:tc>
        <w:tc>
          <w:tcPr>
            <w:tcW w:w="6927" w:type="dxa"/>
            <w:vAlign w:val="center"/>
          </w:tcPr>
          <w:p w14:paraId="7053D8A1">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83050787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5BAA8EE0">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8957932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不同意分包，具体理由：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93800EA">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12298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DA2747E">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2093" w:type="dxa"/>
            <w:vAlign w:val="center"/>
          </w:tcPr>
          <w:p w14:paraId="3C5BF8DD">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磋商前答疑会或现场考察</w:t>
            </w:r>
          </w:p>
        </w:tc>
        <w:tc>
          <w:tcPr>
            <w:tcW w:w="6927" w:type="dxa"/>
            <w:vAlign w:val="center"/>
          </w:tcPr>
          <w:p w14:paraId="2F671020">
            <w:pPr>
              <w:pStyle w:val="82"/>
              <w:spacing w:line="360" w:lineRule="auto"/>
              <w:ind w:firstLine="0" w:firstLineChars="0"/>
              <w:rPr>
                <w:rFonts w:hint="eastAsia" w:ascii="宋体" w:hAnsi="宋体" w:cs="宋体"/>
                <w:color w:val="auto"/>
                <w:sz w:val="24"/>
                <w:highlight w:val="none"/>
              </w:rPr>
            </w:pPr>
            <w:sdt>
              <w:sdtPr>
                <w:rPr>
                  <w:rFonts w:hint="eastAsia" w:ascii="宋体" w:hAnsi="宋体" w:cs="宋体"/>
                  <w:color w:val="auto"/>
                  <w:sz w:val="24"/>
                  <w:highlight w:val="none"/>
                </w:rPr>
                <w:id w:val="688692135"/>
                <w14:checkbox>
                  <w14:checked w14:val="1"/>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宋体" w:hAnsi="宋体" w:cs="宋体"/>
                    <w:color w:val="auto"/>
                    <w:sz w:val="24"/>
                    <w:highlight w:val="none"/>
                  </w:rPr>
                  <w:sym w:font="Wingdings" w:char="F0FE"/>
                </w:r>
              </w:sdtContent>
            </w:sdt>
            <w:r>
              <w:rPr>
                <w:rFonts w:hint="eastAsia" w:ascii="宋体" w:hAnsi="宋体" w:cs="宋体"/>
                <w:color w:val="auto"/>
                <w:sz w:val="24"/>
                <w:highlight w:val="none"/>
              </w:rPr>
              <w:t>A不组织。</w:t>
            </w:r>
          </w:p>
          <w:p w14:paraId="1FE26D4D">
            <w:pPr>
              <w:pStyle w:val="82"/>
              <w:spacing w:line="360" w:lineRule="auto"/>
              <w:ind w:firstLine="0" w:firstLineChars="0"/>
              <w:rPr>
                <w:rFonts w:hint="eastAsia" w:ascii="宋体" w:hAnsi="宋体" w:cs="宋体"/>
                <w:color w:val="auto"/>
                <w:sz w:val="24"/>
                <w:szCs w:val="20"/>
                <w:highlight w:val="none"/>
              </w:rPr>
            </w:pPr>
            <w:sdt>
              <w:sdtPr>
                <w:rPr>
                  <w:rFonts w:hint="eastAsia" w:ascii="宋体" w:hAnsi="宋体" w:cs="宋体"/>
                  <w:color w:val="auto"/>
                  <w:sz w:val="24"/>
                  <w:highlight w:val="none"/>
                </w:rPr>
                <w:id w:val="374731186"/>
                <w14:checkbox>
                  <w14:checked w14:val="0"/>
                  <w14:checkedState w14:val="00FE" w14:font="Wingdings"/>
                  <w14:uncheckedState w14:val="2610" w14:font="MS Gothic"/>
                </w14:checkbox>
              </w:sdtPr>
              <w:sdtEndPr>
                <w:rPr>
                  <w:rFonts w:hint="eastAsia" w:ascii="宋体" w:hAnsi="宋体" w:cs="宋体"/>
                  <w:color w:val="auto"/>
                  <w:sz w:val="24"/>
                  <w:highlight w:val="none"/>
                </w:rPr>
              </w:sdtEndPr>
              <w:sdtContent>
                <w:r>
                  <w:rPr>
                    <w:rFonts w:hint="eastAsia" w:ascii="宋体" w:hAnsi="宋体" w:cs="宋体"/>
                    <w:color w:val="auto"/>
                    <w:sz w:val="24"/>
                    <w:highlight w:val="none"/>
                  </w:rPr>
                  <w:t>☐</w:t>
                </w:r>
              </w:sdtContent>
            </w:sdt>
            <w:r>
              <w:rPr>
                <w:rFonts w:hint="eastAsia" w:ascii="宋体" w:hAnsi="宋体" w:cs="宋体"/>
                <w:color w:val="auto"/>
                <w:sz w:val="24"/>
                <w:highlight w:val="none"/>
              </w:rPr>
              <w:t>B组织，时间：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4C87D600">
            <w:pPr>
              <w:pStyle w:val="82"/>
              <w:ind w:firstLine="0" w:firstLineChars="0"/>
              <w:rPr>
                <w:rFonts w:hint="eastAsia"/>
                <w:color w:val="auto"/>
                <w:highlight w:val="none"/>
              </w:rPr>
            </w:pPr>
            <w:r>
              <w:rPr>
                <w:rFonts w:hint="eastAsia" w:ascii="宋体" w:hAnsi="宋体" w:cs="宋体"/>
                <w:color w:val="auto"/>
                <w:sz w:val="24"/>
                <w:highlight w:val="none"/>
              </w:rPr>
              <w:t>☐C不统一组织，供应商在获取采购文件后，自行至项目现场考察。地点： ，联系人： ，联系方式： 。</w:t>
            </w:r>
          </w:p>
        </w:tc>
      </w:tr>
      <w:tr w14:paraId="5113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5EF558D2">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2093" w:type="dxa"/>
            <w:vAlign w:val="center"/>
          </w:tcPr>
          <w:p w14:paraId="055D62A2">
            <w:pPr>
              <w:snapToGrid w:val="0"/>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样品提供</w:t>
            </w:r>
          </w:p>
        </w:tc>
        <w:tc>
          <w:tcPr>
            <w:tcW w:w="6927" w:type="dxa"/>
            <w:vAlign w:val="center"/>
          </w:tcPr>
          <w:p w14:paraId="6A9D9B5E">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8621118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3B5E6008">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cs="宋体"/>
                    <w:color w:val="auto"/>
                    <w:kern w:val="0"/>
                    <w:sz w:val="24"/>
                    <w:highlight w:val="none"/>
                  </w:rPr>
                  <w:t>þ</w:t>
                </w:r>
              </w:sdtContent>
            </w:sdt>
            <w:r>
              <w:rPr>
                <w:rFonts w:hint="eastAsia" w:ascii="宋体" w:hAnsi="宋体" w:cs="宋体"/>
                <w:color w:val="auto"/>
                <w:kern w:val="0"/>
                <w:sz w:val="24"/>
                <w:highlight w:val="none"/>
              </w:rPr>
              <w:t>B要求提供，</w:t>
            </w:r>
          </w:p>
          <w:p w14:paraId="2E96E88D">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 = 1 \* GB3 \* MERGEFORMAT </w:instrText>
            </w:r>
            <w:r>
              <w:rPr>
                <w:rFonts w:hint="eastAsia" w:ascii="宋体" w:hAnsi="宋体" w:cs="宋体"/>
                <w:color w:val="auto"/>
                <w:sz w:val="24"/>
                <w:highlight w:val="none"/>
                <w:u w:val="single"/>
              </w:rPr>
              <w:fldChar w:fldCharType="separate"/>
            </w:r>
            <w:r>
              <w:rPr>
                <w:color w:val="auto"/>
                <w:highlight w:val="none"/>
              </w:rPr>
              <w:t>①</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 xml:space="preserve">、9mm厚（5+4）复合型硅PU样块（尺寸60cm*60cm）  </w:t>
            </w:r>
            <w:r>
              <w:rPr>
                <w:rFonts w:hint="eastAsia" w:ascii="宋体" w:hAnsi="宋体" w:cs="宋体"/>
                <w:color w:val="auto"/>
                <w:sz w:val="24"/>
                <w:highlight w:val="none"/>
                <w:u w:val="single"/>
              </w:rPr>
              <w:fldChar w:fldCharType="begin"/>
            </w:r>
            <w:r>
              <w:rPr>
                <w:rFonts w:hint="eastAsia" w:ascii="宋体" w:hAnsi="宋体" w:cs="宋体"/>
                <w:color w:val="auto"/>
                <w:sz w:val="24"/>
                <w:highlight w:val="none"/>
                <w:u w:val="single"/>
              </w:rPr>
              <w:instrText xml:space="preserve"> = 2 \* GB3 \* MERGEFORMAT </w:instrText>
            </w:r>
            <w:r>
              <w:rPr>
                <w:rFonts w:hint="eastAsia" w:ascii="宋体" w:hAnsi="宋体" w:cs="宋体"/>
                <w:color w:val="auto"/>
                <w:sz w:val="24"/>
                <w:highlight w:val="none"/>
                <w:u w:val="single"/>
              </w:rPr>
              <w:fldChar w:fldCharType="separate"/>
            </w:r>
            <w:r>
              <w:rPr>
                <w:color w:val="auto"/>
                <w:highlight w:val="none"/>
              </w:rPr>
              <w:t>②</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u w:val="single"/>
              </w:rPr>
              <w:t xml:space="preserve">、50mm高人造草坪样块（尺寸80cm*80cm、中间10cm白草编织）  </w:t>
            </w:r>
            <w:r>
              <w:rPr>
                <w:rFonts w:hint="eastAsia" w:ascii="宋体" w:hAnsi="宋体" w:cs="宋体"/>
                <w:color w:val="auto"/>
                <w:kern w:val="0"/>
                <w:sz w:val="24"/>
                <w:highlight w:val="none"/>
              </w:rPr>
              <w:t>；</w:t>
            </w:r>
          </w:p>
          <w:p w14:paraId="6E64344C">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详见第三部分采购需求   </w:t>
            </w:r>
            <w:r>
              <w:rPr>
                <w:rFonts w:hint="eastAsia" w:ascii="宋体" w:hAnsi="宋体" w:cs="宋体"/>
                <w:color w:val="auto"/>
                <w:kern w:val="0"/>
                <w:sz w:val="24"/>
                <w:highlight w:val="none"/>
              </w:rPr>
              <w:t>；</w:t>
            </w:r>
          </w:p>
          <w:p w14:paraId="153747F7">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评审办法</w:t>
            </w:r>
            <w:r>
              <w:rPr>
                <w:rFonts w:hint="eastAsia" w:ascii="宋体" w:hAnsi="宋体" w:cs="宋体"/>
                <w:color w:val="auto"/>
                <w:kern w:val="0"/>
                <w:sz w:val="24"/>
                <w:highlight w:val="none"/>
              </w:rPr>
              <w:t>；</w:t>
            </w:r>
          </w:p>
          <w:p w14:paraId="04D0880E">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cs="宋体"/>
                    <w:color w:val="auto"/>
                    <w:kern w:val="0"/>
                    <w:sz w:val="24"/>
                    <w:highlight w:val="none"/>
                  </w:rPr>
                  <w:t>þ</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F0032D6">
            <w:pPr>
              <w:spacing w:line="360" w:lineRule="auto"/>
              <w:rPr>
                <w:rFonts w:hint="eastAsia"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响应文件提交（上传）截止时间前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杭州市拱墅区河东路215号D楼二楼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蒋亦文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19157898865 </w:t>
            </w:r>
            <w:r>
              <w:rPr>
                <w:rFonts w:hint="eastAsia" w:ascii="宋体" w:hAnsi="宋体" w:cs="宋体"/>
                <w:color w:val="auto"/>
                <w:sz w:val="24"/>
                <w:highlight w:val="none"/>
              </w:rPr>
              <w:t>。请供应商在上述时间内提供样品并按规定位置安装完毕。超过截止时间的，采购人或采购代理机构将不予接收，并将清场并封闭样品现场。</w:t>
            </w:r>
          </w:p>
          <w:p w14:paraId="55AB2CF5">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(6)采购活动结束后，对于未成交供应商提供的样品，采购人、采购代理机构将通知未成交供应商在规定的时间内取回，逾期未取回的，采购人、采购代理机构不负保管义务；对于成交供应商提供的样品，采购人将进行保管、封存，并作为履约验收的参考。</w:t>
            </w:r>
          </w:p>
          <w:p w14:paraId="22E89E74">
            <w:pPr>
              <w:spacing w:line="360" w:lineRule="auto"/>
              <w:rPr>
                <w:rFonts w:hint="eastAsia" w:ascii="宋体" w:hAnsi="宋体" w:cs="宋体"/>
                <w:b/>
                <w:color w:val="auto"/>
                <w:sz w:val="24"/>
                <w:highlight w:val="none"/>
              </w:rPr>
            </w:pPr>
            <w:r>
              <w:rPr>
                <w:rFonts w:hint="eastAsia" w:ascii="宋体" w:hAnsi="宋体" w:cs="宋体"/>
                <w:color w:val="auto"/>
                <w:sz w:val="24"/>
                <w:highlight w:val="none"/>
              </w:rPr>
              <w:t>（7）制作、运输、安装和保管样品所发生的一切费用由供应商自理。</w:t>
            </w:r>
          </w:p>
        </w:tc>
      </w:tr>
      <w:tr w14:paraId="55B83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7631CEC5">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2093" w:type="dxa"/>
            <w:vAlign w:val="center"/>
          </w:tcPr>
          <w:p w14:paraId="6FD65B77">
            <w:pPr>
              <w:snapToGrid w:val="0"/>
              <w:spacing w:line="360" w:lineRule="auto"/>
              <w:jc w:val="center"/>
              <w:rPr>
                <w:rFonts w:hint="eastAsia" w:ascii="宋体" w:hAnsi="宋体" w:cs="宋体"/>
                <w:bCs/>
                <w:color w:val="auto"/>
                <w:sz w:val="24"/>
                <w:highlight w:val="none"/>
              </w:rPr>
            </w:pPr>
            <w:r>
              <w:rPr>
                <w:rFonts w:hint="eastAsia" w:ascii="宋体" w:hAnsi="宋体" w:cs="宋体"/>
                <w:b/>
                <w:color w:val="auto"/>
                <w:sz w:val="24"/>
                <w:highlight w:val="none"/>
              </w:rPr>
              <w:t>方案讲解演示</w:t>
            </w:r>
          </w:p>
        </w:tc>
        <w:tc>
          <w:tcPr>
            <w:tcW w:w="6927" w:type="dxa"/>
            <w:vAlign w:val="center"/>
          </w:tcPr>
          <w:p w14:paraId="0D7FE6D5">
            <w:pPr>
              <w:spacing w:line="360" w:lineRule="auto"/>
              <w:rPr>
                <w:rFonts w:hint="eastAsia" w:ascii="宋体" w:hAnsi="宋体" w:cs="宋体"/>
                <w:color w:val="auto"/>
                <w:sz w:val="24"/>
                <w:highlight w:val="none"/>
              </w:rPr>
            </w:pPr>
            <w:sdt>
              <w:sdtPr>
                <w:rPr>
                  <w:rFonts w:hint="eastAsia" w:ascii="宋体" w:hAnsi="宋体" w:cs="宋体"/>
                  <w:color w:val="auto"/>
                  <w:kern w:val="0"/>
                  <w:sz w:val="24"/>
                  <w:highlight w:val="none"/>
                </w:rPr>
                <w:id w:val="50545689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EC743EE">
            <w:pPr>
              <w:spacing w:line="360" w:lineRule="auto"/>
              <w:rPr>
                <w:rFonts w:hint="eastAsia"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3D85F766">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（1）在评审时安排每个供应商进行方案讲解演示。每个供应商时间不超过</w:t>
            </w:r>
            <w:r>
              <w:rPr>
                <w:rFonts w:hint="eastAsia" w:ascii="宋体" w:hAnsi="宋体" w:cs="宋体"/>
                <w:color w:val="auto"/>
                <w:kern w:val="0"/>
                <w:sz w:val="24"/>
                <w:highlight w:val="none"/>
                <w:u w:val="single"/>
              </w:rPr>
              <w:t>20（编制时可根据项目情况进行调整）</w:t>
            </w:r>
            <w:r>
              <w:rPr>
                <w:rFonts w:hint="eastAsia" w:ascii="宋体" w:hAnsi="宋体" w:cs="宋体"/>
                <w:color w:val="auto"/>
                <w:kern w:val="0"/>
                <w:sz w:val="24"/>
                <w:highlight w:val="none"/>
              </w:rPr>
              <w:t>分钟，讲解次序以响应文件解密时间先后次序为准，讲解演示人员不超过</w:t>
            </w:r>
            <w:r>
              <w:rPr>
                <w:rFonts w:hint="eastAsia" w:ascii="宋体" w:hAnsi="宋体" w:cs="宋体"/>
                <w:color w:val="auto"/>
                <w:kern w:val="0"/>
                <w:sz w:val="24"/>
                <w:highlight w:val="none"/>
                <w:u w:val="single"/>
              </w:rPr>
              <w:t>3（编制时可根据项目情况进行调整）</w:t>
            </w:r>
            <w:r>
              <w:rPr>
                <w:rFonts w:hint="eastAsia" w:ascii="宋体" w:hAnsi="宋体" w:cs="宋体"/>
                <w:color w:val="auto"/>
                <w:kern w:val="0"/>
                <w:sz w:val="24"/>
                <w:highlight w:val="none"/>
              </w:rPr>
              <w:t>人。讲解演示结束后按要求解答磋商小组提问。</w:t>
            </w:r>
          </w:p>
          <w:p w14:paraId="5770DA4C">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1F737213">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方式一：政采云平台在线讲解演示。政采云平台在线讲解需供应商根据政采云平台操作要求做好准备工作，提前完善软硬件配置环境。</w:t>
            </w:r>
          </w:p>
          <w:p w14:paraId="2AEBFBE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，讲解演示所用电脑等设备由供应商自备。现场讲解演示人员进场时提供讲解人员名单（加盖公章或授权代表签名）及身份证明，否则不得讲解演示。</w:t>
            </w:r>
          </w:p>
          <w:p w14:paraId="3A2C6F57">
            <w:pPr>
              <w:snapToGrid w:val="0"/>
              <w:spacing w:line="360" w:lineRule="auto"/>
              <w:rPr>
                <w:rFonts w:hint="eastAsia" w:ascii="宋体" w:hAnsi="宋体" w:cs="宋体"/>
                <w:b/>
                <w:color w:val="auto"/>
                <w:kern w:val="0"/>
                <w:sz w:val="24"/>
                <w:highlight w:val="none"/>
                <w:lang w:val="zh-CN"/>
              </w:rPr>
            </w:pPr>
            <w:r>
              <w:rPr>
                <w:rFonts w:hint="eastAsia" w:ascii="宋体" w:hAnsi="宋体" w:cs="宋体"/>
                <w:color w:val="auto"/>
                <w:kern w:val="0"/>
                <w:sz w:val="24"/>
                <w:highlight w:val="none"/>
              </w:rPr>
              <w:t>注：因供应商自身原因导致无法演示或者演示效果不理想的，责任自负。因平台原因导致本项目方案讲解演示环节无法顺利开展，按照《浙江省政府采购项目电子交易管理暂行办法》相关规定执行。</w:t>
            </w:r>
          </w:p>
        </w:tc>
      </w:tr>
      <w:tr w14:paraId="1C5B4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restart"/>
            <w:vAlign w:val="center"/>
          </w:tcPr>
          <w:p w14:paraId="1747028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2093" w:type="dxa"/>
            <w:vMerge w:val="restart"/>
            <w:vAlign w:val="center"/>
          </w:tcPr>
          <w:p w14:paraId="1A37BC3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供应商应当提供的资格、资信证明文件</w:t>
            </w:r>
          </w:p>
        </w:tc>
        <w:tc>
          <w:tcPr>
            <w:tcW w:w="6927" w:type="dxa"/>
            <w:vAlign w:val="center"/>
          </w:tcPr>
          <w:p w14:paraId="673B9FE1">
            <w:pPr>
              <w:spacing w:line="360" w:lineRule="auto"/>
              <w:rPr>
                <w:rFonts w:hint="eastAsia" w:ascii="宋体" w:hAnsi="宋体" w:cs="宋体"/>
                <w:color w:val="auto"/>
                <w:sz w:val="24"/>
                <w:highlight w:val="none"/>
              </w:rPr>
            </w:pPr>
            <w:r>
              <w:rPr>
                <w:rFonts w:hint="eastAsia" w:ascii="宋体" w:hAnsi="宋体" w:cs="宋体"/>
                <w:color w:val="auto"/>
                <w:sz w:val="24"/>
                <w:highlight w:val="none"/>
              </w:rPr>
              <w:t>（1）资格证明文件：见采购文件第二部分11.1。</w:t>
            </w:r>
          </w:p>
          <w:p w14:paraId="75717325">
            <w:pPr>
              <w:spacing w:line="360" w:lineRule="auto"/>
              <w:rPr>
                <w:rFonts w:hint="eastAsia" w:ascii="宋体" w:hAnsi="宋体" w:cs="宋体"/>
                <w:snapToGrid w:val="0"/>
                <w:color w:val="auto"/>
                <w:kern w:val="0"/>
                <w:szCs w:val="21"/>
                <w:highlight w:val="none"/>
              </w:rPr>
            </w:pPr>
            <w:r>
              <w:rPr>
                <w:rFonts w:hint="eastAsia" w:ascii="宋体" w:hAnsi="宋体" w:cs="宋体"/>
                <w:color w:val="auto"/>
                <w:kern w:val="0"/>
                <w:sz w:val="24"/>
                <w:highlight w:val="none"/>
                <w:lang w:val="zh-CN"/>
              </w:rPr>
              <w:t>供应商未提供有效的资格证明文件的，视为供应商不具备采购文件中规定的资格要求，响应文件无效。</w:t>
            </w:r>
          </w:p>
        </w:tc>
      </w:tr>
      <w:tr w14:paraId="4B94F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Merge w:val="continue"/>
            <w:vAlign w:val="center"/>
          </w:tcPr>
          <w:p w14:paraId="75E5FC9D">
            <w:pPr>
              <w:snapToGrid w:val="0"/>
              <w:spacing w:line="360" w:lineRule="auto"/>
              <w:jc w:val="center"/>
              <w:rPr>
                <w:rFonts w:hint="eastAsia" w:ascii="宋体" w:hAnsi="宋体" w:cs="宋体"/>
                <w:color w:val="auto"/>
                <w:sz w:val="24"/>
                <w:highlight w:val="none"/>
              </w:rPr>
            </w:pPr>
          </w:p>
        </w:tc>
        <w:tc>
          <w:tcPr>
            <w:tcW w:w="2093" w:type="dxa"/>
            <w:vMerge w:val="continue"/>
            <w:vAlign w:val="center"/>
          </w:tcPr>
          <w:p w14:paraId="131914F7">
            <w:pPr>
              <w:snapToGrid w:val="0"/>
              <w:spacing w:line="360" w:lineRule="auto"/>
              <w:jc w:val="center"/>
              <w:rPr>
                <w:rFonts w:hint="eastAsia" w:ascii="宋体" w:hAnsi="宋体" w:cs="宋体"/>
                <w:b/>
                <w:color w:val="auto"/>
                <w:sz w:val="24"/>
                <w:highlight w:val="none"/>
              </w:rPr>
            </w:pPr>
          </w:p>
        </w:tc>
        <w:tc>
          <w:tcPr>
            <w:tcW w:w="6927" w:type="dxa"/>
            <w:vAlign w:val="center"/>
          </w:tcPr>
          <w:p w14:paraId="4445FA02">
            <w:pPr>
              <w:spacing w:line="360" w:lineRule="auto"/>
              <w:rPr>
                <w:rFonts w:hint="eastAsia" w:ascii="宋体" w:hAnsi="宋体" w:cs="宋体"/>
                <w:color w:val="auto"/>
                <w:sz w:val="24"/>
                <w:highlight w:val="none"/>
              </w:rPr>
            </w:pPr>
            <w:r>
              <w:rPr>
                <w:rFonts w:hint="eastAsia" w:ascii="宋体" w:hAnsi="宋体" w:cs="宋体"/>
                <w:color w:val="auto"/>
                <w:sz w:val="24"/>
                <w:highlight w:val="none"/>
              </w:rPr>
              <w:t>（2）资信证明文件：根据采购文件第四部分评审标准提供。</w:t>
            </w:r>
          </w:p>
        </w:tc>
      </w:tr>
      <w:tr w14:paraId="53BB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C614C3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2093" w:type="dxa"/>
            <w:vAlign w:val="center"/>
          </w:tcPr>
          <w:p w14:paraId="2BB68865">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927" w:type="dxa"/>
            <w:vAlign w:val="center"/>
          </w:tcPr>
          <w:p w14:paraId="149B4211">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23424292">
            <w:pPr>
              <w:pStyle w:val="82"/>
              <w:ind w:firstLine="480"/>
              <w:rPr>
                <w:rFonts w:hint="eastAsia" w:ascii="宋体" w:hAnsi="宋体" w:eastAsia="宋体" w:cs="宋体"/>
                <w:color w:val="auto"/>
                <w:sz w:val="24"/>
                <w:szCs w:val="24"/>
                <w:highlight w:val="none"/>
              </w:rPr>
            </w:pPr>
            <w:sdt>
              <w:sdtPr>
                <w:rPr>
                  <w:rFonts w:hint="eastAsia" w:ascii="宋体" w:hAnsi="宋体" w:eastAsia="宋体" w:cs="宋体"/>
                  <w:color w:val="auto"/>
                  <w:sz w:val="24"/>
                  <w:szCs w:val="24"/>
                  <w:highlight w:val="none"/>
                </w:rPr>
                <w:id w:val="147454912"/>
                <w14:checkbox>
                  <w14:checked w14:val="0"/>
                  <w14:checkedState w14:val="00FE" w14:font="Wingdings"/>
                  <w14:uncheckedState w14:val="2610" w14:font="MS Gothic"/>
                </w14:checkbox>
              </w:sdtPr>
              <w:sdtEndPr>
                <w:rPr>
                  <w:rFonts w:hint="eastAsia" w:ascii="宋体" w:hAnsi="宋体" w:eastAsia="宋体" w:cs="宋体"/>
                  <w:color w:val="auto"/>
                  <w:sz w:val="24"/>
                  <w:szCs w:val="24"/>
                  <w:highlight w:val="none"/>
                </w:rPr>
              </w:sdtEndPr>
              <w:sdtContent>
                <w:r>
                  <w:rPr>
                    <w:rFonts w:hint="eastAsia" w:ascii="宋体" w:hAnsi="宋体" w:eastAsia="宋体" w:cs="宋体"/>
                    <w:color w:val="auto"/>
                    <w:sz w:val="24"/>
                    <w:szCs w:val="24"/>
                    <w:highlight w:val="none"/>
                  </w:rPr>
                  <w:t>☐</w:t>
                </w:r>
              </w:sdtContent>
            </w:sdt>
            <w:r>
              <w:rPr>
                <w:rFonts w:hint="eastAsia" w:ascii="宋体" w:hAnsi="宋体" w:eastAsia="宋体" w:cs="宋体"/>
                <w:color w:val="auto"/>
                <w:sz w:val="24"/>
                <w:szCs w:val="24"/>
                <w:highlight w:val="none"/>
              </w:rPr>
              <w:t xml:space="preserve">强制采购节能产品。产品：    </w:t>
            </w:r>
          </w:p>
          <w:p w14:paraId="40009DF3">
            <w:pPr>
              <w:pStyle w:val="8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□优先采购节能产品。产品：   </w:t>
            </w:r>
          </w:p>
          <w:p w14:paraId="72B854FB">
            <w:pPr>
              <w:pStyle w:val="82"/>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□优先采购环保产品。产品：    </w:t>
            </w:r>
          </w:p>
          <w:p w14:paraId="24A11BFE">
            <w:pPr>
              <w:pStyle w:val="82"/>
              <w:ind w:firstLine="480"/>
              <w:rPr>
                <w:rFonts w:hint="eastAsia"/>
                <w:color w:val="auto"/>
                <w:highlight w:val="none"/>
              </w:rPr>
            </w:pPr>
            <w:r>
              <w:rPr>
                <w:rFonts w:hint="eastAsia" w:ascii="宋体" w:hAnsi="宋体" w:eastAsia="宋体" w:cs="宋体"/>
                <w:color w:val="auto"/>
                <w:sz w:val="24"/>
                <w:szCs w:val="24"/>
                <w:highlight w:val="none"/>
              </w:rPr>
              <w:t>□无</w:t>
            </w:r>
          </w:p>
        </w:tc>
      </w:tr>
      <w:tr w14:paraId="41C8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620FF258">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2093" w:type="dxa"/>
            <w:vAlign w:val="center"/>
          </w:tcPr>
          <w:p w14:paraId="18D115D4">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报价要求</w:t>
            </w:r>
          </w:p>
        </w:tc>
        <w:tc>
          <w:tcPr>
            <w:tcW w:w="6927" w:type="dxa"/>
            <w:vAlign w:val="center"/>
          </w:tcPr>
          <w:p w14:paraId="283F2329">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color w:val="auto"/>
                <w:sz w:val="24"/>
                <w:highlight w:val="none"/>
              </w:rPr>
              <w:t>报价单是报价的唯一载体</w:t>
            </w:r>
            <w:r>
              <w:rPr>
                <w:rFonts w:hint="eastAsia" w:ascii="宋体" w:hAnsi="宋体" w:cs="宋体"/>
                <w:color w:val="auto"/>
                <w:kern w:val="0"/>
                <w:sz w:val="24"/>
                <w:highlight w:val="none"/>
                <w:lang w:val="zh-CN"/>
              </w:rPr>
              <w:t>。响应文件中价格全部采用人民币报价。采购文件未列明，而供应商认为必需的费用也需列入报价。</w:t>
            </w:r>
            <w:r>
              <w:rPr>
                <w:rFonts w:hint="eastAsia" w:ascii="宋体" w:hAnsi="宋体" w:cs="宋体"/>
                <w:b/>
                <w:color w:val="auto"/>
                <w:kern w:val="0"/>
                <w:sz w:val="24"/>
                <w:highlight w:val="none"/>
                <w:lang w:val="zh-CN"/>
              </w:rPr>
              <w:t>提醒：验收时检测费用由采购人承担，不包含在总价中。</w:t>
            </w:r>
          </w:p>
          <w:p w14:paraId="193497C4">
            <w:pPr>
              <w:snapToGrid w:val="0"/>
              <w:spacing w:line="360" w:lineRule="auto"/>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最后报价出现下列情形的，响应文件无效：</w:t>
            </w:r>
          </w:p>
          <w:p w14:paraId="11AEF2B4">
            <w:pPr>
              <w:snapToGrid w:val="0"/>
              <w:spacing w:line="360" w:lineRule="auto"/>
              <w:ind w:firstLine="241" w:firstLineChars="10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响应文件出现不是唯一的、有选择性最后报价的；</w:t>
            </w:r>
          </w:p>
          <w:p w14:paraId="7FA19537">
            <w:pPr>
              <w:snapToGrid w:val="0"/>
              <w:spacing w:line="360" w:lineRule="auto"/>
              <w:ind w:firstLine="241" w:firstLineChars="100"/>
              <w:jc w:val="left"/>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最后报价超过采购文件中规定的预算金额或者最高限价的;</w:t>
            </w:r>
          </w:p>
          <w:p w14:paraId="74E6572A">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报价明显低于其他通过符合性审查供应商的报价，有可能影响产品质量或者不能诚信履约的，未能按要求提供书面说明或者提交相关证明材料证明其报价合理性的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43AACD96">
            <w:pPr>
              <w:spacing w:line="360" w:lineRule="auto"/>
              <w:ind w:firstLine="241" w:firstLineChars="100"/>
              <w:rPr>
                <w:rFonts w:hint="eastAsia" w:ascii="宋体" w:hAnsi="宋体" w:cs="宋体"/>
                <w:b/>
                <w:color w:val="auto"/>
                <w:sz w:val="24"/>
                <w:highlight w:val="none"/>
              </w:rPr>
            </w:pPr>
            <w:r>
              <w:rPr>
                <w:rFonts w:hint="eastAsia" w:ascii="宋体" w:hAnsi="宋体" w:cs="宋体"/>
                <w:b/>
                <w:color w:val="auto"/>
                <w:kern w:val="0"/>
                <w:sz w:val="24"/>
                <w:highlight w:val="none"/>
              </w:rPr>
              <w:t>供应商对根据修正原则修正后的报价不确认的</w:t>
            </w:r>
            <w:r>
              <w:rPr>
                <w:rFonts w:hint="eastAsia" w:ascii="宋体" w:hAnsi="宋体" w:cs="宋体"/>
                <w:b/>
                <w:color w:val="auto"/>
                <w:sz w:val="24"/>
                <w:highlight w:val="none"/>
              </w:rPr>
              <w:t>。</w:t>
            </w:r>
          </w:p>
          <w:p w14:paraId="0A9DB98E">
            <w:pPr>
              <w:spacing w:line="360" w:lineRule="auto"/>
              <w:ind w:firstLine="422"/>
              <w:rPr>
                <w:rFonts w:hint="eastAsia" w:ascii="宋体" w:hAnsi="宋体" w:cs="Arial"/>
                <w:color w:val="auto"/>
                <w:kern w:val="0"/>
                <w:sz w:val="24"/>
                <w:highlight w:val="none"/>
              </w:rPr>
            </w:pPr>
            <w:r>
              <w:rPr>
                <w:rFonts w:hint="eastAsia" w:ascii="宋体" w:hAnsi="宋体" w:cs="Arial"/>
                <w:color w:val="auto"/>
                <w:kern w:val="0"/>
                <w:sz w:val="24"/>
                <w:highlight w:val="none"/>
              </w:rPr>
              <w:t>磋商小组评审时如发现供应商的报价明显高于其市场报价或</w:t>
            </w:r>
            <w:r>
              <w:rPr>
                <w:rFonts w:ascii="宋体" w:hAnsi="宋体" w:cs="Arial"/>
                <w:color w:val="auto"/>
                <w:kern w:val="0"/>
                <w:sz w:val="24"/>
                <w:highlight w:val="none"/>
              </w:rPr>
              <w:t>某些分项报价明显不合理或者低于成本，</w:t>
            </w:r>
            <w:r>
              <w:rPr>
                <w:rFonts w:hint="eastAsia" w:ascii="宋体" w:hAnsi="宋体" w:cs="Arial"/>
                <w:color w:val="auto"/>
                <w:kern w:val="0"/>
                <w:sz w:val="24"/>
                <w:highlight w:val="none"/>
              </w:rPr>
              <w:t>或明显低于其他通过符合性审查供应商的报价，</w:t>
            </w:r>
            <w:r>
              <w:rPr>
                <w:rFonts w:ascii="宋体" w:hAnsi="宋体" w:cs="Arial"/>
                <w:color w:val="auto"/>
                <w:kern w:val="0"/>
                <w:sz w:val="24"/>
                <w:highlight w:val="none"/>
              </w:rPr>
              <w:t>有可能影响</w:t>
            </w:r>
            <w:r>
              <w:rPr>
                <w:rFonts w:hint="eastAsia" w:ascii="宋体" w:hAnsi="宋体" w:cs="Arial"/>
                <w:color w:val="auto"/>
                <w:kern w:val="0"/>
                <w:sz w:val="24"/>
                <w:highlight w:val="none"/>
              </w:rPr>
              <w:t>产品</w:t>
            </w:r>
            <w:r>
              <w:rPr>
                <w:rFonts w:ascii="宋体" w:hAnsi="宋体" w:cs="Arial"/>
                <w:color w:val="auto"/>
                <w:kern w:val="0"/>
                <w:sz w:val="24"/>
                <w:highlight w:val="none"/>
              </w:rPr>
              <w:t>质量和不能诚信履约的</w:t>
            </w:r>
            <w:r>
              <w:rPr>
                <w:rFonts w:hint="eastAsia" w:ascii="宋体" w:hAnsi="宋体" w:cs="Arial"/>
                <w:color w:val="auto"/>
                <w:kern w:val="0"/>
                <w:sz w:val="24"/>
                <w:highlight w:val="none"/>
              </w:rPr>
              <w:t>，可要求该供应商在35分钟内书面说明并提供相关证明材料。该供应商不能合理说明原因并提供证明材料的，磋商小组应将该响应文件作无效处理。</w:t>
            </w:r>
          </w:p>
          <w:p w14:paraId="5FE429B1">
            <w:pPr>
              <w:spacing w:line="360" w:lineRule="auto"/>
              <w:ind w:firstLine="422"/>
              <w:rPr>
                <w:rFonts w:hint="eastAsia" w:ascii="宋体" w:hAnsi="宋体" w:cs="Arial"/>
                <w:color w:val="auto"/>
                <w:kern w:val="0"/>
                <w:sz w:val="24"/>
                <w:highlight w:val="none"/>
              </w:rPr>
            </w:pPr>
            <w:r>
              <w:rPr>
                <w:rFonts w:hint="eastAsia" w:ascii="宋体" w:hAnsi="宋体" w:cs="Arial"/>
                <w:color w:val="auto"/>
                <w:kern w:val="0"/>
                <w:sz w:val="24"/>
                <w:highlight w:val="none"/>
              </w:rPr>
              <w:t>采购评审中出现下列情形之一的，磋商小组应当启动异常低价投标（响应）审查程序：</w:t>
            </w:r>
          </w:p>
          <w:p w14:paraId="4F20527A">
            <w:pPr>
              <w:numPr>
                <w:ilvl w:val="0"/>
                <w:numId w:val="1"/>
              </w:numPr>
              <w:spacing w:line="360" w:lineRule="auto"/>
              <w:rPr>
                <w:rFonts w:hint="eastAsia" w:ascii="宋体" w:hAnsi="宋体" w:cs="Arial"/>
                <w:color w:val="auto"/>
                <w:kern w:val="0"/>
                <w:sz w:val="24"/>
                <w:highlight w:val="none"/>
              </w:rPr>
            </w:pPr>
            <w:r>
              <w:rPr>
                <w:rFonts w:hint="eastAsia" w:ascii="宋体" w:hAnsi="宋体" w:cs="Arial"/>
                <w:color w:val="auto"/>
                <w:kern w:val="0"/>
                <w:sz w:val="24"/>
                <w:highlight w:val="none"/>
              </w:rPr>
              <w:t>投标（响应）报价低于全部通过符合性审查供应商投标（响应）报价平均值50%的，即投标（响应）报价&lt;全部通过符合性审查供应商投标（响应）报价平均值×50%；</w:t>
            </w:r>
          </w:p>
          <w:p w14:paraId="2608F0BB">
            <w:pPr>
              <w:numPr>
                <w:ilvl w:val="0"/>
                <w:numId w:val="1"/>
              </w:numPr>
              <w:spacing w:line="360" w:lineRule="auto"/>
              <w:rPr>
                <w:rFonts w:hint="eastAsia" w:ascii="宋体" w:hAnsi="宋体" w:cs="Arial"/>
                <w:color w:val="auto"/>
                <w:kern w:val="0"/>
                <w:sz w:val="24"/>
                <w:highlight w:val="none"/>
              </w:rPr>
            </w:pPr>
            <w:r>
              <w:rPr>
                <w:rFonts w:hint="eastAsia" w:ascii="宋体" w:hAnsi="宋体" w:cs="Arial"/>
                <w:color w:val="auto"/>
                <w:kern w:val="0"/>
                <w:sz w:val="24"/>
                <w:highlight w:val="none"/>
              </w:rPr>
              <w:t>投标（响应）报价低于通过符合性审查的次低报价供应商投标（响应）报价50%的，即投标（响应）报价&lt;通过符合性审查的次低报价供应商投标（响应）报价×50%；</w:t>
            </w:r>
          </w:p>
          <w:p w14:paraId="40080AAE">
            <w:pPr>
              <w:numPr>
                <w:ilvl w:val="0"/>
                <w:numId w:val="1"/>
              </w:numPr>
              <w:spacing w:line="360" w:lineRule="auto"/>
              <w:rPr>
                <w:rFonts w:hint="eastAsia" w:ascii="宋体" w:hAnsi="宋体" w:cs="Arial"/>
                <w:color w:val="auto"/>
                <w:kern w:val="0"/>
                <w:sz w:val="24"/>
                <w:highlight w:val="none"/>
              </w:rPr>
            </w:pPr>
            <w:r>
              <w:rPr>
                <w:rFonts w:hint="eastAsia" w:ascii="宋体" w:hAnsi="宋体" w:cs="Arial"/>
                <w:color w:val="auto"/>
                <w:kern w:val="0"/>
                <w:sz w:val="24"/>
                <w:highlight w:val="none"/>
              </w:rPr>
              <w:t>投标（响应）报价低于采购项目最高限价45%的，即投标（响应）报价&lt;采购项目最高限价×45%；</w:t>
            </w:r>
          </w:p>
          <w:p w14:paraId="0F8E7966">
            <w:pPr>
              <w:numPr>
                <w:ilvl w:val="0"/>
                <w:numId w:val="1"/>
              </w:numPr>
              <w:spacing w:line="360" w:lineRule="auto"/>
              <w:rPr>
                <w:rFonts w:hint="eastAsia" w:ascii="宋体" w:hAnsi="宋体" w:cs="Arial"/>
                <w:color w:val="auto"/>
                <w:kern w:val="0"/>
                <w:sz w:val="24"/>
                <w:highlight w:val="none"/>
              </w:rPr>
            </w:pPr>
            <w:r>
              <w:rPr>
                <w:rFonts w:hint="eastAsia" w:ascii="宋体" w:hAnsi="宋体" w:cs="Arial"/>
                <w:color w:val="auto"/>
                <w:kern w:val="0"/>
                <w:sz w:val="24"/>
                <w:highlight w:val="none"/>
              </w:rPr>
              <w:t>磋商小组基于专业判断，认为供应商报价过低，有可能影响产品质量或者不能诚信履约的其他情形。</w:t>
            </w:r>
          </w:p>
          <w:p w14:paraId="67D3FCC4">
            <w:pPr>
              <w:spacing w:line="360" w:lineRule="auto"/>
              <w:ind w:firstLine="422"/>
              <w:rPr>
                <w:rFonts w:hint="eastAsia" w:ascii="宋体" w:hAnsi="宋体" w:cs="Arial"/>
                <w:color w:val="auto"/>
                <w:kern w:val="0"/>
                <w:sz w:val="24"/>
                <w:highlight w:val="none"/>
              </w:rPr>
            </w:pPr>
            <w:r>
              <w:rPr>
                <w:rFonts w:hint="eastAsia" w:ascii="宋体" w:hAnsi="宋体" w:cs="Arial"/>
                <w:color w:val="auto"/>
                <w:kern w:val="0"/>
                <w:sz w:val="24"/>
                <w:highlight w:val="none"/>
              </w:rPr>
              <w:t>相关法律法规对供应商报价有规定的，从其规定。</w:t>
            </w:r>
          </w:p>
          <w:p w14:paraId="4A94ECAE">
            <w:pPr>
              <w:spacing w:line="360" w:lineRule="auto"/>
              <w:ind w:firstLine="422"/>
              <w:rPr>
                <w:rFonts w:hint="eastAsia" w:ascii="宋体" w:hAnsi="宋体" w:cs="Arial"/>
                <w:color w:val="auto"/>
                <w:kern w:val="0"/>
                <w:sz w:val="24"/>
                <w:highlight w:val="none"/>
              </w:rPr>
            </w:pPr>
            <w:r>
              <w:rPr>
                <w:rFonts w:hint="eastAsia" w:ascii="宋体" w:hAnsi="宋体" w:cs="Arial"/>
                <w:color w:val="auto"/>
                <w:kern w:val="0"/>
                <w:sz w:val="24"/>
                <w:highlight w:val="none"/>
              </w:rPr>
              <w:t>磋商小组启动异常低价投标（响应）审查后，属于前述第①项至第④项情形的，应当要求相关供应商在评审现场合理的时间内对投标（响应）价格作出解释，提供项目具体成本测算等与报价合理性相关的书面说明及必要的证明材料，包括但不限于原材料成本、人工成本、制造费用等。其中，属于第③项情形，供应商已随投标（响应）文件一并提交相关书面说明及必要的证明材料的，在评审现场可不再重复提交。</w:t>
            </w:r>
          </w:p>
          <w:p w14:paraId="4E48A441">
            <w:pPr>
              <w:spacing w:line="360" w:lineRule="auto"/>
              <w:ind w:firstLine="422"/>
              <w:rPr>
                <w:rFonts w:hint="eastAsia" w:ascii="宋体" w:hAnsi="宋体" w:cs="Arial"/>
                <w:color w:val="auto"/>
                <w:kern w:val="0"/>
                <w:sz w:val="24"/>
                <w:highlight w:val="none"/>
              </w:rPr>
            </w:pPr>
            <w:r>
              <w:rPr>
                <w:rFonts w:hint="eastAsia" w:ascii="宋体" w:hAnsi="宋体" w:cs="Arial"/>
                <w:color w:val="auto"/>
                <w:kern w:val="0"/>
                <w:sz w:val="24"/>
                <w:highlight w:val="none"/>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53D231AC">
            <w:pPr>
              <w:spacing w:line="360" w:lineRule="auto"/>
              <w:ind w:firstLine="422"/>
              <w:rPr>
                <w:rFonts w:hint="eastAsia" w:ascii="宋体" w:hAnsi="宋体" w:cs="宋体"/>
                <w:b/>
                <w:color w:val="auto"/>
                <w:sz w:val="24"/>
                <w:highlight w:val="none"/>
              </w:rPr>
            </w:pPr>
            <w:r>
              <w:rPr>
                <w:rFonts w:hint="eastAsia" w:ascii="宋体" w:hAnsi="宋体" w:cs="Arial"/>
                <w:color w:val="auto"/>
                <w:kern w:val="0"/>
                <w:sz w:val="24"/>
                <w:highlight w:val="none"/>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tc>
      </w:tr>
      <w:tr w14:paraId="44D7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344" w:hRule="atLeast"/>
        </w:trPr>
        <w:tc>
          <w:tcPr>
            <w:tcW w:w="714" w:type="dxa"/>
            <w:vAlign w:val="center"/>
          </w:tcPr>
          <w:p w14:paraId="404DA3E1">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2093" w:type="dxa"/>
            <w:vAlign w:val="center"/>
          </w:tcPr>
          <w:p w14:paraId="7D94B5B1">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中小企业信用融资</w:t>
            </w:r>
          </w:p>
        </w:tc>
        <w:tc>
          <w:tcPr>
            <w:tcW w:w="6927" w:type="dxa"/>
            <w:vAlign w:val="center"/>
          </w:tcPr>
          <w:p w14:paraId="4D0B4807">
            <w:pPr>
              <w:spacing w:line="360" w:lineRule="auto"/>
              <w:ind w:firstLine="480" w:firstLineChars="200"/>
              <w:rPr>
                <w:rFonts w:hint="eastAsia" w:ascii="宋体" w:hAnsi="宋体" w:cs="宋体"/>
                <w:color w:val="auto"/>
                <w:sz w:val="24"/>
                <w:highlight w:val="none"/>
              </w:rPr>
            </w:pPr>
            <w:r>
              <w:rPr>
                <w:rFonts w:hint="eastAsia" w:ascii="宋体" w:hAnsi="宋体" w:cs="宋体"/>
                <w:snapToGrid w:val="0"/>
                <w:color w:val="auto"/>
                <w:kern w:val="28"/>
                <w:sz w:val="24"/>
                <w:highlight w:val="none"/>
              </w:rPr>
              <w:t>供应商成交后也可在“政采云”平台申请政采贷：操作路径：登录政采云平台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4051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09AB9323">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2093" w:type="dxa"/>
            <w:vAlign w:val="center"/>
          </w:tcPr>
          <w:p w14:paraId="16386E53">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备份响应文件送达地点和签收人员</w:t>
            </w:r>
          </w:p>
        </w:tc>
        <w:tc>
          <w:tcPr>
            <w:tcW w:w="6927" w:type="dxa"/>
            <w:vAlign w:val="center"/>
          </w:tcPr>
          <w:p w14:paraId="0DED1A02">
            <w:pPr>
              <w:pStyle w:val="35"/>
              <w:spacing w:line="360" w:lineRule="auto"/>
              <w:rPr>
                <w:rFonts w:hint="eastAsia" w:hAnsi="宋体" w:cs="宋体"/>
                <w:color w:val="auto"/>
                <w:kern w:val="28"/>
                <w:sz w:val="24"/>
                <w:szCs w:val="24"/>
                <w:highlight w:val="none"/>
              </w:rPr>
            </w:pPr>
            <w:r>
              <w:rPr>
                <w:rFonts w:hint="eastAsia" w:hAnsi="宋体" w:cs="宋体"/>
                <w:color w:val="auto"/>
                <w:kern w:val="28"/>
                <w:sz w:val="24"/>
                <w:szCs w:val="24"/>
                <w:highlight w:val="none"/>
              </w:rPr>
              <w:t>备份响应文件送达地点：</w:t>
            </w:r>
            <w:r>
              <w:rPr>
                <w:rFonts w:hint="eastAsia" w:hAnsi="宋体" w:cs="宋体"/>
                <w:color w:val="auto"/>
                <w:sz w:val="24"/>
                <w:highlight w:val="none"/>
                <w:u w:val="single"/>
              </w:rPr>
              <w:t>杭州市拱墅区河东路215号D楼二楼</w:t>
            </w:r>
            <w:r>
              <w:rPr>
                <w:rFonts w:hint="eastAsia" w:hAnsi="宋体" w:cs="宋体"/>
                <w:color w:val="auto"/>
                <w:kern w:val="28"/>
                <w:sz w:val="24"/>
                <w:szCs w:val="24"/>
                <w:highlight w:val="none"/>
              </w:rPr>
              <w:t>；</w:t>
            </w:r>
          </w:p>
          <w:p w14:paraId="5C0B6683">
            <w:pPr>
              <w:pStyle w:val="35"/>
              <w:spacing w:line="360" w:lineRule="auto"/>
              <w:rPr>
                <w:rFonts w:hint="eastAsia" w:hAnsi="宋体" w:cs="宋体"/>
                <w:color w:val="auto"/>
                <w:sz w:val="24"/>
                <w:szCs w:val="24"/>
                <w:highlight w:val="none"/>
              </w:rPr>
            </w:pPr>
            <w:r>
              <w:rPr>
                <w:rFonts w:hint="eastAsia" w:hAnsi="宋体" w:cs="宋体"/>
                <w:color w:val="auto"/>
                <w:kern w:val="28"/>
                <w:sz w:val="24"/>
                <w:szCs w:val="24"/>
                <w:highlight w:val="none"/>
              </w:rPr>
              <w:t>备份响应文件签收人员联系电话：</w:t>
            </w:r>
            <w:r>
              <w:rPr>
                <w:rFonts w:hint="eastAsia" w:hAnsi="宋体" w:cs="宋体"/>
                <w:color w:val="auto"/>
                <w:sz w:val="24"/>
                <w:highlight w:val="none"/>
                <w:u w:val="single"/>
              </w:rPr>
              <w:t xml:space="preserve">  蒋亦文19157898865   </w:t>
            </w:r>
            <w:r>
              <w:rPr>
                <w:rFonts w:hint="eastAsia" w:hAnsi="宋体" w:cs="宋体"/>
                <w:color w:val="auto"/>
                <w:sz w:val="24"/>
                <w:szCs w:val="24"/>
                <w:highlight w:val="none"/>
              </w:rPr>
              <w:t>。</w:t>
            </w:r>
          </w:p>
          <w:p w14:paraId="3C689ABD">
            <w:pPr>
              <w:pStyle w:val="35"/>
              <w:spacing w:line="360" w:lineRule="auto"/>
              <w:rPr>
                <w:rFonts w:hint="eastAsia" w:hAnsi="宋体" w:cs="宋体"/>
                <w:color w:val="auto"/>
                <w:kern w:val="28"/>
                <w:sz w:val="24"/>
                <w:highlight w:val="none"/>
              </w:rPr>
            </w:pPr>
            <w:r>
              <w:rPr>
                <w:rFonts w:hint="eastAsia" w:hAnsi="宋体" w:cs="宋体"/>
                <w:b/>
                <w:color w:val="auto"/>
                <w:sz w:val="24"/>
                <w:szCs w:val="24"/>
                <w:highlight w:val="none"/>
              </w:rPr>
              <w:t>采购人、采购代理机构不强制或变相强制供应商提交备份响应文件。</w:t>
            </w:r>
          </w:p>
        </w:tc>
      </w:tr>
      <w:tr w14:paraId="3A1A5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vAlign w:val="center"/>
          </w:tcPr>
          <w:p w14:paraId="21FA36FD">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2093" w:type="dxa"/>
            <w:vAlign w:val="center"/>
          </w:tcPr>
          <w:p w14:paraId="171C3997">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其它说明</w:t>
            </w:r>
          </w:p>
        </w:tc>
        <w:tc>
          <w:tcPr>
            <w:tcW w:w="6927" w:type="dxa"/>
            <w:vAlign w:val="center"/>
          </w:tcPr>
          <w:p w14:paraId="30DA19BE">
            <w:pPr>
              <w:spacing w:line="360" w:lineRule="auto"/>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联合体或者以分包方式履行合同的，联合体各方（供应商与分包供应商）分别提供与联合体协议（分包意向协议）中规定的分工内容相应的业绩证明材料，业绩数量以提供材料较少的一方为准</w:t>
            </w:r>
            <w:r>
              <w:rPr>
                <w:rFonts w:hint="eastAsia" w:ascii="宋体" w:hAnsi="宋体" w:cs="宋体"/>
                <w:b/>
                <w:color w:val="auto"/>
                <w:kern w:val="0"/>
                <w:sz w:val="24"/>
                <w:highlight w:val="none"/>
              </w:rPr>
              <w:t>。</w:t>
            </w:r>
          </w:p>
        </w:tc>
      </w:tr>
      <w:tr w14:paraId="1252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1F9137AB">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2093" w:type="dxa"/>
            <w:vAlign w:val="center"/>
          </w:tcPr>
          <w:p w14:paraId="21116EAB">
            <w:pPr>
              <w:snapToGrid w:val="0"/>
              <w:spacing w:line="360" w:lineRule="auto"/>
              <w:jc w:val="center"/>
              <w:rPr>
                <w:rFonts w:hint="eastAsia" w:ascii="宋体" w:hAnsi="宋体" w:cs="宋体"/>
                <w:b/>
                <w:color w:val="auto"/>
                <w:sz w:val="24"/>
                <w:highlight w:val="none"/>
              </w:rPr>
            </w:pPr>
            <w:r>
              <w:rPr>
                <w:rFonts w:hint="eastAsia" w:cs="仿宋_GB2312" w:asciiTheme="minorEastAsia" w:hAnsiTheme="minorEastAsia" w:eastAsiaTheme="minorEastAsia"/>
                <w:b/>
                <w:color w:val="auto"/>
                <w:sz w:val="24"/>
                <w:highlight w:val="none"/>
                <w:lang w:val="en"/>
              </w:rPr>
              <w:t>成交候选人数量</w:t>
            </w:r>
          </w:p>
        </w:tc>
        <w:tc>
          <w:tcPr>
            <w:tcW w:w="6927" w:type="dxa"/>
            <w:vAlign w:val="center"/>
          </w:tcPr>
          <w:p w14:paraId="34CF5DE7">
            <w:pPr>
              <w:spacing w:line="360"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lang w:val="en"/>
              </w:rPr>
              <w:t>本项目推荐的成交候选人数量：</w:t>
            </w:r>
            <w:r>
              <w:rPr>
                <w:rFonts w:hint="eastAsia" w:ascii="宋体" w:hAnsi="宋体" w:cs="宋体"/>
                <w:color w:val="auto"/>
                <w:kern w:val="0"/>
                <w:sz w:val="24"/>
                <w:highlight w:val="none"/>
                <w:u w:val="single"/>
              </w:rPr>
              <w:t xml:space="preserve">   3家    </w:t>
            </w:r>
            <w:r>
              <w:rPr>
                <w:rFonts w:hint="eastAsia" w:ascii="宋体" w:hAnsi="宋体" w:cs="宋体"/>
                <w:color w:val="auto"/>
                <w:kern w:val="0"/>
                <w:sz w:val="24"/>
                <w:highlight w:val="none"/>
                <w:lang w:val="en"/>
              </w:rPr>
              <w:t>。</w:t>
            </w:r>
          </w:p>
        </w:tc>
      </w:tr>
      <w:tr w14:paraId="6A8BA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714" w:type="dxa"/>
          </w:tcPr>
          <w:p w14:paraId="789C635F">
            <w:pPr>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2093" w:type="dxa"/>
            <w:vAlign w:val="center"/>
          </w:tcPr>
          <w:p w14:paraId="229D1A8A">
            <w:pPr>
              <w:snapToGrid w:val="0"/>
              <w:spacing w:line="360" w:lineRule="auto"/>
              <w:jc w:val="center"/>
              <w:rPr>
                <w:rFonts w:hint="eastAsia" w:ascii="宋体" w:hAnsi="宋体" w:cs="宋体"/>
                <w:b/>
                <w:color w:val="auto"/>
                <w:sz w:val="24"/>
                <w:highlight w:val="none"/>
              </w:rPr>
            </w:pPr>
            <w:r>
              <w:rPr>
                <w:rFonts w:hint="eastAsia" w:ascii="宋体" w:hAnsi="宋体" w:cs="宋体"/>
                <w:color w:val="auto"/>
                <w:sz w:val="24"/>
                <w:highlight w:val="none"/>
                <w:lang w:val="en"/>
              </w:rPr>
              <w:t>代理费用收取方式及标准</w:t>
            </w:r>
          </w:p>
        </w:tc>
        <w:tc>
          <w:tcPr>
            <w:tcW w:w="6927" w:type="dxa"/>
            <w:vAlign w:val="center"/>
          </w:tcPr>
          <w:p w14:paraId="000FF0AF">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本项目采购代理服务费和造价咨询费由成交供应商支付给采购代理机构。各</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en"/>
              </w:rPr>
              <w:t>供应商在报价时应计入此费用。</w:t>
            </w:r>
          </w:p>
          <w:p w14:paraId="7E912729">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1、采购代理服务费以中标金额为基数按【2002】1980号文《招标代理服务收费管理办法》规定收费标准80%计取，</w:t>
            </w:r>
            <w:r>
              <w:rPr>
                <w:rFonts w:hint="eastAsia" w:ascii="宋体" w:hAnsi="宋体" w:cs="宋体"/>
                <w:color w:val="auto"/>
                <w:kern w:val="0"/>
                <w:sz w:val="24"/>
                <w:highlight w:val="none"/>
              </w:rPr>
              <w:t>低于</w:t>
            </w:r>
            <w:r>
              <w:rPr>
                <w:rFonts w:hint="eastAsia" w:ascii="宋体" w:hAnsi="宋体" w:cs="宋体"/>
                <w:color w:val="auto"/>
                <w:kern w:val="0"/>
                <w:sz w:val="24"/>
                <w:highlight w:val="none"/>
                <w:lang w:val="en"/>
              </w:rPr>
              <w:t>6000元</w:t>
            </w:r>
            <w:r>
              <w:rPr>
                <w:rFonts w:hint="eastAsia" w:ascii="宋体" w:hAnsi="宋体" w:cs="宋体"/>
                <w:color w:val="auto"/>
                <w:kern w:val="0"/>
                <w:sz w:val="24"/>
                <w:highlight w:val="none"/>
              </w:rPr>
              <w:t>按6000元计取，</w:t>
            </w:r>
            <w:r>
              <w:rPr>
                <w:rFonts w:hint="eastAsia" w:ascii="宋体" w:hAnsi="宋体" w:cs="宋体"/>
                <w:color w:val="auto"/>
                <w:kern w:val="0"/>
                <w:sz w:val="24"/>
                <w:highlight w:val="none"/>
                <w:lang w:val="en"/>
              </w:rPr>
              <w:t>计入报价中；</w:t>
            </w:r>
          </w:p>
          <w:p w14:paraId="21985BF0">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2.造价咨询费以中标金额为基数</w:t>
            </w:r>
            <w:r>
              <w:rPr>
                <w:rFonts w:hint="eastAsia" w:ascii="宋体" w:hAnsi="宋体" w:cs="宋体"/>
                <w:color w:val="auto"/>
                <w:kern w:val="0"/>
                <w:sz w:val="24"/>
                <w:highlight w:val="none"/>
              </w:rPr>
              <w:t>按</w:t>
            </w:r>
            <w:r>
              <w:rPr>
                <w:rFonts w:hint="eastAsia" w:ascii="宋体" w:hAnsi="宋体" w:cs="宋体"/>
                <w:color w:val="auto"/>
                <w:kern w:val="0"/>
                <w:sz w:val="24"/>
                <w:highlight w:val="none"/>
                <w:lang w:val="en"/>
              </w:rPr>
              <w:t>（浙建价协〔2021〕13号）文件规定的收费标准的80%计取，</w:t>
            </w:r>
            <w:r>
              <w:rPr>
                <w:rFonts w:hint="eastAsia" w:ascii="宋体" w:hAnsi="宋体" w:cs="宋体"/>
                <w:color w:val="auto"/>
                <w:kern w:val="0"/>
                <w:sz w:val="24"/>
                <w:highlight w:val="none"/>
              </w:rPr>
              <w:t>低于3</w:t>
            </w:r>
            <w:r>
              <w:rPr>
                <w:rFonts w:hint="eastAsia" w:ascii="宋体" w:hAnsi="宋体" w:cs="宋体"/>
                <w:color w:val="auto"/>
                <w:kern w:val="0"/>
                <w:sz w:val="24"/>
                <w:highlight w:val="none"/>
                <w:lang w:val="en"/>
              </w:rPr>
              <w:t>000元</w:t>
            </w:r>
            <w:r>
              <w:rPr>
                <w:rFonts w:hint="eastAsia" w:ascii="宋体" w:hAnsi="宋体" w:cs="宋体"/>
                <w:color w:val="auto"/>
                <w:kern w:val="0"/>
                <w:sz w:val="24"/>
                <w:highlight w:val="none"/>
              </w:rPr>
              <w:t>按3000元计取，</w:t>
            </w:r>
            <w:r>
              <w:rPr>
                <w:rFonts w:hint="eastAsia" w:ascii="宋体" w:hAnsi="宋体" w:cs="宋体"/>
                <w:color w:val="auto"/>
                <w:kern w:val="0"/>
                <w:sz w:val="24"/>
                <w:highlight w:val="none"/>
                <w:lang w:val="en"/>
              </w:rPr>
              <w:t>计入报价中；</w:t>
            </w:r>
          </w:p>
          <w:p w14:paraId="6D0BDA08">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以上两项费用由成交人在收到成交通知书</w:t>
            </w:r>
            <w:r>
              <w:rPr>
                <w:rFonts w:hint="eastAsia" w:ascii="宋体" w:hAnsi="宋体" w:cs="宋体"/>
                <w:color w:val="auto"/>
                <w:kern w:val="0"/>
                <w:sz w:val="24"/>
                <w:highlight w:val="none"/>
              </w:rPr>
              <w:t>后7个工作日内</w:t>
            </w:r>
            <w:r>
              <w:rPr>
                <w:rFonts w:hint="eastAsia" w:ascii="宋体" w:hAnsi="宋体" w:cs="宋体"/>
                <w:color w:val="auto"/>
                <w:kern w:val="0"/>
                <w:sz w:val="24"/>
                <w:highlight w:val="none"/>
                <w:lang w:val="en"/>
              </w:rPr>
              <w:t>支付给采购代理机构。</w:t>
            </w:r>
          </w:p>
          <w:p w14:paraId="7AB8488F">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汇入以下账户：</w:t>
            </w:r>
          </w:p>
          <w:p w14:paraId="0AC48645">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户名：浙江中通通信有限公司</w:t>
            </w:r>
          </w:p>
          <w:p w14:paraId="305FC355">
            <w:pPr>
              <w:spacing w:line="360" w:lineRule="auto"/>
              <w:rPr>
                <w:rFonts w:hint="eastAsia" w:ascii="宋体" w:hAnsi="宋体" w:cs="宋体"/>
                <w:color w:val="auto"/>
                <w:kern w:val="0"/>
                <w:sz w:val="24"/>
                <w:highlight w:val="none"/>
                <w:lang w:val="en"/>
              </w:rPr>
            </w:pPr>
            <w:r>
              <w:rPr>
                <w:rFonts w:hint="eastAsia" w:ascii="宋体" w:hAnsi="宋体" w:cs="宋体"/>
                <w:color w:val="auto"/>
                <w:kern w:val="0"/>
                <w:sz w:val="24"/>
                <w:highlight w:val="none"/>
                <w:lang w:val="en"/>
              </w:rPr>
              <w:t>开户：中信银行杭州天水支行</w:t>
            </w:r>
          </w:p>
          <w:p w14:paraId="64D56B8B">
            <w:pPr>
              <w:spacing w:line="360" w:lineRule="auto"/>
              <w:rPr>
                <w:rFonts w:hint="eastAsia" w:ascii="宋体" w:hAnsi="宋体" w:cs="宋体"/>
                <w:snapToGrid w:val="0"/>
                <w:color w:val="auto"/>
                <w:kern w:val="28"/>
                <w:sz w:val="24"/>
                <w:highlight w:val="none"/>
              </w:rPr>
            </w:pPr>
            <w:r>
              <w:rPr>
                <w:rFonts w:hint="eastAsia" w:ascii="宋体" w:hAnsi="宋体" w:cs="宋体"/>
                <w:color w:val="auto"/>
                <w:kern w:val="0"/>
                <w:sz w:val="24"/>
                <w:highlight w:val="none"/>
                <w:lang w:val="en"/>
              </w:rPr>
              <w:t>账号：3110830019310030452</w:t>
            </w:r>
          </w:p>
        </w:tc>
      </w:tr>
      <w:bookmarkEnd w:id="10"/>
    </w:tbl>
    <w:p w14:paraId="09B68B84">
      <w:pPr>
        <w:widowControl/>
        <w:adjustRightInd/>
        <w:jc w:val="left"/>
        <w:rPr>
          <w:rFonts w:hint="eastAsia" w:ascii="宋体" w:hAnsi="宋体" w:cs="宋体"/>
          <w:b/>
          <w:color w:val="auto"/>
          <w:sz w:val="32"/>
          <w:szCs w:val="20"/>
          <w:highlight w:val="none"/>
        </w:rPr>
      </w:pPr>
      <w:bookmarkStart w:id="13" w:name="_Toc164416483"/>
      <w:bookmarkStart w:id="14" w:name="第三部分"/>
      <w:r>
        <w:rPr>
          <w:rFonts w:hint="eastAsia" w:ascii="宋体" w:hAnsi="宋体" w:cs="宋体"/>
          <w:b/>
          <w:color w:val="auto"/>
          <w:sz w:val="32"/>
          <w:szCs w:val="20"/>
          <w:highlight w:val="none"/>
        </w:rPr>
        <w:br w:type="page"/>
      </w:r>
    </w:p>
    <w:p w14:paraId="3B130A50">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一、总则</w:t>
      </w:r>
    </w:p>
    <w:p w14:paraId="647F8437">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1. 适用范围</w:t>
      </w:r>
    </w:p>
    <w:p w14:paraId="0B001411">
      <w:pPr>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本采购文件适用于该项目的采购邀请、响应文件提交、响应文件开启、资格审查及信用信息查询、磋商、评审、成交供应商确定、合同、验收等行为（法律、法规另有规定的，从其规定）。</w:t>
      </w:r>
    </w:p>
    <w:p w14:paraId="1D0E7ABD">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2.定义</w:t>
      </w:r>
    </w:p>
    <w:p w14:paraId="4F875EBB">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 “采购人”系指竞争性磋商公告中载明的本项目的采购人。</w:t>
      </w:r>
    </w:p>
    <w:p w14:paraId="1749FD0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“采购代理机构”系指竞争性磋商公告中载明的本项目的采购代理机构。</w:t>
      </w:r>
    </w:p>
    <w:p w14:paraId="0C7BFDBC">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 “供应商”系指是指提交响应文件和报价、参与竞争性磋商采购活动的法人、其他组织或者自然人。</w:t>
      </w:r>
    </w:p>
    <w:p w14:paraId="0BC1DE2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77360B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提交响应文件时须提供《业务专用章使用说明函》（附件4）。</w:t>
      </w:r>
    </w:p>
    <w:p w14:paraId="1053412D">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2.6“电子交易平台”系指本项目政府采购活动所依托的政府采购云平台（https://www.zcygov.cn/）。</w:t>
      </w:r>
    </w:p>
    <w:p w14:paraId="64F8214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系指不适用本项目的要求，“※”系指磋商过程中可能实质性变动的内容。</w:t>
      </w:r>
    </w:p>
    <w:p w14:paraId="1E20A683">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5A0B8A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61D86F9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 支持绿色发展</w:t>
      </w:r>
    </w:p>
    <w:p w14:paraId="473E42BB">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购文件要求提供相关产品认证证书。▲</w:t>
      </w:r>
      <w:r>
        <w:rPr>
          <w:rFonts w:hint="eastAsia" w:ascii="宋体" w:hAnsi="宋体" w:cs="宋体"/>
          <w:b/>
          <w:color w:val="auto"/>
          <w:sz w:val="24"/>
          <w:highlight w:val="none"/>
        </w:rPr>
        <w:t>采购人拟采购的产品属于政府强制采购的节能产品品目清单范围的，供应商未按采购文件要求提供国家确定的认证机构出具的、处于有效期之内的节能产品认证证书的，响应文件无效。</w:t>
      </w:r>
    </w:p>
    <w:p w14:paraId="3A92ED5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3.2.2纳入政府采购管理的修缮、装修类项目采购建材的，鼓励采购单位将绿色建材性能、指标等作为实质性条件纳入采购文件和合同，具体性能指标要求参考相关绿色建材政府采购需求标准。</w:t>
      </w:r>
    </w:p>
    <w:p w14:paraId="31A790D9">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46CACCD">
      <w:pPr>
        <w:tabs>
          <w:tab w:val="left" w:pos="0"/>
        </w:tabs>
        <w:spacing w:line="360" w:lineRule="auto"/>
        <w:ind w:firstLine="480" w:firstLineChars="200"/>
        <w:rPr>
          <w:color w:val="auto"/>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582DF16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3.3支持中小企业发展</w:t>
      </w:r>
    </w:p>
    <w:p w14:paraId="759256A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A132FE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1D2114F9">
      <w:pPr>
        <w:widowControl/>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bCs/>
          <w:color w:val="auto"/>
          <w:sz w:val="24"/>
          <w:highlight w:val="none"/>
        </w:rPr>
        <w:t>3.3.2</w:t>
      </w:r>
      <w:r>
        <w:rPr>
          <w:rFonts w:hint="eastAsia" w:ascii="宋体" w:hAnsi="宋体" w:cs="宋体"/>
          <w:color w:val="auto"/>
          <w:kern w:val="0"/>
          <w:sz w:val="24"/>
          <w:highlight w:val="none"/>
        </w:rPr>
        <w:t>在政府采购活动中，供应商提供的工程符合下列情形的，享受中小企业扶持政策：</w:t>
      </w:r>
      <w:r>
        <w:rPr>
          <w:rFonts w:ascii="宋体" w:hAnsi="宋体" w:cs="宋体"/>
          <w:color w:val="auto"/>
          <w:sz w:val="24"/>
          <w:highlight w:val="none"/>
        </w:rPr>
        <w:t>在工程采购项目中，工程由中小企业承建，即工程施工单位为中小企业</w:t>
      </w:r>
      <w:r>
        <w:rPr>
          <w:rFonts w:hint="eastAsia" w:ascii="宋体" w:hAnsi="宋体" w:cs="宋体"/>
          <w:color w:val="auto"/>
          <w:kern w:val="0"/>
          <w:sz w:val="24"/>
          <w:highlight w:val="none"/>
        </w:rPr>
        <w:t>。</w:t>
      </w:r>
    </w:p>
    <w:p w14:paraId="192E5174">
      <w:pPr>
        <w:widowControl/>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0F77D1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3.3.3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w:t>
      </w:r>
      <w:bookmarkStart w:id="15" w:name="_Hlk101132181"/>
      <w:r>
        <w:rPr>
          <w:rFonts w:hint="eastAsia" w:ascii="宋体" w:hAnsi="宋体" w:cs="宋体"/>
          <w:color w:val="auto"/>
          <w:sz w:val="24"/>
          <w:highlight w:val="none"/>
        </w:rPr>
        <w:t>联合协议或者分包意向协议约定小微企业的合同份额占到合同总金额30%以上的</w:t>
      </w:r>
      <w:bookmarkEnd w:id="15"/>
      <w:r>
        <w:rPr>
          <w:rFonts w:hint="eastAsia" w:ascii="宋体" w:hAnsi="宋体" w:cs="宋体"/>
          <w:color w:val="auto"/>
          <w:sz w:val="24"/>
          <w:highlight w:val="none"/>
        </w:rPr>
        <w:t>，对联合体或者大中型企业的报价给予2%的扣除，用扣除后的价格参加评审。组成联合体或者接受分包的小微企业与联合体内其他企业、分包企业之间存在直接控股、管理关系的，不享受价格扣除优惠政策。</w:t>
      </w:r>
    </w:p>
    <w:p w14:paraId="518602A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1D20250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53909AE">
      <w:pPr>
        <w:spacing w:line="360" w:lineRule="auto"/>
        <w:ind w:firstLine="480" w:firstLineChars="200"/>
        <w:rPr>
          <w:rFonts w:hint="eastAsia"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w:t>
      </w:r>
      <w:r>
        <w:rPr>
          <w:rFonts w:hint="eastAsia" w:cs="宋体" w:asciiTheme="minorEastAsia" w:hAnsiTheme="minorEastAsia" w:eastAsiaTheme="minorEastAsia"/>
          <w:color w:val="auto"/>
          <w:sz w:val="24"/>
          <w:highlight w:val="none"/>
          <w:lang w:val="en"/>
        </w:rPr>
        <w:t>《中小企业声明函》填写企业类型错误，导致该企业享受本不能享受的中小企业扶持政策，响应无效并依法承担法律责任</w:t>
      </w:r>
      <w:r>
        <w:rPr>
          <w:rFonts w:hint="eastAsia" w:cs="宋体" w:asciiTheme="minorEastAsia" w:hAnsiTheme="minorEastAsia" w:eastAsiaTheme="minorEastAsia"/>
          <w:color w:val="auto"/>
          <w:sz w:val="24"/>
          <w:highlight w:val="none"/>
        </w:rPr>
        <w:t>。</w:t>
      </w:r>
    </w:p>
    <w:p w14:paraId="28354263">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1E409247">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2E387E1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3.4.1 首台套、“制造精品”、“专精特新”等创新产品按规定享受政府采购支持政策。</w:t>
      </w:r>
    </w:p>
    <w:p w14:paraId="484B13F3">
      <w:pPr>
        <w:tabs>
          <w:tab w:val="left" w:pos="432"/>
        </w:tabs>
        <w:ind w:firstLine="480" w:firstLineChars="200"/>
        <w:rPr>
          <w:color w:val="auto"/>
          <w:highlight w:val="none"/>
        </w:rPr>
      </w:pPr>
      <w:r>
        <w:rPr>
          <w:rFonts w:hint="eastAsia" w:ascii="宋体" w:hAnsi="宋体" w:cs="仿宋"/>
          <w:color w:val="auto"/>
          <w:sz w:val="24"/>
          <w:highlight w:val="none"/>
        </w:rPr>
        <w:t>3.4.2 采购人应当贯彻落实知识产权保护相关法律法规，应当采购使用正版软件。</w:t>
      </w:r>
    </w:p>
    <w:p w14:paraId="03491CF5">
      <w:pPr>
        <w:snapToGrid w:val="0"/>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26E8A804">
      <w:pPr>
        <w:snapToGrid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cs="仿宋"/>
          <w:color w:val="auto"/>
          <w:sz w:val="24"/>
          <w:highlight w:val="none"/>
        </w:rPr>
        <w:t>、补偿救济</w:t>
      </w:r>
    </w:p>
    <w:p w14:paraId="46826018">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4.1在线询问、质疑、投诉</w:t>
      </w:r>
    </w:p>
    <w:p w14:paraId="12AD63DF">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0DD0BC0">
      <w:pPr>
        <w:autoSpaceDE w:val="0"/>
        <w:autoSpaceDN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5B187EE5">
      <w:pPr>
        <w:autoSpaceDE w:val="0"/>
        <w:autoSpaceDN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C8EF3B">
      <w:pPr>
        <w:autoSpaceDE w:val="0"/>
        <w:autoSpaceDN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188E94AF">
      <w:pPr>
        <w:pStyle w:val="35"/>
        <w:snapToGrid w:val="0"/>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.1提出质疑的供应商应当是参与所质疑项目采购活动的供应商。潜在供应商已依法获取其可质疑的采购文件的，可以对该文件提出质疑。</w:t>
      </w:r>
    </w:p>
    <w:p w14:paraId="30EAC6C8">
      <w:pPr>
        <w:pStyle w:val="35"/>
        <w:snapToGrid w:val="0"/>
        <w:spacing w:line="360" w:lineRule="auto"/>
        <w:ind w:firstLine="480" w:firstLineChars="200"/>
        <w:rPr>
          <w:rFonts w:hint="eastAsia"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39D8ABE4">
      <w:pPr>
        <w:pStyle w:val="4"/>
        <w:spacing w:line="360" w:lineRule="auto"/>
        <w:ind w:firstLine="480" w:firstLineChars="200"/>
        <w:rPr>
          <w:rFonts w:hint="eastAsia" w:hAnsi="宋体" w:cs="宋体"/>
          <w:snapToGrid/>
          <w:color w:val="auto"/>
          <w:kern w:val="2"/>
          <w:sz w:val="24"/>
          <w:highlight w:val="none"/>
        </w:rPr>
      </w:pPr>
      <w:r>
        <w:rPr>
          <w:rFonts w:hint="eastAsia" w:hAnsi="宋体" w:cs="宋体"/>
          <w:snapToGrid/>
          <w:color w:val="auto"/>
          <w:kern w:val="2"/>
          <w:sz w:val="24"/>
          <w:highlight w:val="none"/>
        </w:rPr>
        <w:t>4.3.2.1对采购文件提出质疑的，质疑期限为供应商获得采购文件之日或者采购文件公告期限届满之日起计算。</w:t>
      </w:r>
    </w:p>
    <w:p w14:paraId="48471D5F">
      <w:pPr>
        <w:pStyle w:val="35"/>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4.3.2.2对采购过程提出质疑的，质疑期限为各采购程序环节结束之日起计算。</w:t>
      </w:r>
    </w:p>
    <w:p w14:paraId="6B3EB3A7">
      <w:pPr>
        <w:pStyle w:val="35"/>
        <w:snapToGrid w:val="0"/>
        <w:spacing w:line="360" w:lineRule="auto"/>
        <w:ind w:firstLine="480" w:firstLineChars="200"/>
        <w:rPr>
          <w:rFonts w:hint="eastAsia" w:hAnsi="宋体" w:cs="宋体"/>
          <w:color w:val="auto"/>
          <w:sz w:val="24"/>
          <w:highlight w:val="none"/>
        </w:rPr>
      </w:pPr>
      <w:r>
        <w:rPr>
          <w:rFonts w:hint="eastAsia" w:hAnsi="宋体" w:cs="宋体"/>
          <w:color w:val="auto"/>
          <w:sz w:val="24"/>
          <w:highlight w:val="none"/>
        </w:rPr>
        <w:t>4.3.2.3对采购结果提出质疑的，质疑期限自采购结果公告期限届满之日起计算。</w:t>
      </w:r>
    </w:p>
    <w:p w14:paraId="5F7F0E51">
      <w:pPr>
        <w:pStyle w:val="35"/>
        <w:snapToGrid w:val="0"/>
        <w:spacing w:line="360" w:lineRule="auto"/>
        <w:ind w:firstLine="480" w:firstLineChars="200"/>
        <w:rPr>
          <w:rFonts w:hint="eastAsia"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85534FC">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4.3.3.1供应商的姓名或者名称、地址、邮编、联系人及联系电话；</w:t>
      </w:r>
    </w:p>
    <w:p w14:paraId="67DE6F2D">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4.3.3.2质疑项目的名称、编号；</w:t>
      </w:r>
    </w:p>
    <w:p w14:paraId="5B5C0410">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4.3.3.3具体、明确的质疑事项和与质疑事项相关的请求；</w:t>
      </w:r>
    </w:p>
    <w:p w14:paraId="7414B72C">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4.3.3.4事实依据；</w:t>
      </w:r>
    </w:p>
    <w:p w14:paraId="59C3F943">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4.3.3.5必要的法律依据；</w:t>
      </w:r>
    </w:p>
    <w:p w14:paraId="4E3E56EE">
      <w:pPr>
        <w:pStyle w:val="35"/>
        <w:snapToGrid w:val="0"/>
        <w:spacing w:line="360" w:lineRule="auto"/>
        <w:ind w:firstLine="720" w:firstLineChars="300"/>
        <w:rPr>
          <w:rFonts w:hint="eastAsia"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899CF43">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4FB11F45">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质疑函范本及制作说明详见附件2。</w:t>
      </w:r>
    </w:p>
    <w:p w14:paraId="5909836A">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4.3.4对同一采购程序环节的质疑，供应商须在法定质疑期内一次性提出。</w:t>
      </w:r>
    </w:p>
    <w:p w14:paraId="5D03622E">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lang w:val="zh-CN"/>
        </w:rPr>
        <w:t>4.3</w:t>
      </w:r>
      <w:r>
        <w:rPr>
          <w:rFonts w:hint="eastAsia"/>
          <w:color w:val="auto"/>
          <w:highlight w:val="none"/>
        </w:rPr>
        <w:t>.5采购人或者采购代理机构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代理机构在质疑回复后5个工作日内，在浙江政府采购网的“其他公告”栏目公开质疑答复，答复内容应当完整。质疑函作为附件上传。</w:t>
      </w:r>
    </w:p>
    <w:p w14:paraId="65DA7565">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08D6991C">
      <w:pPr>
        <w:pStyle w:val="890"/>
        <w:adjustRightInd w:val="0"/>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4.4供应商投诉</w:t>
      </w:r>
    </w:p>
    <w:p w14:paraId="2BBC6C7D">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4.4.1质疑供应商对采购人、采购代理机构的答复不满意或者采购人、采购代理机构未在规定的时间内作出答复的，可以在答复期满后十五个工作日内向同级政府采购监督管理部门提出投诉。</w:t>
      </w:r>
    </w:p>
    <w:p w14:paraId="769ABC6B">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93B39E0">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4.4.3供应商投诉应当有明确的请求和必要的证明材料。</w:t>
      </w:r>
    </w:p>
    <w:p w14:paraId="60281A85">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4.4.4以联合体形式参加政府采购活动的，其投诉应当由组成联合体的所有供应商共同提出。</w:t>
      </w:r>
    </w:p>
    <w:p w14:paraId="7D8E397A">
      <w:pPr>
        <w:pStyle w:val="890"/>
        <w:snapToGrid w:val="0"/>
        <w:spacing w:after="240" w:afterAutospacing="0" w:line="360" w:lineRule="auto"/>
        <w:ind w:firstLine="480" w:firstLineChars="200"/>
        <w:contextualSpacing/>
        <w:rPr>
          <w:rFonts w:hint="eastAsia"/>
          <w:color w:val="auto"/>
          <w:highlight w:val="none"/>
        </w:rPr>
      </w:pPr>
      <w:r>
        <w:rPr>
          <w:rFonts w:hint="eastAsia" w:asciiTheme="minorEastAsia" w:hAnsiTheme="minorEastAsia" w:eastAsiaTheme="minorEastAsia"/>
          <w:color w:val="auto"/>
          <w:highlight w:val="none"/>
        </w:rPr>
        <w:t>4.4.5</w:t>
      </w:r>
      <w:r>
        <w:rPr>
          <w:rFonts w:hint="eastAsia"/>
          <w:color w:val="auto"/>
          <w:highlight w:val="none"/>
        </w:rPr>
        <w:t>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朱女士、王女士，电话：0571-87227671,0571-87800218</w:t>
      </w:r>
      <w:r>
        <w:rPr>
          <w:rFonts w:hint="eastAsia" w:cs="仿宋"/>
          <w:color w:val="auto"/>
          <w:highlight w:val="none"/>
        </w:rPr>
        <w:t>。</w:t>
      </w:r>
    </w:p>
    <w:p w14:paraId="5440035E">
      <w:pPr>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36CE0557">
      <w:pPr>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18AFAC6E">
      <w:pPr>
        <w:pStyle w:val="890"/>
        <w:snapToGrid w:val="0"/>
        <w:spacing w:after="240" w:afterAutospacing="0" w:line="360" w:lineRule="auto"/>
        <w:ind w:firstLine="480" w:firstLineChars="200"/>
        <w:contextualSpacing/>
        <w:rPr>
          <w:rFonts w:hint="eastAsia"/>
          <w:color w:val="auto"/>
          <w:highlight w:val="none"/>
        </w:rPr>
      </w:pPr>
    </w:p>
    <w:p w14:paraId="2676B8ED">
      <w:pPr>
        <w:pStyle w:val="890"/>
        <w:adjustRightInd w:val="0"/>
        <w:snapToGrid w:val="0"/>
        <w:spacing w:before="0" w:beforeAutospacing="0" w:after="0" w:afterAutospacing="0" w:line="360" w:lineRule="auto"/>
        <w:ind w:firstLine="480" w:firstLineChars="200"/>
        <w:contextualSpacing/>
        <w:rPr>
          <w:rFonts w:hint="eastAsia"/>
          <w:color w:val="auto"/>
          <w:highlight w:val="none"/>
        </w:rPr>
      </w:pPr>
      <w:r>
        <w:rPr>
          <w:rFonts w:hint="eastAsia"/>
          <w:color w:val="auto"/>
          <w:highlight w:val="none"/>
        </w:rPr>
        <w:t>投诉书范本及制作说明详见附件3。</w:t>
      </w:r>
    </w:p>
    <w:p w14:paraId="33A12215">
      <w:pPr>
        <w:pStyle w:val="132"/>
        <w:snapToGrid w:val="0"/>
        <w:spacing w:before="0"/>
        <w:ind w:firstLine="360"/>
        <w:rPr>
          <w:rFonts w:hint="eastAsia" w:ascii="宋体" w:hAnsi="宋体" w:cs="宋体"/>
          <w:color w:val="auto"/>
          <w:sz w:val="18"/>
          <w:szCs w:val="18"/>
          <w:highlight w:val="none"/>
        </w:rPr>
      </w:pPr>
    </w:p>
    <w:p w14:paraId="47A54C21">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二、采购文件的构成、澄清、修改</w:t>
      </w:r>
    </w:p>
    <w:p w14:paraId="2B66794A">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5．采购文件的构成</w:t>
      </w:r>
    </w:p>
    <w:p w14:paraId="1547C38F">
      <w:pPr>
        <w:pStyle w:val="3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5.1 采购文件包括下列文件及附件：</w:t>
      </w:r>
    </w:p>
    <w:p w14:paraId="7D25F6D9">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5.1.1竞争性磋商公告；</w:t>
      </w:r>
    </w:p>
    <w:p w14:paraId="347BE1FD">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5.1.2供应商须知；</w:t>
      </w:r>
    </w:p>
    <w:p w14:paraId="0F9963D5">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5.1.3采购需求；</w:t>
      </w:r>
    </w:p>
    <w:p w14:paraId="0A978958">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5.1.4评审办法；</w:t>
      </w:r>
    </w:p>
    <w:p w14:paraId="727CB9D3">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szCs w:val="24"/>
          <w:highlight w:val="none"/>
        </w:rPr>
        <w:t>5.1.5拟签订的合同文本；</w:t>
      </w:r>
    </w:p>
    <w:p w14:paraId="35F1D115">
      <w:pPr>
        <w:pStyle w:val="35"/>
        <w:tabs>
          <w:tab w:val="left" w:pos="840"/>
        </w:tabs>
        <w:spacing w:line="360" w:lineRule="auto"/>
        <w:ind w:firstLine="960" w:firstLineChars="400"/>
        <w:rPr>
          <w:rFonts w:hint="eastAsia"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18EEEF2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澄清或者修改的内容为采购文件的组成部分</w:t>
      </w:r>
      <w:r>
        <w:rPr>
          <w:rFonts w:hint="eastAsia" w:ascii="宋体" w:hAnsi="宋体" w:cs="宋体"/>
          <w:color w:val="auto"/>
          <w:sz w:val="24"/>
          <w:highlight w:val="none"/>
        </w:rPr>
        <w:t>。</w:t>
      </w:r>
    </w:p>
    <w:p w14:paraId="215A049D">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6. 采购文件的澄清、修改</w:t>
      </w:r>
    </w:p>
    <w:p w14:paraId="156FB329">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6.1已获取采购文件的潜在供应商，若有问题需要澄清，应于响应文件提交（上传）截止时间前，以书面形式向采购代理机构提出。</w:t>
      </w:r>
    </w:p>
    <w:p w14:paraId="7938E13E">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6.2 采购代理机构对采购文件进行澄清或修改的，将同时通过电子交易平台通知已获取采购文件的潜在供应商。依法应当公告的，将按规定公告，同时视情况延长响应文件提交（上传）截止时间和响应文件开启时间。该澄清或者修改的内容为采购文件的组成部分。</w:t>
      </w:r>
    </w:p>
    <w:p w14:paraId="1625EDF4">
      <w:pPr>
        <w:pStyle w:val="25"/>
        <w:rPr>
          <w:rFonts w:hint="eastAsia" w:hAnsi="宋体" w:cs="宋体"/>
          <w:color w:val="auto"/>
          <w:sz w:val="18"/>
          <w:szCs w:val="18"/>
          <w:highlight w:val="none"/>
          <w:lang w:val="en-US"/>
        </w:rPr>
      </w:pPr>
    </w:p>
    <w:p w14:paraId="482668CE">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三、提交响应文件</w:t>
      </w:r>
    </w:p>
    <w:p w14:paraId="048F8566">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7. 采购文件的获取</w:t>
      </w:r>
    </w:p>
    <w:p w14:paraId="10FD5660">
      <w:pPr>
        <w:spacing w:line="360" w:lineRule="auto"/>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详见竞争性磋商公告中获取采购文件的时间期限、地点、方式及采购文件售价。</w:t>
      </w:r>
    </w:p>
    <w:p w14:paraId="61E75CD1">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8.磋商前答疑会或现场考察</w:t>
      </w:r>
    </w:p>
    <w:p w14:paraId="03E0A3C2">
      <w:pPr>
        <w:pStyle w:val="35"/>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采购人组织潜在供应商现场考察或者召开磋商前答疑会的，潜在供应商按第二部分供应商须知前附表的规定参加现场考察或者磋商前答疑会。</w:t>
      </w:r>
    </w:p>
    <w:p w14:paraId="5BF6F72E">
      <w:pPr>
        <w:pStyle w:val="35"/>
        <w:spacing w:line="360" w:lineRule="auto"/>
        <w:rPr>
          <w:rFonts w:hint="eastAsia" w:hAnsi="宋体" w:cs="宋体"/>
          <w:b/>
          <w:color w:val="auto"/>
          <w:szCs w:val="24"/>
          <w:highlight w:val="none"/>
        </w:rPr>
      </w:pPr>
      <w:r>
        <w:rPr>
          <w:rFonts w:hint="eastAsia" w:hAnsi="宋体" w:cs="宋体"/>
          <w:b/>
          <w:color w:val="auto"/>
          <w:kern w:val="28"/>
          <w:sz w:val="24"/>
          <w:szCs w:val="24"/>
          <w:highlight w:val="none"/>
        </w:rPr>
        <w:t>9.磋商保证金</w:t>
      </w:r>
    </w:p>
    <w:p w14:paraId="2C759846">
      <w:pPr>
        <w:pStyle w:val="4"/>
        <w:spacing w:line="360" w:lineRule="auto"/>
        <w:ind w:firstLine="470" w:firstLineChars="196"/>
        <w:rPr>
          <w:rFonts w:hint="eastAsia" w:hAnsi="宋体" w:cs="宋体"/>
          <w:color w:val="auto"/>
          <w:sz w:val="24"/>
          <w:highlight w:val="none"/>
        </w:rPr>
      </w:pPr>
      <w:r>
        <w:rPr>
          <w:rFonts w:hint="eastAsia" w:hAnsi="宋体" w:cs="宋体"/>
          <w:color w:val="auto"/>
          <w:sz w:val="24"/>
          <w:highlight w:val="none"/>
        </w:rPr>
        <w:t>本项目不需缴纳磋商保证金。</w:t>
      </w:r>
    </w:p>
    <w:p w14:paraId="365F72DF">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10. 响应文件的语言</w:t>
      </w:r>
    </w:p>
    <w:p w14:paraId="06C6ACC2">
      <w:pPr>
        <w:autoSpaceDE w:val="0"/>
        <w:autoSpaceDN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响应文件及供应商与采购有关的来往通知、函件和文件均应使用中文。</w:t>
      </w:r>
    </w:p>
    <w:p w14:paraId="0EDE367E">
      <w:pPr>
        <w:pStyle w:val="35"/>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11. 响应文件的组成</w:t>
      </w:r>
    </w:p>
    <w:p w14:paraId="7DDD331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9FE302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11.1.1符合参加政府采购活动应当具备的一般条件的承诺函；</w:t>
      </w:r>
    </w:p>
    <w:p w14:paraId="178B365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bookmarkStart w:id="16" w:name="_Hlk101259339"/>
      <w:r>
        <w:rPr>
          <w:rFonts w:hint="eastAsia" w:ascii="宋体" w:hAnsi="宋体" w:cs="宋体"/>
          <w:snapToGrid w:val="0"/>
          <w:color w:val="auto"/>
          <w:kern w:val="28"/>
          <w:sz w:val="24"/>
          <w:szCs w:val="20"/>
          <w:highlight w:val="none"/>
        </w:rPr>
        <w:t>联合协议</w:t>
      </w:r>
      <w:bookmarkStart w:id="17" w:name="_Hlk101257010"/>
      <w:r>
        <w:rPr>
          <w:rFonts w:hint="eastAsia" w:ascii="宋体" w:hAnsi="宋体" w:cs="宋体"/>
          <w:snapToGrid w:val="0"/>
          <w:color w:val="auto"/>
          <w:kern w:val="28"/>
          <w:sz w:val="24"/>
          <w:szCs w:val="20"/>
          <w:highlight w:val="none"/>
        </w:rPr>
        <w:t>（如果有)</w:t>
      </w:r>
      <w:bookmarkEnd w:id="16"/>
      <w:bookmarkEnd w:id="17"/>
      <w:r>
        <w:rPr>
          <w:rFonts w:hint="eastAsia" w:ascii="宋体" w:hAnsi="宋体" w:cs="宋体"/>
          <w:snapToGrid w:val="0"/>
          <w:color w:val="auto"/>
          <w:kern w:val="28"/>
          <w:sz w:val="24"/>
          <w:szCs w:val="20"/>
          <w:highlight w:val="none"/>
        </w:rPr>
        <w:t>；</w:t>
      </w:r>
    </w:p>
    <w:p w14:paraId="52B09B72">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C483735">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11.1.</w:t>
      </w:r>
      <w:r>
        <w:rPr>
          <w:rFonts w:ascii="宋体" w:hAnsi="宋体" w:cs="宋体"/>
          <w:color w:val="auto"/>
          <w:sz w:val="24"/>
          <w:highlight w:val="none"/>
        </w:rPr>
        <w:t>4</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597AE171">
      <w:pPr>
        <w:snapToGrid w:val="0"/>
        <w:spacing w:line="360" w:lineRule="auto"/>
        <w:ind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A27892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11.2.1响应函；</w:t>
      </w:r>
      <w:r>
        <w:rPr>
          <w:rFonts w:hint="eastAsia" w:ascii="宋体" w:hAnsi="宋体" w:cs="宋体"/>
          <w:color w:val="auto"/>
          <w:sz w:val="24"/>
          <w:highlight w:val="none"/>
          <w:lang w:val="zh-CN"/>
        </w:rPr>
        <w:t xml:space="preserve"> </w:t>
      </w:r>
    </w:p>
    <w:p w14:paraId="39C6C7CF">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11.2.2授权委托书或法定代表人（单位负责人、自然人本人）身份证明；</w:t>
      </w:r>
    </w:p>
    <w:p w14:paraId="19EC3415">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11.2.3分包意向协议（如果有)；</w:t>
      </w:r>
    </w:p>
    <w:p w14:paraId="1596C1FA">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11.2.4符合性审查资料；</w:t>
      </w:r>
    </w:p>
    <w:p w14:paraId="539C5E13">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11.2.5评审标准相应的商务技术资料；</w:t>
      </w:r>
    </w:p>
    <w:p w14:paraId="30D1D8F8">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11.2.6商务技术偏离表；</w:t>
      </w:r>
    </w:p>
    <w:p w14:paraId="7D7D624E">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4E313DBA">
      <w:pPr>
        <w:snapToGrid w:val="0"/>
        <w:spacing w:line="360" w:lineRule="auto"/>
        <w:ind w:firstLine="480" w:firstLineChars="200"/>
        <w:rPr>
          <w:rFonts w:hint="eastAsia"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5219D7EB">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11.3.1报价单；</w:t>
      </w:r>
    </w:p>
    <w:p w14:paraId="447D39EC">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11.3.2已标价工程量清单；</w:t>
      </w:r>
    </w:p>
    <w:p w14:paraId="1323EDA0">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rPr>
        <w:t>11.3.3中小企业声明函。</w:t>
      </w:r>
    </w:p>
    <w:p w14:paraId="645FD34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响应文件含有采购人不能接受的附加条件的，响应文件无效；</w:t>
      </w:r>
    </w:p>
    <w:p w14:paraId="4B389DC3">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供应商提供虚假材料的，响应文件无效。</w:t>
      </w:r>
    </w:p>
    <w:p w14:paraId="5609154F">
      <w:pPr>
        <w:spacing w:line="360" w:lineRule="auto"/>
        <w:ind w:firstLine="720" w:firstLineChars="300"/>
        <w:rPr>
          <w:color w:val="auto"/>
          <w:highlight w:val="none"/>
        </w:rPr>
      </w:pPr>
      <w:r>
        <w:rPr>
          <w:rFonts w:hint="eastAsia"/>
          <w:color w:val="auto"/>
          <w:sz w:val="24"/>
          <w:highlight w:val="none"/>
          <w:shd w:val="clear" w:color="auto" w:fill="FFFFFF"/>
        </w:rPr>
        <w:t>供应商可事先在公开官网查询、核对相关证书和报告内容，确保投标（响应）文件资料准确无误。供应商应对响应文件中材料的真实性、合法性负责。</w:t>
      </w:r>
    </w:p>
    <w:p w14:paraId="35835EE0">
      <w:pPr>
        <w:pStyle w:val="132"/>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响应文件的编制</w:t>
      </w:r>
    </w:p>
    <w:p w14:paraId="0BDB95CA">
      <w:pPr>
        <w:spacing w:line="360" w:lineRule="auto"/>
        <w:ind w:firstLine="480" w:firstLineChars="200"/>
        <w:rPr>
          <w:rFonts w:hint="eastAsia" w:ascii="宋体" w:hAnsi="宋体" w:cs="宋体"/>
          <w:b/>
          <w:color w:val="auto"/>
          <w:sz w:val="24"/>
          <w:highlight w:val="none"/>
        </w:rPr>
      </w:pPr>
      <w:r>
        <w:rPr>
          <w:rFonts w:hint="eastAsia" w:ascii="宋体" w:hAnsi="宋体" w:cs="宋体"/>
          <w:color w:val="auto"/>
          <w:kern w:val="0"/>
          <w:sz w:val="24"/>
          <w:highlight w:val="none"/>
          <w:lang w:val="zh-CN"/>
        </w:rPr>
        <w:t>12.1响应文件分为资格文件、商务技术文件、报价文件三部分。各供应商在编制响应文件时请按照采购文件第六部分规定的格式进行，混乱的编排导致响应文件被误读或磋商小组查找不到有效文件是供应商的风险。</w:t>
      </w:r>
    </w:p>
    <w:p w14:paraId="020E14C4">
      <w:pPr>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12.2供应商进行电子投标应安装客户端软件—“政采云电子交易客户端”，并按照采购文件和电子交易平台的要求编制并加密响应文件。供应商未按规定加密的响应文件，电子交易平台将拒收并提示。</w:t>
      </w:r>
    </w:p>
    <w:p w14:paraId="713F6763">
      <w:pPr>
        <w:snapToGrid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286E260C">
      <w:pPr>
        <w:snapToGrid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13.响应文件的签署、盖章</w:t>
      </w:r>
    </w:p>
    <w:p w14:paraId="24B6661D">
      <w:pPr>
        <w:pStyle w:val="132"/>
        <w:snapToGrid w:val="0"/>
        <w:spacing w:before="0"/>
        <w:ind w:firstLine="480"/>
        <w:rPr>
          <w:rFonts w:hint="eastAsia" w:ascii="宋体" w:hAnsi="宋体" w:cs="宋体"/>
          <w:b/>
          <w:color w:val="auto"/>
          <w:highlight w:val="none"/>
        </w:rPr>
      </w:pPr>
      <w:r>
        <w:rPr>
          <w:rFonts w:hint="eastAsia" w:ascii="宋体" w:hAnsi="宋体" w:cs="宋体"/>
          <w:color w:val="auto"/>
          <w:szCs w:val="24"/>
          <w:highlight w:val="none"/>
        </w:rPr>
        <w:t>13.1响应文件按照采购文件第六部分格式要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▲供应商的响应文件未按照采购文件要求签署、盖章的，其响应文件无效</w:t>
      </w:r>
      <w:r>
        <w:rPr>
          <w:rFonts w:hint="eastAsia" w:ascii="宋体" w:hAnsi="宋体" w:cs="宋体"/>
          <w:color w:val="auto"/>
          <w:szCs w:val="24"/>
          <w:highlight w:val="none"/>
        </w:rPr>
        <w:t>。</w:t>
      </w:r>
    </w:p>
    <w:p w14:paraId="04783284">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13.2为确保网上操作合法、有效和安全，供应商应当在响应文件提交（上传）截止时间前完成在“政府采购云平台”的身份认证，确保在电子投标过程中能够对相关数据电文进行加密和使用电子签名。</w:t>
      </w:r>
    </w:p>
    <w:p w14:paraId="1236AC7A">
      <w:pPr>
        <w:pStyle w:val="132"/>
        <w:snapToGrid w:val="0"/>
        <w:spacing w:before="0"/>
        <w:ind w:firstLine="480"/>
        <w:rPr>
          <w:rFonts w:hint="eastAsia" w:ascii="宋体" w:hAnsi="宋体" w:cs="宋体"/>
          <w:color w:val="auto"/>
          <w:szCs w:val="24"/>
          <w:highlight w:val="none"/>
        </w:rPr>
      </w:pPr>
      <w:r>
        <w:rPr>
          <w:rFonts w:hint="eastAsia" w:ascii="宋体" w:hAnsi="宋体" w:cs="宋体"/>
          <w:color w:val="auto"/>
          <w:highlight w:val="none"/>
        </w:rPr>
        <w:t>13.3采购文件对响应文件签署、盖章的要求适用于电子签名。</w:t>
      </w:r>
    </w:p>
    <w:p w14:paraId="5683727A">
      <w:pPr>
        <w:pStyle w:val="132"/>
        <w:snapToGrid w:val="0"/>
        <w:spacing w:before="0"/>
        <w:ind w:firstLine="0" w:firstLineChars="0"/>
        <w:rPr>
          <w:rFonts w:hint="eastAsia" w:ascii="宋体" w:hAnsi="宋体" w:cs="宋体"/>
          <w:b/>
          <w:color w:val="auto"/>
          <w:szCs w:val="24"/>
          <w:highlight w:val="none"/>
        </w:rPr>
      </w:pPr>
    </w:p>
    <w:p w14:paraId="0BCB87F8">
      <w:pPr>
        <w:pStyle w:val="132"/>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14. 响应文件的提交、补充、修改、撤回</w:t>
      </w:r>
    </w:p>
    <w:p w14:paraId="1A2BD9D0">
      <w:pPr>
        <w:pStyle w:val="132"/>
        <w:snapToGrid w:val="0"/>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14.1 供应商应当在响应文件提交（上传）截止时间前完成响应文件的传输递交，并可以补充、修改或者撤回响应文件。补充或者修改响应文件的，应当先行撤回原文件，补充、修改后重新传输递交。响应文件提交（上传）截止时间前未完成传输的，视为撤回响应文件。响应文件提交（上传）截止时间后递交的响应文件，电子交易平台将拒收。</w:t>
      </w:r>
    </w:p>
    <w:p w14:paraId="1F4FB431">
      <w:pPr>
        <w:pStyle w:val="132"/>
        <w:snapToGrid w:val="0"/>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14.2电子交易平台收到响应文件，将妥善保存并即时向供应商发出确认回执通知。在响应文件提交（上传）截止时间前，除供应商补充、修改或者撤回响应文件外，任何单位和个人不得解密或提取响应文件。</w:t>
      </w:r>
    </w:p>
    <w:p w14:paraId="4FC0750C">
      <w:pPr>
        <w:pStyle w:val="132"/>
        <w:snapToGrid w:val="0"/>
        <w:spacing w:before="0"/>
        <w:ind w:firstLine="480"/>
        <w:rPr>
          <w:rFonts w:hint="eastAsia" w:ascii="宋体" w:hAnsi="宋体" w:cs="宋体"/>
          <w:color w:val="auto"/>
          <w:szCs w:val="24"/>
          <w:highlight w:val="none"/>
        </w:rPr>
      </w:pPr>
      <w:r>
        <w:rPr>
          <w:rFonts w:hint="eastAsia" w:ascii="宋体" w:hAnsi="宋体" w:cs="宋体"/>
          <w:color w:val="auto"/>
          <w:szCs w:val="24"/>
          <w:highlight w:val="none"/>
        </w:rPr>
        <w:t>14.3采购人、采购代理机构可以视情况延长响应文件提交的截止时间。在上述情况下，采购代理机构与供应商以前在响应文件提交截止时间方面的全部权利、责任和义务，将适用于延长至新的响应文件提交截止时间。</w:t>
      </w:r>
    </w:p>
    <w:p w14:paraId="25571E82">
      <w:pPr>
        <w:pStyle w:val="35"/>
        <w:snapToGrid w:val="0"/>
        <w:spacing w:line="360" w:lineRule="auto"/>
        <w:rPr>
          <w:rFonts w:hint="eastAsia" w:hAnsi="宋体" w:cs="宋体"/>
          <w:b/>
          <w:color w:val="auto"/>
          <w:sz w:val="24"/>
          <w:szCs w:val="24"/>
          <w:highlight w:val="none"/>
        </w:rPr>
      </w:pPr>
      <w:r>
        <w:rPr>
          <w:rFonts w:hint="eastAsia" w:hAnsi="宋体" w:cs="宋体"/>
          <w:b/>
          <w:color w:val="auto"/>
          <w:sz w:val="24"/>
          <w:szCs w:val="24"/>
          <w:highlight w:val="none"/>
        </w:rPr>
        <w:t>15.备份响应文件</w:t>
      </w:r>
    </w:p>
    <w:p w14:paraId="1A3A3034">
      <w:pPr>
        <w:pStyle w:val="35"/>
        <w:snapToGrid w:val="0"/>
        <w:spacing w:line="360" w:lineRule="auto"/>
        <w:ind w:firstLine="360" w:firstLineChars="150"/>
        <w:rPr>
          <w:rFonts w:hint="eastAsia" w:hAnsi="宋体" w:cs="宋体"/>
          <w:b/>
          <w:color w:val="auto"/>
          <w:sz w:val="24"/>
          <w:szCs w:val="24"/>
          <w:highlight w:val="none"/>
        </w:rPr>
      </w:pPr>
      <w:r>
        <w:rPr>
          <w:rFonts w:hint="eastAsia" w:hAnsi="宋体" w:cs="宋体"/>
          <w:color w:val="auto"/>
          <w:sz w:val="24"/>
          <w:szCs w:val="24"/>
          <w:highlight w:val="none"/>
        </w:rPr>
        <w:t xml:space="preserve"> 15.1供应商在电子交易平台传输递交响应文件后，还可以在响应文件提交（上传）截止时间前直接提交或者以邮政快递方式递交备份响应文件1份，</w:t>
      </w:r>
      <w:r>
        <w:rPr>
          <w:rFonts w:hint="eastAsia" w:hAnsi="宋体" w:cs="宋体"/>
          <w:b/>
          <w:color w:val="auto"/>
          <w:sz w:val="24"/>
          <w:szCs w:val="24"/>
          <w:highlight w:val="none"/>
        </w:rPr>
        <w:t>但采购人、采购代理机构不强制或变相强制供应商提交备份响应文件。</w:t>
      </w:r>
    </w:p>
    <w:p w14:paraId="4557FF9A">
      <w:pPr>
        <w:pStyle w:val="35"/>
        <w:snapToGrid w:val="0"/>
        <w:spacing w:line="360" w:lineRule="auto"/>
        <w:ind w:firstLine="480" w:firstLineChars="200"/>
        <w:rPr>
          <w:rFonts w:hint="eastAsia" w:hAnsi="宋体" w:cs="宋体"/>
          <w:b/>
          <w:color w:val="auto"/>
          <w:sz w:val="24"/>
          <w:szCs w:val="24"/>
          <w:highlight w:val="none"/>
        </w:rPr>
      </w:pPr>
      <w:r>
        <w:rPr>
          <w:rFonts w:hint="eastAsia" w:hAnsi="宋体" w:cs="宋体"/>
          <w:color w:val="auto"/>
          <w:sz w:val="24"/>
          <w:szCs w:val="24"/>
          <w:highlight w:val="none"/>
        </w:rPr>
        <w:t>15.2备份响应文件须在“政采云投标客户端”制作生成，并储存在</w:t>
      </w:r>
      <w:r>
        <w:rPr>
          <w:rFonts w:hint="eastAsia" w:hAnsi="宋体" w:cs="宋体"/>
          <w:color w:val="auto"/>
          <w:sz w:val="24"/>
          <w:highlight w:val="none"/>
        </w:rPr>
        <w:t>DVD光盘等存储介质</w:t>
      </w:r>
      <w:r>
        <w:rPr>
          <w:rFonts w:hint="eastAsia" w:hAnsi="宋体" w:cs="宋体"/>
          <w:color w:val="auto"/>
          <w:sz w:val="24"/>
          <w:szCs w:val="24"/>
          <w:highlight w:val="none"/>
        </w:rPr>
        <w:t>中。备份响应文件应当密封包装并在包装上加盖公章并注明采购项目名称，供应商名称(联合体参与的，包装物封面需注明联合体，并注明联合体成员各方的名称和联合协议中约定的牵头人的名称)。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存储、密封规定的备份响应文件将被视为无效或者被拒绝接收。</w:t>
      </w:r>
    </w:p>
    <w:p w14:paraId="5BF58013">
      <w:pPr>
        <w:pStyle w:val="3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15.3直接提交备份响应文件的，供应商应于响应文件提交（上传）截止时间前在竞争性磋商公告中载明的响应文件开启地点将备份响应文件提交给采购代理机构，采购代理机构将拒绝接受逾期送达的备份响应文件。</w:t>
      </w:r>
    </w:p>
    <w:p w14:paraId="743F3D87">
      <w:pPr>
        <w:pStyle w:val="35"/>
        <w:snapToGrid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15.4以邮政快递方式递交备份响应文件的，供应商应先将备份响应文件按要求密封和标记，再进行邮政快递包装后邮寄。备份响应文件须在响应文件提交（上传）截止时间之前送达</w:t>
      </w:r>
      <w:r>
        <w:rPr>
          <w:rFonts w:hint="eastAsia" w:hAnsi="宋体" w:cs="宋体"/>
          <w:snapToGrid/>
          <w:color w:val="auto"/>
          <w:sz w:val="24"/>
          <w:szCs w:val="24"/>
          <w:highlight w:val="none"/>
        </w:rPr>
        <w:t>采购文件第二部分供应商须知前附表规定的备份响应文件送达地点；</w:t>
      </w:r>
      <w:r>
        <w:rPr>
          <w:rFonts w:hint="eastAsia" w:hAnsi="宋体" w:cs="宋体"/>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39286213">
      <w:pPr>
        <w:pStyle w:val="35"/>
        <w:snapToGrid w:val="0"/>
        <w:spacing w:line="360" w:lineRule="auto"/>
        <w:ind w:firstLine="479" w:firstLineChars="199"/>
        <w:rPr>
          <w:rFonts w:hint="eastAsia" w:hAnsi="宋体" w:cs="宋体"/>
          <w:b/>
          <w:color w:val="auto"/>
          <w:sz w:val="24"/>
          <w:szCs w:val="24"/>
          <w:highlight w:val="none"/>
        </w:rPr>
      </w:pPr>
      <w:r>
        <w:rPr>
          <w:rFonts w:hint="eastAsia" w:hAnsi="宋体" w:cs="宋体"/>
          <w:b/>
          <w:color w:val="auto"/>
          <w:sz w:val="24"/>
          <w:szCs w:val="24"/>
          <w:highlight w:val="none"/>
        </w:rPr>
        <w:t>15.5供应商仅提交备份响应文件，未在电子交易平台传输递交响应文件的，响应文件无效。</w:t>
      </w:r>
    </w:p>
    <w:p w14:paraId="5D473A75">
      <w:pPr>
        <w:pStyle w:val="132"/>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16.响应文件的无效处理</w:t>
      </w:r>
    </w:p>
    <w:p w14:paraId="109A8641">
      <w:pPr>
        <w:pStyle w:val="5"/>
        <w:spacing w:line="360" w:lineRule="auto"/>
        <w:ind w:firstLine="360" w:firstLineChars="150"/>
        <w:rPr>
          <w:rFonts w:hint="eastAsia" w:cs="宋体"/>
          <w:color w:val="auto"/>
          <w:szCs w:val="21"/>
          <w:highlight w:val="none"/>
        </w:rPr>
      </w:pPr>
      <w:r>
        <w:rPr>
          <w:rFonts w:hint="eastAsia" w:cs="宋体"/>
          <w:color w:val="auto"/>
          <w:szCs w:val="21"/>
          <w:highlight w:val="none"/>
        </w:rPr>
        <w:t>有采购文件第四部分</w:t>
      </w:r>
      <w:r>
        <w:rPr>
          <w:rFonts w:hint="eastAsia" w:cs="宋体"/>
          <w:color w:val="auto"/>
          <w:highlight w:val="none"/>
        </w:rPr>
        <w:t>4.2规定</w:t>
      </w:r>
      <w:r>
        <w:rPr>
          <w:rFonts w:hint="eastAsia" w:cs="宋体"/>
          <w:color w:val="auto"/>
          <w:szCs w:val="21"/>
          <w:highlight w:val="none"/>
        </w:rPr>
        <w:t>的情形之一的，响应文件无效：</w:t>
      </w:r>
    </w:p>
    <w:p w14:paraId="131D26BC">
      <w:pPr>
        <w:pStyle w:val="132"/>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17.响应文件有效期</w:t>
      </w:r>
    </w:p>
    <w:p w14:paraId="6063B9D6">
      <w:pPr>
        <w:spacing w:line="360" w:lineRule="auto"/>
        <w:ind w:firstLine="480" w:firstLineChars="200"/>
        <w:rPr>
          <w:rFonts w:hint="eastAsia" w:ascii="宋体" w:hAnsi="宋体" w:cs="宋体"/>
          <w:b/>
          <w:color w:val="auto"/>
          <w:sz w:val="24"/>
          <w:szCs w:val="21"/>
          <w:highlight w:val="none"/>
        </w:rPr>
      </w:pPr>
      <w:r>
        <w:rPr>
          <w:rFonts w:hint="eastAsia" w:ascii="宋体" w:hAnsi="宋体" w:cs="宋体"/>
          <w:color w:val="auto"/>
          <w:sz w:val="24"/>
          <w:szCs w:val="20"/>
          <w:highlight w:val="none"/>
        </w:rPr>
        <w:t>17.1响应文件有效期为从提交响应文件的截止之日起90天。▲</w:t>
      </w:r>
      <w:r>
        <w:rPr>
          <w:rFonts w:hint="eastAsia" w:ascii="宋体" w:hAnsi="宋体" w:cs="宋体"/>
          <w:b/>
          <w:color w:val="auto"/>
          <w:sz w:val="24"/>
          <w:szCs w:val="20"/>
          <w:highlight w:val="none"/>
        </w:rPr>
        <w:t>供应商的响应文件中承</w:t>
      </w:r>
      <w:r>
        <w:rPr>
          <w:rFonts w:hint="eastAsia" w:ascii="宋体" w:hAnsi="宋体" w:cs="宋体"/>
          <w:b/>
          <w:color w:val="auto"/>
          <w:sz w:val="24"/>
          <w:szCs w:val="21"/>
          <w:highlight w:val="none"/>
        </w:rPr>
        <w:t>诺的响应文件有效期少于采购文件中载明的响应文件有效期的，响应文件无效。</w:t>
      </w:r>
    </w:p>
    <w:p w14:paraId="6CDD21C7">
      <w:pPr>
        <w:pStyle w:val="132"/>
        <w:spacing w:before="0"/>
        <w:ind w:firstLine="480"/>
        <w:rPr>
          <w:rFonts w:hint="eastAsia" w:ascii="宋体" w:hAnsi="宋体" w:cs="宋体"/>
          <w:color w:val="auto"/>
          <w:highlight w:val="none"/>
        </w:rPr>
      </w:pPr>
      <w:r>
        <w:rPr>
          <w:rFonts w:hint="eastAsia" w:ascii="宋体" w:hAnsi="宋体" w:cs="宋体"/>
          <w:color w:val="auto"/>
          <w:highlight w:val="none"/>
        </w:rPr>
        <w:t>17.2响应文件合格投递后，自响应文件提交截止时间起，在响应文件有效期内有效。</w:t>
      </w:r>
    </w:p>
    <w:p w14:paraId="7A65C3BA">
      <w:pPr>
        <w:pStyle w:val="132"/>
        <w:spacing w:before="0"/>
        <w:ind w:firstLine="480"/>
        <w:rPr>
          <w:rFonts w:hint="eastAsia" w:ascii="宋体" w:hAnsi="宋体" w:cs="宋体"/>
          <w:color w:val="auto"/>
          <w:highlight w:val="none"/>
        </w:rPr>
      </w:pPr>
      <w:r>
        <w:rPr>
          <w:rFonts w:hint="eastAsia" w:ascii="宋体" w:hAnsi="宋体" w:cs="宋体"/>
          <w:color w:val="auto"/>
          <w:highlight w:val="none"/>
        </w:rPr>
        <w:t>17.3在原定响应文件有效期满之前，如果出现特殊情况，采购代理机构可以以书面形式通知供应商延长响应文件有效期。供应商同意延长的，不得要求或被允许修改其响应文件，供应商拒绝延长的，其响应文件无效。</w:t>
      </w:r>
    </w:p>
    <w:p w14:paraId="2D12C144">
      <w:pPr>
        <w:pStyle w:val="132"/>
        <w:spacing w:before="0"/>
        <w:ind w:firstLine="643"/>
        <w:rPr>
          <w:rFonts w:hint="eastAsia" w:ascii="宋体" w:hAnsi="宋体" w:cs="宋体"/>
          <w:b/>
          <w:color w:val="auto"/>
          <w:sz w:val="32"/>
          <w:highlight w:val="none"/>
        </w:rPr>
      </w:pPr>
    </w:p>
    <w:p w14:paraId="438D0992">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四、响应文件开启、资格审查与信用信息查询</w:t>
      </w:r>
    </w:p>
    <w:p w14:paraId="14B504E7">
      <w:pPr>
        <w:pStyle w:val="558"/>
        <w:spacing w:before="0" w:line="360" w:lineRule="auto"/>
        <w:ind w:left="0" w:firstLine="0"/>
        <w:contextualSpacing/>
        <w:rPr>
          <w:rFonts w:hint="eastAsia" w:ascii="宋体" w:hAnsi="宋体" w:cs="宋体"/>
          <w:color w:val="auto"/>
          <w:sz w:val="24"/>
          <w:highlight w:val="none"/>
        </w:rPr>
      </w:pPr>
      <w:r>
        <w:rPr>
          <w:rFonts w:hint="eastAsia" w:ascii="宋体" w:hAnsi="宋体" w:cs="宋体"/>
          <w:b/>
          <w:color w:val="auto"/>
          <w:sz w:val="24"/>
          <w:szCs w:val="24"/>
          <w:highlight w:val="none"/>
        </w:rPr>
        <w:t>18.响应文件开启</w:t>
      </w:r>
      <w:r>
        <w:rPr>
          <w:rFonts w:hint="eastAsia" w:ascii="宋体" w:hAnsi="宋体" w:cs="宋体"/>
          <w:color w:val="auto"/>
          <w:sz w:val="24"/>
          <w:highlight w:val="none"/>
        </w:rPr>
        <w:t xml:space="preserve"> </w:t>
      </w:r>
    </w:p>
    <w:p w14:paraId="7F89C3BE">
      <w:pPr>
        <w:pStyle w:val="558"/>
        <w:snapToGrid w:val="0"/>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18.1采购代理机构按照采购文件规定的时间通过电子交易平台组织响应文件开启，所有供应商均应当准时在线参加。供应商不足3家的，不得开启。</w:t>
      </w:r>
    </w:p>
    <w:p w14:paraId="63274835">
      <w:pPr>
        <w:pStyle w:val="558"/>
        <w:snapToGrid w:val="0"/>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18.2响应文件开启时，电子交易平台按响应文件开启时间自动提取所有响应文件。采购代理机构依托电子交易平台发起开始解密指令，供应商按照平台提示和采购文件的规定在半小时内完成在线解密。</w:t>
      </w:r>
    </w:p>
    <w:p w14:paraId="750A0094">
      <w:pPr>
        <w:pStyle w:val="558"/>
        <w:snapToGrid w:val="0"/>
        <w:spacing w:before="0" w:line="360" w:lineRule="auto"/>
        <w:ind w:left="0"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18.3</w:t>
      </w:r>
      <w:r>
        <w:rPr>
          <w:rFonts w:hint="eastAsia" w:ascii="宋体" w:hAnsi="宋体" w:cs="宋体"/>
          <w:b/>
          <w:bCs/>
          <w:color w:val="auto"/>
          <w:sz w:val="24"/>
          <w:highlight w:val="none"/>
        </w:rPr>
        <w:t>响应文件未按时解密，供应商提供了备份响应文件的，以备份响应文件作为依据，否则视为响应文件撤回。响应文件已按时解密的，备份响应文件自动失效。</w:t>
      </w:r>
    </w:p>
    <w:p w14:paraId="1BC51A1D">
      <w:pPr>
        <w:pStyle w:val="558"/>
        <w:spacing w:before="0" w:line="360" w:lineRule="auto"/>
        <w:ind w:left="0" w:firstLine="0"/>
        <w:contextualSpacing/>
        <w:rPr>
          <w:rFonts w:hint="eastAsia" w:ascii="宋体" w:hAnsi="宋体" w:cs="宋体"/>
          <w:b/>
          <w:color w:val="auto"/>
          <w:sz w:val="24"/>
          <w:szCs w:val="24"/>
          <w:highlight w:val="none"/>
        </w:rPr>
      </w:pPr>
      <w:r>
        <w:rPr>
          <w:rFonts w:hint="eastAsia" w:ascii="宋体" w:hAnsi="宋体" w:cs="宋体"/>
          <w:b/>
          <w:color w:val="auto"/>
          <w:sz w:val="24"/>
          <w:szCs w:val="24"/>
          <w:highlight w:val="none"/>
        </w:rPr>
        <w:t>19、资格审查</w:t>
      </w:r>
    </w:p>
    <w:p w14:paraId="7387972F">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19.1</w:t>
      </w:r>
      <w:r>
        <w:rPr>
          <w:rFonts w:hint="eastAsia" w:ascii="宋体" w:hAnsi="宋体" w:cs="宋体"/>
          <w:color w:val="auto"/>
          <w:sz w:val="24"/>
          <w:highlight w:val="none"/>
        </w:rPr>
        <w:t>采购人、采购代理机构或磋商小组依据法律法规和采购文件的规定，对供应商的资格进行审查。</w:t>
      </w:r>
    </w:p>
    <w:p w14:paraId="33BFDF4F">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19.2供应商未按照采购文件要求提供与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供应商不具备采购文件中规定的资格要求，其响应文件无效。</w:t>
      </w:r>
    </w:p>
    <w:p w14:paraId="62E6AFA4">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3对未通过资格审查的供应商，采购人或采购代理机构告知其未通过的原因。</w:t>
      </w:r>
    </w:p>
    <w:p w14:paraId="46ED0D88">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rPr>
        <w:t>4合格供应商不足3家的，不再评审。</w:t>
      </w:r>
    </w:p>
    <w:p w14:paraId="0F2CE3EA">
      <w:pPr>
        <w:pStyle w:val="132"/>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20、信用信息查询</w:t>
      </w:r>
    </w:p>
    <w:p w14:paraId="483042C0">
      <w:pPr>
        <w:pStyle w:val="132"/>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20.1信用信息查询渠道及截止时间：采购代理机构将在资格审查时通过“信用中国”网站(www.creditchina.gov.cn)、中国政府采购网(www.ccgp.gov.cn)渠道查询供应商接受资格审查时的信用记录。</w:t>
      </w:r>
    </w:p>
    <w:p w14:paraId="7E7DA92C">
      <w:pPr>
        <w:pStyle w:val="132"/>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20.2信用信息查询记录和证据留存的具体方式：现场查询的供应商的信用记录、查询结果经确认后将与采购文件一起存档。</w:t>
      </w:r>
    </w:p>
    <w:p w14:paraId="35CFECA1">
      <w:pPr>
        <w:pStyle w:val="132"/>
        <w:spacing w:before="0"/>
        <w:ind w:firstLine="495" w:firstLineChars="0"/>
        <w:rPr>
          <w:rFonts w:hint="eastAsia"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20.3信用信息的使用规则：经查询列入失信被执行人名单、重大税收违法案件当事人名单、政府采购严重违法失信行为记录名单的供应商将被拒绝参与政府采购活动。</w:t>
      </w:r>
    </w:p>
    <w:p w14:paraId="04B5A8D8">
      <w:pPr>
        <w:pStyle w:val="132"/>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481B1D77">
      <w:pPr>
        <w:pStyle w:val="132"/>
        <w:spacing w:before="0"/>
        <w:ind w:firstLine="0" w:firstLineChars="0"/>
        <w:rPr>
          <w:rFonts w:hint="eastAsia" w:ascii="宋体" w:hAnsi="宋体" w:cs="宋体"/>
          <w:color w:val="auto"/>
          <w:kern w:val="0"/>
          <w:szCs w:val="24"/>
          <w:highlight w:val="none"/>
        </w:rPr>
      </w:pPr>
    </w:p>
    <w:p w14:paraId="53464482">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五、评审</w:t>
      </w:r>
    </w:p>
    <w:p w14:paraId="49BF06BE">
      <w:pPr>
        <w:spacing w:line="360" w:lineRule="auto"/>
        <w:rPr>
          <w:rFonts w:hint="eastAsia" w:ascii="宋体" w:hAnsi="宋体" w:cs="宋体"/>
          <w:b/>
          <w:color w:val="auto"/>
          <w:sz w:val="24"/>
          <w:highlight w:val="none"/>
        </w:rPr>
      </w:pPr>
      <w:bookmarkStart w:id="18"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磋商小组将根据采购文件和有关规定，履行评审工作职责，并按照评审方法及评分标准，全面衡量各供应商对采购文件的响应情况。对实质上响应采购文件的供应商，按照评审因素的量化指标排出推荐成交的供应商的先后顺序，并按顺序提出授标建议。</w:t>
      </w:r>
      <w:r>
        <w:rPr>
          <w:rFonts w:hint="eastAsia" w:ascii="宋体" w:hAnsi="宋体" w:cs="宋体"/>
          <w:b/>
          <w:color w:val="auto"/>
          <w:sz w:val="24"/>
          <w:highlight w:val="none"/>
        </w:rPr>
        <w:t>详见采购文件第四部分评审办法。</w:t>
      </w:r>
    </w:p>
    <w:p w14:paraId="407286DB">
      <w:pPr>
        <w:spacing w:line="360" w:lineRule="auto"/>
        <w:rPr>
          <w:rFonts w:hint="eastAsia" w:ascii="宋体" w:hAnsi="宋体" w:cs="宋体"/>
          <w:b/>
          <w:color w:val="auto"/>
          <w:sz w:val="24"/>
          <w:highlight w:val="none"/>
        </w:rPr>
      </w:pPr>
    </w:p>
    <w:p w14:paraId="04AC659D">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六、成交供应商确定</w:t>
      </w:r>
    </w:p>
    <w:p w14:paraId="64C2FAA5">
      <w:pPr>
        <w:pStyle w:val="5"/>
        <w:spacing w:line="360" w:lineRule="auto"/>
        <w:ind w:left="479" w:hanging="479" w:hangingChars="199"/>
        <w:rPr>
          <w:rFonts w:hint="eastAsia" w:cs="宋体"/>
          <w:b/>
          <w:color w:val="auto"/>
          <w:highlight w:val="none"/>
        </w:rPr>
      </w:pPr>
      <w:r>
        <w:rPr>
          <w:rFonts w:hint="eastAsia" w:cs="宋体"/>
          <w:b/>
          <w:color w:val="auto"/>
          <w:highlight w:val="none"/>
        </w:rPr>
        <w:t>22. 确定成交供应商</w:t>
      </w:r>
    </w:p>
    <w:p w14:paraId="27167824">
      <w:pPr>
        <w:pStyle w:val="132"/>
        <w:snapToGrid w:val="0"/>
        <w:spacing w:before="0"/>
        <w:ind w:firstLine="480"/>
        <w:rPr>
          <w:rFonts w:hint="eastAsia"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鼓励在收到评审报告当天在线确定中标或者成交供应商。中标、成交通知书和中标、成交结果公告应当在规定时间内同时发出。</w:t>
      </w:r>
    </w:p>
    <w:p w14:paraId="240BBBA5">
      <w:pPr>
        <w:pStyle w:val="132"/>
        <w:snapToGrid w:val="0"/>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23. 成交通知与成交结果公告</w:t>
      </w:r>
    </w:p>
    <w:p w14:paraId="712A761D">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23.1自成交供应商确定之日起1个工作日内，采购代理机构通过电子交易平台向成交供应商发出成交通知书，同时编制发布采购结果公告。采购代理机构也可以以纸质形式进行成交通知。</w:t>
      </w:r>
    </w:p>
    <w:p w14:paraId="05023A30">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23.2成交结果公告内容包括采购人及其委托的采购代理机构的名称、地址、联系方式，项目名称和项目编号，成交供应商名称、地址和成交金额，主要成交标的的名称、规格型号、数量、单价、服务要求，开标记录、资格审查情况、评审专家抽取规则、符合性审查情况、未成交情况说明、成交结果公告期限以及评审专家名单、评分汇总及明细。</w:t>
      </w:r>
    </w:p>
    <w:p w14:paraId="417EFC75">
      <w:pPr>
        <w:widowControl/>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3FA7F71C">
      <w:pPr>
        <w:widowControl/>
        <w:spacing w:line="360" w:lineRule="auto"/>
        <w:ind w:firstLine="480"/>
        <w:rPr>
          <w:rFonts w:hint="eastAsia" w:ascii="宋体" w:hAnsi="宋体" w:cs="宋体"/>
          <w:color w:val="auto"/>
          <w:sz w:val="24"/>
          <w:highlight w:val="none"/>
        </w:rPr>
      </w:pPr>
      <w:r>
        <w:rPr>
          <w:rFonts w:hint="eastAsia" w:ascii="宋体" w:hAnsi="宋体" w:cs="宋体"/>
          <w:bCs/>
          <w:color w:val="auto"/>
          <w:sz w:val="24"/>
          <w:highlight w:val="none"/>
        </w:rPr>
        <w:t>23.4由于成交供应商原因导致重新采购的，应当承担支付代理费和专家评审费等费用在内的赔偿责任。</w:t>
      </w:r>
    </w:p>
    <w:p w14:paraId="29BFC883">
      <w:pPr>
        <w:snapToGrid w:val="0"/>
        <w:spacing w:line="360" w:lineRule="auto"/>
        <w:ind w:left="120" w:leftChars="57" w:firstLine="482" w:firstLineChars="150"/>
        <w:jc w:val="center"/>
        <w:rPr>
          <w:rFonts w:hint="eastAsia" w:ascii="宋体" w:hAnsi="宋体" w:cs="宋体"/>
          <w:b/>
          <w:color w:val="auto"/>
          <w:sz w:val="32"/>
          <w:highlight w:val="none"/>
        </w:rPr>
      </w:pPr>
    </w:p>
    <w:p w14:paraId="3D7C0D2D">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七、合同授予</w:t>
      </w:r>
    </w:p>
    <w:p w14:paraId="5B124B0B">
      <w:pPr>
        <w:pStyle w:val="5"/>
        <w:snapToGrid w:val="0"/>
        <w:spacing w:line="360" w:lineRule="auto"/>
        <w:ind w:left="479" w:hanging="479" w:hangingChars="199"/>
        <w:rPr>
          <w:rFonts w:hint="eastAsia"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67D5BAB6">
      <w:pPr>
        <w:pStyle w:val="5"/>
        <w:snapToGrid w:val="0"/>
        <w:spacing w:line="360" w:lineRule="auto"/>
        <w:ind w:left="479" w:hanging="479" w:hangingChars="199"/>
        <w:rPr>
          <w:rFonts w:hint="eastAsia" w:cs="宋体"/>
          <w:b/>
          <w:color w:val="auto"/>
          <w:highlight w:val="none"/>
        </w:rPr>
      </w:pPr>
      <w:r>
        <w:rPr>
          <w:rFonts w:hint="eastAsia" w:cs="宋体"/>
          <w:b/>
          <w:color w:val="auto"/>
          <w:highlight w:val="none"/>
        </w:rPr>
        <w:t>25. 合同的签订</w:t>
      </w:r>
    </w:p>
    <w:p w14:paraId="0D68D088">
      <w:pPr>
        <w:widowControl/>
        <w:snapToGrid w:val="0"/>
        <w:spacing w:line="360" w:lineRule="auto"/>
        <w:ind w:firstLine="480"/>
        <w:jc w:val="left"/>
        <w:rPr>
          <w:rFonts w:hint="eastAsia"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成交供应商应当通过电子交易平台在成交通知书发出之日起三十日内，按照采购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成交通知书发出之日起10个工作日内，与成交供应商按照采购文件确定的事项签订政府采购合同。</w:t>
      </w:r>
    </w:p>
    <w:p w14:paraId="0914A0EA">
      <w:pPr>
        <w:pStyle w:val="132"/>
        <w:snapToGrid w:val="0"/>
        <w:spacing w:before="0"/>
        <w:ind w:firstLine="480"/>
        <w:rPr>
          <w:rFonts w:hint="eastAsia" w:ascii="宋体" w:hAnsi="宋体" w:cs="宋体"/>
          <w:color w:val="auto"/>
          <w:kern w:val="0"/>
          <w:highlight w:val="none"/>
        </w:rPr>
      </w:pPr>
      <w:r>
        <w:rPr>
          <w:rFonts w:hint="eastAsia" w:ascii="宋体" w:hAnsi="宋体" w:cs="宋体"/>
          <w:color w:val="auto"/>
          <w:kern w:val="0"/>
          <w:highlight w:val="none"/>
          <w:lang w:val="zh-CN"/>
        </w:rPr>
        <w:t>25.2成交供应商按规定的日期、时间、地点，由法定代表人或其授权代表与采购人代表签订合同。如成交供应商为联合体的，由联合体成员各方法定代表人或其授权代表与采购人代表签订合同。</w:t>
      </w:r>
    </w:p>
    <w:p w14:paraId="776DEAA0">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4ECEF01D">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25.4成交供应商拒绝与采购人签订合同的，采购人可以按照评审报告推荐的成交候选人名单排序，确定下一候选人为成交供应商，也可以重新开展政府采购活动。拒绝与采购人签订合同的成交供应商应承担采购代理服务费、评审专家劳务报酬等相关费用。</w:t>
      </w:r>
    </w:p>
    <w:p w14:paraId="73DE6944">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25.5采购合同由采购人与成交供应商根据采购文件、响应文件等内容通过政府采购电子交易平台在线签订，自动备案。</w:t>
      </w:r>
    </w:p>
    <w:p w14:paraId="367942A6">
      <w:pPr>
        <w:pStyle w:val="5"/>
        <w:snapToGrid w:val="0"/>
        <w:spacing w:line="360" w:lineRule="auto"/>
        <w:ind w:left="479" w:hanging="479" w:hangingChars="199"/>
        <w:rPr>
          <w:rFonts w:hint="eastAsia" w:cs="宋体"/>
          <w:b/>
          <w:color w:val="auto"/>
          <w:highlight w:val="none"/>
        </w:rPr>
      </w:pPr>
      <w:r>
        <w:rPr>
          <w:rFonts w:hint="eastAsia" w:cs="宋体"/>
          <w:b/>
          <w:color w:val="auto"/>
          <w:highlight w:val="none"/>
        </w:rPr>
        <w:t>26. 履约保证金</w:t>
      </w:r>
    </w:p>
    <w:p w14:paraId="64FEB856">
      <w:pPr>
        <w:tabs>
          <w:tab w:val="left" w:pos="0"/>
        </w:tabs>
        <w:snapToGrid w:val="0"/>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。杭州市政府采购网公布的供应商履约评价为满分的供应商，采购单位应当免收履约保证金。确需收取履约保证金的，履约保证金缴纳最高比例由不超过合同金额的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，鼓励根据项目特点、供应商诚信等因素免收履约保证金或降低缴纳比例。采购单位鼓励供应商采取履约保函形式提供信用保证；供应商提供保函的，采购单位不得拒收。项目验收结束后应及时退还，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1AF2B9E0">
      <w:pPr>
        <w:tabs>
          <w:tab w:val="left" w:pos="432"/>
        </w:tabs>
        <w:snapToGrid w:val="0"/>
        <w:ind w:firstLine="480" w:firstLineChars="200"/>
        <w:rPr>
          <w:rFonts w:hint="eastAsia" w:ascii="宋体" w:hAnsi="宋体" w:cs="宋体"/>
          <w:snapToGrid w:val="0"/>
          <w:color w:val="auto"/>
          <w:kern w:val="28"/>
          <w:sz w:val="24"/>
          <w:highlight w:val="none"/>
        </w:rPr>
      </w:pPr>
      <w:r>
        <w:rPr>
          <w:rFonts w:hint="eastAsia" w:ascii="宋体" w:hAnsi="宋体" w:cs="宋体"/>
          <w:snapToGrid w:val="0"/>
          <w:color w:val="auto"/>
          <w:kern w:val="28"/>
          <w:sz w:val="24"/>
          <w:highlight w:val="none"/>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6CD178CD">
      <w:pPr>
        <w:tabs>
          <w:tab w:val="left" w:pos="432"/>
        </w:tabs>
        <w:rPr>
          <w:color w:val="auto"/>
          <w:highlight w:val="none"/>
        </w:rPr>
      </w:pPr>
      <w:r>
        <w:rPr>
          <w:rFonts w:ascii="宋体" w:hAnsi="宋体"/>
          <w:b/>
          <w:bCs/>
          <w:color w:val="auto"/>
          <w:sz w:val="24"/>
          <w:szCs w:val="32"/>
          <w:highlight w:val="none"/>
        </w:rPr>
        <w:t>27.预付款</w:t>
      </w:r>
    </w:p>
    <w:p w14:paraId="3B1433AE">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采云金融专线95763</w:t>
      </w:r>
      <w:r>
        <w:rPr>
          <w:rFonts w:ascii="宋体" w:hAnsi="宋体"/>
          <w:color w:val="auto"/>
          <w:sz w:val="24"/>
          <w:highlight w:val="none"/>
        </w:rPr>
        <w:t>。</w:t>
      </w:r>
    </w:p>
    <w:p w14:paraId="110F6092">
      <w:pPr>
        <w:rPr>
          <w:color w:val="auto"/>
          <w:highlight w:val="none"/>
        </w:rPr>
      </w:pPr>
    </w:p>
    <w:p w14:paraId="15F88A06">
      <w:pPr>
        <w:snapToGrid w:val="0"/>
        <w:spacing w:line="360" w:lineRule="auto"/>
        <w:ind w:firstLine="3357" w:firstLineChars="1045"/>
        <w:rPr>
          <w:rFonts w:hint="eastAsia" w:ascii="宋体" w:hAnsi="宋体" w:cs="宋体"/>
          <w:b/>
          <w:color w:val="auto"/>
          <w:sz w:val="32"/>
          <w:highlight w:val="none"/>
        </w:rPr>
      </w:pPr>
    </w:p>
    <w:p w14:paraId="7AD3B881">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八、电子交易活动的中止</w:t>
      </w:r>
    </w:p>
    <w:p w14:paraId="275A3323">
      <w:pPr>
        <w:pStyle w:val="132"/>
        <w:snapToGrid w:val="0"/>
        <w:spacing w:before="0"/>
        <w:ind w:firstLine="0" w:firstLineChars="0"/>
        <w:rPr>
          <w:rFonts w:hint="eastAsia" w:ascii="宋体" w:hAnsi="宋体" w:cs="宋体"/>
          <w:color w:val="auto"/>
          <w:highlight w:val="none"/>
        </w:rPr>
      </w:pPr>
      <w:r>
        <w:rPr>
          <w:rFonts w:ascii="宋体" w:hAnsi="宋体" w:cs="宋体"/>
          <w:b/>
          <w:bCs/>
          <w:color w:val="auto"/>
          <w:highlight w:val="none"/>
        </w:rPr>
        <w:t>2</w:t>
      </w:r>
      <w:r>
        <w:rPr>
          <w:rFonts w:ascii="宋体" w:hAnsi="宋体" w:cs="宋体"/>
          <w:b/>
          <w:bCs/>
          <w:color w:val="auto"/>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采购过程中出现以下情形，导致电子交易平台无法正常运行，或者无法保证电子交易的公平、公正和安全时，采购代理机构可中止电子交易活动：</w:t>
      </w:r>
    </w:p>
    <w:p w14:paraId="4A688C5F">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7DDFD5E">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0A4DC55C">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64991577">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FD9552A">
      <w:pPr>
        <w:pStyle w:val="132"/>
        <w:snapToGrid w:val="0"/>
        <w:spacing w:before="0"/>
        <w:ind w:firstLine="480"/>
        <w:rPr>
          <w:rFonts w:hint="eastAsia" w:ascii="宋体" w:hAnsi="宋体" w:cs="宋体"/>
          <w:color w:val="auto"/>
          <w:highlight w:val="none"/>
        </w:rPr>
      </w:pPr>
      <w:r>
        <w:rPr>
          <w:rFonts w:hint="eastAsia" w:ascii="宋体" w:hAnsi="宋体" w:cs="宋体"/>
          <w:color w:val="auto"/>
          <w:highlight w:val="none"/>
        </w:rPr>
        <w:t>28.5其他无法保证电子交易的公平、公正和安全的情况。</w:t>
      </w:r>
    </w:p>
    <w:p w14:paraId="2FA50B6B">
      <w:pPr>
        <w:pStyle w:val="132"/>
        <w:snapToGrid w:val="0"/>
        <w:spacing w:before="0"/>
        <w:ind w:firstLine="0" w:firstLineChars="0"/>
        <w:rPr>
          <w:rFonts w:hint="eastAsia"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69B3D592">
      <w:pPr>
        <w:tabs>
          <w:tab w:val="left" w:pos="0"/>
        </w:tabs>
        <w:spacing w:line="360" w:lineRule="auto"/>
        <w:ind w:firstLine="480"/>
        <w:rPr>
          <w:rFonts w:hint="eastAsia" w:ascii="宋体" w:hAnsi="宋体" w:cs="宋体"/>
          <w:color w:val="auto"/>
          <w:sz w:val="24"/>
          <w:highlight w:val="none"/>
        </w:rPr>
      </w:pPr>
    </w:p>
    <w:p w14:paraId="331529BE">
      <w:pPr>
        <w:snapToGrid w:val="0"/>
        <w:spacing w:line="360" w:lineRule="auto"/>
        <w:jc w:val="center"/>
        <w:outlineLvl w:val="1"/>
        <w:rPr>
          <w:rFonts w:hint="eastAsia" w:ascii="宋体" w:hAnsi="宋体" w:cs="宋体"/>
          <w:b/>
          <w:color w:val="auto"/>
          <w:sz w:val="32"/>
          <w:szCs w:val="20"/>
          <w:highlight w:val="none"/>
        </w:rPr>
      </w:pPr>
      <w:r>
        <w:rPr>
          <w:rFonts w:hint="eastAsia" w:ascii="宋体" w:hAnsi="宋体" w:cs="宋体"/>
          <w:b/>
          <w:color w:val="auto"/>
          <w:sz w:val="32"/>
          <w:szCs w:val="20"/>
          <w:highlight w:val="none"/>
        </w:rPr>
        <w:t>九、验收</w:t>
      </w:r>
    </w:p>
    <w:p w14:paraId="4DEF207C">
      <w:pPr>
        <w:pStyle w:val="5"/>
        <w:spacing w:line="360" w:lineRule="auto"/>
        <w:ind w:firstLine="0" w:firstLineChars="0"/>
        <w:rPr>
          <w:rFonts w:hint="eastAsia" w:cs="宋体"/>
          <w:b/>
          <w:color w:val="auto"/>
          <w:highlight w:val="none"/>
        </w:rPr>
      </w:pPr>
      <w:r>
        <w:rPr>
          <w:rFonts w:hint="eastAsia" w:cs="宋体"/>
          <w:b/>
          <w:color w:val="auto"/>
          <w:highlight w:val="none"/>
        </w:rPr>
        <w:t>30.验收</w:t>
      </w:r>
    </w:p>
    <w:p w14:paraId="69BE134E">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BF78482">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30.2采购人可以邀请参加本项目的其他供应商或者第三方机构参与验收。参与验收的供应商或者第三方机构的意见作为验收书的参考资料一并存档。</w:t>
      </w:r>
    </w:p>
    <w:p w14:paraId="21A33BA8">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345A00">
      <w:pPr>
        <w:tabs>
          <w:tab w:val="left" w:pos="0"/>
        </w:tabs>
        <w:spacing w:line="360" w:lineRule="auto"/>
        <w:ind w:firstLine="480"/>
        <w:rPr>
          <w:rFonts w:hint="eastAsia" w:ascii="宋体" w:hAnsi="宋体" w:cs="宋体"/>
          <w:color w:val="auto"/>
          <w:sz w:val="18"/>
          <w:szCs w:val="18"/>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8"/>
    <w:p w14:paraId="096D6DCC">
      <w:pPr>
        <w:pStyle w:val="3"/>
        <w:adjustRightInd w:val="0"/>
        <w:snapToGrid w:val="0"/>
        <w:ind w:left="0" w:firstLine="480" w:firstLineChars="200"/>
        <w:rPr>
          <w:rFonts w:hint="eastAsia" w:ascii="宋体" w:hAnsi="宋体" w:eastAsia="宋体" w:cs="宋体"/>
          <w:b w:val="0"/>
          <w:bCs w:val="0"/>
          <w:color w:val="auto"/>
          <w:kern w:val="0"/>
          <w:sz w:val="24"/>
          <w:szCs w:val="24"/>
          <w:highlight w:val="none"/>
          <w:lang w:val="en-US"/>
        </w:rPr>
      </w:pPr>
      <w:bookmarkStart w:id="19" w:name="_Hlt68072998"/>
      <w:bookmarkEnd w:id="19"/>
      <w:bookmarkStart w:id="20" w:name="_Hlt74729768"/>
      <w:bookmarkEnd w:id="20"/>
      <w:bookmarkStart w:id="21" w:name="_Hlt68072990"/>
      <w:bookmarkEnd w:id="21"/>
      <w:bookmarkStart w:id="22" w:name="_Hlt68403820"/>
      <w:bookmarkEnd w:id="22"/>
      <w:bookmarkStart w:id="23" w:name="_Hlt74714665"/>
      <w:bookmarkEnd w:id="23"/>
      <w:bookmarkStart w:id="24" w:name="_Hlt68057669"/>
      <w:bookmarkEnd w:id="24"/>
      <w:bookmarkStart w:id="25" w:name="_Hlt75236101"/>
      <w:bookmarkEnd w:id="25"/>
      <w:bookmarkStart w:id="26" w:name="_Hlt74707468"/>
      <w:bookmarkEnd w:id="26"/>
      <w:bookmarkStart w:id="27" w:name="_Hlt75236011"/>
      <w:bookmarkEnd w:id="27"/>
      <w:bookmarkStart w:id="28" w:name="_Hlt74730295"/>
      <w:bookmarkEnd w:id="28"/>
      <w:bookmarkStart w:id="29" w:name="_Hlt75236290"/>
      <w:bookmarkEnd w:id="29"/>
      <w:bookmarkStart w:id="30" w:name="_Hlt68073093"/>
      <w:bookmarkEnd w:id="30"/>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p w14:paraId="4619DCA3">
      <w:pPr>
        <w:pStyle w:val="80"/>
        <w:rPr>
          <w:rFonts w:hint="eastAsia"/>
          <w:color w:val="auto"/>
          <w:highlight w:val="none"/>
        </w:rPr>
        <w:sectPr>
          <w:pgSz w:w="11906" w:h="16838"/>
          <w:pgMar w:top="1440" w:right="1080" w:bottom="1440" w:left="1080" w:header="851" w:footer="992" w:gutter="0"/>
          <w:cols w:space="720" w:num="1"/>
          <w:titlePg/>
          <w:docGrid w:linePitch="312" w:charSpace="0"/>
        </w:sectPr>
      </w:pPr>
    </w:p>
    <w:bookmarkEnd w:id="13"/>
    <w:bookmarkEnd w:id="14"/>
    <w:p w14:paraId="69323586">
      <w:pPr>
        <w:pStyle w:val="35"/>
        <w:spacing w:line="360" w:lineRule="auto"/>
        <w:jc w:val="center"/>
        <w:outlineLvl w:val="0"/>
        <w:rPr>
          <w:rFonts w:hint="eastAsia" w:hAnsi="宋体" w:cs="宋体"/>
          <w:b/>
          <w:snapToGrid/>
          <w:color w:val="auto"/>
          <w:sz w:val="36"/>
          <w:szCs w:val="20"/>
          <w:highlight w:val="none"/>
        </w:rPr>
      </w:pPr>
      <w:bookmarkStart w:id="31" w:name="第四部分"/>
      <w:r>
        <w:rPr>
          <w:rFonts w:hint="eastAsia" w:hAnsi="宋体" w:cs="宋体"/>
          <w:b/>
          <w:snapToGrid/>
          <w:color w:val="auto"/>
          <w:sz w:val="36"/>
          <w:szCs w:val="20"/>
          <w:highlight w:val="none"/>
        </w:rPr>
        <w:t>第三部分 采购需求</w:t>
      </w:r>
    </w:p>
    <w:p w14:paraId="463C4D7D">
      <w:pPr>
        <w:spacing w:line="360" w:lineRule="auto"/>
        <w:jc w:val="left"/>
        <w:outlineLvl w:val="0"/>
        <w:rPr>
          <w:rFonts w:hint="eastAsia" w:ascii="宋体" w:hAnsi="宋体" w:cs="仿宋_GB2312"/>
          <w:b/>
          <w:bCs/>
          <w:color w:val="auto"/>
          <w:sz w:val="24"/>
          <w:highlight w:val="none"/>
        </w:rPr>
      </w:pPr>
      <w:r>
        <w:rPr>
          <w:rFonts w:hint="eastAsia" w:ascii="宋体" w:hAnsi="宋体" w:cs="仿宋_GB2312"/>
          <w:b/>
          <w:bCs/>
          <w:color w:val="auto"/>
          <w:sz w:val="24"/>
          <w:highlight w:val="none"/>
        </w:rPr>
        <w:t>一、工程概况</w:t>
      </w:r>
    </w:p>
    <w:p w14:paraId="12759F43">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旗杆东侧室外篮球场建设，主要内容：原有绿化场地改建成篮球场及笼式足球场四周设置4m高围网，笼式足球场内设置坐凳等，具体详见竞争性磋商文件、工程量清单及编制说明和图纸全部内容。</w:t>
      </w:r>
    </w:p>
    <w:p w14:paraId="456B8191">
      <w:pPr>
        <w:spacing w:line="360" w:lineRule="auto"/>
        <w:jc w:val="left"/>
        <w:outlineLvl w:val="1"/>
        <w:rPr>
          <w:rFonts w:hint="eastAsia" w:ascii="宋体" w:hAnsi="宋体" w:cs="仿宋_GB2312"/>
          <w:color w:val="auto"/>
          <w:sz w:val="24"/>
          <w:highlight w:val="none"/>
        </w:rPr>
      </w:pPr>
      <w:r>
        <w:rPr>
          <w:rFonts w:hint="eastAsia" w:ascii="宋体" w:hAnsi="宋体" w:cs="仿宋_GB2312"/>
          <w:b/>
          <w:bCs/>
          <w:color w:val="auto"/>
          <w:sz w:val="24"/>
          <w:highlight w:val="none"/>
        </w:rPr>
        <w:t xml:space="preserve">二、工程内容 </w:t>
      </w:r>
    </w:p>
    <w:p w14:paraId="4856624E">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1.工程名称</w:t>
      </w:r>
    </w:p>
    <w:p w14:paraId="350620E1">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旗杆东侧室外篮球场建设   </w:t>
      </w:r>
    </w:p>
    <w:p w14:paraId="472829B6">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2.现场条件</w:t>
      </w:r>
    </w:p>
    <w:p w14:paraId="6AD4FA04">
      <w:pPr>
        <w:spacing w:line="360" w:lineRule="auto"/>
        <w:ind w:firstLine="720" w:firstLineChars="30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已具备现场施工条件。 </w:t>
      </w:r>
    </w:p>
    <w:p w14:paraId="07884F90">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采购人不集中组织现场踏勘，供应商应需自行对工程现场和周围环境进行踏勘和了解，以获取有关编制响应文件和签署合同所需的各种资料，并应充分考虑影响本次报价的因素、预计实施过程中各种不利因素，由此可能发生的费用均由供应商考虑并包含在磋商响应报价中。成交后，成交供应商不得再以不完全了解现场情况等为理由而提出额外付款或延长工期等的要求，若有此类要求，采购人将不作任何答复与考虑，供应商应承担现场踏勘的责任和风险，踏勘现场的费用由供应商自行承担。</w:t>
      </w:r>
    </w:p>
    <w:p w14:paraId="1360EE34">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成交供应商必须按照采购人的施工管理规定进行施工，如需要按采购人管理需要临时调整施工时间等，施工作业环境的种种不利因素，如夜间施工、垃圾装袋外运等等均需由供应商考虑，并将所需费用包含在磋商响应报价中。</w:t>
      </w:r>
    </w:p>
    <w:p w14:paraId="089EFEC9">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本项目采购人不提供住宿，由供应商自行解决，相关费用包含在报价中。</w:t>
      </w:r>
    </w:p>
    <w:p w14:paraId="56A119D8">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供应商须满足采购人管理的要求、遵守采购人的施工安全管理制度以及其他相关管理制度，服从监理的管理和协调，确保施工项目的安全、高效、顺利进行，满足采购人的日常需求，防范施工安全、消防等安全事件的发生。采购人的管理部门有权对施工项目的组织和实施进行监督、检查，并提出整改要求，但此类监督检查并不解除供应商对施工项目应负的全部责任，如成交供应商不按要求整改或整改后仍不符合采购人的规定，采购人可从工程进度款或履约保证金中酌情扣罚，情节严重的，可解除合同，给采购人造成的全部损失由供应商承担，并可拒绝该供应商继续参与采购人其他项目的投标活动。</w:t>
      </w:r>
    </w:p>
    <w:p w14:paraId="7D694F7A">
      <w:pPr>
        <w:spacing w:line="360" w:lineRule="auto"/>
        <w:ind w:left="210" w:leftChars="100"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u w:val="single"/>
        </w:rPr>
        <w:t>按采购人相关管理制度需要签订的承诺或协议将作为承包合同的附件，是承包采购人项目须遵守的内容之一。</w:t>
      </w:r>
    </w:p>
    <w:p w14:paraId="4C1AFD9F">
      <w:pPr>
        <w:spacing w:line="360" w:lineRule="auto"/>
        <w:ind w:left="210" w:leftChars="100" w:firstLine="480" w:firstLineChars="200"/>
        <w:jc w:val="left"/>
        <w:rPr>
          <w:rFonts w:hint="eastAsia" w:ascii="宋体" w:hAnsi="宋体"/>
          <w:color w:val="auto"/>
          <w:sz w:val="24"/>
          <w:highlight w:val="none"/>
          <w:u w:val="single"/>
        </w:rPr>
      </w:pPr>
      <w:r>
        <w:rPr>
          <w:rFonts w:hint="eastAsia" w:ascii="宋体" w:hAnsi="宋体" w:cs="宋体"/>
          <w:color w:val="auto"/>
          <w:sz w:val="24"/>
          <w:highlight w:val="none"/>
          <w:u w:val="single"/>
        </w:rPr>
        <w:t>以上与施工相关的管理要求所需要的费用包含在各综合单价、合价和磋商响应总报价中。</w:t>
      </w:r>
    </w:p>
    <w:p w14:paraId="428091CE">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3.工程承包范围</w:t>
      </w:r>
    </w:p>
    <w:p w14:paraId="59666BE5">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旗杆东侧室外篮球场建设，主要内容：</w:t>
      </w:r>
      <w:r>
        <w:rPr>
          <w:rFonts w:hint="eastAsia" w:ascii="宋体" w:hAnsi="宋体"/>
          <w:color w:val="auto"/>
          <w:sz w:val="24"/>
          <w:szCs w:val="21"/>
          <w:highlight w:val="none"/>
          <w:u w:val="single"/>
        </w:rPr>
        <w:t>原有绿化场地改建成篮球场及笼式足球场四周设置4m高围网，笼式足球场内设置坐凳等</w:t>
      </w:r>
      <w:r>
        <w:rPr>
          <w:rFonts w:hint="eastAsia" w:ascii="宋体" w:hAnsi="宋体"/>
          <w:color w:val="auto"/>
          <w:sz w:val="24"/>
          <w:highlight w:val="none"/>
          <w:u w:val="single"/>
        </w:rPr>
        <w:t>，具体详见竞争性磋商文件、工程量清单及编制说明和图纸全部内容。</w:t>
      </w:r>
    </w:p>
    <w:p w14:paraId="494604C9">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4.工程质量标准</w:t>
      </w:r>
    </w:p>
    <w:p w14:paraId="1E326FA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符合现行国家有关工程施工验收规范和标准的合格要求，注：如上述国家标准有最新版本或替代标准颁布，则执行最新版本或替代标准。</w:t>
      </w:r>
    </w:p>
    <w:p w14:paraId="0FF160D0">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5.工程施工要求</w:t>
      </w:r>
    </w:p>
    <w:p w14:paraId="3A1BBF90">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工程技术规范要求：</w:t>
      </w:r>
    </w:p>
    <w:p w14:paraId="5590D36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本工程项目的材料、设备、施工必须达到现行中华人民共和国及省、市、行业的一切有关法规、规范的要求，如标准及规范要求有出入则以较严格者为准。</w:t>
      </w:r>
    </w:p>
    <w:p w14:paraId="300AD2F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对本工程所采用的标准或规范的任何部分，当成交供应商认为改用其他标准或规范，同样能够保证工程达到相同质量或更高的质量时，成交供应商可提出申请报经采购人审批后采用，但这种批准不免除成交供应商根据合同规定应承担的任何责任。申请报告中应对原采用的标准或规范与所建议改用的其他标准或规范之间的差异进行详细说明。获批之前成交供应商仍应执行原采用的标准或规范。</w:t>
      </w:r>
    </w:p>
    <w:p w14:paraId="2A4BF837">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安全文明施工要求</w:t>
      </w:r>
    </w:p>
    <w:p w14:paraId="3F7E2F7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①成交供应商应对进度施工现场的施工人员进行安全文明施工教育，配备必要的劳动保护用具，保证工程的施工安全和人身安全。</w:t>
      </w:r>
    </w:p>
    <w:p w14:paraId="66EEFD9B">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②成交供应商应强化安全意识，抓好安全生产，杜绝事故发生，施工中若因供应商原因发生安全及人身事故由成交供应商自行负责处理，并承担全部费用。</w:t>
      </w:r>
    </w:p>
    <w:p w14:paraId="7984114D">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③成交供应商须遵守地方政府和有关部门及采购人对施工场地交通、环卫、安全和施工噪音等的管理规定，并按规定办理相关审批手续。</w:t>
      </w:r>
    </w:p>
    <w:p w14:paraId="5A98A9B0">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④成交供应商应采取有效措施尽量减小尘土和噪音污染，需要进行夜间作业时应经有关部门批准。</w:t>
      </w:r>
    </w:p>
    <w:p w14:paraId="2DB2A260">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其它施工过程中需注意事项</w:t>
      </w:r>
    </w:p>
    <w:p w14:paraId="390C03C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本工程在施工期间，成交供应商应注意保护好采购人周边现有成品，如有损坏，须无条件修复至采购人满意。</w:t>
      </w:r>
    </w:p>
    <w:p w14:paraId="1CF8FCE0">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①废弃材料不得丢弃或随意堆放在校园内，清理产生的拆除费、搬运费、交通运输费等各项费用均由供应商自行考虑并计入响应总价且一次性包干</w:t>
      </w:r>
    </w:p>
    <w:p w14:paraId="1709D739">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②工程完工后，成交供应商需对施工现场进行全面的清洁工作。 </w:t>
      </w:r>
    </w:p>
    <w:p w14:paraId="6F9261DF">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③本项目如需土方外运，成交供应商应根据《关于发布杭州市工程渣土消纳市场信息价的通知》（杭渣土领【2020】1号 ）及《关于明确杭州市工程渣土运输及消纳项目计价清单和报价口径的通知》等相关文件精神并结合项目方案实际合理报价，成交的施工企业须按照杭城管【2022】39号《关于进一步规范建筑垃圾审批管理和执法工作的通知》办理好相关备案手续。</w:t>
      </w:r>
    </w:p>
    <w:p w14:paraId="5DC1A2BE">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4 \* GB3 \* MERGEFORMAT </w:instrText>
      </w:r>
      <w:r>
        <w:rPr>
          <w:rFonts w:hint="eastAsia" w:ascii="宋体" w:hAnsi="宋体"/>
          <w:color w:val="auto"/>
          <w:sz w:val="24"/>
          <w:highlight w:val="none"/>
          <w:u w:val="single"/>
        </w:rPr>
        <w:fldChar w:fldCharType="separate"/>
      </w:r>
      <w:r>
        <w:rPr>
          <w:rFonts w:hint="eastAsia" w:ascii="宋体" w:hAnsi="宋体"/>
          <w:color w:val="auto"/>
          <w:sz w:val="24"/>
          <w:highlight w:val="none"/>
          <w:u w:val="single"/>
        </w:rPr>
        <w:t>④</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根据杭州市城乡建设委员会等五部门关于印发《杭州市建设工程建筑垃圾减量化工作实施办法的通知》及杭州市城乡建设委员会杭州市发展和改革委员会于2025年9月25日印发的《关于在全市房建市政工程推广应用建筑垃圾综合利用产品的通知》，成交供应商</w:t>
      </w:r>
      <w:r>
        <w:rPr>
          <w:rFonts w:ascii="宋体" w:hAnsi="宋体"/>
          <w:color w:val="auto"/>
          <w:sz w:val="24"/>
          <w:highlight w:val="none"/>
          <w:u w:val="single"/>
        </w:rPr>
        <w:t>应加强建筑垃圾产品的质量控制，委托具备相应资质的第三方检测机构进行质量检测，严禁不合格产品用于施工现场。</w:t>
      </w:r>
      <w:r>
        <w:rPr>
          <w:rFonts w:hint="eastAsia" w:ascii="宋体" w:hAnsi="宋体"/>
          <w:color w:val="auto"/>
          <w:sz w:val="24"/>
          <w:highlight w:val="none"/>
          <w:u w:val="single"/>
        </w:rPr>
        <w:t>成交供应商</w:t>
      </w:r>
      <w:r>
        <w:rPr>
          <w:rFonts w:ascii="宋体" w:hAnsi="宋体"/>
          <w:color w:val="auto"/>
          <w:sz w:val="24"/>
          <w:highlight w:val="none"/>
          <w:u w:val="single"/>
        </w:rPr>
        <w:t>根据</w:t>
      </w:r>
      <w:r>
        <w:rPr>
          <w:rFonts w:hint="eastAsia" w:ascii="宋体" w:hAnsi="宋体"/>
          <w:color w:val="auto"/>
          <w:sz w:val="24"/>
          <w:highlight w:val="none"/>
          <w:u w:val="single"/>
        </w:rPr>
        <w:t>竞争性磋商文件</w:t>
      </w:r>
      <w:r>
        <w:rPr>
          <w:rFonts w:ascii="宋体" w:hAnsi="宋体"/>
          <w:color w:val="auto"/>
          <w:sz w:val="24"/>
          <w:highlight w:val="none"/>
          <w:u w:val="single"/>
        </w:rPr>
        <w:t>和施工图纸要求使用建筑垃圾综合利用产品的，综合利用产品应符合《浙江省住房和城乡建设厅关于浙江省建筑垃圾综合利用产品推广应用的实施意见》（浙建〔2023]10号）中产品质量标准要求。采购的综合利用产品时应取得该产品生产企业的建筑垃圾处置核准证明，否则不得使用。</w:t>
      </w:r>
      <w:r>
        <w:rPr>
          <w:rFonts w:hint="eastAsia" w:ascii="宋体" w:hAnsi="宋体"/>
          <w:color w:val="auto"/>
          <w:sz w:val="24"/>
          <w:highlight w:val="none"/>
          <w:u w:val="single"/>
        </w:rPr>
        <w:t>成交供应商</w:t>
      </w:r>
      <w:r>
        <w:rPr>
          <w:rFonts w:ascii="宋体" w:hAnsi="宋体"/>
          <w:color w:val="auto"/>
          <w:sz w:val="24"/>
          <w:highlight w:val="none"/>
          <w:u w:val="single"/>
        </w:rPr>
        <w:t>应加强综合利用产品的施工质量控制，对建筑垃圾综合利用产品进行进场检验，严格按照设计要求以及施工规范进行施工和验收。</w:t>
      </w:r>
    </w:p>
    <w:p w14:paraId="688D413E">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fldChar w:fldCharType="begin"/>
      </w:r>
      <w:r>
        <w:rPr>
          <w:rFonts w:ascii="宋体" w:hAnsi="宋体"/>
          <w:color w:val="auto"/>
          <w:sz w:val="24"/>
          <w:highlight w:val="none"/>
          <w:u w:val="single"/>
        </w:rPr>
        <w:instrText xml:space="preserve"> = 5 \* GB3 \* MERGEFORMAT </w:instrText>
      </w:r>
      <w:r>
        <w:rPr>
          <w:rFonts w:ascii="宋体" w:hAnsi="宋体"/>
          <w:color w:val="auto"/>
          <w:sz w:val="24"/>
          <w:highlight w:val="none"/>
          <w:u w:val="single"/>
        </w:rPr>
        <w:fldChar w:fldCharType="separate"/>
      </w:r>
      <w:r>
        <w:rPr>
          <w:rFonts w:hint="eastAsia" w:ascii="宋体" w:hAnsi="宋体"/>
          <w:color w:val="auto"/>
          <w:sz w:val="24"/>
          <w:highlight w:val="none"/>
          <w:u w:val="single"/>
        </w:rPr>
        <w:t>⑤</w:t>
      </w:r>
      <w:r>
        <w:rPr>
          <w:rFonts w:ascii="宋体" w:hAnsi="宋体"/>
          <w:color w:val="auto"/>
          <w:sz w:val="24"/>
          <w:highlight w:val="none"/>
          <w:u w:val="single"/>
        </w:rPr>
        <w:fldChar w:fldCharType="end"/>
      </w:r>
      <w:r>
        <w:rPr>
          <w:rFonts w:ascii="宋体" w:hAnsi="宋体"/>
          <w:color w:val="auto"/>
          <w:sz w:val="24"/>
          <w:highlight w:val="none"/>
          <w:u w:val="single"/>
        </w:rPr>
        <w:t>建筑垃圾源头减量：</w:t>
      </w:r>
      <w:r>
        <w:rPr>
          <w:rFonts w:hint="eastAsia" w:ascii="宋体" w:hAnsi="宋体"/>
          <w:color w:val="auto"/>
          <w:sz w:val="24"/>
          <w:highlight w:val="none"/>
          <w:u w:val="single"/>
        </w:rPr>
        <w:t>成交供应商</w:t>
      </w:r>
      <w:r>
        <w:rPr>
          <w:rFonts w:ascii="宋体" w:hAnsi="宋体"/>
          <w:color w:val="auto"/>
          <w:sz w:val="24"/>
          <w:highlight w:val="none"/>
          <w:u w:val="single"/>
        </w:rPr>
        <w:t>应按照</w:t>
      </w:r>
      <w:r>
        <w:rPr>
          <w:rFonts w:hint="eastAsia" w:ascii="宋体" w:hAnsi="宋体"/>
          <w:color w:val="auto"/>
          <w:sz w:val="24"/>
          <w:highlight w:val="none"/>
          <w:u w:val="single"/>
        </w:rPr>
        <w:t>采购人</w:t>
      </w:r>
      <w:r>
        <w:rPr>
          <w:rFonts w:ascii="宋体" w:hAnsi="宋体"/>
          <w:color w:val="auto"/>
          <w:sz w:val="24"/>
          <w:highlight w:val="none"/>
          <w:u w:val="single"/>
        </w:rPr>
        <w:t>建筑垃圾源头减量的要求，优化施工方案，加强施工现场管理，落实建筑垃圾减量化措施。</w:t>
      </w:r>
    </w:p>
    <w:p w14:paraId="0E0CC8C9">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6.工程管理要求</w:t>
      </w:r>
    </w:p>
    <w:p w14:paraId="1B7F71A8">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（1）</w:t>
      </w:r>
      <w:r>
        <w:rPr>
          <w:rFonts w:hint="eastAsia" w:ascii="宋体" w:hAnsi="宋体"/>
          <w:color w:val="auto"/>
          <w:sz w:val="24"/>
          <w:highlight w:val="none"/>
          <w:u w:val="single"/>
        </w:rPr>
        <w:t>工程管理原则：</w:t>
      </w:r>
    </w:p>
    <w:p w14:paraId="0337FB13">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①本工程承包范围内的工程项目，成交供应商未经采购人同意，一律不得转包，一经发现采购人有权立即取消其承包资格，成交供应商应承担由此引起的一切经济责任和法律责任；</w:t>
      </w:r>
    </w:p>
    <w:p w14:paraId="15A7AE7E">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②在工程实施过程中，如发现成交供应商为挂靠单位，采购人可立即终止合同。成交供应商应承担由此引起的一切经济责任和法律责任。</w:t>
      </w:r>
    </w:p>
    <w:p w14:paraId="5CDDE02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③成交供应商须严格按照已确认的施工技术方案组织实施，并无条件接受采购人的项目管理部门的管理。</w:t>
      </w:r>
    </w:p>
    <w:p w14:paraId="46ED3AD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成交供应商在响应文件中确定的工程项目经理及项目管理班子人员，未经采购人同意，不得调换和撤离，本工程确定的成交人的项目管理班子成员，不得兼任其他工程职务并应完全到位。采购人有权要求成交供应商撤换工作不负责任、管理不力、贻误工期、违法乱纪及造成严重安全事故和工程质量事故的项目班子的任何人员，直至项目经理本人。如项目班子成员被采购人撤换，按项目班子成员不到位处罚额度进行处罚，成交供应商不得姑息迁就，拖延撤换和有碍工程进展，否则，采购人有权单方面终止合同，并对由此造成的采购人损失，予以追究赔偿。</w:t>
      </w:r>
    </w:p>
    <w:p w14:paraId="15F741EB">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项目管理班子人员要求:</w:t>
      </w:r>
    </w:p>
    <w:p w14:paraId="49A898DB">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①项目经理：本项目拟派项目经理除具备二级建造师及以上资格，无在建项目外，还应具有类似施工经验以及相关专业技术职称，在施工过程中，应确保到位率达到80%（含）以上；</w:t>
      </w:r>
    </w:p>
    <w:p w14:paraId="63FCE425">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②拟派技术负责人应具有类似工程施工经验以及相关专业技术职称；</w:t>
      </w:r>
    </w:p>
    <w:p w14:paraId="77C9506E">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③拟派项目管理班子中施工员、安全员、质检员、材料员等重要岗位应人员配置齐全。</w:t>
      </w:r>
    </w:p>
    <w:p w14:paraId="011F88DF">
      <w:pPr>
        <w:spacing w:line="360" w:lineRule="auto"/>
        <w:ind w:left="420" w:leftChars="20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工程管理其他要求</w:t>
      </w:r>
    </w:p>
    <w:p w14:paraId="31D27EB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①本项目施工现场采购人不提供食宿，施工期间，所有施工人员的食宿均由成交供应商自行安排，材料的堆放及停车必须服从采购人的安排。</w:t>
      </w:r>
    </w:p>
    <w:p w14:paraId="73534888">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②施工现场严禁吸烟。</w:t>
      </w:r>
    </w:p>
    <w:p w14:paraId="5D1274E4">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③如涉及学校安全管理需要，成交供应商须严格遵守采购人要求，所有进场人员需按照采购人要求做好登记办理施工出入手续。</w:t>
      </w:r>
    </w:p>
    <w:p w14:paraId="281B2B37">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④承包人由于违反安全操作规范，被政府有关部门处罚，如通报批评、警告和罚款等，承包人承担一切责任，并每被查处一次，发包人每次扣罚违约金5000元，上述扣款在工程进度款中逐期扣除。</w:t>
      </w:r>
    </w:p>
    <w:p w14:paraId="3555B566">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5 \* GB3 \* MERGEFORMAT </w:instrText>
      </w:r>
      <w:r>
        <w:rPr>
          <w:rFonts w:hint="eastAsia" w:ascii="宋体" w:hAnsi="宋体"/>
          <w:color w:val="auto"/>
          <w:sz w:val="24"/>
          <w:highlight w:val="none"/>
          <w:u w:val="single"/>
        </w:rPr>
        <w:fldChar w:fldCharType="separate"/>
      </w:r>
      <w:r>
        <w:rPr>
          <w:color w:val="auto"/>
          <w:highlight w:val="none"/>
        </w:rPr>
        <w:t>⑤</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承包人应强化安全意识，抓好安全生产，杜绝事故发生，施工中若发生安全及人身事故均由承包人自行负责处理，承担一切责任包括全部费用。安全事故每发生一次，承包人向发包人支付1万元的违约金，上述扣款在工程进度款中逐期扣除。</w:t>
      </w:r>
    </w:p>
    <w:p w14:paraId="341CCA6B">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fldChar w:fldCharType="begin"/>
      </w:r>
      <w:r>
        <w:rPr>
          <w:rFonts w:hint="eastAsia" w:ascii="宋体" w:hAnsi="宋体"/>
          <w:color w:val="auto"/>
          <w:sz w:val="24"/>
          <w:highlight w:val="none"/>
          <w:u w:val="single"/>
        </w:rPr>
        <w:instrText xml:space="preserve"> = 6 \* GB3 \* MERGEFORMAT </w:instrText>
      </w:r>
      <w:r>
        <w:rPr>
          <w:rFonts w:hint="eastAsia" w:ascii="宋体" w:hAnsi="宋体"/>
          <w:color w:val="auto"/>
          <w:sz w:val="24"/>
          <w:highlight w:val="none"/>
          <w:u w:val="single"/>
        </w:rPr>
        <w:fldChar w:fldCharType="separate"/>
      </w:r>
      <w:r>
        <w:rPr>
          <w:color w:val="auto"/>
          <w:highlight w:val="none"/>
        </w:rPr>
        <w:t>⑥</w:t>
      </w:r>
      <w:r>
        <w:rPr>
          <w:rFonts w:hint="eastAsia" w:ascii="宋体" w:hAnsi="宋体"/>
          <w:color w:val="auto"/>
          <w:sz w:val="24"/>
          <w:highlight w:val="none"/>
          <w:u w:val="single"/>
        </w:rPr>
        <w:fldChar w:fldCharType="end"/>
      </w:r>
      <w:r>
        <w:rPr>
          <w:rFonts w:hint="eastAsia" w:ascii="宋体" w:hAnsi="宋体"/>
          <w:color w:val="auto"/>
          <w:sz w:val="24"/>
          <w:highlight w:val="none"/>
          <w:u w:val="single"/>
        </w:rPr>
        <w:t>发包人或监理工程师有权对承包人的安全施工状况进行检查，发现有违反安全施工情况的，有权提出整改要求，承包人须按要求进行整改。</w:t>
      </w:r>
    </w:p>
    <w:p w14:paraId="4F8E45D5">
      <w:pPr>
        <w:spacing w:line="360" w:lineRule="auto"/>
        <w:ind w:firstLine="420"/>
        <w:jc w:val="left"/>
        <w:rPr>
          <w:rFonts w:hint="eastAsia" w:ascii="宋体" w:hAnsi="宋体" w:cs="仿宋_GB2312"/>
          <w:color w:val="auto"/>
          <w:sz w:val="24"/>
          <w:highlight w:val="none"/>
        </w:rPr>
      </w:pPr>
      <w:r>
        <w:rPr>
          <w:rFonts w:hint="eastAsia" w:ascii="宋体" w:hAnsi="宋体" w:cs="仿宋_GB2312"/>
          <w:color w:val="auto"/>
          <w:sz w:val="24"/>
          <w:highlight w:val="none"/>
        </w:rPr>
        <w:t xml:space="preserve">7.工程主要材料（设备）要求  </w:t>
      </w:r>
    </w:p>
    <w:p w14:paraId="2019E9D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ascii="宋体" w:hAnsi="宋体"/>
          <w:color w:val="auto"/>
          <w:sz w:val="24"/>
          <w:highlight w:val="none"/>
          <w:u w:val="single"/>
        </w:rPr>
        <w:t>（1）</w:t>
      </w:r>
      <w:r>
        <w:rPr>
          <w:rFonts w:hint="eastAsia" w:ascii="宋体" w:hAnsi="宋体"/>
          <w:color w:val="auto"/>
          <w:sz w:val="24"/>
          <w:highlight w:val="none"/>
          <w:u w:val="single"/>
        </w:rPr>
        <w:t>本项目涉及的所有材料设备，必须经采购人/监理公司确认后方能采购、进场、加工、安装。否则一律不予承认，不予支付相应款项。</w:t>
      </w:r>
    </w:p>
    <w:p w14:paraId="1D2D1222">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（2）</w:t>
      </w:r>
      <w:r>
        <w:rPr>
          <w:rFonts w:hint="eastAsia" w:ascii="宋体" w:hAnsi="宋体"/>
          <w:color w:val="auto"/>
          <w:sz w:val="24"/>
          <w:highlight w:val="none"/>
          <w:u w:val="single"/>
        </w:rPr>
        <w:t>材料规格：本磋商文件涉及的主要设备和材料，各供应商须根据磋商文件要求的用材规格进行选材并报价，并符合环保要求，严禁选择不符合施工图纸要求的低档材料进行响应报价及组织施工实施，如有其它国家强制性认证要求的也必须满足；</w:t>
      </w:r>
    </w:p>
    <w:p w14:paraId="651D7632">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（3）</w:t>
      </w:r>
      <w:r>
        <w:rPr>
          <w:rFonts w:hint="eastAsia" w:ascii="宋体" w:hAnsi="宋体"/>
          <w:color w:val="auto"/>
          <w:sz w:val="24"/>
          <w:highlight w:val="none"/>
          <w:u w:val="single"/>
        </w:rPr>
        <w:t>供应商应在响应文件中写明各类主要材料（设备）的选用品牌、产地和规格，若未注明品牌的可由采购人自行选择。若成交后注明的品牌或采购人选择的品牌在施工期间市场上无现货供应，须进行订制，如该品牌无法订制时，采购人有权选择其它品牌。成交供应商不按该选用的材料和设备采购的，采购人有权拒绝验收。</w:t>
      </w:r>
    </w:p>
    <w:p w14:paraId="364C3FD2">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本项目材料品牌满足主材品牌表要求,详见清单编制说明；</w:t>
      </w:r>
    </w:p>
    <w:p w14:paraId="26392518">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（4）</w:t>
      </w:r>
      <w:r>
        <w:rPr>
          <w:rFonts w:hint="eastAsia" w:ascii="宋体" w:hAnsi="宋体"/>
          <w:color w:val="auto"/>
          <w:sz w:val="24"/>
          <w:highlight w:val="none"/>
          <w:u w:val="single"/>
        </w:rPr>
        <w:t>供应商应当有详细的材料（设备）供应计划及质量保证措施；</w:t>
      </w:r>
    </w:p>
    <w:p w14:paraId="7950E055">
      <w:pPr>
        <w:spacing w:line="360" w:lineRule="auto"/>
        <w:ind w:firstLine="420"/>
        <w:jc w:val="left"/>
        <w:rPr>
          <w:rFonts w:hint="eastAsia" w:ascii="宋体" w:hAnsi="宋体"/>
          <w:color w:val="auto"/>
          <w:sz w:val="24"/>
          <w:highlight w:val="none"/>
          <w:u w:val="single"/>
        </w:rPr>
      </w:pPr>
      <w:r>
        <w:rPr>
          <w:rFonts w:ascii="宋体" w:hAnsi="宋体"/>
          <w:color w:val="auto"/>
          <w:sz w:val="24"/>
          <w:highlight w:val="none"/>
          <w:u w:val="single"/>
        </w:rPr>
        <w:t>（5）</w:t>
      </w:r>
      <w:r>
        <w:rPr>
          <w:rFonts w:hint="eastAsia" w:ascii="宋体" w:hAnsi="宋体"/>
          <w:color w:val="auto"/>
          <w:sz w:val="24"/>
          <w:highlight w:val="none"/>
          <w:u w:val="single"/>
        </w:rPr>
        <w:t>材料的质量要求：材料检验按法律、法规、文件规定的见证取样和送检规定的程序进行。凡检验结果证明其有害物质含量指标超标的产品不得在工程上使用。</w:t>
      </w:r>
    </w:p>
    <w:p w14:paraId="2EBB1C2F">
      <w:pPr>
        <w:spacing w:line="360" w:lineRule="auto"/>
        <w:jc w:val="left"/>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三、商务要求</w:t>
      </w:r>
    </w:p>
    <w:p w14:paraId="5B3501ED">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1.工期要求：</w:t>
      </w:r>
      <w:r>
        <w:rPr>
          <w:rFonts w:hint="eastAsia" w:ascii="宋体" w:hAnsi="宋体"/>
          <w:color w:val="auto"/>
          <w:sz w:val="24"/>
          <w:highlight w:val="none"/>
          <w:u w:val="single"/>
        </w:rPr>
        <w:t>计划开始工作日期：2026年7月10日，计划竣工日期：2026年8月30日，工期52天。</w:t>
      </w:r>
    </w:p>
    <w:p w14:paraId="1B97CC8C">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2.工程地点：</w:t>
      </w:r>
      <w:r>
        <w:rPr>
          <w:rFonts w:hint="eastAsia" w:ascii="宋体" w:hAnsi="宋体"/>
          <w:color w:val="auto"/>
          <w:sz w:val="24"/>
          <w:highlight w:val="none"/>
          <w:u w:val="single"/>
        </w:rPr>
        <w:t xml:space="preserve">杭州市中策职业学校钱塘学校 （杭州市钱塘新区奕策巷1号） </w:t>
      </w:r>
    </w:p>
    <w:p w14:paraId="298EDC78">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3.付款条件（进度和方式）</w:t>
      </w:r>
    </w:p>
    <w:p w14:paraId="68ACB79D">
      <w:pPr>
        <w:pStyle w:val="259"/>
        <w:ind w:firstLine="0" w:firstLineChars="0"/>
        <w:rPr>
          <w:color w:val="auto"/>
          <w:highlight w:val="none"/>
        </w:rPr>
      </w:pPr>
    </w:p>
    <w:tbl>
      <w:tblPr>
        <w:tblStyle w:val="63"/>
        <w:tblW w:w="973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375"/>
        <w:gridCol w:w="2519"/>
        <w:gridCol w:w="5841"/>
      </w:tblGrid>
      <w:tr w14:paraId="0043ADFC">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569" w:hRule="atLeast"/>
        </w:trPr>
        <w:tc>
          <w:tcPr>
            <w:tcW w:w="1375" w:type="dxa"/>
            <w:vAlign w:val="center"/>
          </w:tcPr>
          <w:p w14:paraId="450D01F0">
            <w:pPr>
              <w:spacing w:line="360" w:lineRule="auto"/>
              <w:jc w:val="center"/>
              <w:rPr>
                <w:rFonts w:hint="eastAsia" w:ascii="宋体" w:hAnsi="宋体" w:cs="仿宋_GB2312"/>
                <w:color w:val="auto"/>
                <w:sz w:val="24"/>
                <w:highlight w:val="none"/>
              </w:rPr>
            </w:pPr>
            <w:bookmarkStart w:id="32" w:name="_Hlk198637528"/>
            <w:r>
              <w:rPr>
                <w:rFonts w:hint="eastAsia" w:ascii="宋体" w:hAnsi="宋体" w:cs="仿宋_GB2312"/>
                <w:color w:val="auto"/>
                <w:sz w:val="24"/>
                <w:highlight w:val="none"/>
              </w:rPr>
              <w:t>序号</w:t>
            </w:r>
          </w:p>
        </w:tc>
        <w:tc>
          <w:tcPr>
            <w:tcW w:w="2519" w:type="dxa"/>
            <w:vAlign w:val="center"/>
          </w:tcPr>
          <w:p w14:paraId="1F10305A">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付款比例（%）</w:t>
            </w:r>
          </w:p>
        </w:tc>
        <w:tc>
          <w:tcPr>
            <w:tcW w:w="5841" w:type="dxa"/>
            <w:vAlign w:val="center"/>
          </w:tcPr>
          <w:p w14:paraId="4B1BB035">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付款方式</w:t>
            </w:r>
          </w:p>
        </w:tc>
      </w:tr>
      <w:tr w14:paraId="411B62E3">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trHeight w:val="465" w:hRule="atLeast"/>
        </w:trPr>
        <w:tc>
          <w:tcPr>
            <w:tcW w:w="1375" w:type="dxa"/>
            <w:vAlign w:val="center"/>
          </w:tcPr>
          <w:p w14:paraId="3F765006">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1</w:t>
            </w:r>
          </w:p>
        </w:tc>
        <w:tc>
          <w:tcPr>
            <w:tcW w:w="2519" w:type="dxa"/>
            <w:vAlign w:val="center"/>
          </w:tcPr>
          <w:p w14:paraId="38E8C7DB">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60</w:t>
            </w:r>
          </w:p>
        </w:tc>
        <w:tc>
          <w:tcPr>
            <w:tcW w:w="5841" w:type="dxa"/>
            <w:vAlign w:val="center"/>
          </w:tcPr>
          <w:p w14:paraId="5547DDF8">
            <w:pPr>
              <w:pStyle w:val="82"/>
              <w:ind w:firstLine="480"/>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rPr>
              <w:t>合同生效、具备实施条件后，成交供应商在5个工作日内提交银行或者保险公司出具的预付款保函，采购人在5个工作日内支付合同总价的60%作为预付款(因客观原因造成采购人预付款逾期支付的，不追究逾期支付违约责任，具体付款日期按实际支付时间执行)</w:t>
            </w:r>
          </w:p>
        </w:tc>
      </w:tr>
      <w:tr w14:paraId="5708C5E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vAlign w:val="center"/>
          </w:tcPr>
          <w:p w14:paraId="52AD789A">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w:t>
            </w:r>
          </w:p>
        </w:tc>
        <w:tc>
          <w:tcPr>
            <w:tcW w:w="2519" w:type="dxa"/>
            <w:vAlign w:val="center"/>
          </w:tcPr>
          <w:p w14:paraId="63F8997D">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20</w:t>
            </w:r>
          </w:p>
        </w:tc>
        <w:tc>
          <w:tcPr>
            <w:tcW w:w="5841" w:type="dxa"/>
            <w:vAlign w:val="center"/>
          </w:tcPr>
          <w:p w14:paraId="53253FAE">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工程竣工验收合格，竣工资料整理完整上交采购人后支付至合同价（扣除暂列金）的8</w:t>
            </w:r>
            <w:r>
              <w:rPr>
                <w:rFonts w:hint="eastAsia" w:ascii="宋体" w:hAnsi="宋体" w:cs="仿宋_GB2312"/>
                <w:color w:val="auto"/>
                <w:sz w:val="24"/>
                <w:highlight w:val="none"/>
                <w:lang w:val="en-US" w:eastAsia="zh-CN"/>
              </w:rPr>
              <w:t>0</w:t>
            </w:r>
            <w:r>
              <w:rPr>
                <w:rFonts w:hint="eastAsia" w:ascii="宋体" w:hAnsi="宋体" w:cs="仿宋_GB2312"/>
                <w:color w:val="auto"/>
                <w:sz w:val="24"/>
                <w:highlight w:val="none"/>
              </w:rPr>
              <w:t>%（如实际发生工程量低于合同价的8</w:t>
            </w:r>
            <w:r>
              <w:rPr>
                <w:rFonts w:hint="eastAsia" w:ascii="宋体" w:hAnsi="宋体" w:cs="仿宋_GB2312"/>
                <w:color w:val="auto"/>
                <w:sz w:val="24"/>
                <w:highlight w:val="none"/>
                <w:lang w:val="en-US" w:eastAsia="zh-CN"/>
              </w:rPr>
              <w:t>0</w:t>
            </w:r>
            <w:r>
              <w:rPr>
                <w:rFonts w:hint="eastAsia" w:ascii="宋体" w:hAnsi="宋体" w:cs="仿宋_GB2312"/>
                <w:color w:val="auto"/>
                <w:sz w:val="24"/>
                <w:highlight w:val="none"/>
              </w:rPr>
              <w:t>%，则支付至已完工程量的8</w:t>
            </w:r>
            <w:r>
              <w:rPr>
                <w:rFonts w:hint="eastAsia" w:ascii="宋体" w:hAnsi="宋体" w:cs="仿宋_GB2312"/>
                <w:color w:val="auto"/>
                <w:sz w:val="24"/>
                <w:highlight w:val="none"/>
                <w:lang w:val="en-US" w:eastAsia="zh-CN"/>
              </w:rPr>
              <w:t>0</w:t>
            </w:r>
            <w:r>
              <w:rPr>
                <w:rFonts w:hint="eastAsia" w:ascii="宋体" w:hAnsi="宋体" w:cs="仿宋_GB2312"/>
                <w:color w:val="auto"/>
                <w:sz w:val="24"/>
                <w:highlight w:val="none"/>
              </w:rPr>
              <w:t>%）；</w:t>
            </w:r>
          </w:p>
        </w:tc>
      </w:tr>
      <w:tr w14:paraId="7B89D17F">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1375" w:type="dxa"/>
            <w:vAlign w:val="center"/>
          </w:tcPr>
          <w:p w14:paraId="069E45DB">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3</w:t>
            </w:r>
          </w:p>
        </w:tc>
        <w:tc>
          <w:tcPr>
            <w:tcW w:w="2519" w:type="dxa"/>
            <w:vAlign w:val="center"/>
          </w:tcPr>
          <w:p w14:paraId="00EAA8D8">
            <w:pPr>
              <w:spacing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20</w:t>
            </w:r>
          </w:p>
        </w:tc>
        <w:tc>
          <w:tcPr>
            <w:tcW w:w="5841" w:type="dxa"/>
            <w:vAlign w:val="center"/>
          </w:tcPr>
          <w:p w14:paraId="455C287B">
            <w:pPr>
              <w:spacing w:line="360" w:lineRule="auto"/>
              <w:jc w:val="left"/>
              <w:rPr>
                <w:rFonts w:hint="eastAsia" w:ascii="宋体" w:hAnsi="宋体" w:cs="仿宋_GB2312"/>
                <w:color w:val="auto"/>
                <w:sz w:val="24"/>
                <w:highlight w:val="none"/>
              </w:rPr>
            </w:pPr>
            <w:r>
              <w:rPr>
                <w:rFonts w:hint="eastAsia" w:ascii="宋体" w:hAnsi="宋体" w:cs="仿宋_GB2312"/>
                <w:color w:val="auto"/>
                <w:sz w:val="24"/>
                <w:highlight w:val="none"/>
              </w:rPr>
              <w:t>工程竣工结算经审核完成之日起的10日内，付至审定金额的100%。</w:t>
            </w:r>
          </w:p>
        </w:tc>
      </w:tr>
      <w:bookmarkEnd w:id="32"/>
    </w:tbl>
    <w:p w14:paraId="7136E022">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4.工程售后服务要求</w:t>
      </w:r>
    </w:p>
    <w:p w14:paraId="614160E0">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（1）保修期：按工程质量保修书规定执行，质量保证期为本项目验收合格后不少于2年（具体详见工程质量保修书）。</w:t>
      </w:r>
    </w:p>
    <w:p w14:paraId="242E5A34">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成交供应商应与采购人签订工程质量保修书，在质量保修期内，按照有关法律、法规、规章的管理规定和双方约定，承担本工程质量保修责任。</w:t>
      </w:r>
    </w:p>
    <w:p w14:paraId="214734C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（2）在保修期内，成交供应商对有缺陷的部位必须无偿地给予修理与更换，并承担一切由此引起的对采购人或第三者的直接损失，除非该缺陷是由于人为破坏或合同规定的不可抗因素造成的损坏。</w:t>
      </w:r>
    </w:p>
    <w:p w14:paraId="43C0F031">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（3）成交供应商必须对所承包的工程的质量负全部责任，其责任不因其他材料生产商提供的保证书而减轻或更改。</w:t>
      </w:r>
    </w:p>
    <w:p w14:paraId="5BCB543A">
      <w:pPr>
        <w:spacing w:line="360" w:lineRule="auto"/>
        <w:ind w:firstLine="420"/>
        <w:jc w:val="left"/>
        <w:rPr>
          <w:rFonts w:hint="eastAsia" w:ascii="宋体" w:hAnsi="宋体"/>
          <w:color w:val="auto"/>
          <w:sz w:val="24"/>
          <w:highlight w:val="none"/>
          <w:u w:val="single"/>
        </w:rPr>
      </w:pPr>
      <w:r>
        <w:rPr>
          <w:rFonts w:hint="eastAsia" w:ascii="宋体" w:hAnsi="宋体"/>
          <w:color w:val="auto"/>
          <w:sz w:val="24"/>
          <w:highlight w:val="none"/>
          <w:u w:val="single"/>
        </w:rPr>
        <w:t xml:space="preserve">（4）供应商应当在缺陷责任期内具有完善的售后技术支持和服务体系，能够提供服务标准、服务流程、服务内容。 </w:t>
      </w:r>
    </w:p>
    <w:p w14:paraId="226B1967">
      <w:pPr>
        <w:spacing w:line="360" w:lineRule="auto"/>
        <w:ind w:left="210" w:leftChars="100"/>
        <w:jc w:val="left"/>
        <w:rPr>
          <w:rFonts w:hint="eastAsia" w:ascii="宋体" w:hAnsi="宋体" w:cs="仿宋_GB2312"/>
          <w:color w:val="auto"/>
          <w:sz w:val="24"/>
          <w:highlight w:val="none"/>
        </w:rPr>
      </w:pPr>
      <w:r>
        <w:rPr>
          <w:rFonts w:hint="eastAsia" w:ascii="宋体" w:hAnsi="宋体" w:cs="仿宋_GB2312"/>
          <w:color w:val="auto"/>
          <w:sz w:val="24"/>
          <w:highlight w:val="none"/>
        </w:rPr>
        <w:t>5.其他商务要求（包装和运输、保险等）</w:t>
      </w:r>
    </w:p>
    <w:p w14:paraId="01BA4037">
      <w:pPr>
        <w:spacing w:line="360" w:lineRule="auto"/>
        <w:ind w:firstLine="480" w:firstLineChars="200"/>
        <w:jc w:val="left"/>
        <w:rPr>
          <w:rFonts w:hint="eastAsia" w:ascii="宋体" w:hAnsi="宋体"/>
          <w:color w:val="auto"/>
          <w:sz w:val="24"/>
          <w:highlight w:val="none"/>
          <w:u w:val="single"/>
        </w:rPr>
      </w:pPr>
      <w:r>
        <w:rPr>
          <w:rFonts w:hint="eastAsia" w:ascii="宋体" w:hAnsi="宋体"/>
          <w:color w:val="auto"/>
          <w:sz w:val="24"/>
          <w:highlight w:val="none"/>
          <w:u w:val="single"/>
        </w:rPr>
        <w:t>成交供应商在项目执行过程中必须严格按照有关安全操作规程进行操作，需为所有入场实施安装人员购买意外保险，做好安全防范工作，防止一切事故的发生；施工期间，出现人身伤亡等事故，一切后果均由供应商自行承担。</w:t>
      </w:r>
    </w:p>
    <w:p w14:paraId="613E2F82">
      <w:pPr>
        <w:spacing w:line="360" w:lineRule="auto"/>
        <w:jc w:val="left"/>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五、其他要求</w:t>
      </w:r>
    </w:p>
    <w:p w14:paraId="29B16A8B">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（1）、本项目采用工程量清单方式进行报价。</w:t>
      </w:r>
    </w:p>
    <w:p w14:paraId="16511896">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2）、本项目报价时，供应商在磋商文件、施工图纸的基础上，结合现场特殊情况、图纸无法表达或未表明的局部细节等进行报价。编制和报价过程须考虑为达到图纸表达的效果及需要的各项施工工艺、设备、材料、辅材辅料等，并填报综合单价和合价、按规定计取各项费用等。</w:t>
      </w:r>
    </w:p>
    <w:p w14:paraId="4028EDE9">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3）、磋商总报价包含从项目实施到竣工验收、质量保期满需要的全部费用。供应商应根据国家、浙江省、杭州市的有关规定并结合企业的实际情况进行磋商响应报价。磋商响应报价是完成本磋商文件规定的所有采购内容和要求的总费用。</w:t>
      </w:r>
    </w:p>
    <w:p w14:paraId="7D3BDF0E">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4）、供应商的技术文件中或磋商文件及所附采购图纸、技术规范要求中有关的施工要求所产生的费用应包括在磋商响应报价中，上述要求凡采购人提供的工程量清单特征描述中未列入的，由供应商在相应的分部分项工程量清单项目的综合单价中考虑，否则视同磋商响应优惠，采购人不单独列项支付。综合单价在合同实施时间保持不变，不得以任何理由予以变更，并不因设计方案优化、劳务、材料、设备、机械等成本的价格变动而作任何调整。</w:t>
      </w:r>
    </w:p>
    <w:p w14:paraId="7CE90D00">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（5）、供应商应先到工地踏勘以充分了解工地位置、情况、道路、储存空间、装卸限制及任何其它足以影响承包价的情况，任何因忽视或误解工地情况而导致的索赔或工期延长申请将不获批准。</w:t>
      </w:r>
    </w:p>
    <w:p w14:paraId="13A4AF04">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（6）、供应商应充分考虑停电、停水、二次搬运、施工场地不足、成品保护、重大活动引起的中断施工等情况可能引起的费用和工期。</w:t>
      </w:r>
    </w:p>
    <w:p w14:paraId="2FDAE33A">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（7）、公共费用（如交通、市容、环保、噪音、治安等费用）由供应商自行调研作为单项费用计入措施项目费中，否则视作优惠。</w:t>
      </w:r>
    </w:p>
    <w:p w14:paraId="7B4BF970">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（8）、根据相关规范要求，部分材料设备须通过第三方检测，涉及到的检测、监测、质检费用由成交供应商在磋商响应报价中综合考虑。</w:t>
      </w:r>
    </w:p>
    <w:p w14:paraId="2CAD47EF">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（9）、本工程所有需要拆除的项目及现场要求的其他物体的拆除、清理、外运和处置，按“项”包干，结算不作调整，具体由供应商根据图纸和现场实际情况自行考虑。</w:t>
      </w:r>
    </w:p>
    <w:p w14:paraId="0EAD5440">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（10）、竣工后的开荒保洁费用包含在磋商总报价中，成交后，不另行支付。</w:t>
      </w:r>
    </w:p>
    <w:p w14:paraId="2A85C61C">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（11）、响应文件中价格全部采用人民币报价。报价应是唯一的，采购人将不接受有选择的报价，且该磋商响应总价不受外汇汇率及其它因素的影响。</w:t>
      </w:r>
    </w:p>
    <w:p w14:paraId="690DF61D">
      <w:pPr>
        <w:spacing w:line="360" w:lineRule="auto"/>
        <w:jc w:val="left"/>
        <w:rPr>
          <w:rFonts w:hint="eastAsia" w:ascii="宋体" w:hAnsi="宋体"/>
          <w:color w:val="auto"/>
          <w:sz w:val="24"/>
          <w:highlight w:val="none"/>
          <w:u w:val="single"/>
        </w:rPr>
      </w:pPr>
      <w:r>
        <w:rPr>
          <w:rFonts w:hint="eastAsia" w:ascii="宋体" w:hAnsi="宋体"/>
          <w:color w:val="auto"/>
          <w:sz w:val="24"/>
          <w:highlight w:val="none"/>
          <w:u w:val="single"/>
        </w:rPr>
        <w:t>（12）、本项目采用固定单价，工程量按实结算。供应商所报价格中应包含规费、税金、企业管理费、措施费等国家、省、市强制性要求的费用。若磋商供应商报价不足或未报价，则视作优惠，一旦中标，磋商供应商自行承担该费用。</w:t>
      </w:r>
    </w:p>
    <w:p w14:paraId="57A79D7C">
      <w:pPr>
        <w:spacing w:line="360" w:lineRule="auto"/>
        <w:jc w:val="left"/>
        <w:outlineLvl w:val="1"/>
        <w:rPr>
          <w:rFonts w:hint="eastAsia" w:ascii="宋体" w:hAnsi="宋体" w:cs="仿宋_GB2312"/>
          <w:b/>
          <w:bCs/>
          <w:color w:val="auto"/>
          <w:sz w:val="24"/>
          <w:highlight w:val="none"/>
        </w:rPr>
      </w:pPr>
      <w:r>
        <w:rPr>
          <w:rFonts w:hint="eastAsia" w:ascii="宋体" w:hAnsi="宋体" w:cs="仿宋_GB2312"/>
          <w:b/>
          <w:bCs/>
          <w:color w:val="auto"/>
          <w:sz w:val="24"/>
          <w:highlight w:val="none"/>
        </w:rPr>
        <w:t>六、</w:t>
      </w:r>
      <w:r>
        <w:rPr>
          <w:rFonts w:hint="eastAsia" w:ascii="宋体" w:hAnsi="宋体" w:cs="宋体"/>
          <w:color w:val="auto"/>
          <w:sz w:val="24"/>
          <w:highlight w:val="none"/>
        </w:rPr>
        <w:t>参考制造商或品牌相关要求</w:t>
      </w:r>
    </w:p>
    <w:p w14:paraId="54518DEA">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1.工程用全部材料及设备应是全新的和质量合格的产品，均应满足设计文件的要求，并得到采购人、设计单位认可，且必须符合国家标准和相关技术规范规范，满足全年全天候工作。材料、设备进场前应向采购人和监理人提交产品说明（中文）、合格证、样品、装箱单、图纸等相关资料，并得到认可。</w:t>
      </w:r>
    </w:p>
    <w:p w14:paraId="57BE2B1D">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2.供应商在投标报价时在推荐表中的推荐品牌内任选其一（或选择相当于推荐品牌同档次的品牌），并在材料表中或编制说明中注明主材的品牌、规格。</w:t>
      </w:r>
    </w:p>
    <w:p w14:paraId="3588E0F6">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3.所有采购人未确定品牌厂家的材料必须采用信誉好、品牌好、知名度高、同等行业中规模中等以上的生产厂家的产品，产品必须满足国家质量标准，由供应商自行采购。</w:t>
      </w:r>
    </w:p>
    <w:p w14:paraId="5F2B06A5">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4.本编制说明中主要材料（设备）推荐品牌表中对材料设备品牌及系列、规格、型号等有要求的，供应商应按要求选择，并在"工程量清单报价说明"中注明。如未标明，则由采购人在要求范围内指定。</w:t>
      </w:r>
    </w:p>
    <w:p w14:paraId="10AADA83">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5.供应商在磋商响应文件中若提供了采购人推荐品牌外的产品，应同时提供相当于采购人推荐品牌产品的证明材料。</w:t>
      </w:r>
    </w:p>
    <w:p w14:paraId="058D7CA8">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6.供应商在施工过程中若采用与招标同档次品牌，必须经发包人签证同意后实施，否则不予以实施和结算。</w:t>
      </w:r>
    </w:p>
    <w:p w14:paraId="1FF3DAD4">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7.本工程所选用建筑材料应符合《民用建筑工程室内环境污染控制规范》《建筑设计防火规范》等有关要求。</w:t>
      </w:r>
    </w:p>
    <w:p w14:paraId="691EA76B">
      <w:pPr>
        <w:snapToGrid w:val="0"/>
        <w:spacing w:line="360" w:lineRule="auto"/>
        <w:ind w:firstLine="470" w:firstLineChars="196"/>
        <w:jc w:val="center"/>
        <w:rPr>
          <w:rFonts w:hint="eastAsia" w:ascii="宋体" w:hAnsi="宋体" w:cs="宋体"/>
          <w:color w:val="auto"/>
          <w:sz w:val="24"/>
          <w:highlight w:val="none"/>
        </w:rPr>
      </w:pPr>
      <w:r>
        <w:rPr>
          <w:rFonts w:hint="eastAsia" w:ascii="宋体" w:hAnsi="宋体" w:cs="宋体"/>
          <w:color w:val="auto"/>
          <w:sz w:val="24"/>
          <w:highlight w:val="none"/>
        </w:rPr>
        <w:t>参考制造商或品牌的材料表</w:t>
      </w:r>
    </w:p>
    <w:tbl>
      <w:tblPr>
        <w:tblStyle w:val="6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1927"/>
        <w:gridCol w:w="5426"/>
        <w:gridCol w:w="1493"/>
      </w:tblGrid>
      <w:tr w14:paraId="1F7B4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58099ABF">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968" w:type="pct"/>
            <w:vAlign w:val="center"/>
          </w:tcPr>
          <w:p w14:paraId="03827A4A">
            <w:pPr>
              <w:widowControl/>
              <w:ind w:left="122" w:hanging="122" w:hangingChars="51"/>
              <w:rPr>
                <w:rFonts w:hint="eastAsia" w:ascii="宋体" w:hAnsi="宋体" w:cs="宋体"/>
                <w:color w:val="auto"/>
                <w:sz w:val="24"/>
                <w:highlight w:val="none"/>
              </w:rPr>
            </w:pPr>
            <w:r>
              <w:rPr>
                <w:rFonts w:hint="eastAsia" w:ascii="宋体" w:hAnsi="宋体" w:cs="宋体"/>
                <w:color w:val="auto"/>
                <w:sz w:val="24"/>
                <w:highlight w:val="none"/>
              </w:rPr>
              <w:t>材料/设备名称</w:t>
            </w:r>
          </w:p>
        </w:tc>
        <w:tc>
          <w:tcPr>
            <w:tcW w:w="2726" w:type="pct"/>
            <w:vAlign w:val="center"/>
          </w:tcPr>
          <w:p w14:paraId="3F9A27BF">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采购人推荐生产厂家或品牌</w:t>
            </w:r>
          </w:p>
        </w:tc>
        <w:tc>
          <w:tcPr>
            <w:tcW w:w="750" w:type="pct"/>
            <w:vAlign w:val="center"/>
          </w:tcPr>
          <w:p w14:paraId="17F3B370">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备注</w:t>
            </w:r>
          </w:p>
          <w:p w14:paraId="7B379C7C">
            <w:pPr>
              <w:widowControl/>
              <w:ind w:left="122" w:hanging="122" w:hangingChars="51"/>
              <w:jc w:val="center"/>
              <w:rPr>
                <w:rFonts w:hint="eastAsia" w:ascii="宋体" w:hAnsi="宋体" w:cs="宋体"/>
                <w:color w:val="auto"/>
                <w:sz w:val="24"/>
                <w:highlight w:val="none"/>
              </w:rPr>
            </w:pPr>
          </w:p>
        </w:tc>
      </w:tr>
      <w:tr w14:paraId="6D08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578E59E5">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968" w:type="pct"/>
            <w:vAlign w:val="center"/>
          </w:tcPr>
          <w:p w14:paraId="0B1B7FF6">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硅PU面层</w:t>
            </w:r>
          </w:p>
        </w:tc>
        <w:tc>
          <w:tcPr>
            <w:tcW w:w="2726" w:type="pct"/>
            <w:vAlign w:val="center"/>
          </w:tcPr>
          <w:p w14:paraId="3908A4B5">
            <w:pPr>
              <w:widowControl/>
              <w:ind w:left="122" w:hanging="122" w:hangingChars="51"/>
              <w:rPr>
                <w:rFonts w:hint="eastAsia" w:ascii="宋体" w:hAnsi="宋体" w:cs="宋体"/>
                <w:color w:val="auto"/>
                <w:sz w:val="24"/>
                <w:highlight w:val="none"/>
              </w:rPr>
            </w:pPr>
            <w:r>
              <w:rPr>
                <w:rFonts w:hint="eastAsia" w:ascii="宋体" w:hAnsi="宋体"/>
                <w:bCs/>
                <w:color w:val="auto"/>
                <w:sz w:val="24"/>
                <w:highlight w:val="none"/>
              </w:rPr>
              <w:t>高捷、爱上、长河或相当于</w:t>
            </w:r>
          </w:p>
        </w:tc>
        <w:tc>
          <w:tcPr>
            <w:tcW w:w="750" w:type="pct"/>
            <w:vAlign w:val="center"/>
          </w:tcPr>
          <w:p w14:paraId="1BA39144">
            <w:pPr>
              <w:widowControl/>
              <w:ind w:left="122" w:hanging="122" w:hangingChars="51"/>
              <w:jc w:val="center"/>
              <w:rPr>
                <w:rFonts w:hint="eastAsia" w:ascii="宋体" w:hAnsi="宋体" w:cs="宋体"/>
                <w:color w:val="auto"/>
                <w:sz w:val="24"/>
                <w:highlight w:val="none"/>
                <w:lang w:val="zh-CN"/>
              </w:rPr>
            </w:pPr>
            <w:r>
              <w:rPr>
                <w:rFonts w:hint="eastAsia" w:ascii="宋体" w:hAnsi="宋体" w:cs="宋体"/>
                <w:color w:val="auto"/>
                <w:sz w:val="24"/>
                <w:highlight w:val="none"/>
              </w:rPr>
              <w:t>或同等档次及以上</w:t>
            </w:r>
          </w:p>
        </w:tc>
      </w:tr>
      <w:tr w14:paraId="091A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00AA35DD">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968" w:type="pct"/>
            <w:vAlign w:val="center"/>
          </w:tcPr>
          <w:p w14:paraId="1CE119A8">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人造草坪</w:t>
            </w:r>
          </w:p>
        </w:tc>
        <w:tc>
          <w:tcPr>
            <w:tcW w:w="2726" w:type="pct"/>
            <w:vAlign w:val="center"/>
          </w:tcPr>
          <w:p w14:paraId="02A2089E">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山东泰山、江苏共创、湖北绿城或相当于</w:t>
            </w:r>
          </w:p>
        </w:tc>
        <w:tc>
          <w:tcPr>
            <w:tcW w:w="750" w:type="pct"/>
            <w:vAlign w:val="center"/>
          </w:tcPr>
          <w:p w14:paraId="1D31586D">
            <w:pPr>
              <w:widowControl/>
              <w:ind w:left="122" w:hanging="122" w:hangingChars="51"/>
              <w:jc w:val="center"/>
              <w:rPr>
                <w:rFonts w:hint="eastAsia" w:ascii="宋体" w:hAnsi="宋体" w:cs="宋体"/>
                <w:color w:val="auto"/>
                <w:sz w:val="24"/>
                <w:highlight w:val="none"/>
                <w:lang w:val="zh-CN"/>
              </w:rPr>
            </w:pPr>
            <w:r>
              <w:rPr>
                <w:rFonts w:hint="eastAsia" w:ascii="宋体" w:hAnsi="宋体" w:cs="宋体"/>
                <w:color w:val="auto"/>
                <w:sz w:val="24"/>
                <w:highlight w:val="none"/>
              </w:rPr>
              <w:t>或同等档次及以上</w:t>
            </w:r>
          </w:p>
        </w:tc>
      </w:tr>
      <w:tr w14:paraId="5A906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45871010">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968" w:type="pct"/>
            <w:vAlign w:val="center"/>
          </w:tcPr>
          <w:p w14:paraId="69802258">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减震垫</w:t>
            </w:r>
          </w:p>
        </w:tc>
        <w:tc>
          <w:tcPr>
            <w:tcW w:w="2726" w:type="pct"/>
            <w:vAlign w:val="center"/>
          </w:tcPr>
          <w:p w14:paraId="73B27B1C">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瑞弗、耐美舒、江苏共创或相当于</w:t>
            </w:r>
          </w:p>
        </w:tc>
        <w:tc>
          <w:tcPr>
            <w:tcW w:w="750" w:type="pct"/>
            <w:vAlign w:val="center"/>
          </w:tcPr>
          <w:p w14:paraId="2129C5A7">
            <w:pPr>
              <w:widowControl/>
              <w:ind w:left="122" w:hanging="122" w:hangingChars="51"/>
              <w:jc w:val="center"/>
              <w:rPr>
                <w:rFonts w:hint="eastAsia" w:ascii="宋体" w:hAnsi="宋体" w:cs="宋体"/>
                <w:color w:val="auto"/>
                <w:sz w:val="24"/>
                <w:highlight w:val="none"/>
                <w:lang w:val="zh-CN"/>
              </w:rPr>
            </w:pPr>
            <w:r>
              <w:rPr>
                <w:rFonts w:hint="eastAsia" w:ascii="宋体" w:hAnsi="宋体" w:cs="宋体"/>
                <w:color w:val="auto"/>
                <w:sz w:val="24"/>
                <w:highlight w:val="none"/>
              </w:rPr>
              <w:t>或同等档次及以上</w:t>
            </w:r>
          </w:p>
        </w:tc>
      </w:tr>
      <w:tr w14:paraId="5996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6FF83592">
            <w:pPr>
              <w:widowControl/>
              <w:ind w:left="122" w:hanging="122" w:hangingChars="51"/>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968" w:type="pct"/>
            <w:vAlign w:val="center"/>
          </w:tcPr>
          <w:p w14:paraId="202C2158">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足球门</w:t>
            </w:r>
          </w:p>
        </w:tc>
        <w:tc>
          <w:tcPr>
            <w:tcW w:w="2726" w:type="pct"/>
            <w:vAlign w:val="center"/>
          </w:tcPr>
          <w:p w14:paraId="5807F7D2">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LIVEX、迪卡侬、苏奈斯或相当于</w:t>
            </w:r>
          </w:p>
        </w:tc>
        <w:tc>
          <w:tcPr>
            <w:tcW w:w="750" w:type="pct"/>
            <w:vAlign w:val="center"/>
          </w:tcPr>
          <w:p w14:paraId="44BB1EBC">
            <w:pPr>
              <w:widowControl/>
              <w:ind w:left="122" w:hanging="122" w:hangingChars="51"/>
              <w:jc w:val="center"/>
              <w:rPr>
                <w:rFonts w:hint="eastAsia" w:ascii="宋体" w:hAnsi="宋体" w:cs="宋体"/>
                <w:color w:val="auto"/>
                <w:sz w:val="24"/>
                <w:highlight w:val="none"/>
                <w:lang w:val="zh-CN"/>
              </w:rPr>
            </w:pPr>
            <w:r>
              <w:rPr>
                <w:rFonts w:hint="eastAsia" w:ascii="宋体" w:hAnsi="宋体" w:cs="宋体"/>
                <w:color w:val="auto"/>
                <w:sz w:val="24"/>
                <w:highlight w:val="none"/>
              </w:rPr>
              <w:t>或同等档次及以上</w:t>
            </w:r>
          </w:p>
        </w:tc>
      </w:tr>
      <w:tr w14:paraId="76F3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55" w:type="pct"/>
            <w:vAlign w:val="center"/>
          </w:tcPr>
          <w:p w14:paraId="10A56D18">
            <w:pPr>
              <w:spacing w:line="52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968" w:type="pct"/>
            <w:vAlign w:val="center"/>
          </w:tcPr>
          <w:p w14:paraId="3556E4E5">
            <w:pPr>
              <w:pStyle w:val="59"/>
              <w:spacing w:beforeAutospacing="0" w:afterAutospacing="0"/>
              <w:jc w:val="both"/>
              <w:rPr>
                <w:rFonts w:hint="eastAsia" w:cs="宋体"/>
                <w:color w:val="auto"/>
                <w:highlight w:val="none"/>
                <w:lang w:val="zh-CN"/>
              </w:rPr>
            </w:pPr>
            <w:r>
              <w:rPr>
                <w:rFonts w:hint="eastAsia"/>
                <w:bCs/>
                <w:color w:val="auto"/>
                <w:highlight w:val="none"/>
              </w:rPr>
              <w:t>篮球架</w:t>
            </w:r>
          </w:p>
        </w:tc>
        <w:tc>
          <w:tcPr>
            <w:tcW w:w="2726" w:type="pct"/>
            <w:vAlign w:val="center"/>
          </w:tcPr>
          <w:p w14:paraId="6198015A">
            <w:pPr>
              <w:widowControl/>
              <w:ind w:left="122" w:hanging="122" w:hangingChars="51"/>
              <w:rPr>
                <w:rFonts w:hint="eastAsia" w:ascii="宋体" w:hAnsi="宋体" w:cs="宋体"/>
                <w:color w:val="auto"/>
                <w:sz w:val="24"/>
                <w:highlight w:val="none"/>
                <w:lang w:val="zh-CN"/>
              </w:rPr>
            </w:pPr>
            <w:r>
              <w:rPr>
                <w:rFonts w:hint="eastAsia" w:ascii="宋体" w:hAnsi="宋体"/>
                <w:bCs/>
                <w:color w:val="auto"/>
                <w:sz w:val="24"/>
                <w:highlight w:val="none"/>
              </w:rPr>
              <w:t>健伦、金陵、华夏或相当于</w:t>
            </w:r>
          </w:p>
        </w:tc>
        <w:tc>
          <w:tcPr>
            <w:tcW w:w="750" w:type="pct"/>
            <w:vAlign w:val="center"/>
          </w:tcPr>
          <w:p w14:paraId="1F78C392">
            <w:pPr>
              <w:spacing w:line="520" w:lineRule="exact"/>
              <w:jc w:val="center"/>
              <w:rPr>
                <w:rFonts w:hint="eastAsia" w:ascii="宋体" w:hAnsi="宋体" w:cs="宋体"/>
                <w:color w:val="auto"/>
                <w:sz w:val="24"/>
                <w:highlight w:val="none"/>
                <w:lang w:val="zh-CN"/>
              </w:rPr>
            </w:pPr>
            <w:r>
              <w:rPr>
                <w:rFonts w:hint="eastAsia" w:ascii="宋体" w:hAnsi="宋体" w:cs="宋体"/>
                <w:color w:val="auto"/>
                <w:sz w:val="24"/>
                <w:highlight w:val="none"/>
              </w:rPr>
              <w:t>或同等档次及以上</w:t>
            </w:r>
          </w:p>
        </w:tc>
      </w:tr>
    </w:tbl>
    <w:p w14:paraId="77392D0A">
      <w:pPr>
        <w:spacing w:line="360" w:lineRule="auto"/>
        <w:jc w:val="left"/>
        <w:outlineLvl w:val="1"/>
        <w:rPr>
          <w:rFonts w:hint="eastAsia" w:ascii="宋体" w:hAnsi="宋体" w:cs="仿宋_GB2312"/>
          <w:b/>
          <w:bCs/>
          <w:color w:val="auto"/>
          <w:sz w:val="24"/>
          <w:highlight w:val="none"/>
        </w:rPr>
      </w:pPr>
      <w:r>
        <w:rPr>
          <w:rFonts w:hint="eastAsia" w:ascii="宋体" w:hAnsi="宋体" w:cs="宋体"/>
          <w:color w:val="auto"/>
          <w:sz w:val="24"/>
          <w:highlight w:val="none"/>
        </w:rPr>
        <w:t>▲</w:t>
      </w:r>
      <w:r>
        <w:rPr>
          <w:rFonts w:hint="eastAsia" w:ascii="宋体" w:hAnsi="宋体" w:cs="仿宋_GB2312"/>
          <w:b/>
          <w:bCs/>
          <w:color w:val="auto"/>
          <w:sz w:val="24"/>
          <w:highlight w:val="none"/>
        </w:rPr>
        <w:t>7、样品要求</w:t>
      </w:r>
    </w:p>
    <w:p w14:paraId="6781D0BE">
      <w:pPr>
        <w:widowControl/>
        <w:adjustRightInd/>
        <w:spacing w:line="360" w:lineRule="auto"/>
        <w:ind w:firstLine="480" w:firstLineChars="200"/>
        <w:jc w:val="left"/>
        <w:rPr>
          <w:rFonts w:hint="eastAsia" w:ascii="宋体" w:hAnsi="宋体" w:cs="宋体"/>
          <w:color w:val="auto"/>
          <w:kern w:val="0"/>
          <w:sz w:val="24"/>
          <w:highlight w:val="none"/>
          <w:lang w:bidi="ar"/>
        </w:rPr>
      </w:pPr>
      <w:r>
        <w:rPr>
          <w:rFonts w:hint="eastAsia" w:ascii="宋体" w:hAnsi="宋体" w:cs="宋体"/>
          <w:color w:val="auto"/>
          <w:kern w:val="0"/>
          <w:sz w:val="24"/>
          <w:highlight w:val="none"/>
          <w:lang w:bidi="ar"/>
        </w:rPr>
        <w:t>为确保项目材料质量符合国家现行规范（GB 36246-2018、GB/T 43565-2023），供应商需提供以下实物样品以供评审和封样：</w:t>
      </w:r>
    </w:p>
    <w:p w14:paraId="7A31E974">
      <w:pPr>
        <w:widowControl/>
        <w:adjustRightInd/>
        <w:spacing w:line="360" w:lineRule="auto"/>
        <w:jc w:val="left"/>
        <w:rPr>
          <w:rFonts w:hint="eastAsia" w:ascii="宋体" w:hAnsi="宋体" w:cs="宋体"/>
          <w:b/>
          <w:bCs/>
          <w:color w:val="auto"/>
          <w:sz w:val="24"/>
          <w:highlight w:val="none"/>
        </w:rPr>
      </w:pPr>
      <w:r>
        <w:rPr>
          <w:rFonts w:hint="eastAsia" w:ascii="宋体" w:hAnsi="宋体" w:cs="宋体"/>
          <w:b/>
          <w:bCs/>
          <w:color w:val="auto"/>
          <w:sz w:val="24"/>
          <w:highlight w:val="none"/>
        </w:rPr>
        <w:t>（1）、9mm厚（5+4）复合型硅PU篮球场样块</w:t>
      </w:r>
    </w:p>
    <w:p w14:paraId="67D5FE93">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规格尺寸</w:t>
      </w:r>
      <w:r>
        <w:rPr>
          <w:rFonts w:hint="eastAsia" w:ascii="宋体" w:hAnsi="宋体" w:cs="宋体"/>
          <w:color w:val="auto"/>
          <w:kern w:val="0"/>
          <w:sz w:val="24"/>
          <w:highlight w:val="none"/>
          <w:lang w:bidi="ar"/>
        </w:rPr>
        <w:t>：60cm × 60cm</w:t>
      </w:r>
    </w:p>
    <w:p w14:paraId="17943BED">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结构要求</w:t>
      </w:r>
      <w:r>
        <w:rPr>
          <w:rFonts w:hint="eastAsia" w:ascii="宋体" w:hAnsi="宋体" w:cs="宋体"/>
          <w:color w:val="auto"/>
          <w:kern w:val="0"/>
          <w:sz w:val="24"/>
          <w:highlight w:val="none"/>
          <w:lang w:bidi="ar"/>
        </w:rPr>
        <w:t>： 样品必须清晰展示“分层制作”工艺，直观体现底层弹性层与面层耐磨层的结合情况，总厚度不少于9mm。</w:t>
      </w:r>
    </w:p>
    <w:p w14:paraId="2CCBA381">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分层技术参数</w:t>
      </w:r>
      <w:r>
        <w:rPr>
          <w:rFonts w:hint="eastAsia" w:ascii="宋体" w:hAnsi="宋体" w:cs="宋体"/>
          <w:color w:val="auto"/>
          <w:kern w:val="0"/>
          <w:sz w:val="24"/>
          <w:highlight w:val="none"/>
          <w:lang w:bidi="ar"/>
        </w:rPr>
        <w:t>：</w:t>
      </w:r>
    </w:p>
    <w:tbl>
      <w:tblPr>
        <w:tblStyle w:val="63"/>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08"/>
        <w:gridCol w:w="1168"/>
        <w:gridCol w:w="3225"/>
        <w:gridCol w:w="4399"/>
      </w:tblGrid>
      <w:tr w14:paraId="56C2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808" w:type="dxa"/>
            <w:vAlign w:val="center"/>
          </w:tcPr>
          <w:p w14:paraId="1B4C4C61">
            <w:pPr>
              <w:widowControl/>
              <w:ind w:left="122" w:hanging="122" w:hangingChars="51"/>
              <w:jc w:val="center"/>
              <w:rPr>
                <w:rFonts w:hint="eastAsia" w:ascii="宋体" w:hAnsi="宋体"/>
                <w:bCs/>
                <w:color w:val="auto"/>
                <w:sz w:val="24"/>
                <w:highlight w:val="none"/>
              </w:rPr>
            </w:pPr>
            <w:r>
              <w:rPr>
                <w:rFonts w:hint="eastAsia" w:ascii="宋体" w:hAnsi="宋体"/>
                <w:bCs/>
                <w:color w:val="auto"/>
                <w:sz w:val="24"/>
                <w:highlight w:val="none"/>
              </w:rPr>
              <w:t>层次</w:t>
            </w:r>
          </w:p>
        </w:tc>
        <w:tc>
          <w:tcPr>
            <w:tcW w:w="1168" w:type="dxa"/>
            <w:vAlign w:val="center"/>
          </w:tcPr>
          <w:p w14:paraId="591AE7C6">
            <w:pPr>
              <w:widowControl/>
              <w:wordWrap w:val="0"/>
              <w:ind w:left="122" w:hanging="122" w:hangingChars="51"/>
              <w:jc w:val="center"/>
              <w:rPr>
                <w:rFonts w:hint="eastAsia" w:ascii="宋体" w:hAnsi="宋体"/>
                <w:bCs/>
                <w:color w:val="auto"/>
                <w:sz w:val="24"/>
                <w:highlight w:val="none"/>
              </w:rPr>
            </w:pPr>
            <w:r>
              <w:rPr>
                <w:rFonts w:hint="eastAsia" w:ascii="宋体" w:hAnsi="宋体"/>
                <w:bCs/>
                <w:color w:val="auto"/>
                <w:sz w:val="24"/>
                <w:highlight w:val="none"/>
              </w:rPr>
              <w:t>建议厚度</w:t>
            </w:r>
          </w:p>
        </w:tc>
        <w:tc>
          <w:tcPr>
            <w:tcW w:w="3225" w:type="dxa"/>
            <w:vAlign w:val="center"/>
          </w:tcPr>
          <w:p w14:paraId="783A7C28">
            <w:pPr>
              <w:widowControl/>
              <w:wordWrap w:val="0"/>
              <w:ind w:left="122" w:hanging="122" w:hangingChars="51"/>
              <w:jc w:val="center"/>
              <w:rPr>
                <w:rFonts w:hint="eastAsia" w:ascii="宋体" w:hAnsi="宋体"/>
                <w:bCs/>
                <w:color w:val="auto"/>
                <w:sz w:val="24"/>
                <w:highlight w:val="none"/>
              </w:rPr>
            </w:pPr>
            <w:r>
              <w:rPr>
                <w:rFonts w:hint="eastAsia" w:ascii="宋体" w:hAnsi="宋体"/>
                <w:bCs/>
                <w:color w:val="auto"/>
                <w:sz w:val="24"/>
                <w:highlight w:val="none"/>
              </w:rPr>
              <w:t>材质与工艺要求</w:t>
            </w:r>
          </w:p>
        </w:tc>
        <w:tc>
          <w:tcPr>
            <w:tcW w:w="4399" w:type="dxa"/>
            <w:vAlign w:val="center"/>
          </w:tcPr>
          <w:p w14:paraId="76B9F394">
            <w:pPr>
              <w:widowControl/>
              <w:wordWrap w:val="0"/>
              <w:ind w:left="122" w:hanging="122" w:hangingChars="51"/>
              <w:jc w:val="center"/>
              <w:rPr>
                <w:rFonts w:hint="eastAsia" w:ascii="宋体" w:hAnsi="宋体"/>
                <w:bCs/>
                <w:color w:val="auto"/>
                <w:sz w:val="24"/>
                <w:highlight w:val="none"/>
              </w:rPr>
            </w:pPr>
            <w:r>
              <w:rPr>
                <w:rFonts w:hint="eastAsia" w:ascii="宋体" w:hAnsi="宋体"/>
                <w:bCs/>
                <w:color w:val="auto"/>
                <w:sz w:val="24"/>
                <w:highlight w:val="none"/>
              </w:rPr>
              <w:t>关键性能指标</w:t>
            </w:r>
          </w:p>
        </w:tc>
      </w:tr>
      <w:tr w14:paraId="47CA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808" w:type="dxa"/>
            <w:vAlign w:val="center"/>
          </w:tcPr>
          <w:p w14:paraId="7B1FB615">
            <w:pPr>
              <w:pStyle w:val="59"/>
              <w:spacing w:beforeAutospacing="0" w:afterAutospacing="0"/>
              <w:rPr>
                <w:rFonts w:hint="eastAsia"/>
                <w:bCs/>
                <w:color w:val="auto"/>
                <w:highlight w:val="none"/>
              </w:rPr>
            </w:pPr>
            <w:r>
              <w:rPr>
                <w:rFonts w:hint="eastAsia"/>
                <w:bCs/>
                <w:color w:val="auto"/>
                <w:highlight w:val="none"/>
              </w:rPr>
              <w:t>面漆</w:t>
            </w:r>
          </w:p>
        </w:tc>
        <w:tc>
          <w:tcPr>
            <w:tcW w:w="1168" w:type="dxa"/>
            <w:vAlign w:val="center"/>
          </w:tcPr>
          <w:p w14:paraId="0A993646">
            <w:pPr>
              <w:pStyle w:val="59"/>
              <w:spacing w:beforeAutospacing="0" w:afterAutospacing="0"/>
              <w:rPr>
                <w:rFonts w:hint="eastAsia"/>
                <w:bCs/>
                <w:color w:val="auto"/>
                <w:highlight w:val="none"/>
              </w:rPr>
            </w:pPr>
            <w:r>
              <w:rPr>
                <w:rFonts w:hint="eastAsia"/>
                <w:bCs/>
                <w:color w:val="auto"/>
                <w:highlight w:val="none"/>
              </w:rPr>
              <w:t>/</w:t>
            </w:r>
          </w:p>
        </w:tc>
        <w:tc>
          <w:tcPr>
            <w:tcW w:w="3225" w:type="dxa"/>
            <w:vAlign w:val="center"/>
          </w:tcPr>
          <w:p w14:paraId="32C3CB9C">
            <w:pPr>
              <w:pStyle w:val="59"/>
              <w:spacing w:beforeAutospacing="0" w:afterAutospacing="0"/>
              <w:rPr>
                <w:rFonts w:hint="eastAsia"/>
                <w:bCs/>
                <w:color w:val="auto"/>
                <w:highlight w:val="none"/>
              </w:rPr>
            </w:pPr>
            <w:r>
              <w:rPr>
                <w:rFonts w:hint="eastAsia"/>
                <w:bCs/>
                <w:color w:val="auto"/>
                <w:highlight w:val="none"/>
              </w:rPr>
              <w:t>面漆</w:t>
            </w:r>
          </w:p>
        </w:tc>
        <w:tc>
          <w:tcPr>
            <w:tcW w:w="4399" w:type="dxa"/>
            <w:vMerge w:val="restart"/>
            <w:vAlign w:val="center"/>
          </w:tcPr>
          <w:p w14:paraId="25BFBD36">
            <w:pPr>
              <w:wordWrap w:val="0"/>
              <w:spacing w:line="360" w:lineRule="auto"/>
              <w:textAlignment w:val="top"/>
              <w:rPr>
                <w:rFonts w:hint="eastAsia" w:ascii="宋体" w:hAnsi="宋体" w:cs="宋体"/>
                <w:color w:val="auto"/>
                <w:sz w:val="24"/>
                <w:highlight w:val="none"/>
              </w:rPr>
            </w:pPr>
            <w:r>
              <w:rPr>
                <w:rFonts w:hint="eastAsia" w:ascii="宋体" w:hAnsi="宋体" w:cs="宋体"/>
                <w:color w:val="auto"/>
                <w:kern w:val="0"/>
                <w:sz w:val="24"/>
                <w:highlight w:val="none"/>
                <w:lang w:bidi="ar"/>
              </w:rPr>
              <w:t>符合现行规范（GB 36246-2018、GB/T 43565-2023）的指标要求</w:t>
            </w:r>
          </w:p>
        </w:tc>
      </w:tr>
      <w:tr w14:paraId="786F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808" w:type="dxa"/>
            <w:vAlign w:val="center"/>
          </w:tcPr>
          <w:p w14:paraId="40B161E7">
            <w:pPr>
              <w:pStyle w:val="59"/>
              <w:spacing w:beforeAutospacing="0" w:afterAutospacing="0"/>
              <w:rPr>
                <w:rFonts w:hint="eastAsia"/>
                <w:bCs/>
                <w:color w:val="auto"/>
                <w:highlight w:val="none"/>
              </w:rPr>
            </w:pPr>
            <w:r>
              <w:rPr>
                <w:rFonts w:hint="eastAsia"/>
                <w:bCs/>
                <w:color w:val="auto"/>
                <w:highlight w:val="none"/>
              </w:rPr>
              <w:t>加强层</w:t>
            </w:r>
          </w:p>
        </w:tc>
        <w:tc>
          <w:tcPr>
            <w:tcW w:w="1168" w:type="dxa"/>
            <w:vAlign w:val="center"/>
          </w:tcPr>
          <w:p w14:paraId="7005B61A">
            <w:pPr>
              <w:pStyle w:val="59"/>
              <w:spacing w:beforeAutospacing="0" w:afterAutospacing="0"/>
              <w:rPr>
                <w:rFonts w:hint="eastAsia"/>
                <w:bCs/>
                <w:color w:val="auto"/>
                <w:highlight w:val="none"/>
              </w:rPr>
            </w:pPr>
            <w:r>
              <w:rPr>
                <w:rFonts w:hint="eastAsia"/>
                <w:bCs/>
                <w:color w:val="auto"/>
                <w:highlight w:val="none"/>
              </w:rPr>
              <w:t>2mm</w:t>
            </w:r>
          </w:p>
        </w:tc>
        <w:tc>
          <w:tcPr>
            <w:tcW w:w="3225" w:type="dxa"/>
            <w:vAlign w:val="center"/>
          </w:tcPr>
          <w:p w14:paraId="262805D3">
            <w:pPr>
              <w:pStyle w:val="59"/>
              <w:spacing w:beforeAutospacing="0" w:afterAutospacing="0"/>
              <w:rPr>
                <w:rFonts w:hint="eastAsia"/>
                <w:bCs/>
                <w:color w:val="auto"/>
                <w:highlight w:val="none"/>
              </w:rPr>
            </w:pPr>
            <w:r>
              <w:rPr>
                <w:rFonts w:hint="eastAsia"/>
                <w:bCs/>
                <w:color w:val="auto"/>
                <w:highlight w:val="none"/>
              </w:rPr>
              <w:t>硅PU加强层，厚度</w:t>
            </w:r>
            <w:r>
              <w:rPr>
                <w:bCs/>
                <w:color w:val="auto"/>
                <w:highlight w:val="none"/>
              </w:rPr>
              <w:t>2mm</w:t>
            </w:r>
            <w:r>
              <w:rPr>
                <w:rFonts w:hint="eastAsia"/>
                <w:bCs/>
                <w:color w:val="auto"/>
                <w:highlight w:val="none"/>
              </w:rPr>
              <w:t xml:space="preserve"> </w:t>
            </w:r>
          </w:p>
        </w:tc>
        <w:tc>
          <w:tcPr>
            <w:tcW w:w="4399" w:type="dxa"/>
            <w:vMerge w:val="continue"/>
          </w:tcPr>
          <w:p w14:paraId="014613BA">
            <w:pPr>
              <w:widowControl/>
              <w:numPr>
                <w:ilvl w:val="0"/>
                <w:numId w:val="2"/>
              </w:numPr>
              <w:wordWrap w:val="0"/>
              <w:adjustRightInd/>
              <w:spacing w:line="360" w:lineRule="auto"/>
              <w:jc w:val="left"/>
              <w:textAlignment w:val="top"/>
              <w:rPr>
                <w:rFonts w:hint="eastAsia" w:ascii="宋体" w:hAnsi="宋体" w:cs="宋体"/>
                <w:color w:val="auto"/>
                <w:sz w:val="24"/>
                <w:highlight w:val="none"/>
              </w:rPr>
            </w:pPr>
          </w:p>
        </w:tc>
      </w:tr>
      <w:tr w14:paraId="1854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808" w:type="dxa"/>
            <w:vAlign w:val="center"/>
          </w:tcPr>
          <w:p w14:paraId="0EA288EB">
            <w:pPr>
              <w:pStyle w:val="59"/>
              <w:spacing w:beforeAutospacing="0" w:afterAutospacing="0"/>
              <w:rPr>
                <w:rFonts w:hint="eastAsia"/>
                <w:bCs/>
                <w:color w:val="auto"/>
                <w:highlight w:val="none"/>
              </w:rPr>
            </w:pPr>
            <w:r>
              <w:rPr>
                <w:rFonts w:hint="eastAsia"/>
                <w:bCs/>
                <w:color w:val="auto"/>
                <w:highlight w:val="none"/>
              </w:rPr>
              <w:t>弹性层</w:t>
            </w:r>
          </w:p>
        </w:tc>
        <w:tc>
          <w:tcPr>
            <w:tcW w:w="1168" w:type="dxa"/>
            <w:vAlign w:val="center"/>
          </w:tcPr>
          <w:p w14:paraId="0C6B6B5A">
            <w:pPr>
              <w:pStyle w:val="59"/>
              <w:spacing w:beforeAutospacing="0" w:afterAutospacing="0"/>
              <w:rPr>
                <w:rFonts w:hint="eastAsia"/>
                <w:bCs/>
                <w:color w:val="auto"/>
                <w:highlight w:val="none"/>
              </w:rPr>
            </w:pPr>
            <w:r>
              <w:rPr>
                <w:rFonts w:hint="eastAsia"/>
                <w:bCs/>
                <w:color w:val="auto"/>
                <w:highlight w:val="none"/>
              </w:rPr>
              <w:t>2mm</w:t>
            </w:r>
          </w:p>
        </w:tc>
        <w:tc>
          <w:tcPr>
            <w:tcW w:w="3225" w:type="dxa"/>
            <w:vAlign w:val="center"/>
          </w:tcPr>
          <w:p w14:paraId="10021638">
            <w:pPr>
              <w:pStyle w:val="59"/>
              <w:spacing w:beforeAutospacing="0" w:afterAutospacing="0"/>
              <w:rPr>
                <w:rFonts w:hint="eastAsia"/>
                <w:bCs/>
                <w:color w:val="auto"/>
                <w:highlight w:val="none"/>
              </w:rPr>
            </w:pPr>
            <w:r>
              <w:rPr>
                <w:rFonts w:hint="eastAsia"/>
                <w:bCs/>
                <w:color w:val="auto"/>
                <w:highlight w:val="none"/>
              </w:rPr>
              <w:t>硅PU弹性层, 厚度2mm</w:t>
            </w:r>
          </w:p>
        </w:tc>
        <w:tc>
          <w:tcPr>
            <w:tcW w:w="4399" w:type="dxa"/>
            <w:vMerge w:val="continue"/>
          </w:tcPr>
          <w:p w14:paraId="3B1B1080">
            <w:pPr>
              <w:widowControl/>
              <w:numPr>
                <w:ilvl w:val="0"/>
                <w:numId w:val="2"/>
              </w:numPr>
              <w:wordWrap w:val="0"/>
              <w:adjustRightInd/>
              <w:spacing w:line="360" w:lineRule="auto"/>
              <w:jc w:val="left"/>
              <w:textAlignment w:val="top"/>
              <w:rPr>
                <w:rStyle w:val="71"/>
                <w:rFonts w:hint="eastAsia" w:ascii="宋体" w:hAnsi="宋体" w:cs="宋体"/>
                <w:color w:val="auto"/>
                <w:kern w:val="0"/>
                <w:sz w:val="24"/>
                <w:highlight w:val="none"/>
                <w:lang w:bidi="ar"/>
              </w:rPr>
            </w:pPr>
          </w:p>
        </w:tc>
      </w:tr>
      <w:tr w14:paraId="143D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808" w:type="dxa"/>
            <w:vAlign w:val="center"/>
          </w:tcPr>
          <w:p w14:paraId="51178466">
            <w:pPr>
              <w:pStyle w:val="59"/>
              <w:spacing w:beforeAutospacing="0" w:afterAutospacing="0"/>
              <w:rPr>
                <w:rFonts w:hint="eastAsia"/>
                <w:bCs/>
                <w:color w:val="auto"/>
                <w:highlight w:val="none"/>
              </w:rPr>
            </w:pPr>
            <w:r>
              <w:rPr>
                <w:rFonts w:hint="eastAsia"/>
                <w:bCs/>
                <w:color w:val="auto"/>
                <w:highlight w:val="none"/>
              </w:rPr>
              <w:t>颗粒层</w:t>
            </w:r>
          </w:p>
        </w:tc>
        <w:tc>
          <w:tcPr>
            <w:tcW w:w="1168" w:type="dxa"/>
            <w:vAlign w:val="center"/>
          </w:tcPr>
          <w:p w14:paraId="0E3F2E93">
            <w:pPr>
              <w:pStyle w:val="59"/>
              <w:spacing w:beforeAutospacing="0" w:afterAutospacing="0"/>
              <w:rPr>
                <w:rFonts w:hint="eastAsia"/>
                <w:bCs/>
                <w:color w:val="auto"/>
                <w:highlight w:val="none"/>
              </w:rPr>
            </w:pPr>
            <w:r>
              <w:rPr>
                <w:rFonts w:hint="eastAsia"/>
                <w:bCs/>
                <w:color w:val="auto"/>
                <w:highlight w:val="none"/>
              </w:rPr>
              <w:t>5mm</w:t>
            </w:r>
          </w:p>
        </w:tc>
        <w:tc>
          <w:tcPr>
            <w:tcW w:w="3225" w:type="dxa"/>
            <w:vAlign w:val="center"/>
          </w:tcPr>
          <w:p w14:paraId="28EA77FF">
            <w:pPr>
              <w:pStyle w:val="59"/>
              <w:spacing w:beforeAutospacing="0" w:afterAutospacing="0"/>
              <w:rPr>
                <w:rFonts w:hint="eastAsia"/>
                <w:bCs/>
                <w:color w:val="auto"/>
                <w:highlight w:val="none"/>
              </w:rPr>
            </w:pPr>
            <w:r>
              <w:rPr>
                <w:rFonts w:hint="eastAsia"/>
                <w:bCs/>
                <w:color w:val="auto"/>
                <w:highlight w:val="none"/>
              </w:rPr>
              <w:t>EPDM颗粒弹性层，厚度</w:t>
            </w:r>
            <w:r>
              <w:rPr>
                <w:bCs/>
                <w:color w:val="auto"/>
                <w:highlight w:val="none"/>
              </w:rPr>
              <w:t>5mm</w:t>
            </w:r>
          </w:p>
        </w:tc>
        <w:tc>
          <w:tcPr>
            <w:tcW w:w="4399" w:type="dxa"/>
            <w:vMerge w:val="continue"/>
          </w:tcPr>
          <w:p w14:paraId="460A4D20">
            <w:pPr>
              <w:widowControl/>
              <w:numPr>
                <w:ilvl w:val="0"/>
                <w:numId w:val="2"/>
              </w:numPr>
              <w:wordWrap w:val="0"/>
              <w:adjustRightInd/>
              <w:spacing w:line="360" w:lineRule="auto"/>
              <w:jc w:val="left"/>
              <w:textAlignment w:val="top"/>
              <w:rPr>
                <w:rStyle w:val="71"/>
                <w:rFonts w:hint="eastAsia" w:ascii="宋体" w:hAnsi="宋体" w:cs="宋体"/>
                <w:color w:val="auto"/>
                <w:kern w:val="0"/>
                <w:sz w:val="24"/>
                <w:highlight w:val="none"/>
                <w:lang w:bidi="ar"/>
              </w:rPr>
            </w:pPr>
          </w:p>
        </w:tc>
      </w:tr>
    </w:tbl>
    <w:p w14:paraId="677ED1F8">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环保要求</w:t>
      </w:r>
      <w:r>
        <w:rPr>
          <w:rFonts w:hint="eastAsia" w:ascii="宋体" w:hAnsi="宋体" w:cs="宋体"/>
          <w:color w:val="auto"/>
          <w:kern w:val="0"/>
          <w:sz w:val="24"/>
          <w:highlight w:val="none"/>
          <w:lang w:bidi="ar"/>
        </w:rPr>
        <w:t>：</w:t>
      </w:r>
    </w:p>
    <w:p w14:paraId="074A138E">
      <w:pPr>
        <w:widowControl/>
        <w:numPr>
          <w:ilvl w:val="0"/>
          <w:numId w:val="3"/>
        </w:numPr>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有害物质限量（MOCA、短链氯化石蜡等）需符合GB 36246-2018强制性标准。</w:t>
      </w:r>
    </w:p>
    <w:p w14:paraId="3FDCD6BF">
      <w:pPr>
        <w:widowControl/>
        <w:numPr>
          <w:ilvl w:val="0"/>
          <w:numId w:val="3"/>
        </w:numPr>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气味等级≤3级。</w:t>
      </w:r>
    </w:p>
    <w:p w14:paraId="16274504">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注明“样品-9mm厚（5+4）复合型硅PU样块”、“生产厂家”、“供应商名称”、“联系人及电话”。</w:t>
      </w:r>
    </w:p>
    <w:p w14:paraId="7B8F65F1">
      <w:pPr>
        <w:pStyle w:val="7"/>
        <w:keepNext w:val="0"/>
        <w:keepLines w:val="0"/>
        <w:widowControl/>
        <w:adjustRightInd/>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2</w:t>
      </w:r>
      <w:r>
        <w:rPr>
          <w:rFonts w:hint="eastAsia" w:ascii="宋体" w:hAnsi="宋体" w:eastAsia="宋体" w:cs="宋体"/>
          <w:color w:val="auto"/>
          <w:sz w:val="24"/>
          <w:szCs w:val="24"/>
          <w:highlight w:val="none"/>
        </w:rPr>
        <w:t>）、50mm高双色人造草坪样块</w:t>
      </w:r>
    </w:p>
    <w:p w14:paraId="4746D74B">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规格尺寸</w:t>
      </w:r>
      <w:r>
        <w:rPr>
          <w:rFonts w:hint="eastAsia" w:ascii="宋体" w:hAnsi="宋体" w:cs="宋体"/>
          <w:color w:val="auto"/>
          <w:kern w:val="0"/>
          <w:sz w:val="24"/>
          <w:highlight w:val="none"/>
          <w:lang w:bidi="ar"/>
        </w:rPr>
        <w:t>：80cm × 80cm</w:t>
      </w:r>
    </w:p>
    <w:p w14:paraId="03BE451F">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结构要求</w:t>
      </w:r>
      <w:r>
        <w:rPr>
          <w:rFonts w:hint="eastAsia" w:ascii="宋体" w:hAnsi="宋体" w:cs="宋体"/>
          <w:color w:val="auto"/>
          <w:kern w:val="0"/>
          <w:sz w:val="24"/>
          <w:highlight w:val="none"/>
          <w:lang w:bidi="ar"/>
        </w:rPr>
        <w:t>：</w:t>
      </w:r>
    </w:p>
    <w:p w14:paraId="356E66D1">
      <w:pPr>
        <w:widowControl/>
        <w:numPr>
          <w:ilvl w:val="0"/>
          <w:numId w:val="4"/>
        </w:numPr>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白草编织</w:t>
      </w:r>
      <w:r>
        <w:rPr>
          <w:rFonts w:hint="eastAsia" w:ascii="宋体" w:hAnsi="宋体" w:cs="宋体"/>
          <w:color w:val="auto"/>
          <w:kern w:val="0"/>
          <w:sz w:val="24"/>
          <w:highlight w:val="none"/>
          <w:lang w:bidi="ar"/>
        </w:rPr>
        <w:t>：样块中间必须包含10cm宽的白色草丝编织区域（作为球场界线），要求白线与绿草同高、同工艺，非后期画线。</w:t>
      </w:r>
    </w:p>
    <w:p w14:paraId="676B2E60">
      <w:pPr>
        <w:widowControl/>
        <w:numPr>
          <w:ilvl w:val="0"/>
          <w:numId w:val="4"/>
        </w:numPr>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背胶工艺</w:t>
      </w:r>
      <w:r>
        <w:rPr>
          <w:rFonts w:hint="eastAsia" w:ascii="宋体" w:hAnsi="宋体" w:cs="宋体"/>
          <w:color w:val="auto"/>
          <w:kern w:val="0"/>
          <w:sz w:val="24"/>
          <w:highlight w:val="none"/>
          <w:lang w:bidi="ar"/>
        </w:rPr>
        <w:t>：底部需展示环保背胶涂覆情况，要求涂胶均匀、无漏针。</w:t>
      </w:r>
    </w:p>
    <w:p w14:paraId="15DEF989">
      <w:pPr>
        <w:widowControl/>
        <w:adjustRightInd/>
        <w:spacing w:line="360" w:lineRule="auto"/>
        <w:jc w:val="left"/>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技术参数</w:t>
      </w:r>
      <w:r>
        <w:rPr>
          <w:rFonts w:hint="eastAsia" w:ascii="宋体" w:hAnsi="宋体" w:cs="宋体"/>
          <w:color w:val="auto"/>
          <w:kern w:val="0"/>
          <w:sz w:val="24"/>
          <w:highlight w:val="none"/>
          <w:lang w:bidi="ar"/>
        </w:rPr>
        <w:t>：</w:t>
      </w:r>
    </w:p>
    <w:tbl>
      <w:tblPr>
        <w:tblStyle w:val="63"/>
        <w:tblpPr w:leftFromText="180" w:rightFromText="180" w:vertAnchor="text" w:horzAnchor="page" w:tblpX="1370" w:tblpY="306"/>
        <w:tblOverlap w:val="never"/>
        <w:tblW w:w="9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767"/>
        <w:gridCol w:w="6721"/>
      </w:tblGrid>
      <w:tr w14:paraId="3E1C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2617BC63">
            <w:pPr>
              <w:widowControl/>
              <w:adjustRightInd/>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项目</w:t>
            </w:r>
          </w:p>
        </w:tc>
        <w:tc>
          <w:tcPr>
            <w:tcW w:w="6721" w:type="dxa"/>
            <w:vAlign w:val="center"/>
          </w:tcPr>
          <w:p w14:paraId="77A2DD9B">
            <w:pPr>
              <w:widowControl/>
              <w:adjustRightInd/>
              <w:spacing w:line="360" w:lineRule="auto"/>
              <w:jc w:val="center"/>
              <w:rPr>
                <w:rFonts w:hint="eastAsia" w:ascii="宋体" w:hAnsi="宋体" w:cs="宋体"/>
                <w:color w:val="auto"/>
                <w:sz w:val="24"/>
                <w:highlight w:val="none"/>
              </w:rPr>
            </w:pPr>
            <w:r>
              <w:rPr>
                <w:rFonts w:hint="eastAsia" w:ascii="宋体" w:hAnsi="宋体" w:cs="宋体"/>
                <w:color w:val="auto"/>
                <w:kern w:val="0"/>
                <w:sz w:val="24"/>
                <w:highlight w:val="none"/>
                <w:lang w:bidi="ar"/>
              </w:rPr>
              <w:t>参数指标要求</w:t>
            </w:r>
          </w:p>
        </w:tc>
      </w:tr>
      <w:tr w14:paraId="0F87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648CA5C0">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草高</w:t>
            </w:r>
          </w:p>
        </w:tc>
        <w:tc>
          <w:tcPr>
            <w:tcW w:w="6721" w:type="dxa"/>
            <w:vAlign w:val="center"/>
          </w:tcPr>
          <w:p w14:paraId="02BFB4C9">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50mm（±1mm）</w:t>
            </w:r>
          </w:p>
        </w:tc>
      </w:tr>
      <w:tr w14:paraId="7D2E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4E7F57A0">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草丝材质</w:t>
            </w:r>
          </w:p>
        </w:tc>
        <w:tc>
          <w:tcPr>
            <w:tcW w:w="6721" w:type="dxa"/>
            <w:vAlign w:val="center"/>
          </w:tcPr>
          <w:p w14:paraId="06516F7E">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单丝（Monofilament）或 开网丝，PE聚乙烯材质</w:t>
            </w:r>
          </w:p>
        </w:tc>
      </w:tr>
      <w:tr w14:paraId="3D3B2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0BE6ED0C">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草丝磅重</w:t>
            </w:r>
          </w:p>
        </w:tc>
        <w:tc>
          <w:tcPr>
            <w:tcW w:w="6721" w:type="dxa"/>
            <w:vAlign w:val="center"/>
          </w:tcPr>
          <w:p w14:paraId="35208FD8">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12000 Dtex（高耐用型）</w:t>
            </w:r>
          </w:p>
        </w:tc>
      </w:tr>
      <w:tr w14:paraId="17CA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21EAE805">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密度</w:t>
            </w:r>
          </w:p>
        </w:tc>
        <w:tc>
          <w:tcPr>
            <w:tcW w:w="6721" w:type="dxa"/>
            <w:vAlign w:val="center"/>
          </w:tcPr>
          <w:p w14:paraId="4BD3CF73">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10,500 簇/平方米（保证高密度，脚感舒适）</w:t>
            </w:r>
          </w:p>
        </w:tc>
      </w:tr>
      <w:tr w14:paraId="466DB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444B3E59">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底布</w:t>
            </w:r>
          </w:p>
        </w:tc>
        <w:tc>
          <w:tcPr>
            <w:tcW w:w="6721" w:type="dxa"/>
            <w:vAlign w:val="center"/>
          </w:tcPr>
          <w:p w14:paraId="15A3C29D">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黑色加强PP抗紫外线基布 + 特种网格布</w:t>
            </w:r>
          </w:p>
        </w:tc>
      </w:tr>
      <w:tr w14:paraId="71136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7959BB45">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背胶</w:t>
            </w:r>
          </w:p>
        </w:tc>
        <w:tc>
          <w:tcPr>
            <w:tcW w:w="6721" w:type="dxa"/>
            <w:vAlign w:val="center"/>
          </w:tcPr>
          <w:p w14:paraId="02722C1F">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环保丁苯胶（SBR）或PU胶，需具备高拔出力（≥30N）</w:t>
            </w:r>
          </w:p>
        </w:tc>
      </w:tr>
      <w:tr w14:paraId="7DCDC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0" w:hRule="atLeast"/>
        </w:trPr>
        <w:tc>
          <w:tcPr>
            <w:tcW w:w="2767" w:type="dxa"/>
            <w:vAlign w:val="center"/>
          </w:tcPr>
          <w:p w14:paraId="0FF10DF5">
            <w:pPr>
              <w:widowControl/>
              <w:adjustRightInd/>
              <w:spacing w:line="360" w:lineRule="auto"/>
              <w:jc w:val="center"/>
              <w:rPr>
                <w:rFonts w:hint="eastAsia" w:ascii="宋体" w:hAnsi="宋体" w:cs="宋体"/>
                <w:color w:val="auto"/>
                <w:sz w:val="24"/>
                <w:highlight w:val="none"/>
              </w:rPr>
            </w:pPr>
            <w:r>
              <w:rPr>
                <w:rStyle w:val="71"/>
                <w:rFonts w:hint="eastAsia" w:ascii="宋体" w:hAnsi="宋体" w:cs="宋体"/>
                <w:color w:val="auto"/>
                <w:kern w:val="0"/>
                <w:sz w:val="24"/>
                <w:highlight w:val="none"/>
                <w:lang w:bidi="ar"/>
              </w:rPr>
              <w:t>物理性能</w:t>
            </w:r>
          </w:p>
        </w:tc>
        <w:tc>
          <w:tcPr>
            <w:tcW w:w="6721" w:type="dxa"/>
            <w:vAlign w:val="center"/>
          </w:tcPr>
          <w:p w14:paraId="2DB1170B">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kern w:val="0"/>
                <w:sz w:val="24"/>
                <w:highlight w:val="none"/>
                <w:lang w:bidi="ar"/>
              </w:rPr>
              <w:t xml:space="preserve">1. </w:t>
            </w:r>
            <w:r>
              <w:rPr>
                <w:rStyle w:val="71"/>
                <w:rFonts w:hint="eastAsia" w:ascii="宋体" w:hAnsi="宋体" w:cs="宋体"/>
                <w:color w:val="auto"/>
                <w:kern w:val="0"/>
                <w:sz w:val="24"/>
                <w:highlight w:val="none"/>
                <w:lang w:bidi="ar"/>
              </w:rPr>
              <w:t>渗水性</w:t>
            </w:r>
            <w:r>
              <w:rPr>
                <w:rFonts w:hint="eastAsia" w:ascii="宋体" w:hAnsi="宋体" w:cs="宋体"/>
                <w:color w:val="auto"/>
                <w:kern w:val="0"/>
                <w:sz w:val="24"/>
                <w:highlight w:val="none"/>
                <w:lang w:bidi="ar"/>
              </w:rPr>
              <w:t xml:space="preserve">：≥600mm/h（适应室外排水）2. </w:t>
            </w:r>
            <w:r>
              <w:rPr>
                <w:rStyle w:val="71"/>
                <w:rFonts w:hint="eastAsia" w:ascii="宋体" w:hAnsi="宋体" w:cs="宋体"/>
                <w:color w:val="auto"/>
                <w:kern w:val="0"/>
                <w:sz w:val="24"/>
                <w:highlight w:val="none"/>
                <w:lang w:bidi="ar"/>
              </w:rPr>
              <w:t>抗老化</w:t>
            </w:r>
            <w:r>
              <w:rPr>
                <w:rFonts w:hint="eastAsia" w:ascii="宋体" w:hAnsi="宋体" w:cs="宋体"/>
                <w:color w:val="auto"/>
                <w:kern w:val="0"/>
                <w:sz w:val="24"/>
                <w:highlight w:val="none"/>
                <w:lang w:bidi="ar"/>
              </w:rPr>
              <w:t>：自然光老化1500h后，草丝强力保持率≥80%</w:t>
            </w:r>
          </w:p>
        </w:tc>
      </w:tr>
    </w:tbl>
    <w:p w14:paraId="5B378D99">
      <w:pPr>
        <w:widowControl/>
        <w:adjustRightInd/>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注明“样品-50mm高双色人造草坪样块”、“生产厂家”、“供应商名称”、“联系人及电话”。</w:t>
      </w:r>
    </w:p>
    <w:p w14:paraId="7D40036A">
      <w:pPr>
        <w:pStyle w:val="7"/>
        <w:keepNext w:val="0"/>
        <w:keepLines w:val="0"/>
        <w:widowControl/>
        <w:adjustRightInd/>
        <w:spacing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rPr>
        <w:t>3</w:t>
      </w:r>
      <w:r>
        <w:rPr>
          <w:rFonts w:hint="eastAsia" w:ascii="宋体" w:hAnsi="宋体" w:eastAsia="宋体" w:cs="宋体"/>
          <w:color w:val="auto"/>
          <w:sz w:val="24"/>
          <w:szCs w:val="24"/>
          <w:highlight w:val="none"/>
        </w:rPr>
        <w:t>）、样品评审特别说明</w:t>
      </w:r>
      <w:r>
        <w:rPr>
          <w:rFonts w:hint="eastAsia" w:ascii="宋体" w:hAnsi="宋体" w:eastAsia="宋体" w:cs="宋体"/>
          <w:color w:val="auto"/>
          <w:kern w:val="0"/>
          <w:sz w:val="24"/>
          <w:szCs w:val="24"/>
          <w:highlight w:val="none"/>
          <w:lang w:val="en-US" w:bidi="ar"/>
        </w:rPr>
        <w:t> </w:t>
      </w:r>
    </w:p>
    <w:p w14:paraId="1BCFFBBC">
      <w:pPr>
        <w:widowControl/>
        <w:numPr>
          <w:ilvl w:val="0"/>
          <w:numId w:val="5"/>
        </w:numPr>
        <w:adjustRightInd/>
        <w:spacing w:line="360" w:lineRule="auto"/>
        <w:jc w:val="left"/>
        <w:rPr>
          <w:rFonts w:hint="eastAsia" w:ascii="宋体" w:hAnsi="宋体" w:cs="宋体"/>
          <w:color w:val="auto"/>
          <w:kern w:val="0"/>
          <w:sz w:val="24"/>
          <w:highlight w:val="none"/>
          <w:lang w:bidi="ar"/>
        </w:rPr>
      </w:pPr>
      <w:r>
        <w:rPr>
          <w:rStyle w:val="71"/>
          <w:rFonts w:hint="eastAsia" w:ascii="宋体" w:hAnsi="宋体" w:cs="宋体"/>
          <w:color w:val="auto"/>
          <w:kern w:val="0"/>
          <w:sz w:val="24"/>
          <w:highlight w:val="none"/>
          <w:lang w:bidi="ar"/>
        </w:rPr>
        <w:t>供应商一致性承诺</w:t>
      </w:r>
      <w:r>
        <w:rPr>
          <w:rFonts w:hint="eastAsia" w:ascii="宋体" w:hAnsi="宋体" w:cs="宋体"/>
          <w:color w:val="auto"/>
          <w:kern w:val="0"/>
          <w:sz w:val="24"/>
          <w:highlight w:val="none"/>
          <w:lang w:bidi="ar"/>
        </w:rPr>
        <w:t>：成交后实际供货材料必须与封样样品在材质、厚度、工艺及外观上保持一致。提供承诺书。</w:t>
      </w:r>
    </w:p>
    <w:p w14:paraId="14F92973">
      <w:pPr>
        <w:widowControl/>
        <w:numPr>
          <w:ilvl w:val="0"/>
          <w:numId w:val="5"/>
        </w:numPr>
        <w:adjustRightInd/>
        <w:spacing w:line="360" w:lineRule="auto"/>
        <w:jc w:val="left"/>
        <w:rPr>
          <w:rFonts w:hint="eastAsia" w:ascii="宋体" w:hAnsi="宋体" w:cs="宋体"/>
          <w:color w:val="auto"/>
          <w:kern w:val="0"/>
          <w:sz w:val="24"/>
          <w:highlight w:val="none"/>
          <w:lang w:bidi="ar"/>
        </w:rPr>
      </w:pPr>
      <w:r>
        <w:rPr>
          <w:rStyle w:val="71"/>
          <w:rFonts w:hint="eastAsia" w:ascii="宋体" w:hAnsi="宋体" w:cs="宋体"/>
          <w:color w:val="auto"/>
          <w:kern w:val="0"/>
          <w:sz w:val="24"/>
          <w:highlight w:val="none"/>
          <w:lang w:bidi="ar"/>
        </w:rPr>
        <w:t>检测报告</w:t>
      </w:r>
      <w:r>
        <w:rPr>
          <w:rFonts w:hint="eastAsia" w:ascii="宋体" w:hAnsi="宋体" w:cs="宋体"/>
          <w:color w:val="auto"/>
          <w:kern w:val="0"/>
          <w:sz w:val="24"/>
          <w:highlight w:val="none"/>
          <w:lang w:bidi="ar"/>
        </w:rPr>
        <w:t>：成交后20个工作日内提供对应批次材料的第三方检测报告（具备CMA/CNAS资质），报告内容需涵盖上述物理机械性能及有害物质限量指标。提供承诺书。</w:t>
      </w:r>
    </w:p>
    <w:p w14:paraId="35B7E590">
      <w:pPr>
        <w:widowControl/>
        <w:numPr>
          <w:ilvl w:val="0"/>
          <w:numId w:val="5"/>
        </w:numPr>
        <w:adjustRightInd/>
        <w:spacing w:line="360" w:lineRule="auto"/>
        <w:jc w:val="left"/>
        <w:rPr>
          <w:rFonts w:hint="eastAsia" w:ascii="宋体" w:hAnsi="宋体" w:cs="仿宋_GB2312"/>
          <w:b/>
          <w:bCs/>
          <w:color w:val="auto"/>
          <w:sz w:val="24"/>
          <w:highlight w:val="none"/>
        </w:rPr>
      </w:pPr>
      <w:r>
        <w:rPr>
          <w:rStyle w:val="71"/>
          <w:rFonts w:hint="eastAsia" w:ascii="宋体" w:hAnsi="宋体" w:cs="宋体"/>
          <w:color w:val="auto"/>
          <w:kern w:val="0"/>
          <w:sz w:val="24"/>
          <w:highlight w:val="none"/>
          <w:lang w:bidi="ar"/>
        </w:rPr>
        <w:t>现场展示</w:t>
      </w:r>
      <w:r>
        <w:rPr>
          <w:rFonts w:hint="eastAsia" w:ascii="宋体" w:hAnsi="宋体" w:cs="宋体"/>
          <w:color w:val="auto"/>
          <w:kern w:val="0"/>
          <w:sz w:val="24"/>
          <w:highlight w:val="none"/>
          <w:lang w:bidi="ar"/>
        </w:rPr>
        <w:t>：硅PU样块建议制作成剖面形式，以便专家直观审核产品各层之间的结合紧密度，杜绝分层脱层风险。</w:t>
      </w:r>
    </w:p>
    <w:p w14:paraId="6AEE9569">
      <w:pPr>
        <w:snapToGrid w:val="0"/>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24"/>
          <w:highlight w:val="none"/>
        </w:rPr>
        <w:br w:type="page"/>
      </w:r>
      <w:r>
        <w:rPr>
          <w:rFonts w:hint="eastAsia" w:ascii="宋体" w:hAnsi="宋体" w:cs="宋体"/>
          <w:b/>
          <w:color w:val="auto"/>
          <w:sz w:val="36"/>
          <w:szCs w:val="20"/>
          <w:highlight w:val="none"/>
        </w:rPr>
        <w:t>第四部分</w:t>
      </w:r>
      <w:bookmarkStart w:id="33" w:name="_Toc184313256"/>
      <w:bookmarkEnd w:id="33"/>
      <w:bookmarkStart w:id="34" w:name="_Toc184313245"/>
      <w:bookmarkEnd w:id="34"/>
      <w:bookmarkStart w:id="35" w:name="_Toc184310320"/>
      <w:bookmarkEnd w:id="35"/>
      <w:bookmarkStart w:id="36" w:name="_Toc184313243"/>
      <w:bookmarkEnd w:id="36"/>
      <w:bookmarkStart w:id="37" w:name="_Toc184313292"/>
      <w:bookmarkEnd w:id="37"/>
      <w:bookmarkStart w:id="38" w:name="_Toc184310335"/>
      <w:bookmarkEnd w:id="38"/>
      <w:bookmarkStart w:id="39" w:name="_Toc184310322"/>
      <w:bookmarkEnd w:id="39"/>
      <w:bookmarkStart w:id="40" w:name="_Toc184313309"/>
      <w:bookmarkEnd w:id="40"/>
      <w:bookmarkStart w:id="41" w:name="_Toc184314430"/>
      <w:bookmarkEnd w:id="41"/>
      <w:bookmarkStart w:id="42" w:name="_Toc184308049"/>
      <w:bookmarkEnd w:id="42"/>
      <w:bookmarkStart w:id="43" w:name="_Toc184310333"/>
      <w:bookmarkEnd w:id="43"/>
      <w:bookmarkStart w:id="44" w:name="_Toc184308057"/>
      <w:bookmarkEnd w:id="44"/>
      <w:bookmarkStart w:id="45" w:name="_Toc184313277"/>
      <w:bookmarkEnd w:id="45"/>
      <w:bookmarkStart w:id="46" w:name="_Toc184308096"/>
      <w:bookmarkEnd w:id="46"/>
      <w:bookmarkStart w:id="47" w:name="_Toc184308087"/>
      <w:bookmarkEnd w:id="47"/>
      <w:bookmarkStart w:id="48" w:name="_Toc184312094"/>
      <w:bookmarkEnd w:id="48"/>
      <w:bookmarkStart w:id="49" w:name="_Toc184314471"/>
      <w:bookmarkEnd w:id="49"/>
      <w:bookmarkStart w:id="50" w:name="_Toc184313287"/>
      <w:bookmarkEnd w:id="50"/>
      <w:bookmarkStart w:id="51" w:name="_Toc184312109"/>
      <w:bookmarkEnd w:id="51"/>
      <w:bookmarkStart w:id="52" w:name="_Toc184313302"/>
      <w:bookmarkEnd w:id="52"/>
      <w:bookmarkStart w:id="53" w:name="_Toc184312125"/>
      <w:bookmarkEnd w:id="53"/>
      <w:bookmarkStart w:id="54" w:name="_Toc184313241"/>
      <w:bookmarkEnd w:id="54"/>
      <w:bookmarkStart w:id="55" w:name="_Toc184308101"/>
      <w:bookmarkEnd w:id="55"/>
      <w:bookmarkStart w:id="56" w:name="_Toc184313273"/>
      <w:bookmarkEnd w:id="56"/>
      <w:bookmarkStart w:id="57" w:name="_Toc184312137"/>
      <w:bookmarkEnd w:id="57"/>
      <w:bookmarkStart w:id="58" w:name="_Toc184312085"/>
      <w:bookmarkEnd w:id="58"/>
      <w:bookmarkStart w:id="59" w:name="_Toc184310340"/>
      <w:bookmarkEnd w:id="59"/>
      <w:bookmarkStart w:id="60" w:name="_Toc184310309"/>
      <w:bookmarkEnd w:id="60"/>
      <w:bookmarkStart w:id="61" w:name="_Toc184310319"/>
      <w:bookmarkEnd w:id="61"/>
      <w:bookmarkStart w:id="62" w:name="_Toc184310274"/>
      <w:bookmarkEnd w:id="62"/>
      <w:bookmarkStart w:id="63" w:name="_Toc184312129"/>
      <w:bookmarkEnd w:id="63"/>
      <w:bookmarkStart w:id="64" w:name="_Toc184314438"/>
      <w:bookmarkEnd w:id="64"/>
      <w:bookmarkStart w:id="65" w:name="_Toc184310327"/>
      <w:bookmarkEnd w:id="65"/>
      <w:bookmarkStart w:id="66" w:name="_Toc184314419"/>
      <w:bookmarkEnd w:id="66"/>
      <w:bookmarkStart w:id="67" w:name="_Toc184310278"/>
      <w:bookmarkEnd w:id="67"/>
      <w:bookmarkStart w:id="68" w:name="_Toc184314440"/>
      <w:bookmarkEnd w:id="68"/>
      <w:bookmarkStart w:id="69" w:name="_Toc184308092"/>
      <w:bookmarkEnd w:id="69"/>
      <w:bookmarkStart w:id="70" w:name="_Toc184313299"/>
      <w:bookmarkEnd w:id="70"/>
      <w:bookmarkStart w:id="71" w:name="_Toc184310307"/>
      <w:bookmarkEnd w:id="71"/>
      <w:bookmarkStart w:id="72" w:name="_Toc184314434"/>
      <w:bookmarkEnd w:id="72"/>
      <w:bookmarkStart w:id="73" w:name="_Toc184313293"/>
      <w:bookmarkEnd w:id="73"/>
      <w:bookmarkStart w:id="74" w:name="_Toc184308069"/>
      <w:bookmarkEnd w:id="74"/>
      <w:bookmarkStart w:id="75" w:name="_Toc184313305"/>
      <w:bookmarkEnd w:id="75"/>
      <w:bookmarkStart w:id="76" w:name="_Toc184310318"/>
      <w:bookmarkEnd w:id="76"/>
      <w:bookmarkStart w:id="77" w:name="_Toc184314411"/>
      <w:bookmarkEnd w:id="77"/>
      <w:bookmarkStart w:id="78" w:name="_Toc184312082"/>
      <w:bookmarkEnd w:id="78"/>
      <w:bookmarkStart w:id="79" w:name="_Toc184313244"/>
      <w:bookmarkEnd w:id="79"/>
      <w:bookmarkStart w:id="80" w:name="_Toc184308090"/>
      <w:bookmarkEnd w:id="80"/>
      <w:bookmarkStart w:id="81" w:name="_Toc184308052"/>
      <w:bookmarkEnd w:id="81"/>
      <w:bookmarkStart w:id="82" w:name="_Toc184310316"/>
      <w:bookmarkEnd w:id="82"/>
      <w:bookmarkStart w:id="83" w:name="_Toc184313310"/>
      <w:bookmarkEnd w:id="83"/>
      <w:bookmarkStart w:id="84" w:name="_Toc184308060"/>
      <w:bookmarkEnd w:id="84"/>
      <w:bookmarkStart w:id="85" w:name="_Toc184312080"/>
      <w:bookmarkEnd w:id="85"/>
      <w:bookmarkStart w:id="86" w:name="_Toc184312092"/>
      <w:bookmarkEnd w:id="86"/>
      <w:bookmarkStart w:id="87" w:name="_Toc184308070"/>
      <w:bookmarkEnd w:id="87"/>
      <w:bookmarkStart w:id="88" w:name="_Toc184314453"/>
      <w:bookmarkEnd w:id="88"/>
      <w:bookmarkStart w:id="89" w:name="_Toc184308046"/>
      <w:bookmarkEnd w:id="89"/>
      <w:bookmarkStart w:id="90" w:name="_Toc184313288"/>
      <w:bookmarkEnd w:id="90"/>
      <w:bookmarkStart w:id="91" w:name="_Toc184312107"/>
      <w:bookmarkEnd w:id="91"/>
      <w:bookmarkStart w:id="92" w:name="_Toc184313285"/>
      <w:bookmarkEnd w:id="92"/>
      <w:bookmarkStart w:id="93" w:name="_Toc184314415"/>
      <w:bookmarkEnd w:id="93"/>
      <w:bookmarkStart w:id="94" w:name="_Toc184308091"/>
      <w:bookmarkEnd w:id="94"/>
      <w:bookmarkStart w:id="95" w:name="_Toc184308064"/>
      <w:bookmarkEnd w:id="95"/>
      <w:bookmarkStart w:id="96" w:name="_Toc184312091"/>
      <w:bookmarkEnd w:id="96"/>
      <w:bookmarkStart w:id="97" w:name="_Toc184313294"/>
      <w:bookmarkEnd w:id="97"/>
      <w:bookmarkStart w:id="98" w:name="_Toc184308079"/>
      <w:bookmarkEnd w:id="98"/>
      <w:bookmarkStart w:id="99" w:name="_Toc184314468"/>
      <w:bookmarkEnd w:id="99"/>
      <w:bookmarkStart w:id="100" w:name="_Toc184313276"/>
      <w:bookmarkEnd w:id="100"/>
      <w:bookmarkStart w:id="101" w:name="_Toc184314410"/>
      <w:bookmarkEnd w:id="101"/>
      <w:bookmarkStart w:id="102" w:name="_Toc184310285"/>
      <w:bookmarkEnd w:id="102"/>
      <w:bookmarkStart w:id="103" w:name="_Toc184312136"/>
      <w:bookmarkEnd w:id="103"/>
      <w:bookmarkStart w:id="104" w:name="_Toc184313280"/>
      <w:bookmarkEnd w:id="104"/>
      <w:bookmarkStart w:id="105" w:name="_Toc184310296"/>
      <w:bookmarkEnd w:id="105"/>
      <w:bookmarkStart w:id="106" w:name="_Toc184308061"/>
      <w:bookmarkEnd w:id="106"/>
      <w:bookmarkStart w:id="107" w:name="_Toc184310283"/>
      <w:bookmarkEnd w:id="107"/>
      <w:bookmarkStart w:id="108" w:name="_Toc184310288"/>
      <w:bookmarkEnd w:id="108"/>
      <w:bookmarkStart w:id="109" w:name="_Toc184314479"/>
      <w:bookmarkEnd w:id="109"/>
      <w:bookmarkStart w:id="110" w:name="_Toc184308054"/>
      <w:bookmarkEnd w:id="110"/>
      <w:bookmarkStart w:id="111" w:name="_Toc184314478"/>
      <w:bookmarkEnd w:id="111"/>
      <w:bookmarkStart w:id="112" w:name="_Toc184312072"/>
      <w:bookmarkEnd w:id="112"/>
      <w:bookmarkStart w:id="113" w:name="_Toc184314436"/>
      <w:bookmarkEnd w:id="113"/>
      <w:bookmarkStart w:id="114" w:name="_Toc184314482"/>
      <w:bookmarkEnd w:id="114"/>
      <w:bookmarkStart w:id="115" w:name="_Toc184312101"/>
      <w:bookmarkEnd w:id="115"/>
      <w:bookmarkStart w:id="116" w:name="_Toc184312070"/>
      <w:bookmarkEnd w:id="116"/>
      <w:bookmarkStart w:id="117" w:name="_Toc184312079"/>
      <w:bookmarkEnd w:id="117"/>
      <w:bookmarkStart w:id="118" w:name="_Toc184313266"/>
      <w:bookmarkEnd w:id="118"/>
      <w:bookmarkStart w:id="119" w:name="_Toc184313283"/>
      <w:bookmarkEnd w:id="119"/>
      <w:bookmarkStart w:id="120" w:name="_Toc184314454"/>
      <w:bookmarkEnd w:id="120"/>
      <w:bookmarkStart w:id="121" w:name="_Toc184310317"/>
      <w:bookmarkEnd w:id="121"/>
      <w:bookmarkStart w:id="122" w:name="_Toc184314418"/>
      <w:bookmarkEnd w:id="122"/>
      <w:bookmarkStart w:id="123" w:name="_Toc184312103"/>
      <w:bookmarkEnd w:id="123"/>
      <w:bookmarkStart w:id="124" w:name="_Toc184312068"/>
      <w:bookmarkEnd w:id="124"/>
      <w:bookmarkStart w:id="125" w:name="_Toc184312105"/>
      <w:bookmarkEnd w:id="125"/>
      <w:bookmarkStart w:id="126" w:name="_Toc184310332"/>
      <w:bookmarkEnd w:id="126"/>
      <w:bookmarkStart w:id="127" w:name="_Toc184313259"/>
      <w:bookmarkEnd w:id="127"/>
      <w:bookmarkStart w:id="128" w:name="_Toc184312081"/>
      <w:bookmarkEnd w:id="128"/>
      <w:bookmarkStart w:id="129" w:name="_Toc184310281"/>
      <w:bookmarkEnd w:id="129"/>
      <w:bookmarkStart w:id="130" w:name="_Toc184308068"/>
      <w:bookmarkEnd w:id="130"/>
      <w:bookmarkStart w:id="131" w:name="_Toc184310275"/>
      <w:bookmarkEnd w:id="131"/>
      <w:bookmarkStart w:id="132" w:name="_Toc184308037"/>
      <w:bookmarkEnd w:id="132"/>
      <w:bookmarkStart w:id="133" w:name="_Toc184310329"/>
      <w:bookmarkEnd w:id="133"/>
      <w:bookmarkStart w:id="134" w:name="_Toc184308036"/>
      <w:bookmarkEnd w:id="134"/>
      <w:bookmarkStart w:id="135" w:name="_Toc184312128"/>
      <w:bookmarkEnd w:id="135"/>
      <w:bookmarkStart w:id="136" w:name="_Toc184310312"/>
      <w:bookmarkEnd w:id="136"/>
      <w:bookmarkStart w:id="137" w:name="_Toc184308039"/>
      <w:bookmarkEnd w:id="137"/>
      <w:bookmarkStart w:id="138" w:name="_Toc184312122"/>
      <w:bookmarkEnd w:id="138"/>
      <w:bookmarkStart w:id="139" w:name="_Toc184313291"/>
      <w:bookmarkEnd w:id="139"/>
      <w:bookmarkStart w:id="140" w:name="_Toc184310304"/>
      <w:bookmarkEnd w:id="140"/>
      <w:bookmarkStart w:id="141" w:name="_Toc184314455"/>
      <w:bookmarkEnd w:id="141"/>
      <w:bookmarkStart w:id="142" w:name="_Toc184310276"/>
      <w:bookmarkEnd w:id="142"/>
      <w:bookmarkStart w:id="143" w:name="_Toc184310301"/>
      <w:bookmarkEnd w:id="143"/>
      <w:bookmarkStart w:id="144" w:name="_Toc184313253"/>
      <w:bookmarkEnd w:id="144"/>
      <w:bookmarkStart w:id="145" w:name="_Toc184313300"/>
      <w:bookmarkEnd w:id="145"/>
      <w:bookmarkStart w:id="146" w:name="_Toc184308088"/>
      <w:bookmarkEnd w:id="146"/>
      <w:bookmarkStart w:id="147" w:name="_Toc184310300"/>
      <w:bookmarkEnd w:id="147"/>
      <w:bookmarkStart w:id="148" w:name="_Toc184313250"/>
      <w:bookmarkEnd w:id="148"/>
      <w:bookmarkStart w:id="149" w:name="_Toc184310286"/>
      <w:bookmarkEnd w:id="149"/>
      <w:bookmarkStart w:id="150" w:name="_Toc184313275"/>
      <w:bookmarkEnd w:id="150"/>
      <w:bookmarkStart w:id="151" w:name="_Toc184314423"/>
      <w:bookmarkEnd w:id="151"/>
      <w:bookmarkStart w:id="152" w:name="_Toc184314458"/>
      <w:bookmarkEnd w:id="152"/>
      <w:bookmarkStart w:id="153" w:name="_Toc184314417"/>
      <w:bookmarkEnd w:id="153"/>
      <w:bookmarkStart w:id="154" w:name="_Toc184310311"/>
      <w:bookmarkEnd w:id="154"/>
      <w:bookmarkStart w:id="155" w:name="_Toc184313268"/>
      <w:bookmarkEnd w:id="155"/>
      <w:bookmarkStart w:id="156" w:name="_Toc184313289"/>
      <w:bookmarkEnd w:id="156"/>
      <w:bookmarkStart w:id="157" w:name="_Toc184310315"/>
      <w:bookmarkEnd w:id="157"/>
      <w:bookmarkStart w:id="158" w:name="_Toc184308056"/>
      <w:bookmarkEnd w:id="158"/>
      <w:bookmarkStart w:id="159" w:name="_Toc184314450"/>
      <w:bookmarkEnd w:id="159"/>
      <w:bookmarkStart w:id="160" w:name="_Toc184313304"/>
      <w:bookmarkEnd w:id="160"/>
      <w:bookmarkStart w:id="161" w:name="_Toc184312133"/>
      <w:bookmarkEnd w:id="161"/>
      <w:bookmarkStart w:id="162" w:name="_Toc184310310"/>
      <w:bookmarkEnd w:id="162"/>
      <w:bookmarkStart w:id="163" w:name="_Toc184310273"/>
      <w:bookmarkEnd w:id="163"/>
      <w:bookmarkStart w:id="164" w:name="_Toc184310305"/>
      <w:bookmarkEnd w:id="164"/>
      <w:bookmarkStart w:id="165" w:name="_Toc184308044"/>
      <w:bookmarkEnd w:id="165"/>
      <w:bookmarkStart w:id="166" w:name="_Toc184308104"/>
      <w:bookmarkEnd w:id="166"/>
      <w:bookmarkStart w:id="167" w:name="_Toc184312134"/>
      <w:bookmarkEnd w:id="167"/>
      <w:bookmarkStart w:id="168" w:name="_Toc184314441"/>
      <w:bookmarkEnd w:id="168"/>
      <w:bookmarkStart w:id="169" w:name="_Toc184312127"/>
      <w:bookmarkEnd w:id="169"/>
      <w:bookmarkStart w:id="170" w:name="_Toc184314480"/>
      <w:bookmarkEnd w:id="170"/>
      <w:bookmarkStart w:id="171" w:name="_Toc184310323"/>
      <w:bookmarkEnd w:id="171"/>
      <w:bookmarkStart w:id="172" w:name="_Toc184314449"/>
      <w:bookmarkEnd w:id="172"/>
      <w:bookmarkStart w:id="173" w:name="_Toc184310293"/>
      <w:bookmarkEnd w:id="173"/>
      <w:bookmarkStart w:id="174" w:name="_Toc184312071"/>
      <w:bookmarkEnd w:id="174"/>
      <w:bookmarkStart w:id="175" w:name="_Toc184313251"/>
      <w:bookmarkEnd w:id="175"/>
      <w:bookmarkStart w:id="176" w:name="_Toc184308084"/>
      <w:bookmarkEnd w:id="176"/>
      <w:bookmarkStart w:id="177" w:name="_Toc184310341"/>
      <w:bookmarkEnd w:id="177"/>
      <w:bookmarkStart w:id="178" w:name="_Toc184314439"/>
      <w:bookmarkEnd w:id="178"/>
      <w:bookmarkStart w:id="179" w:name="_Toc184313246"/>
      <w:bookmarkEnd w:id="179"/>
      <w:bookmarkStart w:id="180" w:name="_Toc184308103"/>
      <w:bookmarkEnd w:id="180"/>
      <w:bookmarkStart w:id="181" w:name="_Toc184314469"/>
      <w:bookmarkEnd w:id="181"/>
      <w:bookmarkStart w:id="182" w:name="_Toc184314425"/>
      <w:bookmarkEnd w:id="182"/>
      <w:bookmarkStart w:id="183" w:name="_Toc184308075"/>
      <w:bookmarkEnd w:id="183"/>
      <w:bookmarkStart w:id="184" w:name="_Toc184312098"/>
      <w:bookmarkEnd w:id="184"/>
      <w:bookmarkStart w:id="185" w:name="_Toc184313282"/>
      <w:bookmarkEnd w:id="185"/>
      <w:bookmarkStart w:id="186" w:name="_Toc184308065"/>
      <w:bookmarkEnd w:id="186"/>
      <w:bookmarkStart w:id="187" w:name="_Toc184313270"/>
      <w:bookmarkEnd w:id="187"/>
      <w:bookmarkStart w:id="188" w:name="_Toc184312069"/>
      <w:bookmarkEnd w:id="188"/>
      <w:bookmarkStart w:id="189" w:name="_Toc184314421"/>
      <w:bookmarkEnd w:id="189"/>
      <w:bookmarkStart w:id="190" w:name="_Toc184312087"/>
      <w:bookmarkEnd w:id="190"/>
      <w:bookmarkStart w:id="191" w:name="_Toc184312112"/>
      <w:bookmarkEnd w:id="191"/>
      <w:bookmarkStart w:id="192" w:name="_Toc184310292"/>
      <w:bookmarkEnd w:id="192"/>
      <w:bookmarkStart w:id="193" w:name="_Toc184308041"/>
      <w:bookmarkEnd w:id="193"/>
      <w:bookmarkStart w:id="194" w:name="_Toc184312096"/>
      <w:bookmarkEnd w:id="194"/>
      <w:bookmarkStart w:id="195" w:name="_Toc184310338"/>
      <w:bookmarkEnd w:id="195"/>
      <w:bookmarkStart w:id="196" w:name="_Toc184313296"/>
      <w:bookmarkEnd w:id="196"/>
      <w:bookmarkStart w:id="197" w:name="_Toc184308073"/>
      <w:bookmarkEnd w:id="197"/>
      <w:bookmarkStart w:id="198" w:name="_Toc184314422"/>
      <w:bookmarkEnd w:id="198"/>
      <w:bookmarkStart w:id="199" w:name="_Toc184308058"/>
      <w:bookmarkEnd w:id="199"/>
      <w:bookmarkStart w:id="200" w:name="_Toc184308097"/>
      <w:bookmarkEnd w:id="200"/>
      <w:bookmarkStart w:id="201" w:name="_Toc184313247"/>
      <w:bookmarkEnd w:id="201"/>
      <w:bookmarkStart w:id="202" w:name="_Toc184308095"/>
      <w:bookmarkEnd w:id="202"/>
      <w:bookmarkStart w:id="203" w:name="_Toc184308042"/>
      <w:bookmarkEnd w:id="203"/>
      <w:bookmarkStart w:id="204" w:name="_Toc184314452"/>
      <w:bookmarkEnd w:id="204"/>
      <w:bookmarkStart w:id="205" w:name="_Toc184310306"/>
      <w:bookmarkEnd w:id="205"/>
      <w:bookmarkStart w:id="206" w:name="_Toc184312123"/>
      <w:bookmarkEnd w:id="206"/>
      <w:bookmarkStart w:id="207" w:name="_Toc184313306"/>
      <w:bookmarkEnd w:id="207"/>
      <w:bookmarkStart w:id="208" w:name="_Toc184312097"/>
      <w:bookmarkEnd w:id="208"/>
      <w:bookmarkStart w:id="209" w:name="_Toc184310302"/>
      <w:bookmarkEnd w:id="209"/>
      <w:bookmarkStart w:id="210" w:name="_Toc184310330"/>
      <w:bookmarkEnd w:id="210"/>
      <w:bookmarkStart w:id="211" w:name="_Toc184310325"/>
      <w:bookmarkEnd w:id="211"/>
      <w:bookmarkStart w:id="212" w:name="_Toc184308059"/>
      <w:bookmarkEnd w:id="212"/>
      <w:bookmarkStart w:id="213" w:name="_Toc184312139"/>
      <w:bookmarkEnd w:id="213"/>
      <w:bookmarkStart w:id="214" w:name="_Toc184313267"/>
      <w:bookmarkEnd w:id="214"/>
      <w:bookmarkStart w:id="215" w:name="_Toc184312108"/>
      <w:bookmarkEnd w:id="215"/>
      <w:bookmarkStart w:id="216" w:name="_Toc184314472"/>
      <w:bookmarkEnd w:id="216"/>
      <w:bookmarkStart w:id="217" w:name="_Toc184308066"/>
      <w:bookmarkEnd w:id="217"/>
      <w:bookmarkStart w:id="218" w:name="_Toc184314433"/>
      <w:bookmarkEnd w:id="218"/>
      <w:bookmarkStart w:id="219" w:name="_Toc184310343"/>
      <w:bookmarkEnd w:id="219"/>
      <w:bookmarkStart w:id="220" w:name="_Toc184312114"/>
      <w:bookmarkEnd w:id="220"/>
      <w:bookmarkStart w:id="221" w:name="_Toc184313278"/>
      <w:bookmarkEnd w:id="221"/>
      <w:bookmarkStart w:id="222" w:name="_Toc184314413"/>
      <w:bookmarkEnd w:id="222"/>
      <w:bookmarkStart w:id="223" w:name="_Toc184314481"/>
      <w:bookmarkEnd w:id="223"/>
      <w:bookmarkStart w:id="224" w:name="_Toc184313298"/>
      <w:bookmarkEnd w:id="224"/>
      <w:bookmarkStart w:id="225" w:name="_Toc184313240"/>
      <w:bookmarkEnd w:id="225"/>
      <w:bookmarkStart w:id="226" w:name="_Toc184314476"/>
      <w:bookmarkEnd w:id="226"/>
      <w:bookmarkStart w:id="227" w:name="_Toc184308038"/>
      <w:bookmarkEnd w:id="227"/>
      <w:bookmarkStart w:id="228" w:name="_Toc184308050"/>
      <w:bookmarkEnd w:id="228"/>
      <w:bookmarkStart w:id="229" w:name="_Toc184314459"/>
      <w:bookmarkEnd w:id="229"/>
      <w:bookmarkStart w:id="230" w:name="_Toc184312078"/>
      <w:bookmarkEnd w:id="230"/>
      <w:bookmarkStart w:id="231" w:name="_Toc184313308"/>
      <w:bookmarkEnd w:id="231"/>
      <w:bookmarkStart w:id="232" w:name="_Toc184310342"/>
      <w:bookmarkEnd w:id="232"/>
      <w:bookmarkStart w:id="233" w:name="_Toc184310328"/>
      <w:bookmarkEnd w:id="233"/>
      <w:bookmarkStart w:id="234" w:name="_Toc184310297"/>
      <w:bookmarkEnd w:id="234"/>
      <w:bookmarkStart w:id="235" w:name="_Toc184312099"/>
      <w:bookmarkEnd w:id="235"/>
      <w:bookmarkStart w:id="236" w:name="_Toc184308081"/>
      <w:bookmarkEnd w:id="236"/>
      <w:bookmarkStart w:id="237" w:name="_Toc184314420"/>
      <w:bookmarkEnd w:id="237"/>
      <w:bookmarkStart w:id="238" w:name="_Toc184313255"/>
      <w:bookmarkEnd w:id="238"/>
      <w:bookmarkStart w:id="239" w:name="_Toc184313238"/>
      <w:bookmarkEnd w:id="239"/>
      <w:bookmarkStart w:id="240" w:name="_Toc184308043"/>
      <w:bookmarkEnd w:id="240"/>
      <w:bookmarkStart w:id="241" w:name="_Toc184312083"/>
      <w:bookmarkEnd w:id="241"/>
      <w:bookmarkStart w:id="242" w:name="_Toc184314445"/>
      <w:bookmarkEnd w:id="242"/>
      <w:bookmarkStart w:id="243" w:name="_Toc184308048"/>
      <w:bookmarkEnd w:id="243"/>
      <w:bookmarkStart w:id="244" w:name="_Toc184313269"/>
      <w:bookmarkEnd w:id="244"/>
      <w:bookmarkStart w:id="245" w:name="_Toc184314444"/>
      <w:bookmarkEnd w:id="245"/>
      <w:bookmarkStart w:id="246" w:name="_Toc184313297"/>
      <w:bookmarkEnd w:id="246"/>
      <w:bookmarkStart w:id="247" w:name="_Toc184313260"/>
      <w:bookmarkEnd w:id="247"/>
      <w:bookmarkStart w:id="248" w:name="_Toc184308100"/>
      <w:bookmarkEnd w:id="248"/>
      <w:bookmarkStart w:id="249" w:name="_Toc184314431"/>
      <w:bookmarkEnd w:id="249"/>
      <w:bookmarkStart w:id="250" w:name="_Toc184313272"/>
      <w:bookmarkEnd w:id="250"/>
      <w:bookmarkStart w:id="251" w:name="_Toc184314424"/>
      <w:bookmarkEnd w:id="251"/>
      <w:bookmarkStart w:id="252" w:name="_Toc184314465"/>
      <w:bookmarkEnd w:id="252"/>
      <w:bookmarkStart w:id="253" w:name="_Toc184310336"/>
      <w:bookmarkEnd w:id="253"/>
      <w:bookmarkStart w:id="254" w:name="_Toc184308094"/>
      <w:bookmarkEnd w:id="254"/>
      <w:bookmarkStart w:id="255" w:name="_Toc184308078"/>
      <w:bookmarkEnd w:id="255"/>
      <w:bookmarkStart w:id="256" w:name="_Toc184312115"/>
      <w:bookmarkEnd w:id="256"/>
      <w:bookmarkStart w:id="257" w:name="_Toc184312124"/>
      <w:bookmarkEnd w:id="257"/>
      <w:bookmarkStart w:id="258" w:name="_Toc184312088"/>
      <w:bookmarkEnd w:id="258"/>
      <w:bookmarkStart w:id="259" w:name="_Toc184308040"/>
      <w:bookmarkEnd w:id="259"/>
      <w:bookmarkStart w:id="260" w:name="_Toc184313290"/>
      <w:bookmarkEnd w:id="260"/>
      <w:bookmarkStart w:id="261" w:name="_Toc184312076"/>
      <w:bookmarkEnd w:id="261"/>
      <w:bookmarkStart w:id="262" w:name="_Toc184310290"/>
      <w:bookmarkEnd w:id="262"/>
      <w:bookmarkStart w:id="263" w:name="_Toc184314447"/>
      <w:bookmarkEnd w:id="263"/>
      <w:bookmarkStart w:id="264" w:name="_Toc184313249"/>
      <w:bookmarkEnd w:id="264"/>
      <w:bookmarkStart w:id="265" w:name="_Toc184308074"/>
      <w:bookmarkEnd w:id="265"/>
      <w:bookmarkStart w:id="266" w:name="_Toc184313284"/>
      <w:bookmarkEnd w:id="266"/>
      <w:bookmarkStart w:id="267" w:name="_Toc184308083"/>
      <w:bookmarkEnd w:id="267"/>
      <w:bookmarkStart w:id="268" w:name="_Toc184312116"/>
      <w:bookmarkEnd w:id="268"/>
      <w:bookmarkStart w:id="269" w:name="_Toc184308089"/>
      <w:bookmarkEnd w:id="269"/>
      <w:bookmarkStart w:id="270" w:name="_Toc184312095"/>
      <w:bookmarkEnd w:id="270"/>
      <w:bookmarkStart w:id="271" w:name="_Toc184313242"/>
      <w:bookmarkEnd w:id="271"/>
      <w:bookmarkStart w:id="272" w:name="_Toc184314461"/>
      <w:bookmarkEnd w:id="272"/>
      <w:bookmarkStart w:id="273" w:name="_Toc184310280"/>
      <w:bookmarkEnd w:id="273"/>
      <w:bookmarkStart w:id="274" w:name="_Toc184313286"/>
      <w:bookmarkEnd w:id="274"/>
      <w:bookmarkStart w:id="275" w:name="_Toc184312110"/>
      <w:bookmarkEnd w:id="275"/>
      <w:bookmarkStart w:id="276" w:name="_Toc184313257"/>
      <w:bookmarkEnd w:id="276"/>
      <w:bookmarkStart w:id="277" w:name="_Toc184310289"/>
      <w:bookmarkEnd w:id="277"/>
      <w:bookmarkStart w:id="278" w:name="_Toc184314426"/>
      <w:bookmarkEnd w:id="278"/>
      <w:bookmarkStart w:id="279" w:name="_Toc184312100"/>
      <w:bookmarkEnd w:id="279"/>
      <w:bookmarkStart w:id="280" w:name="_Toc184314416"/>
      <w:bookmarkEnd w:id="280"/>
      <w:bookmarkStart w:id="281" w:name="_Toc184310279"/>
      <w:bookmarkEnd w:id="281"/>
      <w:bookmarkStart w:id="282" w:name="_Toc184314462"/>
      <w:bookmarkEnd w:id="282"/>
      <w:bookmarkStart w:id="283" w:name="_Toc184308076"/>
      <w:bookmarkEnd w:id="283"/>
      <w:bookmarkStart w:id="284" w:name="_Toc184313274"/>
      <w:bookmarkEnd w:id="284"/>
      <w:bookmarkStart w:id="285" w:name="_Toc184312073"/>
      <w:bookmarkEnd w:id="285"/>
      <w:bookmarkStart w:id="286" w:name="_Toc184314463"/>
      <w:bookmarkEnd w:id="286"/>
      <w:bookmarkStart w:id="287" w:name="_Toc184312119"/>
      <w:bookmarkEnd w:id="287"/>
      <w:bookmarkStart w:id="288" w:name="_Toc184314466"/>
      <w:bookmarkEnd w:id="288"/>
      <w:bookmarkStart w:id="289" w:name="_Toc184313279"/>
      <w:bookmarkEnd w:id="289"/>
      <w:bookmarkStart w:id="290" w:name="_Toc184310294"/>
      <w:bookmarkEnd w:id="290"/>
      <w:bookmarkStart w:id="291" w:name="_Toc184314414"/>
      <w:bookmarkEnd w:id="291"/>
      <w:bookmarkStart w:id="292" w:name="_Toc184314429"/>
      <w:bookmarkEnd w:id="292"/>
      <w:bookmarkStart w:id="293" w:name="_Toc184310339"/>
      <w:bookmarkEnd w:id="293"/>
      <w:bookmarkStart w:id="294" w:name="_Toc184312102"/>
      <w:bookmarkEnd w:id="294"/>
      <w:bookmarkStart w:id="295" w:name="_Toc184313263"/>
      <w:bookmarkEnd w:id="295"/>
      <w:bookmarkStart w:id="296" w:name="_Toc184308062"/>
      <w:bookmarkEnd w:id="296"/>
      <w:bookmarkStart w:id="297" w:name="_Toc184314427"/>
      <w:bookmarkEnd w:id="297"/>
      <w:bookmarkStart w:id="298" w:name="_Toc184312090"/>
      <w:bookmarkEnd w:id="298"/>
      <w:bookmarkStart w:id="299" w:name="_Toc184312130"/>
      <w:bookmarkEnd w:id="299"/>
      <w:bookmarkStart w:id="300" w:name="_Toc184312075"/>
      <w:bookmarkEnd w:id="300"/>
      <w:bookmarkStart w:id="301" w:name="_Toc184314474"/>
      <w:bookmarkEnd w:id="301"/>
      <w:bookmarkStart w:id="302" w:name="_Toc184308055"/>
      <w:bookmarkEnd w:id="302"/>
      <w:bookmarkStart w:id="303" w:name="_Toc184314460"/>
      <w:bookmarkEnd w:id="303"/>
      <w:bookmarkStart w:id="304" w:name="_Toc184308077"/>
      <w:bookmarkEnd w:id="304"/>
      <w:bookmarkStart w:id="305" w:name="_Toc184313264"/>
      <w:bookmarkEnd w:id="305"/>
      <w:bookmarkStart w:id="306" w:name="_Toc184312104"/>
      <w:bookmarkEnd w:id="306"/>
      <w:bookmarkStart w:id="307" w:name="_Toc184308085"/>
      <w:bookmarkEnd w:id="307"/>
      <w:bookmarkStart w:id="308" w:name="_Toc184308063"/>
      <w:bookmarkEnd w:id="308"/>
      <w:bookmarkStart w:id="309" w:name="_Toc184314467"/>
      <w:bookmarkEnd w:id="309"/>
      <w:bookmarkStart w:id="310" w:name="_Toc184312089"/>
      <w:bookmarkEnd w:id="310"/>
      <w:bookmarkStart w:id="311" w:name="_Toc184310272"/>
      <w:bookmarkEnd w:id="311"/>
      <w:bookmarkStart w:id="312" w:name="_Toc184310282"/>
      <w:bookmarkEnd w:id="312"/>
      <w:bookmarkStart w:id="313" w:name="_Toc184314443"/>
      <w:bookmarkEnd w:id="313"/>
      <w:bookmarkStart w:id="314" w:name="_Toc184313301"/>
      <w:bookmarkEnd w:id="314"/>
      <w:bookmarkStart w:id="315" w:name="_Toc184314412"/>
      <w:bookmarkEnd w:id="315"/>
      <w:bookmarkStart w:id="316" w:name="_Toc184310321"/>
      <w:bookmarkEnd w:id="316"/>
      <w:bookmarkStart w:id="317" w:name="_Toc184313258"/>
      <w:bookmarkEnd w:id="317"/>
      <w:bookmarkStart w:id="318" w:name="_Toc184314446"/>
      <w:bookmarkEnd w:id="318"/>
      <w:bookmarkStart w:id="319" w:name="_Toc184310287"/>
      <w:bookmarkEnd w:id="319"/>
      <w:bookmarkStart w:id="320" w:name="_Toc184312067"/>
      <w:bookmarkEnd w:id="320"/>
      <w:bookmarkStart w:id="321" w:name="_Toc184314473"/>
      <w:bookmarkEnd w:id="321"/>
      <w:bookmarkStart w:id="322" w:name="_Toc184313239"/>
      <w:bookmarkEnd w:id="322"/>
      <w:bookmarkStart w:id="323" w:name="_Toc184314475"/>
      <w:bookmarkEnd w:id="323"/>
      <w:bookmarkStart w:id="324" w:name="_Toc184310308"/>
      <w:bookmarkEnd w:id="324"/>
      <w:bookmarkStart w:id="325" w:name="_Toc184313254"/>
      <w:bookmarkEnd w:id="325"/>
      <w:bookmarkStart w:id="326" w:name="_Toc184313262"/>
      <w:bookmarkEnd w:id="326"/>
      <w:bookmarkStart w:id="327" w:name="_Toc184314456"/>
      <w:bookmarkEnd w:id="327"/>
      <w:bookmarkStart w:id="328" w:name="_Toc184308080"/>
      <w:bookmarkEnd w:id="328"/>
      <w:bookmarkStart w:id="329" w:name="_Toc184314451"/>
      <w:bookmarkEnd w:id="329"/>
      <w:bookmarkStart w:id="330" w:name="_Toc184308099"/>
      <w:bookmarkEnd w:id="330"/>
      <w:bookmarkStart w:id="331" w:name="_Toc184308093"/>
      <w:bookmarkEnd w:id="331"/>
      <w:bookmarkStart w:id="332" w:name="_Toc184310344"/>
      <w:bookmarkEnd w:id="332"/>
      <w:bookmarkStart w:id="333" w:name="_Toc184314435"/>
      <w:bookmarkEnd w:id="333"/>
      <w:bookmarkStart w:id="334" w:name="_Toc184308106"/>
      <w:bookmarkEnd w:id="334"/>
      <w:bookmarkStart w:id="335" w:name="_Toc184308045"/>
      <w:bookmarkEnd w:id="335"/>
      <w:bookmarkStart w:id="336" w:name="_Toc184312126"/>
      <w:bookmarkEnd w:id="336"/>
      <w:bookmarkStart w:id="337" w:name="_Toc184312117"/>
      <w:bookmarkEnd w:id="337"/>
      <w:bookmarkStart w:id="338" w:name="_Toc184312138"/>
      <w:bookmarkEnd w:id="338"/>
      <w:bookmarkStart w:id="339" w:name="_Toc184312111"/>
      <w:bookmarkEnd w:id="339"/>
      <w:bookmarkStart w:id="340" w:name="_Toc184310277"/>
      <w:bookmarkEnd w:id="340"/>
      <w:bookmarkStart w:id="341" w:name="_Toc184313307"/>
      <w:bookmarkEnd w:id="341"/>
      <w:bookmarkStart w:id="342" w:name="_Toc184308051"/>
      <w:bookmarkEnd w:id="342"/>
      <w:bookmarkStart w:id="343" w:name="_Toc184314448"/>
      <w:bookmarkEnd w:id="343"/>
      <w:bookmarkStart w:id="344" w:name="_Toc184312132"/>
      <w:bookmarkEnd w:id="344"/>
      <w:bookmarkStart w:id="345" w:name="_Toc184308105"/>
      <w:bookmarkEnd w:id="345"/>
      <w:bookmarkStart w:id="346" w:name="_Toc184314457"/>
      <w:bookmarkEnd w:id="346"/>
      <w:bookmarkStart w:id="347" w:name="_Toc184308108"/>
      <w:bookmarkEnd w:id="347"/>
      <w:bookmarkStart w:id="348" w:name="_Toc184313295"/>
      <w:bookmarkEnd w:id="348"/>
      <w:bookmarkStart w:id="349" w:name="_Toc184310331"/>
      <w:bookmarkEnd w:id="349"/>
      <w:bookmarkStart w:id="350" w:name="_Toc184312131"/>
      <w:bookmarkEnd w:id="350"/>
      <w:bookmarkStart w:id="351" w:name="_Toc184308047"/>
      <w:bookmarkEnd w:id="351"/>
      <w:bookmarkStart w:id="352" w:name="_Toc184312084"/>
      <w:bookmarkEnd w:id="352"/>
      <w:bookmarkStart w:id="353" w:name="_Toc184308071"/>
      <w:bookmarkEnd w:id="353"/>
      <w:bookmarkStart w:id="354" w:name="_Toc184312113"/>
      <w:bookmarkEnd w:id="354"/>
      <w:bookmarkStart w:id="355" w:name="_Toc184310334"/>
      <w:bookmarkEnd w:id="355"/>
      <w:bookmarkStart w:id="356" w:name="_Toc184308072"/>
      <w:bookmarkEnd w:id="356"/>
      <w:bookmarkStart w:id="357" w:name="_Toc184314428"/>
      <w:bookmarkEnd w:id="357"/>
      <w:bookmarkStart w:id="358" w:name="_Toc184312135"/>
      <w:bookmarkEnd w:id="358"/>
      <w:bookmarkStart w:id="359" w:name="_Toc184310284"/>
      <w:bookmarkEnd w:id="359"/>
      <w:bookmarkStart w:id="360" w:name="_Toc184310291"/>
      <w:bookmarkEnd w:id="360"/>
      <w:bookmarkStart w:id="361" w:name="_Toc184310324"/>
      <w:bookmarkEnd w:id="361"/>
      <w:bookmarkStart w:id="362" w:name="_Toc184314464"/>
      <w:bookmarkEnd w:id="362"/>
      <w:bookmarkStart w:id="363" w:name="_Toc184308082"/>
      <w:bookmarkEnd w:id="363"/>
      <w:bookmarkStart w:id="364" w:name="_Toc184310295"/>
      <w:bookmarkEnd w:id="364"/>
      <w:bookmarkStart w:id="365" w:name="_Toc184312120"/>
      <w:bookmarkEnd w:id="365"/>
      <w:bookmarkStart w:id="366" w:name="_Toc184310337"/>
      <w:bookmarkEnd w:id="366"/>
      <w:bookmarkStart w:id="367" w:name="_Toc184312077"/>
      <w:bookmarkEnd w:id="367"/>
      <w:bookmarkStart w:id="368" w:name="_Toc184313265"/>
      <w:bookmarkEnd w:id="368"/>
      <w:bookmarkStart w:id="369" w:name="_Toc184313252"/>
      <w:bookmarkEnd w:id="369"/>
      <w:bookmarkStart w:id="370" w:name="_Toc184312086"/>
      <w:bookmarkEnd w:id="370"/>
      <w:bookmarkStart w:id="371" w:name="_Toc184314470"/>
      <w:bookmarkEnd w:id="371"/>
      <w:bookmarkStart w:id="372" w:name="_Toc184308107"/>
      <w:bookmarkEnd w:id="372"/>
      <w:bookmarkStart w:id="373" w:name="_Toc184314432"/>
      <w:bookmarkEnd w:id="373"/>
      <w:bookmarkStart w:id="374" w:name="_Toc184308053"/>
      <w:bookmarkEnd w:id="374"/>
      <w:bookmarkStart w:id="375" w:name="_Toc184312118"/>
      <w:bookmarkEnd w:id="375"/>
      <w:bookmarkStart w:id="376" w:name="_Toc184310298"/>
      <w:bookmarkEnd w:id="376"/>
      <w:bookmarkStart w:id="377" w:name="_Toc184313281"/>
      <w:bookmarkEnd w:id="377"/>
      <w:bookmarkStart w:id="378" w:name="_Toc184312093"/>
      <w:bookmarkEnd w:id="378"/>
      <w:bookmarkStart w:id="379" w:name="_Toc184310299"/>
      <w:bookmarkEnd w:id="379"/>
      <w:bookmarkStart w:id="380" w:name="_Toc184308086"/>
      <w:bookmarkEnd w:id="380"/>
      <w:bookmarkStart w:id="381" w:name="_Toc184313271"/>
      <w:bookmarkEnd w:id="381"/>
      <w:bookmarkStart w:id="382" w:name="_Toc184312121"/>
      <w:bookmarkEnd w:id="382"/>
      <w:bookmarkStart w:id="383" w:name="_Toc184308102"/>
      <w:bookmarkEnd w:id="383"/>
      <w:bookmarkStart w:id="384" w:name="_Toc184310326"/>
      <w:bookmarkEnd w:id="384"/>
      <w:bookmarkStart w:id="385" w:name="_Toc184310314"/>
      <w:bookmarkEnd w:id="385"/>
      <w:bookmarkStart w:id="386" w:name="_Toc184313248"/>
      <w:bookmarkEnd w:id="386"/>
      <w:bookmarkStart w:id="387" w:name="_Toc184314477"/>
      <w:bookmarkEnd w:id="387"/>
      <w:bookmarkStart w:id="388" w:name="_Toc184308067"/>
      <w:bookmarkEnd w:id="388"/>
      <w:bookmarkStart w:id="389" w:name="_Toc184310313"/>
      <w:bookmarkEnd w:id="389"/>
      <w:bookmarkStart w:id="390" w:name="_Toc184313303"/>
      <w:bookmarkEnd w:id="390"/>
      <w:bookmarkStart w:id="391" w:name="_Toc184312106"/>
      <w:bookmarkEnd w:id="391"/>
      <w:bookmarkStart w:id="392" w:name="_Toc184314437"/>
      <w:bookmarkEnd w:id="392"/>
      <w:bookmarkStart w:id="393" w:name="_Toc184314442"/>
      <w:bookmarkEnd w:id="393"/>
      <w:bookmarkStart w:id="394" w:name="_Toc184308098"/>
      <w:bookmarkEnd w:id="394"/>
      <w:bookmarkStart w:id="395" w:name="_Toc184310303"/>
      <w:bookmarkEnd w:id="395"/>
      <w:bookmarkStart w:id="396" w:name="_Toc184313261"/>
      <w:bookmarkEnd w:id="396"/>
      <w:bookmarkStart w:id="397" w:name="_Toc184312074"/>
      <w:bookmarkEnd w:id="397"/>
      <w:r>
        <w:rPr>
          <w:rFonts w:hint="eastAsia" w:ascii="宋体" w:hAnsi="宋体" w:cs="宋体"/>
          <w:b/>
          <w:color w:val="auto"/>
          <w:sz w:val="36"/>
          <w:szCs w:val="20"/>
          <w:highlight w:val="none"/>
        </w:rPr>
        <w:t xml:space="preserve"> 评审办法</w:t>
      </w:r>
    </w:p>
    <w:p w14:paraId="5DE6BDA7">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评审办法前附表</w:t>
      </w:r>
    </w:p>
    <w:tbl>
      <w:tblPr>
        <w:tblStyle w:val="63"/>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5294"/>
        <w:gridCol w:w="956"/>
        <w:gridCol w:w="1276"/>
        <w:gridCol w:w="1195"/>
      </w:tblGrid>
      <w:tr w14:paraId="4009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80687B5">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5294" w:type="dxa"/>
            <w:vAlign w:val="center"/>
          </w:tcPr>
          <w:p w14:paraId="2D911501">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评审标准</w:t>
            </w:r>
          </w:p>
        </w:tc>
        <w:tc>
          <w:tcPr>
            <w:tcW w:w="956" w:type="dxa"/>
            <w:vAlign w:val="center"/>
          </w:tcPr>
          <w:p w14:paraId="31DF90B8">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权重</w:t>
            </w:r>
          </w:p>
          <w:p w14:paraId="68BFB603">
            <w:pPr>
              <w:snapToGrid w:val="0"/>
              <w:outlineLvl w:val="0"/>
              <w:rPr>
                <w:rFonts w:hint="eastAsia" w:ascii="宋体" w:hAnsi="宋体" w:cs="宋体"/>
                <w:b/>
                <w:color w:val="auto"/>
                <w:sz w:val="24"/>
                <w:highlight w:val="none"/>
              </w:rPr>
            </w:pPr>
            <w:r>
              <w:rPr>
                <w:rFonts w:hint="eastAsia" w:ascii="宋体" w:hAnsi="宋体" w:cs="宋体"/>
                <w:b/>
                <w:bCs/>
                <w:color w:val="auto"/>
                <w:sz w:val="24"/>
                <w:highlight w:val="none"/>
              </w:rPr>
              <w:t>（分）</w:t>
            </w:r>
          </w:p>
        </w:tc>
        <w:tc>
          <w:tcPr>
            <w:tcW w:w="1276" w:type="dxa"/>
            <w:vAlign w:val="center"/>
          </w:tcPr>
          <w:p w14:paraId="1DB682C2">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主观分/客观分</w:t>
            </w:r>
          </w:p>
        </w:tc>
        <w:tc>
          <w:tcPr>
            <w:tcW w:w="1195" w:type="dxa"/>
          </w:tcPr>
          <w:p w14:paraId="7DC31501">
            <w:pPr>
              <w:snapToGrid w:val="0"/>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响应文件中评审标准相应的商务技术资料目录</w:t>
            </w:r>
            <w:r>
              <w:rPr>
                <w:rFonts w:hint="eastAsia" w:ascii="宋体" w:hAnsi="宋体" w:cs="宋体"/>
                <w:b/>
                <w:color w:val="auto"/>
                <w:sz w:val="24"/>
                <w:highlight w:val="none"/>
              </w:rPr>
              <w:t> *</w:t>
            </w:r>
          </w:p>
        </w:tc>
      </w:tr>
      <w:tr w14:paraId="6BB9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513CE2CD">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1</w:t>
            </w:r>
          </w:p>
        </w:tc>
        <w:tc>
          <w:tcPr>
            <w:tcW w:w="5294" w:type="dxa"/>
            <w:vAlign w:val="center"/>
          </w:tcPr>
          <w:p w14:paraId="27D5C437">
            <w:pPr>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供应商20</w:t>
            </w:r>
            <w:r>
              <w:rPr>
                <w:rFonts w:hint="eastAsia" w:ascii="宋体" w:hAnsi="宋体" w:cs="宋体"/>
                <w:bCs/>
                <w:color w:val="auto"/>
                <w:sz w:val="24"/>
                <w:highlight w:val="none"/>
              </w:rPr>
              <w:t>23</w:t>
            </w:r>
            <w:r>
              <w:rPr>
                <w:rFonts w:hint="eastAsia" w:ascii="宋体" w:hAnsi="宋体" w:cs="宋体"/>
                <w:bCs/>
                <w:color w:val="auto"/>
                <w:sz w:val="24"/>
                <w:highlight w:val="none"/>
                <w:lang w:val="zh-CN"/>
              </w:rPr>
              <w:t>年1月1日至今具有类似工程施工业绩，每提供一个合同</w:t>
            </w:r>
            <w:r>
              <w:rPr>
                <w:rFonts w:hint="eastAsia" w:ascii="宋体" w:hAnsi="宋体" w:cs="宋体"/>
                <w:bCs/>
                <w:color w:val="auto"/>
                <w:sz w:val="24"/>
                <w:highlight w:val="none"/>
              </w:rPr>
              <w:t>和</w:t>
            </w:r>
            <w:r>
              <w:rPr>
                <w:rFonts w:hint="eastAsia" w:ascii="宋体" w:hAnsi="宋体" w:cs="宋体"/>
                <w:bCs/>
                <w:color w:val="auto"/>
                <w:sz w:val="24"/>
                <w:highlight w:val="none"/>
                <w:lang w:val="zh-CN"/>
              </w:rPr>
              <w:t>竣工验收报告得</w:t>
            </w:r>
            <w:r>
              <w:rPr>
                <w:rFonts w:hint="eastAsia" w:ascii="宋体" w:hAnsi="宋体" w:cs="宋体"/>
                <w:bCs/>
                <w:color w:val="auto"/>
                <w:sz w:val="24"/>
                <w:highlight w:val="none"/>
              </w:rPr>
              <w:t>0.5</w:t>
            </w:r>
            <w:r>
              <w:rPr>
                <w:rFonts w:hint="eastAsia" w:ascii="宋体" w:hAnsi="宋体" w:cs="宋体"/>
                <w:bCs/>
                <w:color w:val="auto"/>
                <w:sz w:val="24"/>
                <w:highlight w:val="none"/>
                <w:lang w:val="zh-CN"/>
              </w:rPr>
              <w:t>分，最高</w:t>
            </w:r>
            <w:r>
              <w:rPr>
                <w:rFonts w:hint="eastAsia" w:ascii="宋体" w:hAnsi="宋体" w:cs="宋体"/>
                <w:bCs/>
                <w:color w:val="auto"/>
                <w:sz w:val="24"/>
                <w:highlight w:val="none"/>
                <w:lang w:val="en-US" w:eastAsia="zh-CN"/>
              </w:rPr>
              <w:t>得1.5</w:t>
            </w:r>
            <w:r>
              <w:rPr>
                <w:rFonts w:hint="eastAsia" w:ascii="宋体" w:hAnsi="宋体" w:cs="宋体"/>
                <w:bCs/>
                <w:color w:val="auto"/>
                <w:sz w:val="24"/>
                <w:highlight w:val="none"/>
                <w:lang w:val="zh-CN"/>
              </w:rPr>
              <w:t>分。</w:t>
            </w:r>
            <w:bookmarkStart w:id="1036" w:name="_GoBack"/>
            <w:bookmarkEnd w:id="1036"/>
          </w:p>
          <w:p w14:paraId="4ED5417B">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注1：需同时</w:t>
            </w:r>
            <w:r>
              <w:rPr>
                <w:rFonts w:hint="eastAsia" w:ascii="宋体" w:hAnsi="宋体" w:cs="宋体"/>
                <w:bCs/>
                <w:color w:val="auto"/>
                <w:sz w:val="24"/>
                <w:highlight w:val="none"/>
                <w:lang w:val="zh-CN"/>
              </w:rPr>
              <w:t>提供合同</w:t>
            </w:r>
            <w:r>
              <w:rPr>
                <w:rFonts w:hint="eastAsia" w:ascii="宋体" w:hAnsi="宋体" w:cs="宋体"/>
                <w:bCs/>
                <w:color w:val="auto"/>
                <w:sz w:val="24"/>
                <w:highlight w:val="none"/>
              </w:rPr>
              <w:t>和</w:t>
            </w:r>
            <w:r>
              <w:rPr>
                <w:rFonts w:hint="eastAsia" w:ascii="宋体" w:hAnsi="宋体" w:cs="宋体"/>
                <w:bCs/>
                <w:color w:val="auto"/>
                <w:sz w:val="24"/>
                <w:highlight w:val="none"/>
                <w:lang w:val="zh-CN"/>
              </w:rPr>
              <w:t>竣工验收报告，</w:t>
            </w:r>
            <w:r>
              <w:rPr>
                <w:rFonts w:hint="eastAsia" w:ascii="宋体" w:hAnsi="宋体" w:cs="宋体"/>
                <w:bCs/>
                <w:color w:val="auto"/>
                <w:sz w:val="24"/>
                <w:highlight w:val="none"/>
              </w:rPr>
              <w:t>未提供不得分。</w:t>
            </w:r>
          </w:p>
          <w:p w14:paraId="663DDACE">
            <w:pPr>
              <w:spacing w:line="400" w:lineRule="exact"/>
              <w:rPr>
                <w:rFonts w:hint="eastAsia" w:ascii="宋体" w:hAnsi="宋体" w:cs="宋体"/>
                <w:bCs/>
                <w:color w:val="auto"/>
                <w:sz w:val="24"/>
                <w:highlight w:val="none"/>
              </w:rPr>
            </w:pPr>
            <w:r>
              <w:rPr>
                <w:rFonts w:hint="eastAsia" w:ascii="宋体" w:hAnsi="宋体" w:cs="宋体"/>
                <w:bCs/>
                <w:color w:val="auto"/>
                <w:sz w:val="24"/>
                <w:highlight w:val="none"/>
              </w:rPr>
              <w:t>注2：时间以合同签订时间为准。</w:t>
            </w:r>
          </w:p>
          <w:p w14:paraId="6E0009D8">
            <w:pPr>
              <w:spacing w:line="400" w:lineRule="exact"/>
              <w:rPr>
                <w:rFonts w:hint="eastAsia" w:ascii="宋体" w:hAnsi="宋体" w:cs="宋体"/>
                <w:color w:val="auto"/>
                <w:sz w:val="24"/>
                <w:highlight w:val="none"/>
              </w:rPr>
            </w:pPr>
            <w:r>
              <w:rPr>
                <w:rFonts w:hint="eastAsia" w:ascii="宋体" w:hAnsi="宋体" w:cs="宋体"/>
                <w:color w:val="auto"/>
                <w:sz w:val="24"/>
                <w:highlight w:val="none"/>
              </w:rPr>
              <w:t>注3：要求证明材料能反映评审要素，提供的证明材料不能反映评审要素的可提供其他的佐证材料（包括业主证明等）。</w:t>
            </w:r>
          </w:p>
        </w:tc>
        <w:tc>
          <w:tcPr>
            <w:tcW w:w="956" w:type="dxa"/>
            <w:vAlign w:val="center"/>
          </w:tcPr>
          <w:p w14:paraId="12868AB9">
            <w:pPr>
              <w:snapToGrid w:val="0"/>
              <w:spacing w:line="400" w:lineRule="exact"/>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276" w:type="dxa"/>
            <w:vAlign w:val="center"/>
          </w:tcPr>
          <w:p w14:paraId="4E849A5F">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vAlign w:val="center"/>
          </w:tcPr>
          <w:p w14:paraId="50230D12">
            <w:pPr>
              <w:snapToGrid w:val="0"/>
              <w:jc w:val="center"/>
              <w:outlineLvl w:val="0"/>
              <w:rPr>
                <w:rFonts w:hint="eastAsia" w:ascii="宋体" w:hAnsi="宋体" w:cs="宋体"/>
                <w:color w:val="auto"/>
                <w:sz w:val="24"/>
                <w:highlight w:val="none"/>
              </w:rPr>
            </w:pPr>
          </w:p>
        </w:tc>
      </w:tr>
      <w:tr w14:paraId="1D8BE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3EFA9CA6">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2</w:t>
            </w:r>
          </w:p>
        </w:tc>
        <w:tc>
          <w:tcPr>
            <w:tcW w:w="5294" w:type="dxa"/>
            <w:vAlign w:val="center"/>
          </w:tcPr>
          <w:p w14:paraId="2F587222">
            <w:pPr>
              <w:snapToGrid w:val="0"/>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供应商具有有效期内的质量管理体系认证证书、环境管理体系认证证书、职业健康安全管理体系认证证书的，每项得1分，本项最多3分，未提供不得分；</w:t>
            </w:r>
          </w:p>
          <w:p w14:paraId="6F1F566B">
            <w:pPr>
              <w:snapToGrid w:val="0"/>
              <w:spacing w:line="400" w:lineRule="exact"/>
              <w:outlineLvl w:val="0"/>
              <w:rPr>
                <w:rFonts w:hint="eastAsia" w:ascii="宋体" w:hAnsi="宋体" w:cs="宋体"/>
                <w:color w:val="auto"/>
                <w:sz w:val="24"/>
                <w:highlight w:val="none"/>
              </w:rPr>
            </w:pPr>
            <w:r>
              <w:rPr>
                <w:rFonts w:hint="eastAsia" w:ascii="宋体" w:hAnsi="宋体" w:cs="宋体"/>
                <w:color w:val="auto"/>
                <w:sz w:val="24"/>
                <w:highlight w:val="none"/>
              </w:rPr>
              <w:t>注：提供有效的认证证书复印件（并提供国家认证认可监督管理委员会官网（https://www.cnca.gov.cn/）查询截图）加盖公章，不提供不得分。</w:t>
            </w:r>
          </w:p>
        </w:tc>
        <w:tc>
          <w:tcPr>
            <w:tcW w:w="956" w:type="dxa"/>
            <w:vAlign w:val="center"/>
          </w:tcPr>
          <w:p w14:paraId="20433F6F">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3</w:t>
            </w:r>
          </w:p>
        </w:tc>
        <w:tc>
          <w:tcPr>
            <w:tcW w:w="1276" w:type="dxa"/>
            <w:vAlign w:val="center"/>
          </w:tcPr>
          <w:p w14:paraId="4EE542D7">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vAlign w:val="center"/>
          </w:tcPr>
          <w:p w14:paraId="4C4210D0">
            <w:pPr>
              <w:snapToGrid w:val="0"/>
              <w:jc w:val="center"/>
              <w:outlineLvl w:val="0"/>
              <w:rPr>
                <w:rFonts w:hint="eastAsia" w:ascii="宋体" w:hAnsi="宋体" w:cs="宋体"/>
                <w:color w:val="auto"/>
                <w:sz w:val="24"/>
                <w:highlight w:val="none"/>
              </w:rPr>
            </w:pPr>
          </w:p>
        </w:tc>
      </w:tr>
      <w:tr w14:paraId="4705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1BF07AC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5294" w:type="dxa"/>
            <w:vAlign w:val="center"/>
          </w:tcPr>
          <w:p w14:paraId="73A2E481">
            <w:pPr>
              <w:snapToGrid w:val="0"/>
              <w:spacing w:line="400" w:lineRule="exact"/>
              <w:rPr>
                <w:rFonts w:hint="eastAsia" w:ascii="宋体" w:hAnsi="宋体" w:cs="宋体"/>
                <w:color w:val="auto"/>
                <w:sz w:val="24"/>
                <w:highlight w:val="none"/>
              </w:rPr>
            </w:pPr>
            <w:r>
              <w:rPr>
                <w:rFonts w:hint="eastAsia" w:ascii="宋体" w:hAnsi="宋体" w:cs="宋体"/>
                <w:bCs/>
                <w:color w:val="auto"/>
                <w:sz w:val="24"/>
                <w:highlight w:val="none"/>
              </w:rPr>
              <w:t>供应商拟派技术负责人具有高级工程师及以上证书的得2分，具有工程师证书的得1分，</w:t>
            </w:r>
            <w:r>
              <w:rPr>
                <w:rFonts w:hint="eastAsia" w:ascii="宋体" w:hAnsi="宋体" w:cs="宋体"/>
                <w:bCs/>
                <w:color w:val="auto"/>
                <w:sz w:val="24"/>
                <w:highlight w:val="none"/>
                <w:lang w:val="zh-CN"/>
              </w:rPr>
              <w:t>其他不得分。（提供</w:t>
            </w:r>
            <w:r>
              <w:rPr>
                <w:rFonts w:hint="eastAsia" w:ascii="宋体" w:hAnsi="宋体" w:cs="宋体"/>
                <w:bCs/>
                <w:color w:val="auto"/>
                <w:sz w:val="24"/>
                <w:highlight w:val="none"/>
              </w:rPr>
              <w:t>证书扫描件及响应供应商为其缴纳近三个月中任一一个月的社保证明</w:t>
            </w:r>
            <w:r>
              <w:rPr>
                <w:rFonts w:hint="eastAsia" w:ascii="宋体" w:hAnsi="宋体" w:cs="宋体"/>
                <w:bCs/>
                <w:color w:val="auto"/>
                <w:sz w:val="24"/>
                <w:highlight w:val="none"/>
                <w:lang w:val="zh-CN"/>
              </w:rPr>
              <w:t>）</w:t>
            </w:r>
          </w:p>
        </w:tc>
        <w:tc>
          <w:tcPr>
            <w:tcW w:w="956" w:type="dxa"/>
            <w:vAlign w:val="center"/>
          </w:tcPr>
          <w:p w14:paraId="4B251C41">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2</w:t>
            </w:r>
          </w:p>
        </w:tc>
        <w:tc>
          <w:tcPr>
            <w:tcW w:w="1276" w:type="dxa"/>
            <w:vAlign w:val="center"/>
          </w:tcPr>
          <w:p w14:paraId="69B9B8F6">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vAlign w:val="center"/>
          </w:tcPr>
          <w:p w14:paraId="14F99CEC">
            <w:pPr>
              <w:snapToGrid w:val="0"/>
              <w:jc w:val="center"/>
              <w:rPr>
                <w:rFonts w:hint="eastAsia" w:ascii="宋体" w:hAnsi="宋体" w:cs="宋体"/>
                <w:color w:val="auto"/>
                <w:sz w:val="24"/>
                <w:highlight w:val="none"/>
              </w:rPr>
            </w:pPr>
          </w:p>
        </w:tc>
      </w:tr>
      <w:tr w14:paraId="4EA7D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260D07B">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5294" w:type="dxa"/>
            <w:vAlign w:val="center"/>
          </w:tcPr>
          <w:p w14:paraId="172AC4BF">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拟派驻现场的项目组管理人员（项目经理、技术负责人、施工员、质量员、安全员、资料员、材料员）人员配置齐全的得4分，每缺一个扣1分。</w:t>
            </w:r>
          </w:p>
          <w:p w14:paraId="5ECA807E">
            <w:pPr>
              <w:tabs>
                <w:tab w:val="left" w:pos="0"/>
              </w:tabs>
              <w:spacing w:line="400" w:lineRule="exact"/>
              <w:rPr>
                <w:rFonts w:hint="eastAsia" w:ascii="宋体" w:hAnsi="宋体" w:cs="宋体"/>
                <w:color w:val="auto"/>
                <w:sz w:val="24"/>
                <w:highlight w:val="none"/>
              </w:rPr>
            </w:pPr>
            <w:r>
              <w:rPr>
                <w:rFonts w:hint="eastAsia" w:ascii="宋体" w:hAnsi="宋体" w:cs="宋体"/>
                <w:bCs/>
                <w:color w:val="auto"/>
                <w:sz w:val="24"/>
                <w:highlight w:val="none"/>
                <w:lang w:val="zh-CN"/>
              </w:rPr>
              <w:t>（</w:t>
            </w:r>
            <w:r>
              <w:rPr>
                <w:rFonts w:hint="eastAsia" w:ascii="宋体" w:hAnsi="宋体" w:cs="宋体"/>
                <w:bCs/>
                <w:color w:val="auto"/>
                <w:sz w:val="24"/>
                <w:highlight w:val="none"/>
              </w:rPr>
              <w:t>项目组人员需提供相关证书及响应供应商为其缴纳近三个月中任一一个月的社保证明</w:t>
            </w:r>
            <w:r>
              <w:rPr>
                <w:rFonts w:hint="eastAsia" w:ascii="宋体" w:hAnsi="宋体" w:cs="宋体"/>
                <w:bCs/>
                <w:color w:val="auto"/>
                <w:sz w:val="24"/>
                <w:highlight w:val="none"/>
                <w:lang w:val="zh-CN"/>
              </w:rPr>
              <w:t>）</w:t>
            </w:r>
          </w:p>
        </w:tc>
        <w:tc>
          <w:tcPr>
            <w:tcW w:w="956" w:type="dxa"/>
            <w:vAlign w:val="center"/>
          </w:tcPr>
          <w:p w14:paraId="19B048F4">
            <w:pPr>
              <w:tabs>
                <w:tab w:val="left" w:pos="0"/>
              </w:tabs>
              <w:spacing w:line="400" w:lineRule="exact"/>
              <w:jc w:val="center"/>
              <w:rPr>
                <w:rFonts w:hint="eastAsia" w:ascii="宋体" w:hAnsi="宋体" w:cs="宋体"/>
                <w:bCs/>
                <w:color w:val="auto"/>
                <w:sz w:val="24"/>
                <w:highlight w:val="none"/>
              </w:rPr>
            </w:pPr>
            <w:r>
              <w:rPr>
                <w:rFonts w:hint="eastAsia" w:ascii="宋体" w:hAnsi="宋体" w:cs="宋体"/>
                <w:bCs/>
                <w:color w:val="auto"/>
                <w:sz w:val="24"/>
                <w:highlight w:val="none"/>
              </w:rPr>
              <w:t>0-4</w:t>
            </w:r>
          </w:p>
        </w:tc>
        <w:tc>
          <w:tcPr>
            <w:tcW w:w="1276" w:type="dxa"/>
            <w:vAlign w:val="center"/>
          </w:tcPr>
          <w:p w14:paraId="1AEB70B1">
            <w:pPr>
              <w:snapToGrid w:val="0"/>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vAlign w:val="center"/>
          </w:tcPr>
          <w:p w14:paraId="554EE4AE">
            <w:pPr>
              <w:snapToGrid w:val="0"/>
              <w:jc w:val="center"/>
              <w:rPr>
                <w:rFonts w:hint="eastAsia" w:ascii="宋体" w:hAnsi="宋体" w:cs="宋体"/>
                <w:color w:val="auto"/>
                <w:sz w:val="24"/>
                <w:highlight w:val="none"/>
              </w:rPr>
            </w:pPr>
          </w:p>
        </w:tc>
      </w:tr>
      <w:tr w14:paraId="76108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10" w:type="dxa"/>
            <w:vMerge w:val="restart"/>
            <w:vAlign w:val="center"/>
          </w:tcPr>
          <w:p w14:paraId="1726E48F">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5294" w:type="dxa"/>
            <w:vAlign w:val="center"/>
          </w:tcPr>
          <w:p w14:paraId="4A1AF6B3">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根据提供的样品进行打分：</w:t>
            </w:r>
          </w:p>
          <w:p w14:paraId="07770613">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w:t>
            </w:r>
            <w:bookmarkStart w:id="398" w:name="_Hlk202613532"/>
            <w:r>
              <w:rPr>
                <w:rFonts w:hint="eastAsia" w:ascii="宋体" w:hAnsi="宋体" w:cs="宋体"/>
                <w:bCs/>
                <w:color w:val="auto"/>
                <w:sz w:val="24"/>
                <w:highlight w:val="none"/>
              </w:rPr>
              <w:t>9</w:t>
            </w:r>
            <w:r>
              <w:rPr>
                <w:rFonts w:hint="eastAsia" w:ascii="宋体" w:hAnsi="宋体" w:cs="宋体"/>
                <w:bCs/>
                <w:color w:val="auto"/>
                <w:sz w:val="24"/>
                <w:highlight w:val="none"/>
                <w:lang w:val="zh-CN"/>
              </w:rPr>
              <w:t>mm厚（</w:t>
            </w:r>
            <w:r>
              <w:rPr>
                <w:rFonts w:hint="eastAsia" w:ascii="宋体" w:hAnsi="宋体" w:cs="宋体"/>
                <w:bCs/>
                <w:color w:val="auto"/>
                <w:sz w:val="24"/>
                <w:highlight w:val="none"/>
              </w:rPr>
              <w:t>5+4）复合型</w:t>
            </w:r>
            <w:r>
              <w:rPr>
                <w:rFonts w:hint="eastAsia" w:ascii="宋体" w:hAnsi="宋体" w:cs="宋体"/>
                <w:bCs/>
                <w:color w:val="auto"/>
                <w:sz w:val="24"/>
                <w:highlight w:val="none"/>
                <w:lang w:val="zh-CN"/>
              </w:rPr>
              <w:t>硅PU样块</w:t>
            </w:r>
            <w:bookmarkEnd w:id="398"/>
            <w:r>
              <w:rPr>
                <w:rFonts w:hint="eastAsia" w:ascii="宋体" w:hAnsi="宋体" w:cs="宋体"/>
                <w:bCs/>
                <w:color w:val="auto"/>
                <w:sz w:val="24"/>
                <w:highlight w:val="none"/>
                <w:lang w:val="zh-CN"/>
              </w:rPr>
              <w:t>（样品需要体现分层制作，尺寸60cm*60cm。）</w:t>
            </w:r>
          </w:p>
          <w:p w14:paraId="7C30C098">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（1）样品的外观式样：颜色均匀耐看、纹理分明得2分，颜色比较均匀耐看，纹理不够清晰得1分，颜色不均匀，缺陷明显不得分；</w:t>
            </w:r>
          </w:p>
          <w:p w14:paraId="7559822C">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（2）制作水平、质量：严格按照工艺标准制作，层次清晰得2分，做工略有瑕疵，但不影响使用得1分，做工粗糙不得分；</w:t>
            </w:r>
          </w:p>
          <w:p w14:paraId="05E3D50A">
            <w:pPr>
              <w:tabs>
                <w:tab w:val="left" w:pos="0"/>
              </w:tabs>
              <w:spacing w:line="400" w:lineRule="exact"/>
              <w:rPr>
                <w:rFonts w:hint="eastAsia" w:ascii="宋体" w:hAnsi="宋体" w:cs="宋体"/>
                <w:color w:val="auto"/>
                <w:sz w:val="24"/>
                <w:highlight w:val="none"/>
              </w:rPr>
            </w:pPr>
            <w:r>
              <w:rPr>
                <w:rFonts w:hint="eastAsia" w:ascii="宋体" w:hAnsi="宋体" w:cs="宋体"/>
                <w:bCs/>
                <w:color w:val="auto"/>
                <w:sz w:val="24"/>
                <w:highlight w:val="none"/>
                <w:lang w:val="zh-CN"/>
              </w:rPr>
              <w:t>（3）气味：无明显气味得1分，有明显刺鼻气味不得分；</w:t>
            </w:r>
          </w:p>
        </w:tc>
        <w:tc>
          <w:tcPr>
            <w:tcW w:w="956" w:type="dxa"/>
            <w:vAlign w:val="center"/>
          </w:tcPr>
          <w:p w14:paraId="10708846">
            <w:pPr>
              <w:tabs>
                <w:tab w:val="left" w:pos="0"/>
              </w:tabs>
              <w:spacing w:line="400" w:lineRule="exact"/>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5</w:t>
            </w:r>
          </w:p>
        </w:tc>
        <w:tc>
          <w:tcPr>
            <w:tcW w:w="1276" w:type="dxa"/>
            <w:vMerge w:val="restart"/>
            <w:vAlign w:val="center"/>
          </w:tcPr>
          <w:p w14:paraId="48289C47">
            <w:pPr>
              <w:snapToGrid w:val="0"/>
              <w:spacing w:line="320" w:lineRule="exact"/>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Merge w:val="restart"/>
            <w:vAlign w:val="center"/>
          </w:tcPr>
          <w:p w14:paraId="59002822">
            <w:pPr>
              <w:snapToGrid w:val="0"/>
              <w:jc w:val="center"/>
              <w:rPr>
                <w:rFonts w:hint="eastAsia" w:ascii="宋体" w:hAnsi="宋体" w:cs="宋体"/>
                <w:color w:val="auto"/>
                <w:sz w:val="24"/>
                <w:highlight w:val="none"/>
              </w:rPr>
            </w:pPr>
          </w:p>
        </w:tc>
      </w:tr>
      <w:tr w14:paraId="418A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10" w:type="dxa"/>
            <w:vMerge w:val="continue"/>
            <w:vAlign w:val="center"/>
          </w:tcPr>
          <w:p w14:paraId="720F9141">
            <w:pPr>
              <w:snapToGrid w:val="0"/>
              <w:spacing w:line="400" w:lineRule="exact"/>
              <w:rPr>
                <w:rFonts w:hint="eastAsia" w:ascii="宋体" w:hAnsi="宋体" w:cs="宋体"/>
                <w:color w:val="auto"/>
                <w:sz w:val="24"/>
                <w:highlight w:val="none"/>
              </w:rPr>
            </w:pPr>
          </w:p>
        </w:tc>
        <w:tc>
          <w:tcPr>
            <w:tcW w:w="5294" w:type="dxa"/>
            <w:vAlign w:val="center"/>
          </w:tcPr>
          <w:p w14:paraId="5A4457C8">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w:t>
            </w:r>
            <w:bookmarkStart w:id="399" w:name="_Hlk202613555"/>
            <w:r>
              <w:rPr>
                <w:rFonts w:hint="eastAsia" w:ascii="宋体" w:hAnsi="宋体" w:cs="宋体"/>
                <w:bCs/>
                <w:color w:val="auto"/>
                <w:sz w:val="24"/>
                <w:highlight w:val="none"/>
                <w:lang w:val="zh-CN"/>
              </w:rPr>
              <w:t>50mm高人造草坪样块</w:t>
            </w:r>
            <w:bookmarkEnd w:id="399"/>
            <w:r>
              <w:rPr>
                <w:rFonts w:hint="eastAsia" w:ascii="宋体" w:hAnsi="宋体" w:cs="宋体"/>
                <w:bCs/>
                <w:color w:val="auto"/>
                <w:sz w:val="24"/>
                <w:highlight w:val="none"/>
                <w:lang w:val="zh-CN"/>
              </w:rPr>
              <w:t>（尺寸80cm*80cm、中间10cm白草编织）</w:t>
            </w:r>
          </w:p>
          <w:p w14:paraId="0AE88686">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（1）色彩鲜艳饱和度高，草丝柔韧性强，走针均匀，底背背胶均匀，与草针粘合力强的得5分；</w:t>
            </w:r>
          </w:p>
          <w:p w14:paraId="157D879E">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（2）色彩鲜艳饱和度适中，草丝柔韧性适中，走针无明显瑕疵，底背背胶均匀，与草针粘合无明显脱胶的得3分；</w:t>
            </w:r>
          </w:p>
          <w:p w14:paraId="0BC87013">
            <w:pPr>
              <w:tabs>
                <w:tab w:val="left" w:pos="0"/>
              </w:tabs>
              <w:spacing w:line="400" w:lineRule="exact"/>
              <w:rPr>
                <w:rFonts w:hint="eastAsia" w:ascii="宋体" w:hAnsi="宋体" w:cs="宋体"/>
                <w:bCs/>
                <w:color w:val="auto"/>
                <w:sz w:val="24"/>
                <w:highlight w:val="none"/>
                <w:lang w:val="zh-CN"/>
              </w:rPr>
            </w:pPr>
            <w:r>
              <w:rPr>
                <w:rFonts w:hint="eastAsia" w:ascii="宋体" w:hAnsi="宋体" w:cs="宋体"/>
                <w:bCs/>
                <w:color w:val="auto"/>
                <w:sz w:val="24"/>
                <w:highlight w:val="none"/>
                <w:lang w:val="zh-CN"/>
              </w:rPr>
              <w:t>（3）色彩黯淡饱和度低，草丝较脆，一扯即断，走针错乱，底胶背胶与草针粘合有明显脱胶的得1分；</w:t>
            </w:r>
          </w:p>
        </w:tc>
        <w:tc>
          <w:tcPr>
            <w:tcW w:w="956" w:type="dxa"/>
            <w:vAlign w:val="center"/>
          </w:tcPr>
          <w:p w14:paraId="23803ACF">
            <w:pPr>
              <w:snapToGrid w:val="0"/>
              <w:spacing w:line="400" w:lineRule="exact"/>
              <w:jc w:val="center"/>
              <w:rPr>
                <w:rFonts w:hint="eastAsia" w:ascii="宋体" w:hAnsi="宋体" w:eastAsia="宋体" w:cs="宋体"/>
                <w:bCs/>
                <w:color w:val="auto"/>
                <w:sz w:val="24"/>
                <w:highlight w:val="none"/>
                <w:lang w:val="en-US" w:eastAsia="zh-CN"/>
              </w:rPr>
            </w:pPr>
            <w:r>
              <w:rPr>
                <w:rFonts w:hint="eastAsia" w:ascii="宋体" w:hAnsi="宋体" w:cs="宋体"/>
                <w:bCs/>
                <w:color w:val="auto"/>
                <w:sz w:val="24"/>
                <w:highlight w:val="none"/>
              </w:rPr>
              <w:t>0-</w:t>
            </w:r>
            <w:r>
              <w:rPr>
                <w:rFonts w:hint="eastAsia" w:ascii="宋体" w:hAnsi="宋体" w:cs="宋体"/>
                <w:bCs/>
                <w:color w:val="auto"/>
                <w:sz w:val="24"/>
                <w:highlight w:val="none"/>
                <w:lang w:val="en-US" w:eastAsia="zh-CN"/>
              </w:rPr>
              <w:t>5</w:t>
            </w:r>
          </w:p>
        </w:tc>
        <w:tc>
          <w:tcPr>
            <w:tcW w:w="1276" w:type="dxa"/>
            <w:vMerge w:val="continue"/>
            <w:vAlign w:val="center"/>
          </w:tcPr>
          <w:p w14:paraId="095CC9A1">
            <w:pPr>
              <w:snapToGrid w:val="0"/>
              <w:spacing w:line="400" w:lineRule="exact"/>
              <w:rPr>
                <w:rFonts w:hint="eastAsia" w:ascii="宋体" w:hAnsi="宋体" w:cs="宋体"/>
                <w:bCs/>
                <w:color w:val="auto"/>
                <w:sz w:val="24"/>
                <w:highlight w:val="none"/>
                <w:lang w:val="zh-CN"/>
              </w:rPr>
            </w:pPr>
          </w:p>
        </w:tc>
        <w:tc>
          <w:tcPr>
            <w:tcW w:w="1195" w:type="dxa"/>
            <w:vMerge w:val="continue"/>
            <w:vAlign w:val="center"/>
          </w:tcPr>
          <w:p w14:paraId="47AFE254">
            <w:pPr>
              <w:snapToGrid w:val="0"/>
              <w:spacing w:line="400" w:lineRule="exact"/>
              <w:rPr>
                <w:rFonts w:hint="eastAsia" w:ascii="宋体" w:hAnsi="宋体" w:cs="宋体"/>
                <w:bCs/>
                <w:color w:val="auto"/>
                <w:sz w:val="24"/>
                <w:highlight w:val="none"/>
                <w:lang w:val="zh-CN"/>
              </w:rPr>
            </w:pPr>
          </w:p>
        </w:tc>
      </w:tr>
      <w:tr w14:paraId="258E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DBEF623">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6</w:t>
            </w:r>
          </w:p>
        </w:tc>
        <w:tc>
          <w:tcPr>
            <w:tcW w:w="5294" w:type="dxa"/>
            <w:vAlign w:val="center"/>
          </w:tcPr>
          <w:p w14:paraId="21F599C6">
            <w:pPr>
              <w:spacing w:line="400" w:lineRule="exact"/>
              <w:rPr>
                <w:rFonts w:hint="eastAsia" w:ascii="宋体" w:hAnsi="宋体" w:cs="宋体"/>
                <w:color w:val="auto"/>
                <w:sz w:val="24"/>
                <w:highlight w:val="none"/>
              </w:rPr>
            </w:pPr>
            <w:r>
              <w:rPr>
                <w:rFonts w:hint="eastAsia" w:ascii="宋体" w:hAnsi="宋体" w:cs="宋体"/>
                <w:color w:val="auto"/>
                <w:sz w:val="24"/>
                <w:highlight w:val="none"/>
              </w:rPr>
              <w:t>分析本工程的重点、难点以及应对措施：</w:t>
            </w:r>
          </w:p>
          <w:p w14:paraId="6618FA8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根据本项目的实施内容、工期要求以及现场情况，分析实施过程中的重点、难点准确且应对措施科学、合理。（评分范围：4分或3.5分3分或2.5分或2分或1.5分或1分或0.5分或0分）</w:t>
            </w:r>
          </w:p>
        </w:tc>
        <w:tc>
          <w:tcPr>
            <w:tcW w:w="956" w:type="dxa"/>
            <w:vAlign w:val="center"/>
          </w:tcPr>
          <w:p w14:paraId="6750C0D9">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76" w:type="dxa"/>
            <w:vAlign w:val="center"/>
          </w:tcPr>
          <w:p w14:paraId="20032591">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33C4F242">
            <w:pPr>
              <w:snapToGrid w:val="0"/>
              <w:jc w:val="center"/>
              <w:rPr>
                <w:rFonts w:hint="eastAsia" w:ascii="宋体" w:hAnsi="宋体" w:cs="宋体"/>
                <w:color w:val="auto"/>
                <w:sz w:val="24"/>
                <w:highlight w:val="none"/>
              </w:rPr>
            </w:pPr>
          </w:p>
        </w:tc>
      </w:tr>
      <w:tr w14:paraId="31DC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6D64079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7</w:t>
            </w:r>
          </w:p>
        </w:tc>
        <w:tc>
          <w:tcPr>
            <w:tcW w:w="5294" w:type="dxa"/>
            <w:vAlign w:val="center"/>
          </w:tcPr>
          <w:p w14:paraId="3184F312">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针对学校、本项目工程的特点和施工环境下组织施工技术方案和措施。</w:t>
            </w:r>
          </w:p>
          <w:p w14:paraId="546DB5B5">
            <w:pPr>
              <w:spacing w:line="400" w:lineRule="exact"/>
              <w:rPr>
                <w:rFonts w:hint="eastAsia" w:ascii="宋体" w:hAnsi="宋体" w:cs="宋体"/>
                <w:color w:val="auto"/>
                <w:sz w:val="24"/>
                <w:highlight w:val="none"/>
              </w:rPr>
            </w:pPr>
            <w:r>
              <w:rPr>
                <w:rFonts w:hint="eastAsia" w:ascii="宋体" w:hAnsi="宋体" w:cs="宋体"/>
                <w:color w:val="auto"/>
                <w:sz w:val="24"/>
                <w:highlight w:val="none"/>
              </w:rPr>
              <w:t>（1）针对本项目的施工技术方案和措施满足项目需求，内容全面、合理。（评分范围：5分或4.5分或4分或3.5分3分或2.5分或2分或1.5分或1分或0.5分或0分）</w:t>
            </w:r>
          </w:p>
        </w:tc>
        <w:tc>
          <w:tcPr>
            <w:tcW w:w="956" w:type="dxa"/>
            <w:vAlign w:val="center"/>
          </w:tcPr>
          <w:p w14:paraId="0FE0B520">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3A915455">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745D1432">
            <w:pPr>
              <w:snapToGrid w:val="0"/>
              <w:jc w:val="center"/>
              <w:rPr>
                <w:rFonts w:hint="eastAsia" w:ascii="宋体" w:hAnsi="宋体" w:cs="宋体"/>
                <w:color w:val="auto"/>
                <w:sz w:val="24"/>
                <w:highlight w:val="none"/>
              </w:rPr>
            </w:pPr>
          </w:p>
        </w:tc>
      </w:tr>
      <w:tr w14:paraId="7DE0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D0262ED">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8</w:t>
            </w:r>
          </w:p>
        </w:tc>
        <w:tc>
          <w:tcPr>
            <w:tcW w:w="5294" w:type="dxa"/>
            <w:vAlign w:val="center"/>
          </w:tcPr>
          <w:p w14:paraId="5F9A1F6C">
            <w:pPr>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针对学校、本项目工程的特点和施工环境下组织施工技术方案和措施。</w:t>
            </w:r>
          </w:p>
          <w:p w14:paraId="36B45FDB">
            <w:pPr>
              <w:spacing w:line="440" w:lineRule="exact"/>
              <w:rPr>
                <w:rFonts w:hint="eastAsia" w:ascii="宋体" w:hAnsi="宋体" w:cs="宋体"/>
                <w:color w:val="auto"/>
                <w:sz w:val="24"/>
                <w:highlight w:val="none"/>
              </w:rPr>
            </w:pPr>
            <w:r>
              <w:rPr>
                <w:rFonts w:hint="eastAsia" w:ascii="宋体" w:hAnsi="宋体" w:cs="宋体"/>
                <w:color w:val="auto"/>
                <w:sz w:val="24"/>
                <w:highlight w:val="none"/>
              </w:rPr>
              <w:t>（2）本工程范围内产生的建筑垃圾等的运输、搬运专项方案满足项目需求，内容全面、合理。（评分范围：3分或2.5分或2分或1.5分或1分或0.5分或0分）</w:t>
            </w:r>
          </w:p>
        </w:tc>
        <w:tc>
          <w:tcPr>
            <w:tcW w:w="956" w:type="dxa"/>
            <w:vAlign w:val="center"/>
          </w:tcPr>
          <w:p w14:paraId="40CE246F">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276" w:type="dxa"/>
            <w:vAlign w:val="center"/>
          </w:tcPr>
          <w:p w14:paraId="3F5881ED">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417D4580">
            <w:pPr>
              <w:snapToGrid w:val="0"/>
              <w:jc w:val="center"/>
              <w:rPr>
                <w:rFonts w:hint="eastAsia" w:ascii="宋体" w:hAnsi="宋体" w:cs="宋体"/>
                <w:color w:val="auto"/>
                <w:sz w:val="24"/>
                <w:highlight w:val="none"/>
              </w:rPr>
            </w:pPr>
          </w:p>
        </w:tc>
      </w:tr>
      <w:tr w14:paraId="3F34D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1B8355E6">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9</w:t>
            </w:r>
          </w:p>
        </w:tc>
        <w:tc>
          <w:tcPr>
            <w:tcW w:w="5294" w:type="dxa"/>
            <w:vAlign w:val="center"/>
          </w:tcPr>
          <w:p w14:paraId="18830F08">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施工质量控制措施：</w:t>
            </w:r>
          </w:p>
          <w:p w14:paraId="76E45B67">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质量控制措施满足项目需求，内容全面、科学、合理，针对性、可操作性强。（评分范围：4分或3.5分3分或2.5分或2分或1.5分或1分或0.5分或0分）</w:t>
            </w:r>
          </w:p>
        </w:tc>
        <w:tc>
          <w:tcPr>
            <w:tcW w:w="956" w:type="dxa"/>
            <w:vAlign w:val="center"/>
          </w:tcPr>
          <w:p w14:paraId="319372C8">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76" w:type="dxa"/>
            <w:vAlign w:val="center"/>
          </w:tcPr>
          <w:p w14:paraId="00A73FF2">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2B4CDFDC">
            <w:pPr>
              <w:snapToGrid w:val="0"/>
              <w:jc w:val="center"/>
              <w:rPr>
                <w:rFonts w:hint="eastAsia" w:ascii="宋体" w:hAnsi="宋体" w:cs="宋体"/>
                <w:color w:val="auto"/>
                <w:sz w:val="24"/>
                <w:highlight w:val="none"/>
              </w:rPr>
            </w:pPr>
          </w:p>
        </w:tc>
      </w:tr>
      <w:tr w14:paraId="25A4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691816E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10</w:t>
            </w:r>
          </w:p>
        </w:tc>
        <w:tc>
          <w:tcPr>
            <w:tcW w:w="5294" w:type="dxa"/>
            <w:vAlign w:val="center"/>
          </w:tcPr>
          <w:p w14:paraId="5C33BA77">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针对工期承诺的进度计划实施方案进行评审：</w:t>
            </w:r>
          </w:p>
          <w:p w14:paraId="47854E8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进度计划制定及进度控制措施满足项目需求，针对性和可行性强。（评分范围：4分或3.5分3分或2.5分或2分或1.5分或1分或0.5分或0分）</w:t>
            </w:r>
          </w:p>
        </w:tc>
        <w:tc>
          <w:tcPr>
            <w:tcW w:w="956" w:type="dxa"/>
            <w:vAlign w:val="center"/>
          </w:tcPr>
          <w:p w14:paraId="602389EE">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276" w:type="dxa"/>
            <w:vAlign w:val="center"/>
          </w:tcPr>
          <w:p w14:paraId="4E6F6253">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221BF574">
            <w:pPr>
              <w:snapToGrid w:val="0"/>
              <w:jc w:val="center"/>
              <w:rPr>
                <w:rFonts w:hint="eastAsia" w:ascii="宋体" w:hAnsi="宋体" w:cs="宋体"/>
                <w:color w:val="auto"/>
                <w:sz w:val="24"/>
                <w:highlight w:val="none"/>
              </w:rPr>
            </w:pPr>
          </w:p>
        </w:tc>
      </w:tr>
      <w:tr w14:paraId="1BCE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23A575D5">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5294" w:type="dxa"/>
            <w:vAlign w:val="center"/>
          </w:tcPr>
          <w:p w14:paraId="1DA61ECF">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安全、文明施工及环保、消防等的保证措施：</w:t>
            </w:r>
          </w:p>
          <w:p w14:paraId="08F8A80B">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各项内容及措施满足项目需求，全面、科学、合理，针对性、可操作性强。（评分范围：5分或4.5分或4分或3.5分3分或2.5分或2分或1.5分或1分或0.5分或0分）</w:t>
            </w:r>
          </w:p>
        </w:tc>
        <w:tc>
          <w:tcPr>
            <w:tcW w:w="956" w:type="dxa"/>
            <w:vAlign w:val="center"/>
          </w:tcPr>
          <w:p w14:paraId="4653745B">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0AA3900B">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3FD9A653">
            <w:pPr>
              <w:snapToGrid w:val="0"/>
              <w:jc w:val="center"/>
              <w:rPr>
                <w:rFonts w:hint="eastAsia" w:ascii="宋体" w:hAnsi="宋体" w:cs="宋体"/>
                <w:color w:val="auto"/>
                <w:sz w:val="24"/>
                <w:highlight w:val="none"/>
              </w:rPr>
            </w:pPr>
          </w:p>
        </w:tc>
      </w:tr>
      <w:tr w14:paraId="54C3D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60929278">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12</w:t>
            </w:r>
          </w:p>
        </w:tc>
        <w:tc>
          <w:tcPr>
            <w:tcW w:w="5294" w:type="dxa"/>
            <w:vAlign w:val="center"/>
          </w:tcPr>
          <w:p w14:paraId="7209EA72">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供应商在项目施工过程中的降噪措施。</w:t>
            </w:r>
          </w:p>
          <w:p w14:paraId="017403FD">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措施满足项目需求，全面、科学、合理，针对性、可操作性强。（评分范围：4分或3.5分3分或2.5分或2分或1.5分或1分或0.5分或0分）</w:t>
            </w:r>
          </w:p>
        </w:tc>
        <w:tc>
          <w:tcPr>
            <w:tcW w:w="956" w:type="dxa"/>
            <w:vAlign w:val="center"/>
          </w:tcPr>
          <w:p w14:paraId="5AC9BC07">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4</w:t>
            </w:r>
          </w:p>
        </w:tc>
        <w:tc>
          <w:tcPr>
            <w:tcW w:w="1276" w:type="dxa"/>
            <w:vAlign w:val="center"/>
          </w:tcPr>
          <w:p w14:paraId="083F3E73">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7D4B81EA">
            <w:pPr>
              <w:snapToGrid w:val="0"/>
              <w:jc w:val="center"/>
              <w:rPr>
                <w:rFonts w:hint="eastAsia" w:ascii="宋体" w:hAnsi="宋体" w:cs="宋体"/>
                <w:color w:val="auto"/>
                <w:sz w:val="24"/>
                <w:highlight w:val="none"/>
              </w:rPr>
            </w:pPr>
          </w:p>
        </w:tc>
      </w:tr>
      <w:tr w14:paraId="023E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89F8181">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13</w:t>
            </w:r>
          </w:p>
        </w:tc>
        <w:tc>
          <w:tcPr>
            <w:tcW w:w="5294" w:type="dxa"/>
            <w:vAlign w:val="center"/>
          </w:tcPr>
          <w:p w14:paraId="1A382003">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项目实施过程中针对成品保护的各项措施：</w:t>
            </w:r>
          </w:p>
          <w:p w14:paraId="7630C729">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成品保护各项内容及措施满足项目需求，全面、科学、合理。（评分范围：5分或4.5分或4分或3.5分3分或2.5分或2分或1.5分或1分或0.5分或0分）</w:t>
            </w:r>
          </w:p>
        </w:tc>
        <w:tc>
          <w:tcPr>
            <w:tcW w:w="956" w:type="dxa"/>
            <w:vAlign w:val="center"/>
          </w:tcPr>
          <w:p w14:paraId="48557950">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276" w:type="dxa"/>
            <w:vAlign w:val="center"/>
          </w:tcPr>
          <w:p w14:paraId="121BD100">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502DA5CC">
            <w:pPr>
              <w:snapToGrid w:val="0"/>
              <w:jc w:val="center"/>
              <w:rPr>
                <w:rFonts w:hint="eastAsia" w:ascii="宋体" w:hAnsi="宋体" w:cs="宋体"/>
                <w:color w:val="auto"/>
                <w:sz w:val="24"/>
                <w:highlight w:val="none"/>
              </w:rPr>
            </w:pPr>
          </w:p>
        </w:tc>
      </w:tr>
      <w:tr w14:paraId="7D578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2BAEFCE7">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14</w:t>
            </w:r>
          </w:p>
        </w:tc>
        <w:tc>
          <w:tcPr>
            <w:tcW w:w="5294" w:type="dxa"/>
            <w:vAlign w:val="center"/>
          </w:tcPr>
          <w:p w14:paraId="7328EC61">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交付前各项检验、检测方案：依据的标准、检验检测项目及时间计划、检验检测保障和目标承诺与本项目实施内容相适应且合理、科学、可靠。（评分范围：5分或4.5分或4分或3.5分3分或2.5分或2分或1.5分或1分或0.5分或0分）</w:t>
            </w:r>
          </w:p>
        </w:tc>
        <w:tc>
          <w:tcPr>
            <w:tcW w:w="956" w:type="dxa"/>
            <w:vAlign w:val="center"/>
          </w:tcPr>
          <w:p w14:paraId="04013A81">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5</w:t>
            </w:r>
          </w:p>
        </w:tc>
        <w:tc>
          <w:tcPr>
            <w:tcW w:w="1276" w:type="dxa"/>
            <w:vAlign w:val="center"/>
          </w:tcPr>
          <w:p w14:paraId="3E2E24AE">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0B41FB6F">
            <w:pPr>
              <w:snapToGrid w:val="0"/>
              <w:jc w:val="center"/>
              <w:rPr>
                <w:rFonts w:hint="eastAsia" w:ascii="宋体" w:hAnsi="宋体" w:cs="宋体"/>
                <w:color w:val="auto"/>
                <w:sz w:val="24"/>
                <w:highlight w:val="none"/>
              </w:rPr>
            </w:pPr>
          </w:p>
        </w:tc>
      </w:tr>
      <w:tr w14:paraId="4FD74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227FF349">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5294" w:type="dxa"/>
            <w:vAlign w:val="center"/>
          </w:tcPr>
          <w:p w14:paraId="21A4E9CC">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施工工程中突发事件的应急措施及处理方案。（评分范围：3分或2.5分或2分或1.5分或1分或0.5分或0分）</w:t>
            </w:r>
          </w:p>
        </w:tc>
        <w:tc>
          <w:tcPr>
            <w:tcW w:w="956" w:type="dxa"/>
            <w:vAlign w:val="center"/>
          </w:tcPr>
          <w:p w14:paraId="4EAA0C61">
            <w:pPr>
              <w:snapToGrid w:val="0"/>
              <w:spacing w:line="400" w:lineRule="exact"/>
              <w:jc w:val="center"/>
              <w:outlineLvl w:val="0"/>
              <w:rPr>
                <w:rFonts w:hint="eastAsia" w:ascii="宋体" w:hAnsi="宋体" w:cs="宋体"/>
                <w:color w:val="auto"/>
                <w:sz w:val="24"/>
                <w:highlight w:val="none"/>
              </w:rPr>
            </w:pPr>
            <w:r>
              <w:rPr>
                <w:rFonts w:hint="eastAsia" w:ascii="宋体" w:hAnsi="宋体" w:cs="宋体"/>
                <w:color w:val="auto"/>
                <w:sz w:val="24"/>
                <w:highlight w:val="none"/>
              </w:rPr>
              <w:t>3</w:t>
            </w:r>
          </w:p>
        </w:tc>
        <w:tc>
          <w:tcPr>
            <w:tcW w:w="1276" w:type="dxa"/>
            <w:vAlign w:val="center"/>
          </w:tcPr>
          <w:p w14:paraId="6CA9B3D6">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45650756">
            <w:pPr>
              <w:snapToGrid w:val="0"/>
              <w:jc w:val="center"/>
              <w:rPr>
                <w:rFonts w:hint="eastAsia" w:ascii="宋体" w:hAnsi="宋体" w:cs="宋体"/>
                <w:color w:val="auto"/>
                <w:sz w:val="24"/>
                <w:highlight w:val="none"/>
              </w:rPr>
            </w:pPr>
          </w:p>
        </w:tc>
      </w:tr>
      <w:tr w14:paraId="118A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118A9894">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16</w:t>
            </w:r>
          </w:p>
        </w:tc>
        <w:tc>
          <w:tcPr>
            <w:tcW w:w="5294" w:type="dxa"/>
            <w:vAlign w:val="center"/>
          </w:tcPr>
          <w:p w14:paraId="0D0C28A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管理模式以及组织架构的完整性，人员安排、分工计划的合理性。（评分范围：3</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分</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3分或2.5分或2分或1.5分或1分或0.5分或0分）</w:t>
            </w:r>
          </w:p>
        </w:tc>
        <w:tc>
          <w:tcPr>
            <w:tcW w:w="956" w:type="dxa"/>
            <w:vAlign w:val="center"/>
          </w:tcPr>
          <w:p w14:paraId="2681568E">
            <w:pPr>
              <w:snapToGrid w:val="0"/>
              <w:spacing w:line="400" w:lineRule="exact"/>
              <w:jc w:val="center"/>
              <w:outlineLvl w:val="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3.5</w:t>
            </w:r>
          </w:p>
        </w:tc>
        <w:tc>
          <w:tcPr>
            <w:tcW w:w="1276" w:type="dxa"/>
            <w:vAlign w:val="center"/>
          </w:tcPr>
          <w:p w14:paraId="4AE25A08">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68A4B394">
            <w:pPr>
              <w:snapToGrid w:val="0"/>
              <w:jc w:val="center"/>
              <w:rPr>
                <w:rFonts w:hint="eastAsia" w:ascii="宋体" w:hAnsi="宋体" w:cs="宋体"/>
                <w:color w:val="auto"/>
                <w:sz w:val="24"/>
                <w:highlight w:val="none"/>
              </w:rPr>
            </w:pPr>
          </w:p>
        </w:tc>
      </w:tr>
      <w:tr w14:paraId="088D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7C86B220">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17</w:t>
            </w:r>
          </w:p>
        </w:tc>
        <w:tc>
          <w:tcPr>
            <w:tcW w:w="5294" w:type="dxa"/>
            <w:vAlign w:val="center"/>
          </w:tcPr>
          <w:p w14:paraId="566C7F1E">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项目保修期内措施：</w:t>
            </w:r>
          </w:p>
          <w:p w14:paraId="1B5587BB">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各项内容及措施完善、全面，可操作性强。（评分范围：3分或2.5分或2分或1.5分或1分或0.5分或0分）</w:t>
            </w:r>
          </w:p>
        </w:tc>
        <w:tc>
          <w:tcPr>
            <w:tcW w:w="956" w:type="dxa"/>
            <w:vAlign w:val="center"/>
          </w:tcPr>
          <w:p w14:paraId="3B44BEA4">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color w:val="auto"/>
                <w:sz w:val="24"/>
                <w:highlight w:val="none"/>
              </w:rPr>
              <w:t>3</w:t>
            </w:r>
          </w:p>
        </w:tc>
        <w:tc>
          <w:tcPr>
            <w:tcW w:w="1276" w:type="dxa"/>
            <w:vAlign w:val="center"/>
          </w:tcPr>
          <w:p w14:paraId="57526BC6">
            <w:pPr>
              <w:snapToGrid w:val="0"/>
              <w:jc w:val="center"/>
              <w:rPr>
                <w:rFonts w:hint="eastAsia" w:ascii="宋体" w:hAnsi="宋体" w:cs="宋体"/>
                <w:color w:val="auto"/>
                <w:sz w:val="24"/>
                <w:highlight w:val="none"/>
              </w:rPr>
            </w:pPr>
            <w:r>
              <w:rPr>
                <w:rFonts w:hint="eastAsia" w:ascii="宋体" w:hAnsi="宋体" w:cs="宋体"/>
                <w:color w:val="auto"/>
                <w:sz w:val="24"/>
                <w:highlight w:val="none"/>
              </w:rPr>
              <w:t>主观分</w:t>
            </w:r>
          </w:p>
        </w:tc>
        <w:tc>
          <w:tcPr>
            <w:tcW w:w="1195" w:type="dxa"/>
            <w:vAlign w:val="center"/>
          </w:tcPr>
          <w:p w14:paraId="0FFD6EBD">
            <w:pPr>
              <w:snapToGrid w:val="0"/>
              <w:jc w:val="center"/>
              <w:rPr>
                <w:rFonts w:hint="eastAsia" w:ascii="宋体" w:hAnsi="宋体" w:cs="宋体"/>
                <w:color w:val="auto"/>
                <w:sz w:val="24"/>
                <w:highlight w:val="none"/>
              </w:rPr>
            </w:pPr>
          </w:p>
        </w:tc>
      </w:tr>
      <w:tr w14:paraId="4A77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vAlign w:val="center"/>
          </w:tcPr>
          <w:p w14:paraId="49BE2002">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18</w:t>
            </w:r>
          </w:p>
        </w:tc>
        <w:tc>
          <w:tcPr>
            <w:tcW w:w="5294" w:type="dxa"/>
            <w:vAlign w:val="center"/>
          </w:tcPr>
          <w:p w14:paraId="1DDEC66B">
            <w:pPr>
              <w:snapToGrid w:val="0"/>
              <w:spacing w:line="400" w:lineRule="exact"/>
              <w:rPr>
                <w:rFonts w:hint="eastAsia" w:ascii="宋体" w:hAnsi="宋体" w:cs="宋体"/>
                <w:color w:val="auto"/>
                <w:sz w:val="24"/>
                <w:highlight w:val="none"/>
              </w:rPr>
            </w:pPr>
            <w:r>
              <w:rPr>
                <w:rFonts w:hint="eastAsia" w:ascii="宋体" w:hAnsi="宋体" w:cs="宋体"/>
                <w:color w:val="auto"/>
                <w:sz w:val="24"/>
                <w:highlight w:val="none"/>
              </w:rPr>
              <w:t>供应商在本次采购项目中使用的材料（设备）列入政府采购节能产品、环境标志产品品目清单范围的，每提供一个节能产品得0.5分，每提供一个环境标志产品得0.5分。（根据最新政府采购节能产品、环境标志产品品目清单，信息查看中国政府采购网http：//www.ccgp.gov.cn进行评分，供应商应在响应文件中提供相关依据国家确定的认证机构出具的、处于有效期之内的节能产品、环境标志产品认证证书证明材料，否则不得分）。</w:t>
            </w:r>
          </w:p>
        </w:tc>
        <w:tc>
          <w:tcPr>
            <w:tcW w:w="956" w:type="dxa"/>
            <w:vAlign w:val="center"/>
          </w:tcPr>
          <w:p w14:paraId="066EBA9C">
            <w:pPr>
              <w:snapToGrid w:val="0"/>
              <w:spacing w:line="400" w:lineRule="exact"/>
              <w:jc w:val="center"/>
              <w:outlineLvl w:val="0"/>
              <w:rPr>
                <w:rFonts w:hint="eastAsia" w:ascii="宋体" w:hAnsi="宋体" w:cs="宋体"/>
                <w:bCs/>
                <w:color w:val="auto"/>
                <w:sz w:val="24"/>
                <w:highlight w:val="none"/>
              </w:rPr>
            </w:pPr>
            <w:r>
              <w:rPr>
                <w:rFonts w:hint="eastAsia" w:ascii="宋体" w:hAnsi="宋体" w:cs="宋体"/>
                <w:color w:val="auto"/>
                <w:sz w:val="24"/>
                <w:highlight w:val="none"/>
              </w:rPr>
              <w:t>1</w:t>
            </w:r>
          </w:p>
        </w:tc>
        <w:tc>
          <w:tcPr>
            <w:tcW w:w="1276" w:type="dxa"/>
            <w:vAlign w:val="center"/>
          </w:tcPr>
          <w:p w14:paraId="60F9ADF0">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vAlign w:val="center"/>
          </w:tcPr>
          <w:p w14:paraId="6592C406">
            <w:pPr>
              <w:snapToGrid w:val="0"/>
              <w:jc w:val="center"/>
              <w:rPr>
                <w:rFonts w:hint="eastAsia" w:ascii="宋体" w:hAnsi="宋体" w:cs="宋体"/>
                <w:color w:val="auto"/>
                <w:sz w:val="24"/>
                <w:highlight w:val="none"/>
              </w:rPr>
            </w:pPr>
          </w:p>
        </w:tc>
      </w:tr>
      <w:tr w14:paraId="5C770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0" w:type="dxa"/>
            <w:shd w:val="clear" w:color="auto" w:fill="auto"/>
            <w:vAlign w:val="center"/>
          </w:tcPr>
          <w:p w14:paraId="552DBF6E">
            <w:pPr>
              <w:snapToGrid w:val="0"/>
              <w:spacing w:line="400" w:lineRule="exact"/>
              <w:jc w:val="center"/>
              <w:rPr>
                <w:rFonts w:hint="eastAsia" w:ascii="宋体" w:hAnsi="宋体" w:cs="宋体"/>
                <w:color w:val="auto"/>
                <w:sz w:val="24"/>
                <w:highlight w:val="none"/>
              </w:rPr>
            </w:pPr>
            <w:r>
              <w:rPr>
                <w:rFonts w:hint="eastAsia" w:ascii="宋体" w:hAnsi="宋体" w:cs="宋体"/>
                <w:color w:val="auto"/>
                <w:sz w:val="24"/>
                <w:highlight w:val="none"/>
              </w:rPr>
              <w:t>19</w:t>
            </w:r>
          </w:p>
        </w:tc>
        <w:tc>
          <w:tcPr>
            <w:tcW w:w="5294" w:type="dxa"/>
            <w:shd w:val="clear" w:color="auto" w:fill="auto"/>
          </w:tcPr>
          <w:p w14:paraId="5715BC19">
            <w:pPr>
              <w:snapToGrid w:val="0"/>
              <w:outlineLvl w:val="0"/>
              <w:rPr>
                <w:rFonts w:hint="eastAsia" w:ascii="宋体" w:hAnsi="宋体" w:cs="宋体"/>
                <w:color w:val="auto"/>
                <w:sz w:val="24"/>
                <w:highlight w:val="none"/>
              </w:rPr>
            </w:pPr>
            <w:r>
              <w:rPr>
                <w:rFonts w:hint="eastAsia" w:ascii="宋体" w:hAnsi="宋体" w:cs="宋体"/>
                <w:color w:val="auto"/>
                <w:sz w:val="24"/>
                <w:highlight w:val="none"/>
              </w:rPr>
              <w:t>有效最后报价的最低价作为评审基准价，其最低报价为满分；按［最后报价得分=（评审基准价/最后报价）*30］的计算公式计算。</w:t>
            </w:r>
          </w:p>
          <w:p w14:paraId="77DDDC73">
            <w:pPr>
              <w:widowControl/>
              <w:shd w:val="clear" w:color="auto"/>
              <w:adjustRightInd/>
              <w:snapToGrid w:val="0"/>
              <w:ind w:firstLine="420"/>
              <w:jc w:val="left"/>
              <w:rPr>
                <w:rFonts w:hint="eastAsia" w:ascii="宋体" w:hAnsi="宋体" w:cs="宋体"/>
                <w:color w:val="auto"/>
                <w:sz w:val="24"/>
                <w:highlight w:val="none"/>
              </w:rPr>
            </w:pPr>
            <w:r>
              <w:rPr>
                <w:rFonts w:hint="eastAsia" w:ascii="宋体" w:hAnsi="宋体" w:cs="宋体"/>
                <w:color w:val="auto"/>
                <w:sz w:val="24"/>
                <w:highlight w:val="none"/>
              </w:rPr>
              <w:t>评审过程中，不得去掉报价中的最高报价和最低报价。</w:t>
            </w:r>
          </w:p>
          <w:p w14:paraId="155F3206">
            <w:pPr>
              <w:widowControl/>
              <w:shd w:val="clear" w:color="auto"/>
              <w:adjustRightInd/>
              <w:snapToGrid w:val="0"/>
              <w:spacing w:line="400" w:lineRule="exact"/>
              <w:jc w:val="left"/>
              <w:rPr>
                <w:rFonts w:hint="eastAsia" w:ascii="宋体" w:hAnsi="宋体" w:cs="宋体"/>
                <w:color w:val="auto"/>
                <w:sz w:val="24"/>
                <w:highlight w:val="none"/>
              </w:rPr>
            </w:pPr>
            <w:r>
              <w:rPr>
                <w:rFonts w:hint="eastAsia" w:ascii="宋体" w:hAnsi="宋体" w:cs="宋体"/>
                <w:color w:val="auto"/>
                <w:sz w:val="24"/>
                <w:highlight w:val="none"/>
              </w:rPr>
              <w:t>因落实政府采购政策需要进行价格调整的，以调整后的价格计算评审基准价和最后报价。</w:t>
            </w:r>
          </w:p>
        </w:tc>
        <w:tc>
          <w:tcPr>
            <w:tcW w:w="956" w:type="dxa"/>
            <w:shd w:val="clear" w:color="auto" w:fill="auto"/>
            <w:vAlign w:val="center"/>
          </w:tcPr>
          <w:p w14:paraId="000EC89B">
            <w:pPr>
              <w:snapToGrid w:val="0"/>
              <w:jc w:val="center"/>
              <w:outlineLvl w:val="0"/>
              <w:rPr>
                <w:rFonts w:hint="eastAsia" w:ascii="宋体" w:hAnsi="宋体" w:cs="宋体"/>
                <w:bCs/>
                <w:color w:val="auto"/>
                <w:sz w:val="24"/>
                <w:highlight w:val="none"/>
              </w:rPr>
            </w:pPr>
            <w:r>
              <w:rPr>
                <w:rFonts w:hint="eastAsia" w:ascii="宋体" w:hAnsi="宋体" w:cs="宋体"/>
                <w:bCs/>
                <w:color w:val="auto"/>
                <w:sz w:val="24"/>
                <w:highlight w:val="none"/>
              </w:rPr>
              <w:t>30</w:t>
            </w:r>
          </w:p>
        </w:tc>
        <w:tc>
          <w:tcPr>
            <w:tcW w:w="1276" w:type="dxa"/>
            <w:shd w:val="clear" w:color="auto" w:fill="auto"/>
            <w:vAlign w:val="center"/>
          </w:tcPr>
          <w:p w14:paraId="52328D2B">
            <w:pPr>
              <w:snapToGrid w:val="0"/>
              <w:jc w:val="center"/>
              <w:rPr>
                <w:rFonts w:hint="eastAsia" w:ascii="宋体" w:hAnsi="宋体" w:cs="宋体"/>
                <w:color w:val="auto"/>
                <w:sz w:val="24"/>
                <w:highlight w:val="none"/>
              </w:rPr>
            </w:pPr>
            <w:r>
              <w:rPr>
                <w:rFonts w:hint="eastAsia" w:ascii="宋体" w:hAnsi="宋体" w:cs="宋体"/>
                <w:color w:val="auto"/>
                <w:sz w:val="24"/>
                <w:highlight w:val="none"/>
              </w:rPr>
              <w:t>客观分</w:t>
            </w:r>
          </w:p>
        </w:tc>
        <w:tc>
          <w:tcPr>
            <w:tcW w:w="1195" w:type="dxa"/>
            <w:shd w:val="clear" w:color="auto" w:fill="auto"/>
            <w:vAlign w:val="center"/>
          </w:tcPr>
          <w:p w14:paraId="785E8090">
            <w:pPr>
              <w:snapToGrid w:val="0"/>
              <w:jc w:val="center"/>
              <w:outlineLvl w:val="0"/>
              <w:rPr>
                <w:rFonts w:hint="eastAsia" w:ascii="宋体" w:hAnsi="宋体" w:cs="宋体"/>
                <w:color w:val="auto"/>
                <w:sz w:val="24"/>
                <w:highlight w:val="none"/>
              </w:rPr>
            </w:pPr>
            <w:r>
              <w:rPr>
                <w:rFonts w:hint="eastAsia" w:ascii="宋体" w:hAnsi="宋体" w:cs="宋体"/>
                <w:color w:val="auto"/>
                <w:sz w:val="24"/>
                <w:highlight w:val="none"/>
              </w:rPr>
              <w:t>/</w:t>
            </w:r>
          </w:p>
        </w:tc>
      </w:tr>
    </w:tbl>
    <w:p w14:paraId="5D9D51AB">
      <w:pPr>
        <w:pStyle w:val="60"/>
        <w:rPr>
          <w:rFonts w:hint="eastAsia" w:ascii="宋体" w:hAnsi="宋体" w:cs="宋体"/>
          <w:color w:val="auto"/>
          <w:sz w:val="32"/>
          <w:highlight w:val="none"/>
        </w:rPr>
      </w:pPr>
    </w:p>
    <w:p w14:paraId="7752FF75">
      <w:pPr>
        <w:snapToGrid w:val="0"/>
        <w:spacing w:line="360" w:lineRule="auto"/>
        <w:rPr>
          <w:rFonts w:hint="eastAsia"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供应商编制响应文件（商务技术文件部分）时，建议按此目录（序号和内容）提供评审标准相应的商务技术资料。 </w:t>
      </w:r>
    </w:p>
    <w:p w14:paraId="461F32C0">
      <w:pPr>
        <w:jc w:val="left"/>
        <w:rPr>
          <w:rFonts w:hint="eastAsia" w:ascii="宋体" w:hAnsi="宋体" w:cs="宋体"/>
          <w:b/>
          <w:color w:val="auto"/>
          <w:sz w:val="28"/>
          <w:szCs w:val="28"/>
          <w:highlight w:val="none"/>
        </w:rPr>
      </w:pPr>
      <w:r>
        <w:rPr>
          <w:rFonts w:hint="eastAsia" w:ascii="宋体" w:hAnsi="宋体" w:cs="宋体"/>
          <w:b/>
          <w:color w:val="auto"/>
          <w:sz w:val="32"/>
          <w:highlight w:val="none"/>
        </w:rPr>
        <w:t>一、评审方法</w:t>
      </w:r>
    </w:p>
    <w:p w14:paraId="35EAC458">
      <w:pPr>
        <w:adjustRightInd/>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综合评分法，是指响应文件满足磋商文件全部实质性要求且按评审因素的量化指标评审得分最高的供应商为成交候选供应商的评审方法。</w:t>
      </w:r>
    </w:p>
    <w:p w14:paraId="0A7B4095">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二、评审标准</w:t>
      </w:r>
    </w:p>
    <w:p w14:paraId="35695B16">
      <w:pPr>
        <w:spacing w:line="360" w:lineRule="auto"/>
        <w:ind w:firstLine="472" w:firstLineChars="196"/>
        <w:rPr>
          <w:rFonts w:hint="eastAsia"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评审标准：</w:t>
      </w:r>
      <w:r>
        <w:rPr>
          <w:rFonts w:hint="eastAsia" w:ascii="宋体" w:hAnsi="宋体" w:cs="宋体"/>
          <w:color w:val="auto"/>
          <w:kern w:val="0"/>
          <w:sz w:val="24"/>
          <w:highlight w:val="none"/>
        </w:rPr>
        <w:t>见评审办法前附表。</w:t>
      </w:r>
    </w:p>
    <w:p w14:paraId="25D8355C">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三、评审程序</w:t>
      </w:r>
    </w:p>
    <w:p w14:paraId="7283C025">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磋商小组应当对符合资格的供应商的响应文件进行符合性审查，以确定其是否满足采购文件的实质性要求。不满足采购文件的实质性要求的，响应文件无效。</w:t>
      </w:r>
    </w:p>
    <w:p w14:paraId="436F2E59">
      <w:pPr>
        <w:spacing w:line="360" w:lineRule="auto"/>
        <w:ind w:firstLine="472" w:firstLineChars="196"/>
        <w:rPr>
          <w:rFonts w:hint="eastAsia" w:ascii="宋体" w:hAnsi="宋体" w:cs="宋体"/>
          <w:color w:val="auto"/>
          <w:sz w:val="24"/>
          <w:highlight w:val="none"/>
        </w:rPr>
      </w:pPr>
      <w:r>
        <w:rPr>
          <w:rFonts w:hint="eastAsia" w:ascii="宋体" w:hAnsi="宋体" w:cs="宋体"/>
          <w:b/>
          <w:color w:val="auto"/>
          <w:kern w:val="0"/>
          <w:sz w:val="24"/>
          <w:highlight w:val="none"/>
        </w:rPr>
        <w:t>3.2 磋商。</w:t>
      </w:r>
      <w:r>
        <w:rPr>
          <w:rFonts w:hint="eastAsia" w:ascii="宋体" w:hAnsi="宋体" w:cs="宋体"/>
          <w:color w:val="auto"/>
          <w:sz w:val="24"/>
          <w:highlight w:val="none"/>
        </w:rPr>
        <w:t>磋商小组将对确定为实质性响应本采购文件的响应文件进行详细评价和比较，主要就资信、服务方案内容、服务承诺等磋商小组认为与本次采购有关的因素与</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供应商逐一进行磋商。</w:t>
      </w:r>
    </w:p>
    <w:p w14:paraId="1B51DD2F">
      <w:pPr>
        <w:spacing w:line="360" w:lineRule="auto"/>
        <w:ind w:firstLine="470" w:firstLineChars="196"/>
        <w:rPr>
          <w:rFonts w:hint="eastAsia" w:ascii="宋体" w:hAnsi="宋体" w:cs="宋体"/>
          <w:b/>
          <w:color w:val="auto"/>
          <w:sz w:val="24"/>
          <w:highlight w:val="none"/>
        </w:rPr>
      </w:pPr>
      <w:r>
        <w:rPr>
          <w:rFonts w:hint="eastAsia" w:ascii="宋体" w:hAnsi="宋体" w:cs="宋体"/>
          <w:bCs/>
          <w:color w:val="auto"/>
          <w:sz w:val="24"/>
          <w:highlight w:val="none"/>
        </w:rPr>
        <w:t xml:space="preserve">3.2.1 </w:t>
      </w:r>
      <w:r>
        <w:rPr>
          <w:rFonts w:hint="eastAsia" w:ascii="宋体" w:hAnsi="宋体" w:cs="宋体"/>
          <w:color w:val="auto"/>
          <w:sz w:val="24"/>
          <w:highlight w:val="none"/>
        </w:rPr>
        <w:t>供应商逐家回答磋商小组的提问；</w:t>
      </w:r>
      <w:r>
        <w:rPr>
          <w:rFonts w:hint="eastAsia" w:ascii="宋体" w:hAnsi="宋体" w:cs="宋体"/>
          <w:b/>
          <w:color w:val="auto"/>
          <w:sz w:val="24"/>
          <w:highlight w:val="none"/>
        </w:rPr>
        <w:t>逐家磋商一次为一个轮次，磋商轮次根据实际情况进行。</w:t>
      </w:r>
    </w:p>
    <w:p w14:paraId="2E9F072D">
      <w:pPr>
        <w:spacing w:line="360" w:lineRule="auto"/>
        <w:ind w:firstLine="470" w:firstLineChars="196"/>
        <w:rPr>
          <w:rFonts w:hint="eastAsia" w:ascii="宋体" w:hAnsi="宋体" w:cs="宋体"/>
          <w:color w:val="auto"/>
          <w:sz w:val="24"/>
          <w:highlight w:val="none"/>
        </w:rPr>
      </w:pPr>
      <w:r>
        <w:rPr>
          <w:rFonts w:hint="eastAsia" w:ascii="宋体" w:hAnsi="宋体" w:cs="宋体"/>
          <w:bCs/>
          <w:color w:val="auto"/>
          <w:sz w:val="24"/>
          <w:highlight w:val="none"/>
        </w:rPr>
        <w:t xml:space="preserve">3.2.2 </w:t>
      </w:r>
      <w:r>
        <w:rPr>
          <w:rFonts w:hint="eastAsia" w:ascii="宋体" w:hAnsi="宋体" w:cs="宋体"/>
          <w:color w:val="auto"/>
          <w:sz w:val="24"/>
          <w:highlight w:val="none"/>
        </w:rPr>
        <w:t>供应商应按磋商小组通知的时间在线或以邮件回复做出承诺或回复，承诺或回复的内容须由供应商法定代表人或授权代表签署，并作为响应文件的补充部分。</w:t>
      </w:r>
    </w:p>
    <w:p w14:paraId="25E31E8B">
      <w:pPr>
        <w:spacing w:line="360" w:lineRule="auto"/>
        <w:ind w:firstLine="470" w:firstLineChars="196"/>
        <w:rPr>
          <w:rFonts w:hint="eastAsia" w:ascii="宋体" w:hAnsi="宋体" w:cs="宋体"/>
          <w:bCs/>
          <w:color w:val="auto"/>
          <w:kern w:val="0"/>
          <w:sz w:val="24"/>
          <w:highlight w:val="none"/>
        </w:rPr>
      </w:pPr>
      <w:r>
        <w:rPr>
          <w:rFonts w:hint="eastAsia" w:ascii="宋体" w:hAnsi="宋体" w:cs="宋体"/>
          <w:color w:val="auto"/>
          <w:sz w:val="24"/>
          <w:highlight w:val="none"/>
        </w:rPr>
        <w:t xml:space="preserve">3.2.3 </w:t>
      </w:r>
      <w:r>
        <w:rPr>
          <w:rFonts w:hint="eastAsia" w:ascii="宋体" w:hAnsi="宋体" w:cs="宋体"/>
          <w:b/>
          <w:bCs/>
          <w:color w:val="auto"/>
          <w:sz w:val="24"/>
          <w:highlight w:val="none"/>
        </w:rPr>
        <w:t>在磋商过程中，磋商小组可以根据磋商文件和磋商情况实质性变动采购需求中的“※”号技术、服务要求以及合同草案中的“※”号条款，但不得变动磋商文件中的其他内容。</w:t>
      </w:r>
      <w:r>
        <w:rPr>
          <w:rFonts w:hint="eastAsia" w:ascii="宋体" w:hAnsi="宋体" w:cs="宋体"/>
          <w:color w:val="auto"/>
          <w:sz w:val="24"/>
          <w:highlight w:val="none"/>
        </w:rPr>
        <w:t>实质性变动的内容，须经采购人代表确认。磋商文件有实质性变动的，磋商小组将以书面形式通知所有</w:t>
      </w:r>
      <w:r>
        <w:rPr>
          <w:rFonts w:hint="eastAsia" w:ascii="宋体" w:hAnsi="宋体" w:cs="宋体"/>
          <w:color w:val="auto"/>
          <w:kern w:val="0"/>
          <w:sz w:val="24"/>
          <w:highlight w:val="none"/>
        </w:rPr>
        <w:t>符合性审查合格的</w:t>
      </w:r>
      <w:r>
        <w:rPr>
          <w:rFonts w:hint="eastAsia" w:ascii="宋体" w:hAnsi="宋体" w:cs="宋体"/>
          <w:color w:val="auto"/>
          <w:sz w:val="24"/>
          <w:highlight w:val="none"/>
        </w:rPr>
        <w:t xml:space="preserve">供应商。 </w:t>
      </w:r>
    </w:p>
    <w:p w14:paraId="15178221">
      <w:pPr>
        <w:spacing w:line="360" w:lineRule="auto"/>
        <w:ind w:firstLine="472" w:firstLineChars="196"/>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3.3最后报价</w:t>
      </w:r>
    </w:p>
    <w:p w14:paraId="41E7F857">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3.3.1 磋商文件能够详细列明采购标的的技术、服务要求的，磋商结束后，磋商小组应当要求所有符合性审查合格的供应商在规定时间内提交最后报价，提交最后报价的供应商不得少于3家。</w:t>
      </w:r>
    </w:p>
    <w:p w14:paraId="7B2EFEF6">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3.3.2 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54F83002">
      <w:pPr>
        <w:spacing w:line="360" w:lineRule="auto"/>
        <w:ind w:firstLine="470" w:firstLineChars="196"/>
        <w:rPr>
          <w:rFonts w:hint="eastAsia" w:ascii="宋体" w:hAnsi="宋体" w:cs="宋体"/>
          <w:color w:val="auto"/>
          <w:kern w:val="0"/>
          <w:sz w:val="24"/>
          <w:highlight w:val="none"/>
        </w:rPr>
      </w:pPr>
      <w:r>
        <w:rPr>
          <w:rFonts w:hint="eastAsia" w:ascii="宋体" w:hAnsi="宋体" w:cs="宋体"/>
          <w:color w:val="auto"/>
          <w:kern w:val="0"/>
          <w:sz w:val="24"/>
          <w:highlight w:val="none"/>
        </w:rPr>
        <w:t>3.3.3 已提交响应文件的供应商，在提交最后报价之前，可以根据磋商情况退出磋商</w:t>
      </w:r>
    </w:p>
    <w:p w14:paraId="50569451">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3.4 综合评分。</w:t>
      </w:r>
      <w:r>
        <w:rPr>
          <w:rFonts w:hint="eastAsia" w:ascii="宋体" w:hAnsi="宋体" w:cs="宋体"/>
          <w:bCs/>
          <w:color w:val="auto"/>
          <w:kern w:val="0"/>
          <w:sz w:val="24"/>
          <w:highlight w:val="none"/>
        </w:rPr>
        <w:t>经磋商确定最终采购需求和提交最后报价的供应商后，</w:t>
      </w:r>
      <w:r>
        <w:rPr>
          <w:rFonts w:hint="eastAsia" w:ascii="宋体" w:hAnsi="宋体" w:cs="宋体"/>
          <w:color w:val="auto"/>
          <w:kern w:val="0"/>
          <w:sz w:val="24"/>
          <w:highlight w:val="none"/>
        </w:rPr>
        <w:t>磋商小组应当按照采购文件中规定的评审标准，对符合性审查合格的响应文件进行综合评分。磋商文件中没有规定的评审标准不得作为评审依据。</w:t>
      </w:r>
    </w:p>
    <w:p w14:paraId="2484CE3B">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3.5汇总商务技术得分。</w:t>
      </w:r>
      <w:r>
        <w:rPr>
          <w:rFonts w:hint="eastAsia" w:ascii="宋体" w:hAnsi="宋体" w:cs="宋体"/>
          <w:color w:val="auto"/>
          <w:kern w:val="0"/>
          <w:sz w:val="24"/>
          <w:highlight w:val="none"/>
        </w:rPr>
        <w:t>磋商小组各成员应当独立对每个供应商的商务和技术文件进行评价，并汇总商务技术得分情况。磋商小组成员总评分偏离平均分30%以上的，以及个人主观打分偏离所有磋商小组成员主观打分平均值</w:t>
      </w:r>
      <w:r>
        <w:rPr>
          <w:rFonts w:ascii="宋体" w:hAnsi="宋体" w:cs="宋体"/>
          <w:color w:val="auto"/>
          <w:kern w:val="0"/>
          <w:sz w:val="24"/>
          <w:highlight w:val="none"/>
        </w:rPr>
        <w:t>30%以上的，由</w:t>
      </w:r>
      <w:r>
        <w:rPr>
          <w:rFonts w:hint="eastAsia" w:ascii="宋体" w:hAnsi="宋体" w:cs="宋体"/>
          <w:color w:val="auto"/>
          <w:kern w:val="0"/>
          <w:sz w:val="24"/>
          <w:highlight w:val="none"/>
        </w:rPr>
        <w:t>磋商小组</w:t>
      </w:r>
      <w:r>
        <w:rPr>
          <w:rFonts w:ascii="宋体" w:hAnsi="宋体" w:cs="宋体"/>
          <w:color w:val="auto"/>
          <w:kern w:val="0"/>
          <w:sz w:val="24"/>
          <w:highlight w:val="none"/>
        </w:rPr>
        <w:t>启动评分畸高、畸低行为认定程序</w:t>
      </w:r>
      <w:r>
        <w:rPr>
          <w:rFonts w:hint="eastAsia" w:ascii="宋体" w:hAnsi="宋体" w:cs="宋体"/>
          <w:color w:val="auto"/>
          <w:kern w:val="0"/>
          <w:sz w:val="24"/>
          <w:highlight w:val="none"/>
        </w:rPr>
        <w:t>，磋商小组组长应提醒相关评审人员进行复核或书面说明理由，评审人员拒绝说明的，由现场监督员据实记录；评审人员的评审、修改记录应保留原件，随项目其他资料一并存档。</w:t>
      </w:r>
    </w:p>
    <w:p w14:paraId="15E86901">
      <w:pPr>
        <w:spacing w:line="360" w:lineRule="auto"/>
        <w:ind w:firstLine="472" w:firstLineChars="196"/>
        <w:rPr>
          <w:rFonts w:hint="eastAsia" w:ascii="宋体" w:hAnsi="宋体" w:cs="宋体"/>
          <w:b/>
          <w:color w:val="auto"/>
          <w:kern w:val="0"/>
          <w:sz w:val="24"/>
          <w:highlight w:val="none"/>
        </w:rPr>
      </w:pPr>
      <w:r>
        <w:rPr>
          <w:rFonts w:hint="eastAsia" w:ascii="宋体" w:hAnsi="宋体" w:cs="宋体"/>
          <w:b/>
          <w:color w:val="auto"/>
          <w:kern w:val="0"/>
          <w:sz w:val="24"/>
          <w:highlight w:val="none"/>
        </w:rPr>
        <w:t>3.6报价评审。</w:t>
      </w:r>
    </w:p>
    <w:p w14:paraId="10110E5A">
      <w:pPr>
        <w:pStyle w:val="132"/>
        <w:spacing w:before="0"/>
        <w:ind w:firstLine="508" w:firstLineChars="212"/>
        <w:rPr>
          <w:rFonts w:hint="eastAsia" w:ascii="宋体" w:hAnsi="宋体" w:cs="宋体"/>
          <w:color w:val="auto"/>
          <w:kern w:val="0"/>
          <w:highlight w:val="none"/>
        </w:rPr>
      </w:pPr>
      <w:r>
        <w:rPr>
          <w:rFonts w:hint="eastAsia" w:ascii="宋体" w:hAnsi="宋体" w:cs="宋体"/>
          <w:color w:val="auto"/>
          <w:kern w:val="0"/>
          <w:highlight w:val="none"/>
        </w:rPr>
        <w:t>3.6.1响应文件报价出现前后不一致的，按照下列规定修正：</w:t>
      </w:r>
    </w:p>
    <w:p w14:paraId="79605501">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3.6.1.1响应文件中已标价工程量清单内容与响应文件中相应内容不一致的，以已标价工程量清单为准;</w:t>
      </w:r>
    </w:p>
    <w:p w14:paraId="7FA9FE0C">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3.6.1.2大写金额和小写金额不一致的，以大写金额为准;</w:t>
      </w:r>
    </w:p>
    <w:p w14:paraId="378407C6">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3.6.1.3单价金额小数点或者百分比有明显错位的，以已标价工程量清单的总价为准，并修改单价;</w:t>
      </w:r>
    </w:p>
    <w:p w14:paraId="5F2B02AE">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3.6.1.4总价金额与按单价汇总金额不一致的，以单价金额计算结果为准。</w:t>
      </w:r>
    </w:p>
    <w:p w14:paraId="1012BF8E">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3.6.1.5同时出现两种以上不一致的，按照3.6.1规定的顺序修正。修正后的报价经供应商确认后产生约束力。</w:t>
      </w:r>
    </w:p>
    <w:p w14:paraId="3A4B651B">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3.6.2响应文件出现不是唯一的、有选择性最后报价的，响应文件无效。</w:t>
      </w:r>
    </w:p>
    <w:p w14:paraId="79729153">
      <w:pPr>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3.6.3最后报价超过采购文件中规定的预算金额或者最高限价的，响应文件无效。</w:t>
      </w:r>
    </w:p>
    <w:p w14:paraId="3B3E1929">
      <w:pPr>
        <w:pStyle w:val="132"/>
        <w:spacing w:before="0"/>
        <w:ind w:firstLine="480"/>
        <w:rPr>
          <w:rFonts w:hint="eastAsia" w:ascii="宋体" w:hAnsi="宋体" w:cs="宋体"/>
          <w:color w:val="auto"/>
          <w:kern w:val="0"/>
          <w:szCs w:val="24"/>
          <w:highlight w:val="none"/>
        </w:rPr>
      </w:pPr>
      <w:r>
        <w:rPr>
          <w:rFonts w:hint="eastAsia" w:ascii="宋体" w:hAnsi="宋体" w:cs="宋体"/>
          <w:color w:val="auto"/>
          <w:kern w:val="0"/>
          <w:szCs w:val="24"/>
          <w:highlight w:val="none"/>
        </w:rPr>
        <w:t>3.6.4对于未预留份额专门面向中小企业的政府采购工程项目，以及预留份额政府采购工程项目中的非预留部分标项，对小型和微型企业的最后报价给予5%的扣除，用扣除后的价格参与评审。接受大中型企业与小微企业组成联合体或者允许大中型企业向一家或者多家小微企业分包的政府采购工程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5858050C">
      <w:pPr>
        <w:spacing w:line="360" w:lineRule="auto"/>
        <w:ind w:firstLine="482" w:firstLineChars="200"/>
        <w:rPr>
          <w:rFonts w:hint="eastAsia" w:ascii="宋体" w:hAnsi="宋体" w:cs="宋体"/>
          <w:b/>
          <w:color w:val="auto"/>
          <w:kern w:val="0"/>
          <w:sz w:val="24"/>
          <w:highlight w:val="none"/>
        </w:rPr>
      </w:pPr>
      <w:r>
        <w:rPr>
          <w:rFonts w:hint="eastAsia" w:ascii="宋体" w:hAnsi="宋体" w:cs="宋体"/>
          <w:b/>
          <w:color w:val="auto"/>
          <w:kern w:val="0"/>
          <w:sz w:val="24"/>
          <w:highlight w:val="none"/>
        </w:rPr>
        <w:t>3.7排序与推荐。</w:t>
      </w:r>
      <w:r>
        <w:rPr>
          <w:rFonts w:hint="eastAsia" w:ascii="宋体" w:hAnsi="宋体" w:cs="宋体"/>
          <w:color w:val="auto"/>
          <w:kern w:val="0"/>
          <w:sz w:val="24"/>
          <w:highlight w:val="none"/>
        </w:rPr>
        <w:t>评审结果按评审后得分由高到低顺序排列。得分相同的，按最后报价由低到高顺序排列。得分且最后报价相同的并列。响应文件满足采购文件全部实质性要求，且按照评审因素的量化指标评审得分由高到低顺序推荐3名以上成交候选供应商。</w:t>
      </w:r>
      <w:r>
        <w:rPr>
          <w:rFonts w:hint="eastAsia" w:ascii="宋体" w:hAnsi="宋体" w:cs="宋体"/>
          <w:color w:val="auto"/>
          <w:kern w:val="0"/>
          <w:sz w:val="24"/>
          <w:highlight w:val="none"/>
          <w:lang w:val="en"/>
        </w:rPr>
        <w:t>本项目推荐的中标候选人数量：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3家</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en"/>
        </w:rPr>
        <w:t>。</w:t>
      </w:r>
    </w:p>
    <w:p w14:paraId="43C67E51">
      <w:pPr>
        <w:spacing w:line="360" w:lineRule="auto"/>
        <w:ind w:firstLine="472" w:firstLineChars="196"/>
        <w:rPr>
          <w:rFonts w:hint="eastAsia" w:ascii="宋体" w:hAnsi="宋体" w:cs="宋体"/>
          <w:color w:val="auto"/>
          <w:kern w:val="0"/>
          <w:sz w:val="24"/>
          <w:highlight w:val="none"/>
        </w:rPr>
      </w:pPr>
      <w:r>
        <w:rPr>
          <w:rFonts w:hint="eastAsia" w:ascii="宋体" w:hAnsi="宋体" w:cs="宋体"/>
          <w:b/>
          <w:color w:val="auto"/>
          <w:kern w:val="0"/>
          <w:sz w:val="24"/>
          <w:highlight w:val="none"/>
        </w:rPr>
        <w:t>3.8编写评审报告。</w:t>
      </w:r>
      <w:r>
        <w:rPr>
          <w:rFonts w:hint="eastAsia" w:ascii="宋体" w:hAnsi="宋体" w:cs="宋体"/>
          <w:color w:val="auto"/>
          <w:kern w:val="0"/>
          <w:sz w:val="24"/>
          <w:highlight w:val="none"/>
        </w:rPr>
        <w:t>磋商小组根据全体评审成员签字的原始评审记录和评审结果编写评审报告。磋商小组成员对需要共同认定的事项存在争议的，应当按照少数服从多数的原则作出结论。持不同意见的磋商小组成员应当在评审报告上签署不同意见及理由，否则视为同意评审报告。</w:t>
      </w:r>
    </w:p>
    <w:p w14:paraId="30E8C4EA">
      <w:pPr>
        <w:snapToGrid w:val="0"/>
        <w:spacing w:line="360" w:lineRule="auto"/>
        <w:jc w:val="center"/>
        <w:rPr>
          <w:rFonts w:hint="eastAsia" w:ascii="宋体" w:hAnsi="宋体" w:cs="宋体"/>
          <w:b/>
          <w:color w:val="auto"/>
          <w:sz w:val="32"/>
          <w:highlight w:val="none"/>
        </w:rPr>
      </w:pPr>
      <w:r>
        <w:rPr>
          <w:rFonts w:hint="eastAsia" w:ascii="宋体" w:hAnsi="宋体" w:cs="宋体"/>
          <w:b/>
          <w:color w:val="auto"/>
          <w:sz w:val="32"/>
          <w:highlight w:val="none"/>
        </w:rPr>
        <w:t>四、评审中的其他事项</w:t>
      </w:r>
    </w:p>
    <w:p w14:paraId="6CD71687">
      <w:pPr>
        <w:pStyle w:val="132"/>
        <w:spacing w:before="0"/>
        <w:ind w:firstLine="472" w:firstLineChars="196"/>
        <w:rPr>
          <w:rFonts w:hint="eastAsia" w:ascii="宋体" w:hAnsi="宋体" w:cs="宋体"/>
          <w:color w:val="auto"/>
          <w:kern w:val="0"/>
          <w:szCs w:val="24"/>
          <w:highlight w:val="none"/>
        </w:rPr>
      </w:pPr>
      <w:r>
        <w:rPr>
          <w:rFonts w:hint="eastAsia" w:ascii="宋体" w:hAnsi="宋体" w:cs="宋体"/>
          <w:b/>
          <w:color w:val="auto"/>
          <w:kern w:val="0"/>
          <w:szCs w:val="24"/>
          <w:highlight w:val="none"/>
        </w:rPr>
        <w:t>4.1供应商澄清、说明或者补正。</w:t>
      </w:r>
      <w:r>
        <w:rPr>
          <w:rFonts w:hint="eastAsia" w:ascii="宋体" w:hAnsi="宋体" w:cs="宋体"/>
          <w:color w:val="auto"/>
          <w:kern w:val="0"/>
          <w:szCs w:val="24"/>
          <w:highlight w:val="none"/>
        </w:rPr>
        <w:t>对于响应文件中含义不明确、同类问题表述不一致或者有明显文字和计算错误的内容需要供应商作出必要的澄清、说明或者补正的，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补正不得超出响应文件的范围或者改变响应文件的实质性内容。</w:t>
      </w:r>
    </w:p>
    <w:p w14:paraId="12882ADD">
      <w:pPr>
        <w:pStyle w:val="5"/>
        <w:spacing w:line="360" w:lineRule="auto"/>
        <w:ind w:left="954" w:leftChars="226" w:hanging="479" w:firstLineChars="0"/>
        <w:rPr>
          <w:rFonts w:hint="eastAsia" w:cs="宋体"/>
          <w:color w:val="auto"/>
          <w:szCs w:val="21"/>
          <w:highlight w:val="none"/>
        </w:rPr>
      </w:pPr>
      <w:r>
        <w:rPr>
          <w:rFonts w:hint="eastAsia" w:cs="宋体"/>
          <w:b/>
          <w:color w:val="auto"/>
          <w:kern w:val="0"/>
          <w:highlight w:val="none"/>
        </w:rPr>
        <w:t>4.2响应文件无效。</w:t>
      </w:r>
      <w:r>
        <w:rPr>
          <w:rFonts w:hint="eastAsia" w:cs="宋体"/>
          <w:color w:val="auto"/>
          <w:szCs w:val="21"/>
          <w:highlight w:val="none"/>
        </w:rPr>
        <w:t>有下列情形之一的，响应文件无效：</w:t>
      </w:r>
    </w:p>
    <w:p w14:paraId="0CE1107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4.2.1供应商不具备采购文件中规定的资格要求的（供应商未提供有效的资格文件的，视为供应商不具备采购文件中规定的资格要求）；</w:t>
      </w:r>
    </w:p>
    <w:p w14:paraId="3141773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4.2.2响应文件未按照采购文件要求签署、盖章的；</w:t>
      </w:r>
    </w:p>
    <w:p w14:paraId="3786D4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4.2.3采购人拟采购的产品属于政府强制采购的节能产品品目清单范围的，供应商未按采购文件要求提供国家确定的认证机构出具的、处于有效期之内的节能产品认证证书的；</w:t>
      </w:r>
    </w:p>
    <w:p w14:paraId="4A9E2D7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4.2.4响应文件含有采购人不能接受的附加条件的；</w:t>
      </w:r>
    </w:p>
    <w:p w14:paraId="3143E1A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4.2.5响应文件中承诺的响应文件有效期少于采购文件中载明的响应文件有效期的；</w:t>
      </w:r>
    </w:p>
    <w:p w14:paraId="1434F4A7">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4.2.6响应文件出现不是唯一的、有选择性最后报价的;</w:t>
      </w:r>
    </w:p>
    <w:p w14:paraId="4E9A5F7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4.2.7最后报价超过采购文件中规定的预算金额或者最高限价的;</w:t>
      </w:r>
    </w:p>
    <w:p w14:paraId="134E40C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4.2.8供应商对根据修正原则修正后的报价不确认的；</w:t>
      </w:r>
    </w:p>
    <w:p w14:paraId="3C183AF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4.2.9供应商提供虚假材料响应的；</w:t>
      </w:r>
    </w:p>
    <w:p w14:paraId="089A9DFA">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4.2.10供应商有恶意串通、妨碍其他供应商的竞争行为、损害采购人或者其他供应商的合法权益情形的；</w:t>
      </w:r>
    </w:p>
    <w:p w14:paraId="2EAB328C">
      <w:pPr>
        <w:pStyle w:val="82"/>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4.2.11</w:t>
      </w:r>
      <w:r>
        <w:rPr>
          <w:rFonts w:hint="eastAsia" w:ascii="宋体" w:hAnsi="宋体" w:eastAsia="宋体" w:cs="宋体"/>
          <w:color w:val="auto"/>
          <w:sz w:val="24"/>
          <w:szCs w:val="24"/>
          <w:highlight w:val="none"/>
          <w:lang w:val="en"/>
        </w:rPr>
        <w:t>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78BEFD9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4.2.12供应商仅提交备份响应文件，未在电子交易平台传输递交响应文件的，响应文件无效；</w:t>
      </w:r>
    </w:p>
    <w:p w14:paraId="5212CCA3">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4.2.13 响应文件不满足采购文件的其它实质性要求的；</w:t>
      </w:r>
    </w:p>
    <w:p w14:paraId="36417A22">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4.2.14法律、法规、规章（适用本市的）及省级以上规范性文件（适用本市的）规定的其他无效情形。</w:t>
      </w:r>
    </w:p>
    <w:p w14:paraId="08F739EE">
      <w:pPr>
        <w:pStyle w:val="5"/>
        <w:snapToGrid w:val="0"/>
        <w:spacing w:line="360" w:lineRule="auto"/>
        <w:ind w:firstLine="472" w:firstLineChars="196"/>
        <w:rPr>
          <w:rFonts w:hint="eastAsia" w:cs="宋体"/>
          <w:color w:val="auto"/>
          <w:highlight w:val="none"/>
        </w:rPr>
      </w:pPr>
      <w:r>
        <w:rPr>
          <w:rFonts w:hint="eastAsia" w:cs="宋体"/>
          <w:b/>
          <w:color w:val="auto"/>
          <w:highlight w:val="none"/>
        </w:rPr>
        <w:t>5.终止竞争性磋商采购活动。</w:t>
      </w:r>
      <w:r>
        <w:rPr>
          <w:rFonts w:hint="eastAsia" w:cs="宋体"/>
          <w:color w:val="auto"/>
          <w:highlight w:val="none"/>
        </w:rPr>
        <w:t>出现下列情形之一的，采购人或者采购代理机构应当终止竞争性磋商采购活动，发布项目终止公告并说明原因，重新开展采购活动：</w:t>
      </w:r>
    </w:p>
    <w:p w14:paraId="0F760F32">
      <w:pPr>
        <w:pStyle w:val="5"/>
        <w:snapToGrid w:val="0"/>
        <w:spacing w:line="360" w:lineRule="auto"/>
        <w:rPr>
          <w:rFonts w:hint="eastAsia" w:cs="宋体"/>
          <w:color w:val="auto"/>
          <w:highlight w:val="none"/>
        </w:rPr>
      </w:pPr>
      <w:r>
        <w:rPr>
          <w:rFonts w:hint="eastAsia" w:cs="宋体"/>
          <w:color w:val="auto"/>
          <w:highlight w:val="none"/>
        </w:rPr>
        <w:t>5.1因情况变化，不再符合规定的竞争性磋商采购方式适用情形的；</w:t>
      </w:r>
    </w:p>
    <w:p w14:paraId="3F319953">
      <w:pPr>
        <w:pStyle w:val="5"/>
        <w:snapToGrid w:val="0"/>
        <w:spacing w:line="360" w:lineRule="auto"/>
        <w:rPr>
          <w:rFonts w:hint="eastAsia" w:cs="宋体"/>
          <w:color w:val="auto"/>
          <w:highlight w:val="none"/>
        </w:rPr>
      </w:pPr>
      <w:r>
        <w:rPr>
          <w:rFonts w:hint="eastAsia" w:cs="宋体"/>
          <w:color w:val="auto"/>
          <w:highlight w:val="none"/>
        </w:rPr>
        <w:t>5.2出现影响采购公正的违法、违规行为的；</w:t>
      </w:r>
    </w:p>
    <w:p w14:paraId="6CD3ECC7">
      <w:pPr>
        <w:pStyle w:val="5"/>
        <w:snapToGrid w:val="0"/>
        <w:spacing w:line="360" w:lineRule="auto"/>
        <w:rPr>
          <w:rFonts w:hint="eastAsia" w:cs="宋体"/>
          <w:color w:val="auto"/>
          <w:highlight w:val="none"/>
        </w:rPr>
      </w:pPr>
      <w:r>
        <w:rPr>
          <w:rFonts w:hint="eastAsia" w:cs="宋体"/>
          <w:color w:val="auto"/>
          <w:highlight w:val="none"/>
        </w:rPr>
        <w:t>5.3除本办法第二十一条第三款规定的情形外，在采购过程中符合要求的供应商或者报价未超过采购预算的供应商不足3家的。</w:t>
      </w:r>
    </w:p>
    <w:p w14:paraId="192F7027">
      <w:pPr>
        <w:pStyle w:val="5"/>
        <w:snapToGrid w:val="0"/>
        <w:spacing w:line="360" w:lineRule="auto"/>
        <w:rPr>
          <w:rFonts w:hint="eastAsia" w:cs="宋体"/>
          <w:color w:val="auto"/>
          <w:highlight w:val="none"/>
        </w:rPr>
      </w:pPr>
      <w:r>
        <w:rPr>
          <w:rFonts w:hint="eastAsia" w:cs="宋体"/>
          <w:color w:val="auto"/>
          <w:highlight w:val="none"/>
        </w:rPr>
        <w:t>5.4在采购活动中因重大变故，采购任务取消的，采购人或者采购代理机构应当终止采购活动，通知所有参加采购活动的供应商，并将项目实施情况和采购任务取消原因报送本级财政部门。</w:t>
      </w:r>
    </w:p>
    <w:p w14:paraId="4BEE4456">
      <w:pPr>
        <w:pStyle w:val="5"/>
        <w:snapToGrid w:val="0"/>
        <w:spacing w:line="360" w:lineRule="auto"/>
        <w:ind w:firstLine="482"/>
        <w:rPr>
          <w:rFonts w:hint="eastAsia" w:cs="宋体"/>
          <w:color w:val="auto"/>
          <w:highlight w:val="none"/>
        </w:rPr>
      </w:pPr>
      <w:r>
        <w:rPr>
          <w:rFonts w:hint="eastAsia" w:cs="宋体"/>
          <w:b/>
          <w:color w:val="auto"/>
          <w:kern w:val="0"/>
          <w:highlight w:val="none"/>
        </w:rPr>
        <w:t>6.重新开展采购。</w:t>
      </w:r>
      <w:r>
        <w:rPr>
          <w:rFonts w:hint="eastAsia" w:cs="宋体"/>
          <w:color w:val="auto"/>
          <w:highlight w:val="none"/>
        </w:rPr>
        <w:t>有政府采购法第七十一条、第七十二条规定的违法行为之一，影响或者可能影响成交结果的，依照下列规定处理：</w:t>
      </w:r>
    </w:p>
    <w:p w14:paraId="0EC06B9D">
      <w:pPr>
        <w:pStyle w:val="5"/>
        <w:snapToGrid w:val="0"/>
        <w:spacing w:line="360" w:lineRule="auto"/>
        <w:rPr>
          <w:rFonts w:hint="eastAsia" w:cs="宋体"/>
          <w:color w:val="auto"/>
          <w:highlight w:val="none"/>
        </w:rPr>
      </w:pPr>
      <w:r>
        <w:rPr>
          <w:rFonts w:hint="eastAsia" w:cs="宋体"/>
          <w:color w:val="auto"/>
          <w:highlight w:val="none"/>
        </w:rPr>
        <w:t>6.1未确定成交供应商的，终止本次政府采购活动，重新开展政府采购活动。</w:t>
      </w:r>
    </w:p>
    <w:p w14:paraId="06ED2DBF">
      <w:pPr>
        <w:pStyle w:val="5"/>
        <w:snapToGrid w:val="0"/>
        <w:spacing w:line="360" w:lineRule="auto"/>
        <w:rPr>
          <w:rFonts w:hint="eastAsia" w:cs="宋体"/>
          <w:color w:val="auto"/>
          <w:highlight w:val="none"/>
        </w:rPr>
      </w:pPr>
      <w:r>
        <w:rPr>
          <w:rFonts w:hint="eastAsia" w:cs="宋体"/>
          <w:color w:val="auto"/>
          <w:highlight w:val="none"/>
        </w:rPr>
        <w:t>6.2已确定成交供应商但尚未签订政府采购合同的，成交结果无效，从合格的成交候选供应商中另行确定成交供应商；没有合格的成交候选供应商的，重新开展政府采购活动。</w:t>
      </w:r>
    </w:p>
    <w:p w14:paraId="5400A558">
      <w:pPr>
        <w:pStyle w:val="5"/>
        <w:snapToGrid w:val="0"/>
        <w:spacing w:line="360" w:lineRule="auto"/>
        <w:rPr>
          <w:rFonts w:hint="eastAsia" w:cs="宋体"/>
          <w:color w:val="auto"/>
          <w:highlight w:val="none"/>
        </w:rPr>
      </w:pPr>
      <w:r>
        <w:rPr>
          <w:rFonts w:hint="eastAsia" w:cs="宋体"/>
          <w:color w:val="auto"/>
          <w:highlight w:val="none"/>
        </w:rPr>
        <w:t>6.3政府采购合同已签订但尚未履行的，撤销合同，从合格的成交候选供应商中另行确定成交供应商；没有合格的成交候选供应商的，重新开展政府采购活动。</w:t>
      </w:r>
    </w:p>
    <w:p w14:paraId="37D3FA36">
      <w:pPr>
        <w:pStyle w:val="5"/>
        <w:snapToGrid w:val="0"/>
        <w:spacing w:line="360" w:lineRule="auto"/>
        <w:rPr>
          <w:rFonts w:hint="eastAsia" w:cs="宋体"/>
          <w:color w:val="auto"/>
          <w:highlight w:val="none"/>
        </w:rPr>
      </w:pPr>
      <w:r>
        <w:rPr>
          <w:rFonts w:hint="eastAsia" w:cs="宋体"/>
          <w:color w:val="auto"/>
          <w:highlight w:val="none"/>
        </w:rPr>
        <w:t>6.4政府采购合同已经履行，给采购人、供应商造成损失的，由责任人承担赔偿责任。</w:t>
      </w:r>
    </w:p>
    <w:p w14:paraId="5A32A9E8">
      <w:pPr>
        <w:pStyle w:val="5"/>
        <w:snapToGrid w:val="0"/>
        <w:spacing w:line="360" w:lineRule="auto"/>
        <w:rPr>
          <w:rFonts w:hint="eastAsia" w:cs="宋体"/>
          <w:color w:val="auto"/>
          <w:highlight w:val="none"/>
        </w:rPr>
      </w:pPr>
      <w:r>
        <w:rPr>
          <w:rFonts w:hint="eastAsia" w:cs="宋体"/>
          <w:color w:val="auto"/>
          <w:highlight w:val="none"/>
        </w:rPr>
        <w:t>6.5政府采购当事人有其他违反政府采购法或者政府采购法实施条例等法律法规规定的行为，经改正后仍然影响或者可能影响成交结果或者依法被认定为成交无效的，依照6.1-6.4规定处理。</w:t>
      </w:r>
    </w:p>
    <w:p w14:paraId="64ACFD46">
      <w:pPr>
        <w:pStyle w:val="5"/>
        <w:snapToGrid w:val="0"/>
        <w:spacing w:line="360" w:lineRule="auto"/>
        <w:ind w:firstLine="0" w:firstLineChars="0"/>
        <w:rPr>
          <w:rFonts w:hint="eastAsia" w:cs="宋体"/>
          <w:color w:val="auto"/>
          <w:highlight w:val="none"/>
        </w:rPr>
        <w:sectPr>
          <w:pgSz w:w="11907" w:h="16840"/>
          <w:pgMar w:top="1440" w:right="1080" w:bottom="1440" w:left="1080" w:header="851" w:footer="851" w:gutter="0"/>
          <w:cols w:space="720" w:num="1"/>
        </w:sectPr>
      </w:pPr>
    </w:p>
    <w:bookmarkEnd w:id="31"/>
    <w:p w14:paraId="5B7D5805">
      <w:pPr>
        <w:spacing w:line="360" w:lineRule="auto"/>
        <w:jc w:val="center"/>
        <w:outlineLvl w:val="0"/>
        <w:rPr>
          <w:rFonts w:hint="eastAsia" w:ascii="宋体" w:hAnsi="宋体" w:cs="宋体"/>
          <w:b/>
          <w:color w:val="auto"/>
          <w:sz w:val="36"/>
          <w:szCs w:val="36"/>
          <w:highlight w:val="none"/>
        </w:rPr>
      </w:pPr>
      <w:bookmarkStart w:id="400" w:name="第五部分"/>
      <w:bookmarkStart w:id="401" w:name="_Toc86217003"/>
      <w:r>
        <w:rPr>
          <w:rFonts w:hint="eastAsia" w:ascii="宋体" w:hAnsi="宋体" w:cs="宋体"/>
          <w:b/>
          <w:color w:val="auto"/>
          <w:sz w:val="36"/>
          <w:szCs w:val="36"/>
          <w:highlight w:val="none"/>
        </w:rPr>
        <w:t>第五部分 拟签订的合同文本</w:t>
      </w:r>
    </w:p>
    <w:p w14:paraId="72A69FBD">
      <w:pPr>
        <w:snapToGrid w:val="0"/>
        <w:spacing w:line="360" w:lineRule="auto"/>
        <w:ind w:firstLine="480" w:firstLineChars="200"/>
        <w:jc w:val="left"/>
        <w:rPr>
          <w:rFonts w:hint="eastAsia" w:ascii="宋体" w:hAnsi="宋体"/>
          <w:snapToGrid w:val="0"/>
          <w:color w:val="auto"/>
          <w:kern w:val="0"/>
          <w:sz w:val="24"/>
          <w:szCs w:val="20"/>
          <w:highlight w:val="none"/>
        </w:rPr>
      </w:pPr>
      <w:r>
        <w:rPr>
          <w:rFonts w:hint="eastAsia" w:ascii="宋体" w:hAnsi="宋体"/>
          <w:snapToGrid w:val="0"/>
          <w:color w:val="auto"/>
          <w:kern w:val="0"/>
          <w:sz w:val="24"/>
          <w:szCs w:val="20"/>
          <w:highlight w:val="none"/>
        </w:rPr>
        <w:t>参考住房城乡建设部、原国家工商行政管理总局制定的《建设工程施工合同（示范文本）》（GF-2017-0201）。</w:t>
      </w:r>
    </w:p>
    <w:p w14:paraId="7D4B1363">
      <w:pPr>
        <w:keepNext/>
        <w:keepLines/>
        <w:numPr>
          <w:ilvl w:val="1"/>
          <w:numId w:val="0"/>
        </w:numPr>
        <w:snapToGrid w:val="0"/>
        <w:spacing w:before="100" w:line="360" w:lineRule="auto"/>
        <w:jc w:val="center"/>
        <w:outlineLvl w:val="1"/>
        <w:rPr>
          <w:rFonts w:hint="eastAsia" w:ascii="宋体" w:hAnsi="宋体" w:cs="宋体"/>
          <w:snapToGrid w:val="0"/>
          <w:color w:val="auto"/>
          <w:kern w:val="44"/>
          <w:sz w:val="28"/>
          <w:szCs w:val="20"/>
          <w:highlight w:val="none"/>
        </w:rPr>
      </w:pPr>
      <w:r>
        <w:rPr>
          <w:rFonts w:hint="eastAsia" w:ascii="宋体" w:hAnsi="宋体" w:cs="宋体"/>
          <w:snapToGrid w:val="0"/>
          <w:color w:val="auto"/>
          <w:kern w:val="44"/>
          <w:sz w:val="24"/>
          <w:szCs w:val="20"/>
          <w:highlight w:val="none"/>
        </w:rPr>
        <w:br w:type="page"/>
      </w:r>
      <w:bookmarkStart w:id="402" w:name="_Toc32130"/>
      <w:bookmarkStart w:id="403" w:name="_Toc97299497"/>
      <w:r>
        <w:rPr>
          <w:rFonts w:hint="eastAsia" w:ascii="宋体" w:hAnsi="宋体" w:cs="宋体"/>
          <w:snapToGrid w:val="0"/>
          <w:color w:val="auto"/>
          <w:kern w:val="44"/>
          <w:sz w:val="28"/>
          <w:szCs w:val="20"/>
          <w:highlight w:val="none"/>
        </w:rPr>
        <w:t>第一部分  合同协议书</w:t>
      </w:r>
      <w:bookmarkEnd w:id="402"/>
      <w:bookmarkEnd w:id="403"/>
    </w:p>
    <w:p w14:paraId="4433B560">
      <w:pPr>
        <w:snapToGrid w:val="0"/>
        <w:spacing w:line="360" w:lineRule="auto"/>
        <w:ind w:firstLine="470" w:firstLineChars="196"/>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发包人（全称）：</w:t>
      </w:r>
      <w:r>
        <w:rPr>
          <w:rFonts w:hint="eastAsia" w:ascii="宋体" w:hAnsi="宋体" w:cs="宋体"/>
          <w:snapToGrid w:val="0"/>
          <w:color w:val="auto"/>
          <w:kern w:val="0"/>
          <w:sz w:val="24"/>
          <w:highlight w:val="none"/>
          <w:u w:val="single"/>
        </w:rPr>
        <w:t xml:space="preserve">   </w:t>
      </w:r>
      <w:bookmarkStart w:id="404" w:name="SOA_hhxys_fbr"/>
      <w:r>
        <w:rPr>
          <w:rFonts w:hint="eastAsia" w:ascii="宋体" w:hAnsi="宋体" w:cs="宋体"/>
          <w:snapToGrid w:val="0"/>
          <w:color w:val="auto"/>
          <w:kern w:val="0"/>
          <w:sz w:val="24"/>
          <w:highlight w:val="none"/>
          <w:u w:val="single"/>
        </w:rPr>
        <w:t xml:space="preserve">杭州市中策职业学校钱塘学校       </w:t>
      </w:r>
      <w:bookmarkEnd w:id="404"/>
      <w:r>
        <w:rPr>
          <w:rFonts w:hint="eastAsia" w:ascii="宋体" w:hAnsi="宋体" w:cs="宋体"/>
          <w:snapToGrid w:val="0"/>
          <w:color w:val="auto"/>
          <w:kern w:val="0"/>
          <w:sz w:val="24"/>
          <w:highlight w:val="none"/>
          <w:u w:val="single"/>
        </w:rPr>
        <w:t xml:space="preserve"> </w:t>
      </w:r>
    </w:p>
    <w:p w14:paraId="0EC1F9D2">
      <w:pPr>
        <w:snapToGrid w:val="0"/>
        <w:spacing w:line="360" w:lineRule="auto"/>
        <w:ind w:firstLine="470" w:firstLineChars="196"/>
        <w:rPr>
          <w:rFonts w:hint="eastAsia" w:ascii="宋体" w:hAnsi="宋体" w:cs="宋体"/>
          <w:b/>
          <w:snapToGrid w:val="0"/>
          <w:color w:val="auto"/>
          <w:kern w:val="0"/>
          <w:sz w:val="24"/>
          <w:highlight w:val="none"/>
          <w:u w:val="single"/>
        </w:rPr>
      </w:pPr>
      <w:r>
        <w:rPr>
          <w:rFonts w:hint="eastAsia" w:ascii="宋体" w:hAnsi="宋体" w:cs="宋体"/>
          <w:snapToGrid w:val="0"/>
          <w:color w:val="auto"/>
          <w:kern w:val="0"/>
          <w:sz w:val="24"/>
          <w:highlight w:val="none"/>
        </w:rPr>
        <w:t>承包人（全称）：</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w:t>
      </w:r>
      <w:bookmarkStart w:id="405" w:name="SOA_hhxys_cbr"/>
      <w:r>
        <w:rPr>
          <w:rFonts w:hint="eastAsia" w:ascii="宋体" w:hAnsi="宋体" w:cs="宋体"/>
          <w:snapToGrid w:val="0"/>
          <w:color w:val="auto"/>
          <w:kern w:val="0"/>
          <w:sz w:val="24"/>
          <w:highlight w:val="none"/>
          <w:u w:val="single"/>
        </w:rPr>
        <w:t xml:space="preserve">  </w:t>
      </w:r>
      <w:bookmarkEnd w:id="405"/>
    </w:p>
    <w:p w14:paraId="4299ADE1">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根据《中华人民共和国民法典》、 《中华人民共和国建筑法》及有关法律规定，遵循平等、自愿、公平和诚实信用的原则，双方就</w:t>
      </w:r>
      <w:r>
        <w:rPr>
          <w:rFonts w:hint="eastAsia" w:ascii="宋体" w:hAnsi="宋体" w:cs="宋体"/>
          <w:snapToGrid w:val="0"/>
          <w:color w:val="auto"/>
          <w:kern w:val="0"/>
          <w:sz w:val="24"/>
          <w:highlight w:val="none"/>
          <w:u w:val="single"/>
        </w:rPr>
        <w:t xml:space="preserve">  旗杆东侧室外篮球场建设     </w:t>
      </w:r>
      <w:r>
        <w:rPr>
          <w:rFonts w:hint="eastAsia" w:ascii="宋体" w:hAnsi="宋体" w:cs="宋体"/>
          <w:snapToGrid w:val="0"/>
          <w:color w:val="auto"/>
          <w:kern w:val="0"/>
          <w:sz w:val="24"/>
          <w:highlight w:val="none"/>
        </w:rPr>
        <w:t>工程施工及有关事项协商一致，共同达成如下协议：</w:t>
      </w:r>
    </w:p>
    <w:p w14:paraId="1CB05A3F">
      <w:pPr>
        <w:snapToGrid w:val="0"/>
        <w:spacing w:before="24" w:beforeLines="10" w:after="24" w:afterLines="10" w:line="360" w:lineRule="auto"/>
        <w:rPr>
          <w:rFonts w:hint="eastAsia" w:ascii="宋体" w:hAnsi="宋体" w:cs="宋体"/>
          <w:b/>
          <w:bCs/>
          <w:snapToGrid w:val="0"/>
          <w:color w:val="auto"/>
          <w:kern w:val="0"/>
          <w:sz w:val="24"/>
          <w:highlight w:val="none"/>
        </w:rPr>
      </w:pPr>
      <w:bookmarkStart w:id="406" w:name="_Toc97299498"/>
      <w:bookmarkStart w:id="407" w:name="_Toc361220410"/>
      <w:r>
        <w:rPr>
          <w:rFonts w:hint="eastAsia" w:ascii="宋体" w:hAnsi="宋体" w:cs="宋体"/>
          <w:b/>
          <w:bCs/>
          <w:snapToGrid w:val="0"/>
          <w:color w:val="auto"/>
          <w:kern w:val="0"/>
          <w:sz w:val="24"/>
          <w:highlight w:val="none"/>
        </w:rPr>
        <w:t>一、工程概况</w:t>
      </w:r>
      <w:bookmarkEnd w:id="406"/>
      <w:bookmarkEnd w:id="407"/>
    </w:p>
    <w:p w14:paraId="3482DDA2">
      <w:pPr>
        <w:snapToGrid w:val="0"/>
        <w:spacing w:line="360" w:lineRule="auto"/>
        <w:ind w:firstLine="470" w:firstLineChars="196"/>
        <w:rPr>
          <w:rFonts w:hint="eastAsia" w:ascii="宋体" w:hAnsi="宋体" w:cs="宋体"/>
          <w:snapToGrid w:val="0"/>
          <w:color w:val="auto"/>
          <w:kern w:val="0"/>
          <w:sz w:val="24"/>
          <w:highlight w:val="none"/>
          <w:u w:val="single"/>
        </w:rPr>
      </w:pPr>
      <w:r>
        <w:rPr>
          <w:rFonts w:hint="eastAsia" w:ascii="宋体" w:hAnsi="宋体" w:cs="宋体"/>
          <w:bCs/>
          <w:snapToGrid w:val="0"/>
          <w:color w:val="auto"/>
          <w:kern w:val="0"/>
          <w:sz w:val="24"/>
          <w:highlight w:val="none"/>
        </w:rPr>
        <w:t>1.工程名称</w:t>
      </w: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旗杆东侧室外篮球场建设    </w:t>
      </w:r>
      <w:r>
        <w:rPr>
          <w:rFonts w:hint="eastAsia" w:ascii="宋体" w:hAnsi="宋体" w:cs="宋体"/>
          <w:snapToGrid w:val="0"/>
          <w:color w:val="auto"/>
          <w:kern w:val="0"/>
          <w:sz w:val="24"/>
          <w:highlight w:val="none"/>
        </w:rPr>
        <w:t>。</w:t>
      </w:r>
    </w:p>
    <w:p w14:paraId="1B7D52EA">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2.工程地点：</w:t>
      </w:r>
      <w:r>
        <w:rPr>
          <w:rFonts w:hint="eastAsia" w:ascii="宋体" w:hAnsi="宋体" w:cs="宋体"/>
          <w:snapToGrid w:val="0"/>
          <w:color w:val="auto"/>
          <w:kern w:val="0"/>
          <w:sz w:val="24"/>
          <w:highlight w:val="none"/>
          <w:u w:val="single"/>
        </w:rPr>
        <w:t xml:space="preserve"> 杭州市钱塘新区奕策巷1号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1E2A44A">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3.工程立项批准文号：</w:t>
      </w:r>
      <w:r>
        <w:rPr>
          <w:rFonts w:hint="eastAsia" w:ascii="宋体" w:hAnsi="宋体" w:cs="宋体"/>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5EC57715">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4.资金来源：</w:t>
      </w:r>
      <w:r>
        <w:rPr>
          <w:rFonts w:hint="eastAsia" w:ascii="宋体" w:hAnsi="宋体" w:cs="宋体"/>
          <w:snapToGrid w:val="0"/>
          <w:color w:val="auto"/>
          <w:kern w:val="0"/>
          <w:sz w:val="24"/>
          <w:highlight w:val="none"/>
          <w:u w:val="single"/>
        </w:rPr>
        <w:t>        </w:t>
      </w:r>
      <w:r>
        <w:rPr>
          <w:rFonts w:hint="eastAsia" w:ascii="宋体" w:hAnsi="宋体" w:cs="宋体"/>
          <w:bCs/>
          <w:snapToGrid w:val="0"/>
          <w:color w:val="auto"/>
          <w:kern w:val="0"/>
          <w:sz w:val="24"/>
          <w:highlight w:val="none"/>
        </w:rPr>
        <w:t>。</w:t>
      </w:r>
    </w:p>
    <w:p w14:paraId="5876566A">
      <w:pPr>
        <w:snapToGrid w:val="0"/>
        <w:spacing w:line="360" w:lineRule="auto"/>
        <w:ind w:firstLine="463" w:firstLineChars="193"/>
        <w:rPr>
          <w:rFonts w:hint="eastAsia" w:ascii="宋体" w:hAnsi="宋体" w:cs="宋体"/>
          <w:snapToGrid w:val="0"/>
          <w:color w:val="auto"/>
          <w:kern w:val="0"/>
          <w:sz w:val="24"/>
          <w:highlight w:val="none"/>
        </w:rPr>
      </w:pPr>
      <w:r>
        <w:rPr>
          <w:rFonts w:hint="eastAsia" w:ascii="宋体" w:hAnsi="宋体" w:cs="宋体"/>
          <w:bCs/>
          <w:snapToGrid w:val="0"/>
          <w:color w:val="auto"/>
          <w:kern w:val="0"/>
          <w:sz w:val="24"/>
          <w:highlight w:val="none"/>
        </w:rPr>
        <w:t>5.工程内容：</w:t>
      </w:r>
      <w:r>
        <w:rPr>
          <w:rFonts w:hint="eastAsia" w:ascii="宋体" w:hAnsi="宋体" w:cs="宋体"/>
          <w:bCs/>
          <w:snapToGrid w:val="0"/>
          <w:color w:val="auto"/>
          <w:kern w:val="0"/>
          <w:sz w:val="24"/>
          <w:highlight w:val="none"/>
          <w:u w:val="single"/>
        </w:rPr>
        <w:t>旗杆东侧室外篮球场建设</w:t>
      </w:r>
      <w:r>
        <w:rPr>
          <w:rFonts w:hint="eastAsia" w:ascii="宋体" w:hAnsi="宋体" w:cs="宋体"/>
          <w:bCs/>
          <w:snapToGrid w:val="0"/>
          <w:color w:val="auto"/>
          <w:kern w:val="0"/>
          <w:sz w:val="24"/>
          <w:highlight w:val="none"/>
          <w:u w:val="single"/>
          <w:lang w:val="en-US" w:eastAsia="zh-CN"/>
        </w:rPr>
        <w:t xml:space="preserve"> </w:t>
      </w:r>
      <w:r>
        <w:rPr>
          <w:rFonts w:hint="eastAsia" w:ascii="宋体" w:hAnsi="宋体" w:cs="宋体"/>
          <w:bCs/>
          <w:snapToGrid w:val="0"/>
          <w:color w:val="auto"/>
          <w:kern w:val="0"/>
          <w:sz w:val="24"/>
          <w:highlight w:val="none"/>
        </w:rPr>
        <w:t xml:space="preserve">                            </w:t>
      </w:r>
      <w:r>
        <w:rPr>
          <w:rFonts w:hint="eastAsia" w:ascii="宋体" w:hAnsi="宋体" w:cs="宋体"/>
          <w:snapToGrid w:val="0"/>
          <w:color w:val="auto"/>
          <w:kern w:val="0"/>
          <w:sz w:val="24"/>
          <w:highlight w:val="none"/>
        </w:rPr>
        <w:t xml:space="preserve"> </w:t>
      </w:r>
    </w:p>
    <w:p w14:paraId="4EDE0F07">
      <w:pPr>
        <w:snapToGrid w:val="0"/>
        <w:spacing w:line="360" w:lineRule="auto"/>
        <w:ind w:firstLine="470" w:firstLineChars="196"/>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6.工程承包范围：</w:t>
      </w:r>
    </w:p>
    <w:p w14:paraId="37F35650">
      <w:pPr>
        <w:snapToGrid w:val="0"/>
        <w:spacing w:line="360" w:lineRule="auto"/>
        <w:ind w:firstLine="463" w:firstLineChars="193"/>
        <w:rPr>
          <w:rFonts w:hint="eastAsia" w:ascii="宋体" w:hAnsi="宋体" w:eastAsia="宋体" w:cs="宋体"/>
          <w:bCs/>
          <w:snapToGrid w:val="0"/>
          <w:color w:val="auto"/>
          <w:kern w:val="0"/>
          <w:sz w:val="24"/>
          <w:highlight w:val="none"/>
          <w:lang w:eastAsia="zh-CN"/>
        </w:rPr>
      </w:pPr>
      <w:bookmarkStart w:id="408" w:name="_Toc361220411"/>
      <w:r>
        <w:rPr>
          <w:rFonts w:hint="eastAsia" w:ascii="宋体" w:hAnsi="宋体" w:cs="宋体"/>
          <w:bCs/>
          <w:snapToGrid w:val="0"/>
          <w:color w:val="auto"/>
          <w:kern w:val="0"/>
          <w:sz w:val="24"/>
          <w:highlight w:val="none"/>
        </w:rPr>
        <w:t>本项目为</w:t>
      </w:r>
      <w:r>
        <w:rPr>
          <w:rFonts w:hint="eastAsia" w:ascii="宋体" w:hAnsi="宋体" w:cs="宋体"/>
          <w:bCs/>
          <w:snapToGrid w:val="0"/>
          <w:color w:val="auto"/>
          <w:kern w:val="0"/>
          <w:sz w:val="24"/>
          <w:highlight w:val="none"/>
          <w:u w:val="single"/>
        </w:rPr>
        <w:t xml:space="preserve">旗杆东侧室外篮球场建设 </w:t>
      </w:r>
      <w:r>
        <w:rPr>
          <w:rFonts w:hint="eastAsia" w:ascii="宋体" w:hAnsi="宋体" w:cs="宋体"/>
          <w:bCs/>
          <w:snapToGrid w:val="0"/>
          <w:color w:val="auto"/>
          <w:kern w:val="0"/>
          <w:sz w:val="24"/>
          <w:highlight w:val="none"/>
        </w:rPr>
        <w:t>项目，详见图纸、工程量清单以及采购文件要求</w:t>
      </w:r>
      <w:r>
        <w:rPr>
          <w:rFonts w:hint="eastAsia" w:ascii="宋体" w:hAnsi="宋体" w:cs="宋体"/>
          <w:bCs/>
          <w:snapToGrid w:val="0"/>
          <w:color w:val="auto"/>
          <w:kern w:val="0"/>
          <w:sz w:val="24"/>
          <w:highlight w:val="none"/>
          <w:lang w:eastAsia="zh-CN"/>
        </w:rPr>
        <w:t>。</w:t>
      </w:r>
    </w:p>
    <w:p w14:paraId="0D42FB94">
      <w:pPr>
        <w:snapToGrid w:val="0"/>
        <w:spacing w:line="360" w:lineRule="auto"/>
        <w:rPr>
          <w:rFonts w:hint="eastAsia" w:ascii="宋体" w:hAnsi="宋体" w:cs="宋体"/>
          <w:b/>
          <w:bCs/>
          <w:snapToGrid w:val="0"/>
          <w:color w:val="auto"/>
          <w:kern w:val="0"/>
          <w:sz w:val="24"/>
          <w:highlight w:val="none"/>
        </w:rPr>
      </w:pPr>
      <w:bookmarkStart w:id="409" w:name="_Toc97299499"/>
      <w:r>
        <w:rPr>
          <w:rFonts w:hint="eastAsia" w:ascii="宋体" w:hAnsi="宋体" w:cs="宋体"/>
          <w:b/>
          <w:bCs/>
          <w:snapToGrid w:val="0"/>
          <w:color w:val="auto"/>
          <w:kern w:val="0"/>
          <w:sz w:val="24"/>
          <w:highlight w:val="none"/>
        </w:rPr>
        <w:t>二、合同工期</w:t>
      </w:r>
      <w:bookmarkEnd w:id="408"/>
      <w:bookmarkEnd w:id="409"/>
    </w:p>
    <w:p w14:paraId="5DBA1F4D">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计划开工日期：</w:t>
      </w:r>
      <w:r>
        <w:rPr>
          <w:rFonts w:hint="eastAsia" w:ascii="宋体" w:hAnsi="宋体" w:cs="宋体"/>
          <w:snapToGrid w:val="0"/>
          <w:color w:val="auto"/>
          <w:kern w:val="0"/>
          <w:sz w:val="24"/>
          <w:highlight w:val="none"/>
          <w:u w:val="single"/>
        </w:rPr>
        <w:t>2026</w:t>
      </w:r>
      <w:r>
        <w:rPr>
          <w:rFonts w:hint="eastAsia" w:ascii="宋体" w:hAnsi="宋体" w:cs="宋体"/>
          <w:snapToGrid w:val="0"/>
          <w:color w:val="auto"/>
          <w:kern w:val="0"/>
          <w:sz w:val="24"/>
          <w:highlight w:val="none"/>
          <w:u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p>
    <w:p w14:paraId="484FB233">
      <w:pPr>
        <w:snapToGrid w:val="0"/>
        <w:spacing w:line="360" w:lineRule="auto"/>
        <w:ind w:firstLine="459"/>
        <w:rPr>
          <w:rFonts w:hint="eastAsia" w:ascii="宋体" w:hAnsi="宋体" w:cs="宋体"/>
          <w:snapToGrid w:val="0"/>
          <w:color w:val="auto"/>
          <w:kern w:val="0"/>
          <w:sz w:val="24"/>
          <w:highlight w:val="none"/>
        </w:rPr>
      </w:pPr>
      <w:bookmarkStart w:id="410" w:name="SOA_hhxys_jgn"/>
      <w:r>
        <w:rPr>
          <w:rFonts w:hint="eastAsia" w:ascii="宋体" w:hAnsi="宋体" w:cs="宋体"/>
          <w:snapToGrid w:val="0"/>
          <w:color w:val="auto"/>
          <w:kern w:val="0"/>
          <w:sz w:val="24"/>
          <w:highlight w:val="none"/>
        </w:rPr>
        <w:t>计划竣工日期：</w:t>
      </w:r>
      <w:r>
        <w:rPr>
          <w:rFonts w:hint="eastAsia" w:ascii="宋体" w:hAnsi="宋体" w:cs="宋体"/>
          <w:snapToGrid w:val="0"/>
          <w:color w:val="auto"/>
          <w:kern w:val="0"/>
          <w:sz w:val="24"/>
          <w:highlight w:val="none"/>
          <w:u w:val="single"/>
        </w:rPr>
        <w:t>202</w:t>
      </w:r>
      <w:r>
        <w:rPr>
          <w:rFonts w:hint="eastAsia" w:ascii="宋体" w:hAnsi="宋体" w:cs="宋体"/>
          <w:snapToGrid w:val="0"/>
          <w:color w:val="auto"/>
          <w:kern w:val="0"/>
          <w:sz w:val="24"/>
          <w:highlight w:val="none"/>
          <w:u w:val="single"/>
          <w:lang w:val="en-US" w:eastAsia="zh-CN"/>
        </w:rPr>
        <w:t>6</w:t>
      </w:r>
      <w:r>
        <w:rPr>
          <w:rFonts w:hint="eastAsia" w:ascii="宋体" w:hAnsi="宋体" w:cs="宋体"/>
          <w:snapToGrid w:val="0"/>
          <w:color w:val="auto"/>
          <w:kern w:val="0"/>
          <w:sz w:val="24"/>
          <w:highlight w:val="none"/>
        </w:rPr>
        <w:t>年</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月</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u w:val="single"/>
          <w:lang w:val="en-US" w:eastAsia="zh-CN"/>
        </w:rPr>
        <w:t xml:space="preserve"> </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日；</w:t>
      </w:r>
      <w:bookmarkEnd w:id="410"/>
    </w:p>
    <w:p w14:paraId="34743794">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工期总日历天数：</w:t>
      </w:r>
      <w:r>
        <w:rPr>
          <w:rFonts w:hint="eastAsia" w:ascii="宋体" w:hAnsi="宋体" w:cs="宋体"/>
          <w:snapToGrid w:val="0"/>
          <w:color w:val="auto"/>
          <w:kern w:val="0"/>
          <w:sz w:val="24"/>
          <w:highlight w:val="none"/>
          <w:u w:val="single"/>
        </w:rPr>
        <w:t xml:space="preserve"> 52 </w:t>
      </w:r>
      <w:r>
        <w:rPr>
          <w:rFonts w:hint="eastAsia" w:ascii="宋体" w:hAnsi="宋体" w:cs="宋体"/>
          <w:snapToGrid w:val="0"/>
          <w:color w:val="auto"/>
          <w:kern w:val="0"/>
          <w:sz w:val="24"/>
          <w:highlight w:val="none"/>
        </w:rPr>
        <w:t>天。工期总日历天数与根据前述计划开竣工日期计算的工期天数不一致的，以工期总日历天数为准。</w:t>
      </w:r>
    </w:p>
    <w:p w14:paraId="6984F591">
      <w:pPr>
        <w:snapToGrid w:val="0"/>
        <w:spacing w:line="360" w:lineRule="auto"/>
        <w:rPr>
          <w:rFonts w:hint="eastAsia" w:ascii="宋体" w:hAnsi="宋体" w:cs="宋体"/>
          <w:b/>
          <w:bCs/>
          <w:snapToGrid w:val="0"/>
          <w:color w:val="auto"/>
          <w:kern w:val="0"/>
          <w:sz w:val="24"/>
          <w:highlight w:val="none"/>
        </w:rPr>
      </w:pPr>
      <w:bookmarkStart w:id="411" w:name="_Toc361220412"/>
      <w:bookmarkStart w:id="412" w:name="_Toc97299500"/>
      <w:r>
        <w:rPr>
          <w:rFonts w:hint="eastAsia" w:ascii="宋体" w:hAnsi="宋体" w:cs="宋体"/>
          <w:b/>
          <w:bCs/>
          <w:snapToGrid w:val="0"/>
          <w:color w:val="auto"/>
          <w:kern w:val="0"/>
          <w:sz w:val="24"/>
          <w:highlight w:val="none"/>
        </w:rPr>
        <w:t>三、质量标准</w:t>
      </w:r>
      <w:bookmarkEnd w:id="411"/>
      <w:bookmarkEnd w:id="412"/>
    </w:p>
    <w:p w14:paraId="2CCD9C7C">
      <w:pPr>
        <w:snapToGrid w:val="0"/>
        <w:spacing w:line="360" w:lineRule="auto"/>
        <w:ind w:firstLine="459"/>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工程质量符合</w:t>
      </w:r>
      <w:r>
        <w:rPr>
          <w:rFonts w:hint="eastAsia" w:ascii="宋体" w:hAnsi="宋体" w:cs="宋体"/>
          <w:snapToGrid w:val="0"/>
          <w:color w:val="auto"/>
          <w:kern w:val="0"/>
          <w:sz w:val="24"/>
          <w:highlight w:val="none"/>
          <w:u w:val="single"/>
        </w:rPr>
        <w:t>国家施工验收规范合格</w:t>
      </w:r>
      <w:r>
        <w:rPr>
          <w:rFonts w:hint="eastAsia" w:ascii="宋体" w:hAnsi="宋体" w:cs="宋体"/>
          <w:snapToGrid w:val="0"/>
          <w:color w:val="auto"/>
          <w:kern w:val="0"/>
          <w:sz w:val="24"/>
          <w:highlight w:val="none"/>
        </w:rPr>
        <w:t>标准。</w:t>
      </w:r>
    </w:p>
    <w:p w14:paraId="66F90E98">
      <w:pPr>
        <w:snapToGrid w:val="0"/>
        <w:spacing w:line="360" w:lineRule="auto"/>
        <w:rPr>
          <w:rFonts w:hint="eastAsia" w:ascii="宋体" w:hAnsi="宋体" w:cs="宋体"/>
          <w:b/>
          <w:bCs/>
          <w:snapToGrid w:val="0"/>
          <w:color w:val="auto"/>
          <w:kern w:val="0"/>
          <w:sz w:val="24"/>
          <w:highlight w:val="none"/>
        </w:rPr>
      </w:pPr>
      <w:bookmarkStart w:id="413" w:name="_Toc361220413"/>
      <w:bookmarkStart w:id="414" w:name="_Toc97299501"/>
      <w:r>
        <w:rPr>
          <w:rFonts w:hint="eastAsia" w:ascii="宋体" w:hAnsi="宋体" w:cs="宋体"/>
          <w:b/>
          <w:bCs/>
          <w:snapToGrid w:val="0"/>
          <w:color w:val="auto"/>
          <w:kern w:val="0"/>
          <w:sz w:val="24"/>
          <w:highlight w:val="none"/>
        </w:rPr>
        <w:t>四、签约合同价与合同价格形式</w:t>
      </w:r>
      <w:bookmarkEnd w:id="413"/>
      <w:bookmarkEnd w:id="414"/>
    </w:p>
    <w:p w14:paraId="7BB1DD58">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1.签约合同价为：</w:t>
      </w:r>
    </w:p>
    <w:p w14:paraId="71856A08">
      <w:pPr>
        <w:snapToGrid w:val="0"/>
        <w:spacing w:line="360" w:lineRule="auto"/>
        <w:ind w:firstLine="600" w:firstLineChars="25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人民币（大写）</w:t>
      </w:r>
      <w:bookmarkStart w:id="415" w:name="SOA_hhxys_htjdx"/>
      <w:r>
        <w:rPr>
          <w:rFonts w:hint="eastAsia" w:ascii="宋体" w:hAnsi="宋体" w:cs="宋体"/>
          <w:snapToGrid w:val="0"/>
          <w:color w:val="auto"/>
          <w:kern w:val="0"/>
          <w:sz w:val="24"/>
          <w:highlight w:val="none"/>
          <w:u w:val="single"/>
        </w:rPr>
        <w:t xml:space="preserve">                   </w:t>
      </w:r>
      <w:bookmarkEnd w:id="415"/>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u w:val="single"/>
        </w:rPr>
        <w:t xml:space="preserve"> </w:t>
      </w:r>
      <w:bookmarkStart w:id="416" w:name="SOA_hhxys_htjxx"/>
      <w:r>
        <w:rPr>
          <w:rFonts w:hint="eastAsia" w:ascii="宋体" w:hAnsi="宋体" w:cs="宋体"/>
          <w:snapToGrid w:val="0"/>
          <w:color w:val="auto"/>
          <w:kern w:val="0"/>
          <w:sz w:val="24"/>
          <w:highlight w:val="none"/>
          <w:u w:val="single"/>
        </w:rPr>
        <w:t xml:space="preserve">            </w:t>
      </w:r>
      <w:bookmarkEnd w:id="416"/>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元)；</w:t>
      </w:r>
    </w:p>
    <w:p w14:paraId="2641B8DB">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其中：</w:t>
      </w:r>
    </w:p>
    <w:p w14:paraId="425D7E74">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（1）安全文明施工费：</w:t>
      </w:r>
    </w:p>
    <w:p w14:paraId="17C8FA44">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7" w:name="SOA_hhxys_wmsgfdx"/>
      <w:r>
        <w:rPr>
          <w:rFonts w:hint="eastAsia" w:ascii="宋体" w:hAnsi="宋体" w:cs="宋体"/>
          <w:snapToGrid w:val="0"/>
          <w:color w:val="auto"/>
          <w:kern w:val="0"/>
          <w:sz w:val="24"/>
          <w:highlight w:val="none"/>
          <w:u w:val="single"/>
        </w:rPr>
        <w:t xml:space="preserve">                </w:t>
      </w:r>
      <w:bookmarkEnd w:id="417"/>
      <w:r>
        <w:rPr>
          <w:rFonts w:hint="eastAsia" w:ascii="宋体" w:hAnsi="宋体" w:cs="宋体"/>
          <w:snapToGrid w:val="0"/>
          <w:color w:val="auto"/>
          <w:kern w:val="0"/>
          <w:sz w:val="24"/>
          <w:highlight w:val="none"/>
        </w:rPr>
        <w:t>(¥</w:t>
      </w:r>
      <w:bookmarkStart w:id="418" w:name="SOA_hhxys_wmsgfxx"/>
      <w:r>
        <w:rPr>
          <w:rFonts w:hint="eastAsia" w:ascii="宋体" w:hAnsi="宋体" w:cs="宋体"/>
          <w:snapToGrid w:val="0"/>
          <w:color w:val="auto"/>
          <w:kern w:val="0"/>
          <w:sz w:val="24"/>
          <w:highlight w:val="none"/>
          <w:u w:val="single"/>
        </w:rPr>
        <w:t xml:space="preserve">                  </w:t>
      </w:r>
      <w:bookmarkEnd w:id="418"/>
      <w:r>
        <w:rPr>
          <w:rFonts w:hint="eastAsia" w:ascii="宋体" w:hAnsi="宋体" w:cs="宋体"/>
          <w:snapToGrid w:val="0"/>
          <w:color w:val="auto"/>
          <w:kern w:val="0"/>
          <w:sz w:val="24"/>
          <w:highlight w:val="none"/>
        </w:rPr>
        <w:t>元)；</w:t>
      </w:r>
    </w:p>
    <w:p w14:paraId="1435B92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（2）材料和工程设备暂估价金额：</w:t>
      </w:r>
    </w:p>
    <w:p w14:paraId="6C0DCF35">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19" w:name="SOA_hhxys_sbzgjdx"/>
      <w:r>
        <w:rPr>
          <w:rFonts w:hint="eastAsia" w:ascii="宋体" w:hAnsi="宋体" w:cs="宋体"/>
          <w:snapToGrid w:val="0"/>
          <w:color w:val="auto"/>
          <w:kern w:val="0"/>
          <w:sz w:val="24"/>
          <w:highlight w:val="none"/>
          <w:u w:val="single"/>
        </w:rPr>
        <w:t xml:space="preserve">       </w:t>
      </w:r>
      <w:bookmarkEnd w:id="419"/>
      <w:r>
        <w:rPr>
          <w:rFonts w:hint="eastAsia" w:ascii="宋体" w:hAnsi="宋体" w:cs="宋体"/>
          <w:snapToGrid w:val="0"/>
          <w:color w:val="auto"/>
          <w:kern w:val="0"/>
          <w:sz w:val="24"/>
          <w:highlight w:val="none"/>
        </w:rPr>
        <w:t>(¥</w:t>
      </w:r>
      <w:bookmarkStart w:id="420" w:name="SOA_hhxys_sbzgjxx"/>
      <w:r>
        <w:rPr>
          <w:rFonts w:hint="eastAsia" w:ascii="宋体" w:hAnsi="宋体" w:cs="宋体"/>
          <w:snapToGrid w:val="0"/>
          <w:color w:val="auto"/>
          <w:kern w:val="0"/>
          <w:sz w:val="24"/>
          <w:highlight w:val="none"/>
          <w:u w:val="single"/>
        </w:rPr>
        <w:t xml:space="preserve">      </w:t>
      </w:r>
      <w:bookmarkEnd w:id="420"/>
      <w:r>
        <w:rPr>
          <w:rFonts w:hint="eastAsia" w:ascii="宋体" w:hAnsi="宋体" w:cs="宋体"/>
          <w:snapToGrid w:val="0"/>
          <w:color w:val="auto"/>
          <w:kern w:val="0"/>
          <w:sz w:val="24"/>
          <w:highlight w:val="none"/>
        </w:rPr>
        <w:t>元)；</w:t>
      </w:r>
    </w:p>
    <w:p w14:paraId="68D3189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（3）专业工程暂估价金额：</w:t>
      </w:r>
    </w:p>
    <w:p w14:paraId="056442B0">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21" w:name="SOA_hhxys_gczgjdx"/>
      <w:r>
        <w:rPr>
          <w:rFonts w:hint="eastAsia" w:ascii="宋体" w:hAnsi="宋体" w:cs="宋体"/>
          <w:snapToGrid w:val="0"/>
          <w:color w:val="auto"/>
          <w:kern w:val="0"/>
          <w:sz w:val="24"/>
          <w:highlight w:val="none"/>
          <w:u w:val="single"/>
        </w:rPr>
        <w:t xml:space="preserve">       </w:t>
      </w:r>
      <w:bookmarkEnd w:id="421"/>
      <w:r>
        <w:rPr>
          <w:rFonts w:hint="eastAsia" w:ascii="宋体" w:hAnsi="宋体" w:cs="宋体"/>
          <w:snapToGrid w:val="0"/>
          <w:color w:val="auto"/>
          <w:kern w:val="0"/>
          <w:sz w:val="24"/>
          <w:highlight w:val="none"/>
        </w:rPr>
        <w:t>(¥</w:t>
      </w:r>
      <w:bookmarkStart w:id="422" w:name="SOA_hhxys_gczgjxx"/>
      <w:r>
        <w:rPr>
          <w:rFonts w:hint="eastAsia" w:ascii="宋体" w:hAnsi="宋体" w:cs="宋体"/>
          <w:snapToGrid w:val="0"/>
          <w:color w:val="auto"/>
          <w:kern w:val="0"/>
          <w:sz w:val="24"/>
          <w:highlight w:val="none"/>
          <w:u w:val="single"/>
        </w:rPr>
        <w:t xml:space="preserve">       </w:t>
      </w:r>
      <w:bookmarkEnd w:id="422"/>
      <w:r>
        <w:rPr>
          <w:rFonts w:hint="eastAsia" w:ascii="宋体" w:hAnsi="宋体" w:cs="宋体"/>
          <w:snapToGrid w:val="0"/>
          <w:color w:val="auto"/>
          <w:kern w:val="0"/>
          <w:sz w:val="24"/>
          <w:highlight w:val="none"/>
        </w:rPr>
        <w:t>元)；</w:t>
      </w:r>
    </w:p>
    <w:p w14:paraId="725F12E1">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（4）暂列金额：</w:t>
      </w:r>
    </w:p>
    <w:p w14:paraId="446443BD">
      <w:p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人民币（大写）</w:t>
      </w:r>
      <w:bookmarkStart w:id="423" w:name="SOA_hhxys_zljedx"/>
      <w:r>
        <w:rPr>
          <w:rFonts w:hint="eastAsia" w:ascii="宋体" w:hAnsi="宋体" w:cs="宋体"/>
          <w:snapToGrid w:val="0"/>
          <w:color w:val="auto"/>
          <w:kern w:val="0"/>
          <w:sz w:val="24"/>
          <w:highlight w:val="none"/>
          <w:u w:val="single"/>
        </w:rPr>
        <w:t xml:space="preserve">       </w:t>
      </w:r>
      <w:bookmarkEnd w:id="423"/>
      <w:r>
        <w:rPr>
          <w:rFonts w:hint="eastAsia" w:ascii="宋体" w:hAnsi="宋体" w:cs="宋体"/>
          <w:snapToGrid w:val="0"/>
          <w:color w:val="auto"/>
          <w:kern w:val="0"/>
          <w:sz w:val="24"/>
          <w:highlight w:val="none"/>
        </w:rPr>
        <w:t>(¥</w:t>
      </w:r>
      <w:bookmarkStart w:id="424" w:name="SOA_hhxys_zljexx"/>
      <w:r>
        <w:rPr>
          <w:rFonts w:hint="eastAsia" w:ascii="宋体" w:hAnsi="宋体" w:cs="宋体"/>
          <w:snapToGrid w:val="0"/>
          <w:color w:val="auto"/>
          <w:kern w:val="0"/>
          <w:sz w:val="24"/>
          <w:highlight w:val="none"/>
          <w:u w:val="single"/>
        </w:rPr>
        <w:t xml:space="preserve">        </w:t>
      </w:r>
      <w:bookmarkEnd w:id="424"/>
      <w:r>
        <w:rPr>
          <w:rFonts w:hint="eastAsia" w:ascii="宋体" w:hAnsi="宋体" w:cs="宋体"/>
          <w:snapToGrid w:val="0"/>
          <w:color w:val="auto"/>
          <w:kern w:val="0"/>
          <w:sz w:val="24"/>
          <w:highlight w:val="none"/>
        </w:rPr>
        <w:t>元)。</w:t>
      </w:r>
    </w:p>
    <w:p w14:paraId="55878931">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2.合同价格形式：</w:t>
      </w:r>
      <w:r>
        <w:rPr>
          <w:rFonts w:hint="eastAsia" w:ascii="宋体" w:hAnsi="宋体" w:cs="宋体"/>
          <w:snapToGrid w:val="0"/>
          <w:color w:val="auto"/>
          <w:kern w:val="0"/>
          <w:sz w:val="24"/>
          <w:highlight w:val="none"/>
          <w:u w:val="single"/>
        </w:rPr>
        <w:t></w:t>
      </w:r>
      <w:bookmarkStart w:id="425" w:name="SOA_hhxys_htjgxs"/>
      <w:r>
        <w:rPr>
          <w:rFonts w:hint="eastAsia" w:ascii="宋体" w:hAnsi="宋体" w:cs="宋体"/>
          <w:snapToGrid w:val="0"/>
          <w:color w:val="auto"/>
          <w:kern w:val="0"/>
          <w:sz w:val="24"/>
          <w:highlight w:val="none"/>
          <w:u w:val="single"/>
        </w:rPr>
        <w:t xml:space="preserve"> 固定单价合同</w:t>
      </w:r>
      <w:bookmarkEnd w:id="425"/>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4BA70D58">
      <w:pPr>
        <w:snapToGrid w:val="0"/>
        <w:spacing w:line="360" w:lineRule="auto"/>
        <w:rPr>
          <w:rFonts w:hint="eastAsia" w:ascii="宋体" w:hAnsi="宋体" w:cs="宋体"/>
          <w:b/>
          <w:bCs/>
          <w:snapToGrid w:val="0"/>
          <w:color w:val="auto"/>
          <w:kern w:val="0"/>
          <w:sz w:val="24"/>
          <w:highlight w:val="none"/>
        </w:rPr>
      </w:pPr>
      <w:bookmarkStart w:id="426" w:name="_Toc97299502"/>
      <w:bookmarkStart w:id="427" w:name="_Toc361220414"/>
      <w:r>
        <w:rPr>
          <w:rFonts w:hint="eastAsia" w:ascii="宋体" w:hAnsi="宋体" w:cs="宋体"/>
          <w:b/>
          <w:bCs/>
          <w:snapToGrid w:val="0"/>
          <w:color w:val="auto"/>
          <w:kern w:val="0"/>
          <w:sz w:val="24"/>
          <w:highlight w:val="none"/>
        </w:rPr>
        <w:t>五、项目经理</w:t>
      </w:r>
      <w:bookmarkEnd w:id="426"/>
      <w:bookmarkEnd w:id="427"/>
    </w:p>
    <w:p w14:paraId="62B7BC10">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承包人项目经理：</w:t>
      </w:r>
      <w:r>
        <w:rPr>
          <w:rFonts w:hint="eastAsia" w:ascii="宋体" w:hAnsi="宋体" w:cs="宋体"/>
          <w:snapToGrid w:val="0"/>
          <w:color w:val="auto"/>
          <w:kern w:val="0"/>
          <w:sz w:val="24"/>
          <w:highlight w:val="none"/>
          <w:u w:val="single"/>
        </w:rPr>
        <w:t></w:t>
      </w:r>
      <w:bookmarkStart w:id="428" w:name="SOA_hhxys_cbrxmjl"/>
      <w:r>
        <w:rPr>
          <w:rFonts w:hint="eastAsia" w:ascii="宋体" w:hAnsi="宋体" w:cs="宋体"/>
          <w:snapToGrid w:val="0"/>
          <w:color w:val="auto"/>
          <w:kern w:val="0"/>
          <w:sz w:val="24"/>
          <w:highlight w:val="none"/>
          <w:u w:val="single"/>
        </w:rPr>
        <w:t xml:space="preserve">        </w:t>
      </w:r>
      <w:bookmarkEnd w:id="428"/>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w:t>
      </w:r>
    </w:p>
    <w:p w14:paraId="3DB69C83">
      <w:pPr>
        <w:snapToGrid w:val="0"/>
        <w:spacing w:line="360" w:lineRule="auto"/>
        <w:rPr>
          <w:rFonts w:hint="eastAsia" w:ascii="宋体" w:hAnsi="宋体" w:cs="宋体"/>
          <w:b/>
          <w:bCs/>
          <w:snapToGrid w:val="0"/>
          <w:color w:val="auto"/>
          <w:kern w:val="0"/>
          <w:sz w:val="24"/>
          <w:highlight w:val="none"/>
        </w:rPr>
      </w:pPr>
      <w:bookmarkStart w:id="429" w:name="_Toc361220415"/>
      <w:bookmarkStart w:id="430" w:name="_Toc97299503"/>
      <w:r>
        <w:rPr>
          <w:rFonts w:hint="eastAsia" w:ascii="宋体" w:hAnsi="宋体" w:cs="宋体"/>
          <w:b/>
          <w:bCs/>
          <w:snapToGrid w:val="0"/>
          <w:color w:val="auto"/>
          <w:kern w:val="0"/>
          <w:sz w:val="24"/>
          <w:highlight w:val="none"/>
        </w:rPr>
        <w:t>六、合同文件构成</w:t>
      </w:r>
      <w:bookmarkEnd w:id="429"/>
      <w:bookmarkEnd w:id="430"/>
    </w:p>
    <w:p w14:paraId="219F1A3E">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本协议书与下列文件一起构成合同文件：</w:t>
      </w:r>
    </w:p>
    <w:p w14:paraId="6FBE8F64">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（1）成交通知书（如果有）；</w:t>
      </w:r>
    </w:p>
    <w:p w14:paraId="7C8FEB7B">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（2）响应函及其附录（如果有）； </w:t>
      </w:r>
    </w:p>
    <w:p w14:paraId="3849CD23">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（3）专用合同条款及其附件；</w:t>
      </w:r>
    </w:p>
    <w:p w14:paraId="024F9082">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（4）通用合同条款；</w:t>
      </w:r>
    </w:p>
    <w:p w14:paraId="41678812">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（5）技术标准和要求；</w:t>
      </w:r>
    </w:p>
    <w:p w14:paraId="3BDBE0E6">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（6）图纸；</w:t>
      </w:r>
    </w:p>
    <w:p w14:paraId="7D4FB789">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（7）已标价工程量清单或预算书；</w:t>
      </w:r>
    </w:p>
    <w:p w14:paraId="7640F6C1">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（8）其他合同文件。</w:t>
      </w:r>
    </w:p>
    <w:p w14:paraId="35475136">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在合同订立及履行过程中形成的与合同有关的文件均构成合同文件组成部分。</w:t>
      </w:r>
    </w:p>
    <w:p w14:paraId="0C034B47">
      <w:pPr>
        <w:autoSpaceDE w:val="0"/>
        <w:autoSpaceDN w:val="0"/>
        <w:snapToGrid w:val="0"/>
        <w:spacing w:line="360" w:lineRule="auto"/>
        <w:ind w:firstLine="480" w:firstLineChars="20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上述各项合同文件包括合同当事人就该项合同文件所作出的补充和修改，属于同一类内容的文件，应以最新签署的为准。专用合同条款及其附件须经合同当事人签字或盖章。</w:t>
      </w:r>
    </w:p>
    <w:p w14:paraId="756BA148">
      <w:pPr>
        <w:snapToGrid w:val="0"/>
        <w:spacing w:line="360" w:lineRule="auto"/>
        <w:rPr>
          <w:rFonts w:hint="eastAsia" w:ascii="宋体" w:hAnsi="宋体" w:cs="宋体"/>
          <w:b/>
          <w:bCs/>
          <w:snapToGrid w:val="0"/>
          <w:color w:val="auto"/>
          <w:kern w:val="0"/>
          <w:sz w:val="24"/>
          <w:highlight w:val="none"/>
        </w:rPr>
      </w:pPr>
      <w:bookmarkStart w:id="431" w:name="_Toc361220416"/>
      <w:bookmarkStart w:id="432" w:name="_Toc97299504"/>
      <w:r>
        <w:rPr>
          <w:rFonts w:hint="eastAsia" w:ascii="宋体" w:hAnsi="宋体" w:cs="宋体"/>
          <w:b/>
          <w:bCs/>
          <w:snapToGrid w:val="0"/>
          <w:color w:val="auto"/>
          <w:kern w:val="0"/>
          <w:sz w:val="24"/>
          <w:highlight w:val="none"/>
        </w:rPr>
        <w:t>七、承诺</w:t>
      </w:r>
      <w:bookmarkEnd w:id="431"/>
      <w:bookmarkEnd w:id="432"/>
    </w:p>
    <w:p w14:paraId="3D1733BA">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1.发包人承诺按照法律规定履行项目审批手续、筹集工程建设资金并按照合同约定的期限和方式支付合同价款。</w:t>
      </w:r>
    </w:p>
    <w:p w14:paraId="3E28480D">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2.承包人承诺按照法律规定及合同约定组织完成工程施工，确保工程质量和安全，不进行转包及违法分包，并在缺陷责任期及保修期内承担相应的工程维修责任。</w:t>
      </w:r>
    </w:p>
    <w:p w14:paraId="2A6100A0">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3.发包人和承包人通过</w:t>
      </w:r>
      <w:r>
        <w:rPr>
          <w:rFonts w:hint="eastAsia"/>
          <w:color w:val="auto"/>
          <w:highlight w:val="none"/>
        </w:rPr>
        <w:t>政府采购</w:t>
      </w:r>
      <w:r>
        <w:rPr>
          <w:rFonts w:hint="eastAsia" w:ascii="宋体" w:hAnsi="宋体" w:cs="宋体"/>
          <w:bCs/>
          <w:snapToGrid w:val="0"/>
          <w:color w:val="auto"/>
          <w:kern w:val="0"/>
          <w:sz w:val="24"/>
          <w:highlight w:val="none"/>
        </w:rPr>
        <w:t>形式签订合同的，双方理解并承诺不再就同一工程另行签订与合同实质性内容相背离的协议。</w:t>
      </w:r>
    </w:p>
    <w:p w14:paraId="6661D529">
      <w:pPr>
        <w:snapToGrid w:val="0"/>
        <w:spacing w:line="360" w:lineRule="auto"/>
        <w:rPr>
          <w:rFonts w:hint="eastAsia" w:ascii="宋体" w:hAnsi="宋体" w:cs="宋体"/>
          <w:b/>
          <w:bCs/>
          <w:snapToGrid w:val="0"/>
          <w:color w:val="auto"/>
          <w:kern w:val="0"/>
          <w:sz w:val="24"/>
          <w:highlight w:val="none"/>
        </w:rPr>
      </w:pPr>
      <w:bookmarkStart w:id="433" w:name="_Toc361220417"/>
      <w:bookmarkStart w:id="434" w:name="_Toc97299505"/>
      <w:r>
        <w:rPr>
          <w:rFonts w:hint="eastAsia" w:ascii="宋体" w:hAnsi="宋体" w:cs="宋体"/>
          <w:b/>
          <w:bCs/>
          <w:snapToGrid w:val="0"/>
          <w:color w:val="auto"/>
          <w:kern w:val="0"/>
          <w:sz w:val="24"/>
          <w:highlight w:val="none"/>
        </w:rPr>
        <w:t>八、词语含义</w:t>
      </w:r>
      <w:bookmarkEnd w:id="433"/>
      <w:bookmarkEnd w:id="434"/>
    </w:p>
    <w:p w14:paraId="523B7A55">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本协议书中词语含义与第二部分通用合同条款中赋予的含义相同。</w:t>
      </w:r>
    </w:p>
    <w:p w14:paraId="4ED0F30F">
      <w:pPr>
        <w:snapToGrid w:val="0"/>
        <w:spacing w:line="360" w:lineRule="auto"/>
        <w:rPr>
          <w:rFonts w:hint="eastAsia" w:ascii="宋体" w:hAnsi="宋体" w:cs="宋体"/>
          <w:b/>
          <w:bCs/>
          <w:snapToGrid w:val="0"/>
          <w:color w:val="auto"/>
          <w:kern w:val="0"/>
          <w:sz w:val="24"/>
          <w:highlight w:val="none"/>
        </w:rPr>
      </w:pPr>
      <w:bookmarkStart w:id="435" w:name="_Toc97299506"/>
      <w:bookmarkStart w:id="436" w:name="_Toc361220418"/>
      <w:r>
        <w:rPr>
          <w:rFonts w:hint="eastAsia" w:ascii="宋体" w:hAnsi="宋体" w:cs="宋体"/>
          <w:b/>
          <w:bCs/>
          <w:snapToGrid w:val="0"/>
          <w:color w:val="auto"/>
          <w:kern w:val="0"/>
          <w:sz w:val="24"/>
          <w:highlight w:val="none"/>
        </w:rPr>
        <w:t>九、签订时间</w:t>
      </w:r>
      <w:bookmarkEnd w:id="435"/>
      <w:bookmarkEnd w:id="436"/>
    </w:p>
    <w:p w14:paraId="41095AAB">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本合同于</w:t>
      </w:r>
      <w:bookmarkStart w:id="437" w:name="SOA_hhxys_htqdn"/>
      <w:r>
        <w:rPr>
          <w:rFonts w:hint="eastAsia" w:ascii="宋体" w:hAnsi="宋体" w:cs="宋体"/>
          <w:bCs/>
          <w:snapToGrid w:val="0"/>
          <w:color w:val="auto"/>
          <w:kern w:val="0"/>
          <w:sz w:val="24"/>
          <w:highlight w:val="none"/>
          <w:u w:val="single"/>
        </w:rPr>
        <w:t xml:space="preserve"> 2026 </w:t>
      </w:r>
      <w:bookmarkEnd w:id="437"/>
      <w:r>
        <w:rPr>
          <w:rFonts w:hint="eastAsia" w:ascii="宋体" w:hAnsi="宋体" w:cs="宋体"/>
          <w:bCs/>
          <w:snapToGrid w:val="0"/>
          <w:color w:val="auto"/>
          <w:kern w:val="0"/>
          <w:sz w:val="24"/>
          <w:highlight w:val="none"/>
        </w:rPr>
        <w:t>年</w:t>
      </w:r>
      <w:bookmarkStart w:id="438" w:name="SOA_hhxys_htqdy"/>
      <w:r>
        <w:rPr>
          <w:rFonts w:hint="eastAsia" w:ascii="宋体" w:hAnsi="宋体" w:cs="宋体"/>
          <w:bCs/>
          <w:snapToGrid w:val="0"/>
          <w:color w:val="auto"/>
          <w:kern w:val="0"/>
          <w:sz w:val="24"/>
          <w:highlight w:val="none"/>
          <w:u w:val="single"/>
        </w:rPr>
        <w:t xml:space="preserve">     </w:t>
      </w:r>
      <w:bookmarkEnd w:id="438"/>
      <w:r>
        <w:rPr>
          <w:rFonts w:hint="eastAsia" w:ascii="宋体" w:hAnsi="宋体" w:cs="宋体"/>
          <w:bCs/>
          <w:snapToGrid w:val="0"/>
          <w:color w:val="auto"/>
          <w:kern w:val="0"/>
          <w:sz w:val="24"/>
          <w:highlight w:val="none"/>
        </w:rPr>
        <w:t>月</w:t>
      </w:r>
      <w:bookmarkStart w:id="439" w:name="SOA_hhxys_htqdr"/>
      <w:r>
        <w:rPr>
          <w:rFonts w:hint="eastAsia" w:ascii="宋体" w:hAnsi="宋体" w:cs="宋体"/>
          <w:bCs/>
          <w:snapToGrid w:val="0"/>
          <w:color w:val="auto"/>
          <w:kern w:val="0"/>
          <w:sz w:val="24"/>
          <w:highlight w:val="none"/>
          <w:u w:val="single"/>
        </w:rPr>
        <w:t xml:space="preserve">      </w:t>
      </w:r>
      <w:bookmarkEnd w:id="439"/>
      <w:r>
        <w:rPr>
          <w:rFonts w:hint="eastAsia" w:ascii="宋体" w:hAnsi="宋体" w:cs="宋体"/>
          <w:bCs/>
          <w:snapToGrid w:val="0"/>
          <w:color w:val="auto"/>
          <w:kern w:val="0"/>
          <w:sz w:val="24"/>
          <w:highlight w:val="none"/>
        </w:rPr>
        <w:t>日签订。</w:t>
      </w:r>
    </w:p>
    <w:p w14:paraId="1EE83242">
      <w:pPr>
        <w:snapToGrid w:val="0"/>
        <w:spacing w:line="360" w:lineRule="auto"/>
        <w:rPr>
          <w:rFonts w:hint="eastAsia" w:ascii="宋体" w:hAnsi="宋体" w:cs="宋体"/>
          <w:b/>
          <w:bCs/>
          <w:snapToGrid w:val="0"/>
          <w:color w:val="auto"/>
          <w:kern w:val="0"/>
          <w:sz w:val="24"/>
          <w:highlight w:val="none"/>
        </w:rPr>
      </w:pPr>
      <w:bookmarkStart w:id="440" w:name="_Toc97299507"/>
      <w:bookmarkStart w:id="441" w:name="_Toc361220419"/>
      <w:r>
        <w:rPr>
          <w:rFonts w:hint="eastAsia" w:ascii="宋体" w:hAnsi="宋体" w:cs="宋体"/>
          <w:b/>
          <w:bCs/>
          <w:snapToGrid w:val="0"/>
          <w:color w:val="auto"/>
          <w:kern w:val="0"/>
          <w:sz w:val="24"/>
          <w:highlight w:val="none"/>
        </w:rPr>
        <w:t>十、签订地点</w:t>
      </w:r>
      <w:bookmarkEnd w:id="440"/>
      <w:bookmarkEnd w:id="441"/>
    </w:p>
    <w:p w14:paraId="4CDCC32D">
      <w:pPr>
        <w:snapToGrid w:val="0"/>
        <w:spacing w:line="360" w:lineRule="auto"/>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 xml:space="preserve">    本合同在</w:t>
      </w:r>
      <w:r>
        <w:rPr>
          <w:rFonts w:hint="eastAsia" w:ascii="宋体" w:hAnsi="宋体" w:cs="宋体"/>
          <w:bCs/>
          <w:snapToGrid w:val="0"/>
          <w:color w:val="auto"/>
          <w:kern w:val="0"/>
          <w:sz w:val="24"/>
          <w:highlight w:val="none"/>
          <w:u w:val="single"/>
        </w:rPr>
        <w:t xml:space="preserve">   </w:t>
      </w:r>
      <w:bookmarkStart w:id="442" w:name="SOA_zyht_htqddd"/>
      <w:r>
        <w:rPr>
          <w:rFonts w:hint="eastAsia" w:ascii="宋体" w:hAnsi="宋体" w:cs="宋体"/>
          <w:bCs/>
          <w:snapToGrid w:val="0"/>
          <w:color w:val="auto"/>
          <w:kern w:val="0"/>
          <w:sz w:val="24"/>
          <w:highlight w:val="none"/>
          <w:u w:val="single"/>
        </w:rPr>
        <w:t xml:space="preserve"> 杭州市钱塘新区奕策巷1号  </w:t>
      </w:r>
      <w:bookmarkEnd w:id="442"/>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签订。</w:t>
      </w:r>
    </w:p>
    <w:p w14:paraId="4C386DD6">
      <w:pPr>
        <w:snapToGrid w:val="0"/>
        <w:spacing w:line="360" w:lineRule="auto"/>
        <w:rPr>
          <w:rFonts w:hint="eastAsia" w:ascii="宋体" w:hAnsi="宋体" w:cs="宋体"/>
          <w:b/>
          <w:bCs/>
          <w:snapToGrid w:val="0"/>
          <w:color w:val="auto"/>
          <w:kern w:val="0"/>
          <w:sz w:val="24"/>
          <w:highlight w:val="none"/>
        </w:rPr>
      </w:pPr>
      <w:bookmarkStart w:id="443" w:name="_Toc97299508"/>
      <w:bookmarkStart w:id="444" w:name="_Toc361220420"/>
      <w:r>
        <w:rPr>
          <w:rFonts w:hint="eastAsia" w:ascii="宋体" w:hAnsi="宋体" w:cs="宋体"/>
          <w:b/>
          <w:bCs/>
          <w:snapToGrid w:val="0"/>
          <w:color w:val="auto"/>
          <w:kern w:val="0"/>
          <w:sz w:val="24"/>
          <w:highlight w:val="none"/>
        </w:rPr>
        <w:t>十一、补充协议</w:t>
      </w:r>
      <w:bookmarkEnd w:id="443"/>
      <w:bookmarkEnd w:id="444"/>
    </w:p>
    <w:p w14:paraId="2BDA9870">
      <w:pPr>
        <w:snapToGrid w:val="0"/>
        <w:spacing w:line="360" w:lineRule="auto"/>
        <w:ind w:firstLine="480" w:firstLineChars="200"/>
        <w:rPr>
          <w:rFonts w:hint="eastAsia" w:ascii="宋体" w:hAnsi="宋体" w:cs="宋体"/>
          <w:b/>
          <w:bCs/>
          <w:snapToGrid w:val="0"/>
          <w:color w:val="auto"/>
          <w:kern w:val="0"/>
          <w:sz w:val="24"/>
          <w:highlight w:val="none"/>
        </w:rPr>
      </w:pPr>
      <w:r>
        <w:rPr>
          <w:rFonts w:hint="eastAsia" w:ascii="宋体" w:hAnsi="宋体" w:cs="宋体"/>
          <w:bCs/>
          <w:snapToGrid w:val="0"/>
          <w:color w:val="auto"/>
          <w:kern w:val="0"/>
          <w:sz w:val="24"/>
          <w:highlight w:val="none"/>
        </w:rPr>
        <w:t>合同未尽事宜，合同当事人另行签订补充协议，补充协议是合同的组成部分。</w:t>
      </w:r>
    </w:p>
    <w:p w14:paraId="7C16D787">
      <w:pPr>
        <w:snapToGrid w:val="0"/>
        <w:spacing w:line="360" w:lineRule="auto"/>
        <w:rPr>
          <w:rFonts w:hint="eastAsia" w:ascii="宋体" w:hAnsi="宋体" w:cs="宋体"/>
          <w:b/>
          <w:bCs/>
          <w:snapToGrid w:val="0"/>
          <w:color w:val="auto"/>
          <w:kern w:val="0"/>
          <w:sz w:val="24"/>
          <w:highlight w:val="none"/>
        </w:rPr>
      </w:pPr>
      <w:bookmarkStart w:id="445" w:name="_Toc97299509"/>
      <w:bookmarkStart w:id="446" w:name="_Toc361220421"/>
      <w:r>
        <w:rPr>
          <w:rFonts w:hint="eastAsia" w:ascii="宋体" w:hAnsi="宋体" w:cs="宋体"/>
          <w:b/>
          <w:bCs/>
          <w:snapToGrid w:val="0"/>
          <w:color w:val="auto"/>
          <w:kern w:val="0"/>
          <w:sz w:val="24"/>
          <w:highlight w:val="none"/>
        </w:rPr>
        <w:t>十二、合同生效</w:t>
      </w:r>
      <w:bookmarkEnd w:id="445"/>
      <w:bookmarkEnd w:id="446"/>
    </w:p>
    <w:p w14:paraId="135743E4">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本合同自</w:t>
      </w:r>
      <w:r>
        <w:rPr>
          <w:rFonts w:hint="eastAsia" w:ascii="宋体" w:hAnsi="宋体" w:cs="宋体"/>
          <w:bCs/>
          <w:snapToGrid w:val="0"/>
          <w:color w:val="auto"/>
          <w:kern w:val="0"/>
          <w:sz w:val="24"/>
          <w:highlight w:val="none"/>
          <w:u w:val="single"/>
        </w:rPr>
        <w:t xml:space="preserve">  </w:t>
      </w:r>
      <w:bookmarkStart w:id="447" w:name="SOA_hhxys_htsx"/>
      <w:r>
        <w:rPr>
          <w:rFonts w:hint="eastAsia" w:ascii="宋体" w:hAnsi="宋体" w:cs="宋体"/>
          <w:bCs/>
          <w:snapToGrid w:val="0"/>
          <w:color w:val="auto"/>
          <w:kern w:val="0"/>
          <w:sz w:val="24"/>
          <w:highlight w:val="none"/>
          <w:u w:val="single"/>
        </w:rPr>
        <w:t xml:space="preserve">  </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u w:val="single"/>
        </w:rPr>
        <w:t xml:space="preserve">   </w:t>
      </w:r>
      <w:bookmarkEnd w:id="447"/>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生效。</w:t>
      </w:r>
    </w:p>
    <w:p w14:paraId="15D44065">
      <w:pPr>
        <w:snapToGrid w:val="0"/>
        <w:spacing w:line="360" w:lineRule="auto"/>
        <w:rPr>
          <w:rFonts w:hint="eastAsia" w:ascii="宋体" w:hAnsi="宋体" w:cs="宋体"/>
          <w:b/>
          <w:bCs/>
          <w:snapToGrid w:val="0"/>
          <w:color w:val="auto"/>
          <w:kern w:val="0"/>
          <w:sz w:val="24"/>
          <w:highlight w:val="none"/>
        </w:rPr>
      </w:pPr>
      <w:bookmarkStart w:id="448" w:name="_Toc361220422"/>
      <w:bookmarkStart w:id="449" w:name="_Toc97299510"/>
      <w:r>
        <w:rPr>
          <w:rFonts w:hint="eastAsia" w:ascii="宋体" w:hAnsi="宋体" w:cs="宋体"/>
          <w:b/>
          <w:bCs/>
          <w:snapToGrid w:val="0"/>
          <w:color w:val="auto"/>
          <w:kern w:val="0"/>
          <w:sz w:val="24"/>
          <w:highlight w:val="none"/>
        </w:rPr>
        <w:t>十三、合同份数</w:t>
      </w:r>
      <w:bookmarkEnd w:id="448"/>
      <w:bookmarkEnd w:id="449"/>
    </w:p>
    <w:p w14:paraId="0AB72FDF">
      <w:pPr>
        <w:snapToGrid w:val="0"/>
        <w:spacing w:line="360" w:lineRule="auto"/>
        <w:ind w:left="210" w:leftChars="100" w:firstLine="240" w:firstLineChars="1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本合同一式</w:t>
      </w:r>
      <w:r>
        <w:rPr>
          <w:rFonts w:hint="eastAsia" w:ascii="宋体" w:hAnsi="宋体" w:cs="宋体"/>
          <w:b/>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份，均具有同等法律效力，发包人执</w:t>
      </w:r>
      <w:r>
        <w:rPr>
          <w:rFonts w:hint="eastAsia"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份，承包人执</w:t>
      </w:r>
      <w:r>
        <w:rPr>
          <w:rFonts w:hint="eastAsia" w:ascii="宋体" w:hAnsi="宋体" w:cs="宋体"/>
          <w:b/>
          <w:snapToGrid w:val="0"/>
          <w:color w:val="auto"/>
          <w:kern w:val="0"/>
          <w:sz w:val="24"/>
          <w:highlight w:val="none"/>
          <w:u w:val="single"/>
        </w:rPr>
        <w:t xml:space="preserve">  </w:t>
      </w:r>
      <w:r>
        <w:rPr>
          <w:rFonts w:hint="eastAsia" w:ascii="宋体" w:hAnsi="宋体" w:cs="宋体"/>
          <w:bCs/>
          <w:snapToGrid w:val="0"/>
          <w:color w:val="auto"/>
          <w:kern w:val="0"/>
          <w:sz w:val="24"/>
          <w:highlight w:val="none"/>
        </w:rPr>
        <w:t>份。</w:t>
      </w:r>
    </w:p>
    <w:p w14:paraId="30B434EF">
      <w:pPr>
        <w:snapToGrid w:val="0"/>
        <w:spacing w:line="360" w:lineRule="auto"/>
        <w:ind w:firstLine="480" w:firstLineChars="200"/>
        <w:rPr>
          <w:rFonts w:hint="eastAsia" w:ascii="宋体" w:hAnsi="宋体" w:cs="宋体"/>
          <w:snapToGrid w:val="0"/>
          <w:color w:val="auto"/>
          <w:kern w:val="0"/>
          <w:sz w:val="24"/>
          <w:highlight w:val="none"/>
        </w:rPr>
      </w:pPr>
    </w:p>
    <w:p w14:paraId="0C5F9423">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发包人：  (公章)</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承包人：  (公章)</w:t>
      </w:r>
    </w:p>
    <w:p w14:paraId="49C2B7FD">
      <w:pPr>
        <w:snapToGrid w:val="0"/>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snapToGrid w:val="0"/>
          <w:color w:val="auto"/>
          <w:kern w:val="0"/>
          <w:sz w:val="24"/>
          <w:highlight w:val="none"/>
        </w:rPr>
        <w:t>法定代表人或其委托代理人：</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法定代表人或其委托代理人：</w:t>
      </w:r>
    </w:p>
    <w:p w14:paraId="4E19445E">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（签字）</w:t>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ab/>
      </w:r>
      <w:r>
        <w:rPr>
          <w:rFonts w:hint="eastAsia" w:ascii="宋体" w:hAnsi="宋体" w:cs="宋体"/>
          <w:snapToGrid w:val="0"/>
          <w:color w:val="auto"/>
          <w:kern w:val="0"/>
          <w:sz w:val="24"/>
          <w:highlight w:val="none"/>
        </w:rPr>
        <w:t>（签字）</w:t>
      </w:r>
    </w:p>
    <w:p w14:paraId="3A60B3B9">
      <w:pPr>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组织机构代码：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组织机构代码：</w:t>
      </w:r>
      <w:bookmarkStart w:id="450" w:name="SOA_hhxys_zjjgdm1"/>
      <w:r>
        <w:rPr>
          <w:rFonts w:hint="eastAsia" w:ascii="宋体" w:hAnsi="宋体" w:cs="宋体"/>
          <w:snapToGrid w:val="0"/>
          <w:color w:val="auto"/>
          <w:kern w:val="0"/>
          <w:sz w:val="24"/>
          <w:highlight w:val="none"/>
          <w:u w:val="single"/>
        </w:rPr>
        <w:t xml:space="preserve">      </w:t>
      </w:r>
      <w:bookmarkEnd w:id="450"/>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ADB976D">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地  址：</w:t>
      </w:r>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454CF48F">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邮政编码：</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邮政编码：</w:t>
      </w:r>
      <w:bookmarkStart w:id="451" w:name="SOA_hhxys_cbryb"/>
      <w:r>
        <w:rPr>
          <w:rFonts w:hint="eastAsia" w:ascii="宋体" w:hAnsi="宋体" w:cs="宋体"/>
          <w:snapToGrid w:val="0"/>
          <w:color w:val="auto"/>
          <w:kern w:val="0"/>
          <w:sz w:val="24"/>
          <w:highlight w:val="none"/>
          <w:u w:val="single"/>
        </w:rPr>
        <w:t xml:space="preserve">             </w:t>
      </w:r>
      <w:bookmarkEnd w:id="451"/>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344EE220">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法定代表人：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法定代表人：</w:t>
      </w:r>
      <w:bookmarkStart w:id="452" w:name="SOA_hhxys_fddbr1"/>
      <w:r>
        <w:rPr>
          <w:rFonts w:hint="eastAsia" w:ascii="宋体" w:hAnsi="宋体" w:cs="宋体"/>
          <w:snapToGrid w:val="0"/>
          <w:color w:val="auto"/>
          <w:kern w:val="0"/>
          <w:sz w:val="24"/>
          <w:highlight w:val="none"/>
          <w:u w:val="single"/>
        </w:rPr>
        <w:t xml:space="preserve">     </w:t>
      </w:r>
      <w:bookmarkEnd w:id="452"/>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5145A6BD">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委托代理人：</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委托代理人：</w:t>
      </w:r>
      <w:bookmarkStart w:id="453" w:name="SOA_hhxys_wtdlr1"/>
      <w:r>
        <w:rPr>
          <w:rFonts w:hint="eastAsia" w:ascii="宋体" w:hAnsi="宋体" w:cs="宋体"/>
          <w:snapToGrid w:val="0"/>
          <w:color w:val="auto"/>
          <w:kern w:val="0"/>
          <w:sz w:val="24"/>
          <w:highlight w:val="none"/>
          <w:u w:val="single"/>
        </w:rPr>
        <w:t xml:space="preserve">    </w:t>
      </w:r>
      <w:bookmarkEnd w:id="453"/>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781A7494">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  话：</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  话：</w:t>
      </w:r>
      <w:bookmarkStart w:id="454" w:name="SOA_hhxys_cbrdh"/>
      <w:r>
        <w:rPr>
          <w:rFonts w:hint="eastAsia" w:ascii="宋体" w:hAnsi="宋体" w:cs="宋体"/>
          <w:snapToGrid w:val="0"/>
          <w:color w:val="auto"/>
          <w:kern w:val="0"/>
          <w:sz w:val="24"/>
          <w:highlight w:val="none"/>
          <w:u w:val="single"/>
        </w:rPr>
        <w:t xml:space="preserve">            </w:t>
      </w:r>
      <w:bookmarkEnd w:id="454"/>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29F73C64">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传  真：</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传  真：</w:t>
      </w:r>
      <w:bookmarkStart w:id="455" w:name="SOA_hhxys_cbrcz"/>
      <w:r>
        <w:rPr>
          <w:rFonts w:hint="eastAsia" w:ascii="宋体" w:hAnsi="宋体" w:cs="宋体"/>
          <w:snapToGrid w:val="0"/>
          <w:color w:val="auto"/>
          <w:kern w:val="0"/>
          <w:sz w:val="24"/>
          <w:highlight w:val="none"/>
          <w:u w:val="single"/>
        </w:rPr>
        <w:t xml:space="preserve">              </w:t>
      </w:r>
      <w:bookmarkEnd w:id="455"/>
      <w:r>
        <w:rPr>
          <w:rFonts w:hint="eastAsia" w:ascii="宋体" w:hAnsi="宋体" w:cs="宋体"/>
          <w:snapToGrid w:val="0"/>
          <w:color w:val="auto"/>
          <w:kern w:val="0"/>
          <w:sz w:val="24"/>
          <w:highlight w:val="none"/>
          <w:u w:val="single"/>
        </w:rPr>
        <w:t xml:space="preserve"> </w:t>
      </w:r>
      <w:r>
        <w:rPr>
          <w:rFonts w:hint="eastAsia" w:ascii="宋体" w:hAnsi="宋体" w:cs="宋体"/>
          <w:snapToGrid w:val="0"/>
          <w:color w:val="auto"/>
          <w:kern w:val="0"/>
          <w:sz w:val="24"/>
          <w:highlight w:val="none"/>
        </w:rPr>
        <w:t xml:space="preserve">     </w:t>
      </w:r>
    </w:p>
    <w:p w14:paraId="0CD48E17">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电子信箱：</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电子信箱：</w:t>
      </w:r>
      <w:bookmarkStart w:id="456" w:name="SOA_hhxys_cbrdzxx"/>
      <w:r>
        <w:rPr>
          <w:rFonts w:hint="eastAsia" w:ascii="宋体" w:hAnsi="宋体" w:cs="宋体"/>
          <w:snapToGrid w:val="0"/>
          <w:color w:val="auto"/>
          <w:kern w:val="0"/>
          <w:sz w:val="24"/>
          <w:highlight w:val="none"/>
          <w:u w:val="single"/>
        </w:rPr>
        <w:t xml:space="preserve">      </w:t>
      </w:r>
      <w:bookmarkEnd w:id="456"/>
      <w:r>
        <w:rPr>
          <w:rFonts w:hint="eastAsia" w:ascii="宋体" w:hAnsi="宋体" w:cs="宋体"/>
          <w:snapToGrid w:val="0"/>
          <w:color w:val="auto"/>
          <w:kern w:val="0"/>
          <w:sz w:val="24"/>
          <w:highlight w:val="none"/>
          <w:u w:val="single"/>
        </w:rPr>
        <w:t xml:space="preserve">  </w:t>
      </w:r>
    </w:p>
    <w:p w14:paraId="515BBFF4">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开户银行：</w:t>
      </w:r>
      <w:r>
        <w:rPr>
          <w:rFonts w:hint="eastAsia" w:ascii="宋体" w:hAnsi="宋体" w:cs="宋体"/>
          <w:snapToGrid w:val="0"/>
          <w:color w:val="auto"/>
          <w:kern w:val="0"/>
          <w:sz w:val="24"/>
          <w:highlight w:val="none"/>
          <w:u w:val="single"/>
        </w:rPr>
        <w:t xml:space="preserve">                 </w:t>
      </w:r>
    </w:p>
    <w:p w14:paraId="47DFC4F0">
      <w:pPr>
        <w:snapToGrid w:val="0"/>
        <w:spacing w:line="360" w:lineRule="auto"/>
        <w:ind w:firstLine="480" w:firstLineChars="200"/>
        <w:rPr>
          <w:rFonts w:hint="eastAsia"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u w:val="single"/>
        </w:rPr>
        <w:tab/>
      </w:r>
      <w:r>
        <w:rPr>
          <w:rFonts w:hint="eastAsia" w:ascii="宋体" w:hAnsi="宋体" w:cs="宋体"/>
          <w:snapToGrid w:val="0"/>
          <w:color w:val="auto"/>
          <w:kern w:val="0"/>
          <w:sz w:val="24"/>
          <w:highlight w:val="none"/>
        </w:rPr>
        <w:t>账  号：</w:t>
      </w:r>
      <w:r>
        <w:rPr>
          <w:rFonts w:hint="eastAsia" w:ascii="宋体" w:hAnsi="宋体" w:cs="宋体"/>
          <w:snapToGrid w:val="0"/>
          <w:color w:val="auto"/>
          <w:kern w:val="0"/>
          <w:sz w:val="24"/>
          <w:highlight w:val="none"/>
          <w:u w:val="single"/>
        </w:rPr>
        <w:t></w:t>
      </w:r>
      <w:bookmarkStart w:id="457" w:name="SOA_hhxys_cbrzh"/>
      <w:r>
        <w:rPr>
          <w:rFonts w:hint="eastAsia" w:ascii="宋体" w:hAnsi="宋体" w:cs="宋体"/>
          <w:snapToGrid w:val="0"/>
          <w:color w:val="auto"/>
          <w:kern w:val="0"/>
          <w:sz w:val="24"/>
          <w:highlight w:val="none"/>
          <w:u w:val="single"/>
        </w:rPr>
        <w:t xml:space="preserve"> </w:t>
      </w:r>
      <w:bookmarkEnd w:id="457"/>
      <w:r>
        <w:rPr>
          <w:rFonts w:hint="eastAsia" w:ascii="宋体" w:hAnsi="宋体" w:cs="宋体"/>
          <w:snapToGrid w:val="0"/>
          <w:color w:val="auto"/>
          <w:kern w:val="0"/>
          <w:sz w:val="24"/>
          <w:highlight w:val="none"/>
          <w:u w:val="single"/>
        </w:rPr>
        <w:t xml:space="preserve">        </w:t>
      </w:r>
    </w:p>
    <w:p w14:paraId="6E930819">
      <w:pPr>
        <w:keepNext/>
        <w:keepLines/>
        <w:numPr>
          <w:ilvl w:val="1"/>
          <w:numId w:val="0"/>
        </w:numPr>
        <w:spacing w:before="100" w:line="400" w:lineRule="exact"/>
        <w:jc w:val="center"/>
        <w:rPr>
          <w:rFonts w:hint="eastAsia" w:ascii="宋体" w:hAnsi="宋体" w:cs="宋体"/>
          <w:snapToGrid w:val="0"/>
          <w:color w:val="auto"/>
          <w:kern w:val="0"/>
          <w:sz w:val="24"/>
          <w:highlight w:val="none"/>
        </w:rPr>
      </w:pPr>
    </w:p>
    <w:p w14:paraId="19AA89EA">
      <w:pPr>
        <w:keepNext/>
        <w:keepLines/>
        <w:numPr>
          <w:ilvl w:val="1"/>
          <w:numId w:val="0"/>
        </w:numPr>
        <w:spacing w:before="100" w:line="400" w:lineRule="exact"/>
        <w:jc w:val="center"/>
        <w:outlineLvl w:val="1"/>
        <w:rPr>
          <w:rFonts w:hint="eastAsia" w:ascii="宋体" w:hAnsi="宋体" w:cs="宋体"/>
          <w:snapToGrid w:val="0"/>
          <w:color w:val="auto"/>
          <w:kern w:val="44"/>
          <w:sz w:val="28"/>
          <w:szCs w:val="20"/>
          <w:highlight w:val="none"/>
        </w:rPr>
      </w:pPr>
      <w:r>
        <w:rPr>
          <w:rFonts w:hint="eastAsia" w:ascii="宋体" w:hAnsi="宋体" w:cs="宋体"/>
          <w:snapToGrid w:val="0"/>
          <w:color w:val="auto"/>
          <w:kern w:val="0"/>
          <w:sz w:val="24"/>
          <w:highlight w:val="none"/>
        </w:rPr>
        <w:br w:type="page"/>
      </w:r>
      <w:bookmarkStart w:id="458" w:name="_Toc97299511"/>
      <w:bookmarkStart w:id="459" w:name="_Toc31640"/>
      <w:bookmarkStart w:id="460" w:name="_Toc69485879"/>
      <w:r>
        <w:rPr>
          <w:rFonts w:hint="eastAsia" w:ascii="宋体" w:hAnsi="宋体" w:cs="宋体"/>
          <w:snapToGrid w:val="0"/>
          <w:color w:val="auto"/>
          <w:kern w:val="44"/>
          <w:sz w:val="28"/>
          <w:szCs w:val="20"/>
          <w:highlight w:val="none"/>
        </w:rPr>
        <w:t>第二部分  通用条款（略）</w:t>
      </w:r>
      <w:bookmarkEnd w:id="458"/>
      <w:bookmarkEnd w:id="459"/>
      <w:bookmarkEnd w:id="460"/>
    </w:p>
    <w:p w14:paraId="3E799FF6">
      <w:pPr>
        <w:keepNext/>
        <w:keepLines/>
        <w:numPr>
          <w:ilvl w:val="1"/>
          <w:numId w:val="0"/>
        </w:numPr>
        <w:spacing w:before="100" w:line="400" w:lineRule="exact"/>
        <w:jc w:val="center"/>
        <w:outlineLvl w:val="1"/>
        <w:rPr>
          <w:rFonts w:hint="eastAsia" w:ascii="宋体" w:hAnsi="宋体" w:cs="宋体"/>
          <w:snapToGrid w:val="0"/>
          <w:color w:val="auto"/>
          <w:kern w:val="44"/>
          <w:sz w:val="28"/>
          <w:szCs w:val="20"/>
          <w:highlight w:val="none"/>
        </w:rPr>
      </w:pPr>
      <w:bookmarkStart w:id="461" w:name="_Toc8278"/>
      <w:bookmarkStart w:id="462" w:name="_Toc69485880"/>
      <w:bookmarkStart w:id="463" w:name="_Toc97299512"/>
      <w:r>
        <w:rPr>
          <w:rFonts w:hint="eastAsia" w:ascii="宋体" w:hAnsi="宋体" w:cs="宋体"/>
          <w:snapToGrid w:val="0"/>
          <w:color w:val="auto"/>
          <w:kern w:val="44"/>
          <w:sz w:val="28"/>
          <w:szCs w:val="20"/>
          <w:highlight w:val="none"/>
        </w:rPr>
        <w:t>第三部分  专用条款</w:t>
      </w:r>
      <w:bookmarkEnd w:id="461"/>
      <w:bookmarkEnd w:id="462"/>
      <w:bookmarkEnd w:id="463"/>
    </w:p>
    <w:p w14:paraId="5AFA84EB">
      <w:pPr>
        <w:keepNext/>
        <w:numPr>
          <w:ilvl w:val="3"/>
          <w:numId w:val="0"/>
        </w:numPr>
        <w:tabs>
          <w:tab w:val="left" w:pos="864"/>
        </w:tabs>
        <w:snapToGrid w:val="0"/>
        <w:spacing w:line="360" w:lineRule="auto"/>
        <w:ind w:left="426" w:hanging="420"/>
        <w:rPr>
          <w:rFonts w:hint="eastAsia" w:ascii="宋体" w:hAnsi="宋体" w:cs="宋体"/>
          <w:b/>
          <w:color w:val="auto"/>
          <w:szCs w:val="21"/>
          <w:highlight w:val="none"/>
        </w:rPr>
      </w:pPr>
      <w:bookmarkStart w:id="464" w:name="_Toc351203633"/>
      <w:r>
        <w:rPr>
          <w:rFonts w:hint="eastAsia" w:ascii="宋体" w:hAnsi="宋体" w:cs="宋体"/>
          <w:b/>
          <w:color w:val="auto"/>
          <w:szCs w:val="21"/>
          <w:highlight w:val="none"/>
        </w:rPr>
        <w:t>1</w:t>
      </w:r>
      <w:bookmarkStart w:id="465" w:name="_Toc296346657"/>
      <w:bookmarkStart w:id="466" w:name="_Toc292559361"/>
      <w:bookmarkStart w:id="467" w:name="_Toc297120456"/>
      <w:bookmarkStart w:id="468" w:name="_Toc296944495"/>
      <w:bookmarkStart w:id="469" w:name="_Toc296890984"/>
      <w:bookmarkStart w:id="470" w:name="_Toc296891196"/>
      <w:bookmarkStart w:id="471" w:name="_Toc297048342"/>
      <w:bookmarkStart w:id="472" w:name="_Toc296347155"/>
      <w:bookmarkStart w:id="473" w:name="_Toc292559866"/>
      <w:bookmarkStart w:id="474" w:name="_Toc296503156"/>
      <w:r>
        <w:rPr>
          <w:rFonts w:hint="eastAsia" w:ascii="宋体" w:hAnsi="宋体" w:cs="宋体"/>
          <w:b/>
          <w:color w:val="auto"/>
          <w:szCs w:val="21"/>
          <w:highlight w:val="none"/>
        </w:rPr>
        <w:t>. 一般约定</w:t>
      </w:r>
      <w:bookmarkEnd w:id="464"/>
    </w:p>
    <w:bookmarkEnd w:id="465"/>
    <w:bookmarkEnd w:id="466"/>
    <w:bookmarkEnd w:id="467"/>
    <w:bookmarkEnd w:id="468"/>
    <w:bookmarkEnd w:id="469"/>
    <w:bookmarkEnd w:id="470"/>
    <w:bookmarkEnd w:id="471"/>
    <w:bookmarkEnd w:id="472"/>
    <w:bookmarkEnd w:id="473"/>
    <w:bookmarkEnd w:id="474"/>
    <w:p w14:paraId="57CA226E">
      <w:pPr>
        <w:snapToGrid w:val="0"/>
        <w:spacing w:line="360" w:lineRule="auto"/>
        <w:ind w:firstLine="367" w:firstLineChars="17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 词语定义</w:t>
      </w:r>
    </w:p>
    <w:p w14:paraId="0097C7DB">
      <w:pPr>
        <w:snapToGrid w:val="0"/>
        <w:spacing w:line="360" w:lineRule="auto"/>
        <w:ind w:firstLine="367" w:firstLineChars="175"/>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1.1.1合同</w:t>
      </w:r>
    </w:p>
    <w:p w14:paraId="59DAD3A1">
      <w:pPr>
        <w:snapToGrid w:val="0"/>
        <w:spacing w:line="360" w:lineRule="auto"/>
        <w:ind w:firstLine="411" w:firstLineChars="196"/>
        <w:rPr>
          <w:rFonts w:hint="eastAsia" w:ascii="宋体" w:hAnsi="宋体" w:cs="宋体"/>
          <w:b/>
          <w:snapToGrid w:val="0"/>
          <w:color w:val="auto"/>
          <w:kern w:val="0"/>
          <w:szCs w:val="21"/>
          <w:highlight w:val="none"/>
          <w:u w:val="single"/>
        </w:rPr>
      </w:pPr>
      <w:r>
        <w:rPr>
          <w:rFonts w:hint="eastAsia" w:ascii="宋体" w:hAnsi="宋体" w:cs="宋体"/>
          <w:snapToGrid w:val="0"/>
          <w:color w:val="auto"/>
          <w:kern w:val="0"/>
          <w:szCs w:val="21"/>
          <w:highlight w:val="none"/>
        </w:rPr>
        <w:t>1.1.1.10其他合同文件包括：</w:t>
      </w:r>
      <w:r>
        <w:rPr>
          <w:rFonts w:hint="eastAsia" w:ascii="宋体" w:hAnsi="宋体" w:cs="宋体"/>
          <w:snapToGrid w:val="0"/>
          <w:color w:val="auto"/>
          <w:kern w:val="0"/>
          <w:szCs w:val="21"/>
          <w:highlight w:val="none"/>
          <w:u w:val="single"/>
        </w:rPr>
        <w:t xml:space="preserve">   本项目竞争性磋商文件、补充文件及其他文件等、双方有关工程的洽商、变更等书面协议或文件视为本合同的组成部分。       </w:t>
      </w:r>
    </w:p>
    <w:p w14:paraId="3AF5B4BC">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 合同当事人及其他相关方</w:t>
      </w:r>
    </w:p>
    <w:p w14:paraId="7F236F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1.1.2.4监理人：</w:t>
      </w:r>
    </w:p>
    <w:p w14:paraId="0D6C29B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名    称：</w:t>
      </w:r>
      <w:r>
        <w:rPr>
          <w:rFonts w:hint="eastAsia" w:ascii="宋体" w:hAnsi="宋体" w:cs="宋体"/>
          <w:color w:val="auto"/>
          <w:szCs w:val="21"/>
          <w:highlight w:val="none"/>
          <w:u w:val="single"/>
        </w:rPr>
        <w:t xml:space="preserve">                </w:t>
      </w:r>
      <w:r>
        <w:rPr>
          <w:rFonts w:hint="eastAsia" w:ascii="宋体" w:hAnsi="宋体" w:cs="宋体"/>
          <w:color w:val="auto"/>
          <w:szCs w:val="21"/>
          <w:highlight w:val="none"/>
        </w:rPr>
        <w:t>；</w:t>
      </w:r>
    </w:p>
    <w:p w14:paraId="0989701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资质类别和等级：</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789E83B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7430D1E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FF0BE6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1C5D754">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1.1.2.5 设计人：</w:t>
      </w:r>
    </w:p>
    <w:p w14:paraId="3DE27DCB">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名    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3500AB24">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资质类别和等级：</w:t>
      </w:r>
      <w:r>
        <w:rPr>
          <w:rFonts w:hint="eastAsia" w:ascii="宋体" w:hAnsi="宋体" w:cs="宋体"/>
          <w:snapToGrid w:val="0"/>
          <w:color w:val="auto"/>
          <w:kern w:val="0"/>
          <w:szCs w:val="21"/>
          <w:highlight w:val="none"/>
          <w:u w:val="single"/>
        </w:rPr>
        <w:t>                            </w:t>
      </w:r>
      <w:r>
        <w:rPr>
          <w:rFonts w:hint="eastAsia" w:ascii="宋体" w:hAnsi="宋体" w:cs="宋体"/>
          <w:snapToGrid w:val="0"/>
          <w:color w:val="auto"/>
          <w:kern w:val="0"/>
          <w:szCs w:val="21"/>
          <w:highlight w:val="none"/>
        </w:rPr>
        <w:t>；</w:t>
      </w:r>
    </w:p>
    <w:p w14:paraId="75B2481C">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联系电话：</w:t>
      </w:r>
      <w:r>
        <w:rPr>
          <w:rFonts w:hint="eastAsia" w:ascii="宋体" w:hAnsi="宋体" w:cs="宋体"/>
          <w:snapToGrid w:val="0"/>
          <w:color w:val="auto"/>
          <w:kern w:val="0"/>
          <w:szCs w:val="21"/>
          <w:highlight w:val="none"/>
          <w:u w:val="single"/>
        </w:rPr>
        <w:t xml:space="preserve">            /              </w:t>
      </w:r>
      <w:r>
        <w:rPr>
          <w:rFonts w:hint="eastAsia" w:ascii="宋体" w:hAnsi="宋体" w:cs="宋体"/>
          <w:snapToGrid w:val="0"/>
          <w:color w:val="auto"/>
          <w:kern w:val="0"/>
          <w:szCs w:val="21"/>
          <w:highlight w:val="none"/>
        </w:rPr>
        <w:t>；</w:t>
      </w:r>
    </w:p>
    <w:p w14:paraId="538557AD">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电子信箱：</w:t>
      </w:r>
      <w:r>
        <w:rPr>
          <w:rFonts w:hint="eastAsia" w:ascii="宋体" w:hAnsi="宋体" w:cs="宋体"/>
          <w:snapToGrid w:val="0"/>
          <w:color w:val="auto"/>
          <w:kern w:val="0"/>
          <w:szCs w:val="21"/>
          <w:highlight w:val="none"/>
          <w:u w:val="single"/>
        </w:rPr>
        <w:t xml:space="preserve">  /                  </w:t>
      </w:r>
      <w:r>
        <w:rPr>
          <w:rFonts w:hint="eastAsia" w:ascii="宋体" w:hAnsi="宋体" w:cs="宋体"/>
          <w:snapToGrid w:val="0"/>
          <w:color w:val="auto"/>
          <w:kern w:val="0"/>
          <w:szCs w:val="21"/>
          <w:highlight w:val="none"/>
        </w:rPr>
        <w:t>；</w:t>
      </w:r>
    </w:p>
    <w:p w14:paraId="3D816B47">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通信地址：</w:t>
      </w:r>
      <w:r>
        <w:rPr>
          <w:rFonts w:hint="eastAsia" w:ascii="宋体" w:hAnsi="宋体" w:cs="宋体"/>
          <w:snapToGrid w:val="0"/>
          <w:color w:val="auto"/>
          <w:kern w:val="0"/>
          <w:szCs w:val="21"/>
          <w:highlight w:val="none"/>
          <w:u w:val="single"/>
        </w:rPr>
        <w:t>      /                </w:t>
      </w:r>
      <w:r>
        <w:rPr>
          <w:rFonts w:hint="eastAsia" w:ascii="宋体" w:hAnsi="宋体" w:cs="宋体"/>
          <w:snapToGrid w:val="0"/>
          <w:color w:val="auto"/>
          <w:kern w:val="0"/>
          <w:szCs w:val="21"/>
          <w:highlight w:val="none"/>
        </w:rPr>
        <w:t>。</w:t>
      </w:r>
    </w:p>
    <w:p w14:paraId="28FD5E0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工程和设备</w:t>
      </w:r>
    </w:p>
    <w:p w14:paraId="1B0E221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1.1.3.7 作为施工现场组成部分的其他场所包括：</w:t>
      </w:r>
      <w:r>
        <w:rPr>
          <w:rFonts w:hint="eastAsia" w:ascii="宋体" w:hAnsi="宋体" w:cs="宋体"/>
          <w:color w:val="auto"/>
          <w:szCs w:val="21"/>
          <w:highlight w:val="none"/>
          <w:u w:val="single"/>
        </w:rPr>
        <w:t xml:space="preserve">   无       </w:t>
      </w:r>
      <w:r>
        <w:rPr>
          <w:rFonts w:hint="eastAsia" w:ascii="宋体" w:hAnsi="宋体" w:cs="宋体"/>
          <w:color w:val="auto"/>
          <w:szCs w:val="21"/>
          <w:highlight w:val="none"/>
        </w:rPr>
        <w:t>。</w:t>
      </w:r>
    </w:p>
    <w:p w14:paraId="083DBDF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1.1.3.9 永久占地包括：</w:t>
      </w:r>
      <w:r>
        <w:rPr>
          <w:rFonts w:hint="eastAsia" w:ascii="宋体" w:hAnsi="宋体" w:cs="宋体"/>
          <w:color w:val="auto"/>
          <w:szCs w:val="21"/>
          <w:highlight w:val="none"/>
          <w:u w:val="single"/>
        </w:rPr>
        <w:t xml:space="preserve"> 设计范围内的建筑物、构筑物占地 </w:t>
      </w:r>
      <w:r>
        <w:rPr>
          <w:rFonts w:hint="eastAsia" w:ascii="宋体" w:hAnsi="宋体" w:cs="宋体"/>
          <w:color w:val="auto"/>
          <w:kern w:val="0"/>
          <w:szCs w:val="21"/>
          <w:highlight w:val="none"/>
        </w:rPr>
        <w:t>。</w:t>
      </w:r>
    </w:p>
    <w:p w14:paraId="43AE8E9E">
      <w:pPr>
        <w:adjustRightInd/>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color w:val="auto"/>
          <w:kern w:val="0"/>
          <w:szCs w:val="21"/>
          <w:highlight w:val="none"/>
        </w:rPr>
        <w:t>1.1.3.10 临时占地包括：</w:t>
      </w:r>
      <w:r>
        <w:rPr>
          <w:rFonts w:hint="eastAsia" w:ascii="宋体" w:hAnsi="宋体" w:cs="宋体"/>
          <w:color w:val="auto"/>
          <w:szCs w:val="21"/>
          <w:highlight w:val="none"/>
          <w:u w:val="single"/>
        </w:rPr>
        <w:t xml:space="preserve">                       </w:t>
      </w:r>
      <w:r>
        <w:rPr>
          <w:rFonts w:hint="eastAsia" w:ascii="宋体" w:hAnsi="宋体" w:cs="宋体"/>
          <w:color w:val="auto"/>
          <w:kern w:val="0"/>
          <w:szCs w:val="21"/>
          <w:highlight w:val="none"/>
        </w:rPr>
        <w:t>。</w:t>
      </w:r>
    </w:p>
    <w:p w14:paraId="1AA218F8">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1.3法律 </w:t>
      </w:r>
    </w:p>
    <w:p w14:paraId="57A4A634">
      <w:pPr>
        <w:spacing w:line="360" w:lineRule="auto"/>
        <w:ind w:firstLine="420" w:firstLineChars="200"/>
        <w:rPr>
          <w:color w:val="auto"/>
          <w:highlight w:val="none"/>
        </w:rPr>
      </w:pPr>
      <w:r>
        <w:rPr>
          <w:rFonts w:hint="eastAsia"/>
          <w:color w:val="auto"/>
          <w:highlight w:val="none"/>
        </w:rPr>
        <w:t>适用于合同的其他规范性文件：</w:t>
      </w:r>
    </w:p>
    <w:p w14:paraId="6288F700">
      <w:pPr>
        <w:spacing w:line="360" w:lineRule="auto"/>
        <w:rPr>
          <w:color w:val="auto"/>
          <w:highlight w:val="none"/>
        </w:rPr>
      </w:pPr>
      <w:r>
        <w:rPr>
          <w:rFonts w:hint="eastAsia"/>
          <w:color w:val="auto"/>
          <w:highlight w:val="none"/>
        </w:rPr>
        <w:t>1.3.1《杭州市建设工程工程量清单计价实施细则》(杭建市发〔2018〕578 号)；</w:t>
      </w:r>
    </w:p>
    <w:p w14:paraId="3B789A3C">
      <w:pPr>
        <w:spacing w:line="360" w:lineRule="auto"/>
        <w:rPr>
          <w:color w:val="auto"/>
          <w:highlight w:val="none"/>
        </w:rPr>
      </w:pPr>
      <w:r>
        <w:rPr>
          <w:rFonts w:hint="eastAsia"/>
          <w:color w:val="auto"/>
          <w:highlight w:val="none"/>
        </w:rPr>
        <w:t>1.3.2《关于进一步加强杭州市建设工程市场要素价格动态管理的指导意见》（杭建市发〔2018〕579 号）；</w:t>
      </w:r>
    </w:p>
    <w:p w14:paraId="1CC1C478">
      <w:pPr>
        <w:spacing w:line="360" w:lineRule="auto"/>
        <w:rPr>
          <w:color w:val="auto"/>
          <w:highlight w:val="none"/>
        </w:rPr>
      </w:pPr>
      <w:r>
        <w:rPr>
          <w:rFonts w:hint="eastAsia"/>
          <w:color w:val="auto"/>
          <w:highlight w:val="none"/>
        </w:rPr>
        <w:t>1.3.3《关于发布&lt;杭州市新冠病毒肺炎疫情期间在建工程合同及工程价款调整的指导性细则&gt;的通知》（杭建市发〔2020〕164 号）</w:t>
      </w:r>
    </w:p>
    <w:p w14:paraId="509AECCF">
      <w:pPr>
        <w:spacing w:line="360" w:lineRule="auto"/>
        <w:rPr>
          <w:color w:val="auto"/>
          <w:highlight w:val="none"/>
        </w:rPr>
      </w:pPr>
      <w:r>
        <w:rPr>
          <w:rFonts w:hint="eastAsia"/>
          <w:color w:val="auto"/>
          <w:highlight w:val="none"/>
        </w:rPr>
        <w:t>1.3.4 杭州市城乡建设委员会关于落实《省建设厅关于调整我省2018 版建筑安装工程安全文明施工费的通知》有关事项的通知（杭建市通知（2025）98 号）；</w:t>
      </w:r>
    </w:p>
    <w:p w14:paraId="627BAA66">
      <w:pPr>
        <w:spacing w:line="360" w:lineRule="auto"/>
        <w:rPr>
          <w:color w:val="auto"/>
          <w:highlight w:val="none"/>
        </w:rPr>
      </w:pPr>
      <w:r>
        <w:rPr>
          <w:rFonts w:hint="eastAsia"/>
          <w:color w:val="auto"/>
          <w:highlight w:val="none"/>
        </w:rPr>
        <w:t>1.3.5  省市建设行政部门颁发的其他现行有效文件(包括但不仅限于以下文件)：</w:t>
      </w:r>
    </w:p>
    <w:p w14:paraId="3D44E5CB">
      <w:pPr>
        <w:spacing w:line="360" w:lineRule="auto"/>
        <w:rPr>
          <w:color w:val="auto"/>
          <w:highlight w:val="none"/>
        </w:rPr>
      </w:pPr>
      <w:r>
        <w:rPr>
          <w:rFonts w:hint="eastAsia"/>
          <w:color w:val="auto"/>
          <w:highlight w:val="none"/>
        </w:rPr>
        <w:tab/>
      </w:r>
      <w:r>
        <w:rPr>
          <w:rFonts w:hint="eastAsia"/>
          <w:color w:val="auto"/>
          <w:highlight w:val="none"/>
        </w:rPr>
        <w:t>（1）《关于转发省建设厅&lt;关于进一步加强建筑施工领域企业安全生产工作的实施意见&gt;的通知》（杭建工发〔2011〕130 号）；</w:t>
      </w:r>
    </w:p>
    <w:p w14:paraId="17307550">
      <w:pPr>
        <w:spacing w:line="360" w:lineRule="auto"/>
        <w:rPr>
          <w:color w:val="auto"/>
          <w:highlight w:val="none"/>
        </w:rPr>
      </w:pPr>
      <w:r>
        <w:rPr>
          <w:rFonts w:hint="eastAsia"/>
          <w:color w:val="auto"/>
          <w:highlight w:val="none"/>
        </w:rPr>
        <w:tab/>
      </w:r>
      <w:r>
        <w:rPr>
          <w:rFonts w:hint="eastAsia"/>
          <w:color w:val="auto"/>
          <w:highlight w:val="none"/>
        </w:rPr>
        <w:t>（2）《关于进一步加强建设工程安全质量物联网管理应用平台建设的通知》（杭建工发〔2012〕426 号）；</w:t>
      </w:r>
    </w:p>
    <w:p w14:paraId="39114C5D">
      <w:pPr>
        <w:spacing w:line="360" w:lineRule="auto"/>
        <w:rPr>
          <w:color w:val="auto"/>
          <w:highlight w:val="none"/>
        </w:rPr>
      </w:pPr>
      <w:r>
        <w:rPr>
          <w:rFonts w:hint="eastAsia"/>
          <w:color w:val="auto"/>
          <w:highlight w:val="none"/>
        </w:rPr>
        <w:tab/>
      </w:r>
      <w:r>
        <w:rPr>
          <w:rFonts w:hint="eastAsia"/>
          <w:color w:val="auto"/>
          <w:highlight w:val="none"/>
        </w:rPr>
        <w:t>（3）《关于开展建筑工程扬尘在线监测设施安装工作的通知》（杭建工〔2019〕103号）；</w:t>
      </w:r>
    </w:p>
    <w:p w14:paraId="67AB5E81">
      <w:pPr>
        <w:spacing w:line="360" w:lineRule="auto"/>
        <w:rPr>
          <w:color w:val="auto"/>
          <w:highlight w:val="none"/>
        </w:rPr>
      </w:pPr>
      <w:r>
        <w:rPr>
          <w:rFonts w:hint="eastAsia"/>
          <w:color w:val="auto"/>
          <w:highlight w:val="none"/>
        </w:rPr>
        <w:tab/>
      </w:r>
      <w:r>
        <w:rPr>
          <w:rFonts w:hint="eastAsia"/>
          <w:color w:val="auto"/>
          <w:highlight w:val="none"/>
        </w:rPr>
        <w:t>（4）《关于巩固 G20 杭州峰会成果进一步加强建设工程文明施工管理的若干意见》</w:t>
      </w:r>
      <w:r>
        <w:rPr>
          <w:rFonts w:hint="eastAsia"/>
          <w:color w:val="auto"/>
          <w:highlight w:val="none"/>
        </w:rPr>
        <w:tab/>
      </w:r>
      <w:r>
        <w:rPr>
          <w:rFonts w:hint="eastAsia"/>
          <w:color w:val="auto"/>
          <w:highlight w:val="none"/>
        </w:rPr>
        <w:t>（杭建工发〔2017〕112 号）；</w:t>
      </w:r>
    </w:p>
    <w:p w14:paraId="34556915">
      <w:pPr>
        <w:spacing w:line="360" w:lineRule="auto"/>
        <w:rPr>
          <w:color w:val="auto"/>
          <w:highlight w:val="none"/>
        </w:rPr>
      </w:pPr>
      <w:r>
        <w:rPr>
          <w:rFonts w:hint="eastAsia"/>
          <w:color w:val="auto"/>
          <w:highlight w:val="none"/>
        </w:rPr>
        <w:tab/>
      </w:r>
      <w:r>
        <w:rPr>
          <w:rFonts w:hint="eastAsia"/>
          <w:color w:val="auto"/>
          <w:highlight w:val="none"/>
        </w:rPr>
        <w:t>（5）《杭州市建设领域农民工“无欠薪 ”管理实施细则（试行）》（杭建市〔2018〕 161 号）；</w:t>
      </w:r>
    </w:p>
    <w:p w14:paraId="4BAD2BE3">
      <w:pPr>
        <w:spacing w:line="360" w:lineRule="auto"/>
        <w:rPr>
          <w:color w:val="auto"/>
          <w:highlight w:val="none"/>
        </w:rPr>
      </w:pPr>
      <w:r>
        <w:rPr>
          <w:rFonts w:hint="eastAsia"/>
          <w:color w:val="auto"/>
          <w:highlight w:val="none"/>
        </w:rPr>
        <w:tab/>
      </w:r>
      <w:r>
        <w:rPr>
          <w:rFonts w:hint="eastAsia"/>
          <w:color w:val="auto"/>
          <w:highlight w:val="none"/>
        </w:rPr>
        <w:t>（6）《关于杭州市建筑工地全面推广使用“浙里工程建设现场管控 ”重大应用（浙里建）的通知》（杭建数改办（2022）1 号）</w:t>
      </w:r>
    </w:p>
    <w:p w14:paraId="4D797476">
      <w:pPr>
        <w:spacing w:line="360" w:lineRule="auto"/>
        <w:rPr>
          <w:color w:val="auto"/>
          <w:highlight w:val="none"/>
        </w:rPr>
      </w:pPr>
      <w:r>
        <w:rPr>
          <w:rFonts w:hint="eastAsia"/>
          <w:color w:val="auto"/>
          <w:highlight w:val="none"/>
        </w:rPr>
        <w:tab/>
      </w:r>
      <w:r>
        <w:rPr>
          <w:rFonts w:hint="eastAsia"/>
          <w:color w:val="auto"/>
          <w:highlight w:val="none"/>
        </w:rPr>
        <w:t>（7）《杭州市建设工程渣土管理办法》（市政府令第 192 号）</w:t>
      </w:r>
    </w:p>
    <w:p w14:paraId="4775BA45">
      <w:pPr>
        <w:spacing w:line="360" w:lineRule="auto"/>
        <w:rPr>
          <w:color w:val="auto"/>
          <w:highlight w:val="none"/>
        </w:rPr>
      </w:pPr>
      <w:r>
        <w:rPr>
          <w:rFonts w:hint="eastAsia"/>
          <w:color w:val="auto"/>
          <w:highlight w:val="none"/>
        </w:rPr>
        <w:tab/>
      </w:r>
      <w:r>
        <w:rPr>
          <w:rFonts w:hint="eastAsia"/>
          <w:color w:val="auto"/>
          <w:highlight w:val="none"/>
        </w:rPr>
        <w:t>（8）市政府办公厅 2022 年5 月 15 日发布的《杭州市人民政府办公厅关于进一步规范</w:t>
      </w:r>
    </w:p>
    <w:p w14:paraId="0A77B605">
      <w:pPr>
        <w:spacing w:line="360" w:lineRule="auto"/>
        <w:rPr>
          <w:color w:val="auto"/>
          <w:highlight w:val="none"/>
        </w:rPr>
      </w:pPr>
      <w:r>
        <w:rPr>
          <w:rFonts w:hint="eastAsia"/>
          <w:color w:val="auto"/>
          <w:highlight w:val="none"/>
        </w:rPr>
        <w:t>工程建筑垃圾管理的通知》</w:t>
      </w:r>
    </w:p>
    <w:p w14:paraId="2D8EA633">
      <w:pPr>
        <w:spacing w:line="360" w:lineRule="auto"/>
        <w:rPr>
          <w:color w:val="auto"/>
          <w:highlight w:val="none"/>
        </w:rPr>
      </w:pPr>
      <w:r>
        <w:rPr>
          <w:rFonts w:hint="eastAsia"/>
          <w:color w:val="auto"/>
          <w:highlight w:val="none"/>
        </w:rPr>
        <w:tab/>
      </w:r>
      <w:r>
        <w:rPr>
          <w:rFonts w:hint="eastAsia"/>
          <w:color w:val="auto"/>
          <w:highlight w:val="none"/>
        </w:rPr>
        <w:t>（9）市建委 2020 年 10 月 30 日发布的《关于明确杭州市渣土运输及消纳项目计价清单编制和报价口径的通知》</w:t>
      </w:r>
    </w:p>
    <w:p w14:paraId="548AB7D6">
      <w:pPr>
        <w:spacing w:line="360" w:lineRule="auto"/>
        <w:rPr>
          <w:color w:val="auto"/>
          <w:highlight w:val="none"/>
        </w:rPr>
      </w:pPr>
      <w:r>
        <w:rPr>
          <w:rFonts w:hint="eastAsia"/>
          <w:color w:val="auto"/>
          <w:highlight w:val="none"/>
        </w:rPr>
        <w:tab/>
      </w:r>
      <w:r>
        <w:rPr>
          <w:rFonts w:hint="eastAsia"/>
          <w:color w:val="auto"/>
          <w:highlight w:val="none"/>
        </w:rPr>
        <w:t>（10）《关于转发&lt;关于在全省工程建设领域改革保证金制度的通知&gt;的通知》（杭建市通知〔2020〕4 号）</w:t>
      </w:r>
    </w:p>
    <w:p w14:paraId="68BB6741">
      <w:pPr>
        <w:spacing w:line="360" w:lineRule="auto"/>
        <w:rPr>
          <w:color w:val="auto"/>
          <w:highlight w:val="none"/>
        </w:rPr>
      </w:pPr>
      <w:r>
        <w:rPr>
          <w:rFonts w:hint="eastAsia"/>
          <w:color w:val="auto"/>
          <w:highlight w:val="none"/>
        </w:rPr>
        <w:tab/>
      </w:r>
      <w:r>
        <w:rPr>
          <w:rFonts w:hint="eastAsia"/>
          <w:color w:val="auto"/>
          <w:highlight w:val="none"/>
        </w:rPr>
        <w:t>（11）《关于进一步提升杭州市市政道路建设质量管理的若干意见》（杭建工发</w:t>
      </w:r>
      <w:r>
        <w:rPr>
          <w:rFonts w:hint="eastAsia"/>
          <w:color w:val="auto"/>
          <w:highlight w:val="none"/>
        </w:rPr>
        <w:tab/>
      </w:r>
      <w:r>
        <w:rPr>
          <w:rFonts w:hint="eastAsia"/>
          <w:color w:val="auto"/>
          <w:highlight w:val="none"/>
        </w:rPr>
        <w:t>〔2021〕32 号）</w:t>
      </w:r>
    </w:p>
    <w:p w14:paraId="787512A2">
      <w:pPr>
        <w:spacing w:line="360" w:lineRule="auto"/>
        <w:ind w:firstLine="420" w:firstLineChars="200"/>
        <w:rPr>
          <w:color w:val="auto"/>
          <w:highlight w:val="none"/>
        </w:rPr>
      </w:pPr>
      <w:r>
        <w:rPr>
          <w:rFonts w:hint="eastAsia"/>
          <w:color w:val="auto"/>
          <w:highlight w:val="none"/>
        </w:rPr>
        <w:t>（12）《关于全面推广应用承插型盘扣式脚手架的通知》（杭建工发〔2021〕358 号）</w:t>
      </w:r>
    </w:p>
    <w:p w14:paraId="3E58D1E1">
      <w:pPr>
        <w:spacing w:line="360" w:lineRule="auto"/>
        <w:ind w:firstLine="420" w:firstLineChars="200"/>
        <w:rPr>
          <w:color w:val="auto"/>
          <w:highlight w:val="none"/>
        </w:rPr>
      </w:pPr>
      <w:r>
        <w:rPr>
          <w:rFonts w:hint="eastAsia"/>
          <w:color w:val="auto"/>
          <w:highlight w:val="none"/>
        </w:rPr>
        <w:t>（13）《关于进一步规范建设工程建筑垃圾处置相关事项的通知》（杭建工〔2023〕169号）</w:t>
      </w:r>
    </w:p>
    <w:p w14:paraId="7078767B">
      <w:pPr>
        <w:spacing w:line="360" w:lineRule="auto"/>
        <w:ind w:firstLine="420" w:firstLineChars="200"/>
        <w:rPr>
          <w:color w:val="auto"/>
          <w:highlight w:val="none"/>
        </w:rPr>
      </w:pPr>
      <w:r>
        <w:rPr>
          <w:rFonts w:hint="eastAsia"/>
          <w:color w:val="auto"/>
          <w:highlight w:val="none"/>
        </w:rPr>
        <w:t>（14）《关于发布杭州市工程渣土消纳市场信息价的通知》（杭管执联〔2025〕1 号）</w:t>
      </w:r>
    </w:p>
    <w:p w14:paraId="58665367">
      <w:pPr>
        <w:spacing w:line="360" w:lineRule="auto"/>
        <w:ind w:firstLine="420" w:firstLineChars="200"/>
        <w:rPr>
          <w:color w:val="auto"/>
          <w:highlight w:val="none"/>
        </w:rPr>
      </w:pPr>
      <w:r>
        <w:rPr>
          <w:rFonts w:hint="eastAsia"/>
          <w:color w:val="auto"/>
          <w:highlight w:val="none"/>
        </w:rPr>
        <w:t>（15）《关于转发浙江省人力资源和社会保障厅等 6 部门关于印发〈实施“ 四实 ”管理全面深化工程建设领域劳动用工实名制改革方案（试行）〉的通知》（杭建市通知〔2025〕17 号）</w:t>
      </w:r>
    </w:p>
    <w:p w14:paraId="689A8708">
      <w:pPr>
        <w:spacing w:line="360" w:lineRule="auto"/>
        <w:ind w:firstLine="420" w:firstLineChars="200"/>
        <w:rPr>
          <w:color w:val="auto"/>
          <w:highlight w:val="none"/>
        </w:rPr>
      </w:pPr>
      <w:r>
        <w:rPr>
          <w:rFonts w:hint="eastAsia"/>
          <w:color w:val="auto"/>
          <w:highlight w:val="none"/>
        </w:rPr>
        <w:t>（16）《杭州市城乡建设委员会等部门关于印发&lt;全市建设工程建筑垃圾源头管理一件事工作实施方案&gt;的通知》（杭建工〔2024〕123 号）</w:t>
      </w:r>
    </w:p>
    <w:p w14:paraId="0B3B3E56">
      <w:pPr>
        <w:spacing w:line="360" w:lineRule="auto"/>
        <w:ind w:firstLine="420" w:firstLineChars="200"/>
        <w:rPr>
          <w:color w:val="auto"/>
          <w:highlight w:val="none"/>
        </w:rPr>
      </w:pPr>
      <w:r>
        <w:rPr>
          <w:rFonts w:hint="eastAsia"/>
          <w:color w:val="auto"/>
          <w:highlight w:val="none"/>
        </w:rPr>
        <w:t>（17）《杭州市城乡建设委员会等部门关于印发&lt;杭州市建设工程建筑垃圾减量化工作实施办法&gt;的通知》（杭建工〔2024〕124 号）</w:t>
      </w:r>
    </w:p>
    <w:p w14:paraId="7AD32974">
      <w:pPr>
        <w:spacing w:line="360" w:lineRule="auto"/>
        <w:ind w:firstLine="420" w:firstLineChars="200"/>
        <w:rPr>
          <w:color w:val="auto"/>
          <w:highlight w:val="none"/>
        </w:rPr>
      </w:pPr>
      <w:r>
        <w:rPr>
          <w:rFonts w:hint="eastAsia"/>
          <w:color w:val="auto"/>
          <w:highlight w:val="none"/>
        </w:rPr>
        <w:t>（18）《杭州市人民政府办公厅关于进一步推进建筑垃圾长效管理的通知》（杭政办函〔2024〕41 号）</w:t>
      </w:r>
    </w:p>
    <w:p w14:paraId="11EA3A89">
      <w:pPr>
        <w:spacing w:line="360" w:lineRule="auto"/>
        <w:ind w:firstLine="420" w:firstLineChars="200"/>
        <w:rPr>
          <w:color w:val="auto"/>
          <w:highlight w:val="none"/>
        </w:rPr>
      </w:pPr>
      <w:r>
        <w:rPr>
          <w:rFonts w:hint="eastAsia"/>
          <w:color w:val="auto"/>
          <w:highlight w:val="none"/>
        </w:rPr>
        <w:t>（19）《关于在房屋建筑和市政基础设施工程中全面推广承插型盘扣式支撑体系的通知》（杭建工发〔2025〕135 号）</w:t>
      </w:r>
    </w:p>
    <w:p w14:paraId="61D442C1">
      <w:pPr>
        <w:spacing w:line="360" w:lineRule="auto"/>
        <w:ind w:firstLine="420" w:firstLineChars="200"/>
        <w:rPr>
          <w:color w:val="auto"/>
          <w:highlight w:val="none"/>
        </w:rPr>
      </w:pPr>
      <w:r>
        <w:rPr>
          <w:rFonts w:hint="eastAsia"/>
          <w:color w:val="auto"/>
          <w:highlight w:val="none"/>
        </w:rPr>
        <w:t>（20）《在全市房建市政工程推广应用建筑垃圾综合综合利用产品的通知》（杭建工</w:t>
      </w:r>
      <w:r>
        <w:rPr>
          <w:rFonts w:hint="eastAsia"/>
          <w:color w:val="auto"/>
          <w:highlight w:val="none"/>
        </w:rPr>
        <w:tab/>
      </w:r>
      <w:r>
        <w:rPr>
          <w:rFonts w:hint="eastAsia"/>
          <w:color w:val="auto"/>
          <w:highlight w:val="none"/>
        </w:rPr>
        <w:t>（2025）118 号）</w:t>
      </w:r>
    </w:p>
    <w:p w14:paraId="2711CDAB">
      <w:pPr>
        <w:spacing w:line="360" w:lineRule="auto"/>
        <w:ind w:firstLine="420" w:firstLineChars="200"/>
        <w:rPr>
          <w:color w:val="auto"/>
          <w:highlight w:val="none"/>
        </w:rPr>
      </w:pPr>
      <w:r>
        <w:rPr>
          <w:rFonts w:hint="eastAsia"/>
          <w:color w:val="auto"/>
          <w:highlight w:val="none"/>
        </w:rPr>
        <w:t>（21）《浙江省住房和城乡建设厅关于浙江省建筑垃圾综合利用产品推广应用的实施意见》（浙建〔2023〕10 号）</w:t>
      </w:r>
    </w:p>
    <w:p w14:paraId="710BCDA5">
      <w:pPr>
        <w:spacing w:line="360" w:lineRule="auto"/>
        <w:ind w:firstLine="420" w:firstLineChars="200"/>
        <w:rPr>
          <w:color w:val="auto"/>
          <w:highlight w:val="none"/>
        </w:rPr>
      </w:pPr>
      <w:r>
        <w:rPr>
          <w:rFonts w:hint="eastAsia"/>
          <w:color w:val="auto"/>
          <w:highlight w:val="none"/>
        </w:rPr>
        <w:t>（22）《杭州市综合行政执法局等部门关于印发《杭州市新能源工程渣土车推广应用支持政策（试行）》的通知》（杭综法〔2024〕54 号）</w:t>
      </w:r>
    </w:p>
    <w:p w14:paraId="6CDD1971">
      <w:pPr>
        <w:spacing w:line="360" w:lineRule="auto"/>
        <w:ind w:firstLine="420" w:firstLineChars="200"/>
        <w:rPr>
          <w:color w:val="auto"/>
          <w:highlight w:val="none"/>
        </w:rPr>
      </w:pPr>
      <w:r>
        <w:rPr>
          <w:rFonts w:hint="eastAsia"/>
          <w:color w:val="auto"/>
          <w:highlight w:val="none"/>
        </w:rPr>
        <w:t>（23）《杭州市建筑垃圾管理条例》（杭州市第十四届人民代表大会常务委员会公告第 37 号）</w:t>
      </w:r>
    </w:p>
    <w:p w14:paraId="7925F078">
      <w:pPr>
        <w:spacing w:line="360" w:lineRule="auto"/>
        <w:ind w:firstLine="420" w:firstLineChars="200"/>
        <w:rPr>
          <w:color w:val="auto"/>
          <w:highlight w:val="none"/>
        </w:rPr>
      </w:pPr>
      <w:r>
        <w:rPr>
          <w:rFonts w:hint="eastAsia"/>
          <w:color w:val="auto"/>
          <w:highlight w:val="none"/>
        </w:rPr>
        <w:t>（24）《浙江省住房和城乡建设厅关于印发&lt;浙江省深化建筑垃圾治理实施方案&gt;的通知》（浙建城管〔2025〕19 号）</w:t>
      </w:r>
    </w:p>
    <w:p w14:paraId="3F872581">
      <w:pPr>
        <w:spacing w:line="360" w:lineRule="auto"/>
        <w:ind w:firstLine="420" w:firstLineChars="200"/>
        <w:rPr>
          <w:color w:val="auto"/>
          <w:highlight w:val="none"/>
        </w:rPr>
      </w:pPr>
      <w:r>
        <w:rPr>
          <w:rFonts w:hint="eastAsia"/>
          <w:color w:val="auto"/>
          <w:highlight w:val="none"/>
        </w:rPr>
        <w:t>（25）《省建设厅关于开展建筑垃圾源头减量试点工作的通知》（浙建质函（2025）343 号）</w:t>
      </w:r>
    </w:p>
    <w:p w14:paraId="3EB68DB8">
      <w:pPr>
        <w:spacing w:line="360" w:lineRule="auto"/>
        <w:ind w:firstLine="420" w:firstLineChars="200"/>
        <w:rPr>
          <w:color w:val="auto"/>
          <w:highlight w:val="none"/>
        </w:rPr>
      </w:pPr>
      <w:r>
        <w:rPr>
          <w:rFonts w:hint="eastAsia"/>
          <w:color w:val="auto"/>
          <w:highlight w:val="none"/>
        </w:rPr>
        <w:t>（26）《省建设厅关于开展房屋市政工程建筑垃圾减量化专项治理行动的通知》（浙建质安函〔2025〕366 号）</w:t>
      </w:r>
    </w:p>
    <w:p w14:paraId="7C67AD19">
      <w:pPr>
        <w:spacing w:line="360" w:lineRule="auto"/>
        <w:ind w:firstLine="420" w:firstLineChars="200"/>
        <w:rPr>
          <w:color w:val="auto"/>
          <w:highlight w:val="none"/>
        </w:rPr>
      </w:pPr>
      <w:r>
        <w:rPr>
          <w:rFonts w:hint="eastAsia"/>
          <w:color w:val="auto"/>
          <w:highlight w:val="none"/>
        </w:rPr>
        <w:t>（27）《杭州市城乡建设委员会关于印发杭州市房建市政工程建筑垃圾源头减量试点工作方案的通知》（杭建工发〔2025〕307 号）</w:t>
      </w:r>
    </w:p>
    <w:p w14:paraId="30688F72">
      <w:pPr>
        <w:spacing w:line="360" w:lineRule="auto"/>
        <w:ind w:firstLine="420" w:firstLineChars="200"/>
        <w:rPr>
          <w:color w:val="auto"/>
          <w:highlight w:val="none"/>
        </w:rPr>
      </w:pPr>
      <w:r>
        <w:rPr>
          <w:rFonts w:hint="eastAsia"/>
          <w:color w:val="auto"/>
          <w:highlight w:val="none"/>
        </w:rPr>
        <w:t>（28）《关于进一步加快推进杭州市房屋建筑和市政基础设施工程价款结算的通知》（杭建市发（2025）213 号）</w:t>
      </w:r>
    </w:p>
    <w:p w14:paraId="3653C987">
      <w:pPr>
        <w:autoSpaceDE w:val="0"/>
        <w:autoSpaceDN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适用于合同的其他规范性文件：</w:t>
      </w:r>
      <w:r>
        <w:rPr>
          <w:rFonts w:hint="eastAsia" w:ascii="宋体" w:hAnsi="宋体" w:cs="宋体"/>
          <w:color w:val="auto"/>
          <w:szCs w:val="21"/>
          <w:highlight w:val="none"/>
          <w:u w:val="single"/>
        </w:rPr>
        <w:t xml:space="preserve">省、市建设管理部门发布的规范性文件      </w:t>
      </w:r>
      <w:r>
        <w:rPr>
          <w:rFonts w:hint="eastAsia" w:ascii="宋体" w:hAnsi="宋体" w:cs="宋体"/>
          <w:color w:val="auto"/>
          <w:szCs w:val="21"/>
          <w:highlight w:val="none"/>
        </w:rPr>
        <w:t>。</w:t>
      </w:r>
    </w:p>
    <w:p w14:paraId="476713F6">
      <w:pPr>
        <w:autoSpaceDE w:val="0"/>
        <w:autoSpaceDN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 标准和规范</w:t>
      </w:r>
    </w:p>
    <w:p w14:paraId="5875AEFD">
      <w:pPr>
        <w:snapToGrid w:val="0"/>
        <w:spacing w:line="360" w:lineRule="auto"/>
        <w:ind w:firstLine="420" w:firstLineChars="200"/>
        <w:rPr>
          <w:rFonts w:hint="eastAsia" w:ascii="宋体" w:hAnsi="宋体" w:cs="宋体"/>
          <w:b/>
          <w:snapToGrid w:val="0"/>
          <w:color w:val="auto"/>
          <w:kern w:val="0"/>
          <w:szCs w:val="21"/>
          <w:highlight w:val="none"/>
          <w:u w:val="single"/>
        </w:rPr>
      </w:pPr>
      <w:r>
        <w:rPr>
          <w:rFonts w:hint="eastAsia" w:ascii="宋体" w:hAnsi="宋体" w:cs="宋体"/>
          <w:snapToGrid w:val="0"/>
          <w:color w:val="auto"/>
          <w:kern w:val="0"/>
          <w:szCs w:val="21"/>
          <w:highlight w:val="none"/>
        </w:rPr>
        <w:t>1.4.1适用于工程的标准规范包括：</w:t>
      </w:r>
      <w:r>
        <w:rPr>
          <w:rFonts w:hint="eastAsia" w:ascii="宋体" w:hAnsi="宋体" w:cs="宋体"/>
          <w:b/>
          <w:snapToGrid w:val="0"/>
          <w:color w:val="auto"/>
          <w:kern w:val="0"/>
          <w:szCs w:val="21"/>
          <w:highlight w:val="none"/>
          <w:u w:val="single"/>
        </w:rPr>
        <w:t xml:space="preserve"> </w:t>
      </w:r>
      <w:r>
        <w:rPr>
          <w:rFonts w:hint="eastAsia" w:ascii="宋体" w:hAnsi="宋体" w:cs="宋体"/>
          <w:color w:val="auto"/>
          <w:szCs w:val="21"/>
          <w:highlight w:val="none"/>
          <w:u w:val="single"/>
        </w:rPr>
        <w:t>采用现行有效的适用于本工程的施工和验收标准、规范，包括《建设工程项目管理规范》（GB/T50326-2017），若不同标准和规范之间要求不一致的，以较高标准为优先</w:t>
      </w:r>
      <w:r>
        <w:rPr>
          <w:rFonts w:hint="eastAsia" w:ascii="宋体" w:hAnsi="宋体" w:cs="宋体"/>
          <w:b/>
          <w:snapToGrid w:val="0"/>
          <w:color w:val="auto"/>
          <w:kern w:val="0"/>
          <w:szCs w:val="21"/>
          <w:highlight w:val="none"/>
          <w:u w:val="single"/>
        </w:rPr>
        <w:t xml:space="preserve">  </w:t>
      </w:r>
      <w:r>
        <w:rPr>
          <w:rFonts w:hint="eastAsia" w:ascii="宋体" w:hAnsi="宋体" w:cs="宋体"/>
          <w:snapToGrid w:val="0"/>
          <w:color w:val="auto"/>
          <w:kern w:val="0"/>
          <w:szCs w:val="21"/>
          <w:highlight w:val="none"/>
          <w:u w:val="single"/>
        </w:rPr>
        <w:t>。</w:t>
      </w:r>
    </w:p>
    <w:p w14:paraId="35C70BF5">
      <w:pPr>
        <w:snapToGrid w:val="0"/>
        <w:spacing w:line="360" w:lineRule="auto"/>
        <w:ind w:firstLine="420" w:firstLineChars="200"/>
        <w:rPr>
          <w:rFonts w:hint="eastAsia" w:ascii="宋体" w:hAnsi="宋体" w:cs="宋体"/>
          <w:snapToGrid w:val="0"/>
          <w:color w:val="auto"/>
          <w:kern w:val="0"/>
          <w:szCs w:val="21"/>
          <w:highlight w:val="none"/>
          <w:u w:val="single"/>
        </w:rPr>
      </w:pPr>
      <w:r>
        <w:rPr>
          <w:rFonts w:hint="eastAsia" w:ascii="宋体" w:hAnsi="宋体" w:cs="宋体"/>
          <w:snapToGrid w:val="0"/>
          <w:color w:val="auto"/>
          <w:kern w:val="0"/>
          <w:szCs w:val="21"/>
          <w:highlight w:val="none"/>
        </w:rPr>
        <w:t>1.4.2 发包人提供国外标准、规范的名称：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30228CFF">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发包人提供国外标准、规范的份数：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3887E80E">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发包人提供国外标准、规范的名称：</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50DE3D9F">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1.4.3发包人对工程的技术标准和功能要求的特殊要求：</w:t>
      </w:r>
      <w:r>
        <w:rPr>
          <w:rFonts w:hint="eastAsia" w:ascii="宋体" w:hAnsi="宋体" w:cs="宋体"/>
          <w:snapToGrid w:val="0"/>
          <w:color w:val="auto"/>
          <w:kern w:val="0"/>
          <w:szCs w:val="21"/>
          <w:highlight w:val="none"/>
          <w:u w:val="single"/>
        </w:rPr>
        <w:t xml:space="preserve"> </w:t>
      </w:r>
      <w:r>
        <w:rPr>
          <w:rFonts w:hint="eastAsia" w:ascii="宋体" w:hAnsi="宋体" w:cs="宋体"/>
          <w:color w:val="auto"/>
          <w:szCs w:val="21"/>
          <w:highlight w:val="none"/>
          <w:u w:val="single"/>
        </w:rPr>
        <w:t>无</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w:t>
      </w:r>
    </w:p>
    <w:p w14:paraId="78EEE31C">
      <w:pPr>
        <w:snapToGrid w:val="0"/>
        <w:spacing w:line="360" w:lineRule="auto"/>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1.5 合同文件的优先顺序</w:t>
      </w:r>
    </w:p>
    <w:p w14:paraId="7F8BAE04">
      <w:pPr>
        <w:autoSpaceDE w:val="0"/>
        <w:autoSpaceDN w:val="0"/>
        <w:snapToGrid w:val="0"/>
        <w:spacing w:line="360" w:lineRule="auto"/>
        <w:ind w:firstLine="420" w:firstLineChars="20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合同文件组成及优先顺序为：</w:t>
      </w:r>
    </w:p>
    <w:p w14:paraId="2C9FD19B">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（1）合同协议书</w:t>
      </w:r>
      <w:r>
        <w:rPr>
          <w:rFonts w:hint="eastAsia" w:ascii="宋体" w:hAnsi="宋体" w:cs="宋体"/>
          <w:b/>
          <w:snapToGrid w:val="0"/>
          <w:color w:val="auto"/>
          <w:kern w:val="0"/>
          <w:szCs w:val="21"/>
          <w:highlight w:val="none"/>
        </w:rPr>
        <w:t>；</w:t>
      </w:r>
    </w:p>
    <w:p w14:paraId="0A38EE6B">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（2）成交通知书（或项目发承包基本情况表）</w:t>
      </w:r>
      <w:r>
        <w:rPr>
          <w:rFonts w:hint="eastAsia" w:ascii="宋体" w:hAnsi="宋体" w:cs="宋体"/>
          <w:b/>
          <w:snapToGrid w:val="0"/>
          <w:color w:val="auto"/>
          <w:kern w:val="0"/>
          <w:szCs w:val="21"/>
          <w:highlight w:val="none"/>
        </w:rPr>
        <w:t>；</w:t>
      </w:r>
    </w:p>
    <w:p w14:paraId="451F40CF">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（3）磋商响应文件及磋商记录（如果有）</w:t>
      </w:r>
      <w:r>
        <w:rPr>
          <w:rFonts w:hint="eastAsia" w:ascii="宋体" w:hAnsi="宋体" w:cs="宋体"/>
          <w:b/>
          <w:snapToGrid w:val="0"/>
          <w:color w:val="auto"/>
          <w:kern w:val="0"/>
          <w:szCs w:val="21"/>
          <w:highlight w:val="none"/>
        </w:rPr>
        <w:t>；</w:t>
      </w:r>
    </w:p>
    <w:p w14:paraId="5B06190B">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（4）专用合同条款及其附件</w:t>
      </w:r>
      <w:r>
        <w:rPr>
          <w:rFonts w:hint="eastAsia" w:ascii="宋体" w:hAnsi="宋体" w:cs="宋体"/>
          <w:b/>
          <w:snapToGrid w:val="0"/>
          <w:color w:val="auto"/>
          <w:kern w:val="0"/>
          <w:szCs w:val="21"/>
          <w:highlight w:val="none"/>
        </w:rPr>
        <w:t>；</w:t>
      </w:r>
    </w:p>
    <w:p w14:paraId="13FB9EA7">
      <w:pPr>
        <w:autoSpaceDE w:val="0"/>
        <w:autoSpaceDN w:val="0"/>
        <w:snapToGrid w:val="0"/>
        <w:spacing w:line="360" w:lineRule="auto"/>
        <w:ind w:firstLine="417" w:firstLineChars="198"/>
        <w:jc w:val="left"/>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（5）通用合同条款</w:t>
      </w:r>
      <w:r>
        <w:rPr>
          <w:rFonts w:hint="eastAsia" w:ascii="宋体" w:hAnsi="宋体" w:cs="宋体"/>
          <w:b/>
          <w:snapToGrid w:val="0"/>
          <w:color w:val="auto"/>
          <w:kern w:val="0"/>
          <w:szCs w:val="21"/>
          <w:highlight w:val="none"/>
        </w:rPr>
        <w:t>；</w:t>
      </w:r>
    </w:p>
    <w:p w14:paraId="37023679">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（6）技术标准和要求</w:t>
      </w:r>
      <w:r>
        <w:rPr>
          <w:rFonts w:hint="eastAsia" w:ascii="宋体" w:hAnsi="宋体" w:cs="宋体"/>
          <w:b/>
          <w:snapToGrid w:val="0"/>
          <w:color w:val="auto"/>
          <w:kern w:val="0"/>
          <w:szCs w:val="21"/>
          <w:highlight w:val="none"/>
        </w:rPr>
        <w:t>；</w:t>
      </w:r>
    </w:p>
    <w:p w14:paraId="6AF09692">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（7）图纸（如有） ；</w:t>
      </w:r>
    </w:p>
    <w:p w14:paraId="2ACD5E58">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（8）已标价工程量清单或预算书</w:t>
      </w:r>
      <w:r>
        <w:rPr>
          <w:rFonts w:hint="eastAsia" w:ascii="宋体" w:hAnsi="宋体" w:cs="宋体"/>
          <w:b/>
          <w:snapToGrid w:val="0"/>
          <w:color w:val="auto"/>
          <w:kern w:val="0"/>
          <w:szCs w:val="21"/>
          <w:highlight w:val="none"/>
        </w:rPr>
        <w:t>；</w:t>
      </w:r>
    </w:p>
    <w:p w14:paraId="23A920D3">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（9）其他合同文件</w:t>
      </w:r>
      <w:r>
        <w:rPr>
          <w:rFonts w:hint="eastAsia" w:ascii="宋体" w:hAnsi="宋体" w:cs="宋体"/>
          <w:b/>
          <w:snapToGrid w:val="0"/>
          <w:color w:val="auto"/>
          <w:kern w:val="0"/>
          <w:szCs w:val="21"/>
          <w:highlight w:val="none"/>
        </w:rPr>
        <w:t>：</w:t>
      </w:r>
    </w:p>
    <w:p w14:paraId="2A5D03BD">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①施工组织设计</w:t>
      </w:r>
      <w:r>
        <w:rPr>
          <w:rFonts w:hint="eastAsia" w:ascii="宋体" w:hAnsi="宋体" w:cs="宋体"/>
          <w:b/>
          <w:snapToGrid w:val="0"/>
          <w:color w:val="auto"/>
          <w:kern w:val="0"/>
          <w:szCs w:val="21"/>
          <w:highlight w:val="none"/>
        </w:rPr>
        <w:t>；</w:t>
      </w:r>
    </w:p>
    <w:p w14:paraId="4D652F45">
      <w:pPr>
        <w:snapToGrid w:val="0"/>
        <w:spacing w:line="360" w:lineRule="auto"/>
        <w:ind w:firstLine="417" w:firstLineChars="198"/>
        <w:rPr>
          <w:rFonts w:hint="eastAsia" w:ascii="宋体" w:hAnsi="宋体" w:cs="宋体"/>
          <w:b/>
          <w:snapToGrid w:val="0"/>
          <w:color w:val="auto"/>
          <w:kern w:val="0"/>
          <w:szCs w:val="21"/>
          <w:highlight w:val="none"/>
          <w:u w:val="single"/>
        </w:rPr>
      </w:pPr>
      <w:r>
        <w:rPr>
          <w:rFonts w:hint="eastAsia" w:ascii="宋体" w:hAnsi="宋体" w:cs="宋体"/>
          <w:b/>
          <w:snapToGrid w:val="0"/>
          <w:color w:val="auto"/>
          <w:kern w:val="0"/>
          <w:szCs w:val="21"/>
          <w:highlight w:val="none"/>
          <w:u w:val="single"/>
        </w:rPr>
        <w:t xml:space="preserve">②其他：响应文件、采购文件（含招标工程量清单）及招标答疑（如果有）、询标纪要（如果有）、变更联系单、会审纪要等双方认为应作为合同构成的其它文件。      </w:t>
      </w:r>
    </w:p>
    <w:p w14:paraId="3DD33A1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 图纸和承包人文件</w:t>
      </w:r>
      <w:r>
        <w:rPr>
          <w:rFonts w:hint="eastAsia" w:ascii="宋体" w:hAnsi="宋体" w:cs="宋体"/>
          <w:color w:val="auto"/>
          <w:szCs w:val="21"/>
          <w:highlight w:val="none"/>
        </w:rPr>
        <w:tab/>
      </w:r>
    </w:p>
    <w:p w14:paraId="6B685DE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图纸的提供</w:t>
      </w:r>
    </w:p>
    <w:p w14:paraId="1DE6F65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发包人向承包人提供图纸的期限：</w:t>
      </w:r>
      <w:r>
        <w:rPr>
          <w:rFonts w:hint="eastAsia" w:ascii="宋体" w:hAnsi="宋体" w:cs="宋体"/>
          <w:b/>
          <w:color w:val="auto"/>
          <w:szCs w:val="21"/>
          <w:highlight w:val="none"/>
          <w:u w:val="single"/>
        </w:rPr>
        <w:t>施工合同签署后3日历天内提供，至迟不得晚于第7.3.2项〔开工通知〕载明的开工日期前3天向承包人提供图纸</w:t>
      </w:r>
      <w:r>
        <w:rPr>
          <w:rFonts w:hint="eastAsia" w:ascii="宋体" w:hAnsi="宋体" w:cs="宋体"/>
          <w:color w:val="auto"/>
          <w:szCs w:val="21"/>
          <w:highlight w:val="none"/>
        </w:rPr>
        <w:t>；</w:t>
      </w:r>
    </w:p>
    <w:p w14:paraId="4085C4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发包人向承包人提供图纸的数量：</w:t>
      </w:r>
      <w:r>
        <w:rPr>
          <w:rFonts w:hint="eastAsia" w:ascii="宋体" w:hAnsi="宋体" w:cs="宋体"/>
          <w:b/>
          <w:color w:val="auto"/>
          <w:szCs w:val="21"/>
          <w:highlight w:val="none"/>
          <w:u w:val="single"/>
        </w:rPr>
        <w:t>提供完整的施工图纸4套（已包括城建归档等竣工图）。承包人要求增加的，发包人可代为复制，复制费由承包人承担。标准图集由承包人自备</w:t>
      </w:r>
      <w:r>
        <w:rPr>
          <w:rFonts w:hint="eastAsia" w:ascii="宋体" w:hAnsi="宋体" w:cs="宋体"/>
          <w:color w:val="auto"/>
          <w:szCs w:val="21"/>
          <w:highlight w:val="none"/>
        </w:rPr>
        <w:t>；</w:t>
      </w:r>
    </w:p>
    <w:p w14:paraId="66D8A1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发包人向承包人提供图纸的内容：</w:t>
      </w:r>
      <w:r>
        <w:rPr>
          <w:rFonts w:hint="eastAsia" w:ascii="宋体" w:hAnsi="宋体" w:cs="宋体"/>
          <w:b/>
          <w:color w:val="auto"/>
          <w:szCs w:val="21"/>
          <w:highlight w:val="none"/>
          <w:u w:val="single"/>
        </w:rPr>
        <w:t>整套施工图纸</w:t>
      </w:r>
      <w:r>
        <w:rPr>
          <w:rFonts w:hint="eastAsia" w:ascii="宋体" w:hAnsi="宋体" w:cs="宋体"/>
          <w:color w:val="auto"/>
          <w:szCs w:val="21"/>
          <w:highlight w:val="none"/>
        </w:rPr>
        <w:t>。</w:t>
      </w:r>
    </w:p>
    <w:p w14:paraId="1FB8C9D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 承包人文件</w:t>
      </w:r>
    </w:p>
    <w:p w14:paraId="0F2376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需要由承包人提供的文件，包括：</w:t>
      </w:r>
      <w:r>
        <w:rPr>
          <w:rFonts w:hint="eastAsia" w:ascii="宋体" w:hAnsi="宋体" w:cs="宋体"/>
          <w:b/>
          <w:bCs/>
          <w:color w:val="auto"/>
          <w:szCs w:val="21"/>
          <w:highlight w:val="none"/>
          <w:u w:val="single"/>
        </w:rPr>
        <w:t>施工组织设计、详细的工期质量安全文明保证措施方案、施工总进度计划、资金使用计划表、工程形象进度报告、发包人（监理）和政府规定要求必须提供的其他文件</w:t>
      </w:r>
      <w:r>
        <w:rPr>
          <w:rFonts w:hint="eastAsia" w:ascii="宋体" w:hAnsi="宋体" w:cs="宋体"/>
          <w:color w:val="auto"/>
          <w:szCs w:val="21"/>
          <w:highlight w:val="none"/>
        </w:rPr>
        <w:t>；</w:t>
      </w:r>
    </w:p>
    <w:p w14:paraId="5E7589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承包人提供的文件的期限为：</w:t>
      </w:r>
      <w:r>
        <w:rPr>
          <w:rFonts w:hint="eastAsia" w:ascii="宋体" w:hAnsi="宋体" w:cs="宋体"/>
          <w:b/>
          <w:color w:val="auto"/>
          <w:szCs w:val="21"/>
          <w:highlight w:val="none"/>
          <w:u w:val="single"/>
        </w:rPr>
        <w:t>施工组织设计、施工总进度计划要求在发包人提供完整的施工图纸后3 天内提供，至迟不得晚于第7.3.2项〔开工通知〕载明的开工日期前3天；每月20日递交工程形象进度报告；发包人（或监理人）和政府规定要求必须提供的其他文件按发包人要求和政府相关规定时间提供</w:t>
      </w:r>
      <w:r>
        <w:rPr>
          <w:rFonts w:hint="eastAsia" w:ascii="宋体" w:hAnsi="宋体" w:cs="宋体"/>
          <w:color w:val="auto"/>
          <w:szCs w:val="21"/>
          <w:highlight w:val="none"/>
        </w:rPr>
        <w:t>；</w:t>
      </w:r>
    </w:p>
    <w:p w14:paraId="5E1F27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承包人提供的文件的数量为：</w:t>
      </w:r>
      <w:r>
        <w:rPr>
          <w:rFonts w:hint="eastAsia" w:ascii="宋体" w:hAnsi="宋体" w:cs="宋体"/>
          <w:b/>
          <w:color w:val="auto"/>
          <w:szCs w:val="21"/>
          <w:highlight w:val="none"/>
          <w:u w:val="single"/>
        </w:rPr>
        <w:t>一式伍份</w:t>
      </w:r>
      <w:r>
        <w:rPr>
          <w:rFonts w:hint="eastAsia" w:ascii="宋体" w:hAnsi="宋体" w:cs="宋体"/>
          <w:color w:val="auto"/>
          <w:szCs w:val="21"/>
          <w:highlight w:val="none"/>
        </w:rPr>
        <w:t>；</w:t>
      </w:r>
    </w:p>
    <w:p w14:paraId="6C401AF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承包人提供的文件的形式为：</w:t>
      </w:r>
      <w:r>
        <w:rPr>
          <w:rFonts w:hint="eastAsia" w:ascii="宋体" w:hAnsi="宋体" w:cs="宋体"/>
          <w:b/>
          <w:color w:val="auto"/>
          <w:szCs w:val="21"/>
          <w:highlight w:val="none"/>
          <w:u w:val="single"/>
        </w:rPr>
        <w:t>以书面形式提供，并按相关要求进行签字和盖章，若发包人要求提供对应电子文档的，应按要求提供电子文档</w:t>
      </w:r>
      <w:r>
        <w:rPr>
          <w:rFonts w:hint="eastAsia" w:ascii="宋体" w:hAnsi="宋体" w:cs="宋体"/>
          <w:color w:val="auto"/>
          <w:szCs w:val="21"/>
          <w:highlight w:val="none"/>
        </w:rPr>
        <w:t>；</w:t>
      </w:r>
    </w:p>
    <w:p w14:paraId="72582B0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发包人审批承包人文件的期限：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3B77CAE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 现场图纸准备</w:t>
      </w:r>
    </w:p>
    <w:p w14:paraId="7DB05A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关于现场图纸准备的约定：</w:t>
      </w:r>
      <w:r>
        <w:rPr>
          <w:rFonts w:hint="eastAsia" w:ascii="宋体" w:hAnsi="宋体" w:cs="宋体"/>
          <w:b/>
          <w:color w:val="auto"/>
          <w:szCs w:val="21"/>
          <w:highlight w:val="none"/>
          <w:u w:val="single"/>
        </w:rPr>
        <w:t>承包人应在施工现场办公室另外保存至少一套完整的图纸、设计变更联系单等，供发包人、监理人及有关人员进行工程检查时使用</w:t>
      </w:r>
      <w:r>
        <w:rPr>
          <w:rFonts w:hint="eastAsia" w:ascii="宋体" w:hAnsi="宋体" w:cs="宋体"/>
          <w:color w:val="auto"/>
          <w:szCs w:val="21"/>
          <w:highlight w:val="none"/>
        </w:rPr>
        <w:t>。</w:t>
      </w:r>
    </w:p>
    <w:p w14:paraId="71865B3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 联络</w:t>
      </w:r>
    </w:p>
    <w:p w14:paraId="4A668CB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1.7.1发包人和承包人应当在</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7</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天内将与合同有关的通知、批准、证明、证书、指示、指令、要求、请求、同意、意见、确定和决定等书面函件送达对方当事人。</w:t>
      </w:r>
    </w:p>
    <w:p w14:paraId="5B316827">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1.7.2 发包人接收文件的地点：</w:t>
      </w:r>
      <w:r>
        <w:rPr>
          <w:rFonts w:hint="eastAsia" w:ascii="宋体" w:hAnsi="宋体" w:cs="宋体"/>
          <w:b/>
          <w:color w:val="auto"/>
          <w:szCs w:val="21"/>
          <w:highlight w:val="none"/>
          <w:u w:val="single"/>
        </w:rPr>
        <w:t>发包人现场办公室</w:t>
      </w:r>
      <w:r>
        <w:rPr>
          <w:rFonts w:hint="eastAsia" w:ascii="宋体" w:hAnsi="宋体" w:cs="宋体"/>
          <w:color w:val="auto"/>
          <w:kern w:val="0"/>
          <w:szCs w:val="21"/>
          <w:highlight w:val="none"/>
        </w:rPr>
        <w:t>；</w:t>
      </w:r>
    </w:p>
    <w:p w14:paraId="11757CE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发包人指定的接收人为：</w:t>
      </w:r>
      <w:r>
        <w:rPr>
          <w:rFonts w:hint="eastAsia" w:ascii="宋体" w:hAnsi="宋体" w:cs="宋体"/>
          <w:color w:val="auto"/>
          <w:szCs w:val="21"/>
          <w:highlight w:val="none"/>
          <w:u w:val="single"/>
        </w:rPr>
        <w:t>               </w:t>
      </w:r>
      <w:r>
        <w:rPr>
          <w:rFonts w:hint="eastAsia" w:ascii="宋体" w:hAnsi="宋体" w:cs="宋体"/>
          <w:color w:val="auto"/>
          <w:kern w:val="0"/>
          <w:szCs w:val="21"/>
          <w:highlight w:val="none"/>
        </w:rPr>
        <w:t>。</w:t>
      </w:r>
    </w:p>
    <w:p w14:paraId="63468B5A">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承包人接收文件的地点：</w:t>
      </w:r>
      <w:r>
        <w:rPr>
          <w:rFonts w:hint="eastAsia" w:ascii="宋体" w:hAnsi="宋体" w:cs="宋体"/>
          <w:b/>
          <w:color w:val="auto"/>
          <w:szCs w:val="21"/>
          <w:highlight w:val="none"/>
          <w:u w:val="single"/>
        </w:rPr>
        <w:t>承包人现场办公室</w:t>
      </w:r>
      <w:r>
        <w:rPr>
          <w:rFonts w:hint="eastAsia" w:ascii="宋体" w:hAnsi="宋体" w:cs="宋体"/>
          <w:color w:val="auto"/>
          <w:kern w:val="0"/>
          <w:szCs w:val="21"/>
          <w:highlight w:val="none"/>
        </w:rPr>
        <w:t>；</w:t>
      </w:r>
    </w:p>
    <w:p w14:paraId="245CF42F">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承包人指定的接收人为：</w:t>
      </w:r>
      <w:r>
        <w:rPr>
          <w:rFonts w:hint="eastAsia" w:ascii="宋体" w:hAnsi="宋体" w:cs="宋体"/>
          <w:color w:val="auto"/>
          <w:szCs w:val="21"/>
          <w:highlight w:val="none"/>
          <w:u w:val="single"/>
        </w:rPr>
        <w:t>             </w:t>
      </w:r>
      <w:r>
        <w:rPr>
          <w:rFonts w:hint="eastAsia" w:ascii="宋体" w:hAnsi="宋体" w:cs="宋体"/>
          <w:color w:val="auto"/>
          <w:kern w:val="0"/>
          <w:szCs w:val="21"/>
          <w:highlight w:val="none"/>
        </w:rPr>
        <w:t>。</w:t>
      </w:r>
    </w:p>
    <w:p w14:paraId="1D10658D">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监理人接收文件的地点：</w:t>
      </w:r>
      <w:r>
        <w:rPr>
          <w:rFonts w:hint="eastAsia" w:ascii="宋体" w:hAnsi="宋体" w:cs="宋体"/>
          <w:b/>
          <w:color w:val="auto"/>
          <w:szCs w:val="21"/>
          <w:highlight w:val="none"/>
          <w:u w:val="single"/>
        </w:rPr>
        <w:t>监理人现场办公室</w:t>
      </w:r>
      <w:r>
        <w:rPr>
          <w:rFonts w:hint="eastAsia" w:ascii="宋体" w:hAnsi="宋体" w:cs="宋体"/>
          <w:color w:val="auto"/>
          <w:kern w:val="0"/>
          <w:szCs w:val="21"/>
          <w:highlight w:val="none"/>
        </w:rPr>
        <w:t>；</w:t>
      </w:r>
    </w:p>
    <w:p w14:paraId="191487B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监理人指定的接收人为：</w:t>
      </w:r>
      <w:r>
        <w:rPr>
          <w:rFonts w:hint="eastAsia" w:ascii="宋体" w:hAnsi="宋体" w:cs="宋体"/>
          <w:color w:val="auto"/>
          <w:szCs w:val="21"/>
          <w:highlight w:val="none"/>
          <w:u w:val="single"/>
        </w:rPr>
        <w:t>            </w:t>
      </w:r>
      <w:r>
        <w:rPr>
          <w:rFonts w:hint="eastAsia" w:ascii="宋体" w:hAnsi="宋体" w:cs="宋体"/>
          <w:color w:val="auto"/>
          <w:kern w:val="0"/>
          <w:szCs w:val="21"/>
          <w:highlight w:val="none"/>
        </w:rPr>
        <w:t>。</w:t>
      </w:r>
    </w:p>
    <w:p w14:paraId="43A7923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1.10 交通运输</w:t>
      </w:r>
    </w:p>
    <w:p w14:paraId="0EA0D87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475" w:name="_Toc300934943"/>
      <w:bookmarkStart w:id="476" w:name="_Toc303539100"/>
      <w:bookmarkStart w:id="477" w:name="_Toc304295521"/>
      <w:bookmarkStart w:id="478" w:name="_Toc318581155"/>
      <w:bookmarkStart w:id="479" w:name="_Toc312677986"/>
      <w:r>
        <w:rPr>
          <w:rFonts w:hint="eastAsia" w:ascii="宋体" w:hAnsi="宋体" w:cs="宋体"/>
          <w:color w:val="auto"/>
          <w:szCs w:val="21"/>
          <w:highlight w:val="none"/>
        </w:rPr>
        <w:t>.10.1 出入现场的权利</w:t>
      </w:r>
    </w:p>
    <w:p w14:paraId="4B9D259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关于出入现场的权利的约定：</w:t>
      </w:r>
      <w:r>
        <w:rPr>
          <w:rFonts w:hint="eastAsia" w:ascii="宋体" w:hAnsi="宋体" w:cs="宋体"/>
          <w:b/>
          <w:color w:val="auto"/>
          <w:szCs w:val="21"/>
          <w:highlight w:val="none"/>
          <w:u w:val="single"/>
        </w:rPr>
        <w:t>由承包人负责铺设临时道路及出入工地的道口开设，费用纳入措施项目费中。遵照政府有关部门对施工场地交通的管理规定，按规定办理相关手续，费用由承包人负责，发包人给予配合。如承包人未及时办理有关手续而造成的罚款由承包人承担</w:t>
      </w:r>
      <w:r>
        <w:rPr>
          <w:rFonts w:hint="eastAsia" w:ascii="宋体" w:hAnsi="宋体" w:cs="宋体"/>
          <w:color w:val="auto"/>
          <w:szCs w:val="21"/>
          <w:highlight w:val="none"/>
        </w:rPr>
        <w:t>。</w:t>
      </w:r>
    </w:p>
    <w:bookmarkEnd w:id="475"/>
    <w:bookmarkEnd w:id="476"/>
    <w:bookmarkEnd w:id="477"/>
    <w:bookmarkEnd w:id="478"/>
    <w:bookmarkEnd w:id="479"/>
    <w:p w14:paraId="66B731C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480" w:name="_Toc318581156"/>
      <w:bookmarkStart w:id="481" w:name="_Toc303539101"/>
      <w:bookmarkStart w:id="482" w:name="_Toc300934944"/>
      <w:bookmarkStart w:id="483" w:name="_Toc312677987"/>
      <w:bookmarkStart w:id="484" w:name="_Toc304295522"/>
      <w:r>
        <w:rPr>
          <w:rFonts w:hint="eastAsia" w:ascii="宋体" w:hAnsi="宋体" w:cs="宋体"/>
          <w:color w:val="auto"/>
          <w:szCs w:val="21"/>
          <w:highlight w:val="none"/>
        </w:rPr>
        <w:t>.10.3 场内交通</w:t>
      </w:r>
    </w:p>
    <w:p w14:paraId="1CFE3E3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关于场外交通和场内交通的边界的约定：</w:t>
      </w:r>
      <w:r>
        <w:rPr>
          <w:rFonts w:hint="eastAsia" w:ascii="宋体" w:hAnsi="宋体" w:cs="宋体"/>
          <w:b/>
          <w:color w:val="auto"/>
          <w:szCs w:val="21"/>
          <w:highlight w:val="none"/>
          <w:u w:val="single"/>
        </w:rPr>
        <w:t>以施工现场为界，现场不提供临时场地，承包人施工需要场外借地的，其借地费用由承包人负责</w:t>
      </w:r>
      <w:r>
        <w:rPr>
          <w:rFonts w:hint="eastAsia" w:ascii="宋体" w:hAnsi="宋体" w:cs="宋体"/>
          <w:color w:val="auto"/>
          <w:szCs w:val="21"/>
          <w:highlight w:val="none"/>
        </w:rPr>
        <w:t>。</w:t>
      </w:r>
    </w:p>
    <w:p w14:paraId="60A4CAE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关于发包人向承包人免费提供满足工程施工需要的场内道路和交通设施的约定：</w:t>
      </w:r>
      <w:r>
        <w:rPr>
          <w:rFonts w:hint="eastAsia" w:ascii="宋体" w:hAnsi="宋体" w:cs="宋体"/>
          <w:b/>
          <w:color w:val="auto"/>
          <w:szCs w:val="21"/>
          <w:highlight w:val="none"/>
          <w:u w:val="single"/>
        </w:rPr>
        <w:t>遵照政府有关部门对施工场地交通、环卫和施工噪音的管理规定及物业规定，按规定办理相关手续，费用由承包人负责，发包人给予配合。如承包人未及时办理有关手续而造成的罚款由承包人承担</w:t>
      </w:r>
      <w:r>
        <w:rPr>
          <w:rFonts w:hint="eastAsia" w:ascii="宋体" w:hAnsi="宋体" w:cs="宋体"/>
          <w:color w:val="auto"/>
          <w:szCs w:val="21"/>
          <w:highlight w:val="none"/>
        </w:rPr>
        <w:t>。</w:t>
      </w:r>
      <w:bookmarkEnd w:id="480"/>
      <w:bookmarkEnd w:id="481"/>
      <w:bookmarkEnd w:id="482"/>
      <w:bookmarkEnd w:id="483"/>
      <w:bookmarkEnd w:id="484"/>
      <w:r>
        <w:rPr>
          <w:rFonts w:hint="eastAsia" w:ascii="宋体" w:hAnsi="宋体" w:cs="宋体"/>
          <w:color w:val="auto"/>
          <w:szCs w:val="21"/>
          <w:highlight w:val="none"/>
        </w:rPr>
        <w:t xml:space="preserve">  </w:t>
      </w:r>
      <w:bookmarkStart w:id="485" w:name="_Toc318581157"/>
    </w:p>
    <w:p w14:paraId="2D089F0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1.10.4超大件和超重件的运输</w:t>
      </w:r>
    </w:p>
    <w:p w14:paraId="3EC91E8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运输超大件或超重件所需的道路和桥梁临时加固改造费用和其他有关费用由</w:t>
      </w:r>
      <w:r>
        <w:rPr>
          <w:rFonts w:hint="eastAsia" w:ascii="宋体" w:hAnsi="宋体" w:cs="宋体"/>
          <w:b/>
          <w:color w:val="auto"/>
          <w:szCs w:val="21"/>
          <w:highlight w:val="none"/>
          <w:u w:val="single"/>
        </w:rPr>
        <w:t>承包人</w:t>
      </w:r>
      <w:r>
        <w:rPr>
          <w:rFonts w:hint="eastAsia" w:ascii="宋体" w:hAnsi="宋体" w:cs="宋体"/>
          <w:color w:val="auto"/>
          <w:szCs w:val="21"/>
          <w:highlight w:val="none"/>
        </w:rPr>
        <w:t>承担。</w:t>
      </w:r>
    </w:p>
    <w:bookmarkEnd w:id="485"/>
    <w:p w14:paraId="44A575E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 知识产权</w:t>
      </w:r>
    </w:p>
    <w:p w14:paraId="1AA96D6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b/>
          <w:color w:val="auto"/>
          <w:szCs w:val="21"/>
          <w:highlight w:val="none"/>
          <w:u w:val="single"/>
        </w:rPr>
        <w:t>发包人</w:t>
      </w:r>
      <w:r>
        <w:rPr>
          <w:rFonts w:hint="eastAsia" w:ascii="宋体" w:hAnsi="宋体" w:cs="宋体"/>
          <w:color w:val="auto"/>
          <w:szCs w:val="21"/>
          <w:highlight w:val="none"/>
        </w:rPr>
        <w:t>。</w:t>
      </w:r>
    </w:p>
    <w:p w14:paraId="70D792C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关于发包人提供的上述文件的使用限制的要求：</w:t>
      </w:r>
      <w:r>
        <w:rPr>
          <w:rFonts w:hint="eastAsia" w:ascii="宋体" w:hAnsi="宋体" w:cs="宋体"/>
          <w:b/>
          <w:color w:val="auto"/>
          <w:szCs w:val="21"/>
          <w:highlight w:val="none"/>
          <w:u w:val="single"/>
        </w:rPr>
        <w:t>承包人应对发包人提供的全部资料文件进行保密，未经发包人书面同意不得以任何形式复制、披露、泄露、转让给任何第三方，或用于其他工程；否则应承担违约责任并赔偿发包人损失</w:t>
      </w:r>
      <w:r>
        <w:rPr>
          <w:rFonts w:hint="eastAsia" w:ascii="宋体" w:hAnsi="宋体" w:cs="宋体"/>
          <w:color w:val="auto"/>
          <w:szCs w:val="21"/>
          <w:highlight w:val="none"/>
        </w:rPr>
        <w:t>。</w:t>
      </w:r>
    </w:p>
    <w:p w14:paraId="19271E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1.11.2 关于承包人为实施工程所编制文件的著作权的归属：</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0CDB734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关于承包人提供的上述文件的使用限制的要求：</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59E11459">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1.11.4 承包人在施工过程中所采用的专利、专有技术、技术秘密的使用费的承担方式：</w:t>
      </w:r>
      <w:r>
        <w:rPr>
          <w:rFonts w:hint="eastAsia" w:ascii="宋体" w:hAnsi="宋体" w:cs="宋体"/>
          <w:b/>
          <w:color w:val="auto"/>
          <w:szCs w:val="21"/>
          <w:highlight w:val="none"/>
          <w:u w:val="single"/>
        </w:rPr>
        <w:t>（除发包人指明外）承包人在施工过程中所采用的专利、专有技术、技术秘密的使用费包含在合同价款内</w:t>
      </w:r>
      <w:r>
        <w:rPr>
          <w:rFonts w:hint="eastAsia" w:ascii="宋体" w:hAnsi="宋体" w:cs="宋体"/>
          <w:color w:val="auto"/>
          <w:kern w:val="0"/>
          <w:szCs w:val="21"/>
          <w:highlight w:val="none"/>
        </w:rPr>
        <w:t>。</w:t>
      </w:r>
    </w:p>
    <w:p w14:paraId="2AD679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1.13工程量清单错误的修正</w:t>
      </w:r>
    </w:p>
    <w:p w14:paraId="0108441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出现工程量清单错误时，是否调整合同价格：</w:t>
      </w:r>
      <w:r>
        <w:rPr>
          <w:rFonts w:hint="eastAsia" w:ascii="宋体" w:hAnsi="宋体" w:cs="宋体"/>
          <w:b/>
          <w:color w:val="auto"/>
          <w:szCs w:val="21"/>
          <w:highlight w:val="none"/>
          <w:u w:val="single"/>
        </w:rPr>
        <w:t>是</w:t>
      </w:r>
      <w:r>
        <w:rPr>
          <w:rFonts w:hint="eastAsia" w:ascii="宋体" w:hAnsi="宋体" w:cs="宋体"/>
          <w:color w:val="auto"/>
          <w:kern w:val="0"/>
          <w:szCs w:val="21"/>
          <w:highlight w:val="none"/>
        </w:rPr>
        <w:t>。</w:t>
      </w:r>
    </w:p>
    <w:p w14:paraId="3528DB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允许调整合同价格的工程量偏差范围：</w:t>
      </w:r>
      <w:r>
        <w:rPr>
          <w:rFonts w:hint="eastAsia" w:ascii="宋体" w:hAnsi="宋体" w:cs="宋体"/>
          <w:b/>
          <w:color w:val="auto"/>
          <w:szCs w:val="21"/>
          <w:highlight w:val="none"/>
          <w:u w:val="single"/>
        </w:rPr>
        <w:t>工程量按实调整</w:t>
      </w:r>
      <w:r>
        <w:rPr>
          <w:rFonts w:hint="eastAsia" w:ascii="宋体" w:hAnsi="宋体" w:cs="宋体"/>
          <w:color w:val="auto"/>
          <w:kern w:val="0"/>
          <w:szCs w:val="21"/>
          <w:highlight w:val="none"/>
        </w:rPr>
        <w:t>。</w:t>
      </w:r>
    </w:p>
    <w:p w14:paraId="7B730F76">
      <w:pPr>
        <w:tabs>
          <w:tab w:val="left" w:pos="864"/>
        </w:tabs>
        <w:snapToGrid w:val="0"/>
        <w:spacing w:line="360" w:lineRule="auto"/>
        <w:rPr>
          <w:rFonts w:hint="eastAsia" w:ascii="宋体" w:hAnsi="宋体" w:cs="宋体"/>
          <w:color w:val="auto"/>
          <w:szCs w:val="21"/>
          <w:highlight w:val="none"/>
        </w:rPr>
      </w:pPr>
      <w:bookmarkStart w:id="486" w:name="_Toc351203634"/>
      <w:r>
        <w:rPr>
          <w:rFonts w:hint="eastAsia" w:ascii="宋体" w:hAnsi="宋体" w:cs="宋体"/>
          <w:color w:val="auto"/>
          <w:szCs w:val="21"/>
          <w:highlight w:val="none"/>
        </w:rPr>
        <w:t>2</w:t>
      </w:r>
      <w:bookmarkStart w:id="487" w:name="_Toc296503157"/>
      <w:bookmarkStart w:id="488" w:name="_Toc296891197"/>
      <w:bookmarkStart w:id="489" w:name="_Toc296890985"/>
      <w:bookmarkStart w:id="490" w:name="_Toc292559867"/>
      <w:bookmarkStart w:id="491" w:name="_Toc297048343"/>
      <w:bookmarkStart w:id="492" w:name="_Toc296347156"/>
      <w:bookmarkStart w:id="493" w:name="_Toc296346658"/>
      <w:bookmarkStart w:id="494" w:name="_Toc296944496"/>
      <w:bookmarkStart w:id="495" w:name="_Toc292559362"/>
      <w:bookmarkStart w:id="496" w:name="_Toc297120457"/>
      <w:r>
        <w:rPr>
          <w:rFonts w:hint="eastAsia" w:ascii="宋体" w:hAnsi="宋体" w:cs="宋体"/>
          <w:color w:val="auto"/>
          <w:szCs w:val="21"/>
          <w:highlight w:val="none"/>
        </w:rPr>
        <w:t>. 发包人</w:t>
      </w:r>
      <w:bookmarkEnd w:id="486"/>
    </w:p>
    <w:bookmarkEnd w:id="487"/>
    <w:bookmarkEnd w:id="488"/>
    <w:bookmarkEnd w:id="489"/>
    <w:bookmarkEnd w:id="490"/>
    <w:bookmarkEnd w:id="491"/>
    <w:bookmarkEnd w:id="492"/>
    <w:bookmarkEnd w:id="493"/>
    <w:bookmarkEnd w:id="494"/>
    <w:bookmarkEnd w:id="495"/>
    <w:bookmarkEnd w:id="496"/>
    <w:p w14:paraId="0825276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发包人代表</w:t>
      </w:r>
    </w:p>
    <w:p w14:paraId="146665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发包人代表：</w:t>
      </w:r>
    </w:p>
    <w:p w14:paraId="374079F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F94FB4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5178FC9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97EAA8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7B610B6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  </w:t>
      </w:r>
      <w:r>
        <w:rPr>
          <w:rFonts w:hint="eastAsia" w:ascii="宋体" w:hAnsi="宋体" w:cs="宋体"/>
          <w:color w:val="auto"/>
          <w:szCs w:val="21"/>
          <w:highlight w:val="none"/>
        </w:rPr>
        <w:t>；</w:t>
      </w:r>
    </w:p>
    <w:p w14:paraId="54FF731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6F013BF">
      <w:pPr>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发包人对发包人代表的授权范围如下：</w:t>
      </w:r>
      <w:r>
        <w:rPr>
          <w:rFonts w:hint="eastAsia" w:ascii="宋体" w:hAnsi="宋体" w:cs="宋体"/>
          <w:b/>
          <w:color w:val="auto"/>
          <w:szCs w:val="21"/>
          <w:highlight w:val="none"/>
          <w:u w:val="single"/>
        </w:rPr>
        <w:t>代表发包人针对本工程做好管理、协调和监督工作，行使并履行本合同明确约定或合理推定的工程师的全部权力和职责，受理与其相关的所有通知、指示、同意、批准、证书、决定及其通讯联络。工程质量、进度、安全管理、设计变更及施工联系单签证、工程价款变更签证、工程价款的拨付等职能</w:t>
      </w:r>
      <w:r>
        <w:rPr>
          <w:rFonts w:hint="eastAsia" w:ascii="宋体" w:hAnsi="宋体" w:cs="宋体"/>
          <w:color w:val="auto"/>
          <w:szCs w:val="21"/>
          <w:highlight w:val="none"/>
        </w:rPr>
        <w:t>。</w:t>
      </w:r>
    </w:p>
    <w:p w14:paraId="23327C0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 施工现场、施工条件和基础资料的提供</w:t>
      </w:r>
    </w:p>
    <w:p w14:paraId="62CCD2C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 提供施工现场</w:t>
      </w:r>
    </w:p>
    <w:p w14:paraId="66BE61D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关于发包人移交施工现场的期限要求：</w:t>
      </w:r>
      <w:r>
        <w:rPr>
          <w:rFonts w:hint="eastAsia" w:ascii="宋体" w:hAnsi="宋体" w:cs="宋体"/>
          <w:b/>
          <w:color w:val="auto"/>
          <w:szCs w:val="21"/>
          <w:highlight w:val="none"/>
          <w:u w:val="single"/>
        </w:rPr>
        <w:t>施工合同签署后3日历天内移交，最迟于开工日期3天前向承包人移交施工现场</w:t>
      </w:r>
      <w:r>
        <w:rPr>
          <w:rFonts w:hint="eastAsia" w:ascii="宋体" w:hAnsi="宋体" w:cs="宋体"/>
          <w:color w:val="auto"/>
          <w:szCs w:val="21"/>
          <w:highlight w:val="none"/>
        </w:rPr>
        <w:t>。</w:t>
      </w:r>
    </w:p>
    <w:p w14:paraId="30BCA7F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2.4.2 提供施工条件</w:t>
      </w:r>
    </w:p>
    <w:p w14:paraId="508451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关于发包人应负责提供施工所需要的条件，包括：</w:t>
      </w:r>
    </w:p>
    <w:p w14:paraId="7F4898F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rPr>
        <w:t>（1）</w:t>
      </w:r>
      <w:r>
        <w:rPr>
          <w:rFonts w:hint="eastAsia" w:ascii="宋体" w:hAnsi="宋体" w:cs="宋体"/>
          <w:b/>
          <w:color w:val="auto"/>
          <w:szCs w:val="21"/>
          <w:highlight w:val="none"/>
          <w:u w:val="single"/>
        </w:rPr>
        <w:t>水、电、通讯条件：施工现场水电安装费、驳接费及施工用水用电费用由承包人自行承担；电讯由承包人自行解决，所产生的费用自理。承包人应自行考虑并解决，如驳接距离远而产生的用电损耗、地方政府限电断电等类似情况的发生，采取相应措施（如自备发电设备或外部借电等）以保证施工的正常进行，上述相关费用均计入项目措施费中，中标后不再作调整。</w:t>
      </w:r>
    </w:p>
    <w:p w14:paraId="1F22073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（2）交通条件：现已开通，公共道路与施工场地的连接通道由承包人自行对接，并承担相关费用，中标后不再作调整。承包人还应遵守杭州市交通管理部门限制通行的有关规定。</w:t>
      </w:r>
    </w:p>
    <w:p w14:paraId="777B92A2">
      <w:pPr>
        <w:snapToGrid w:val="0"/>
        <w:spacing w:line="360" w:lineRule="auto"/>
        <w:ind w:firstLine="422" w:firstLineChars="200"/>
        <w:rPr>
          <w:rFonts w:hint="eastAsia" w:ascii="宋体" w:hAnsi="宋体" w:cs="宋体"/>
          <w:color w:val="auto"/>
          <w:szCs w:val="21"/>
          <w:highlight w:val="none"/>
          <w:u w:val="single"/>
        </w:rPr>
      </w:pPr>
      <w:r>
        <w:rPr>
          <w:rFonts w:hint="eastAsia" w:ascii="宋体" w:hAnsi="宋体" w:cs="宋体"/>
          <w:b/>
          <w:color w:val="auto"/>
          <w:szCs w:val="21"/>
          <w:highlight w:val="none"/>
          <w:u w:val="single"/>
        </w:rPr>
        <w:t>（3）图纸会审和设计交底时间:开工日3天前，由发包人组织设计人、承包人、监理人进行图纸会审，设计人向承包人进行设计交底</w:t>
      </w:r>
      <w:r>
        <w:rPr>
          <w:rFonts w:hint="eastAsia" w:ascii="宋体" w:hAnsi="宋体" w:cs="宋体"/>
          <w:color w:val="auto"/>
          <w:szCs w:val="21"/>
          <w:highlight w:val="none"/>
        </w:rPr>
        <w:t>。</w:t>
      </w:r>
    </w:p>
    <w:p w14:paraId="5AB53FE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2.5 资金来源证明及支付担保</w:t>
      </w:r>
    </w:p>
    <w:p w14:paraId="766115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发包人提供资金来源证明的期限要求：</w:t>
      </w:r>
      <w:r>
        <w:rPr>
          <w:rFonts w:hint="eastAsia" w:ascii="宋体" w:hAnsi="宋体" w:cs="宋体"/>
          <w:b/>
          <w:color w:val="auto"/>
          <w:szCs w:val="21"/>
          <w:highlight w:val="none"/>
          <w:u w:val="single"/>
        </w:rPr>
        <w:t>按通用条款约定</w:t>
      </w:r>
      <w:r>
        <w:rPr>
          <w:rFonts w:hint="eastAsia" w:ascii="宋体" w:hAnsi="宋体" w:cs="宋体"/>
          <w:color w:val="auto"/>
          <w:szCs w:val="21"/>
          <w:highlight w:val="none"/>
        </w:rPr>
        <w:t>。</w:t>
      </w:r>
    </w:p>
    <w:p w14:paraId="05838DA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发包人是否提供支付担保：</w:t>
      </w:r>
      <w:r>
        <w:rPr>
          <w:rFonts w:hint="eastAsia" w:ascii="宋体" w:hAnsi="宋体" w:cs="宋体"/>
          <w:b/>
          <w:color w:val="auto"/>
          <w:szCs w:val="21"/>
          <w:highlight w:val="none"/>
          <w:u w:val="single"/>
        </w:rPr>
        <w:t>否</w:t>
      </w:r>
      <w:r>
        <w:rPr>
          <w:rFonts w:hint="eastAsia" w:ascii="宋体" w:hAnsi="宋体" w:cs="宋体"/>
          <w:color w:val="auto"/>
          <w:szCs w:val="21"/>
          <w:highlight w:val="none"/>
        </w:rPr>
        <w:t>。</w:t>
      </w:r>
    </w:p>
    <w:p w14:paraId="22DDD660">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发包人提供支付担保的形式：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375D5C7">
      <w:pPr>
        <w:tabs>
          <w:tab w:val="left" w:pos="864"/>
        </w:tabs>
        <w:snapToGrid w:val="0"/>
        <w:spacing w:line="360" w:lineRule="auto"/>
        <w:rPr>
          <w:rFonts w:hint="eastAsia" w:ascii="宋体" w:hAnsi="宋体" w:cs="宋体"/>
          <w:color w:val="auto"/>
          <w:szCs w:val="21"/>
          <w:highlight w:val="none"/>
        </w:rPr>
      </w:pPr>
      <w:bookmarkStart w:id="497" w:name="_Toc351203635"/>
      <w:r>
        <w:rPr>
          <w:rFonts w:hint="eastAsia" w:ascii="宋体" w:hAnsi="宋体" w:cs="宋体"/>
          <w:color w:val="auto"/>
          <w:szCs w:val="21"/>
          <w:highlight w:val="none"/>
        </w:rPr>
        <w:t>3</w:t>
      </w:r>
      <w:bookmarkStart w:id="498" w:name="_Toc296346659"/>
      <w:bookmarkStart w:id="499" w:name="_Toc297120458"/>
      <w:bookmarkStart w:id="500" w:name="_Toc292559868"/>
      <w:bookmarkStart w:id="501" w:name="_Toc296891198"/>
      <w:bookmarkStart w:id="502" w:name="_Toc296503158"/>
      <w:bookmarkStart w:id="503" w:name="_Toc296890986"/>
      <w:bookmarkStart w:id="504" w:name="_Toc296347157"/>
      <w:bookmarkStart w:id="505" w:name="_Toc297048344"/>
      <w:bookmarkStart w:id="506" w:name="_Toc296944497"/>
      <w:bookmarkStart w:id="507" w:name="_Toc292559363"/>
      <w:r>
        <w:rPr>
          <w:rFonts w:hint="eastAsia" w:ascii="宋体" w:hAnsi="宋体" w:cs="宋体"/>
          <w:color w:val="auto"/>
          <w:szCs w:val="21"/>
          <w:highlight w:val="none"/>
        </w:rPr>
        <w:t>. 承包人</w:t>
      </w:r>
      <w:bookmarkEnd w:id="497"/>
    </w:p>
    <w:bookmarkEnd w:id="498"/>
    <w:bookmarkEnd w:id="499"/>
    <w:bookmarkEnd w:id="500"/>
    <w:bookmarkEnd w:id="501"/>
    <w:bookmarkEnd w:id="502"/>
    <w:bookmarkEnd w:id="503"/>
    <w:bookmarkEnd w:id="504"/>
    <w:bookmarkEnd w:id="505"/>
    <w:bookmarkEnd w:id="506"/>
    <w:bookmarkEnd w:id="507"/>
    <w:p w14:paraId="4A96EFE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承包人的一般义务</w:t>
      </w:r>
    </w:p>
    <w:p w14:paraId="1B7E957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（9）</w:t>
      </w:r>
      <w:r>
        <w:rPr>
          <w:rFonts w:hint="eastAsia" w:ascii="宋体" w:hAnsi="宋体" w:cs="宋体"/>
          <w:color w:val="auto"/>
          <w:szCs w:val="21"/>
          <w:highlight w:val="none"/>
        </w:rPr>
        <w:t>承包人递交的竣工资料的内容：</w:t>
      </w:r>
      <w:r>
        <w:rPr>
          <w:rFonts w:hint="eastAsia" w:ascii="宋体" w:hAnsi="宋体" w:cs="宋体"/>
          <w:b/>
          <w:color w:val="auto"/>
          <w:szCs w:val="21"/>
          <w:highlight w:val="none"/>
          <w:u w:val="single"/>
        </w:rPr>
        <w:t>按GB/T 50328—2014、JGJ／T185-2009、杭建办发〔2013〕153 号及杭州市城建档案馆资料归档要求</w:t>
      </w:r>
      <w:r>
        <w:rPr>
          <w:rFonts w:hint="eastAsia" w:ascii="宋体" w:hAnsi="宋体" w:cs="宋体"/>
          <w:color w:val="auto"/>
          <w:szCs w:val="21"/>
          <w:highlight w:val="none"/>
        </w:rPr>
        <w:t>。</w:t>
      </w:r>
    </w:p>
    <w:p w14:paraId="6238A53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承包人需要递交的竣工资料套数：</w:t>
      </w:r>
      <w:r>
        <w:rPr>
          <w:rFonts w:hint="eastAsia" w:ascii="宋体" w:hAnsi="宋体" w:cs="宋体"/>
          <w:b/>
          <w:color w:val="auto"/>
          <w:szCs w:val="21"/>
          <w:highlight w:val="none"/>
          <w:u w:val="single"/>
        </w:rPr>
        <w:t>一式四套，含工程施工过程的声像资料一套及电子版竣工图一套</w:t>
      </w:r>
      <w:r>
        <w:rPr>
          <w:rFonts w:hint="eastAsia" w:ascii="宋体" w:hAnsi="宋体" w:cs="宋体"/>
          <w:color w:val="auto"/>
          <w:szCs w:val="21"/>
          <w:highlight w:val="none"/>
        </w:rPr>
        <w:t>。</w:t>
      </w:r>
    </w:p>
    <w:p w14:paraId="3226DE30">
      <w:pPr>
        <w:snapToGrid w:val="0"/>
        <w:spacing w:line="360" w:lineRule="auto"/>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承包人递交的竣工资料的费用承担：</w:t>
      </w:r>
      <w:r>
        <w:rPr>
          <w:rFonts w:hint="eastAsia" w:ascii="宋体" w:hAnsi="宋体" w:cs="宋体"/>
          <w:b/>
          <w:color w:val="auto"/>
          <w:szCs w:val="21"/>
          <w:highlight w:val="none"/>
          <w:u w:val="single"/>
        </w:rPr>
        <w:t>全部由承包人承担（包括因竣工资料不符合招标人、监理、城建档案管及其他有关部门要求，而产生的资料整理和整改费用）</w:t>
      </w:r>
      <w:r>
        <w:rPr>
          <w:rFonts w:hint="eastAsia" w:ascii="宋体" w:hAnsi="宋体" w:cs="宋体"/>
          <w:color w:val="auto"/>
          <w:szCs w:val="21"/>
          <w:highlight w:val="none"/>
        </w:rPr>
        <w:t>。</w:t>
      </w:r>
    </w:p>
    <w:p w14:paraId="18269B8D">
      <w:pPr>
        <w:snapToGrid w:val="0"/>
        <w:spacing w:line="360" w:lineRule="auto"/>
        <w:ind w:left="638" w:leftChars="304"/>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承包人递交的竣工资料移交时间：</w:t>
      </w:r>
      <w:r>
        <w:rPr>
          <w:rFonts w:hint="eastAsia" w:ascii="宋体" w:hAnsi="宋体" w:cs="宋体"/>
          <w:b/>
          <w:color w:val="auto"/>
          <w:szCs w:val="21"/>
          <w:highlight w:val="none"/>
          <w:u w:val="single"/>
        </w:rPr>
        <w:t>工程竣工验收合格后30日历天内</w:t>
      </w:r>
      <w:r>
        <w:rPr>
          <w:rFonts w:hint="eastAsia" w:ascii="宋体" w:hAnsi="宋体" w:cs="宋体"/>
          <w:color w:val="auto"/>
          <w:szCs w:val="21"/>
          <w:highlight w:val="none"/>
        </w:rPr>
        <w:t>。</w:t>
      </w:r>
    </w:p>
    <w:p w14:paraId="1C2A27F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承包人递交的竣工资料形式要求：</w:t>
      </w:r>
      <w:r>
        <w:rPr>
          <w:rFonts w:hint="eastAsia" w:ascii="宋体" w:hAnsi="宋体" w:cs="宋体"/>
          <w:b/>
          <w:color w:val="auto"/>
          <w:szCs w:val="21"/>
          <w:highlight w:val="none"/>
          <w:u w:val="single"/>
        </w:rPr>
        <w:t>按GB/T 50328—2014、JGJ／T185-2009、杭建办发〔2013〕153 号及杭州市城建档案馆资料归档要求</w:t>
      </w:r>
      <w:r>
        <w:rPr>
          <w:rFonts w:hint="eastAsia" w:ascii="宋体" w:hAnsi="宋体" w:cs="宋体"/>
          <w:color w:val="auto"/>
          <w:szCs w:val="21"/>
          <w:highlight w:val="none"/>
        </w:rPr>
        <w:t>。</w:t>
      </w:r>
    </w:p>
    <w:p w14:paraId="184C3455">
      <w:pPr>
        <w:numPr>
          <w:ilvl w:val="0"/>
          <w:numId w:val="6"/>
        </w:num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承包人应履行的其他义务：</w:t>
      </w:r>
    </w:p>
    <w:p w14:paraId="3E804F2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承包人应农名工工资管理按照杭州市相关文件执行。</w:t>
      </w:r>
    </w:p>
    <w:p w14:paraId="5B6AA1A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当在工程项目部配备劳资专管员，对分包单位劳动用工实施监督管理。实行分包单位农民工工资委托施工总承包单位代发制度。承包人应当按照与农民工依法约定的工资支付周期和具体支付日期支付工资，且每月至少向农民工足额支付一次工资。</w:t>
      </w:r>
    </w:p>
    <w:p w14:paraId="24C86CD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当在施工现场醒目位置设立维权信息告示牌，明示：（1）建设单位、施工总承包单位及所在项目部、分包单位、行业监管部门、劳资专管员等基本信息；（2）劳动用工相关法律法规、当地最低工资标准、工资支付日期等基本信息；（3）属地行业监管部门和劳动保障监察投诉举报电话、劳动争议调解仲裁申请渠道等信息。</w:t>
      </w:r>
    </w:p>
    <w:p w14:paraId="38055B6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承包人应规范建筑垃圾处置分包合同管理，建筑垃圾运输业务应当发包给本工程建筑垃圾处置证核准确定的运输单位。</w:t>
      </w:r>
    </w:p>
    <w:p w14:paraId="408FBD8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承包人负责根据施工合同约定和相关法律法规要求，编制工程建筑垃圾处置方案，向项目所在地城管部门进行备案，并在工地出入口做好公示及日常维护工作。</w:t>
      </w:r>
    </w:p>
    <w:p w14:paraId="6566D8B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要加强建筑垃圾处置分包合同履约监管，严格核对建筑垃圾运输车辆，对不具备垃圾处置证、准运证、通行证的工程车辆，要及时清退。杜绝运输单位将建筑垃圾运输至非指定消纳场所，确保运输和处置规范。</w:t>
      </w:r>
    </w:p>
    <w:p w14:paraId="35946A7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承包人与运输、处置单位结算相关费用前应当查验接纳回执。</w:t>
      </w:r>
    </w:p>
    <w:p w14:paraId="19C5922E">
      <w:pPr>
        <w:spacing w:line="360" w:lineRule="auto"/>
        <w:ind w:left="420" w:left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同时按约定时间和要求，完成以下工作（费用列入投标总价）</w:t>
      </w:r>
    </w:p>
    <w:p w14:paraId="4B85A99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1)承包人领取中标通知书后，需立即组织施工机械和人员进场，在最短的时间内（7天内进场）做好开工准备开始施工，如不能如期进场施工，造成工期的拖延，由此产生的经济损失，由承包人承担。</w:t>
      </w:r>
    </w:p>
    <w:p w14:paraId="61C8704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2)承包人按政府建设主管部门规定办理各项开工准备工作，密切配合发包人办理相关许可证和质安监报监手续等。</w:t>
      </w:r>
    </w:p>
    <w:p w14:paraId="618947B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3)承包人须自行解决由于施工原因造成的邻里纠纷，并承担相关费用。</w:t>
      </w:r>
    </w:p>
    <w:p w14:paraId="6A91EA9C">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u w:val="single"/>
        </w:rPr>
        <w:t>4)协助发包人协调处理好施工过程中发生的其他相关问题</w:t>
      </w:r>
      <w:r>
        <w:rPr>
          <w:rFonts w:hint="eastAsia" w:ascii="宋体" w:hAnsi="宋体" w:cs="宋体"/>
          <w:color w:val="auto"/>
          <w:szCs w:val="21"/>
          <w:highlight w:val="none"/>
        </w:rPr>
        <w:t>。</w:t>
      </w:r>
    </w:p>
    <w:p w14:paraId="7AE2516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项目经理</w:t>
      </w:r>
    </w:p>
    <w:p w14:paraId="575A3B2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kern w:val="0"/>
          <w:szCs w:val="21"/>
          <w:highlight w:val="none"/>
        </w:rPr>
        <w:t xml:space="preserve">3.2.1 </w:t>
      </w:r>
      <w:r>
        <w:rPr>
          <w:rFonts w:hint="eastAsia" w:ascii="宋体" w:hAnsi="宋体" w:cs="宋体"/>
          <w:color w:val="auto"/>
          <w:szCs w:val="21"/>
          <w:highlight w:val="none"/>
        </w:rPr>
        <w:t>项目经理：</w:t>
      </w:r>
    </w:p>
    <w:p w14:paraId="3B9D2E4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18060A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身份证号：</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3AD18C7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建造师执业资格等级：</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407696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建造师注册证书号：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7B62A37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建造师执业印章号：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122749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安全生产考核合格证书号：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083F8C9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 </w:t>
      </w:r>
      <w:r>
        <w:rPr>
          <w:rFonts w:hint="eastAsia" w:ascii="宋体" w:hAnsi="宋体" w:cs="宋体"/>
          <w:color w:val="auto"/>
          <w:szCs w:val="21"/>
          <w:highlight w:val="none"/>
        </w:rPr>
        <w:t>；</w:t>
      </w:r>
    </w:p>
    <w:p w14:paraId="09002E3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6F95C1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074E474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承包人对项目经理的授权范围如下：</w:t>
      </w:r>
      <w:r>
        <w:rPr>
          <w:rFonts w:hint="eastAsia" w:ascii="宋体" w:hAnsi="宋体" w:cs="宋体"/>
          <w:b/>
          <w:color w:val="auto"/>
          <w:szCs w:val="21"/>
          <w:highlight w:val="none"/>
          <w:u w:val="single"/>
        </w:rPr>
        <w:t>代表承包人全面负责本工程的质量、安全、工期及成本控制，做好本工程施工管理、协调和监督工作，行使并履行本合同明确约定或合理推定的工程师的全部权力和职责，受理与其相关的所有通知、指示、同意、批准、证书、决定及其通讯联络</w:t>
      </w:r>
      <w:r>
        <w:rPr>
          <w:rFonts w:hint="eastAsia" w:ascii="宋体" w:hAnsi="宋体" w:cs="宋体"/>
          <w:color w:val="auto"/>
          <w:szCs w:val="21"/>
          <w:highlight w:val="none"/>
        </w:rPr>
        <w:t>。</w:t>
      </w:r>
    </w:p>
    <w:p w14:paraId="61114AB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关于项目经理每月在施工现场的时间要求：</w:t>
      </w:r>
      <w:r>
        <w:rPr>
          <w:rFonts w:hint="eastAsia" w:ascii="宋体" w:hAnsi="宋体" w:cs="宋体"/>
          <w:b/>
          <w:color w:val="auto"/>
          <w:szCs w:val="21"/>
          <w:highlight w:val="none"/>
          <w:u w:val="single"/>
        </w:rPr>
        <w:t>项目负责人每月到位率为  %(以磋商响应文件承诺为准)及以上（每月按    天，每天按8小时计），重要施工工序或环节时项目负责人等重要人员必须到场</w:t>
      </w:r>
      <w:r>
        <w:rPr>
          <w:rFonts w:hint="eastAsia" w:ascii="宋体" w:hAnsi="宋体" w:cs="宋体"/>
          <w:color w:val="auto"/>
          <w:szCs w:val="21"/>
          <w:highlight w:val="none"/>
        </w:rPr>
        <w:t>。</w:t>
      </w:r>
    </w:p>
    <w:p w14:paraId="6F6CBCE6">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承包人未递交劳动合同，以及没有为项目经理缴纳社会保险证明的违约责任：</w:t>
      </w:r>
      <w:r>
        <w:rPr>
          <w:rFonts w:hint="eastAsia" w:ascii="宋体" w:hAnsi="宋体" w:cs="宋体"/>
          <w:b/>
          <w:color w:val="auto"/>
          <w:szCs w:val="21"/>
          <w:highlight w:val="none"/>
          <w:u w:val="single"/>
        </w:rPr>
        <w:t>发包人责令承包人立即改正，并扣减承包人5000元的违约金。上述违约金直接在工程款中扣除，最终以结算审定金额为准。由上述原因造成工程费用和工期增加的，均由承包人承担</w:t>
      </w:r>
      <w:r>
        <w:rPr>
          <w:rFonts w:hint="eastAsia" w:ascii="宋体" w:hAnsi="宋体" w:cs="宋体"/>
          <w:color w:val="auto"/>
          <w:szCs w:val="21"/>
          <w:highlight w:val="none"/>
        </w:rPr>
        <w:t>。</w:t>
      </w:r>
    </w:p>
    <w:p w14:paraId="3997C302">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kern w:val="0"/>
          <w:szCs w:val="21"/>
          <w:highlight w:val="none"/>
        </w:rPr>
        <w:t>项目经理未经批准，擅自离开施工现场的违约责任：</w:t>
      </w:r>
      <w:r>
        <w:rPr>
          <w:rFonts w:hint="eastAsia" w:ascii="宋体" w:hAnsi="宋体" w:cs="宋体"/>
          <w:b/>
          <w:color w:val="auto"/>
          <w:szCs w:val="21"/>
          <w:highlight w:val="none"/>
          <w:u w:val="single"/>
        </w:rPr>
        <w:t>项目负责人按月到位率达不到合同约定比例的，扣减承包人5000元违约金。项目负责人无故缺席或迟到重要施工工序、环节、会议的，发包人有权视情节严重程度处以1000元/次的违约扣款，如因缺席迟到原因导致对相关重要内容不了解，其后果由承包人自负。上述所有违约金直接在当次工程款中扣除，最终以结算审定金额为准。由上述原因造成工程费用和工期增加的，均由承包人承担</w:t>
      </w:r>
      <w:r>
        <w:rPr>
          <w:rFonts w:hint="eastAsia" w:ascii="宋体" w:hAnsi="宋体" w:cs="宋体"/>
          <w:color w:val="auto"/>
          <w:szCs w:val="21"/>
          <w:highlight w:val="none"/>
        </w:rPr>
        <w:t>。</w:t>
      </w:r>
    </w:p>
    <w:p w14:paraId="0E20FC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承包人擅自更换项目经理的违约责任：</w:t>
      </w:r>
      <w:r>
        <w:rPr>
          <w:rFonts w:hint="eastAsia" w:ascii="宋体" w:hAnsi="宋体" w:cs="宋体"/>
          <w:b/>
          <w:color w:val="auto"/>
          <w:szCs w:val="21"/>
          <w:highlight w:val="none"/>
          <w:u w:val="single"/>
        </w:rPr>
        <w:t>不允许承包人更换项目负责人，如因特殊情况确需更换项目负责人的，需报发包人、建设主管部门和招投标监督管理部门批准后，方可予以更换。承包人未按上述约定擅自更换项目负责人的视为承包人违约，并按1万元/人/次扣减承包人违约金。上述违约金直接在当次工程款中扣除，最终以结算审定金额为准</w:t>
      </w:r>
      <w:r>
        <w:rPr>
          <w:rFonts w:hint="eastAsia" w:ascii="宋体" w:hAnsi="宋体" w:cs="宋体"/>
          <w:color w:val="auto"/>
          <w:szCs w:val="21"/>
          <w:highlight w:val="none"/>
        </w:rPr>
        <w:t>。</w:t>
      </w:r>
    </w:p>
    <w:p w14:paraId="22843729">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3.2.4 承包人无正当理由拒绝更换项目经理的违约责任：</w:t>
      </w:r>
      <w:r>
        <w:rPr>
          <w:rFonts w:hint="eastAsia" w:ascii="宋体" w:hAnsi="宋体" w:cs="宋体"/>
          <w:b/>
          <w:color w:val="auto"/>
          <w:szCs w:val="21"/>
          <w:highlight w:val="none"/>
          <w:u w:val="single"/>
        </w:rPr>
        <w:t>按10000元/人/次承担违约金，上述违约金直接在当次工程款中扣除，最终以结算审定金额为准</w:t>
      </w:r>
      <w:r>
        <w:rPr>
          <w:rFonts w:hint="eastAsia" w:ascii="宋体" w:hAnsi="宋体" w:cs="宋体"/>
          <w:color w:val="auto"/>
          <w:szCs w:val="21"/>
          <w:highlight w:val="none"/>
        </w:rPr>
        <w:t>。</w:t>
      </w:r>
    </w:p>
    <w:p w14:paraId="4544E6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 承包人人员</w:t>
      </w:r>
    </w:p>
    <w:p w14:paraId="7F42149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3.3.1 承包人递交项目管理机构及施工现场管理人员安排报告的期限：</w:t>
      </w:r>
      <w:r>
        <w:rPr>
          <w:rFonts w:hint="eastAsia" w:ascii="宋体" w:hAnsi="宋体" w:cs="宋体"/>
          <w:b/>
          <w:color w:val="auto"/>
          <w:szCs w:val="21"/>
          <w:highlight w:val="none"/>
          <w:u w:val="single"/>
        </w:rPr>
        <w:t>承包人应在施工合同签署后7日历天内按合同文件（投标承诺）提供项目管理机构及施工现场管理人员安排报告。承包人实际到位的主要管理人员与合同文件（投标承诺）不一致时，发包人有权要求承包方承担5000元的违约金，若确需调换部分人员的，必须征得发包人的书面认同；若未经同意擅自调换，发包人有权终止合同并追究其违约责任</w:t>
      </w:r>
      <w:r>
        <w:rPr>
          <w:rFonts w:hint="eastAsia" w:ascii="宋体" w:hAnsi="宋体" w:cs="宋体"/>
          <w:color w:val="auto"/>
          <w:szCs w:val="21"/>
          <w:highlight w:val="none"/>
        </w:rPr>
        <w:t>。</w:t>
      </w:r>
    </w:p>
    <w:p w14:paraId="251CE1E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3.3.3 承包人无正当理由拒绝撤换主要施工管理人员的违约责任：</w:t>
      </w:r>
      <w:r>
        <w:rPr>
          <w:rFonts w:hint="eastAsia" w:ascii="宋体" w:hAnsi="宋体" w:cs="宋体"/>
          <w:b/>
          <w:color w:val="auto"/>
          <w:szCs w:val="21"/>
          <w:highlight w:val="none"/>
          <w:u w:val="single"/>
        </w:rPr>
        <w:t>承包人以下人员，经监理提出，发包人同意，必须在3天内调离本工程范围，否则承包人应按1000元/人/次承担违约金；同时，承包人应在3天内用发包人批准的合格的人员代替上述调离的人员。上述违约金直接在当次工程款中扣除，最终以结算审定金额为准</w:t>
      </w:r>
      <w:r>
        <w:rPr>
          <w:rFonts w:hint="eastAsia" w:ascii="宋体" w:hAnsi="宋体" w:cs="宋体"/>
          <w:color w:val="auto"/>
          <w:szCs w:val="21"/>
          <w:highlight w:val="none"/>
        </w:rPr>
        <w:t>。</w:t>
      </w:r>
    </w:p>
    <w:p w14:paraId="601387A0">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3.3.4 承包人主要施工管理人员离开施工现场的批准要求：</w:t>
      </w:r>
      <w:r>
        <w:rPr>
          <w:rFonts w:hint="eastAsia" w:ascii="宋体" w:hAnsi="宋体" w:cs="宋体"/>
          <w:b/>
          <w:color w:val="auto"/>
          <w:szCs w:val="21"/>
          <w:highlight w:val="none"/>
          <w:u w:val="single"/>
        </w:rPr>
        <w:t>主要施工管理人员到位率要求在90%（含）及以上，以日历天为计算基数。承包人应在主要施工管理人员离场前24小时前，向监理人递交书面离场申请（还应注明临时代行人员情况及其职责范围），并征得发包人书面同意后，方可离场</w:t>
      </w:r>
      <w:r>
        <w:rPr>
          <w:rFonts w:hint="eastAsia" w:ascii="宋体" w:hAnsi="宋体" w:cs="宋体"/>
          <w:color w:val="auto"/>
          <w:szCs w:val="21"/>
          <w:highlight w:val="none"/>
        </w:rPr>
        <w:t>。</w:t>
      </w:r>
    </w:p>
    <w:p w14:paraId="6846F91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3.3.5承包人擅自更换主要施工管理人员的违约责任：</w:t>
      </w:r>
      <w:r>
        <w:rPr>
          <w:rFonts w:hint="eastAsia" w:ascii="宋体" w:hAnsi="宋体" w:cs="宋体"/>
          <w:b/>
          <w:color w:val="auto"/>
          <w:szCs w:val="21"/>
          <w:highlight w:val="none"/>
          <w:u w:val="single"/>
        </w:rPr>
        <w:t>不允许承包人更换主要施工管理人员，如因特殊情况确需更换的，须经发包人同意并备案。承包人未按上述约定擅自更换主要施工管理人员的视为承包人违约，承包人应按1000元/人/次承担违约金。上述违约金直接在当次工程款中扣除，最终以结算审定金额为准</w:t>
      </w:r>
      <w:r>
        <w:rPr>
          <w:rFonts w:hint="eastAsia" w:ascii="宋体" w:hAnsi="宋体" w:cs="宋体"/>
          <w:color w:val="auto"/>
          <w:szCs w:val="21"/>
          <w:highlight w:val="none"/>
        </w:rPr>
        <w:t>。</w:t>
      </w:r>
    </w:p>
    <w:p w14:paraId="05CFAE4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承包人主要施工管理人员擅自离开施工现场的违约责任：</w:t>
      </w:r>
      <w:r>
        <w:rPr>
          <w:rFonts w:hint="eastAsia" w:ascii="宋体" w:hAnsi="宋体" w:cs="宋体"/>
          <w:b/>
          <w:color w:val="auto"/>
          <w:szCs w:val="21"/>
          <w:highlight w:val="none"/>
          <w:u w:val="single"/>
        </w:rPr>
        <w:t>发包人将扣减承包人1000元/人的违约金；主要施工管理人员无故缺席或迟到重要施工工序、环节、会议的，承包人应按1000元/次/人承担违约金，如因缺席迟到原因导致对相关重要内容不了解，其后果由承包人自负。上述所有违约金直接在当次工程款中扣除，最终以结算审定金额为准。由上述原因造成工程费用和工期增加的，均由承包人承担</w:t>
      </w:r>
      <w:r>
        <w:rPr>
          <w:rFonts w:hint="eastAsia" w:ascii="宋体" w:hAnsi="宋体" w:cs="宋体"/>
          <w:color w:val="auto"/>
          <w:szCs w:val="21"/>
          <w:highlight w:val="none"/>
        </w:rPr>
        <w:t>。</w:t>
      </w:r>
    </w:p>
    <w:p w14:paraId="0B5D53A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508" w:name="_Toc296891199"/>
      <w:bookmarkStart w:id="509" w:name="_Toc296347158"/>
      <w:bookmarkStart w:id="510" w:name="_Toc292559869"/>
      <w:bookmarkStart w:id="511" w:name="_Toc297216151"/>
      <w:bookmarkStart w:id="512" w:name="_Toc296944498"/>
      <w:bookmarkStart w:id="513" w:name="_Toc292559364"/>
      <w:bookmarkStart w:id="514" w:name="_Toc296346660"/>
      <w:bookmarkStart w:id="515" w:name="_Toc300934945"/>
      <w:bookmarkStart w:id="516" w:name="_Toc296890987"/>
      <w:bookmarkStart w:id="517" w:name="_Toc303539102"/>
      <w:bookmarkStart w:id="518" w:name="_Toc312677988"/>
      <w:bookmarkStart w:id="519" w:name="_Toc304295523"/>
      <w:bookmarkStart w:id="520" w:name="_Toc296503159"/>
      <w:bookmarkStart w:id="521" w:name="_Toc297123492"/>
      <w:bookmarkStart w:id="522" w:name="_Toc297120459"/>
      <w:bookmarkStart w:id="523" w:name="_Toc297048345"/>
      <w:r>
        <w:rPr>
          <w:rFonts w:hint="eastAsia" w:ascii="宋体" w:hAnsi="宋体" w:cs="宋体"/>
          <w:color w:val="auto"/>
          <w:szCs w:val="21"/>
          <w:highlight w:val="none"/>
        </w:rPr>
        <w:t>.5 分包</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165EE53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bookmarkStart w:id="524" w:name="_Toc296347159"/>
      <w:bookmarkStart w:id="525" w:name="_Toc297048346"/>
      <w:bookmarkStart w:id="526" w:name="_Toc303539103"/>
      <w:bookmarkStart w:id="527" w:name="_Toc297120460"/>
      <w:bookmarkStart w:id="528" w:name="_Toc292559365"/>
      <w:bookmarkStart w:id="529" w:name="_Toc304295524"/>
      <w:bookmarkStart w:id="530" w:name="_Toc297123493"/>
      <w:bookmarkStart w:id="531" w:name="_Toc292559870"/>
      <w:bookmarkStart w:id="532" w:name="_Toc296346661"/>
      <w:bookmarkStart w:id="533" w:name="_Toc300934946"/>
      <w:bookmarkStart w:id="534" w:name="_Toc296891200"/>
      <w:bookmarkStart w:id="535" w:name="_Toc296890988"/>
      <w:bookmarkStart w:id="536" w:name="_Toc297216152"/>
      <w:bookmarkStart w:id="537" w:name="_Toc296503160"/>
      <w:bookmarkStart w:id="538" w:name="_Toc296944499"/>
      <w:bookmarkStart w:id="539" w:name="_Toc318581158"/>
      <w:bookmarkStart w:id="540" w:name="_Toc312677989"/>
      <w:r>
        <w:rPr>
          <w:rFonts w:hint="eastAsia" w:ascii="宋体" w:hAnsi="宋体" w:cs="宋体"/>
          <w:color w:val="auto"/>
          <w:szCs w:val="21"/>
          <w:highlight w:val="none"/>
        </w:rPr>
        <w:t>.5.1 分包的一般约定</w:t>
      </w:r>
    </w:p>
    <w:p w14:paraId="518B532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禁止分包的工程包括：</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6900FA05">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主体结构、关键性工作的范围：</w:t>
      </w:r>
      <w:r>
        <w:rPr>
          <w:rFonts w:hint="eastAsia" w:ascii="宋体" w:hAnsi="宋体" w:cs="宋体"/>
          <w:b/>
          <w:color w:val="auto"/>
          <w:szCs w:val="21"/>
          <w:highlight w:val="none"/>
          <w:u w:val="single"/>
        </w:rPr>
        <w:t>合同范围均为关键性工作范围</w:t>
      </w:r>
      <w:r>
        <w:rPr>
          <w:rFonts w:hint="eastAsia" w:ascii="宋体" w:hAnsi="宋体" w:cs="宋体"/>
          <w:color w:val="auto"/>
          <w:szCs w:val="21"/>
          <w:highlight w:val="none"/>
        </w:rPr>
        <w:t>。</w:t>
      </w:r>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Start w:id="541" w:name="_Toc303539104"/>
      <w:bookmarkStart w:id="542" w:name="_Toc297123494"/>
      <w:bookmarkStart w:id="543" w:name="_Toc296944500"/>
      <w:bookmarkStart w:id="544" w:name="_Toc296346662"/>
      <w:bookmarkStart w:id="545" w:name="_Toc300934947"/>
      <w:bookmarkStart w:id="546" w:name="_Toc296503161"/>
      <w:bookmarkStart w:id="547" w:name="_Toc296347160"/>
      <w:bookmarkStart w:id="548" w:name="_Toc296891201"/>
      <w:bookmarkStart w:id="549" w:name="_Toc297048347"/>
      <w:bookmarkStart w:id="550" w:name="_Toc297216153"/>
      <w:bookmarkStart w:id="551" w:name="_Toc304295525"/>
      <w:bookmarkStart w:id="552" w:name="_Toc297120461"/>
      <w:bookmarkStart w:id="553" w:name="_Toc296890989"/>
    </w:p>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p w14:paraId="65847445">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w:t>
      </w:r>
      <w:bookmarkStart w:id="554" w:name="_Toc312677990"/>
      <w:bookmarkStart w:id="555" w:name="_Toc318581159"/>
      <w:r>
        <w:rPr>
          <w:rFonts w:hint="eastAsia" w:ascii="宋体" w:hAnsi="宋体" w:cs="宋体"/>
          <w:color w:val="auto"/>
          <w:szCs w:val="21"/>
          <w:highlight w:val="none"/>
        </w:rPr>
        <w:t>.5.2分包的确定</w:t>
      </w:r>
    </w:p>
    <w:p w14:paraId="256D6ED5">
      <w:pPr>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允许分包的专业工程包括：</w:t>
      </w:r>
      <w:r>
        <w:rPr>
          <w:rFonts w:hint="eastAsia" w:ascii="宋体" w:hAnsi="宋体" w:cs="宋体"/>
          <w:b/>
          <w:color w:val="auto"/>
          <w:szCs w:val="21"/>
          <w:highlight w:val="none"/>
          <w:u w:val="single"/>
        </w:rPr>
        <w:t>双方协商确定</w:t>
      </w:r>
      <w:r>
        <w:rPr>
          <w:rFonts w:hint="eastAsia" w:ascii="宋体" w:hAnsi="宋体" w:cs="宋体"/>
          <w:color w:val="auto"/>
          <w:szCs w:val="21"/>
          <w:highlight w:val="none"/>
        </w:rPr>
        <w:t>。</w:t>
      </w:r>
    </w:p>
    <w:p w14:paraId="7241AD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其他关于分包的约定：</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C9E9D3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3.5.4 分包合同价款</w:t>
      </w:r>
    </w:p>
    <w:p w14:paraId="4C018A5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关于分包合同价款支付的约定：</w:t>
      </w:r>
      <w:r>
        <w:rPr>
          <w:rFonts w:hint="eastAsia" w:ascii="宋体" w:hAnsi="宋体" w:cs="宋体"/>
          <w:b/>
          <w:color w:val="auto"/>
          <w:szCs w:val="21"/>
          <w:highlight w:val="none"/>
          <w:u w:val="single"/>
        </w:rPr>
        <w:t>另行约定</w:t>
      </w:r>
      <w:r>
        <w:rPr>
          <w:rFonts w:hint="eastAsia" w:ascii="宋体" w:hAnsi="宋体" w:cs="宋体"/>
          <w:color w:val="auto"/>
          <w:szCs w:val="21"/>
          <w:highlight w:val="none"/>
        </w:rPr>
        <w:t>。</w:t>
      </w:r>
    </w:p>
    <w:bookmarkEnd w:id="554"/>
    <w:bookmarkEnd w:id="555"/>
    <w:p w14:paraId="7225EDA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 工程照管与成品、半成品保护</w:t>
      </w:r>
    </w:p>
    <w:p w14:paraId="341AC74E">
      <w:pPr>
        <w:snapToGrid w:val="0"/>
        <w:spacing w:line="360" w:lineRule="auto"/>
        <w:ind w:firstLine="420" w:firstLineChars="200"/>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承包人负责照管工程及工程相关的材料、工程设备的起始时间：</w:t>
      </w:r>
      <w:r>
        <w:rPr>
          <w:rFonts w:hint="eastAsia" w:ascii="宋体" w:hAnsi="宋体" w:cs="宋体"/>
          <w:b/>
          <w:color w:val="auto"/>
          <w:szCs w:val="21"/>
          <w:highlight w:val="none"/>
          <w:u w:val="single"/>
        </w:rPr>
        <w:t>自发包人向承包人移交施工现场之日起，直到颁发工程接收证书之日止</w:t>
      </w:r>
      <w:r>
        <w:rPr>
          <w:rFonts w:hint="eastAsia" w:ascii="宋体" w:hAnsi="宋体" w:cs="宋体"/>
          <w:color w:val="auto"/>
          <w:kern w:val="0"/>
          <w:szCs w:val="21"/>
          <w:highlight w:val="none"/>
        </w:rPr>
        <w:t>。</w:t>
      </w:r>
    </w:p>
    <w:p w14:paraId="025CD8A0">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3.7 履约担保</w:t>
      </w:r>
    </w:p>
    <w:p w14:paraId="3EEF2B1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承包人是否提供履约担保：</w:t>
      </w:r>
      <w:r>
        <w:rPr>
          <w:rFonts w:hint="eastAsia" w:ascii="宋体" w:hAnsi="宋体" w:cs="宋体"/>
          <w:b/>
          <w:color w:val="auto"/>
          <w:szCs w:val="21"/>
          <w:highlight w:val="none"/>
          <w:u w:val="single"/>
        </w:rPr>
        <w:t>是</w:t>
      </w:r>
      <w:r>
        <w:rPr>
          <w:rFonts w:hint="eastAsia" w:ascii="宋体" w:hAnsi="宋体" w:cs="宋体"/>
          <w:color w:val="auto"/>
          <w:szCs w:val="21"/>
          <w:highlight w:val="none"/>
        </w:rPr>
        <w:t>。</w:t>
      </w:r>
    </w:p>
    <w:p w14:paraId="78542D2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承包人提供履约担保的形式、金额及期限的：</w:t>
      </w:r>
      <w:r>
        <w:rPr>
          <w:rFonts w:hint="eastAsia" w:ascii="宋体" w:hAnsi="宋体" w:cs="宋体"/>
          <w:b/>
          <w:color w:val="auto"/>
          <w:szCs w:val="21"/>
          <w:highlight w:val="none"/>
          <w:u w:val="single"/>
        </w:rPr>
        <w:t>非现金形式，于签订合同5日内应向发包人交纳合同总金额的1％作为履约保证金，项目竣工验收合格后转为质量保证金，质保期满后无息退还</w:t>
      </w:r>
      <w:r>
        <w:rPr>
          <w:rFonts w:hint="eastAsia" w:ascii="宋体" w:hAnsi="宋体" w:cs="宋体"/>
          <w:color w:val="auto"/>
          <w:szCs w:val="21"/>
          <w:highlight w:val="none"/>
        </w:rPr>
        <w:t>。</w:t>
      </w:r>
    </w:p>
    <w:p w14:paraId="50560DCF">
      <w:pPr>
        <w:tabs>
          <w:tab w:val="left" w:pos="864"/>
        </w:tabs>
        <w:snapToGrid w:val="0"/>
        <w:spacing w:line="360" w:lineRule="auto"/>
        <w:rPr>
          <w:rFonts w:hint="eastAsia" w:ascii="宋体" w:hAnsi="宋体" w:cs="宋体"/>
          <w:color w:val="auto"/>
          <w:szCs w:val="21"/>
          <w:highlight w:val="none"/>
        </w:rPr>
      </w:pPr>
      <w:bookmarkStart w:id="556" w:name="_Toc351203636"/>
      <w:r>
        <w:rPr>
          <w:rFonts w:hint="eastAsia" w:ascii="宋体" w:hAnsi="宋体" w:cs="宋体"/>
          <w:color w:val="auto"/>
          <w:szCs w:val="21"/>
          <w:highlight w:val="none"/>
        </w:rPr>
        <w:t>4</w:t>
      </w:r>
      <w:bookmarkStart w:id="557" w:name="_Toc296891202"/>
      <w:bookmarkStart w:id="558" w:name="_Toc297120462"/>
      <w:bookmarkStart w:id="559" w:name="_Toc296346663"/>
      <w:bookmarkStart w:id="560" w:name="_Toc292559366"/>
      <w:bookmarkStart w:id="561" w:name="_Toc297048348"/>
      <w:bookmarkStart w:id="562" w:name="_Toc296890990"/>
      <w:bookmarkStart w:id="563" w:name="_Toc296503162"/>
      <w:bookmarkStart w:id="564" w:name="_Toc296944501"/>
      <w:bookmarkStart w:id="565" w:name="_Toc267251413"/>
      <w:bookmarkStart w:id="566" w:name="_Toc296347161"/>
      <w:bookmarkStart w:id="567" w:name="_Toc292559871"/>
      <w:r>
        <w:rPr>
          <w:rFonts w:hint="eastAsia" w:ascii="宋体" w:hAnsi="宋体" w:cs="宋体"/>
          <w:color w:val="auto"/>
          <w:szCs w:val="21"/>
          <w:highlight w:val="none"/>
        </w:rPr>
        <w:t>. 监</w:t>
      </w:r>
      <w:bookmarkEnd w:id="557"/>
      <w:bookmarkEnd w:id="558"/>
      <w:bookmarkEnd w:id="559"/>
      <w:bookmarkEnd w:id="560"/>
      <w:bookmarkEnd w:id="561"/>
      <w:bookmarkEnd w:id="562"/>
      <w:bookmarkEnd w:id="563"/>
      <w:bookmarkEnd w:id="564"/>
      <w:bookmarkEnd w:id="565"/>
      <w:bookmarkEnd w:id="566"/>
      <w:bookmarkEnd w:id="567"/>
      <w:r>
        <w:rPr>
          <w:rFonts w:hint="eastAsia" w:ascii="宋体" w:hAnsi="宋体" w:cs="宋体"/>
          <w:color w:val="auto"/>
          <w:szCs w:val="21"/>
          <w:highlight w:val="none"/>
        </w:rPr>
        <w:t>理人</w:t>
      </w:r>
      <w:bookmarkEnd w:id="556"/>
    </w:p>
    <w:p w14:paraId="105C9EC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4.1监理人的一般规定</w:t>
      </w:r>
    </w:p>
    <w:p w14:paraId="4C443DA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关于监理人的监理内容：</w:t>
      </w:r>
      <w:r>
        <w:rPr>
          <w:rFonts w:hint="eastAsia" w:ascii="宋体" w:hAnsi="宋体" w:cs="宋体"/>
          <w:b/>
          <w:color w:val="auto"/>
          <w:szCs w:val="21"/>
          <w:highlight w:val="none"/>
          <w:u w:val="single"/>
        </w:rPr>
        <w:t>按监理合同约定实行</w:t>
      </w:r>
      <w:r>
        <w:rPr>
          <w:rFonts w:hint="eastAsia" w:ascii="宋体" w:hAnsi="宋体" w:cs="宋体"/>
          <w:color w:val="auto"/>
          <w:szCs w:val="21"/>
          <w:highlight w:val="none"/>
        </w:rPr>
        <w:t>。</w:t>
      </w:r>
    </w:p>
    <w:p w14:paraId="70FE88E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关于监理人的监理权限：</w:t>
      </w:r>
      <w:r>
        <w:rPr>
          <w:rFonts w:hint="eastAsia" w:ascii="宋体" w:hAnsi="宋体" w:cs="宋体"/>
          <w:b/>
          <w:color w:val="auto"/>
          <w:szCs w:val="21"/>
          <w:highlight w:val="none"/>
          <w:u w:val="single"/>
        </w:rPr>
        <w:t>在监理工作范围内，凡涉及下列事项必须取得发包人专门以书面形式授权且签证确认后，监理人方可实施</w:t>
      </w:r>
      <w:r>
        <w:rPr>
          <w:rFonts w:hint="eastAsia" w:ascii="宋体" w:hAnsi="宋体" w:cs="宋体"/>
          <w:color w:val="auto"/>
          <w:szCs w:val="21"/>
          <w:highlight w:val="none"/>
        </w:rPr>
        <w:t xml:space="preserve">。 </w:t>
      </w:r>
    </w:p>
    <w:p w14:paraId="6FD6360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（1）同意工程分包，承包人主要项目管理人员更换，或主要材料、设备替换； </w:t>
      </w:r>
    </w:p>
    <w:p w14:paraId="07E42C3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（2）签发开工令、同意暂停施工或延期； </w:t>
      </w:r>
    </w:p>
    <w:p w14:paraId="578153A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（3）同意设计变更、经济签证或技术标准和要求变更； </w:t>
      </w:r>
    </w:p>
    <w:p w14:paraId="177342C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（4）同意合同价款调整、索赔，或暂列金额、暂估价的使用； </w:t>
      </w:r>
    </w:p>
    <w:p w14:paraId="3BD5919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（5）签发工程计量、支付证书、竣工结清证书； </w:t>
      </w:r>
    </w:p>
    <w:p w14:paraId="0B3F9B76">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（6）其他须发包人书面确定的事项。</w:t>
      </w:r>
    </w:p>
    <w:p w14:paraId="223BC18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如上述事项未经发包人事先授权且确认的，发包人均有权不予认可，且不能作为竣工结算的有效依据。 </w:t>
      </w:r>
    </w:p>
    <w:p w14:paraId="697C32B4">
      <w:pPr>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u w:val="single"/>
        </w:rPr>
        <w:t>除上述约定事项外，其他事项授权监理人依照监理合同及相关监理规范办理</w:t>
      </w:r>
      <w:r>
        <w:rPr>
          <w:rFonts w:hint="eastAsia" w:ascii="宋体" w:hAnsi="宋体" w:cs="宋体"/>
          <w:color w:val="auto"/>
          <w:szCs w:val="21"/>
          <w:highlight w:val="none"/>
        </w:rPr>
        <w:t>。</w:t>
      </w:r>
    </w:p>
    <w:p w14:paraId="5CB21B5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关于监理人在施工现场的办公场所、生活场所的提供和费用承担的约定：</w:t>
      </w:r>
      <w:r>
        <w:rPr>
          <w:rFonts w:hint="eastAsia" w:ascii="宋体" w:hAnsi="宋体" w:cs="宋体"/>
          <w:b/>
          <w:color w:val="auto"/>
          <w:szCs w:val="21"/>
          <w:highlight w:val="none"/>
          <w:u w:val="single"/>
        </w:rPr>
        <w:t>/</w:t>
      </w:r>
      <w:r>
        <w:rPr>
          <w:rFonts w:hint="eastAsia" w:ascii="宋体" w:hAnsi="宋体" w:cs="宋体"/>
          <w:color w:val="auto"/>
          <w:szCs w:val="21"/>
          <w:highlight w:val="none"/>
        </w:rPr>
        <w:t>。</w:t>
      </w:r>
    </w:p>
    <w:p w14:paraId="37D01E1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 监理人员</w:t>
      </w:r>
    </w:p>
    <w:p w14:paraId="4620373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总监理工程师：</w:t>
      </w:r>
    </w:p>
    <w:p w14:paraId="5CF4374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1FF8FB3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职    务：</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2DC9C90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监理工程师执业资格证书号：</w:t>
      </w:r>
      <w:r>
        <w:rPr>
          <w:rFonts w:hint="eastAsia" w:ascii="宋体" w:hAnsi="宋体" w:cs="宋体"/>
          <w:color w:val="auto"/>
          <w:szCs w:val="21"/>
          <w:highlight w:val="none"/>
          <w:u w:val="single"/>
        </w:rPr>
        <w:t> </w:t>
      </w:r>
      <w:r>
        <w:rPr>
          <w:rFonts w:hint="eastAsia" w:ascii="宋体" w:hAnsi="宋体" w:cs="宋体"/>
          <w:color w:val="auto"/>
          <w:szCs w:val="21"/>
          <w:highlight w:val="none"/>
        </w:rPr>
        <w:t>；</w:t>
      </w:r>
    </w:p>
    <w:p w14:paraId="3131711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0CCB35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电子信箱：</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808A94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通信地址：</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5F52199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关于监理人的其他约定：</w:t>
      </w:r>
      <w:r>
        <w:rPr>
          <w:rFonts w:hint="eastAsia" w:ascii="宋体" w:hAnsi="宋体" w:cs="宋体"/>
          <w:color w:val="auto"/>
          <w:szCs w:val="21"/>
          <w:highlight w:val="none"/>
          <w:u w:val="single"/>
        </w:rPr>
        <w:t>   </w:t>
      </w:r>
      <w:r>
        <w:rPr>
          <w:rFonts w:hint="eastAsia" w:ascii="宋体" w:hAnsi="宋体" w:cs="宋体"/>
          <w:color w:val="auto"/>
          <w:szCs w:val="21"/>
          <w:highlight w:val="none"/>
        </w:rPr>
        <w:t>。</w:t>
      </w:r>
    </w:p>
    <w:p w14:paraId="6BACED8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 商定或确定</w:t>
      </w:r>
    </w:p>
    <w:p w14:paraId="64204F6B">
      <w:pPr>
        <w:snapToGrid w:val="0"/>
        <w:spacing w:line="360" w:lineRule="auto"/>
        <w:ind w:firstLine="420" w:firstLineChars="200"/>
        <w:rPr>
          <w:rFonts w:hint="eastAsia" w:ascii="宋体" w:hAnsi="宋体" w:cs="宋体"/>
          <w:color w:val="auto"/>
          <w:szCs w:val="21"/>
          <w:highlight w:val="none"/>
        </w:rPr>
      </w:pPr>
      <w:bookmarkStart w:id="568" w:name="_Toc267251418"/>
      <w:r>
        <w:rPr>
          <w:rFonts w:hint="eastAsia" w:ascii="宋体" w:hAnsi="宋体" w:cs="宋体"/>
          <w:color w:val="auto"/>
          <w:szCs w:val="21"/>
          <w:highlight w:val="none"/>
        </w:rPr>
        <w:t>在发包人和承包人不能通过协商达成一致意见时，发包人授权监理人对以下事项进行确定：</w:t>
      </w:r>
    </w:p>
    <w:p w14:paraId="4693A8E4">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29C317AF">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C705AC8">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3D578C10">
      <w:pPr>
        <w:tabs>
          <w:tab w:val="left" w:pos="864"/>
        </w:tabs>
        <w:snapToGrid w:val="0"/>
        <w:spacing w:line="360" w:lineRule="auto"/>
        <w:rPr>
          <w:rFonts w:hint="eastAsia" w:ascii="宋体" w:hAnsi="宋体" w:cs="宋体"/>
          <w:color w:val="auto"/>
          <w:szCs w:val="21"/>
          <w:highlight w:val="none"/>
        </w:rPr>
      </w:pPr>
      <w:bookmarkStart w:id="569" w:name="_Toc351203637"/>
      <w:r>
        <w:rPr>
          <w:rFonts w:hint="eastAsia" w:ascii="宋体" w:hAnsi="宋体" w:cs="宋体"/>
          <w:color w:val="auto"/>
          <w:szCs w:val="21"/>
          <w:highlight w:val="none"/>
        </w:rPr>
        <w:t>5</w:t>
      </w:r>
      <w:bookmarkEnd w:id="568"/>
      <w:bookmarkStart w:id="570" w:name="_Toc296944502"/>
      <w:bookmarkStart w:id="571" w:name="_Toc297120463"/>
      <w:bookmarkStart w:id="572" w:name="_Toc292559367"/>
      <w:bookmarkStart w:id="573" w:name="_Toc296346664"/>
      <w:bookmarkStart w:id="574" w:name="_Toc296503163"/>
      <w:bookmarkStart w:id="575" w:name="_Toc292559872"/>
      <w:bookmarkStart w:id="576" w:name="_Toc296347162"/>
      <w:bookmarkStart w:id="577" w:name="_Toc296890991"/>
      <w:bookmarkStart w:id="578" w:name="_Toc296891203"/>
      <w:bookmarkStart w:id="579" w:name="_Toc297048349"/>
      <w:r>
        <w:rPr>
          <w:rFonts w:hint="eastAsia" w:ascii="宋体" w:hAnsi="宋体" w:cs="宋体"/>
          <w:color w:val="auto"/>
          <w:szCs w:val="21"/>
          <w:highlight w:val="none"/>
        </w:rPr>
        <w:t>. 工程质量</w:t>
      </w:r>
      <w:bookmarkEnd w:id="569"/>
    </w:p>
    <w:p w14:paraId="62A520B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质量要求</w:t>
      </w:r>
    </w:p>
    <w:p w14:paraId="73E61E8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w:t>
      </w:r>
      <w:bookmarkStart w:id="580" w:name="_Toc297123496"/>
      <w:bookmarkStart w:id="581" w:name="_Toc300934949"/>
      <w:bookmarkStart w:id="582" w:name="_Toc312677997"/>
      <w:bookmarkStart w:id="583" w:name="_Toc304295527"/>
      <w:bookmarkStart w:id="584" w:name="_Toc303539106"/>
      <w:bookmarkStart w:id="585" w:name="_Toc318581164"/>
      <w:bookmarkStart w:id="586" w:name="_Toc297216155"/>
      <w:r>
        <w:rPr>
          <w:rFonts w:hint="eastAsia" w:ascii="宋体" w:hAnsi="宋体" w:cs="宋体"/>
          <w:color w:val="auto"/>
          <w:szCs w:val="21"/>
          <w:highlight w:val="none"/>
        </w:rPr>
        <w:t>.1.1 特殊质量标准和要求：</w:t>
      </w:r>
    </w:p>
    <w:p w14:paraId="5E2EAE8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（1）质量标准应符合相关国家标准和规范要求。 </w:t>
      </w:r>
    </w:p>
    <w:p w14:paraId="3FEB8BB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（2）有消防要求的材料、设备检验需与工程同步，不得影响消防验收。 </w:t>
      </w:r>
    </w:p>
    <w:p w14:paraId="4A5C2800">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双方对工程质量有争议的，由双方同意的检测机构鉴定，所需费用及因此造成的损失，由责任方承担。双方都有责任的，由双方根据责任分别承担。双方对工程质量有争议，选择检测机构达不成一致意见的，发包人有单方选择检测机构的权利，检测结果对承包人有约束力。 </w:t>
      </w:r>
    </w:p>
    <w:p w14:paraId="4C77622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（4）承包人在报价时应充分考虑本工程的质量要求，对本工程各项工艺、材料的检查、检验、试验、测试等所需费用和时间应充分考虑。 </w:t>
      </w:r>
    </w:p>
    <w:p w14:paraId="1AFCC64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（5）在交付及保修期间，如因质量问题需维修，而责任暂时无法界定时，承包人应无条 件先进行维修，待界定责任主体后向相应责任主体追偿。 </w:t>
      </w:r>
    </w:p>
    <w:p w14:paraId="6E4EC13E">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（6）本合同工程质量验收时需一次性通过合格验收。</w:t>
      </w:r>
    </w:p>
    <w:p w14:paraId="5E585D9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关于工程奖项的约定：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F0C0DB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隐蔽工程检查</w:t>
      </w:r>
    </w:p>
    <w:p w14:paraId="0C7678A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5.3.2承包人提前通知监理人隐蔽工程检查的期限的约定：</w:t>
      </w:r>
      <w:r>
        <w:rPr>
          <w:rFonts w:hint="eastAsia" w:ascii="宋体" w:hAnsi="宋体" w:cs="宋体"/>
          <w:b/>
          <w:color w:val="auto"/>
          <w:szCs w:val="21"/>
          <w:highlight w:val="none"/>
          <w:u w:val="single"/>
        </w:rPr>
        <w:t>按通用合同条款约定，承包人未通知监理人到场检查，私自将工程隐蔽部位覆盖的，监理人有权指示承包人钻孔探测或揭开检查，无论工程隐蔽部位质量是否合格，由此造成的工程费用及工期增加，均由承包人承担，且发包人有权视具体情况，要求承包人承担1000元/次及以上的违约金</w:t>
      </w:r>
      <w:r>
        <w:rPr>
          <w:rFonts w:hint="eastAsia" w:ascii="宋体" w:hAnsi="宋体" w:cs="宋体"/>
          <w:color w:val="auto"/>
          <w:szCs w:val="21"/>
          <w:highlight w:val="none"/>
        </w:rPr>
        <w:t>。</w:t>
      </w:r>
    </w:p>
    <w:p w14:paraId="3800470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监理人不能按时进行检查时，应提前</w:t>
      </w:r>
      <w:r>
        <w:rPr>
          <w:rFonts w:hint="eastAsia" w:ascii="宋体" w:hAnsi="宋体" w:cs="宋体"/>
          <w:b/>
          <w:bCs/>
          <w:color w:val="auto"/>
          <w:szCs w:val="21"/>
          <w:highlight w:val="none"/>
          <w:u w:val="single"/>
        </w:rPr>
        <w:t>24</w:t>
      </w:r>
      <w:r>
        <w:rPr>
          <w:rFonts w:hint="eastAsia" w:ascii="宋体" w:hAnsi="宋体" w:cs="宋体"/>
          <w:color w:val="auto"/>
          <w:szCs w:val="21"/>
          <w:highlight w:val="none"/>
        </w:rPr>
        <w:t>小时递交书面延期要求。</w:t>
      </w:r>
    </w:p>
    <w:p w14:paraId="7DB1007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b/>
          <w:bCs/>
          <w:color w:val="auto"/>
          <w:szCs w:val="21"/>
          <w:highlight w:val="none"/>
          <w:u w:val="single"/>
        </w:rPr>
        <w:t>24</w:t>
      </w:r>
      <w:r>
        <w:rPr>
          <w:rFonts w:hint="eastAsia" w:ascii="宋体" w:hAnsi="宋体" w:cs="宋体"/>
          <w:color w:val="auto"/>
          <w:szCs w:val="21"/>
          <w:highlight w:val="none"/>
        </w:rPr>
        <w:t>小时。</w:t>
      </w:r>
    </w:p>
    <w:p w14:paraId="0A6C1F9E">
      <w:pPr>
        <w:tabs>
          <w:tab w:val="left" w:pos="864"/>
        </w:tabs>
        <w:snapToGrid w:val="0"/>
        <w:spacing w:line="360" w:lineRule="auto"/>
        <w:rPr>
          <w:rFonts w:hint="eastAsia" w:ascii="宋体" w:hAnsi="宋体" w:cs="宋体"/>
          <w:color w:val="auto"/>
          <w:szCs w:val="21"/>
          <w:highlight w:val="none"/>
        </w:rPr>
      </w:pPr>
      <w:bookmarkStart w:id="587" w:name="_Toc351203638"/>
      <w:r>
        <w:rPr>
          <w:rFonts w:hint="eastAsia" w:ascii="宋体" w:hAnsi="宋体" w:cs="宋体"/>
          <w:color w:val="auto"/>
          <w:szCs w:val="21"/>
          <w:highlight w:val="none"/>
        </w:rPr>
        <w:t>6. 安全文明施工与环境保护</w:t>
      </w:r>
      <w:bookmarkEnd w:id="587"/>
    </w:p>
    <w:p w14:paraId="7105950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6.1安全文明施工</w:t>
      </w:r>
    </w:p>
    <w:p w14:paraId="7E3373A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6.1.1 项目安全生产的达标目标及相应事项的约定：</w:t>
      </w:r>
      <w:r>
        <w:rPr>
          <w:rFonts w:hint="eastAsia" w:ascii="宋体" w:hAnsi="宋体" w:cs="宋体"/>
          <w:b/>
          <w:color w:val="auto"/>
          <w:szCs w:val="21"/>
          <w:highlight w:val="none"/>
          <w:u w:val="single"/>
        </w:rPr>
        <w:t>施工现场按照《建筑施工安全检查标准》（JGJ59-2011）评定达到“合格”标准</w:t>
      </w:r>
      <w:r>
        <w:rPr>
          <w:rFonts w:hint="eastAsia" w:ascii="宋体" w:hAnsi="宋体" w:cs="宋体"/>
          <w:color w:val="auto"/>
          <w:szCs w:val="21"/>
          <w:highlight w:val="none"/>
        </w:rPr>
        <w:t>。</w:t>
      </w:r>
    </w:p>
    <w:p w14:paraId="16E8B16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6.1.4 关于治安保卫的特别约定：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77EA66E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关于编制施工场地治安管理计划的约定：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767A856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6.1.5 文明施工</w:t>
      </w:r>
    </w:p>
    <w:p w14:paraId="555BD5F2">
      <w:pPr>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合同当事人对文明施工的要求：</w:t>
      </w:r>
    </w:p>
    <w:p w14:paraId="3F2B7A8F">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（1）遵守地方政府和有关部门对施工场地交通、环卫、安全和施工噪音等管理规定，并办理相关审批手续</w:t>
      </w:r>
      <w:r>
        <w:rPr>
          <w:rFonts w:hint="eastAsia" w:ascii="宋体" w:hAnsi="宋体" w:cs="宋体"/>
          <w:b/>
          <w:color w:val="auto"/>
          <w:szCs w:val="21"/>
          <w:highlight w:val="none"/>
        </w:rPr>
        <w:t>。</w:t>
      </w:r>
    </w:p>
    <w:p w14:paraId="02098B08">
      <w:pPr>
        <w:spacing w:line="360" w:lineRule="auto"/>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u w:val="single"/>
        </w:rPr>
        <w:t>（2）承包人应采取有效措施尽量减小尘土和噪音污染，需要进行夜间作业时应经有关部门批准</w:t>
      </w:r>
      <w:r>
        <w:rPr>
          <w:rFonts w:hint="eastAsia" w:ascii="宋体" w:hAnsi="宋体" w:cs="宋体"/>
          <w:b/>
          <w:color w:val="auto"/>
          <w:szCs w:val="21"/>
          <w:highlight w:val="none"/>
        </w:rPr>
        <w:t>。</w:t>
      </w:r>
    </w:p>
    <w:p w14:paraId="43276588">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（3）其他：</w:t>
      </w:r>
    </w:p>
    <w:p w14:paraId="596EF204">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承包人必须认真执行国家、省、市有关建筑施工安全生产条例和有关规定，施工期间必须认真做好安全管理工作，杜绝重大安全事故发生，同时做好社会综合治理工作。如因承包人管理不善，引起政府有关部门罚款或责令停工整改等，其发生的所有的费用或导致的损失均由承包人自行承担，工期不予顺延，且发包人保留因此而缓付工程进度款的权利。承包人在施工期间发生的事故，一切责任和经济补偿均由承包人自行负责，同时发包人将视情况有权要求承包人承担相应的违约责任。  </w:t>
      </w:r>
    </w:p>
    <w:p w14:paraId="10476B9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承包人进场后与发包人签订现场安全文明施工协议书，由承包人编制专项详细方案，经双方确认后，承包人严格按此方案要求实施。材料堆放整齐，水、电设施管理规范，认真落实各项安全保护措施，并随时接受行业安全检查人员、发包人或监理工程师及有关部门的监督检查。</w:t>
      </w:r>
    </w:p>
    <w:p w14:paraId="1EF7DF3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③承包人必须按照《杭州市建设工程文明施工管理规定》等省市区工程建设安全文明施工的有关规定，每天清扫卫生，以达到杭州市双标化工地的要求。相关安全生产、文明施工费用必须足额投入，专款专用，否则发包人有权拒绝支付该项费用。</w:t>
      </w:r>
    </w:p>
    <w:p w14:paraId="263B2CE1">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承包人应建立健全的施工现场安全责任制，强化安全意识，抓好安全生产，对进入施工现场的施工人员进行安全文明施工教育，持证上岗，配备必要的劳动保护用具，消除安全隐患，杜绝事故发生，保证工程的施工安全和人身安全；施工中若发生安全及人身事故均由承包人自行负责处理，并承担全部费用。发现有违反安全生产操作规范的，发包人有权提出整改，承包人必须整改到位。</w:t>
      </w:r>
    </w:p>
    <w:p w14:paraId="47357CCB">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⑤安全施工所发生的费用承包人已在投标报价中包干，发生重大伤亡事故或其他事故，承包人应及时上报发包人，并承担全部赔偿责任（非承包人原因除外）。若出现重大事故的，承包人应承担1万元的违约金（重大事故的判别以建设部令《工程建设重大事故报告合调查程序规定》为准），并确保在15天内，按照相关程序积极妥善处理好善后事宜，否则发包人有权直接处理。</w:t>
      </w:r>
    </w:p>
    <w:p w14:paraId="6A015567">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（4）上述手续办理费用约定如下：承包人已在投标报价中包干，发生重大伤亡事故或其他事故，承包人应及时上报发包人，并承担全部赔偿责任</w:t>
      </w:r>
      <w:r>
        <w:rPr>
          <w:rFonts w:hint="eastAsia" w:ascii="宋体" w:hAnsi="宋体" w:cs="宋体"/>
          <w:color w:val="auto"/>
          <w:szCs w:val="21"/>
          <w:highlight w:val="none"/>
        </w:rPr>
        <w:t>。</w:t>
      </w:r>
    </w:p>
    <w:p w14:paraId="5036529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6.1.6 关于安全文明施工费支付比例和支付期限的约定：</w:t>
      </w:r>
      <w:r>
        <w:rPr>
          <w:rFonts w:hint="eastAsia" w:ascii="宋体" w:hAnsi="宋体" w:cs="宋体"/>
          <w:b/>
          <w:color w:val="auto"/>
          <w:szCs w:val="21"/>
          <w:highlight w:val="none"/>
          <w:u w:val="single"/>
        </w:rPr>
        <w:t>发包人应在开工后15天内预付安全文明施工费总额的60%，剩余部分支付视相关措施的落实情况与进度款同期支付</w:t>
      </w:r>
      <w:r>
        <w:rPr>
          <w:rFonts w:hint="eastAsia" w:ascii="宋体" w:hAnsi="宋体" w:cs="宋体"/>
          <w:color w:val="auto"/>
          <w:szCs w:val="21"/>
          <w:highlight w:val="none"/>
        </w:rPr>
        <w:t>。</w:t>
      </w:r>
    </w:p>
    <w:bookmarkEnd w:id="580"/>
    <w:bookmarkEnd w:id="581"/>
    <w:bookmarkEnd w:id="582"/>
    <w:bookmarkEnd w:id="583"/>
    <w:bookmarkEnd w:id="584"/>
    <w:bookmarkEnd w:id="585"/>
    <w:bookmarkEnd w:id="586"/>
    <w:p w14:paraId="4F0A7212">
      <w:pPr>
        <w:tabs>
          <w:tab w:val="left" w:pos="864"/>
        </w:tabs>
        <w:snapToGrid w:val="0"/>
        <w:spacing w:line="360" w:lineRule="auto"/>
        <w:rPr>
          <w:rFonts w:hint="eastAsia" w:ascii="宋体" w:hAnsi="宋体" w:cs="宋体"/>
          <w:color w:val="auto"/>
          <w:szCs w:val="21"/>
          <w:highlight w:val="none"/>
        </w:rPr>
      </w:pPr>
      <w:bookmarkStart w:id="588" w:name="_Toc351203639"/>
      <w:r>
        <w:rPr>
          <w:rFonts w:hint="eastAsia" w:ascii="宋体" w:hAnsi="宋体" w:cs="宋体"/>
          <w:color w:val="auto"/>
          <w:szCs w:val="21"/>
          <w:highlight w:val="none"/>
        </w:rPr>
        <w:t>7. 工期和进度</w:t>
      </w:r>
      <w:bookmarkEnd w:id="588"/>
    </w:p>
    <w:p w14:paraId="5EC6FDD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7.1 施工组织设计</w:t>
      </w:r>
    </w:p>
    <w:p w14:paraId="13062BFB">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7.1.1 合</w:t>
      </w:r>
      <w:r>
        <w:rPr>
          <w:rFonts w:hint="eastAsia" w:ascii="宋体" w:hAnsi="宋体" w:cs="宋体"/>
          <w:color w:val="auto"/>
          <w:kern w:val="0"/>
          <w:szCs w:val="21"/>
          <w:highlight w:val="none"/>
        </w:rPr>
        <w:t>同当事人约定的施工组织设计应包括的其他内容：</w:t>
      </w:r>
      <w:r>
        <w:rPr>
          <w:rFonts w:hint="eastAsia" w:ascii="宋体" w:hAnsi="宋体" w:cs="宋体"/>
          <w:b/>
          <w:color w:val="auto"/>
          <w:szCs w:val="21"/>
          <w:highlight w:val="none"/>
          <w:u w:val="single"/>
        </w:rPr>
        <w:t>按监理工程师要求</w:t>
      </w:r>
      <w:r>
        <w:rPr>
          <w:rFonts w:hint="eastAsia" w:ascii="宋体" w:hAnsi="宋体" w:cs="宋体"/>
          <w:color w:val="auto"/>
          <w:szCs w:val="21"/>
          <w:highlight w:val="none"/>
        </w:rPr>
        <w:t>。</w:t>
      </w:r>
    </w:p>
    <w:p w14:paraId="6ED1F919">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 xml:space="preserve">7.1.2 </w:t>
      </w:r>
      <w:r>
        <w:rPr>
          <w:rFonts w:hint="eastAsia" w:ascii="宋体" w:hAnsi="宋体" w:cs="宋体"/>
          <w:color w:val="auto"/>
          <w:kern w:val="0"/>
          <w:szCs w:val="21"/>
          <w:highlight w:val="none"/>
        </w:rPr>
        <w:t>施工组织设计的递交和修改</w:t>
      </w:r>
    </w:p>
    <w:p w14:paraId="084E27C6">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承包人递交详细施工组织设计的期限的约定：</w:t>
      </w:r>
      <w:r>
        <w:rPr>
          <w:rFonts w:hint="eastAsia" w:ascii="宋体" w:hAnsi="宋体" w:cs="宋体"/>
          <w:b/>
          <w:color w:val="auto"/>
          <w:szCs w:val="21"/>
          <w:highlight w:val="none"/>
          <w:u w:val="single"/>
        </w:rPr>
        <w:t>合同签订后（3）天内提供详细施工组织设计（施工方案）和进度计划</w:t>
      </w:r>
      <w:r>
        <w:rPr>
          <w:rFonts w:hint="eastAsia" w:ascii="宋体" w:hAnsi="宋体" w:cs="宋体"/>
          <w:color w:val="auto"/>
          <w:szCs w:val="21"/>
          <w:highlight w:val="none"/>
        </w:rPr>
        <w:t>。</w:t>
      </w:r>
    </w:p>
    <w:p w14:paraId="39589BC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发包人和监理人在收到详细的施工组织设计后确认或提出修改意见的期限：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175D6B7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589" w:name="_Toc312678005"/>
      <w:bookmarkStart w:id="590" w:name="_Toc300934966"/>
      <w:bookmarkStart w:id="591" w:name="_Toc297123514"/>
      <w:bookmarkStart w:id="592" w:name="_Toc312677479"/>
      <w:bookmarkStart w:id="593" w:name="_Toc304295541"/>
      <w:bookmarkStart w:id="594" w:name="_Toc297216173"/>
      <w:bookmarkStart w:id="595" w:name="_Toc303539123"/>
      <w:r>
        <w:rPr>
          <w:rFonts w:hint="eastAsia" w:ascii="宋体" w:hAnsi="宋体" w:cs="宋体"/>
          <w:color w:val="auto"/>
          <w:szCs w:val="21"/>
          <w:highlight w:val="none"/>
        </w:rPr>
        <w:t>.2 施工进度计划</w:t>
      </w:r>
    </w:p>
    <w:p w14:paraId="75EFF72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7.2.2 施工进度计划的修订</w:t>
      </w:r>
    </w:p>
    <w:p w14:paraId="11E9DEA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发包人和监理人在收到修订的施工进度计划后确认或提出修改意见的期限：</w:t>
      </w:r>
      <w:r>
        <w:rPr>
          <w:rFonts w:hint="eastAsia" w:ascii="宋体" w:hAnsi="宋体" w:cs="宋体"/>
          <w:b/>
          <w:color w:val="auto"/>
          <w:szCs w:val="21"/>
          <w:highlight w:val="none"/>
          <w:u w:val="single"/>
        </w:rPr>
        <w:t>监理人应在收到承包人文件后7天内审查完毕并报送发包人审核，发包人应在收到监理人报送的文件后7天内审查完毕；发包人和监理人对承包人文件若有异议的，承包人应予以修改，并进行重新报送。发包人和监理人的审查并不减轻或免除承包人根据合同约定应当承担的责任</w:t>
      </w:r>
      <w:r>
        <w:rPr>
          <w:rFonts w:hint="eastAsia" w:ascii="宋体" w:hAnsi="宋体" w:cs="宋体"/>
          <w:color w:val="auto"/>
          <w:szCs w:val="21"/>
          <w:highlight w:val="none"/>
        </w:rPr>
        <w:t>。</w:t>
      </w:r>
    </w:p>
    <w:p w14:paraId="54105336">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7.3 开工</w:t>
      </w:r>
    </w:p>
    <w:p w14:paraId="1155199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7.3.1 开工准备</w:t>
      </w:r>
    </w:p>
    <w:p w14:paraId="08C3303D">
      <w:pPr>
        <w:snapToGrid w:val="0"/>
        <w:spacing w:line="360" w:lineRule="auto"/>
        <w:ind w:firstLine="645"/>
        <w:jc w:val="left"/>
        <w:rPr>
          <w:rFonts w:hint="eastAsia" w:ascii="宋体" w:hAnsi="宋体" w:cs="宋体"/>
          <w:color w:val="auto"/>
          <w:szCs w:val="21"/>
          <w:highlight w:val="none"/>
          <w:u w:val="single"/>
        </w:rPr>
      </w:pPr>
      <w:r>
        <w:rPr>
          <w:rFonts w:hint="eastAsia" w:ascii="宋体" w:hAnsi="宋体" w:cs="宋体"/>
          <w:color w:val="auto"/>
          <w:szCs w:val="21"/>
          <w:highlight w:val="none"/>
        </w:rPr>
        <w:t>关于承包人递交</w:t>
      </w:r>
      <w:r>
        <w:rPr>
          <w:rFonts w:hint="eastAsia" w:ascii="宋体" w:hAnsi="宋体" w:cs="宋体"/>
          <w:color w:val="auto"/>
          <w:kern w:val="0"/>
          <w:szCs w:val="21"/>
          <w:highlight w:val="none"/>
        </w:rPr>
        <w:t>工程开工报审表的期限：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431E561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关于发包人应完成的其他开工准备工作及期限：</w:t>
      </w:r>
      <w:r>
        <w:rPr>
          <w:rFonts w:hint="eastAsia" w:ascii="宋体" w:hAnsi="宋体" w:cs="宋体"/>
          <w:b/>
          <w:color w:val="auto"/>
          <w:szCs w:val="21"/>
          <w:highlight w:val="none"/>
          <w:u w:val="single"/>
        </w:rPr>
        <w:t>同施工组织设计的递交时间</w:t>
      </w:r>
      <w:r>
        <w:rPr>
          <w:rFonts w:hint="eastAsia" w:ascii="宋体" w:hAnsi="宋体" w:cs="宋体"/>
          <w:color w:val="auto"/>
          <w:szCs w:val="21"/>
          <w:highlight w:val="none"/>
        </w:rPr>
        <w:t>。</w:t>
      </w:r>
    </w:p>
    <w:p w14:paraId="7DD9D0EC">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关于承包人应完成的其他开工准备工作及期限：</w:t>
      </w:r>
      <w:r>
        <w:rPr>
          <w:rFonts w:hint="eastAsia" w:ascii="宋体" w:hAnsi="宋体" w:cs="宋体"/>
          <w:b/>
          <w:color w:val="auto"/>
          <w:szCs w:val="21"/>
          <w:highlight w:val="none"/>
          <w:u w:val="single"/>
        </w:rPr>
        <w:t>同施工组织设计的递交时间</w:t>
      </w:r>
      <w:r>
        <w:rPr>
          <w:rFonts w:hint="eastAsia" w:ascii="宋体" w:hAnsi="宋体" w:cs="宋体"/>
          <w:color w:val="auto"/>
          <w:szCs w:val="21"/>
          <w:highlight w:val="none"/>
        </w:rPr>
        <w:t>。</w:t>
      </w:r>
    </w:p>
    <w:p w14:paraId="2830F7C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7.3.2开工通知</w:t>
      </w:r>
    </w:p>
    <w:p w14:paraId="799D711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因发包人原因造成监理人未能在计划开工日期之日起</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90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天内发出开工通知的，承包人有权提出价格调整要求，或者解除合同。</w:t>
      </w:r>
    </w:p>
    <w:bookmarkEnd w:id="589"/>
    <w:bookmarkEnd w:id="590"/>
    <w:bookmarkEnd w:id="591"/>
    <w:bookmarkEnd w:id="592"/>
    <w:bookmarkEnd w:id="593"/>
    <w:bookmarkEnd w:id="594"/>
    <w:bookmarkEnd w:id="595"/>
    <w:p w14:paraId="28077DB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7.4 测量放线</w:t>
      </w:r>
    </w:p>
    <w:p w14:paraId="426F3FC8">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7.4.1发包人通过监理人向承包人提供测量基准点、基准线和水准点及其书面资料的期限：</w:t>
      </w:r>
      <w:r>
        <w:rPr>
          <w:rFonts w:hint="eastAsia" w:ascii="宋体" w:hAnsi="宋体" w:cs="宋体"/>
          <w:b/>
          <w:color w:val="auto"/>
          <w:szCs w:val="21"/>
          <w:highlight w:val="none"/>
          <w:u w:val="single"/>
        </w:rPr>
        <w:t>开工前5天，将水准点和坐标控制点以书面形式通过监理人递交给承包人，双方在现场交验水准点和坐标控制点，交验完毕，即由承包人负责保护，此后由于破坏或失准带来的重新放点费用和其他损失均由承包人负责。工程完工后，承包人将水准点和坐标控制点完好无损的交还给发包人</w:t>
      </w:r>
      <w:r>
        <w:rPr>
          <w:rFonts w:hint="eastAsia" w:ascii="宋体" w:hAnsi="宋体" w:cs="宋体"/>
          <w:color w:val="auto"/>
          <w:szCs w:val="21"/>
          <w:highlight w:val="none"/>
        </w:rPr>
        <w:t>。</w:t>
      </w:r>
    </w:p>
    <w:p w14:paraId="40EEB51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596" w:name="_Toc304295546"/>
      <w:bookmarkStart w:id="597" w:name="_Toc300934968"/>
      <w:bookmarkStart w:id="598" w:name="_Toc297216175"/>
      <w:bookmarkStart w:id="599" w:name="_Toc312677484"/>
      <w:bookmarkStart w:id="600" w:name="_Toc312678010"/>
      <w:bookmarkStart w:id="601" w:name="_Toc297123516"/>
      <w:bookmarkStart w:id="602" w:name="_Toc303539125"/>
      <w:r>
        <w:rPr>
          <w:rFonts w:hint="eastAsia" w:ascii="宋体" w:hAnsi="宋体" w:cs="宋体"/>
          <w:color w:val="auto"/>
          <w:szCs w:val="21"/>
          <w:highlight w:val="none"/>
        </w:rPr>
        <w:t>.5 工期延误</w:t>
      </w:r>
    </w:p>
    <w:bookmarkEnd w:id="596"/>
    <w:bookmarkEnd w:id="597"/>
    <w:bookmarkEnd w:id="598"/>
    <w:bookmarkEnd w:id="599"/>
    <w:bookmarkEnd w:id="600"/>
    <w:bookmarkEnd w:id="601"/>
    <w:bookmarkEnd w:id="602"/>
    <w:p w14:paraId="20A73B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7.5.1 因发包人原因导致工期延误</w:t>
      </w:r>
    </w:p>
    <w:p w14:paraId="4AA0BF23">
      <w:pPr>
        <w:spacing w:line="360" w:lineRule="auto"/>
        <w:ind w:firstLine="415" w:firstLineChars="198"/>
        <w:rPr>
          <w:rFonts w:hint="eastAsia" w:ascii="宋体" w:hAnsi="宋体" w:cs="宋体"/>
          <w:color w:val="auto"/>
          <w:szCs w:val="21"/>
          <w:highlight w:val="none"/>
        </w:rPr>
      </w:pPr>
      <w:r>
        <w:rPr>
          <w:rFonts w:hint="eastAsia" w:ascii="宋体" w:hAnsi="宋体" w:cs="宋体"/>
          <w:color w:val="auto"/>
          <w:szCs w:val="21"/>
          <w:highlight w:val="none"/>
        </w:rPr>
        <w:t>（7）因发包人原因导致工期延误的其他情形：</w:t>
      </w:r>
    </w:p>
    <w:p w14:paraId="13D16E12">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①重大设计变更引起的工期延误</w:t>
      </w:r>
      <w:r>
        <w:rPr>
          <w:rFonts w:hint="eastAsia" w:ascii="宋体" w:hAnsi="宋体" w:cs="宋体"/>
          <w:b/>
          <w:color w:val="auto"/>
          <w:szCs w:val="21"/>
          <w:highlight w:val="none"/>
        </w:rPr>
        <w:t>；</w:t>
      </w:r>
    </w:p>
    <w:p w14:paraId="64785F89">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其他：通用条款7.5.1款第（6）项“监理人未按合同约定发出指示、批准等文件”是指在监理人未按合同约定发出指示、批准的情况下，承包人同时向发包人、监理人发出书面催告后的合理期限内，监理人仍未发出指示、批准。</w:t>
      </w:r>
    </w:p>
    <w:p w14:paraId="78F5F10B">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若因发包人原因导致局部工程施工受到影响，承包人应采取合理措施予以弥补，延期工程如果不在工程施工进度网络计划的关键线路上，工程总工期不予延长。</w:t>
      </w:r>
    </w:p>
    <w:p w14:paraId="0E2D30E1">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出现通用条款7.5.1发包人的原因造成工期延误的情形的，承包人应在情况发生后14天内就延长的工期以书面形式向发包人、监理人提出报告，在取得相关证据并经发包人盖章确认后工期可顺延（但发包人对承包人工期顺延期间的费用及利润不予补偿），否则工期不作顺延；承包人在情况发生后14天内未向发包人、监理人提出书面报告的，视为不涉及工期延长。</w:t>
      </w:r>
    </w:p>
    <w:p w14:paraId="76B8E135">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承包人按协议条款约定的开工日期开始施工，具体开、停和复工的时间以发包人（或监理单位）的签证为准。除经监理和发包人联系单签证同意外，工期一律不得顺延</w:t>
      </w:r>
      <w:r>
        <w:rPr>
          <w:rFonts w:hint="eastAsia" w:ascii="宋体" w:hAnsi="宋体" w:cs="宋体"/>
          <w:color w:val="auto"/>
          <w:szCs w:val="21"/>
          <w:highlight w:val="none"/>
        </w:rPr>
        <w:t>。</w:t>
      </w:r>
    </w:p>
    <w:p w14:paraId="2DA4944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w:t>
      </w:r>
      <w:bookmarkStart w:id="603" w:name="_Toc318581169"/>
      <w:bookmarkStart w:id="604" w:name="_Toc312677486"/>
      <w:bookmarkStart w:id="605" w:name="_Toc312678012"/>
      <w:bookmarkStart w:id="606" w:name="_Toc303539127"/>
      <w:bookmarkStart w:id="607" w:name="_Toc297216177"/>
      <w:bookmarkStart w:id="608" w:name="_Toc304295548"/>
      <w:bookmarkStart w:id="609" w:name="_Toc297123518"/>
      <w:bookmarkStart w:id="610" w:name="_Toc300934970"/>
      <w:r>
        <w:rPr>
          <w:rFonts w:hint="eastAsia" w:ascii="宋体" w:hAnsi="宋体" w:cs="宋体"/>
          <w:color w:val="auto"/>
          <w:szCs w:val="21"/>
          <w:highlight w:val="none"/>
        </w:rPr>
        <w:t>.5.2 因承包人原因导致工期延误</w:t>
      </w:r>
    </w:p>
    <w:bookmarkEnd w:id="603"/>
    <w:bookmarkEnd w:id="604"/>
    <w:bookmarkEnd w:id="605"/>
    <w:p w14:paraId="1DDA5D7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w:t>
      </w:r>
      <w:bookmarkStart w:id="611" w:name="_Toc312678013"/>
      <w:bookmarkStart w:id="612" w:name="_Toc312677487"/>
      <w:bookmarkStart w:id="613" w:name="_Toc318581170"/>
      <w:r>
        <w:rPr>
          <w:rFonts w:hint="eastAsia" w:ascii="宋体" w:hAnsi="宋体" w:cs="宋体"/>
          <w:color w:val="auto"/>
          <w:szCs w:val="21"/>
          <w:highlight w:val="none"/>
        </w:rPr>
        <w:t>承包人原因造成工期延误，逾期竣工违约金的计算方法为：</w:t>
      </w:r>
      <w:r>
        <w:rPr>
          <w:rFonts w:hint="eastAsia" w:ascii="宋体" w:hAnsi="宋体" w:cs="宋体"/>
          <w:b/>
          <w:color w:val="auto"/>
          <w:szCs w:val="21"/>
          <w:highlight w:val="none"/>
          <w:u w:val="single"/>
        </w:rPr>
        <w:t>工期延误每延误一天，乙方应按1000元/天的标准向发包人支付违约金。违约金不足以弥补甲方造成的实际损失的，乙方还应承担甲方因此所造成的实际损失，该损失包括但不限于甲方租金损失、其他乙方据此而向甲方提出的索赔、后续乙方不能按时进场施工而产生的损失、因乙方的赶工计划而导致甲方产生的额外费用等等。当甲方认为必要时，可以安排其他承包人完成剩余工作</w:t>
      </w:r>
      <w:r>
        <w:rPr>
          <w:rFonts w:hint="eastAsia" w:ascii="宋体" w:hAnsi="宋体" w:cs="宋体"/>
          <w:color w:val="auto"/>
          <w:szCs w:val="21"/>
          <w:highlight w:val="none"/>
        </w:rPr>
        <w:t>。</w:t>
      </w:r>
      <w:bookmarkEnd w:id="606"/>
      <w:bookmarkEnd w:id="607"/>
      <w:bookmarkEnd w:id="608"/>
      <w:bookmarkEnd w:id="609"/>
      <w:bookmarkEnd w:id="610"/>
      <w:bookmarkEnd w:id="611"/>
      <w:bookmarkEnd w:id="612"/>
    </w:p>
    <w:bookmarkEnd w:id="613"/>
    <w:p w14:paraId="5D404BA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因承包人原因造成工期延误，逾</w:t>
      </w:r>
      <w:bookmarkStart w:id="614" w:name="_Toc312678014"/>
      <w:bookmarkStart w:id="615" w:name="_Toc318581171"/>
      <w:r>
        <w:rPr>
          <w:rFonts w:hint="eastAsia" w:ascii="宋体" w:hAnsi="宋体" w:cs="宋体"/>
          <w:color w:val="auto"/>
          <w:szCs w:val="21"/>
          <w:highlight w:val="none"/>
        </w:rPr>
        <w:t>期竣工违约金的上限：</w:t>
      </w:r>
      <w:r>
        <w:rPr>
          <w:rFonts w:hint="eastAsia" w:ascii="宋体" w:hAnsi="宋体" w:cs="宋体"/>
          <w:b/>
          <w:color w:val="auto"/>
          <w:szCs w:val="21"/>
          <w:highlight w:val="none"/>
          <w:u w:val="single"/>
        </w:rPr>
        <w:t>工期延误违约金，最高为合同价的2%，甲方可以从应付或到期应付给乙方的任何款项中扣除此金额，甲方也有权要求乙方直接承担</w:t>
      </w:r>
      <w:r>
        <w:rPr>
          <w:rFonts w:hint="eastAsia" w:ascii="宋体" w:hAnsi="宋体" w:cs="宋体"/>
          <w:color w:val="auto"/>
          <w:szCs w:val="21"/>
          <w:highlight w:val="none"/>
        </w:rPr>
        <w:t>。</w:t>
      </w:r>
    </w:p>
    <w:bookmarkEnd w:id="614"/>
    <w:bookmarkEnd w:id="615"/>
    <w:p w14:paraId="06A288E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16" w:name="_Toc297123519"/>
      <w:bookmarkStart w:id="617" w:name="_Toc297216178"/>
      <w:bookmarkStart w:id="618" w:name="_Toc304295549"/>
      <w:bookmarkStart w:id="619" w:name="_Toc300934971"/>
      <w:bookmarkStart w:id="620" w:name="_Toc312678015"/>
      <w:bookmarkStart w:id="621" w:name="_Toc303539128"/>
      <w:r>
        <w:rPr>
          <w:rFonts w:hint="eastAsia" w:ascii="宋体" w:hAnsi="宋体" w:cs="宋体"/>
          <w:color w:val="auto"/>
          <w:szCs w:val="21"/>
          <w:highlight w:val="none"/>
        </w:rPr>
        <w:t>.6 不</w:t>
      </w:r>
      <w:bookmarkEnd w:id="616"/>
      <w:bookmarkEnd w:id="617"/>
      <w:bookmarkEnd w:id="618"/>
      <w:bookmarkEnd w:id="619"/>
      <w:bookmarkEnd w:id="620"/>
      <w:bookmarkEnd w:id="621"/>
      <w:r>
        <w:rPr>
          <w:rFonts w:hint="eastAsia" w:ascii="宋体" w:hAnsi="宋体" w:cs="宋体"/>
          <w:color w:val="auto"/>
          <w:szCs w:val="21"/>
          <w:highlight w:val="none"/>
        </w:rPr>
        <w:t>利物质条件</w:t>
      </w:r>
    </w:p>
    <w:p w14:paraId="246AD3D8">
      <w:pPr>
        <w:spacing w:line="360" w:lineRule="auto"/>
        <w:ind w:firstLine="415" w:firstLineChars="198"/>
        <w:rPr>
          <w:rFonts w:hint="eastAsia" w:ascii="宋体" w:hAnsi="宋体" w:cs="宋体"/>
          <w:color w:val="auto"/>
          <w:szCs w:val="21"/>
          <w:highlight w:val="none"/>
        </w:rPr>
      </w:pPr>
      <w:bookmarkStart w:id="622" w:name="_Toc300934972"/>
      <w:bookmarkStart w:id="623" w:name="_Toc297123520"/>
      <w:bookmarkStart w:id="624" w:name="_Toc303539129"/>
      <w:bookmarkStart w:id="625" w:name="_Toc312678016"/>
      <w:bookmarkStart w:id="626" w:name="_Toc318581172"/>
      <w:bookmarkStart w:id="627" w:name="_Toc297216179"/>
      <w:bookmarkStart w:id="628" w:name="_Toc304295550"/>
      <w:r>
        <w:rPr>
          <w:rFonts w:hint="eastAsia" w:ascii="宋体" w:hAnsi="宋体" w:cs="宋体"/>
          <w:color w:val="auto"/>
          <w:szCs w:val="21"/>
          <w:highlight w:val="none"/>
        </w:rPr>
        <w:t>不利物质条件的其他情形和有关约定：</w:t>
      </w:r>
    </w:p>
    <w:p w14:paraId="314DDBB6">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施工场地周围地下管线</w:t>
      </w:r>
      <w:r>
        <w:rPr>
          <w:rFonts w:hint="eastAsia" w:ascii="宋体" w:hAnsi="宋体" w:cs="宋体"/>
          <w:b/>
          <w:color w:val="auto"/>
          <w:szCs w:val="21"/>
          <w:highlight w:val="none"/>
        </w:rPr>
        <w:t>；</w:t>
      </w:r>
    </w:p>
    <w:p w14:paraId="12F2B195">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地下障碍物和污染物</w:t>
      </w:r>
      <w:r>
        <w:rPr>
          <w:rFonts w:hint="eastAsia" w:ascii="宋体" w:hAnsi="宋体" w:cs="宋体"/>
          <w:b/>
          <w:color w:val="auto"/>
          <w:szCs w:val="21"/>
          <w:highlight w:val="none"/>
        </w:rPr>
        <w:t>；</w:t>
      </w:r>
    </w:p>
    <w:p w14:paraId="03935A27">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邻近建筑物、构筑物的保护要求</w:t>
      </w:r>
      <w:r>
        <w:rPr>
          <w:rFonts w:hint="eastAsia" w:ascii="宋体" w:hAnsi="宋体" w:cs="宋体"/>
          <w:b/>
          <w:color w:val="auto"/>
          <w:szCs w:val="21"/>
          <w:highlight w:val="none"/>
        </w:rPr>
        <w:t>；</w:t>
      </w:r>
    </w:p>
    <w:p w14:paraId="46F64669">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（4）</w:t>
      </w:r>
      <w:r>
        <w:rPr>
          <w:rFonts w:hint="eastAsia" w:ascii="宋体" w:hAnsi="宋体" w:cs="宋体"/>
          <w:b/>
          <w:color w:val="auto"/>
          <w:szCs w:val="21"/>
          <w:highlight w:val="none"/>
          <w:u w:val="single"/>
        </w:rPr>
        <w:t xml:space="preserve">其他： / </w:t>
      </w:r>
      <w:r>
        <w:rPr>
          <w:rFonts w:hint="eastAsia" w:ascii="宋体" w:hAnsi="宋体" w:cs="宋体"/>
          <w:color w:val="auto"/>
          <w:szCs w:val="21"/>
          <w:highlight w:val="none"/>
        </w:rPr>
        <w:t>。</w:t>
      </w:r>
    </w:p>
    <w:bookmarkEnd w:id="622"/>
    <w:bookmarkEnd w:id="623"/>
    <w:bookmarkEnd w:id="624"/>
    <w:bookmarkEnd w:id="625"/>
    <w:bookmarkEnd w:id="626"/>
    <w:bookmarkEnd w:id="627"/>
    <w:bookmarkEnd w:id="628"/>
    <w:p w14:paraId="70F8057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w:t>
      </w:r>
      <w:bookmarkStart w:id="629" w:name="_Toc300934973"/>
      <w:bookmarkStart w:id="630" w:name="_Toc303539130"/>
      <w:bookmarkStart w:id="631" w:name="_Toc312678017"/>
      <w:bookmarkStart w:id="632" w:name="_Toc304295551"/>
      <w:bookmarkStart w:id="633" w:name="_Toc297123521"/>
      <w:bookmarkStart w:id="634" w:name="_Toc297216180"/>
      <w:r>
        <w:rPr>
          <w:rFonts w:hint="eastAsia" w:ascii="宋体" w:hAnsi="宋体" w:cs="宋体"/>
          <w:color w:val="auto"/>
          <w:szCs w:val="21"/>
          <w:highlight w:val="none"/>
        </w:rPr>
        <w:t>.7异常恶劣的气候条件</w:t>
      </w:r>
    </w:p>
    <w:bookmarkEnd w:id="629"/>
    <w:bookmarkEnd w:id="630"/>
    <w:bookmarkEnd w:id="631"/>
    <w:bookmarkEnd w:id="632"/>
    <w:bookmarkEnd w:id="633"/>
    <w:bookmarkEnd w:id="634"/>
    <w:p w14:paraId="75F729A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发包人和承包人同意以下情形视为异常恶劣的气候条件：</w:t>
      </w:r>
    </w:p>
    <w:p w14:paraId="2604FFB3">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日最高气温达到40 度及以上；</w:t>
      </w:r>
    </w:p>
    <w:p w14:paraId="28D23365">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启动台风橙色及以上预警；</w:t>
      </w:r>
    </w:p>
    <w:p w14:paraId="230A7A77">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（3）</w:t>
      </w:r>
      <w:r>
        <w:rPr>
          <w:rFonts w:hint="eastAsia" w:ascii="宋体" w:hAnsi="宋体" w:cs="宋体"/>
          <w:b/>
          <w:color w:val="auto"/>
          <w:szCs w:val="21"/>
          <w:highlight w:val="none"/>
          <w:u w:val="single"/>
        </w:rPr>
        <w:t>启动防汛预案一级响应；</w:t>
      </w:r>
    </w:p>
    <w:p w14:paraId="6408F9BA">
      <w:pPr>
        <w:spacing w:line="360" w:lineRule="auto"/>
        <w:ind w:firstLine="417" w:firstLineChars="198"/>
        <w:rPr>
          <w:rFonts w:hint="eastAsia" w:ascii="宋体" w:hAnsi="宋体" w:cs="宋体"/>
          <w:b/>
          <w:color w:val="auto"/>
          <w:szCs w:val="21"/>
          <w:highlight w:val="none"/>
          <w:u w:val="single"/>
        </w:rPr>
      </w:pPr>
      <w:r>
        <w:rPr>
          <w:rFonts w:hint="eastAsia" w:ascii="宋体" w:hAnsi="宋体" w:cs="宋体"/>
          <w:b/>
          <w:color w:val="auto"/>
          <w:szCs w:val="21"/>
          <w:highlight w:val="none"/>
        </w:rPr>
        <w:t>（4）</w:t>
      </w:r>
      <w:r>
        <w:rPr>
          <w:rFonts w:hint="eastAsia" w:ascii="宋体" w:hAnsi="宋体" w:cs="宋体"/>
          <w:b/>
          <w:color w:val="auto"/>
          <w:szCs w:val="21"/>
          <w:highlight w:val="none"/>
          <w:u w:val="single"/>
        </w:rPr>
        <w:t>启动防冻预案一级响应，</w:t>
      </w:r>
    </w:p>
    <w:p w14:paraId="47612DE2">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（5）</w:t>
      </w:r>
      <w:r>
        <w:rPr>
          <w:rFonts w:hint="eastAsia" w:ascii="宋体" w:hAnsi="宋体" w:cs="宋体"/>
          <w:b/>
          <w:color w:val="auto"/>
          <w:szCs w:val="21"/>
          <w:highlight w:val="none"/>
          <w:u w:val="single"/>
        </w:rPr>
        <w:t>其他属于承包人不能预见、不能避免并不能克服的客观情况</w:t>
      </w:r>
      <w:r>
        <w:rPr>
          <w:rFonts w:hint="eastAsia" w:ascii="宋体" w:hAnsi="宋体" w:cs="宋体"/>
          <w:color w:val="auto"/>
          <w:szCs w:val="21"/>
          <w:highlight w:val="none"/>
        </w:rPr>
        <w:t>。</w:t>
      </w:r>
    </w:p>
    <w:p w14:paraId="762A24B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7.9 提前竣工的奖励</w:t>
      </w:r>
    </w:p>
    <w:p w14:paraId="49CF9D1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7.9.2提前竣工的奖励：</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w:t>
      </w:r>
    </w:p>
    <w:p w14:paraId="3CC9FA62">
      <w:pPr>
        <w:tabs>
          <w:tab w:val="left" w:pos="864"/>
        </w:tabs>
        <w:snapToGrid w:val="0"/>
        <w:spacing w:line="360" w:lineRule="auto"/>
        <w:rPr>
          <w:rFonts w:hint="eastAsia" w:ascii="宋体" w:hAnsi="宋体" w:cs="宋体"/>
          <w:color w:val="auto"/>
          <w:szCs w:val="21"/>
          <w:highlight w:val="none"/>
        </w:rPr>
      </w:pPr>
      <w:bookmarkStart w:id="635" w:name="_Toc351203640"/>
      <w:r>
        <w:rPr>
          <w:rFonts w:hint="eastAsia" w:ascii="宋体" w:hAnsi="宋体" w:cs="宋体"/>
          <w:color w:val="auto"/>
          <w:szCs w:val="21"/>
          <w:highlight w:val="none"/>
        </w:rPr>
        <w:t>8. 材料与设备</w:t>
      </w:r>
      <w:bookmarkEnd w:id="635"/>
    </w:p>
    <w:bookmarkEnd w:id="570"/>
    <w:bookmarkEnd w:id="571"/>
    <w:bookmarkEnd w:id="572"/>
    <w:bookmarkEnd w:id="573"/>
    <w:bookmarkEnd w:id="574"/>
    <w:bookmarkEnd w:id="575"/>
    <w:bookmarkEnd w:id="576"/>
    <w:bookmarkEnd w:id="577"/>
    <w:bookmarkEnd w:id="578"/>
    <w:bookmarkEnd w:id="579"/>
    <w:p w14:paraId="2B974D9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bookmarkStart w:id="636" w:name="_Toc300934979"/>
      <w:bookmarkStart w:id="637" w:name="_Toc280868654"/>
      <w:bookmarkStart w:id="638" w:name="_Toc292559372"/>
      <w:bookmarkStart w:id="639" w:name="_Toc312677493"/>
      <w:bookmarkStart w:id="640" w:name="_Toc296890995"/>
      <w:bookmarkStart w:id="641" w:name="_Toc303539136"/>
      <w:bookmarkStart w:id="642" w:name="_Toc292559877"/>
      <w:bookmarkStart w:id="643" w:name="_Toc304295556"/>
      <w:bookmarkStart w:id="644" w:name="_Toc312678019"/>
      <w:bookmarkStart w:id="645" w:name="_Toc296346668"/>
      <w:bookmarkStart w:id="646" w:name="_Toc297120467"/>
      <w:bookmarkStart w:id="647" w:name="_Toc297216186"/>
      <w:bookmarkStart w:id="648" w:name="_Toc296891207"/>
      <w:bookmarkStart w:id="649" w:name="_Toc296347166"/>
      <w:bookmarkStart w:id="650" w:name="_Toc297048353"/>
      <w:bookmarkStart w:id="651" w:name="_Toc296503167"/>
      <w:bookmarkStart w:id="652" w:name="_Toc296944506"/>
      <w:bookmarkStart w:id="653" w:name="_Toc297123527"/>
      <w:bookmarkStart w:id="654" w:name="_Toc267251424"/>
      <w:bookmarkStart w:id="655" w:name="_Toc280868656"/>
      <w:bookmarkStart w:id="656" w:name="_Toc280868655"/>
      <w:r>
        <w:rPr>
          <w:rFonts w:hint="eastAsia" w:ascii="宋体" w:hAnsi="宋体" w:cs="宋体"/>
          <w:color w:val="auto"/>
          <w:szCs w:val="21"/>
          <w:highlight w:val="none"/>
        </w:rPr>
        <w:t>.4材料与工程设备的保管与使用</w:t>
      </w:r>
    </w:p>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14:paraId="668807A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w:t>
      </w:r>
      <w:bookmarkStart w:id="657" w:name="_Toc292559878"/>
      <w:bookmarkStart w:id="658" w:name="_Toc292559373"/>
      <w:bookmarkStart w:id="659" w:name="_Toc312677494"/>
      <w:bookmarkStart w:id="660" w:name="_Toc303539137"/>
      <w:bookmarkStart w:id="661" w:name="_Toc296503168"/>
      <w:bookmarkStart w:id="662" w:name="_Toc318581173"/>
      <w:bookmarkStart w:id="663" w:name="_Toc296944507"/>
      <w:bookmarkStart w:id="664" w:name="_Toc297216187"/>
      <w:bookmarkStart w:id="665" w:name="_Toc297048354"/>
      <w:bookmarkStart w:id="666" w:name="_Toc296346669"/>
      <w:bookmarkStart w:id="667" w:name="_Toc296347167"/>
      <w:bookmarkStart w:id="668" w:name="_Toc296891208"/>
      <w:bookmarkStart w:id="669" w:name="_Toc300934980"/>
      <w:bookmarkStart w:id="670" w:name="_Toc296890996"/>
      <w:bookmarkStart w:id="671" w:name="_Toc312678020"/>
      <w:bookmarkStart w:id="672" w:name="_Toc297120468"/>
      <w:bookmarkStart w:id="673" w:name="_Toc297123528"/>
      <w:bookmarkStart w:id="674" w:name="_Toc304295557"/>
      <w:r>
        <w:rPr>
          <w:rFonts w:hint="eastAsia" w:ascii="宋体" w:hAnsi="宋体" w:cs="宋体"/>
          <w:color w:val="auto"/>
          <w:szCs w:val="21"/>
          <w:highlight w:val="none"/>
        </w:rPr>
        <w:t>.4.1发包人供应的材料设备的保管费用的承担：</w:t>
      </w:r>
      <w:r>
        <w:rPr>
          <w:rFonts w:hint="eastAsia" w:ascii="宋体" w:hAnsi="宋体" w:cs="宋体"/>
          <w:b/>
          <w:color w:val="auto"/>
          <w:szCs w:val="21"/>
          <w:highlight w:val="none"/>
          <w:u w:val="single"/>
        </w:rPr>
        <w:t>发包人供应并由承包人使用或安装的材料设备，承包人派人参加清点后由承包人妥善保管，相应保管费（包括提供仓库、保管）、安装过程中的二次搬运和设备就位费、检验试验费均包含在投标总价中，不另行计取。因承包人原因发生丢失损坏，由承包人负责赔偿。发包人未通知承包人清点，承包人不负责材料设备的保管，丢失损坏由发包人负责</w:t>
      </w:r>
      <w:r>
        <w:rPr>
          <w:rFonts w:hint="eastAsia" w:ascii="宋体" w:hAnsi="宋体" w:cs="宋体"/>
          <w:color w:val="auto"/>
          <w:szCs w:val="21"/>
          <w:highlight w:val="none"/>
        </w:rPr>
        <w:t>。</w:t>
      </w:r>
      <w:bookmarkEnd w:id="657"/>
      <w:bookmarkEnd w:id="658"/>
    </w:p>
    <w:p w14:paraId="0B9A3FD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8.6 样品</w:t>
      </w:r>
    </w:p>
    <w:p w14:paraId="378F574C">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8.6.1</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样品的报送与封存</w:t>
      </w:r>
    </w:p>
    <w:p w14:paraId="1114C9B1">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需要承包人报送样品的材料或工程设备，样品的种类、名称、规格、数量要求：</w:t>
      </w:r>
      <w:r>
        <w:rPr>
          <w:rFonts w:hint="eastAsia" w:ascii="宋体" w:hAnsi="宋体" w:cs="宋体"/>
          <w:b/>
          <w:color w:val="auto"/>
          <w:szCs w:val="21"/>
          <w:highlight w:val="none"/>
          <w:u w:val="single"/>
        </w:rPr>
        <w:t>按发包人或监理人的书面要求提供</w:t>
      </w:r>
      <w:r>
        <w:rPr>
          <w:rFonts w:hint="eastAsia" w:ascii="宋体" w:hAnsi="宋体" w:cs="宋体"/>
          <w:color w:val="auto"/>
          <w:szCs w:val="21"/>
          <w:highlight w:val="none"/>
        </w:rPr>
        <w:t>。</w:t>
      </w:r>
    </w:p>
    <w:p w14:paraId="658A3EE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8.8 施工设备和临时设施</w:t>
      </w:r>
    </w:p>
    <w:p w14:paraId="039CE9B6">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8.8.1 承包人提供的施工设备和临时设施</w:t>
      </w:r>
    </w:p>
    <w:p w14:paraId="35BE95E7">
      <w:pPr>
        <w:autoSpaceDE w:val="0"/>
        <w:autoSpaceDN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关于修建临时设施费用承担的约定：</w:t>
      </w:r>
      <w:r>
        <w:rPr>
          <w:rFonts w:hint="eastAsia" w:ascii="宋体" w:hAnsi="宋体" w:cs="宋体"/>
          <w:b/>
          <w:color w:val="auto"/>
          <w:szCs w:val="21"/>
          <w:highlight w:val="none"/>
          <w:u w:val="single"/>
        </w:rPr>
        <w:t>由承包人承担。 如在施工范围外，需外借场地，由承包人自行借地，费用由承包人支付，发包人配合</w:t>
      </w:r>
      <w:r>
        <w:rPr>
          <w:rFonts w:hint="eastAsia" w:ascii="宋体" w:hAnsi="宋体" w:cs="宋体"/>
          <w:color w:val="auto"/>
          <w:szCs w:val="21"/>
          <w:highlight w:val="none"/>
        </w:rPr>
        <w:t>。</w:t>
      </w:r>
    </w:p>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14:paraId="6B898DE4">
      <w:pPr>
        <w:tabs>
          <w:tab w:val="left" w:pos="864"/>
        </w:tabs>
        <w:snapToGrid w:val="0"/>
        <w:spacing w:line="360" w:lineRule="auto"/>
        <w:rPr>
          <w:rFonts w:hint="eastAsia" w:ascii="宋体" w:hAnsi="宋体" w:cs="宋体"/>
          <w:color w:val="auto"/>
          <w:szCs w:val="21"/>
          <w:highlight w:val="none"/>
        </w:rPr>
      </w:pPr>
      <w:bookmarkStart w:id="675" w:name="_Toc351203641"/>
      <w:r>
        <w:rPr>
          <w:rFonts w:hint="eastAsia" w:ascii="宋体" w:hAnsi="宋体" w:cs="宋体"/>
          <w:color w:val="auto"/>
          <w:szCs w:val="21"/>
          <w:highlight w:val="none"/>
        </w:rPr>
        <w:t>9</w:t>
      </w:r>
      <w:bookmarkEnd w:id="654"/>
      <w:bookmarkEnd w:id="655"/>
      <w:bookmarkEnd w:id="656"/>
      <w:bookmarkStart w:id="676" w:name="_Toc297216192"/>
      <w:bookmarkStart w:id="677" w:name="_Toc312678021"/>
      <w:bookmarkStart w:id="678" w:name="_Toc303539139"/>
      <w:bookmarkStart w:id="679" w:name="_Toc300934982"/>
      <w:bookmarkStart w:id="680" w:name="_Toc297123533"/>
      <w:bookmarkStart w:id="681" w:name="_Toc312677495"/>
      <w:bookmarkStart w:id="682" w:name="_Toc304295559"/>
      <w:bookmarkStart w:id="683" w:name="_Toc297120473"/>
      <w:bookmarkStart w:id="684" w:name="_Toc297048359"/>
      <w:bookmarkStart w:id="685" w:name="_Toc296891213"/>
      <w:bookmarkStart w:id="686" w:name="_Toc267251427"/>
      <w:bookmarkStart w:id="687" w:name="_Toc267251428"/>
      <w:bookmarkStart w:id="688" w:name="_Toc296944512"/>
      <w:bookmarkStart w:id="689" w:name="_Toc296891001"/>
      <w:bookmarkStart w:id="690" w:name="_Toc296503173"/>
      <w:bookmarkStart w:id="691" w:name="_Toc292559883"/>
      <w:bookmarkStart w:id="692" w:name="_Toc296346674"/>
      <w:bookmarkStart w:id="693" w:name="_Toc296347172"/>
      <w:bookmarkStart w:id="694" w:name="_Toc292559378"/>
      <w:r>
        <w:rPr>
          <w:rFonts w:hint="eastAsia" w:ascii="宋体" w:hAnsi="宋体" w:cs="宋体"/>
          <w:color w:val="auto"/>
          <w:szCs w:val="21"/>
          <w:highlight w:val="none"/>
        </w:rPr>
        <w:t>. 试验与检验</w:t>
      </w:r>
      <w:bookmarkEnd w:id="675"/>
    </w:p>
    <w:bookmarkEnd w:id="676"/>
    <w:bookmarkEnd w:id="677"/>
    <w:bookmarkEnd w:id="678"/>
    <w:bookmarkEnd w:id="679"/>
    <w:bookmarkEnd w:id="680"/>
    <w:bookmarkEnd w:id="681"/>
    <w:bookmarkEnd w:id="682"/>
    <w:p w14:paraId="17154EE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w:t>
      </w:r>
      <w:bookmarkStart w:id="695" w:name="_Toc312678022"/>
      <w:bookmarkStart w:id="696" w:name="_Toc303539140"/>
      <w:bookmarkStart w:id="697" w:name="_Toc312677496"/>
      <w:bookmarkStart w:id="698" w:name="_Toc297216193"/>
      <w:bookmarkStart w:id="699" w:name="_Toc304295560"/>
      <w:bookmarkStart w:id="700" w:name="_Toc300934983"/>
      <w:bookmarkStart w:id="701" w:name="_Toc297123534"/>
      <w:r>
        <w:rPr>
          <w:rFonts w:hint="eastAsia" w:ascii="宋体" w:hAnsi="宋体" w:cs="宋体"/>
          <w:color w:val="auto"/>
          <w:szCs w:val="21"/>
          <w:highlight w:val="none"/>
        </w:rPr>
        <w:t>.1试验设备与试验人员</w:t>
      </w:r>
    </w:p>
    <w:bookmarkEnd w:id="695"/>
    <w:bookmarkEnd w:id="696"/>
    <w:bookmarkEnd w:id="697"/>
    <w:bookmarkEnd w:id="698"/>
    <w:bookmarkEnd w:id="699"/>
    <w:bookmarkEnd w:id="700"/>
    <w:bookmarkEnd w:id="701"/>
    <w:p w14:paraId="2780BD2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9</w:t>
      </w:r>
      <w:bookmarkStart w:id="702" w:name="_Toc312678023"/>
      <w:bookmarkStart w:id="703" w:name="_Toc297216194"/>
      <w:bookmarkStart w:id="704" w:name="_Toc300934984"/>
      <w:bookmarkStart w:id="705" w:name="_Toc312677497"/>
      <w:bookmarkStart w:id="706" w:name="_Toc297123535"/>
      <w:bookmarkStart w:id="707" w:name="_Toc304295561"/>
      <w:bookmarkStart w:id="708" w:name="_Toc303539141"/>
      <w:bookmarkStart w:id="709" w:name="_Toc318581174"/>
      <w:r>
        <w:rPr>
          <w:rFonts w:hint="eastAsia" w:ascii="宋体" w:hAnsi="宋体" w:cs="宋体"/>
          <w:color w:val="auto"/>
          <w:szCs w:val="21"/>
          <w:highlight w:val="none"/>
        </w:rPr>
        <w:t>.1.2 试验设备</w:t>
      </w:r>
    </w:p>
    <w:p w14:paraId="10E439D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施工现场需要配置的试验场所：</w:t>
      </w:r>
      <w:bookmarkEnd w:id="702"/>
      <w:bookmarkEnd w:id="703"/>
      <w:bookmarkEnd w:id="704"/>
      <w:bookmarkEnd w:id="705"/>
      <w:bookmarkEnd w:id="706"/>
      <w:bookmarkEnd w:id="707"/>
      <w:bookmarkEnd w:id="708"/>
      <w:bookmarkStart w:id="710" w:name="_Toc312677498"/>
      <w:bookmarkStart w:id="711" w:name="_Toc303539142"/>
      <w:bookmarkStart w:id="712" w:name="_Toc312678024"/>
      <w:bookmarkStart w:id="713" w:name="_Toc297216195"/>
      <w:bookmarkStart w:id="714" w:name="_Toc300934985"/>
      <w:bookmarkStart w:id="715" w:name="_Toc297123536"/>
      <w:bookmarkStart w:id="716" w:name="_Toc304295562"/>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 xml:space="preserve">。 </w:t>
      </w:r>
    </w:p>
    <w:p w14:paraId="1E8C807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施工现场需要配备的试验设备：</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p w14:paraId="0F29436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施工现场需要具备的其他试验条件：</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p w14:paraId="3D0A94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9.4 现场工艺试验 </w:t>
      </w:r>
    </w:p>
    <w:p w14:paraId="59E2E46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现场工艺试验的有关约定：</w:t>
      </w:r>
      <w:r>
        <w:rPr>
          <w:rFonts w:hint="eastAsia" w:ascii="宋体" w:hAnsi="宋体" w:cs="宋体"/>
          <w:b/>
          <w:color w:val="auto"/>
          <w:szCs w:val="21"/>
          <w:highlight w:val="none"/>
          <w:u w:val="single"/>
        </w:rPr>
        <w:t>按有关规定和发包人或监理人要求执行</w:t>
      </w:r>
      <w:r>
        <w:rPr>
          <w:rFonts w:hint="eastAsia" w:ascii="宋体" w:hAnsi="宋体" w:cs="宋体"/>
          <w:color w:val="auto"/>
          <w:szCs w:val="21"/>
          <w:highlight w:val="none"/>
        </w:rPr>
        <w:t>。</w:t>
      </w:r>
    </w:p>
    <w:bookmarkEnd w:id="709"/>
    <w:bookmarkEnd w:id="710"/>
    <w:bookmarkEnd w:id="711"/>
    <w:bookmarkEnd w:id="712"/>
    <w:bookmarkEnd w:id="713"/>
    <w:bookmarkEnd w:id="714"/>
    <w:bookmarkEnd w:id="715"/>
    <w:bookmarkEnd w:id="716"/>
    <w:p w14:paraId="70601DE6">
      <w:pPr>
        <w:tabs>
          <w:tab w:val="left" w:pos="864"/>
        </w:tabs>
        <w:snapToGrid w:val="0"/>
        <w:spacing w:line="360" w:lineRule="auto"/>
        <w:rPr>
          <w:rFonts w:hint="eastAsia" w:ascii="宋体" w:hAnsi="宋体" w:cs="宋体"/>
          <w:color w:val="auto"/>
          <w:szCs w:val="21"/>
          <w:highlight w:val="none"/>
        </w:rPr>
      </w:pPr>
      <w:bookmarkStart w:id="717" w:name="_Toc351203642"/>
      <w:r>
        <w:rPr>
          <w:rFonts w:hint="eastAsia" w:ascii="宋体" w:hAnsi="宋体" w:cs="宋体"/>
          <w:color w:val="auto"/>
          <w:szCs w:val="21"/>
          <w:highlight w:val="none"/>
        </w:rPr>
        <w:t>1</w:t>
      </w:r>
      <w:bookmarkEnd w:id="683"/>
      <w:bookmarkEnd w:id="684"/>
      <w:bookmarkEnd w:id="685"/>
      <w:bookmarkEnd w:id="686"/>
      <w:bookmarkEnd w:id="687"/>
      <w:bookmarkEnd w:id="688"/>
      <w:bookmarkEnd w:id="689"/>
      <w:bookmarkEnd w:id="690"/>
      <w:bookmarkEnd w:id="691"/>
      <w:bookmarkEnd w:id="692"/>
      <w:bookmarkEnd w:id="693"/>
      <w:bookmarkEnd w:id="694"/>
      <w:bookmarkStart w:id="718" w:name="_Toc300934989"/>
      <w:bookmarkStart w:id="719" w:name="_Toc296944532"/>
      <w:bookmarkStart w:id="720" w:name="_Toc292559903"/>
      <w:bookmarkStart w:id="721" w:name="_Toc297216199"/>
      <w:bookmarkStart w:id="722" w:name="_Toc303539146"/>
      <w:bookmarkStart w:id="723" w:name="_Toc296347192"/>
      <w:bookmarkStart w:id="724" w:name="_Toc296503193"/>
      <w:bookmarkStart w:id="725" w:name="_Toc296346694"/>
      <w:bookmarkStart w:id="726" w:name="_Toc304295566"/>
      <w:bookmarkStart w:id="727" w:name="_Toc297048379"/>
      <w:bookmarkStart w:id="728" w:name="_Toc292559398"/>
      <w:bookmarkStart w:id="729" w:name="_Toc296891021"/>
      <w:bookmarkStart w:id="730" w:name="_Toc296891233"/>
      <w:bookmarkStart w:id="731" w:name="_Toc297120493"/>
      <w:bookmarkStart w:id="732" w:name="_Toc297123540"/>
      <w:bookmarkStart w:id="733" w:name="_Toc312678025"/>
      <w:bookmarkStart w:id="734" w:name="_Toc312677499"/>
      <w:bookmarkStart w:id="735" w:name="_Toc267251439"/>
      <w:bookmarkStart w:id="736" w:name="_Toc267251435"/>
      <w:bookmarkStart w:id="737" w:name="_Toc267251437"/>
      <w:bookmarkStart w:id="738" w:name="_Toc267251440"/>
      <w:bookmarkStart w:id="739" w:name="_Toc267251441"/>
      <w:bookmarkStart w:id="740" w:name="_Toc267251433"/>
      <w:bookmarkStart w:id="741" w:name="_Toc267251442"/>
      <w:r>
        <w:rPr>
          <w:rFonts w:hint="eastAsia" w:ascii="宋体" w:hAnsi="宋体" w:cs="宋体"/>
          <w:color w:val="auto"/>
          <w:szCs w:val="21"/>
          <w:highlight w:val="none"/>
        </w:rPr>
        <w:t>0. 变更</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bookmarkEnd w:id="733"/>
    <w:bookmarkEnd w:id="734"/>
    <w:p w14:paraId="3267F764">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742" w:name="_Toc296891022"/>
      <w:bookmarkStart w:id="743" w:name="_Toc312677500"/>
      <w:bookmarkStart w:id="744" w:name="_Toc297048380"/>
      <w:bookmarkStart w:id="745" w:name="_Toc296891234"/>
      <w:bookmarkStart w:id="746" w:name="_Toc300934990"/>
      <w:bookmarkStart w:id="747" w:name="_Toc297216200"/>
      <w:bookmarkStart w:id="748" w:name="_Toc292559399"/>
      <w:bookmarkStart w:id="749" w:name="_Toc296944533"/>
      <w:bookmarkStart w:id="750" w:name="_Toc297120494"/>
      <w:bookmarkStart w:id="751" w:name="_Toc296346695"/>
      <w:bookmarkStart w:id="752" w:name="_Toc303539147"/>
      <w:bookmarkStart w:id="753" w:name="_Toc304295567"/>
      <w:bookmarkStart w:id="754" w:name="_Toc297123541"/>
      <w:bookmarkStart w:id="755" w:name="_Toc296347193"/>
      <w:bookmarkStart w:id="756" w:name="_Toc296503194"/>
      <w:bookmarkStart w:id="757" w:name="_Toc312678026"/>
      <w:bookmarkStart w:id="758" w:name="_Toc292559904"/>
      <w:r>
        <w:rPr>
          <w:rFonts w:hint="eastAsia" w:ascii="宋体" w:hAnsi="宋体" w:cs="宋体"/>
          <w:color w:val="auto"/>
          <w:szCs w:val="21"/>
          <w:highlight w:val="none"/>
        </w:rPr>
        <w:t>0.1变更的范围</w:t>
      </w:r>
    </w:p>
    <w:p w14:paraId="598A947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关于变更的范围的约定：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346E6A9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10.4 变更估价</w:t>
      </w:r>
    </w:p>
    <w:p w14:paraId="0AFC79D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10.4.1 变更估价原则</w:t>
      </w:r>
    </w:p>
    <w:p w14:paraId="12DA725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关于变更估价的约定: </w:t>
      </w:r>
    </w:p>
    <w:p w14:paraId="6162240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（1）已标价工程量清单或预算书有相同项目的，按照相同项目单价确定。 </w:t>
      </w:r>
    </w:p>
    <w:p w14:paraId="0D0D6DB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（2）已标价工程量清单或预算书中无相同项目，但有类似项目的，参照类似项目的单价确定。 </w:t>
      </w:r>
    </w:p>
    <w:p w14:paraId="57362C3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（3）已标价工程量清单或预算书中无相同项目及类似项目单价的，其单价的确定，按以下约定：套用浙江省2018版预算定额</w:t>
      </w:r>
      <w:bookmarkStart w:id="759" w:name="ed_2022Y1M25D9H51M25"/>
      <w:r>
        <w:rPr>
          <w:rFonts w:hint="eastAsia" w:ascii="宋体" w:hAnsi="宋体" w:cs="宋体"/>
          <w:b/>
          <w:color w:val="auto"/>
          <w:szCs w:val="21"/>
          <w:highlight w:val="none"/>
          <w:u w:val="single"/>
        </w:rPr>
        <w:t>和《浙江省建设工程计价规则》（2018版）或</w:t>
      </w:r>
      <w:bookmarkEnd w:id="759"/>
      <w:r>
        <w:rPr>
          <w:rFonts w:hint="eastAsia" w:ascii="宋体" w:hAnsi="宋体" w:cs="宋体"/>
          <w:b/>
          <w:color w:val="auto"/>
          <w:szCs w:val="21"/>
          <w:highlight w:val="none"/>
          <w:u w:val="single"/>
        </w:rPr>
        <w:t>现行相应专业定额，安全文明施工费、企业管理费、利润按相应类别工程费率的中限计取，规费、税金按《浙江省建设工程计价规则》（2018版）规定计取；材料价格有投标价的执行投标价，无投标价的执行合同工期信息价平均值，对当地信息价正刊没有公布的材料，发包人应在充分市场询价基础上，参照同期同类材料市场价格水平，按照相关规定审批程序签证确定；当零星工程发生签证台班数量，机械单价有投标价的执行投标价，无投标价的执行预算定额单价；按照上述方法计算后乘以（1-承包人报价浮动率L）得出结算单价，承包人报价浮动率 L=（1-中标价÷招标控制价）×100%</w:t>
      </w:r>
      <w:bookmarkStart w:id="760" w:name="ed_2022Y1M25D9H51M53"/>
      <w:r>
        <w:rPr>
          <w:rFonts w:hint="eastAsia" w:ascii="宋体" w:hAnsi="宋体" w:cs="宋体"/>
          <w:b/>
          <w:color w:val="auto"/>
          <w:szCs w:val="21"/>
          <w:highlight w:val="none"/>
          <w:u w:val="single"/>
        </w:rPr>
        <w:t>（若项目含暂列金额，中标价及招标控制价均扣除暂列金额）</w:t>
      </w:r>
      <w:bookmarkEnd w:id="760"/>
      <w:r>
        <w:rPr>
          <w:rFonts w:hint="eastAsia" w:ascii="宋体" w:hAnsi="宋体" w:cs="宋体"/>
          <w:b/>
          <w:color w:val="auto"/>
          <w:szCs w:val="21"/>
          <w:highlight w:val="none"/>
          <w:u w:val="single"/>
        </w:rPr>
        <w:t xml:space="preserve">。 </w:t>
      </w:r>
    </w:p>
    <w:p w14:paraId="544C138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4）工程量清单错误和（或）设计变更导致实际完成的工程量与已标价工程量清单或预算书中列明的该项目工程量的变化幅度超过以下情况的，其单价允许调整：凡合价金额占合同总价2%及以上的分部分项清单项目，其工程量增加或减少超过本项目工程数量15%及以上时，或者合价金额占合同总价不到2%的分部分项清单项目，但其工程量增加或减少超过本项目工程数量25%以上时。工程量偏差超过上述变化幅度之外变动部分的相应单价调整方法按以下方式约定：按照《建设工程工程量清单计价规范》（GB50500-2013）9.6.2 条规定，增加部分的工程量的综合单价应予调低，减少后剩余部分的工程量的综合单价应予调高，可按下列公式调整: </w:t>
      </w:r>
    </w:p>
    <w:p w14:paraId="0596D79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凡合价金额占合同总价 2%及以上的分部分项清单项目， </w:t>
      </w:r>
    </w:p>
    <w:p w14:paraId="06D8E39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①当 Q1&gt;1.15Q0 时: S=1.15Q0×P0+（Q1-1.15 Q0）×P1 </w:t>
      </w:r>
    </w:p>
    <w:p w14:paraId="499FF2B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②当 Q1&lt;0.85Q0 时: S=Q1×P1 </w:t>
      </w:r>
    </w:p>
    <w:p w14:paraId="1830498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凡合价金额占合同总价不到 2%的分部分项清单项目， </w:t>
      </w:r>
    </w:p>
    <w:p w14:paraId="0F81861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③当 Q1&gt;1.25Q0 时: S=1.25Q0×P0+（Q1-1.25 Q0）×P1 </w:t>
      </w:r>
    </w:p>
    <w:p w14:paraId="770266EA">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④当 Q1&lt;0.75Q0 时: S=Q1×P1 </w:t>
      </w:r>
    </w:p>
    <w:p w14:paraId="3233062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式中 S——调整后某一分部分项工程费结算价； </w:t>
      </w:r>
    </w:p>
    <w:p w14:paraId="6A81178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Q1——最终完成的工程量； </w:t>
      </w:r>
    </w:p>
    <w:p w14:paraId="7571A4A9">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Q0——招标工程量清单中列出的工程量； </w:t>
      </w:r>
    </w:p>
    <w:p w14:paraId="23C6CDD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P0——承包人在已标价工程量清单中填报的综合单价 </w:t>
      </w:r>
    </w:p>
    <w:p w14:paraId="1CD2D6D2">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P1——按照最终完成工程量重新调整后的综合单价，按本合同第 10.4.1条（3）款 </w:t>
      </w:r>
    </w:p>
    <w:p w14:paraId="5F87EE7C">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计算结果和 P0 比较，在工程量增加时，若计算结果大于 P0 的,取 P1=P0，在工程量减少时，若计算结果小于 P0 的, 取 P1= P0。 </w:t>
      </w:r>
    </w:p>
    <w:p w14:paraId="7CD4EDB9">
      <w:pPr>
        <w:numPr>
          <w:ilvl w:val="0"/>
          <w:numId w:val="7"/>
        </w:num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其他：</w:t>
      </w:r>
    </w:p>
    <w:p w14:paraId="0FB0DAE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①工程量必须按照《建设工程工程量清单计价规范》（GB50500-2013）规定的工程量计算规则计算。工程量必须以承包人完成合同工程应予计量的工程量确定。最终结算工程量应首先报监理及发包人初审。 </w:t>
      </w:r>
    </w:p>
    <w:p w14:paraId="0EC9A93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②工程变更管理按《杭州市政府投资项目工程变更管理暂行办法》（杭财建[2013]1246 号）执行，未履行规定程序的联系单，不得纳入工程结算。 </w:t>
      </w:r>
    </w:p>
    <w:p w14:paraId="696D03F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③本合同专用条款1.1.1.10中的“施工组织设计”是指承包人在投标书中制定的相关技术、经济和施工组织的综合性文件。施工组织措施费按投标报价包干。施工技术措施费，根据实际施工发生的按实结算，原技术措施费项目清单中已有的技术措施项目，按原有技术措施费的组价方法或单价调整，按项计的技术措施费不做调整；原技术措施费项目清单中没有的项目，组价方法按照“10.4.1变更估价原则第（3）条执行。如有甩项工程，发包人将对承包人未实际投入的施工组织措施费和技术措施费按上述方法予以扣除。 </w:t>
      </w:r>
    </w:p>
    <w:p w14:paraId="163DC69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工程量清单项目特征描述的分项工程内容均应计入综合单价报价，若承包人提供的分部分项工程量综合单价计算表及综合单价工料机分析表没有详尽分析的，发包人将对实际未实施的分项工程予以扣除，扣除部分的价格按照“10.4.1变更估价原则第（3）条执行。⑤现有管线、邻近建筑物、构筑物（含文物保护建筑）、古树名木等的保护费计算。招标时已明确的，其保护费用承包人应根据发包人提供的交底资料，结合现场探勘，充分考虑施工难度，计入报价，包干使用。实施过程中新发现的，其保护费用按实计算，计算口径按照“10.4.1变更估价原则第（3）条执行。</w:t>
      </w:r>
    </w:p>
    <w:p w14:paraId="5AF7661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bCs/>
          <w:color w:val="auto"/>
          <w:szCs w:val="21"/>
          <w:highlight w:val="none"/>
          <w:u w:val="single"/>
        </w:rPr>
        <w:fldChar w:fldCharType="begin"/>
      </w:r>
      <w:r>
        <w:rPr>
          <w:rFonts w:hint="eastAsia" w:ascii="宋体" w:hAnsi="宋体" w:cs="宋体"/>
          <w:b/>
          <w:bCs/>
          <w:color w:val="auto"/>
          <w:szCs w:val="21"/>
          <w:highlight w:val="none"/>
          <w:u w:val="single"/>
        </w:rPr>
        <w:instrText xml:space="preserve"> = 5 \* GB3 </w:instrText>
      </w:r>
      <w:r>
        <w:rPr>
          <w:rFonts w:hint="eastAsia" w:ascii="宋体" w:hAnsi="宋体" w:cs="宋体"/>
          <w:b/>
          <w:bCs/>
          <w:color w:val="auto"/>
          <w:szCs w:val="21"/>
          <w:highlight w:val="none"/>
          <w:u w:val="single"/>
        </w:rPr>
        <w:fldChar w:fldCharType="separate"/>
      </w:r>
      <w:r>
        <w:rPr>
          <w:rFonts w:hint="eastAsia" w:ascii="宋体" w:hAnsi="宋体" w:cs="宋体"/>
          <w:b/>
          <w:bCs/>
          <w:color w:val="auto"/>
          <w:szCs w:val="21"/>
          <w:highlight w:val="none"/>
          <w:u w:val="single"/>
        </w:rPr>
        <w:t>⑤</w:t>
      </w:r>
      <w:r>
        <w:rPr>
          <w:rFonts w:hint="eastAsia" w:ascii="宋体" w:hAnsi="宋体" w:cs="宋体"/>
          <w:b/>
          <w:bCs/>
          <w:color w:val="auto"/>
          <w:szCs w:val="21"/>
          <w:highlight w:val="none"/>
          <w:u w:val="single"/>
        </w:rPr>
        <w:fldChar w:fldCharType="end"/>
      </w:r>
      <w:r>
        <w:rPr>
          <w:rFonts w:hint="eastAsia" w:ascii="宋体" w:hAnsi="宋体" w:cs="宋体"/>
          <w:b/>
          <w:color w:val="auto"/>
          <w:szCs w:val="21"/>
          <w:highlight w:val="none"/>
          <w:u w:val="single"/>
        </w:rPr>
        <w:t xml:space="preserve">发包人与承包人在询标过程中，涉及到合同价款结算有须明确或澄清的事项包括： </w:t>
      </w:r>
    </w:p>
    <w:p w14:paraId="601564A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待询标明确 </w:t>
      </w:r>
    </w:p>
    <w:p w14:paraId="2FC2B5F4">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⑥因受疫情影响造成的损失和费用增加，按照《关于新型冠状病毒肺炎疫情后我市建</w:t>
      </w:r>
    </w:p>
    <w:p w14:paraId="5BCB2B54">
      <w:pPr>
        <w:snapToGrid w:val="0"/>
        <w:spacing w:line="360" w:lineRule="auto"/>
        <w:jc w:val="left"/>
        <w:rPr>
          <w:rFonts w:hint="eastAsia" w:ascii="宋体" w:hAnsi="宋体" w:cs="宋体"/>
          <w:color w:val="auto"/>
          <w:szCs w:val="21"/>
          <w:highlight w:val="none"/>
          <w:u w:val="single"/>
        </w:rPr>
      </w:pPr>
      <w:r>
        <w:rPr>
          <w:rFonts w:hint="eastAsia" w:ascii="宋体" w:hAnsi="宋体" w:cs="宋体"/>
          <w:b/>
          <w:color w:val="auto"/>
          <w:szCs w:val="21"/>
          <w:highlight w:val="none"/>
          <w:u w:val="single"/>
        </w:rPr>
        <w:t>设工程施工合同履约及工程价款调整的指导意见》执行</w:t>
      </w:r>
      <w:r>
        <w:rPr>
          <w:rFonts w:hint="eastAsia" w:ascii="宋体" w:hAnsi="宋体" w:cs="宋体"/>
          <w:color w:val="auto"/>
          <w:szCs w:val="21"/>
          <w:highlight w:val="none"/>
        </w:rPr>
        <w:t>。</w:t>
      </w:r>
    </w:p>
    <w:p w14:paraId="1C4A1F9E">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Start w:id="761" w:name="_Toc297048383"/>
      <w:bookmarkStart w:id="762" w:name="_Toc296944536"/>
      <w:bookmarkStart w:id="763" w:name="_Toc303539150"/>
      <w:bookmarkStart w:id="764" w:name="_Toc292559402"/>
      <w:bookmarkStart w:id="765" w:name="_Toc300934993"/>
      <w:bookmarkStart w:id="766" w:name="_Toc296891025"/>
      <w:bookmarkStart w:id="767" w:name="_Toc296346698"/>
      <w:bookmarkStart w:id="768" w:name="_Toc297123544"/>
      <w:bookmarkStart w:id="769" w:name="_Toc297216203"/>
      <w:bookmarkStart w:id="770" w:name="_Toc297120497"/>
      <w:bookmarkStart w:id="771" w:name="_Toc296503197"/>
      <w:bookmarkStart w:id="772" w:name="_Toc296891237"/>
      <w:bookmarkStart w:id="773" w:name="_Toc292559907"/>
      <w:bookmarkStart w:id="774" w:name="_Toc296347196"/>
      <w:bookmarkStart w:id="775" w:name="_Toc304295570"/>
      <w:bookmarkStart w:id="776" w:name="_Toc312678029"/>
      <w:bookmarkStart w:id="777" w:name="_Toc312677503"/>
      <w:r>
        <w:rPr>
          <w:rFonts w:hint="eastAsia" w:ascii="宋体" w:hAnsi="宋体" w:cs="宋体"/>
          <w:color w:val="auto"/>
          <w:szCs w:val="21"/>
          <w:highlight w:val="none"/>
        </w:rPr>
        <w:t>0.5承</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Start w:id="778" w:name="_Toc297123545"/>
      <w:bookmarkStart w:id="779" w:name="_Toc296944542"/>
      <w:bookmarkStart w:id="780" w:name="_Toc296347202"/>
      <w:bookmarkStart w:id="781" w:name="_Toc292559408"/>
      <w:bookmarkStart w:id="782" w:name="_Toc300934994"/>
      <w:bookmarkStart w:id="783" w:name="_Toc296891031"/>
      <w:bookmarkStart w:id="784" w:name="_Toc296891243"/>
      <w:bookmarkStart w:id="785" w:name="_Toc297216204"/>
      <w:bookmarkStart w:id="786" w:name="_Toc297048389"/>
      <w:bookmarkStart w:id="787" w:name="_Toc296346704"/>
      <w:bookmarkStart w:id="788" w:name="_Toc292559913"/>
      <w:bookmarkStart w:id="789" w:name="_Toc297120503"/>
      <w:bookmarkStart w:id="790" w:name="_Toc296503203"/>
      <w:bookmarkStart w:id="791" w:name="_Toc303539151"/>
      <w:r>
        <w:rPr>
          <w:rFonts w:hint="eastAsia" w:ascii="宋体" w:hAnsi="宋体" w:cs="宋体"/>
          <w:color w:val="auto"/>
          <w:szCs w:val="21"/>
          <w:highlight w:val="none"/>
        </w:rPr>
        <w:t>包人的合理化建议</w:t>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p w14:paraId="62ABABA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监理人审查承包人合理化建议的期限：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6EE58C9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发包人审批承包人合理化建议的期限：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774F9C60">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承</w:t>
      </w:r>
      <w:bookmarkStart w:id="792" w:name="_Toc312677504"/>
      <w:bookmarkStart w:id="793" w:name="_Toc292559409"/>
      <w:bookmarkStart w:id="794" w:name="_Toc292559914"/>
      <w:bookmarkStart w:id="795" w:name="_Toc304295571"/>
      <w:bookmarkStart w:id="796" w:name="_Toc296346705"/>
      <w:bookmarkStart w:id="797" w:name="_Toc297123546"/>
      <w:bookmarkStart w:id="798" w:name="_Toc297216205"/>
      <w:bookmarkStart w:id="799" w:name="_Toc318581175"/>
      <w:bookmarkStart w:id="800" w:name="_Toc312678030"/>
      <w:bookmarkStart w:id="801" w:name="_Toc296503204"/>
      <w:bookmarkStart w:id="802" w:name="_Toc296891032"/>
      <w:bookmarkStart w:id="803" w:name="_Toc303539152"/>
      <w:bookmarkStart w:id="804" w:name="_Toc297120504"/>
      <w:bookmarkStart w:id="805" w:name="_Toc300934995"/>
      <w:bookmarkStart w:id="806" w:name="_Toc296891244"/>
      <w:bookmarkStart w:id="807" w:name="_Toc297048390"/>
      <w:bookmarkStart w:id="808" w:name="_Toc296944543"/>
      <w:bookmarkStart w:id="809" w:name="_Toc296347203"/>
      <w:r>
        <w:rPr>
          <w:rFonts w:hint="eastAsia" w:ascii="宋体" w:hAnsi="宋体" w:cs="宋体"/>
          <w:color w:val="auto"/>
          <w:szCs w:val="21"/>
          <w:highlight w:val="none"/>
        </w:rPr>
        <w:t>包人提出的合理化建议降低了合同价格或者提高了工程经济效益的奖励的方法和金额为：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p w14:paraId="442F0423">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w:t>
      </w:r>
      <w:bookmarkStart w:id="810" w:name="_Toc304295574"/>
      <w:bookmarkStart w:id="811" w:name="_Toc297048385"/>
      <w:bookmarkStart w:id="812" w:name="_Toc297120499"/>
      <w:bookmarkStart w:id="813" w:name="_Toc292559909"/>
      <w:bookmarkStart w:id="814" w:name="_Toc296891239"/>
      <w:bookmarkStart w:id="815" w:name="_Toc296891027"/>
      <w:bookmarkStart w:id="816" w:name="_Toc297216207"/>
      <w:bookmarkStart w:id="817" w:name="_Toc296347198"/>
      <w:bookmarkStart w:id="818" w:name="_Toc296346700"/>
      <w:bookmarkStart w:id="819" w:name="_Toc312677507"/>
      <w:bookmarkStart w:id="820" w:name="_Toc303539154"/>
      <w:bookmarkStart w:id="821" w:name="_Toc297123548"/>
      <w:bookmarkStart w:id="822" w:name="_Toc296944538"/>
      <w:bookmarkStart w:id="823" w:name="_Toc296503199"/>
      <w:bookmarkStart w:id="824" w:name="_Toc312678033"/>
      <w:bookmarkStart w:id="825" w:name="_Toc300934997"/>
      <w:bookmarkStart w:id="826" w:name="_Toc292559404"/>
      <w:r>
        <w:rPr>
          <w:rFonts w:hint="eastAsia" w:ascii="宋体" w:hAnsi="宋体" w:cs="宋体"/>
          <w:color w:val="auto"/>
          <w:szCs w:val="21"/>
          <w:highlight w:val="none"/>
        </w:rPr>
        <w:t>0.7 暂估价</w:t>
      </w:r>
    </w:p>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p w14:paraId="5ABE96E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暂</w:t>
      </w:r>
      <w:bookmarkStart w:id="827" w:name="_Toc318581176"/>
      <w:bookmarkStart w:id="828" w:name="_Toc312678034"/>
      <w:bookmarkStart w:id="829" w:name="_Toc312677508"/>
      <w:r>
        <w:rPr>
          <w:rFonts w:hint="eastAsia" w:ascii="宋体" w:hAnsi="宋体" w:cs="宋体"/>
          <w:color w:val="auto"/>
          <w:kern w:val="0"/>
          <w:szCs w:val="21"/>
          <w:highlight w:val="none"/>
        </w:rPr>
        <w:t>估价材料和工程设备的明细详见附件11：《</w:t>
      </w:r>
      <w:r>
        <w:rPr>
          <w:rFonts w:hint="eastAsia" w:ascii="宋体" w:hAnsi="宋体" w:cs="宋体"/>
          <w:color w:val="auto"/>
          <w:szCs w:val="21"/>
          <w:highlight w:val="none"/>
        </w:rPr>
        <w:t>暂估价一览表》</w:t>
      </w:r>
      <w:r>
        <w:rPr>
          <w:rFonts w:hint="eastAsia" w:ascii="宋体" w:hAnsi="宋体" w:cs="宋体"/>
          <w:color w:val="auto"/>
          <w:kern w:val="0"/>
          <w:szCs w:val="21"/>
          <w:highlight w:val="none"/>
        </w:rPr>
        <w:t>。</w:t>
      </w:r>
    </w:p>
    <w:bookmarkEnd w:id="827"/>
    <w:bookmarkEnd w:id="828"/>
    <w:bookmarkEnd w:id="829"/>
    <w:p w14:paraId="5CAFA36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Start w:id="830" w:name="_Toc312678035"/>
      <w:bookmarkStart w:id="831" w:name="_Toc318581177"/>
      <w:bookmarkStart w:id="832" w:name="_Toc312677509"/>
      <w:r>
        <w:rPr>
          <w:rFonts w:hint="eastAsia" w:ascii="宋体" w:hAnsi="宋体" w:cs="宋体"/>
          <w:color w:val="auto"/>
          <w:szCs w:val="21"/>
          <w:highlight w:val="none"/>
        </w:rPr>
        <w:t>0.7.1 依法必须招标的暂估价项目</w:t>
      </w:r>
    </w:p>
    <w:bookmarkEnd w:id="830"/>
    <w:bookmarkEnd w:id="831"/>
    <w:bookmarkEnd w:id="832"/>
    <w:p w14:paraId="591CD34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41E2265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10.7.2 不属于依法必须招标的暂估价项目</w:t>
      </w:r>
    </w:p>
    <w:p w14:paraId="1BE6498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对于不属于依法必须招标的暂估价项目的确认和批准采取第</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种方式确定。</w:t>
      </w:r>
    </w:p>
    <w:p w14:paraId="6CA06D8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第3种方式：</w:t>
      </w:r>
      <w:r>
        <w:rPr>
          <w:rFonts w:hint="eastAsia" w:ascii="宋体" w:hAnsi="宋体" w:cs="宋体"/>
          <w:color w:val="auto"/>
          <w:kern w:val="0"/>
          <w:szCs w:val="21"/>
          <w:highlight w:val="none"/>
        </w:rPr>
        <w:t>承包人直接实施的暂估价项目</w:t>
      </w:r>
    </w:p>
    <w:p w14:paraId="6197B76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承包人直接实施的暂估价项目的约定：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464BE8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10.8 暂列金额</w:t>
      </w:r>
    </w:p>
    <w:p w14:paraId="77EDB9B2">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合同当事人关于暂列金额使用的约定：</w:t>
      </w:r>
      <w:r>
        <w:rPr>
          <w:rFonts w:hint="eastAsia" w:ascii="宋体" w:hAnsi="宋体" w:cs="宋体"/>
          <w:color w:val="auto"/>
          <w:szCs w:val="21"/>
          <w:highlight w:val="none"/>
          <w:u w:val="single"/>
        </w:rPr>
        <w:t>/</w:t>
      </w:r>
      <w:r>
        <w:rPr>
          <w:rFonts w:hint="eastAsia" w:ascii="宋体" w:hAnsi="宋体" w:cs="宋体"/>
          <w:color w:val="auto"/>
          <w:kern w:val="0"/>
          <w:szCs w:val="21"/>
          <w:highlight w:val="none"/>
        </w:rPr>
        <w:t>。</w:t>
      </w:r>
    </w:p>
    <w:p w14:paraId="75F9E982">
      <w:pPr>
        <w:tabs>
          <w:tab w:val="left" w:pos="864"/>
        </w:tabs>
        <w:snapToGrid w:val="0"/>
        <w:spacing w:line="360" w:lineRule="auto"/>
        <w:rPr>
          <w:rFonts w:hint="eastAsia" w:ascii="宋体" w:hAnsi="宋体" w:cs="宋体"/>
          <w:color w:val="auto"/>
          <w:szCs w:val="21"/>
          <w:highlight w:val="none"/>
        </w:rPr>
      </w:pPr>
      <w:bookmarkStart w:id="833" w:name="_Toc351203643"/>
      <w:r>
        <w:rPr>
          <w:rFonts w:hint="eastAsia" w:ascii="宋体" w:hAnsi="宋体" w:cs="宋体"/>
          <w:color w:val="auto"/>
          <w:szCs w:val="21"/>
          <w:highlight w:val="none"/>
        </w:rPr>
        <w:t>11. 价格调整</w:t>
      </w:r>
      <w:bookmarkEnd w:id="833"/>
    </w:p>
    <w:p w14:paraId="0F800635">
      <w:pPr>
        <w:snapToGrid w:val="0"/>
        <w:spacing w:line="360" w:lineRule="auto"/>
        <w:ind w:firstLine="420" w:firstLineChars="200"/>
        <w:rPr>
          <w:rFonts w:hint="eastAsia" w:ascii="宋体" w:hAnsi="宋体" w:cs="宋体"/>
          <w:color w:val="auto"/>
          <w:szCs w:val="21"/>
          <w:highlight w:val="none"/>
        </w:rPr>
      </w:pPr>
      <w:bookmarkStart w:id="834" w:name="_Toc300935000"/>
      <w:bookmarkStart w:id="835" w:name="_Toc296503201"/>
      <w:bookmarkStart w:id="836" w:name="_Toc292559406"/>
      <w:bookmarkStart w:id="837" w:name="_Toc297120501"/>
      <w:bookmarkStart w:id="838" w:name="_Toc296891241"/>
      <w:bookmarkStart w:id="839" w:name="_Toc297048387"/>
      <w:bookmarkStart w:id="840" w:name="_Toc303539157"/>
      <w:bookmarkStart w:id="841" w:name="_Toc304295577"/>
      <w:bookmarkStart w:id="842" w:name="_Toc312678039"/>
      <w:bookmarkStart w:id="843" w:name="_Toc297216209"/>
      <w:bookmarkStart w:id="844" w:name="_Toc296346702"/>
      <w:bookmarkStart w:id="845" w:name="_Toc292559911"/>
      <w:bookmarkStart w:id="846" w:name="_Toc297123550"/>
      <w:bookmarkStart w:id="847" w:name="_Toc296347200"/>
      <w:bookmarkStart w:id="848" w:name="_Toc296891029"/>
      <w:bookmarkStart w:id="849" w:name="_Toc296944540"/>
      <w:r>
        <w:rPr>
          <w:rFonts w:hint="eastAsia" w:ascii="宋体" w:hAnsi="宋体" w:cs="宋体"/>
          <w:color w:val="auto"/>
          <w:szCs w:val="21"/>
          <w:highlight w:val="none"/>
        </w:rPr>
        <w:t>11.1 市场价格波动引起的调整</w:t>
      </w:r>
    </w:p>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p w14:paraId="3D7ADAF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市场价格波动是否调整合同价格的约定：</w:t>
      </w:r>
      <w:r>
        <w:rPr>
          <w:rFonts w:hint="eastAsia" w:ascii="宋体" w:hAnsi="宋体" w:cs="宋体"/>
          <w:b/>
          <w:color w:val="auto"/>
          <w:szCs w:val="21"/>
          <w:highlight w:val="none"/>
          <w:u w:val="single"/>
        </w:rPr>
        <w:t>否</w:t>
      </w:r>
      <w:r>
        <w:rPr>
          <w:rFonts w:hint="eastAsia" w:ascii="宋体" w:hAnsi="宋体" w:cs="宋体"/>
          <w:color w:val="auto"/>
          <w:szCs w:val="21"/>
          <w:highlight w:val="none"/>
        </w:rPr>
        <w:t>。</w:t>
      </w:r>
    </w:p>
    <w:p w14:paraId="2D2F536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因市场价格波动调整合同价格，采用以下第</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3</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种方式对合同价格进行调整：</w:t>
      </w:r>
    </w:p>
    <w:p w14:paraId="0B9E90A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第1种方式：采用价格指数进行价格调整。</w:t>
      </w:r>
    </w:p>
    <w:p w14:paraId="5D20E78E">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关于各可调因子、定值和变值权重，以及基本价格指数及其来源的约定：</w:t>
      </w:r>
      <w:r>
        <w:rPr>
          <w:rFonts w:hint="eastAsia" w:ascii="宋体" w:hAnsi="宋体" w:cs="宋体"/>
          <w:color w:val="auto"/>
          <w:szCs w:val="21"/>
          <w:highlight w:val="none"/>
          <w:u w:val="single"/>
        </w:rPr>
        <w:t>/</w:t>
      </w:r>
      <w:r>
        <w:rPr>
          <w:rFonts w:hint="eastAsia" w:ascii="宋体" w:hAnsi="宋体" w:cs="宋体"/>
          <w:color w:val="auto"/>
          <w:szCs w:val="21"/>
          <w:highlight w:val="none"/>
        </w:rPr>
        <w:t xml:space="preserve">；  </w:t>
      </w:r>
    </w:p>
    <w:p w14:paraId="526020F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第2种方式：采用造价信息进行价格调整。</w:t>
      </w:r>
    </w:p>
    <w:p w14:paraId="4CDD1FD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（2）关于基准价格的约定：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A1B1D7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%时，或材料单价跌幅以已标价工程量清单或预算书中载明材料单价为基础超过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5D47794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②承包人在已标价工程量清单或预算书中载明的材料单价高于基准价格的：专用合同条款合同履行期间材料单价跌幅以基准价格为基础超过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%时，材料单价涨幅以已标价工程量清单或预算书中载明材料单价为基础超过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1A04D1C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③承包人在已标价工程量清单或预算书中载明的材料单价等于基准单价的：专用合同条款合同履行期间材料单价涨跌幅以基准单价为基础超过±</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%时，其超过部分据实调整。</w:t>
      </w:r>
    </w:p>
    <w:p w14:paraId="45F11E4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第3种方式：其他价格调整方式：</w:t>
      </w:r>
      <w:r>
        <w:rPr>
          <w:rFonts w:hint="eastAsia" w:ascii="宋体" w:hAnsi="宋体" w:cs="宋体"/>
          <w:b/>
          <w:color w:val="auto"/>
          <w:szCs w:val="21"/>
          <w:highlight w:val="none"/>
          <w:u w:val="single"/>
        </w:rPr>
        <w:t>采用政策性文件进行价格调整</w:t>
      </w:r>
      <w:r>
        <w:rPr>
          <w:rFonts w:hint="eastAsia" w:ascii="宋体" w:hAnsi="宋体" w:cs="宋体"/>
          <w:color w:val="auto"/>
          <w:szCs w:val="21"/>
          <w:highlight w:val="none"/>
        </w:rPr>
        <w:t>。</w:t>
      </w:r>
    </w:p>
    <w:bookmarkEnd w:id="735"/>
    <w:bookmarkEnd w:id="736"/>
    <w:bookmarkEnd w:id="737"/>
    <w:bookmarkEnd w:id="738"/>
    <w:bookmarkEnd w:id="739"/>
    <w:bookmarkEnd w:id="740"/>
    <w:p w14:paraId="4E237936">
      <w:pPr>
        <w:spacing w:line="360" w:lineRule="auto"/>
        <w:ind w:firstLine="422" w:firstLineChars="200"/>
        <w:rPr>
          <w:rFonts w:hint="eastAsia" w:ascii="宋体" w:hAnsi="宋体" w:cs="宋体"/>
          <w:b/>
          <w:color w:val="auto"/>
          <w:szCs w:val="21"/>
          <w:highlight w:val="none"/>
        </w:rPr>
      </w:pPr>
      <w:bookmarkStart w:id="850" w:name="_Toc296346706"/>
      <w:bookmarkStart w:id="851" w:name="_Toc292559410"/>
      <w:bookmarkStart w:id="852" w:name="_Toc296944544"/>
      <w:bookmarkStart w:id="853" w:name="_Toc296891033"/>
      <w:bookmarkStart w:id="854" w:name="_Toc296891245"/>
      <w:bookmarkStart w:id="855" w:name="_Toc297120505"/>
      <w:bookmarkStart w:id="856" w:name="_Toc296503205"/>
      <w:bookmarkStart w:id="857" w:name="_Toc292559915"/>
      <w:bookmarkStart w:id="858" w:name="_Toc297048391"/>
      <w:bookmarkStart w:id="859" w:name="_Toc296347204"/>
      <w:bookmarkStart w:id="860" w:name="_Toc351203644"/>
      <w:bookmarkStart w:id="861" w:name="_Toc297216211"/>
      <w:bookmarkStart w:id="862" w:name="_Toc312678040"/>
      <w:bookmarkStart w:id="863" w:name="_Toc300935002"/>
      <w:bookmarkStart w:id="864" w:name="_Toc304295579"/>
      <w:bookmarkStart w:id="865" w:name="_Toc303539159"/>
      <w:bookmarkStart w:id="866" w:name="_Toc297123552"/>
      <w:r>
        <w:rPr>
          <w:rFonts w:hint="eastAsia" w:ascii="宋体" w:hAnsi="宋体" w:cs="宋体"/>
          <w:b/>
          <w:color w:val="auto"/>
          <w:szCs w:val="21"/>
          <w:highlight w:val="none"/>
        </w:rPr>
        <w:t>政府投资工程因市场价格波动引起的调整按</w:t>
      </w:r>
      <w:r>
        <w:rPr>
          <w:rFonts w:hint="eastAsia" w:ascii="宋体" w:hAnsi="宋体" w:cs="宋体"/>
          <w:b/>
          <w:color w:val="auto"/>
          <w:szCs w:val="21"/>
          <w:highlight w:val="none"/>
          <w:u w:val="single"/>
        </w:rPr>
        <w:t>《关于进一步加强杭州市建设工程市场要素价格动态管理的指导意见》（杭建市发〔2018〕579号）执行</w:t>
      </w:r>
      <w:r>
        <w:rPr>
          <w:rFonts w:hint="eastAsia" w:ascii="宋体" w:hAnsi="宋体" w:cs="宋体"/>
          <w:b/>
          <w:color w:val="auto"/>
          <w:szCs w:val="21"/>
          <w:highlight w:val="none"/>
        </w:rPr>
        <w:t>执行：</w:t>
      </w:r>
    </w:p>
    <w:p w14:paraId="41EDEA4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其中：</w:t>
      </w:r>
    </w:p>
    <w:p w14:paraId="5F418194">
      <w:pPr>
        <w:spacing w:line="360" w:lineRule="auto"/>
        <w:ind w:firstLine="645"/>
        <w:rPr>
          <w:rFonts w:hint="eastAsia" w:ascii="宋体" w:hAnsi="宋体" w:cs="宋体"/>
          <w:b/>
          <w:color w:val="auto"/>
          <w:szCs w:val="21"/>
          <w:highlight w:val="none"/>
        </w:rPr>
      </w:pPr>
      <w:r>
        <w:rPr>
          <w:rFonts w:hint="eastAsia" w:ascii="宋体" w:hAnsi="宋体" w:cs="宋体"/>
          <w:b/>
          <w:color w:val="auto"/>
          <w:szCs w:val="21"/>
          <w:highlight w:val="none"/>
        </w:rPr>
        <w:t>1、风险范围及幅度的约定：</w:t>
      </w:r>
    </w:p>
    <w:p w14:paraId="6F14F829">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（1）人工费的风险幅度（ 5 %）</w:t>
      </w:r>
    </w:p>
    <w:p w14:paraId="12811E3B">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（2）材料价格的风险幅度（ 5 %）</w:t>
      </w:r>
    </w:p>
    <w:p w14:paraId="7E716F1C">
      <w:pPr>
        <w:spacing w:line="360" w:lineRule="auto"/>
        <w:ind w:firstLine="645"/>
        <w:rPr>
          <w:rFonts w:hint="eastAsia" w:ascii="宋体" w:hAnsi="宋体" w:cs="宋体"/>
          <w:b/>
          <w:color w:val="auto"/>
          <w:szCs w:val="21"/>
          <w:highlight w:val="none"/>
        </w:rPr>
      </w:pPr>
      <w:r>
        <w:rPr>
          <w:rFonts w:hint="eastAsia" w:ascii="宋体" w:hAnsi="宋体" w:cs="宋体"/>
          <w:b/>
          <w:color w:val="auto"/>
          <w:szCs w:val="21"/>
          <w:highlight w:val="none"/>
        </w:rPr>
        <w:t>2、材料价款动态调整结算方式采用以下</w:t>
      </w:r>
      <w:r>
        <w:rPr>
          <w:rFonts w:hint="eastAsia" w:ascii="宋体" w:hAnsi="宋体" w:cs="宋体"/>
          <w:b/>
          <w:color w:val="auto"/>
          <w:szCs w:val="21"/>
          <w:highlight w:val="none"/>
          <w:u w:val="single"/>
        </w:rPr>
        <w:t>第（ 3 ）种方式</w:t>
      </w:r>
      <w:r>
        <w:rPr>
          <w:rFonts w:hint="eastAsia" w:ascii="宋体" w:hAnsi="宋体" w:cs="宋体"/>
          <w:b/>
          <w:color w:val="auto"/>
          <w:szCs w:val="21"/>
          <w:highlight w:val="none"/>
        </w:rPr>
        <w:t>约定：</w:t>
      </w:r>
    </w:p>
    <w:p w14:paraId="60C06F6B">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（1）按时间进度分段结算。</w:t>
      </w:r>
    </w:p>
    <w:p w14:paraId="517F4B97">
      <w:pPr>
        <w:spacing w:line="360" w:lineRule="auto"/>
        <w:ind w:firstLine="645"/>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（2）按工程形象部位(目标)分段结算。</w:t>
      </w:r>
    </w:p>
    <w:p w14:paraId="1B83B307">
      <w:pPr>
        <w:spacing w:line="360" w:lineRule="auto"/>
        <w:ind w:firstLine="645"/>
        <w:rPr>
          <w:rFonts w:hint="eastAsia" w:ascii="宋体" w:hAnsi="宋体" w:cs="宋体"/>
          <w:color w:val="auto"/>
          <w:szCs w:val="21"/>
          <w:highlight w:val="none"/>
        </w:rPr>
      </w:pPr>
      <w:r>
        <w:rPr>
          <w:rFonts w:hint="eastAsia" w:ascii="宋体" w:hAnsi="宋体" w:cs="宋体"/>
          <w:b/>
          <w:color w:val="auto"/>
          <w:szCs w:val="21"/>
          <w:highlight w:val="none"/>
          <w:u w:val="single"/>
        </w:rPr>
        <w:t>（3）竣工后一次性结算</w:t>
      </w:r>
      <w:r>
        <w:rPr>
          <w:rFonts w:hint="eastAsia" w:ascii="宋体" w:hAnsi="宋体" w:cs="宋体"/>
          <w:b/>
          <w:color w:val="auto"/>
          <w:szCs w:val="21"/>
          <w:highlight w:val="none"/>
        </w:rPr>
        <w:t>。</w:t>
      </w:r>
    </w:p>
    <w:p w14:paraId="2677DED9">
      <w:pPr>
        <w:tabs>
          <w:tab w:val="left" w:pos="864"/>
        </w:tabs>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12. </w:t>
      </w:r>
      <w:bookmarkEnd w:id="850"/>
      <w:bookmarkEnd w:id="851"/>
      <w:bookmarkEnd w:id="852"/>
      <w:bookmarkEnd w:id="853"/>
      <w:bookmarkEnd w:id="854"/>
      <w:bookmarkEnd w:id="855"/>
      <w:bookmarkEnd w:id="856"/>
      <w:bookmarkEnd w:id="857"/>
      <w:bookmarkEnd w:id="858"/>
      <w:bookmarkEnd w:id="859"/>
      <w:r>
        <w:rPr>
          <w:rFonts w:hint="eastAsia" w:ascii="宋体" w:hAnsi="宋体" w:cs="宋体"/>
          <w:color w:val="auto"/>
          <w:szCs w:val="21"/>
          <w:highlight w:val="none"/>
        </w:rPr>
        <w:t>合同价格、计量与支付</w:t>
      </w:r>
      <w:bookmarkEnd w:id="860"/>
    </w:p>
    <w:bookmarkEnd w:id="861"/>
    <w:bookmarkEnd w:id="862"/>
    <w:bookmarkEnd w:id="863"/>
    <w:bookmarkEnd w:id="864"/>
    <w:bookmarkEnd w:id="865"/>
    <w:bookmarkEnd w:id="866"/>
    <w:p w14:paraId="5FACF35C">
      <w:pPr>
        <w:snapToGrid w:val="0"/>
        <w:spacing w:line="360" w:lineRule="auto"/>
        <w:ind w:firstLine="420" w:firstLineChars="200"/>
        <w:rPr>
          <w:rFonts w:hint="eastAsia" w:ascii="宋体" w:hAnsi="宋体" w:cs="宋体"/>
          <w:color w:val="auto"/>
          <w:szCs w:val="21"/>
          <w:highlight w:val="none"/>
        </w:rPr>
      </w:pPr>
      <w:bookmarkStart w:id="867" w:name="_Toc292559411"/>
      <w:bookmarkStart w:id="868" w:name="_Toc267251461"/>
      <w:bookmarkStart w:id="869" w:name="_Toc292559916"/>
      <w:bookmarkStart w:id="870" w:name="_Toc296944545"/>
      <w:bookmarkStart w:id="871" w:name="_Toc296347205"/>
      <w:bookmarkStart w:id="872" w:name="_Toc296891034"/>
      <w:bookmarkStart w:id="873" w:name="_Toc296346707"/>
      <w:bookmarkStart w:id="874" w:name="_Toc296503206"/>
      <w:bookmarkStart w:id="875" w:name="_Toc297048392"/>
      <w:bookmarkStart w:id="876" w:name="_Toc296891246"/>
      <w:bookmarkStart w:id="877" w:name="_Toc297120506"/>
      <w:bookmarkStart w:id="878" w:name="_Toc303539160"/>
      <w:bookmarkStart w:id="879" w:name="_Toc297216212"/>
      <w:bookmarkStart w:id="880" w:name="_Toc312678041"/>
      <w:bookmarkStart w:id="881" w:name="_Toc297123553"/>
      <w:bookmarkStart w:id="882" w:name="_Toc300935003"/>
      <w:bookmarkStart w:id="883" w:name="_Toc304295580"/>
      <w:r>
        <w:rPr>
          <w:rFonts w:hint="eastAsia" w:ascii="宋体" w:hAnsi="宋体" w:cs="宋体"/>
          <w:color w:val="auto"/>
          <w:szCs w:val="21"/>
          <w:highlight w:val="none"/>
        </w:rPr>
        <w:t>12.1 合</w:t>
      </w:r>
      <w:bookmarkEnd w:id="867"/>
      <w:bookmarkEnd w:id="868"/>
      <w:bookmarkEnd w:id="869"/>
      <w:r>
        <w:rPr>
          <w:rFonts w:hint="eastAsia" w:ascii="宋体" w:hAnsi="宋体" w:cs="宋体"/>
          <w:color w:val="auto"/>
          <w:szCs w:val="21"/>
          <w:highlight w:val="none"/>
        </w:rPr>
        <w:t>同价</w:t>
      </w:r>
      <w:bookmarkEnd w:id="870"/>
      <w:bookmarkEnd w:id="871"/>
      <w:bookmarkEnd w:id="872"/>
      <w:bookmarkEnd w:id="873"/>
      <w:bookmarkEnd w:id="874"/>
      <w:bookmarkEnd w:id="875"/>
      <w:bookmarkEnd w:id="876"/>
      <w:bookmarkEnd w:id="877"/>
      <w:r>
        <w:rPr>
          <w:rFonts w:hint="eastAsia" w:ascii="宋体" w:hAnsi="宋体" w:cs="宋体"/>
          <w:color w:val="auto"/>
          <w:szCs w:val="21"/>
          <w:highlight w:val="none"/>
        </w:rPr>
        <w:t>格形式</w:t>
      </w:r>
    </w:p>
    <w:bookmarkEnd w:id="878"/>
    <w:bookmarkEnd w:id="879"/>
    <w:bookmarkEnd w:id="880"/>
    <w:bookmarkEnd w:id="881"/>
    <w:bookmarkEnd w:id="882"/>
    <w:bookmarkEnd w:id="883"/>
    <w:p w14:paraId="09010A0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w:t>
      </w:r>
    </w:p>
    <w:p w14:paraId="07EAA72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综合单价包含的风险范围：</w:t>
      </w:r>
    </w:p>
    <w:p w14:paraId="501C541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 xml:space="preserve">应由承包人承担的工、料、机在投标编制期或预算书编制期与合同实施期间所发生的市场价格波动。 </w:t>
      </w:r>
    </w:p>
    <w:p w14:paraId="69D3FCE1">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其他：</w:t>
      </w:r>
    </w:p>
    <w:p w14:paraId="049938D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①技术规范要求的费用；</w:t>
      </w:r>
    </w:p>
    <w:p w14:paraId="0526D95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②由于承包人原因造成的施工方案更改或单方更改施工方案；</w:t>
      </w:r>
    </w:p>
    <w:p w14:paraId="3E6D9A4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③承包人对工程现场环境以及招标人提供的竞争性磋商文件、图纸等资料做出错误的推论、理解而导致报价失误；</w:t>
      </w:r>
    </w:p>
    <w:p w14:paraId="0DC4794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④工程量清单描述不全或现行预算定额未包括或计价规范未描述到，但又是完成分项工程必须的工作内容；</w:t>
      </w:r>
    </w:p>
    <w:p w14:paraId="456E3AD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⑤工程量清单数量误差引起的综合单价成本差异；</w:t>
      </w:r>
    </w:p>
    <w:p w14:paraId="30D428F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⑥合同及各合同附件约定的，要求包干的项目；</w:t>
      </w:r>
    </w:p>
    <w:p w14:paraId="563463EC">
      <w:pPr>
        <w:snapToGrid w:val="0"/>
        <w:spacing w:line="360" w:lineRule="auto"/>
        <w:jc w:val="left"/>
        <w:rPr>
          <w:rFonts w:hint="eastAsia" w:ascii="宋体" w:hAnsi="宋体" w:cs="宋体"/>
          <w:color w:val="auto"/>
          <w:szCs w:val="21"/>
          <w:highlight w:val="none"/>
        </w:rPr>
      </w:pPr>
      <w:r>
        <w:rPr>
          <w:rFonts w:hint="eastAsia" w:ascii="宋体" w:hAnsi="宋体" w:cs="宋体"/>
          <w:b/>
          <w:color w:val="auto"/>
          <w:szCs w:val="21"/>
          <w:highlight w:val="none"/>
          <w:u w:val="single"/>
        </w:rPr>
        <w:t>⑦作为一个有经验的承包人应能预计的可能发生的其他费用</w:t>
      </w:r>
      <w:r>
        <w:rPr>
          <w:rFonts w:hint="eastAsia" w:ascii="宋体" w:hAnsi="宋体" w:cs="宋体"/>
          <w:color w:val="auto"/>
          <w:szCs w:val="21"/>
          <w:highlight w:val="none"/>
        </w:rPr>
        <w:t>。</w:t>
      </w:r>
    </w:p>
    <w:p w14:paraId="32EA268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b/>
          <w:color w:val="auto"/>
          <w:szCs w:val="21"/>
          <w:highlight w:val="none"/>
          <w:u w:val="single"/>
        </w:rPr>
        <w:t>以上风险范围之内的费用投标人在投标报价时自行考虑，工程结算时均不作调整</w:t>
      </w:r>
      <w:r>
        <w:rPr>
          <w:rFonts w:hint="eastAsia" w:ascii="宋体" w:hAnsi="宋体" w:cs="宋体"/>
          <w:color w:val="auto"/>
          <w:szCs w:val="21"/>
          <w:highlight w:val="none"/>
        </w:rPr>
        <w:t>。</w:t>
      </w:r>
    </w:p>
    <w:p w14:paraId="5BD5FCE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p>
    <w:p w14:paraId="3B5462F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市场价格波动引起的调整按本合同11.1第3种方式的约定计算</w:t>
      </w:r>
      <w:r>
        <w:rPr>
          <w:rFonts w:hint="eastAsia" w:ascii="宋体" w:hAnsi="宋体" w:cs="宋体"/>
          <w:b/>
          <w:color w:val="auto"/>
          <w:szCs w:val="21"/>
          <w:highlight w:val="none"/>
        </w:rPr>
        <w:t>。</w:t>
      </w:r>
    </w:p>
    <w:p w14:paraId="2F6676C7">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其他：①实物工程量数量按实调整；②变更估价按本合同10.4.1 的约定计算</w:t>
      </w:r>
      <w:r>
        <w:rPr>
          <w:rFonts w:hint="eastAsia" w:ascii="宋体" w:hAnsi="宋体" w:cs="宋体"/>
          <w:color w:val="auto"/>
          <w:szCs w:val="21"/>
          <w:highlight w:val="none"/>
        </w:rPr>
        <w:t>。</w:t>
      </w:r>
    </w:p>
    <w:p w14:paraId="08E7753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w:t>
      </w:r>
    </w:p>
    <w:p w14:paraId="3289101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总价包含的风险范围：</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F3BB41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风险费用的计算方法：</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07815B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风险范围以外合同价格的调整方法：</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9E50A8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3、其他价格方式：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2D0E396">
      <w:pPr>
        <w:snapToGrid w:val="0"/>
        <w:spacing w:line="360" w:lineRule="auto"/>
        <w:ind w:firstLine="420" w:firstLineChars="200"/>
        <w:rPr>
          <w:rFonts w:hint="eastAsia" w:ascii="宋体" w:hAnsi="宋体" w:cs="宋体"/>
          <w:color w:val="auto"/>
          <w:szCs w:val="21"/>
          <w:highlight w:val="none"/>
        </w:rPr>
      </w:pPr>
      <w:bookmarkStart w:id="884" w:name="_Toc297216213"/>
      <w:bookmarkStart w:id="885" w:name="_Toc312678042"/>
      <w:bookmarkStart w:id="886" w:name="_Toc300935004"/>
      <w:bookmarkStart w:id="887" w:name="_Toc304295581"/>
      <w:bookmarkStart w:id="888" w:name="_Toc297123554"/>
      <w:bookmarkStart w:id="889" w:name="_Toc303539161"/>
      <w:bookmarkStart w:id="890" w:name="_Toc292559917"/>
      <w:bookmarkStart w:id="891" w:name="_Toc296346708"/>
      <w:bookmarkStart w:id="892" w:name="_Toc296891035"/>
      <w:bookmarkStart w:id="893" w:name="_Toc297048393"/>
      <w:bookmarkStart w:id="894" w:name="_Toc297120507"/>
      <w:bookmarkStart w:id="895" w:name="_Toc296503207"/>
      <w:bookmarkStart w:id="896" w:name="_Toc296944546"/>
      <w:bookmarkStart w:id="897" w:name="_Toc296891247"/>
      <w:bookmarkStart w:id="898" w:name="_Toc296347206"/>
      <w:bookmarkStart w:id="899" w:name="_Toc292559412"/>
      <w:r>
        <w:rPr>
          <w:rFonts w:hint="eastAsia" w:ascii="宋体" w:hAnsi="宋体" w:cs="宋体"/>
          <w:color w:val="auto"/>
          <w:szCs w:val="21"/>
          <w:highlight w:val="none"/>
        </w:rPr>
        <w:t>12.2 预付款</w:t>
      </w:r>
    </w:p>
    <w:bookmarkEnd w:id="884"/>
    <w:bookmarkEnd w:id="885"/>
    <w:bookmarkEnd w:id="886"/>
    <w:bookmarkEnd w:id="887"/>
    <w:bookmarkEnd w:id="888"/>
    <w:bookmarkEnd w:id="889"/>
    <w:p w14:paraId="62B7BA7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12.2.1 预付款的支付</w:t>
      </w:r>
    </w:p>
    <w:p w14:paraId="3D798AA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预付款支付比例或金额：</w:t>
      </w:r>
      <w:r>
        <w:rPr>
          <w:rFonts w:hint="eastAsia" w:ascii="宋体" w:hAnsi="宋体" w:cs="宋体"/>
          <w:b/>
          <w:bCs/>
          <w:color w:val="auto"/>
          <w:szCs w:val="21"/>
          <w:highlight w:val="none"/>
          <w:u w:val="single"/>
        </w:rPr>
        <w:t>合同金额的60%</w:t>
      </w:r>
      <w:r>
        <w:rPr>
          <w:rFonts w:hint="eastAsia" w:ascii="宋体" w:hAnsi="宋体" w:cs="宋体"/>
          <w:color w:val="auto"/>
          <w:szCs w:val="21"/>
          <w:highlight w:val="none"/>
        </w:rPr>
        <w:t>。</w:t>
      </w:r>
    </w:p>
    <w:p w14:paraId="7AC8E23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预付款支付期限：</w:t>
      </w:r>
      <w:r>
        <w:rPr>
          <w:rFonts w:hint="eastAsia" w:ascii="宋体" w:hAnsi="宋体" w:cs="宋体"/>
          <w:color w:val="auto"/>
          <w:szCs w:val="21"/>
          <w:highlight w:val="none"/>
          <w:u w:val="single"/>
        </w:rPr>
        <w:t>合同生效、具备实施条件后，承包人在5个工作日内提交银行或者保险公司出具的预付款保函，发包人在5个工作日内支付合同总价的60%作为预付款(因客观原因造成发包人预付款逾期支付的，不追究逾期支付违约责任，具体付款日期按实际支付时间执行)</w:t>
      </w:r>
      <w:r>
        <w:rPr>
          <w:rFonts w:hint="eastAsia" w:ascii="宋体" w:hAnsi="宋体" w:cs="宋体"/>
          <w:color w:val="auto"/>
          <w:szCs w:val="21"/>
          <w:highlight w:val="none"/>
        </w:rPr>
        <w:t>。</w:t>
      </w:r>
    </w:p>
    <w:p w14:paraId="079B1EA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预付款扣回的方式：</w:t>
      </w:r>
      <w:r>
        <w:rPr>
          <w:rFonts w:hint="eastAsia" w:ascii="宋体" w:hAnsi="宋体" w:cs="宋体"/>
          <w:b/>
          <w:bCs/>
          <w:color w:val="auto"/>
          <w:szCs w:val="21"/>
          <w:highlight w:val="none"/>
          <w:u w:val="single"/>
        </w:rPr>
        <w:t>在竣工时一并结算</w:t>
      </w:r>
      <w:r>
        <w:rPr>
          <w:rFonts w:hint="eastAsia" w:ascii="宋体" w:hAnsi="宋体" w:cs="宋体"/>
          <w:color w:val="auto"/>
          <w:szCs w:val="21"/>
          <w:highlight w:val="none"/>
        </w:rPr>
        <w:t>。</w:t>
      </w:r>
    </w:p>
    <w:p w14:paraId="64F3382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12.2.2 预付款担保</w:t>
      </w:r>
    </w:p>
    <w:p w14:paraId="61BDB09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承包人递交预付款担保的期限：</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52D7AA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预付款担保的形式为：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890"/>
    <w:bookmarkEnd w:id="891"/>
    <w:bookmarkEnd w:id="892"/>
    <w:bookmarkEnd w:id="893"/>
    <w:bookmarkEnd w:id="894"/>
    <w:bookmarkEnd w:id="895"/>
    <w:bookmarkEnd w:id="896"/>
    <w:bookmarkEnd w:id="897"/>
    <w:bookmarkEnd w:id="898"/>
    <w:bookmarkEnd w:id="899"/>
    <w:p w14:paraId="7CC86AE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12.3 计量</w:t>
      </w:r>
    </w:p>
    <w:p w14:paraId="2FB93BB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12.3.1 计量原则</w:t>
      </w:r>
    </w:p>
    <w:p w14:paraId="7035A131">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工程量计算规则：</w:t>
      </w:r>
    </w:p>
    <w:p w14:paraId="5475C55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rPr>
        <w:t>（1）</w:t>
      </w:r>
      <w:r>
        <w:rPr>
          <w:rFonts w:hint="eastAsia" w:ascii="宋体" w:hAnsi="宋体" w:cs="宋体"/>
          <w:b/>
          <w:color w:val="auto"/>
          <w:szCs w:val="21"/>
          <w:highlight w:val="none"/>
          <w:u w:val="single"/>
        </w:rPr>
        <w:t xml:space="preserve"> 实行工程量清单计价的工程项目，其工程量的计算规则应按国家标准工程量计算规范及省级行业主管部门颁布的补充规定执行。</w:t>
      </w:r>
    </w:p>
    <w:p w14:paraId="45209437">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rPr>
        <w:t>（2）</w:t>
      </w:r>
      <w:r>
        <w:rPr>
          <w:rFonts w:hint="eastAsia" w:ascii="宋体" w:hAnsi="宋体" w:cs="宋体"/>
          <w:b/>
          <w:color w:val="auto"/>
          <w:szCs w:val="21"/>
          <w:highlight w:val="none"/>
          <w:u w:val="single"/>
        </w:rPr>
        <w:t>不实行工程量清单计价的工程项目，工程量的计算规则应按省、市行业主管部门颁布的各专业工程定额的工程量计算规则执行</w:t>
      </w:r>
      <w:r>
        <w:rPr>
          <w:rFonts w:hint="eastAsia" w:ascii="宋体" w:hAnsi="宋体" w:cs="宋体"/>
          <w:color w:val="auto"/>
          <w:szCs w:val="21"/>
          <w:highlight w:val="none"/>
        </w:rPr>
        <w:t>。</w:t>
      </w:r>
    </w:p>
    <w:p w14:paraId="0DE2D44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12.3.2 计量周期</w:t>
      </w:r>
    </w:p>
    <w:p w14:paraId="51F5860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关于计量周期的约定：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532367C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12.3.3 单价合同的计量</w:t>
      </w:r>
    </w:p>
    <w:p w14:paraId="1051F23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关于单价合同计量的约定：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32C64AE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12.3.4 总价合同的计量</w:t>
      </w:r>
    </w:p>
    <w:p w14:paraId="7C3348D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关于总价合同计量的约定：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67F502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12.3.5总价合同采用支付分解表计量支付的，是否适用第</w:t>
      </w:r>
      <w:r>
        <w:rPr>
          <w:rFonts w:hint="eastAsia" w:ascii="宋体" w:hAnsi="宋体" w:cs="宋体"/>
          <w:color w:val="auto"/>
          <w:kern w:val="0"/>
          <w:szCs w:val="21"/>
          <w:highlight w:val="none"/>
        </w:rPr>
        <w:t xml:space="preserve">12.3.4 </w:t>
      </w:r>
      <w:r>
        <w:rPr>
          <w:rFonts w:hint="eastAsia" w:ascii="宋体" w:hAnsi="宋体" w:cs="宋体"/>
          <w:color w:val="auto"/>
          <w:szCs w:val="21"/>
          <w:highlight w:val="none"/>
        </w:rPr>
        <w:t>项</w:t>
      </w:r>
      <w:r>
        <w:rPr>
          <w:rFonts w:hint="eastAsia" w:ascii="宋体" w:hAnsi="宋体" w:cs="宋体"/>
          <w:color w:val="auto"/>
          <w:kern w:val="0"/>
          <w:szCs w:val="21"/>
          <w:highlight w:val="none"/>
        </w:rPr>
        <w:t>〔总价合同的计量〕</w:t>
      </w:r>
      <w:r>
        <w:rPr>
          <w:rFonts w:hint="eastAsia" w:ascii="宋体" w:hAnsi="宋体" w:cs="宋体"/>
          <w:color w:val="auto"/>
          <w:szCs w:val="21"/>
          <w:highlight w:val="none"/>
        </w:rPr>
        <w:t>约定进行计量：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D32CA6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12.3.6 其他价格形式合同的计量</w:t>
      </w:r>
    </w:p>
    <w:p w14:paraId="508B89E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其他价格形式的计量方式和程序：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436AE5A">
      <w:pPr>
        <w:snapToGrid w:val="0"/>
        <w:spacing w:line="360" w:lineRule="auto"/>
        <w:rPr>
          <w:rFonts w:hint="eastAsia" w:ascii="宋体" w:hAnsi="宋体" w:cs="宋体"/>
          <w:color w:val="auto"/>
          <w:szCs w:val="21"/>
          <w:highlight w:val="none"/>
        </w:rPr>
      </w:pPr>
      <w:bookmarkStart w:id="900" w:name="_Toc292559921"/>
      <w:bookmarkStart w:id="901" w:name="_Toc297120511"/>
      <w:bookmarkStart w:id="902" w:name="_Toc292559416"/>
      <w:bookmarkStart w:id="903" w:name="_Toc296891251"/>
      <w:bookmarkStart w:id="904" w:name="_Toc297216215"/>
      <w:bookmarkStart w:id="905" w:name="_Toc296347210"/>
      <w:bookmarkStart w:id="906" w:name="_Toc297048397"/>
      <w:bookmarkStart w:id="907" w:name="_Toc303539163"/>
      <w:bookmarkStart w:id="908" w:name="_Toc300935006"/>
      <w:bookmarkStart w:id="909" w:name="_Toc296891039"/>
      <w:bookmarkStart w:id="910" w:name="_Toc296944550"/>
      <w:bookmarkStart w:id="911" w:name="_Toc296503211"/>
      <w:bookmarkStart w:id="912" w:name="_Toc296346712"/>
      <w:bookmarkStart w:id="913" w:name="_Toc297123556"/>
      <w:r>
        <w:rPr>
          <w:rFonts w:hint="eastAsia" w:ascii="宋体" w:hAnsi="宋体" w:cs="宋体"/>
          <w:color w:val="auto"/>
          <w:szCs w:val="21"/>
          <w:highlight w:val="none"/>
        </w:rPr>
        <w:t>12.4 工程进度款支付</w:t>
      </w:r>
    </w:p>
    <w:p w14:paraId="10CB6C18">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 付款周期</w:t>
      </w:r>
    </w:p>
    <w:p w14:paraId="66FE8D70">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12.4.1.1合同生效、具备实施条件后，成交供应商在5个工作日内提交银行或者保险公司出具的预付款保函，采购人在5个工作日内支付合同总价的60%作为预付款(因客观原因造成采购人预付款逾期支付的，不追究逾期支付违约责任，具体付款日期按实际支付时间执行)；</w:t>
      </w:r>
    </w:p>
    <w:p w14:paraId="4E84EEC8">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12.4.1.2工程竣工验收合格，竣工资料整理完整上交采购人后支付至合同价（扣除暂列金）的8</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%（如实际发生工程量低于合同价的8</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%，则支付至已完工程量的8</w:t>
      </w:r>
      <w:r>
        <w:rPr>
          <w:rFonts w:hint="eastAsia" w:ascii="宋体" w:hAnsi="宋体" w:cs="宋体"/>
          <w:b/>
          <w:bCs/>
          <w:color w:val="auto"/>
          <w:szCs w:val="21"/>
          <w:highlight w:val="none"/>
          <w:u w:val="single"/>
          <w:lang w:val="en-US" w:eastAsia="zh-CN"/>
        </w:rPr>
        <w:t>0</w:t>
      </w:r>
      <w:r>
        <w:rPr>
          <w:rFonts w:hint="eastAsia" w:ascii="宋体" w:hAnsi="宋体" w:cs="宋体"/>
          <w:b/>
          <w:bCs/>
          <w:color w:val="auto"/>
          <w:szCs w:val="21"/>
          <w:highlight w:val="none"/>
          <w:u w:val="single"/>
        </w:rPr>
        <w:t>%）；</w:t>
      </w:r>
    </w:p>
    <w:p w14:paraId="5CC95A7A">
      <w:pPr>
        <w:snapToGrid w:val="0"/>
        <w:spacing w:line="360" w:lineRule="auto"/>
        <w:ind w:firstLine="422" w:firstLineChars="200"/>
        <w:jc w:val="left"/>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12.4.1.3工程竣工结算经审核完成之日起的10日内付至审定金额的100%。</w:t>
      </w:r>
    </w:p>
    <w:p w14:paraId="33A0E2C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12.4.2 进度付款申请单的编制</w:t>
      </w:r>
    </w:p>
    <w:p w14:paraId="3E28815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关于进度付款申请单编制的约定：</w:t>
      </w:r>
      <w:r>
        <w:rPr>
          <w:rFonts w:hint="eastAsia" w:ascii="宋体" w:hAnsi="宋体" w:cs="宋体"/>
          <w:b/>
          <w:color w:val="auto"/>
          <w:szCs w:val="21"/>
          <w:highlight w:val="none"/>
          <w:u w:val="single"/>
        </w:rPr>
        <w:t>按通用合同条款约定，一式伍份</w:t>
      </w:r>
      <w:r>
        <w:rPr>
          <w:rFonts w:hint="eastAsia" w:ascii="宋体" w:hAnsi="宋体" w:cs="宋体"/>
          <w:color w:val="auto"/>
          <w:szCs w:val="21"/>
          <w:highlight w:val="none"/>
        </w:rPr>
        <w:t>。</w:t>
      </w:r>
    </w:p>
    <w:p w14:paraId="32F70EB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r>
        <w:rPr>
          <w:rFonts w:hint="eastAsia" w:ascii="宋体" w:hAnsi="宋体" w:cs="宋体"/>
          <w:color w:val="auto"/>
          <w:szCs w:val="21"/>
          <w:highlight w:val="none"/>
        </w:rPr>
        <w:t>2.4.3 进度付款申请单的递交</w:t>
      </w:r>
    </w:p>
    <w:p w14:paraId="4AFD7FF1">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（1）单价合同进度付款申请单递交的约定：</w:t>
      </w:r>
      <w:r>
        <w:rPr>
          <w:rFonts w:hint="eastAsia" w:ascii="宋体" w:hAnsi="宋体" w:cs="宋体"/>
          <w:b/>
          <w:bCs/>
          <w:color w:val="auto"/>
          <w:szCs w:val="21"/>
          <w:highlight w:val="none"/>
          <w:u w:val="single"/>
        </w:rPr>
        <w:t>按通用条款执行</w:t>
      </w:r>
      <w:r>
        <w:rPr>
          <w:rFonts w:hint="eastAsia" w:ascii="宋体" w:hAnsi="宋体" w:cs="宋体"/>
          <w:color w:val="auto"/>
          <w:szCs w:val="21"/>
          <w:highlight w:val="none"/>
        </w:rPr>
        <w:t>。</w:t>
      </w:r>
    </w:p>
    <w:p w14:paraId="7A22101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（2）总价合同进度付款申请单递交的约定：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7D171B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（3）其他价格形式合同进度付款申请单递交的约定：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09046E7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12.4.4 进度款审核和支付</w:t>
      </w:r>
    </w:p>
    <w:p w14:paraId="0A0DD3A6">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（1）监理人审查并报送发包人的期限：</w:t>
      </w:r>
      <w:r>
        <w:rPr>
          <w:rFonts w:hint="eastAsia" w:ascii="宋体" w:hAnsi="宋体" w:cs="宋体"/>
          <w:b/>
          <w:color w:val="auto"/>
          <w:szCs w:val="21"/>
          <w:highlight w:val="none"/>
          <w:u w:val="single"/>
        </w:rPr>
        <w:t>监理人应在收到承包人进度付款申请单以及相关资料后7天内完成审查并报送发包人</w:t>
      </w:r>
      <w:r>
        <w:rPr>
          <w:rFonts w:hint="eastAsia" w:ascii="宋体" w:hAnsi="宋体" w:cs="宋体"/>
          <w:color w:val="auto"/>
          <w:szCs w:val="21"/>
          <w:highlight w:val="none"/>
        </w:rPr>
        <w:t>。</w:t>
      </w:r>
    </w:p>
    <w:p w14:paraId="4F7D3EA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发包人完成审批并签发进度款支付证书的期限：</w:t>
      </w:r>
      <w:r>
        <w:rPr>
          <w:rFonts w:hint="eastAsia" w:ascii="宋体" w:hAnsi="宋体" w:cs="宋体"/>
          <w:b/>
          <w:color w:val="auto"/>
          <w:szCs w:val="21"/>
          <w:highlight w:val="none"/>
          <w:u w:val="single"/>
        </w:rPr>
        <w:t>发包人应在收到后20天内完成审批并签发进度款支付证书</w:t>
      </w:r>
      <w:r>
        <w:rPr>
          <w:rFonts w:hint="eastAsia" w:ascii="宋体" w:hAnsi="宋体" w:cs="宋体"/>
          <w:color w:val="auto"/>
          <w:szCs w:val="21"/>
          <w:highlight w:val="none"/>
        </w:rPr>
        <w:t>。</w:t>
      </w:r>
    </w:p>
    <w:p w14:paraId="12DA559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（2）发包人支付进度款的期限：</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D12DE3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发包人逾期支付进度款的违约金的计算方式：</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37E3EC0D">
      <w:pPr>
        <w:snapToGrid w:val="0"/>
        <w:spacing w:line="360" w:lineRule="auto"/>
        <w:ind w:firstLine="525" w:firstLineChars="250"/>
        <w:jc w:val="left"/>
        <w:rPr>
          <w:rFonts w:hint="eastAsia" w:ascii="宋体" w:hAnsi="宋体" w:cs="宋体"/>
          <w:color w:val="auto"/>
          <w:szCs w:val="21"/>
          <w:highlight w:val="none"/>
        </w:rPr>
      </w:pPr>
      <w:r>
        <w:rPr>
          <w:rFonts w:hint="eastAsia" w:ascii="宋体" w:hAnsi="宋体" w:cs="宋体"/>
          <w:color w:val="auto"/>
          <w:szCs w:val="21"/>
          <w:highlight w:val="none"/>
        </w:rPr>
        <w:t>12.4.6 支付分解表的编制</w:t>
      </w:r>
    </w:p>
    <w:p w14:paraId="3DE3832B">
      <w:pPr>
        <w:snapToGrid w:val="0"/>
        <w:spacing w:line="360" w:lineRule="auto"/>
        <w:ind w:left="4259" w:leftChars="228" w:hanging="3780" w:hangingChars="1800"/>
        <w:jc w:val="left"/>
        <w:rPr>
          <w:rFonts w:hint="eastAsia" w:ascii="宋体" w:hAnsi="宋体" w:cs="宋体"/>
          <w:color w:val="auto"/>
          <w:szCs w:val="21"/>
          <w:highlight w:val="none"/>
        </w:rPr>
      </w:pPr>
      <w:r>
        <w:rPr>
          <w:rFonts w:hint="eastAsia" w:ascii="宋体" w:hAnsi="宋体" w:cs="宋体"/>
          <w:color w:val="auto"/>
          <w:szCs w:val="21"/>
          <w:highlight w:val="none"/>
        </w:rPr>
        <w:t>2、总价合同支付分解表的编制与审批：</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5C2BD74B">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3、单价合同的总价项目支付分解表的编制与审批：</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741"/>
    <w:p w14:paraId="18EF4DD0">
      <w:pPr>
        <w:tabs>
          <w:tab w:val="left" w:pos="864"/>
        </w:tabs>
        <w:snapToGrid w:val="0"/>
        <w:spacing w:line="360" w:lineRule="auto"/>
        <w:rPr>
          <w:rFonts w:hint="eastAsia" w:ascii="宋体" w:hAnsi="宋体" w:cs="宋体"/>
          <w:color w:val="auto"/>
          <w:szCs w:val="21"/>
          <w:highlight w:val="none"/>
        </w:rPr>
      </w:pPr>
      <w:bookmarkStart w:id="914" w:name="_Toc351203645"/>
      <w:bookmarkStart w:id="915" w:name="_Toc297123564"/>
      <w:bookmarkStart w:id="916" w:name="_Toc297216223"/>
      <w:bookmarkStart w:id="917" w:name="_Toc304295593"/>
      <w:bookmarkStart w:id="918" w:name="_Toc297120519"/>
      <w:bookmarkStart w:id="919" w:name="_Toc300935015"/>
      <w:bookmarkStart w:id="920" w:name="_Toc297048405"/>
      <w:bookmarkStart w:id="921" w:name="_Toc296891047"/>
      <w:bookmarkStart w:id="922" w:name="_Toc303539172"/>
      <w:bookmarkStart w:id="923" w:name="_Toc296944558"/>
      <w:bookmarkStart w:id="924" w:name="_Toc292559929"/>
      <w:bookmarkStart w:id="925" w:name="_Toc296346720"/>
      <w:bookmarkStart w:id="926" w:name="_Toc312678053"/>
      <w:bookmarkStart w:id="927" w:name="_Toc296891259"/>
      <w:bookmarkStart w:id="928" w:name="_Toc296347218"/>
      <w:bookmarkStart w:id="929" w:name="_Toc292559424"/>
      <w:bookmarkStart w:id="930" w:name="_Toc296503219"/>
      <w:r>
        <w:rPr>
          <w:rFonts w:hint="eastAsia" w:ascii="宋体" w:hAnsi="宋体" w:cs="宋体"/>
          <w:color w:val="auto"/>
          <w:szCs w:val="21"/>
          <w:highlight w:val="none"/>
        </w:rPr>
        <w:t>13. 验收和工程试车</w:t>
      </w:r>
      <w:bookmarkEnd w:id="914"/>
    </w:p>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14:paraId="2F88D7D1">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 分部分项工程验收</w:t>
      </w:r>
    </w:p>
    <w:p w14:paraId="2FCC29B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13.1.2监理人不能按时进行验收时，应提前</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24</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小时递交书面延期要求。</w:t>
      </w:r>
    </w:p>
    <w:p w14:paraId="4668510E">
      <w:pPr>
        <w:snapToGrid w:val="0"/>
        <w:spacing w:line="360" w:lineRule="auto"/>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关于延期最长不得超过：</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48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小时。</w:t>
      </w:r>
    </w:p>
    <w:p w14:paraId="2AFA5330">
      <w:pPr>
        <w:snapToGrid w:val="0"/>
        <w:spacing w:line="360" w:lineRule="auto"/>
        <w:ind w:firstLine="420" w:firstLineChars="200"/>
        <w:rPr>
          <w:rFonts w:hint="eastAsia" w:ascii="宋体" w:hAnsi="宋体" w:cs="宋体"/>
          <w:color w:val="auto"/>
          <w:szCs w:val="21"/>
          <w:highlight w:val="none"/>
        </w:rPr>
      </w:pPr>
      <w:bookmarkStart w:id="931" w:name="_Toc292559933"/>
      <w:bookmarkStart w:id="932" w:name="_Toc296944562"/>
      <w:bookmarkStart w:id="933" w:name="_Toc297216224"/>
      <w:bookmarkStart w:id="934" w:name="_Toc300935016"/>
      <w:bookmarkStart w:id="935" w:name="_Toc296503223"/>
      <w:bookmarkStart w:id="936" w:name="_Toc303539173"/>
      <w:bookmarkStart w:id="937" w:name="_Toc296891263"/>
      <w:bookmarkStart w:id="938" w:name="_Toc296347222"/>
      <w:bookmarkStart w:id="939" w:name="_Toc297123565"/>
      <w:bookmarkStart w:id="940" w:name="_Toc312678056"/>
      <w:bookmarkStart w:id="941" w:name="_Toc296346724"/>
      <w:bookmarkStart w:id="942" w:name="_Toc296891051"/>
      <w:bookmarkStart w:id="943" w:name="_Toc297120523"/>
      <w:bookmarkStart w:id="944" w:name="_Toc304295596"/>
      <w:bookmarkStart w:id="945" w:name="_Toc297048409"/>
      <w:bookmarkStart w:id="946" w:name="_Toc292559428"/>
      <w:bookmarkStart w:id="947" w:name="_Toc267251470"/>
      <w:bookmarkStart w:id="948" w:name="_Toc267251475"/>
      <w:bookmarkStart w:id="949" w:name="_Toc267251476"/>
      <w:bookmarkStart w:id="950" w:name="_Toc267251472"/>
      <w:bookmarkStart w:id="951" w:name="_Toc267251473"/>
      <w:bookmarkStart w:id="952" w:name="_Toc267251471"/>
      <w:bookmarkStart w:id="953" w:name="_Toc267251474"/>
      <w:r>
        <w:rPr>
          <w:rFonts w:hint="eastAsia" w:ascii="宋体" w:hAnsi="宋体" w:cs="宋体"/>
          <w:color w:val="auto"/>
          <w:szCs w:val="21"/>
          <w:highlight w:val="none"/>
        </w:rPr>
        <w:t>13.2 竣工验收</w:t>
      </w:r>
    </w:p>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14:paraId="60562EC1">
      <w:pPr>
        <w:snapToGrid w:val="0"/>
        <w:spacing w:line="360" w:lineRule="auto"/>
        <w:ind w:firstLine="420" w:firstLineChars="200"/>
        <w:jc w:val="left"/>
        <w:rPr>
          <w:rFonts w:hint="eastAsia" w:ascii="宋体" w:hAnsi="宋体" w:cs="宋体"/>
          <w:color w:val="auto"/>
          <w:szCs w:val="21"/>
          <w:highlight w:val="none"/>
        </w:rPr>
      </w:pPr>
      <w:bookmarkStart w:id="954" w:name="_Toc280868704"/>
      <w:bookmarkStart w:id="955" w:name="_Toc280868705"/>
      <w:bookmarkStart w:id="956" w:name="_Toc280868706"/>
      <w:bookmarkStart w:id="957" w:name="_Toc280868707"/>
      <w:bookmarkStart w:id="958" w:name="_Toc280868708"/>
      <w:bookmarkStart w:id="959" w:name="_Toc280868709"/>
      <w:r>
        <w:rPr>
          <w:rFonts w:hint="eastAsia" w:ascii="宋体" w:hAnsi="宋体" w:cs="宋体"/>
          <w:color w:val="auto"/>
          <w:szCs w:val="21"/>
          <w:highlight w:val="none"/>
        </w:rPr>
        <w:t>13.2.2竣工验收程序</w:t>
      </w:r>
    </w:p>
    <w:bookmarkEnd w:id="954"/>
    <w:p w14:paraId="654C858B">
      <w:pPr>
        <w:snapToGrid w:val="0"/>
        <w:spacing w:line="360" w:lineRule="auto"/>
        <w:ind w:left="4259" w:leftChars="228" w:hanging="3780" w:hangingChars="1800"/>
        <w:jc w:val="left"/>
        <w:rPr>
          <w:rFonts w:hint="eastAsia" w:ascii="宋体" w:hAnsi="宋体" w:cs="宋体"/>
          <w:color w:val="auto"/>
          <w:szCs w:val="21"/>
          <w:highlight w:val="none"/>
        </w:rPr>
      </w:pPr>
      <w:r>
        <w:rPr>
          <w:rFonts w:hint="eastAsia" w:ascii="宋体" w:hAnsi="宋体" w:cs="宋体"/>
          <w:color w:val="auto"/>
          <w:kern w:val="0"/>
          <w:szCs w:val="21"/>
          <w:highlight w:val="none"/>
        </w:rPr>
        <w:t>关于竣工验收程序的约定：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43AC00C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发包人不按照本项约定组织竣工验收、颁发工程接收证书的违约金的计算方法：</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955"/>
    <w:p w14:paraId="38A5F5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13.2.5移交、接收全部与部分工程</w:t>
      </w:r>
    </w:p>
    <w:bookmarkEnd w:id="956"/>
    <w:p w14:paraId="51C6615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承包人向发包人移交工程的期限：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p w14:paraId="42905C22">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kern w:val="0"/>
          <w:szCs w:val="21"/>
          <w:highlight w:val="none"/>
        </w:rPr>
        <w:t>发包人未按本合同约定接收全部或部分工程的，违约金的计算方法为：</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bookmarkEnd w:id="957"/>
    <w:p w14:paraId="372B59E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承包人未按时移交工程的，违约金的计算方法为：</w:t>
      </w:r>
      <w:r>
        <w:rPr>
          <w:rFonts w:hint="eastAsia" w:ascii="宋体" w:hAnsi="宋体" w:cs="宋体"/>
          <w:b/>
          <w:color w:val="auto"/>
          <w:szCs w:val="21"/>
          <w:highlight w:val="none"/>
          <w:u w:val="single"/>
        </w:rPr>
        <w:t>按工期延误承担违约责任</w:t>
      </w:r>
      <w:r>
        <w:rPr>
          <w:rFonts w:hint="eastAsia" w:ascii="宋体" w:hAnsi="宋体" w:cs="宋体"/>
          <w:color w:val="auto"/>
          <w:szCs w:val="21"/>
          <w:highlight w:val="none"/>
        </w:rPr>
        <w:t>。</w:t>
      </w:r>
    </w:p>
    <w:p w14:paraId="152576D9">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13.3 工程试车</w:t>
      </w:r>
    </w:p>
    <w:bookmarkEnd w:id="958"/>
    <w:p w14:paraId="594D1A9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13.3.1 试车程序</w:t>
      </w:r>
    </w:p>
    <w:p w14:paraId="7E017EF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工程试车内容：</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1A71F7A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（1）单机无负荷试车费用由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承担；</w:t>
      </w:r>
    </w:p>
    <w:p w14:paraId="21373ED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（2）无负荷联动试车费用由</w:t>
      </w:r>
      <w:r>
        <w:rPr>
          <w:rFonts w:hint="eastAsia" w:ascii="宋体" w:hAnsi="宋体" w:cs="宋体"/>
          <w:color w:val="auto"/>
          <w:szCs w:val="21"/>
          <w:highlight w:val="none"/>
          <w:u w:val="single"/>
        </w:rPr>
        <w:t xml:space="preserve"> /</w:t>
      </w:r>
      <w:r>
        <w:rPr>
          <w:rFonts w:hint="eastAsia" w:ascii="宋体" w:hAnsi="宋体" w:cs="宋体"/>
          <w:color w:val="auto"/>
          <w:kern w:val="0"/>
          <w:szCs w:val="21"/>
          <w:highlight w:val="none"/>
        </w:rPr>
        <w:t>承担。</w:t>
      </w:r>
    </w:p>
    <w:p w14:paraId="5F7301F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13.3.3 投料试车</w:t>
      </w:r>
    </w:p>
    <w:p w14:paraId="5A1F5997">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关于投料试车相关事项的约定：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FBCCF2B">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13.6 竣工退场</w:t>
      </w:r>
    </w:p>
    <w:p w14:paraId="0964923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13.6.1 竣工退场</w:t>
      </w:r>
    </w:p>
    <w:p w14:paraId="724B2478">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承包人完成竣工退场的期限：</w:t>
      </w:r>
      <w:r>
        <w:rPr>
          <w:rFonts w:hint="eastAsia" w:ascii="宋体" w:hAnsi="宋体" w:cs="宋体"/>
          <w:b/>
          <w:bCs/>
          <w:color w:val="auto"/>
          <w:szCs w:val="21"/>
          <w:highlight w:val="none"/>
          <w:u w:val="single"/>
        </w:rPr>
        <w:t>工程移交完成后14天内</w:t>
      </w:r>
      <w:r>
        <w:rPr>
          <w:rFonts w:hint="eastAsia" w:ascii="宋体" w:hAnsi="宋体" w:cs="宋体"/>
          <w:color w:val="auto"/>
          <w:kern w:val="0"/>
          <w:szCs w:val="21"/>
          <w:highlight w:val="none"/>
        </w:rPr>
        <w:t>。</w:t>
      </w:r>
    </w:p>
    <w:p w14:paraId="47C30887">
      <w:pPr>
        <w:tabs>
          <w:tab w:val="left" w:pos="864"/>
        </w:tabs>
        <w:snapToGrid w:val="0"/>
        <w:spacing w:line="360" w:lineRule="auto"/>
        <w:rPr>
          <w:rFonts w:hint="eastAsia" w:ascii="宋体" w:hAnsi="宋体" w:cs="宋体"/>
          <w:color w:val="auto"/>
          <w:szCs w:val="21"/>
          <w:highlight w:val="none"/>
        </w:rPr>
      </w:pPr>
      <w:bookmarkStart w:id="960" w:name="_Toc351203646"/>
      <w:r>
        <w:rPr>
          <w:rFonts w:hint="eastAsia" w:ascii="宋体" w:hAnsi="宋体" w:cs="宋体"/>
          <w:color w:val="auto"/>
          <w:szCs w:val="21"/>
          <w:highlight w:val="none"/>
        </w:rPr>
        <w:t>14. 竣工结算</w:t>
      </w:r>
      <w:bookmarkEnd w:id="960"/>
    </w:p>
    <w:p w14:paraId="202B037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 竣工结算申请</w:t>
      </w:r>
    </w:p>
    <w:p w14:paraId="2D31306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承包人递交竣工结算申请单的期限：</w:t>
      </w:r>
      <w:r>
        <w:rPr>
          <w:rFonts w:hint="eastAsia" w:ascii="宋体" w:hAnsi="宋体" w:cs="宋体"/>
          <w:b/>
          <w:color w:val="auto"/>
          <w:szCs w:val="21"/>
          <w:highlight w:val="none"/>
          <w:u w:val="single"/>
        </w:rPr>
        <w:t>工程竣工验收报告经发包人认可后的28日内</w:t>
      </w:r>
      <w:r>
        <w:rPr>
          <w:rFonts w:hint="eastAsia" w:ascii="宋体" w:hAnsi="宋体" w:cs="宋体"/>
          <w:color w:val="auto"/>
          <w:szCs w:val="21"/>
          <w:highlight w:val="none"/>
        </w:rPr>
        <w:t>。</w:t>
      </w:r>
    </w:p>
    <w:p w14:paraId="531A5AB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竣工结算申请单应包括的内容：</w:t>
      </w:r>
      <w:r>
        <w:rPr>
          <w:rFonts w:hint="eastAsia" w:ascii="宋体" w:hAnsi="宋体" w:cs="宋体"/>
          <w:b/>
          <w:color w:val="auto"/>
          <w:szCs w:val="21"/>
          <w:highlight w:val="none"/>
          <w:u w:val="single"/>
        </w:rPr>
        <w:t>完整的竣工结算书文件及相关资料</w:t>
      </w:r>
      <w:r>
        <w:rPr>
          <w:rFonts w:hint="eastAsia" w:ascii="宋体" w:hAnsi="宋体" w:cs="宋体"/>
          <w:color w:val="auto"/>
          <w:szCs w:val="21"/>
          <w:highlight w:val="none"/>
        </w:rPr>
        <w:t>。</w:t>
      </w:r>
    </w:p>
    <w:p w14:paraId="35164DDC">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 竣工结算审核</w:t>
      </w:r>
    </w:p>
    <w:p w14:paraId="33B5B9AE">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发包人审批竣工付款申请单的期限：</w:t>
      </w:r>
      <w:r>
        <w:rPr>
          <w:rFonts w:hint="eastAsia" w:ascii="宋体" w:hAnsi="宋体" w:cs="宋体"/>
          <w:b/>
          <w:color w:val="auto"/>
          <w:szCs w:val="21"/>
          <w:highlight w:val="none"/>
          <w:u w:val="single"/>
        </w:rPr>
        <w:t xml:space="preserve">竣工结算书文件核对期限是（承包人未按照前述14.1 中约定的时限内递交完整的竣工结算书文件及相关资料的，以下关于核对期限的约定将不对 发包人产生效力）： </w:t>
      </w:r>
    </w:p>
    <w:p w14:paraId="5DA109FF">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将初审过的工程结算资料7天内递交审计，审计自接到经完整、有效的竣工结算资料之日起，2个月内出具竣工结算审计报告。</w:t>
      </w:r>
    </w:p>
    <w:p w14:paraId="060967E9">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承包人同意发包人指定的具有合格资质的造价咨询单位或跟踪审计单位进行审计并认可其审计结论，并根据《浙江省建设工程造价咨询服务项目及收费指引》 (浙建价协[2021]13号)有关规定，追加审核费用由承包人承担，具体为：核减追加审核费=（核减额-送审造价*5%）*5% ，核增追加审核费=核增额*5%。承包人需在盖审定表或咨询单位出具审计报告的同时向咨询单位付清审计费用，否则发包人有权从承包人工程进度款中代扣支付预算、结算审计费用。</w:t>
      </w:r>
    </w:p>
    <w:p w14:paraId="31E41B2E">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b/>
          <w:color w:val="auto"/>
          <w:szCs w:val="21"/>
          <w:highlight w:val="none"/>
          <w:u w:val="single"/>
        </w:rPr>
        <w:t>签发竣工付款证书后的14天内</w:t>
      </w:r>
      <w:r>
        <w:rPr>
          <w:rFonts w:hint="eastAsia" w:ascii="宋体" w:hAnsi="宋体" w:cs="宋体"/>
          <w:color w:val="auto"/>
          <w:szCs w:val="21"/>
          <w:highlight w:val="none"/>
        </w:rPr>
        <w:t>。</w:t>
      </w:r>
    </w:p>
    <w:p w14:paraId="16F37CC5">
      <w:pPr>
        <w:spacing w:line="360" w:lineRule="auto"/>
        <w:ind w:firstLine="420" w:firstLineChars="200"/>
        <w:rPr>
          <w:rFonts w:hint="eastAsia" w:ascii="宋体" w:hAnsi="宋体" w:cs="宋体"/>
          <w:b/>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b/>
          <w:color w:val="auto"/>
          <w:szCs w:val="21"/>
          <w:highlight w:val="none"/>
          <w:u w:val="single"/>
        </w:rPr>
        <w:t>1、发包人应在竣工结算书文件核对期限内核对。经核对需要承包人进一步补充资料和修改结算文件的，应在竣工结算书文件核对期限内向承包人提出核对意见。发包人在竣工结算书文件核对期限内，不核对竣工结算或未提出核对意见的，视为承包人递交的竣工结算书已经发包人认可，发包人应据此向承包人支付工程结算价款。</w:t>
      </w:r>
    </w:p>
    <w:p w14:paraId="160648D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2、承包人在接到发包人提出的核对意见后，在 28 日内按发包人提出的合理要求补充资料、修改竣工结算文件，并再次递交发包人复核后批准。承包人在 28 日内不确认也未提出异议的，视为发包人提出的核对意见已经认可。 </w:t>
      </w:r>
    </w:p>
    <w:p w14:paraId="0A262213">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3、发包人收到承包人再次递交的补充资料和修改的竣工结算文件后，在 14 日内予以复核，修正核对意见，并通知承包人。 </w:t>
      </w:r>
    </w:p>
    <w:p w14:paraId="73F5F9EE">
      <w:pPr>
        <w:snapToGrid w:val="0"/>
        <w:spacing w:line="360" w:lineRule="auto"/>
        <w:ind w:firstLine="422" w:firstLineChars="200"/>
        <w:jc w:val="left"/>
        <w:rPr>
          <w:rFonts w:hint="eastAsia" w:ascii="宋体" w:hAnsi="宋体" w:cs="宋体"/>
          <w:color w:val="auto"/>
          <w:szCs w:val="21"/>
          <w:highlight w:val="none"/>
        </w:rPr>
      </w:pPr>
      <w:r>
        <w:rPr>
          <w:rFonts w:hint="eastAsia" w:ascii="宋体" w:hAnsi="宋体" w:cs="宋体"/>
          <w:b/>
          <w:color w:val="auto"/>
          <w:szCs w:val="21"/>
          <w:highlight w:val="none"/>
          <w:u w:val="single"/>
        </w:rPr>
        <w:t>4、发、承包人均对修正核对意见无异议的，应于 7 日内在竣工结算核对意见上签字确认</w:t>
      </w:r>
      <w:r>
        <w:rPr>
          <w:rFonts w:hint="eastAsia" w:ascii="宋体" w:hAnsi="宋体" w:cs="宋体"/>
          <w:color w:val="auto"/>
          <w:szCs w:val="21"/>
          <w:highlight w:val="none"/>
        </w:rPr>
        <w:t>。</w:t>
      </w:r>
    </w:p>
    <w:p w14:paraId="3E822728">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 最终结清</w:t>
      </w:r>
    </w:p>
    <w:p w14:paraId="2225019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14.4.1 最终结清申请单</w:t>
      </w:r>
    </w:p>
    <w:p w14:paraId="00BA284B">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承包人递交最终结清申请单的份数：</w:t>
      </w:r>
      <w:r>
        <w:rPr>
          <w:rFonts w:hint="eastAsia" w:ascii="宋体" w:hAnsi="宋体" w:cs="宋体"/>
          <w:b/>
          <w:color w:val="auto"/>
          <w:szCs w:val="21"/>
          <w:highlight w:val="none"/>
          <w:u w:val="single"/>
        </w:rPr>
        <w:t>承包人应在质量保修期终止证书颁发后7天内，向发包人递交一式伍份的最终结清申请单，并提供相关证明材料。最终结清申请单应列明质量保证金、应扣除的质量保证金、质量保修期内发生的增减费用</w:t>
      </w:r>
      <w:r>
        <w:rPr>
          <w:rFonts w:hint="eastAsia" w:ascii="宋体" w:hAnsi="宋体" w:cs="宋体"/>
          <w:color w:val="auto"/>
          <w:szCs w:val="21"/>
          <w:highlight w:val="none"/>
        </w:rPr>
        <w:t>。</w:t>
      </w:r>
    </w:p>
    <w:p w14:paraId="00A868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承包人递交最终结算申请单的期限：</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 xml:space="preserve">。 </w:t>
      </w:r>
    </w:p>
    <w:p w14:paraId="57ADFF9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14.4.2 最终结清证书和支付</w:t>
      </w:r>
    </w:p>
    <w:p w14:paraId="493322E6">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（1）发包人完成最终结清申请单的审批并颁发最终结清证书的期限：</w:t>
      </w:r>
      <w:r>
        <w:rPr>
          <w:rFonts w:hint="eastAsia" w:ascii="宋体" w:hAnsi="宋体" w:cs="宋体"/>
          <w:b/>
          <w:color w:val="auto"/>
          <w:szCs w:val="21"/>
          <w:highlight w:val="none"/>
          <w:u w:val="single"/>
        </w:rPr>
        <w:t>发包人应在收到承包人递交的最终结清申请单后30天内完成审批并向承包人颁发最终结清证书。发包人逾期未完成审批，又未提出修改意见的，承包人应向发包人发出书面催告，在收到承包人书面催告后7天内发包人仍未回复的，视为发包人同意承包人递交的最终结清申请单</w:t>
      </w:r>
      <w:r>
        <w:rPr>
          <w:rFonts w:hint="eastAsia" w:ascii="宋体" w:hAnsi="宋体" w:cs="宋体"/>
          <w:color w:val="auto"/>
          <w:szCs w:val="21"/>
          <w:highlight w:val="none"/>
        </w:rPr>
        <w:t>。</w:t>
      </w:r>
    </w:p>
    <w:p w14:paraId="49CEB76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（2）发包人完成支付的期限：</w:t>
      </w:r>
      <w:r>
        <w:rPr>
          <w:rFonts w:hint="eastAsia" w:ascii="宋体" w:hAnsi="宋体" w:cs="宋体"/>
          <w:b/>
          <w:color w:val="auto"/>
          <w:szCs w:val="21"/>
          <w:highlight w:val="none"/>
          <w:u w:val="single"/>
        </w:rPr>
        <w:t>发包人应在颁发最终结清证书后30天内完成支付</w:t>
      </w:r>
      <w:r>
        <w:rPr>
          <w:rFonts w:hint="eastAsia" w:ascii="宋体" w:hAnsi="宋体" w:cs="宋体"/>
          <w:color w:val="auto"/>
          <w:szCs w:val="21"/>
          <w:highlight w:val="none"/>
        </w:rPr>
        <w:t>。</w:t>
      </w:r>
    </w:p>
    <w:bookmarkEnd w:id="947"/>
    <w:bookmarkEnd w:id="948"/>
    <w:bookmarkEnd w:id="949"/>
    <w:bookmarkEnd w:id="950"/>
    <w:bookmarkEnd w:id="951"/>
    <w:bookmarkEnd w:id="952"/>
    <w:bookmarkEnd w:id="953"/>
    <w:bookmarkEnd w:id="959"/>
    <w:p w14:paraId="1A5DFEAC">
      <w:pPr>
        <w:tabs>
          <w:tab w:val="left" w:pos="864"/>
        </w:tabs>
        <w:snapToGrid w:val="0"/>
        <w:spacing w:line="360" w:lineRule="auto"/>
        <w:rPr>
          <w:rFonts w:hint="eastAsia" w:ascii="宋体" w:hAnsi="宋体" w:cs="宋体"/>
          <w:color w:val="auto"/>
          <w:szCs w:val="21"/>
          <w:highlight w:val="none"/>
        </w:rPr>
      </w:pPr>
      <w:bookmarkStart w:id="961" w:name="_Toc351203647"/>
      <w:bookmarkStart w:id="962" w:name="_Toc267251483"/>
      <w:bookmarkStart w:id="963" w:name="_Toc267251484"/>
      <w:bookmarkStart w:id="964" w:name="_Toc267251482"/>
      <w:bookmarkStart w:id="965" w:name="_Toc267251485"/>
      <w:bookmarkStart w:id="966" w:name="_Toc267251489"/>
      <w:bookmarkStart w:id="967" w:name="_Toc267251486"/>
      <w:bookmarkStart w:id="968" w:name="_Toc267251488"/>
      <w:bookmarkStart w:id="969" w:name="_Toc267251490"/>
      <w:bookmarkStart w:id="970" w:name="_Toc267251493"/>
      <w:bookmarkStart w:id="971" w:name="_Toc267251494"/>
      <w:bookmarkStart w:id="972" w:name="_Toc267251498"/>
      <w:bookmarkStart w:id="973" w:name="_Toc267251495"/>
      <w:bookmarkStart w:id="974" w:name="_Toc267251502"/>
      <w:bookmarkStart w:id="975" w:name="_Toc267251491"/>
      <w:bookmarkStart w:id="976" w:name="_Toc267251501"/>
      <w:bookmarkStart w:id="977" w:name="_Toc267251503"/>
      <w:bookmarkStart w:id="978" w:name="_Toc267251497"/>
      <w:bookmarkStart w:id="979" w:name="_Toc267251492"/>
      <w:bookmarkStart w:id="980" w:name="_Toc267251496"/>
      <w:bookmarkStart w:id="981" w:name="_Toc267251499"/>
      <w:bookmarkStart w:id="982" w:name="_Toc267251506"/>
      <w:bookmarkStart w:id="983" w:name="_Toc267251504"/>
      <w:bookmarkStart w:id="984" w:name="_Toc267251507"/>
      <w:bookmarkStart w:id="985" w:name="_Toc267251508"/>
      <w:bookmarkStart w:id="986" w:name="_Toc267251510"/>
      <w:bookmarkStart w:id="987" w:name="_Toc267251513"/>
      <w:bookmarkStart w:id="988" w:name="_Toc267251515"/>
      <w:bookmarkStart w:id="989" w:name="_Toc267251509"/>
      <w:bookmarkStart w:id="990" w:name="_Toc267251514"/>
      <w:bookmarkStart w:id="991" w:name="_Toc267251511"/>
      <w:r>
        <w:rPr>
          <w:rFonts w:hint="eastAsia" w:ascii="宋体" w:hAnsi="宋体" w:cs="宋体"/>
          <w:color w:val="auto"/>
          <w:szCs w:val="21"/>
          <w:highlight w:val="none"/>
        </w:rPr>
        <w:t>15. 缺陷责任期与保修</w:t>
      </w:r>
      <w:bookmarkEnd w:id="961"/>
    </w:p>
    <w:p w14:paraId="22FFDEA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15.2缺陷责任期</w:t>
      </w:r>
      <w:bookmarkEnd w:id="962"/>
    </w:p>
    <w:p w14:paraId="4D0E9D04">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缺陷责任期的具体期限：</w:t>
      </w:r>
      <w:r>
        <w:rPr>
          <w:rFonts w:hint="eastAsia" w:ascii="宋体" w:hAnsi="宋体" w:cs="宋体"/>
          <w:b/>
          <w:color w:val="auto"/>
          <w:szCs w:val="21"/>
          <w:highlight w:val="none"/>
          <w:u w:val="single"/>
        </w:rPr>
        <w:t>24个月</w:t>
      </w:r>
      <w:r>
        <w:rPr>
          <w:rFonts w:hint="eastAsia" w:ascii="宋体" w:hAnsi="宋体" w:cs="宋体"/>
          <w:color w:val="auto"/>
          <w:szCs w:val="21"/>
          <w:highlight w:val="none"/>
        </w:rPr>
        <w:t>。</w:t>
      </w:r>
    </w:p>
    <w:p w14:paraId="44AA7A3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 质量保证金</w:t>
      </w:r>
    </w:p>
    <w:p w14:paraId="5B1E9E8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关于是否扣留质量保证金的约定：</w:t>
      </w:r>
      <w:r>
        <w:rPr>
          <w:rFonts w:hint="eastAsia" w:ascii="宋体" w:hAnsi="宋体" w:cs="宋体"/>
          <w:color w:val="auto"/>
          <w:szCs w:val="21"/>
          <w:highlight w:val="none"/>
          <w:u w:val="single"/>
        </w:rPr>
        <w:t>不扣留质量保证金。</w:t>
      </w:r>
    </w:p>
    <w:p w14:paraId="40B4EDD2">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15.3.1 承包人提供质量保证金的方式</w:t>
      </w:r>
    </w:p>
    <w:p w14:paraId="78147B62">
      <w:pPr>
        <w:snapToGrid w:val="0"/>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质量保证金采用以下第</w:t>
      </w:r>
      <w:r>
        <w:rPr>
          <w:rFonts w:hint="eastAsia" w:ascii="宋体" w:hAnsi="宋体" w:cs="宋体"/>
          <w:b w:val="0"/>
          <w:bCs w:val="0"/>
          <w:color w:val="auto"/>
          <w:szCs w:val="21"/>
          <w:highlight w:val="none"/>
          <w:u w:val="single"/>
        </w:rPr>
        <w:t xml:space="preserve">  / </w:t>
      </w:r>
      <w:r>
        <w:rPr>
          <w:rFonts w:hint="eastAsia" w:ascii="宋体" w:hAnsi="宋体" w:cs="宋体"/>
          <w:b w:val="0"/>
          <w:bCs w:val="0"/>
          <w:color w:val="auto"/>
          <w:szCs w:val="21"/>
          <w:highlight w:val="none"/>
        </w:rPr>
        <w:t>种方式：</w:t>
      </w:r>
    </w:p>
    <w:p w14:paraId="44CE6699">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（1）质量保证金保函，保证金额为：</w:t>
      </w:r>
      <w:r>
        <w:rPr>
          <w:rFonts w:hint="eastAsia" w:ascii="宋体" w:hAnsi="宋体" w:cs="宋体"/>
          <w:b w:val="0"/>
          <w:bCs w:val="0"/>
          <w:color w:val="auto"/>
          <w:szCs w:val="21"/>
          <w:highlight w:val="none"/>
          <w:u w:val="single"/>
        </w:rPr>
        <w:t>工程竣工结算审定价</w:t>
      </w:r>
      <w:r>
        <w:rPr>
          <w:rFonts w:hint="eastAsia" w:ascii="宋体" w:hAnsi="宋体" w:cs="宋体"/>
          <w:b w:val="0"/>
          <w:bCs w:val="0"/>
          <w:color w:val="auto"/>
          <w:kern w:val="0"/>
          <w:szCs w:val="21"/>
          <w:highlight w:val="none"/>
          <w:u w:val="single"/>
        </w:rPr>
        <w:t>的1%</w:t>
      </w:r>
      <w:r>
        <w:rPr>
          <w:rFonts w:hint="eastAsia" w:ascii="宋体" w:hAnsi="宋体" w:cs="宋体"/>
          <w:b w:val="0"/>
          <w:bCs w:val="0"/>
          <w:color w:val="auto"/>
          <w:kern w:val="0"/>
          <w:szCs w:val="21"/>
          <w:highlight w:val="none"/>
        </w:rPr>
        <w:t>；</w:t>
      </w:r>
    </w:p>
    <w:p w14:paraId="3D42C922">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w:t>
      </w:r>
      <w:r>
        <w:rPr>
          <w:rFonts w:hint="eastAsia" w:ascii="宋体" w:hAnsi="宋体" w:cs="宋体"/>
          <w:b w:val="0"/>
          <w:bCs w:val="0"/>
          <w:color w:val="auto"/>
          <w:kern w:val="0"/>
          <w:szCs w:val="21"/>
          <w:highlight w:val="none"/>
          <w:u w:val="single"/>
        </w:rPr>
        <w:t>1</w:t>
      </w:r>
      <w:r>
        <w:rPr>
          <w:rFonts w:hint="eastAsia" w:ascii="宋体" w:hAnsi="宋体" w:cs="宋体"/>
          <w:b w:val="0"/>
          <w:bCs w:val="0"/>
          <w:color w:val="auto"/>
          <w:kern w:val="0"/>
          <w:szCs w:val="21"/>
          <w:highlight w:val="none"/>
        </w:rPr>
        <w:t>%的工程款；</w:t>
      </w:r>
    </w:p>
    <w:p w14:paraId="462AF71E">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（3）其他方式:</w:t>
      </w:r>
      <w:r>
        <w:rPr>
          <w:rFonts w:hint="eastAsia" w:ascii="宋体" w:hAnsi="宋体" w:cs="宋体"/>
          <w:b w:val="0"/>
          <w:bCs w:val="0"/>
          <w:color w:val="auto"/>
          <w:kern w:val="0"/>
          <w:szCs w:val="21"/>
          <w:highlight w:val="none"/>
          <w:u w:val="single"/>
        </w:rPr>
        <w:t>/</w:t>
      </w:r>
      <w:r>
        <w:rPr>
          <w:rFonts w:hint="eastAsia" w:ascii="宋体" w:hAnsi="宋体" w:cs="宋体"/>
          <w:b w:val="0"/>
          <w:bCs w:val="0"/>
          <w:color w:val="auto"/>
          <w:kern w:val="0"/>
          <w:szCs w:val="21"/>
          <w:highlight w:val="none"/>
        </w:rPr>
        <w:t>。</w:t>
      </w:r>
    </w:p>
    <w:p w14:paraId="79570499">
      <w:pPr>
        <w:snapToGrid w:val="0"/>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 xml:space="preserve">15.3.2 质量保证金的扣留 </w:t>
      </w:r>
    </w:p>
    <w:p w14:paraId="1A586575">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质量保证金的扣留采取以下第</w:t>
      </w:r>
      <w:r>
        <w:rPr>
          <w:rFonts w:hint="eastAsia" w:ascii="宋体" w:hAnsi="宋体" w:cs="宋体"/>
          <w:color w:val="auto"/>
          <w:szCs w:val="21"/>
          <w:highlight w:val="none"/>
          <w:u w:val="single"/>
        </w:rPr>
        <w:t xml:space="preserve">  / </w:t>
      </w:r>
      <w:r>
        <w:rPr>
          <w:rFonts w:hint="eastAsia" w:ascii="宋体" w:hAnsi="宋体" w:cs="宋体"/>
          <w:b/>
          <w:bCs/>
          <w:color w:val="auto"/>
          <w:szCs w:val="21"/>
          <w:highlight w:val="none"/>
          <w:u w:val="single"/>
        </w:rPr>
        <w:t xml:space="preserve"> </w:t>
      </w:r>
      <w:r>
        <w:rPr>
          <w:rFonts w:hint="eastAsia" w:ascii="宋体" w:hAnsi="宋体" w:cs="宋体"/>
          <w:color w:val="auto"/>
          <w:szCs w:val="21"/>
          <w:highlight w:val="none"/>
        </w:rPr>
        <w:t>种方式：</w:t>
      </w:r>
    </w:p>
    <w:p w14:paraId="4C39075B">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（1）在支付工程进度款时逐次扣留，在此情形下，质量保证金的计算基数不包括预付款的支付、扣回以及价格调整的金额；</w:t>
      </w:r>
    </w:p>
    <w:p w14:paraId="42DBFD55">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（2）工程竣工结算时，承包人一次性缴纳质量保证金；</w:t>
      </w:r>
    </w:p>
    <w:p w14:paraId="0C928677">
      <w:pPr>
        <w:autoSpaceDE w:val="0"/>
        <w:autoSpaceDN w:val="0"/>
        <w:snapToGrid w:val="0"/>
        <w:spacing w:line="360" w:lineRule="auto"/>
        <w:ind w:firstLine="420" w:firstLineChars="200"/>
        <w:jc w:val="left"/>
        <w:rPr>
          <w:rFonts w:hint="eastAsia"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（3）其他扣留方式:</w:t>
      </w:r>
      <w:r>
        <w:rPr>
          <w:rFonts w:hint="eastAsia" w:ascii="宋体" w:hAnsi="宋体" w:cs="宋体"/>
          <w:b w:val="0"/>
          <w:bCs w:val="0"/>
          <w:color w:val="auto"/>
          <w:kern w:val="0"/>
          <w:szCs w:val="21"/>
          <w:highlight w:val="none"/>
          <w:u w:val="single"/>
        </w:rPr>
        <w:t>履约保证金转为质量保证金</w:t>
      </w:r>
      <w:r>
        <w:rPr>
          <w:rFonts w:hint="eastAsia" w:ascii="宋体" w:hAnsi="宋体" w:cs="宋体"/>
          <w:b w:val="0"/>
          <w:bCs w:val="0"/>
          <w:color w:val="auto"/>
          <w:kern w:val="0"/>
          <w:szCs w:val="21"/>
          <w:highlight w:val="none"/>
        </w:rPr>
        <w:t>。</w:t>
      </w:r>
    </w:p>
    <w:p w14:paraId="6C3D3BE0">
      <w:pPr>
        <w:snapToGrid w:val="0"/>
        <w:spacing w:line="360" w:lineRule="auto"/>
        <w:ind w:firstLine="420" w:firstLineChars="200"/>
        <w:jc w:val="left"/>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关于质量保证金的补充约定：</w:t>
      </w:r>
      <w:r>
        <w:rPr>
          <w:rFonts w:hint="eastAsia" w:ascii="宋体" w:hAnsi="宋体" w:cs="宋体"/>
          <w:b w:val="0"/>
          <w:bCs w:val="0"/>
          <w:color w:val="auto"/>
          <w:szCs w:val="21"/>
          <w:highlight w:val="none"/>
          <w:u w:val="single"/>
        </w:rPr>
        <w:t>质量保证金不计利息</w:t>
      </w:r>
      <w:r>
        <w:rPr>
          <w:rFonts w:hint="eastAsia" w:ascii="宋体" w:hAnsi="宋体" w:cs="宋体"/>
          <w:b w:val="0"/>
          <w:bCs w:val="0"/>
          <w:color w:val="auto"/>
          <w:kern w:val="0"/>
          <w:szCs w:val="21"/>
          <w:highlight w:val="none"/>
        </w:rPr>
        <w:t>。</w:t>
      </w:r>
    </w:p>
    <w:bookmarkEnd w:id="963"/>
    <w:bookmarkEnd w:id="964"/>
    <w:p w14:paraId="042EE68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15.4保修</w:t>
      </w:r>
    </w:p>
    <w:bookmarkEnd w:id="965"/>
    <w:p w14:paraId="164DAC85">
      <w:pPr>
        <w:snapToGrid w:val="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15.4.1 保修责任</w:t>
      </w:r>
    </w:p>
    <w:p w14:paraId="3CE032F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工程保修期为：</w:t>
      </w:r>
      <w:r>
        <w:rPr>
          <w:rFonts w:hint="eastAsia" w:ascii="宋体" w:hAnsi="宋体" w:cs="宋体"/>
          <w:b/>
          <w:color w:val="auto"/>
          <w:szCs w:val="21"/>
          <w:highlight w:val="none"/>
          <w:u w:val="single"/>
        </w:rPr>
        <w:t>详见工程质量保修书</w:t>
      </w:r>
      <w:r>
        <w:rPr>
          <w:rFonts w:hint="eastAsia" w:ascii="宋体" w:hAnsi="宋体" w:cs="宋体"/>
          <w:color w:val="auto"/>
          <w:kern w:val="0"/>
          <w:szCs w:val="21"/>
          <w:highlight w:val="none"/>
        </w:rPr>
        <w:t>。</w:t>
      </w:r>
    </w:p>
    <w:p w14:paraId="001141D3">
      <w:pPr>
        <w:snapToGrid w:val="0"/>
        <w:spacing w:line="360" w:lineRule="auto"/>
        <w:ind w:firstLine="409" w:firstLineChars="195"/>
        <w:jc w:val="left"/>
        <w:rPr>
          <w:rFonts w:hint="eastAsia" w:ascii="宋体" w:hAnsi="宋体" w:cs="宋体"/>
          <w:color w:val="auto"/>
          <w:szCs w:val="21"/>
          <w:highlight w:val="none"/>
        </w:rPr>
      </w:pPr>
      <w:r>
        <w:rPr>
          <w:rFonts w:hint="eastAsia" w:ascii="宋体" w:hAnsi="宋体" w:cs="宋体"/>
          <w:color w:val="auto"/>
          <w:szCs w:val="21"/>
          <w:highlight w:val="none"/>
        </w:rPr>
        <w:t>15.4.3 修复通知</w:t>
      </w:r>
    </w:p>
    <w:p w14:paraId="3116DF52">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承包人收到保修通知并到达工程现场的合理时间：</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bookmarkEnd w:id="966"/>
    <w:bookmarkEnd w:id="967"/>
    <w:bookmarkEnd w:id="968"/>
    <w:bookmarkEnd w:id="969"/>
    <w:p w14:paraId="558211F3">
      <w:pPr>
        <w:tabs>
          <w:tab w:val="left" w:pos="864"/>
        </w:tabs>
        <w:snapToGrid w:val="0"/>
        <w:spacing w:line="360" w:lineRule="auto"/>
        <w:rPr>
          <w:rFonts w:hint="eastAsia" w:ascii="宋体" w:hAnsi="宋体" w:cs="宋体"/>
          <w:color w:val="auto"/>
          <w:szCs w:val="21"/>
          <w:highlight w:val="none"/>
        </w:rPr>
      </w:pPr>
      <w:bookmarkStart w:id="992" w:name="_Toc351203648"/>
      <w:bookmarkStart w:id="993" w:name="_Toc280868717"/>
      <w:bookmarkStart w:id="994" w:name="_Toc280868718"/>
      <w:r>
        <w:rPr>
          <w:rFonts w:hint="eastAsia" w:ascii="宋体" w:hAnsi="宋体" w:cs="宋体"/>
          <w:color w:val="auto"/>
          <w:szCs w:val="21"/>
          <w:highlight w:val="none"/>
        </w:rPr>
        <w:t>16. 违约</w:t>
      </w:r>
      <w:bookmarkEnd w:id="992"/>
    </w:p>
    <w:p w14:paraId="79F7717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 发包人违约</w:t>
      </w:r>
    </w:p>
    <w:p w14:paraId="24C9BCED">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16.1.1发包人违约的情形</w:t>
      </w:r>
    </w:p>
    <w:p w14:paraId="6A6194F4">
      <w:pPr>
        <w:snapToGrid w:val="0"/>
        <w:spacing w:line="360" w:lineRule="auto"/>
        <w:ind w:left="1109" w:leftChars="228" w:hanging="630" w:hangingChars="3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发包人违约的其他情形：</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rPr>
        <w:t>。</w:t>
      </w:r>
    </w:p>
    <w:p w14:paraId="3C9C5212">
      <w:pPr>
        <w:snapToGrid w:val="0"/>
        <w:spacing w:line="360" w:lineRule="auto"/>
        <w:ind w:left="1050" w:hanging="1050" w:hangingChars="5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16.1.2 发包人违约的责任</w:t>
      </w:r>
    </w:p>
    <w:p w14:paraId="540558E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发包人违约责任的承担方式和计算方法：</w:t>
      </w:r>
    </w:p>
    <w:p w14:paraId="6C315483">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（1）因发包人原因未能在计划开工日期前7天内下达开工通知的违约责任：</w:t>
      </w:r>
      <w:r>
        <w:rPr>
          <w:rFonts w:hint="eastAsia" w:ascii="宋体" w:hAnsi="宋体" w:cs="宋体"/>
          <w:b/>
          <w:color w:val="auto"/>
          <w:szCs w:val="21"/>
          <w:highlight w:val="none"/>
          <w:u w:val="single"/>
        </w:rPr>
        <w:t>由发包人承担因其违约给承包人延误的工期，但承包人不得向发包人提出除工期顺延外的任何索赔要求</w:t>
      </w:r>
      <w:r>
        <w:rPr>
          <w:rFonts w:hint="eastAsia" w:ascii="宋体" w:hAnsi="宋体" w:cs="宋体"/>
          <w:color w:val="auto"/>
          <w:kern w:val="0"/>
          <w:szCs w:val="21"/>
          <w:highlight w:val="none"/>
        </w:rPr>
        <w:t>。</w:t>
      </w:r>
    </w:p>
    <w:p w14:paraId="3B840C51">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（2）因发包人原因未能按合同约定支付合同价款的违约责任：</w:t>
      </w:r>
      <w:r>
        <w:rPr>
          <w:rFonts w:hint="eastAsia" w:ascii="宋体" w:hAnsi="宋体" w:cs="宋体"/>
          <w:b/>
          <w:color w:val="auto"/>
          <w:szCs w:val="21"/>
          <w:highlight w:val="none"/>
          <w:u w:val="single"/>
        </w:rPr>
        <w:t>发包人超过约定的支付时间不支付合同价款的，承包人可向发包人发出要求付款的书面通知，发包人收到承包人书面通知后30天内仍不能按要求付款，可与承包人协商签订延期付款协议，经承包人同意后可延期支付，除此之外不承担其他任何责任</w:t>
      </w:r>
      <w:r>
        <w:rPr>
          <w:rFonts w:hint="eastAsia" w:ascii="宋体" w:hAnsi="宋体" w:cs="宋体"/>
          <w:color w:val="auto"/>
          <w:kern w:val="0"/>
          <w:szCs w:val="21"/>
          <w:highlight w:val="none"/>
        </w:rPr>
        <w:t>。</w:t>
      </w:r>
    </w:p>
    <w:p w14:paraId="53D95A76">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（3）发包人违反第10.1款〔变更的范围〕第（2）项约定，自行实施被取消的工作或转由他人实施的违约责任：</w:t>
      </w:r>
      <w:r>
        <w:rPr>
          <w:rFonts w:hint="eastAsia" w:ascii="宋体" w:hAnsi="宋体" w:cs="宋体"/>
          <w:b/>
          <w:color w:val="auto"/>
          <w:szCs w:val="21"/>
          <w:highlight w:val="none"/>
          <w:u w:val="single"/>
        </w:rPr>
        <w:t>由发包人承担由此给承包人造成的直接损失，不另计违约金及承包人利润</w:t>
      </w:r>
      <w:r>
        <w:rPr>
          <w:rFonts w:hint="eastAsia" w:ascii="宋体" w:hAnsi="宋体" w:cs="宋体"/>
          <w:color w:val="auto"/>
          <w:kern w:val="0"/>
          <w:szCs w:val="21"/>
          <w:highlight w:val="none"/>
        </w:rPr>
        <w:t>。</w:t>
      </w:r>
    </w:p>
    <w:p w14:paraId="5470554E">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s="宋体"/>
          <w:b/>
          <w:color w:val="auto"/>
          <w:szCs w:val="21"/>
          <w:highlight w:val="none"/>
          <w:u w:val="single"/>
        </w:rPr>
        <w:t>由发包人承担因其违约给承包人延误的工期；若给承包人造成损失的，由发包人承担由此给承包人造成的直接损失</w:t>
      </w:r>
      <w:r>
        <w:rPr>
          <w:rFonts w:hint="eastAsia" w:ascii="宋体" w:hAnsi="宋体" w:cs="宋体"/>
          <w:color w:val="auto"/>
          <w:kern w:val="0"/>
          <w:szCs w:val="21"/>
          <w:highlight w:val="none"/>
        </w:rPr>
        <w:t>。</w:t>
      </w:r>
    </w:p>
    <w:p w14:paraId="74857583">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（5）因发包人违反合同约定造成暂停施工的违约责任：</w:t>
      </w:r>
      <w:r>
        <w:rPr>
          <w:rFonts w:hint="eastAsia" w:ascii="宋体" w:hAnsi="宋体" w:cs="宋体"/>
          <w:b/>
          <w:color w:val="auto"/>
          <w:szCs w:val="21"/>
          <w:highlight w:val="none"/>
          <w:u w:val="single"/>
        </w:rPr>
        <w:t>由发包人承担因其违约给承包人延误的工期，不另计违约金及承包人利润</w:t>
      </w:r>
      <w:r>
        <w:rPr>
          <w:rFonts w:hint="eastAsia" w:ascii="宋体" w:hAnsi="宋体" w:cs="宋体"/>
          <w:color w:val="auto"/>
          <w:kern w:val="0"/>
          <w:szCs w:val="21"/>
          <w:highlight w:val="none"/>
        </w:rPr>
        <w:t>。</w:t>
      </w:r>
    </w:p>
    <w:p w14:paraId="3EFA1D2C">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（6）发包人无正当理由没有在约定期限内发出复工指示，导致承包人无法复工的违约责任：</w:t>
      </w:r>
      <w:r>
        <w:rPr>
          <w:rFonts w:hint="eastAsia" w:ascii="宋体" w:hAnsi="宋体" w:cs="宋体"/>
          <w:b/>
          <w:color w:val="auto"/>
          <w:szCs w:val="21"/>
          <w:highlight w:val="none"/>
          <w:u w:val="single"/>
        </w:rPr>
        <w:t>由发包人承担因其违约给承包人延误的工期，不另计违约金及承包人利润</w:t>
      </w:r>
      <w:r>
        <w:rPr>
          <w:rFonts w:hint="eastAsia" w:ascii="宋体" w:hAnsi="宋体" w:cs="宋体"/>
          <w:color w:val="auto"/>
          <w:kern w:val="0"/>
          <w:szCs w:val="21"/>
          <w:highlight w:val="none"/>
        </w:rPr>
        <w:t>。</w:t>
      </w:r>
    </w:p>
    <w:p w14:paraId="1C3E011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（7）其他：</w:t>
      </w:r>
      <w:r>
        <w:rPr>
          <w:rFonts w:hint="eastAsia" w:ascii="宋体" w:hAnsi="宋体" w:cs="宋体"/>
          <w:b/>
          <w:bCs/>
          <w:color w:val="auto"/>
          <w:kern w:val="0"/>
          <w:szCs w:val="21"/>
          <w:highlight w:val="none"/>
          <w:u w:val="single"/>
        </w:rPr>
        <w:t>/</w:t>
      </w:r>
      <w:r>
        <w:rPr>
          <w:rFonts w:hint="eastAsia" w:ascii="宋体" w:hAnsi="宋体" w:cs="宋体"/>
          <w:color w:val="auto"/>
          <w:kern w:val="0"/>
          <w:szCs w:val="21"/>
          <w:highlight w:val="none"/>
        </w:rPr>
        <w:t>。</w:t>
      </w:r>
    </w:p>
    <w:p w14:paraId="11BDB77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16.1.3 因发包人违约解除合同</w:t>
      </w:r>
    </w:p>
    <w:p w14:paraId="3634025C">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承包人按16.1.1项〔发包人违约的情形〕约定暂停施工满</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天后发包人仍不纠正其违约行为并致使合同目的不能实现的，承包人有权解除合同。</w:t>
      </w:r>
    </w:p>
    <w:p w14:paraId="044B4AC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 承包人违约</w:t>
      </w:r>
    </w:p>
    <w:p w14:paraId="577FA4F4">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16.2.1 承包人违约的情形</w:t>
      </w:r>
    </w:p>
    <w:p w14:paraId="56E8127C">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承包人违约的其他情形：</w:t>
      </w:r>
    </w:p>
    <w:p w14:paraId="201A03D4">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kern w:val="0"/>
          <w:szCs w:val="21"/>
          <w:highlight w:val="none"/>
        </w:rPr>
        <w:t>（1）</w:t>
      </w:r>
      <w:r>
        <w:rPr>
          <w:rFonts w:hint="eastAsia" w:ascii="宋体" w:hAnsi="宋体" w:cs="宋体"/>
          <w:b/>
          <w:bCs/>
          <w:color w:val="auto"/>
          <w:szCs w:val="21"/>
          <w:highlight w:val="none"/>
          <w:u w:val="single"/>
        </w:rPr>
        <w:t>承包人未按3.1（10）条规定分包渣土运输业务的，承包人应支付 合同价的千分之一的 违约金</w:t>
      </w:r>
      <w:r>
        <w:rPr>
          <w:rFonts w:hint="eastAsia" w:ascii="宋体" w:hAnsi="宋体" w:cs="宋体"/>
          <w:b/>
          <w:bCs/>
          <w:color w:val="auto"/>
          <w:szCs w:val="21"/>
          <w:highlight w:val="none"/>
        </w:rPr>
        <w:t>；</w:t>
      </w:r>
    </w:p>
    <w:p w14:paraId="21119B42">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u w:val="single"/>
        </w:rPr>
        <w:t>（2）承包人未按照3.1（10）条规定加强建筑垃圾处置分包合同履约监管，出现分包单位使用不符合规定的车辆进出施工现场运输建筑垃圾或将建筑垃圾运输至非指定消纳场所等现象的，承包人应支付 5000元/次违约金</w:t>
      </w:r>
      <w:r>
        <w:rPr>
          <w:rFonts w:hint="eastAsia" w:ascii="宋体" w:hAnsi="宋体" w:cs="宋体"/>
          <w:b/>
          <w:bCs/>
          <w:color w:val="auto"/>
          <w:szCs w:val="21"/>
          <w:highlight w:val="none"/>
        </w:rPr>
        <w:t>；</w:t>
      </w:r>
    </w:p>
    <w:p w14:paraId="3B7DF224">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（3）承包人未做好工程垃圾处理出土处置台账的，承包人应支付 5000元/次 违约金；</w:t>
      </w:r>
    </w:p>
    <w:p w14:paraId="69BF2DA3">
      <w:pPr>
        <w:spacing w:line="360" w:lineRule="auto"/>
        <w:ind w:firstLine="422" w:firstLineChars="200"/>
        <w:rPr>
          <w:rFonts w:hint="eastAsia" w:ascii="宋体" w:hAnsi="宋体" w:cs="宋体"/>
          <w:b/>
          <w:bCs/>
          <w:color w:val="auto"/>
          <w:szCs w:val="21"/>
          <w:highlight w:val="none"/>
          <w:u w:val="single"/>
        </w:rPr>
      </w:pPr>
      <w:r>
        <w:rPr>
          <w:rFonts w:hint="eastAsia" w:ascii="宋体" w:hAnsi="宋体" w:cs="宋体"/>
          <w:b/>
          <w:bCs/>
          <w:color w:val="auto"/>
          <w:szCs w:val="21"/>
          <w:highlight w:val="none"/>
          <w:u w:val="single"/>
        </w:rPr>
        <w:t>（4）承包人在结算前未查验接纳回执，与运输、处置单位结算相关费用的，承包人应支付 5000元/次 违约金</w:t>
      </w:r>
      <w:r>
        <w:rPr>
          <w:rFonts w:hint="eastAsia" w:ascii="宋体" w:hAnsi="宋体" w:cs="宋体"/>
          <w:b/>
          <w:bCs/>
          <w:color w:val="auto"/>
          <w:szCs w:val="21"/>
          <w:highlight w:val="none"/>
        </w:rPr>
        <w:t>；</w:t>
      </w:r>
    </w:p>
    <w:p w14:paraId="6646A8E5">
      <w:pPr>
        <w:snapToGrid w:val="0"/>
        <w:spacing w:line="360" w:lineRule="auto"/>
        <w:ind w:firstLine="422" w:firstLineChars="200"/>
        <w:jc w:val="left"/>
        <w:rPr>
          <w:rFonts w:hint="eastAsia" w:ascii="宋体" w:hAnsi="宋体" w:cs="宋体"/>
          <w:color w:val="auto"/>
          <w:kern w:val="0"/>
          <w:szCs w:val="21"/>
          <w:highlight w:val="none"/>
        </w:rPr>
      </w:pPr>
      <w:r>
        <w:rPr>
          <w:rFonts w:hint="eastAsia" w:ascii="宋体" w:hAnsi="宋体" w:cs="宋体"/>
          <w:b/>
          <w:bCs/>
          <w:color w:val="auto"/>
          <w:szCs w:val="21"/>
          <w:highlight w:val="none"/>
          <w:u w:val="single"/>
        </w:rPr>
        <w:t>（5）承包人未按照已备案的渣土处置方案落实渣土处置措施的，承包人应支付 5000元/次 违约金</w:t>
      </w:r>
      <w:r>
        <w:rPr>
          <w:rFonts w:hint="eastAsia" w:ascii="宋体" w:hAnsi="宋体" w:cs="宋体"/>
          <w:color w:val="auto"/>
          <w:kern w:val="0"/>
          <w:szCs w:val="21"/>
          <w:highlight w:val="none"/>
        </w:rPr>
        <w:t>。</w:t>
      </w:r>
    </w:p>
    <w:p w14:paraId="3FCA3B7F">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16.2.2承包人违约的责任</w:t>
      </w:r>
    </w:p>
    <w:p w14:paraId="4C595CF7">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承包人违约责任的承担方式和计算方法：</w:t>
      </w:r>
    </w:p>
    <w:p w14:paraId="1B5043CD">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（1）承包人违反合同约定进行转包或违法分包的违约责任：发包人有权解除合同，没收全部履约保证金外，赔偿由此给发包人造成的一切损失。</w:t>
      </w:r>
    </w:p>
    <w:p w14:paraId="7145E1AB">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2）承包人违反合同约定采购和使用不合格的材料和工程设备的违约责任：除重新采购合格的材料和工程设备，如已施工的无条件返工，并自行承担相关费用和造成的损失且工期不得顺延外；每发生一次应承担人民币5000元的违约金；若由此还给发包人造成损失的，由承包人负责赔偿。</w:t>
      </w:r>
    </w:p>
    <w:p w14:paraId="20EF40EE">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3）因承包人原因导致工程质量不符合合同要求的违约责任：工程经各方验收，质量未达到合同约定“合格”标准的，由承包人负责整改直至通过验收，承包人承担由此产生的所有费用及给发包人造成的损失，且工期不予顺延；工程经过承包人的全面整改后，经各方验收仍然未达到合同约定“合格”标准的，承包人必须按合同总价的5%向发包人支付违约金，该违约金从履约保证金及工程款中扣除。若承包人不按发包人要求整改的，发包人有权委托第三方进行整改，整改费用由承包人承担，在工程款中扣除。发包人委托第三方整改不能免除承包人根据合同约定应当承担的工程维修责任。  </w:t>
      </w:r>
    </w:p>
    <w:p w14:paraId="159A9BD7">
      <w:pPr>
        <w:pStyle w:val="35"/>
        <w:spacing w:line="360" w:lineRule="auto"/>
        <w:ind w:firstLine="474" w:firstLineChars="225"/>
        <w:rPr>
          <w:rFonts w:hint="eastAsia" w:hAnsi="宋体" w:cs="宋体"/>
          <w:b/>
          <w:color w:val="auto"/>
          <w:highlight w:val="none"/>
          <w:u w:val="single"/>
        </w:rPr>
      </w:pPr>
      <w:r>
        <w:rPr>
          <w:rFonts w:hint="eastAsia" w:hAnsi="宋体" w:cs="宋体"/>
          <w:b/>
          <w:color w:val="auto"/>
          <w:highlight w:val="none"/>
          <w:u w:val="single"/>
        </w:rPr>
        <w:t>承包人必须严格按合同条款、施工图纸及设计说明文件、施工验收规范、国家和省市的有关质量验收标准，精心组织施工，确保工程质量达到国家合格验收标准。</w:t>
      </w:r>
    </w:p>
    <w:p w14:paraId="6759557A">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（4）承包人违反材料与设备专用要求的约定，未经批准，私自将已按照合同约定进入施工现场的材料或设备撤离施工现场的违约责任：承包人应及时停止撤离，并承担相应损失。</w:t>
      </w:r>
    </w:p>
    <w:p w14:paraId="6931295F">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（5）承包人未能按施工进度计划及时完成合同约定的工作，造成工期延误的违约责任：同专用条款7.5.2款约定。 </w:t>
      </w:r>
    </w:p>
    <w:p w14:paraId="1E0D0B9D">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6）承包人在缺陷责任期及保修期内，未能在合理期限对工程缺陷进行修复，或拒绝按发包人要求进行修复的违约责任：发包人有权自行修复或委托第三方修复，所需费用由承包人全部承担（修复费用=实际修复费用+实际修复费用20%的管理费用），上述违约金额在质量保证金中直接扣除，且承包人应在收到发包人扣罚通知后7天内补足质量保证金，若承包人未按要求补足质量保证金的，发包人有权在退还质量保证金时双倍扣减上述修复费用。</w:t>
      </w:r>
    </w:p>
    <w:p w14:paraId="7583414D">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（7）承包人由于违反安全操作规范，被政府有关部门处罚，如通报批评、警告和罚款等，承包人承担一切责任，并每被查处一次，发包人每次扣罚违约金5000元，上述扣款在工程进度款中逐期扣除。</w:t>
      </w:r>
    </w:p>
    <w:p w14:paraId="476D1AD0">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8）承包人应强化安全意识，抓好安全生产，杜绝事故发生，施工中若发生安全及人身事故均由承包人自行负责处理，承担一切责任包括全部费用。安全事故每发生一次，承包人向发包人支付1万元的违约金，上述扣款在工程进度款中逐期扣除。</w:t>
      </w:r>
    </w:p>
    <w:p w14:paraId="3FAA7082">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（9）双方约定的承包人其他违约责任: </w:t>
      </w:r>
    </w:p>
    <w:p w14:paraId="08AB07F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 xml:space="preserve">1）本工程的所有隐蔽工程必须经监理验收合格签字确认后方可隐蔽，如隐蔽工程未经监理工程师验收合格签字认可，而承包人擅自隐蔽进入下道工序的，每发生一次除全部返工并承担返工费用外，发包人有权要求承包方承担2万元的违约金。 </w:t>
      </w:r>
    </w:p>
    <w:p w14:paraId="245E49CE">
      <w:pPr>
        <w:pStyle w:val="35"/>
        <w:spacing w:line="360" w:lineRule="auto"/>
        <w:ind w:firstLine="422" w:firstLineChars="200"/>
        <w:rPr>
          <w:rFonts w:hint="eastAsia" w:hAnsi="宋体" w:cs="宋体"/>
          <w:b/>
          <w:color w:val="auto"/>
          <w:highlight w:val="none"/>
          <w:u w:val="single"/>
        </w:rPr>
      </w:pPr>
      <w:r>
        <w:rPr>
          <w:rFonts w:hint="eastAsia" w:hAnsi="宋体" w:cs="宋体"/>
          <w:b/>
          <w:color w:val="auto"/>
          <w:highlight w:val="none"/>
          <w:u w:val="single"/>
        </w:rPr>
        <w:t xml:space="preserve">2）施工中不能达到安全文明施工的相关要求，经监理人确认后发包人有权停止支付剩余安全文明施工费用，待安全文明施工工作符合合同约定和相关要求后发包人恢复支付；情节严重时，发包人有权视情节要求承包人承担相应的违约责任。 </w:t>
      </w:r>
    </w:p>
    <w:p w14:paraId="504235F5">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3）施工过程中，如承包人的施工队伍素质、力量、机构配备不符合投标承诺或施工组织设计，造成现场管理混乱，工程质量和进度明显不到预定计划时，发包人有权要求其调整充实力量，加强管理。当上述措施仍无效时，发包人有权视情节要求承包人承担相应的违约责任，情节恶劣时发包人有权单方面终止本承包合同，并由承包人承担由此造成的一切损失。</w:t>
      </w:r>
    </w:p>
    <w:p w14:paraId="171CD4D8">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4）由于管理混乱，造成的罚款与损失均由乙方自行承担外，甲方将提出警告并有权要求乙方承担每次二万元的违约金，并扣除该项措施费用及履约担保金中的相关费用，以确保本工程文明管理得到贯彻执行。</w:t>
      </w:r>
    </w:p>
    <w:p w14:paraId="481E17F8">
      <w:pPr>
        <w:spacing w:line="360" w:lineRule="auto"/>
        <w:ind w:firstLine="422" w:firstLineChars="200"/>
        <w:rPr>
          <w:rFonts w:hint="eastAsia" w:ascii="宋体" w:hAnsi="宋体" w:cs="宋体"/>
          <w:color w:val="auto"/>
          <w:kern w:val="0"/>
          <w:szCs w:val="21"/>
          <w:highlight w:val="none"/>
          <w:u w:val="single"/>
        </w:rPr>
      </w:pPr>
      <w:r>
        <w:rPr>
          <w:rFonts w:hint="eastAsia" w:ascii="宋体" w:hAnsi="宋体" w:cs="宋体"/>
          <w:b/>
          <w:color w:val="auto"/>
          <w:szCs w:val="21"/>
          <w:highlight w:val="none"/>
          <w:u w:val="single"/>
        </w:rPr>
        <w:t>5）承包人不履行合同义务，或不按合同约定履行合同义务的其他情况，承包人承担违约责任，发包人保留索赔其他损失的权利</w:t>
      </w:r>
      <w:r>
        <w:rPr>
          <w:rFonts w:hint="eastAsia" w:ascii="宋体" w:hAnsi="宋体" w:cs="宋体"/>
          <w:color w:val="auto"/>
          <w:kern w:val="0"/>
          <w:szCs w:val="21"/>
          <w:highlight w:val="none"/>
        </w:rPr>
        <w:t>。</w:t>
      </w:r>
      <w:r>
        <w:rPr>
          <w:rFonts w:hint="eastAsia" w:ascii="宋体" w:hAnsi="宋体" w:cs="宋体"/>
          <w:color w:val="auto"/>
          <w:szCs w:val="21"/>
          <w:highlight w:val="none"/>
        </w:rPr>
        <w:t xml:space="preserve">    </w:t>
      </w:r>
    </w:p>
    <w:p w14:paraId="458A5318">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16.2.3 因承包人违约解除合同</w:t>
      </w:r>
    </w:p>
    <w:p w14:paraId="66A29CED">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关于承包人违约解除合同的特别约定：</w:t>
      </w:r>
    </w:p>
    <w:p w14:paraId="076B2ECE">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（1）合同解除后发包人将本工程另行发包，承包人应负责保管施工场地直至与新的施工单位办理移交。新的施工单位签约价与本合同签约价之间的差额作为发包人损失全部由承包人承担。</w:t>
      </w:r>
    </w:p>
    <w:p w14:paraId="35EF4E3B">
      <w:pPr>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cs="宋体"/>
          <w:b/>
          <w:color w:val="auto"/>
          <w:szCs w:val="21"/>
          <w:highlight w:val="none"/>
          <w:u w:val="single"/>
        </w:rPr>
        <w:t>（2）合同解除后，承包人对由其完成的工程，仍应按《工程质量保修书》约定履行质量保修义务</w:t>
      </w:r>
      <w:r>
        <w:rPr>
          <w:rFonts w:hint="eastAsia" w:ascii="宋体" w:hAnsi="宋体" w:cs="宋体"/>
          <w:color w:val="auto"/>
          <w:kern w:val="0"/>
          <w:szCs w:val="21"/>
          <w:highlight w:val="none"/>
        </w:rPr>
        <w:t>。</w:t>
      </w:r>
    </w:p>
    <w:p w14:paraId="38990C85">
      <w:pPr>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s="宋体"/>
          <w:b/>
          <w:color w:val="auto"/>
          <w:szCs w:val="21"/>
          <w:highlight w:val="none"/>
          <w:u w:val="single"/>
        </w:rPr>
        <w:t>由发包人支付承包人相应费用（成本费用，不计利润）</w:t>
      </w:r>
      <w:r>
        <w:rPr>
          <w:rFonts w:hint="eastAsia" w:ascii="宋体" w:hAnsi="宋体" w:cs="宋体"/>
          <w:color w:val="auto"/>
          <w:kern w:val="0"/>
          <w:szCs w:val="21"/>
          <w:highlight w:val="none"/>
        </w:rPr>
        <w:t>。</w:t>
      </w:r>
    </w:p>
    <w:p w14:paraId="6282110C">
      <w:pPr>
        <w:tabs>
          <w:tab w:val="left" w:pos="864"/>
        </w:tabs>
        <w:snapToGrid w:val="0"/>
        <w:spacing w:line="360" w:lineRule="auto"/>
        <w:rPr>
          <w:rFonts w:hint="eastAsia" w:ascii="宋体" w:hAnsi="宋体" w:cs="宋体"/>
          <w:color w:val="auto"/>
          <w:szCs w:val="21"/>
          <w:highlight w:val="none"/>
        </w:rPr>
      </w:pPr>
      <w:bookmarkStart w:id="995" w:name="_Toc351203649"/>
      <w:r>
        <w:rPr>
          <w:rFonts w:hint="eastAsia" w:ascii="宋体" w:hAnsi="宋体" w:cs="宋体"/>
          <w:color w:val="auto"/>
          <w:szCs w:val="21"/>
          <w:highlight w:val="none"/>
        </w:rPr>
        <w:t>17. 不可抗力</w:t>
      </w:r>
      <w:bookmarkEnd w:id="995"/>
      <w:r>
        <w:rPr>
          <w:rFonts w:hint="eastAsia" w:ascii="宋体" w:hAnsi="宋体" w:cs="宋体"/>
          <w:color w:val="auto"/>
          <w:szCs w:val="21"/>
          <w:highlight w:val="none"/>
        </w:rPr>
        <w:t xml:space="preserve"> </w:t>
      </w:r>
      <w:bookmarkEnd w:id="993"/>
    </w:p>
    <w:p w14:paraId="32D4E52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17.1 不可抗力的确认</w:t>
      </w:r>
    </w:p>
    <w:p w14:paraId="2C68FE2A">
      <w:pPr>
        <w:snapToGrid w:val="0"/>
        <w:spacing w:line="360" w:lineRule="auto"/>
        <w:ind w:firstLine="420" w:firstLineChars="200"/>
        <w:jc w:val="left"/>
        <w:rPr>
          <w:rFonts w:hint="eastAsia" w:ascii="宋体" w:hAnsi="宋体" w:cs="宋体"/>
          <w:color w:val="auto"/>
          <w:kern w:val="0"/>
          <w:szCs w:val="21"/>
          <w:highlight w:val="none"/>
          <w:u w:val="single"/>
        </w:rPr>
      </w:pPr>
      <w:r>
        <w:rPr>
          <w:rFonts w:hint="eastAsia" w:ascii="宋体" w:hAnsi="宋体" w:cs="宋体"/>
          <w:color w:val="auto"/>
          <w:szCs w:val="21"/>
          <w:highlight w:val="none"/>
        </w:rPr>
        <w:t xml:space="preserve">除通用合同条款约定的不可抗力事件之外，视为不可抗力的其他情形： </w:t>
      </w:r>
      <w:r>
        <w:rPr>
          <w:rFonts w:hint="eastAsia" w:ascii="宋体" w:hAnsi="宋体" w:cs="宋体"/>
          <w:b/>
          <w:color w:val="auto"/>
          <w:szCs w:val="21"/>
          <w:highlight w:val="none"/>
          <w:u w:val="single"/>
        </w:rPr>
        <w:t>按通用合同条款约定</w:t>
      </w:r>
      <w:r>
        <w:rPr>
          <w:rFonts w:hint="eastAsia" w:ascii="宋体" w:hAnsi="宋体" w:cs="宋体"/>
          <w:color w:val="auto"/>
          <w:kern w:val="0"/>
          <w:szCs w:val="21"/>
          <w:highlight w:val="none"/>
        </w:rPr>
        <w:t>。</w:t>
      </w:r>
    </w:p>
    <w:p w14:paraId="52EB4CAD">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17.4 因不可抗力解除合同</w:t>
      </w:r>
    </w:p>
    <w:p w14:paraId="27E9644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合同解除后，发包人应在商定或确定发包人应支付款项后</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30</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天内完成款项的支付。</w:t>
      </w:r>
    </w:p>
    <w:p w14:paraId="3FB828E5">
      <w:pPr>
        <w:tabs>
          <w:tab w:val="left" w:pos="864"/>
        </w:tabs>
        <w:snapToGrid w:val="0"/>
        <w:spacing w:line="360" w:lineRule="auto"/>
        <w:rPr>
          <w:rFonts w:hint="eastAsia" w:ascii="宋体" w:hAnsi="宋体" w:cs="宋体"/>
          <w:color w:val="auto"/>
          <w:szCs w:val="21"/>
          <w:highlight w:val="none"/>
        </w:rPr>
      </w:pPr>
      <w:bookmarkStart w:id="996" w:name="_Toc351203650"/>
      <w:r>
        <w:rPr>
          <w:rFonts w:hint="eastAsia" w:ascii="宋体" w:hAnsi="宋体" w:cs="宋体"/>
          <w:color w:val="auto"/>
          <w:szCs w:val="21"/>
          <w:highlight w:val="none"/>
        </w:rPr>
        <w:t>18. 保险</w:t>
      </w:r>
      <w:bookmarkEnd w:id="996"/>
    </w:p>
    <w:bookmarkEnd w:id="994"/>
    <w:p w14:paraId="1705A8C5">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18.1 工程保险</w:t>
      </w:r>
    </w:p>
    <w:p w14:paraId="4F283D4C">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关于工程保险的特别约定：</w:t>
      </w:r>
      <w:r>
        <w:rPr>
          <w:rFonts w:hint="eastAsia" w:ascii="宋体" w:hAnsi="宋体" w:cs="宋体"/>
          <w:b/>
          <w:color w:val="auto"/>
          <w:szCs w:val="21"/>
          <w:highlight w:val="none"/>
          <w:u w:val="single"/>
        </w:rPr>
        <w:t>承包人应投保工程一切险，并承担相应费用</w:t>
      </w:r>
      <w:r>
        <w:rPr>
          <w:rFonts w:hint="eastAsia" w:ascii="宋体" w:hAnsi="宋体" w:cs="宋体"/>
          <w:color w:val="auto"/>
          <w:kern w:val="0"/>
          <w:szCs w:val="21"/>
          <w:highlight w:val="none"/>
        </w:rPr>
        <w:t>。</w:t>
      </w:r>
    </w:p>
    <w:p w14:paraId="55C45B22">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18.3 其他保险</w:t>
      </w:r>
    </w:p>
    <w:p w14:paraId="68E90EFA">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关于其他保险的约定：</w:t>
      </w:r>
      <w:r>
        <w:rPr>
          <w:rFonts w:hint="eastAsia" w:ascii="宋体" w:hAnsi="宋体" w:cs="宋体"/>
          <w:b/>
          <w:color w:val="auto"/>
          <w:szCs w:val="21"/>
          <w:highlight w:val="none"/>
          <w:u w:val="single"/>
        </w:rPr>
        <w:t>承包人为建设工程和施工场地内的自有人员设备及第三方生命财产办理保险并支付保险费用，费用已包含在总价内。施工期间所发生的一切与本工程有关的承包人的人员、财产等意外伤害、损失，由承包人承担全部责任和费用</w:t>
      </w:r>
      <w:r>
        <w:rPr>
          <w:rFonts w:hint="eastAsia" w:ascii="宋体" w:hAnsi="宋体" w:cs="宋体"/>
          <w:color w:val="auto"/>
          <w:kern w:val="0"/>
          <w:szCs w:val="21"/>
          <w:highlight w:val="none"/>
        </w:rPr>
        <w:t>。</w:t>
      </w:r>
    </w:p>
    <w:p w14:paraId="4FF06EAD">
      <w:pPr>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szCs w:val="21"/>
          <w:highlight w:val="none"/>
        </w:rPr>
        <w:t>承包人是否应为其施工设备等办理财产保险：</w:t>
      </w:r>
      <w:r>
        <w:rPr>
          <w:rFonts w:hint="eastAsia" w:ascii="宋体" w:hAnsi="宋体" w:cs="宋体"/>
          <w:b/>
          <w:color w:val="auto"/>
          <w:szCs w:val="21"/>
          <w:highlight w:val="none"/>
          <w:u w:val="single"/>
        </w:rPr>
        <w:t>是，并承担相应费用</w:t>
      </w:r>
      <w:r>
        <w:rPr>
          <w:rFonts w:hint="eastAsia" w:ascii="宋体" w:hAnsi="宋体" w:cs="宋体"/>
          <w:color w:val="auto"/>
          <w:szCs w:val="21"/>
          <w:highlight w:val="none"/>
        </w:rPr>
        <w:t>。</w:t>
      </w:r>
    </w:p>
    <w:p w14:paraId="55D2C53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18.7 通知义务</w:t>
      </w:r>
    </w:p>
    <w:p w14:paraId="11E52ED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kern w:val="0"/>
          <w:szCs w:val="21"/>
          <w:highlight w:val="none"/>
        </w:rPr>
        <w:t>关于变更保险合同时的通知义务的约定：</w:t>
      </w:r>
      <w:r>
        <w:rPr>
          <w:rFonts w:hint="eastAsia" w:ascii="宋体" w:hAnsi="宋体" w:cs="宋体"/>
          <w:b/>
          <w:color w:val="auto"/>
          <w:szCs w:val="21"/>
          <w:highlight w:val="none"/>
          <w:u w:val="single"/>
        </w:rPr>
        <w:t>按通用合同条款约定</w:t>
      </w:r>
      <w:r>
        <w:rPr>
          <w:rFonts w:hint="eastAsia" w:ascii="宋体" w:hAnsi="宋体" w:cs="宋体"/>
          <w:color w:val="auto"/>
          <w:szCs w:val="21"/>
          <w:highlight w:val="none"/>
        </w:rPr>
        <w:t>。</w:t>
      </w:r>
    </w:p>
    <w:bookmarkEnd w:id="970"/>
    <w:bookmarkEnd w:id="971"/>
    <w:bookmarkEnd w:id="972"/>
    <w:bookmarkEnd w:id="973"/>
    <w:bookmarkEnd w:id="974"/>
    <w:bookmarkEnd w:id="975"/>
    <w:bookmarkEnd w:id="976"/>
    <w:bookmarkEnd w:id="977"/>
    <w:bookmarkEnd w:id="978"/>
    <w:bookmarkEnd w:id="979"/>
    <w:bookmarkEnd w:id="980"/>
    <w:bookmarkEnd w:id="981"/>
    <w:p w14:paraId="2043CA99">
      <w:pPr>
        <w:tabs>
          <w:tab w:val="left" w:pos="864"/>
        </w:tabs>
        <w:snapToGrid w:val="0"/>
        <w:spacing w:line="360" w:lineRule="auto"/>
        <w:rPr>
          <w:rFonts w:hint="eastAsia" w:ascii="宋体" w:hAnsi="宋体" w:cs="宋体"/>
          <w:color w:val="auto"/>
          <w:szCs w:val="21"/>
          <w:highlight w:val="none"/>
        </w:rPr>
      </w:pPr>
      <w:bookmarkStart w:id="997" w:name="_Toc351203651"/>
      <w:r>
        <w:rPr>
          <w:rFonts w:hint="eastAsia" w:ascii="宋体" w:hAnsi="宋体" w:cs="宋体"/>
          <w:color w:val="auto"/>
          <w:szCs w:val="21"/>
          <w:highlight w:val="none"/>
        </w:rPr>
        <w:t>20. 争议解决</w:t>
      </w:r>
      <w:bookmarkEnd w:id="997"/>
    </w:p>
    <w:bookmarkEnd w:id="982"/>
    <w:bookmarkEnd w:id="983"/>
    <w:p w14:paraId="63C02227">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20.3 争</w:t>
      </w:r>
      <w:bookmarkEnd w:id="984"/>
      <w:r>
        <w:rPr>
          <w:rFonts w:hint="eastAsia" w:ascii="宋体" w:hAnsi="宋体" w:cs="宋体"/>
          <w:color w:val="auto"/>
          <w:szCs w:val="21"/>
          <w:highlight w:val="none"/>
        </w:rPr>
        <w:t>议评审</w:t>
      </w:r>
    </w:p>
    <w:p w14:paraId="5CEB127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合同当事人是否同意将工程争议递交争议评审小组决定：</w:t>
      </w:r>
      <w:r>
        <w:rPr>
          <w:rFonts w:hint="eastAsia" w:ascii="宋体" w:hAnsi="宋体" w:cs="宋体"/>
          <w:b/>
          <w:color w:val="auto"/>
          <w:szCs w:val="21"/>
          <w:highlight w:val="none"/>
          <w:u w:val="single"/>
        </w:rPr>
        <w:t>否</w:t>
      </w:r>
      <w:r>
        <w:rPr>
          <w:rFonts w:hint="eastAsia" w:ascii="宋体" w:hAnsi="宋体" w:cs="宋体"/>
          <w:color w:val="auto"/>
          <w:szCs w:val="21"/>
          <w:highlight w:val="none"/>
        </w:rPr>
        <w:t xml:space="preserve">。  </w:t>
      </w:r>
    </w:p>
    <w:p w14:paraId="412FAF47">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20.3.1 争议评审小组的确定</w:t>
      </w:r>
    </w:p>
    <w:p w14:paraId="5D64070A">
      <w:pPr>
        <w:snapToGrid w:val="0"/>
        <w:spacing w:line="360" w:lineRule="auto"/>
        <w:ind w:firstLine="420" w:firstLineChars="200"/>
        <w:jc w:val="left"/>
        <w:rPr>
          <w:rFonts w:hint="eastAsia" w:ascii="宋体" w:hAnsi="宋体" w:cs="宋体"/>
          <w:color w:val="auto"/>
          <w:szCs w:val="21"/>
          <w:highlight w:val="none"/>
          <w:u w:val="single"/>
        </w:rPr>
      </w:pPr>
      <w:r>
        <w:rPr>
          <w:rFonts w:hint="eastAsia" w:ascii="宋体" w:hAnsi="宋体" w:cs="宋体"/>
          <w:color w:val="auto"/>
          <w:szCs w:val="21"/>
          <w:highlight w:val="none"/>
        </w:rPr>
        <w:t>争议评审小组成员的确定：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16EF91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选定争议评审员的期限：</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9564410">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争议评审小组成员的报酬承担方式：</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7D7E04CF">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其他事项的约定：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668B61B9">
      <w:pPr>
        <w:autoSpaceDE w:val="0"/>
        <w:autoSpaceDN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20.3.2 争议评审小组的决定</w:t>
      </w:r>
    </w:p>
    <w:p w14:paraId="0C30DF09">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合同当事人关于本项的约定：</w:t>
      </w:r>
      <w:r>
        <w:rPr>
          <w:rFonts w:hint="eastAsia" w:ascii="宋体" w:hAnsi="宋体" w:cs="宋体"/>
          <w:color w:val="auto"/>
          <w:szCs w:val="21"/>
          <w:highlight w:val="none"/>
          <w:u w:val="single"/>
        </w:rPr>
        <w:t>/</w:t>
      </w:r>
      <w:r>
        <w:rPr>
          <w:rFonts w:hint="eastAsia" w:ascii="宋体" w:hAnsi="宋体" w:cs="宋体"/>
          <w:color w:val="auto"/>
          <w:szCs w:val="21"/>
          <w:highlight w:val="none"/>
        </w:rPr>
        <w:t>。</w:t>
      </w:r>
    </w:p>
    <w:p w14:paraId="49E9142A">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20.4仲裁或诉讼</w:t>
      </w:r>
      <w:bookmarkEnd w:id="985"/>
    </w:p>
    <w:p w14:paraId="0DB77C6F">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因合同及合同有关事项发生的争议双方及时协商解决，如协商不成的按下列方式解决：</w:t>
      </w:r>
    </w:p>
    <w:p w14:paraId="532D5463">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向</w:t>
      </w:r>
      <w:r>
        <w:rPr>
          <w:rFonts w:hint="eastAsia" w:ascii="宋体" w:hAnsi="宋体" w:cs="宋体"/>
          <w:color w:val="auto"/>
          <w:szCs w:val="21"/>
          <w:highlight w:val="none"/>
          <w:u w:val="single"/>
        </w:rPr>
        <w:t xml:space="preserve">   </w:t>
      </w:r>
      <w:r>
        <w:rPr>
          <w:rFonts w:hint="eastAsia" w:ascii="宋体" w:hAnsi="宋体" w:cs="宋体"/>
          <w:b/>
          <w:bCs/>
          <w:color w:val="auto"/>
          <w:szCs w:val="21"/>
          <w:highlight w:val="none"/>
          <w:u w:val="single"/>
        </w:rPr>
        <w:t>发包人所在地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人民法院起诉</w:t>
      </w:r>
      <w:bookmarkEnd w:id="986"/>
      <w:bookmarkEnd w:id="987"/>
      <w:bookmarkEnd w:id="988"/>
      <w:bookmarkEnd w:id="989"/>
      <w:bookmarkEnd w:id="990"/>
      <w:bookmarkEnd w:id="991"/>
      <w:r>
        <w:rPr>
          <w:rFonts w:hint="eastAsia" w:ascii="宋体" w:hAnsi="宋体" w:cs="宋体"/>
          <w:color w:val="auto"/>
          <w:szCs w:val="21"/>
          <w:highlight w:val="none"/>
        </w:rPr>
        <w:t>，本合同的内容，如与中华人民共和国相关法律、法规相抵触，以相关法律、法规为准；双方对违约责任的处理不能达成一致意见时按《中华人民共和国民法典》规定处理。</w:t>
      </w:r>
    </w:p>
    <w:p w14:paraId="0D0B3E4C">
      <w:pPr>
        <w:rPr>
          <w:rFonts w:hint="eastAsia" w:ascii="宋体" w:hAnsi="宋体"/>
          <w:b/>
          <w:color w:val="auto"/>
          <w:sz w:val="24"/>
          <w:highlight w:val="none"/>
        </w:rPr>
      </w:pPr>
    </w:p>
    <w:p w14:paraId="0361A568">
      <w:pPr>
        <w:snapToGrid w:val="0"/>
        <w:spacing w:line="360" w:lineRule="auto"/>
        <w:rPr>
          <w:rFonts w:hint="eastAsia" w:ascii="宋体" w:hAnsi="宋体"/>
          <w:color w:val="auto"/>
          <w:sz w:val="24"/>
          <w:highlight w:val="none"/>
        </w:rPr>
      </w:pPr>
      <w:r>
        <w:rPr>
          <w:rFonts w:hint="eastAsia" w:ascii="宋体" w:hAnsi="宋体"/>
          <w:b/>
          <w:color w:val="auto"/>
          <w:sz w:val="24"/>
          <w:highlight w:val="none"/>
        </w:rPr>
        <w:t>附件：</w:t>
      </w:r>
    </w:p>
    <w:p w14:paraId="5413384F">
      <w:pPr>
        <w:adjustRightInd/>
        <w:snapToGrid w:val="0"/>
        <w:spacing w:line="360" w:lineRule="auto"/>
        <w:ind w:firstLine="371" w:firstLineChars="177"/>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附件1：建筑工程质量保修书</w:t>
      </w:r>
    </w:p>
    <w:p w14:paraId="00640B04">
      <w:pPr>
        <w:adjustRightInd/>
        <w:ind w:firstLine="371" w:firstLineChars="177"/>
        <w:jc w:val="left"/>
        <w:rPr>
          <w:rFonts w:hint="eastAsia" w:ascii="宋体" w:hAnsi="宋体"/>
          <w:snapToGrid w:val="0"/>
          <w:color w:val="auto"/>
          <w:kern w:val="0"/>
          <w:szCs w:val="21"/>
          <w:highlight w:val="none"/>
        </w:rPr>
      </w:pPr>
    </w:p>
    <w:p w14:paraId="1907438A">
      <w:pPr>
        <w:spacing w:before="162" w:line="440" w:lineRule="exact"/>
        <w:ind w:firstLine="480"/>
        <w:rPr>
          <w:rFonts w:hint="eastAsia" w:ascii="宋体" w:hAnsi="宋体"/>
          <w:b/>
          <w:bCs/>
          <w:color w:val="auto"/>
          <w:sz w:val="24"/>
          <w:highlight w:val="none"/>
        </w:rPr>
      </w:pPr>
      <w:r>
        <w:rPr>
          <w:rFonts w:ascii="宋体" w:hAnsi="宋体"/>
          <w:color w:val="auto"/>
          <w:sz w:val="24"/>
          <w:highlight w:val="none"/>
          <w:u w:val="single"/>
        </w:rPr>
        <w:br w:type="page"/>
      </w:r>
      <w:bookmarkStart w:id="998" w:name="_Toc249091536"/>
      <w:bookmarkStart w:id="999" w:name="_Toc534620509"/>
      <w:r>
        <w:rPr>
          <w:rFonts w:hint="eastAsia" w:ascii="宋体" w:hAnsi="宋体"/>
          <w:b/>
          <w:bCs/>
          <w:color w:val="auto"/>
          <w:sz w:val="24"/>
          <w:highlight w:val="none"/>
        </w:rPr>
        <w:t>附件1:</w:t>
      </w:r>
    </w:p>
    <w:bookmarkEnd w:id="998"/>
    <w:bookmarkEnd w:id="999"/>
    <w:p w14:paraId="46B6C99E">
      <w:pPr>
        <w:adjustRightInd/>
        <w:spacing w:before="120" w:beforeLines="50" w:after="120" w:afterLines="50" w:line="288" w:lineRule="auto"/>
        <w:jc w:val="center"/>
        <w:rPr>
          <w:rFonts w:hint="eastAsia" w:ascii="宋体" w:hAnsi="宋体"/>
          <w:snapToGrid w:val="0"/>
          <w:color w:val="auto"/>
          <w:kern w:val="0"/>
          <w:szCs w:val="21"/>
          <w:highlight w:val="none"/>
        </w:rPr>
      </w:pPr>
      <w:r>
        <w:rPr>
          <w:rFonts w:ascii="宋体" w:hAnsi="宋体"/>
          <w:snapToGrid w:val="0"/>
          <w:color w:val="auto"/>
          <w:kern w:val="0"/>
          <w:szCs w:val="21"/>
          <w:highlight w:val="none"/>
        </w:rPr>
        <w:t>工程质量保修书</w:t>
      </w:r>
    </w:p>
    <w:p w14:paraId="6D619B5A">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发包人（全称）：</w:t>
      </w:r>
      <w:r>
        <w:rPr>
          <w:rFonts w:ascii="宋体" w:hAnsi="宋体"/>
          <w:snapToGrid w:val="0"/>
          <w:color w:val="auto"/>
          <w:kern w:val="0"/>
          <w:szCs w:val="21"/>
          <w:highlight w:val="none"/>
          <w:u w:val="single"/>
        </w:rPr>
        <w:t xml:space="preserve">  </w:t>
      </w:r>
      <w:bookmarkStart w:id="1000" w:name="SOA_zyht_zlbxfbr"/>
      <w:r>
        <w:rPr>
          <w:rFonts w:hint="eastAsia" w:ascii="宋体" w:hAnsi="宋体"/>
          <w:snapToGrid w:val="0"/>
          <w:color w:val="auto"/>
          <w:kern w:val="0"/>
          <w:szCs w:val="21"/>
          <w:highlight w:val="none"/>
          <w:u w:val="single"/>
        </w:rPr>
        <w:t>杭州市中策职业学校钱塘学校</w:t>
      </w:r>
      <w:bookmarkEnd w:id="1000"/>
      <w:r>
        <w:rPr>
          <w:rFonts w:hint="eastAsia" w:ascii="宋体" w:hAnsi="宋体"/>
          <w:snapToGrid w:val="0"/>
          <w:color w:val="auto"/>
          <w:kern w:val="0"/>
          <w:szCs w:val="21"/>
          <w:highlight w:val="none"/>
          <w:u w:val="single"/>
        </w:rPr>
        <w:t xml:space="preserve"> </w:t>
      </w:r>
    </w:p>
    <w:p w14:paraId="5491BFC2">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承包人（全称）：</w:t>
      </w:r>
      <w:r>
        <w:rPr>
          <w:rFonts w:ascii="宋体" w:hAnsi="宋体"/>
          <w:snapToGrid w:val="0"/>
          <w:color w:val="auto"/>
          <w:kern w:val="0"/>
          <w:szCs w:val="21"/>
          <w:highlight w:val="none"/>
          <w:u w:val="single"/>
        </w:rPr>
        <w:t xml:space="preserve">  </w:t>
      </w:r>
      <w:bookmarkStart w:id="1001" w:name="SOA_zyht_zlbxcbr"/>
      <w:r>
        <w:rPr>
          <w:rFonts w:ascii="宋体" w:hAnsi="宋体"/>
          <w:snapToGrid w:val="0"/>
          <w:color w:val="auto"/>
          <w:kern w:val="0"/>
          <w:szCs w:val="21"/>
          <w:highlight w:val="none"/>
          <w:u w:val="single"/>
        </w:rPr>
        <w:t xml:space="preserve"> </w:t>
      </w:r>
      <w:bookmarkEnd w:id="1001"/>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14:paraId="76765D40">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发包人和承包人根据《中华人民共和国建筑法》和《建设工程质量管理条例》，经协商一致就</w:t>
      </w:r>
      <w:r>
        <w:rPr>
          <w:rFonts w:ascii="宋体" w:hAnsi="宋体"/>
          <w:snapToGrid w:val="0"/>
          <w:color w:val="auto"/>
          <w:kern w:val="0"/>
          <w:szCs w:val="21"/>
          <w:highlight w:val="none"/>
          <w:u w:val="single"/>
        </w:rPr>
        <w:t xml:space="preserve">  </w:t>
      </w:r>
      <w:bookmarkStart w:id="1002" w:name="SOA_zyht_gcqc"/>
      <w:r>
        <w:rPr>
          <w:rFonts w:ascii="宋体" w:hAnsi="宋体"/>
          <w:snapToGrid w:val="0"/>
          <w:color w:val="auto"/>
          <w:kern w:val="0"/>
          <w:szCs w:val="21"/>
          <w:highlight w:val="none"/>
          <w:u w:val="single"/>
        </w:rPr>
        <w:t xml:space="preserve"> </w:t>
      </w:r>
      <w:r>
        <w:rPr>
          <w:rFonts w:hint="eastAsia" w:ascii="宋体" w:hAnsi="宋体" w:cs="宋体"/>
          <w:b/>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2"/>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（工程全称）签订工程质量保修书。</w:t>
      </w:r>
    </w:p>
    <w:p w14:paraId="35E4500B">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一、工程质量保修范围和内容</w:t>
      </w:r>
    </w:p>
    <w:p w14:paraId="12DF9023">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承包人在质量保修期内，按照有关法律规定和合同约定，承担工程质量保修责任。</w:t>
      </w:r>
    </w:p>
    <w:p w14:paraId="6C512175">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ascii="宋体" w:hAnsi="宋体"/>
          <w:snapToGrid w:val="0"/>
          <w:color w:val="auto"/>
          <w:kern w:val="0"/>
          <w:szCs w:val="21"/>
          <w:highlight w:val="none"/>
          <w:u w:val="single"/>
        </w:rPr>
        <w:t xml:space="preserve"> </w:t>
      </w:r>
      <w:bookmarkStart w:id="1003" w:name="SOA_zyht_gczlbxfw"/>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双方约定对施工承包范围内的所有内容实行保修</w:t>
      </w:r>
      <w:r>
        <w:rPr>
          <w:rFonts w:ascii="宋体" w:hAnsi="宋体"/>
          <w:snapToGrid w:val="0"/>
          <w:color w:val="auto"/>
          <w:kern w:val="0"/>
          <w:szCs w:val="21"/>
          <w:highlight w:val="none"/>
          <w:u w:val="single"/>
        </w:rPr>
        <w:t xml:space="preserve"> </w:t>
      </w:r>
      <w:bookmarkEnd w:id="1003"/>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7F7D7B96">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二、质量保修期</w:t>
      </w:r>
    </w:p>
    <w:p w14:paraId="0BFB33E3">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根据《建设工程质量管理条例》及有关规定，工程的质量保修期如下：</w:t>
      </w:r>
    </w:p>
    <w:p w14:paraId="3F0251D3">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1．地基基础工程和主体结构工程为设计文件规定的工程合理使用年限；</w:t>
      </w:r>
    </w:p>
    <w:p w14:paraId="5709D4A2">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ascii="宋体" w:hAnsi="宋体"/>
          <w:snapToGrid w:val="0"/>
          <w:color w:val="auto"/>
          <w:kern w:val="0"/>
          <w:szCs w:val="21"/>
          <w:highlight w:val="none"/>
        </w:rPr>
        <w:t>屋面防水工程、有防水要求的卫生间、房间和外墙面的防渗</w:t>
      </w:r>
      <w:r>
        <w:rPr>
          <w:rFonts w:hint="eastAsia" w:ascii="宋体" w:hAnsi="宋体"/>
          <w:snapToGrid w:val="0"/>
          <w:color w:val="auto"/>
          <w:kern w:val="0"/>
          <w:szCs w:val="21"/>
          <w:highlight w:val="none"/>
        </w:rPr>
        <w:t>为</w:t>
      </w:r>
      <w:r>
        <w:rPr>
          <w:rFonts w:hint="eastAsia" w:ascii="宋体" w:hAnsi="宋体"/>
          <w:snapToGrid w:val="0"/>
          <w:color w:val="auto"/>
          <w:kern w:val="0"/>
          <w:szCs w:val="21"/>
          <w:highlight w:val="none"/>
          <w:u w:val="single"/>
        </w:rPr>
        <w:t xml:space="preserve"> 5 </w:t>
      </w:r>
      <w:r>
        <w:rPr>
          <w:rFonts w:ascii="宋体" w:hAnsi="宋体"/>
          <w:snapToGrid w:val="0"/>
          <w:color w:val="auto"/>
          <w:kern w:val="0"/>
          <w:szCs w:val="21"/>
          <w:highlight w:val="none"/>
        </w:rPr>
        <w:t>年；</w:t>
      </w:r>
    </w:p>
    <w:p w14:paraId="2F2F218C">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装修工程为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2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3E26B168">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ascii="宋体" w:hAnsi="宋体"/>
          <w:snapToGrid w:val="0"/>
          <w:color w:val="auto"/>
          <w:kern w:val="0"/>
          <w:szCs w:val="21"/>
          <w:highlight w:val="none"/>
        </w:rPr>
        <w:t>电气管线、给排水管道、设备安装工程为</w:t>
      </w:r>
      <w:bookmarkStart w:id="1004" w:name="SOA_zyht_azbxnx"/>
      <w:r>
        <w:rPr>
          <w:rFonts w:ascii="宋体" w:hAnsi="宋体"/>
          <w:snapToGrid w:val="0"/>
          <w:color w:val="auto"/>
          <w:kern w:val="0"/>
          <w:szCs w:val="21"/>
          <w:highlight w:val="none"/>
          <w:u w:val="single"/>
        </w:rPr>
        <w:t xml:space="preserve"> </w:t>
      </w:r>
      <w:bookmarkEnd w:id="1004"/>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6D70A970">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5．</w:t>
      </w:r>
      <w:r>
        <w:rPr>
          <w:rFonts w:ascii="宋体" w:hAnsi="宋体"/>
          <w:snapToGrid w:val="0"/>
          <w:color w:val="auto"/>
          <w:kern w:val="0"/>
          <w:szCs w:val="21"/>
          <w:highlight w:val="none"/>
        </w:rPr>
        <w:t>供热与供冷系统为</w:t>
      </w:r>
      <w:r>
        <w:rPr>
          <w:rFonts w:ascii="宋体" w:hAnsi="宋体"/>
          <w:snapToGrid w:val="0"/>
          <w:color w:val="auto"/>
          <w:kern w:val="0"/>
          <w:szCs w:val="21"/>
          <w:highlight w:val="none"/>
          <w:u w:val="single"/>
        </w:rPr>
        <w:t xml:space="preserve"> </w:t>
      </w:r>
      <w:bookmarkStart w:id="1005" w:name="SOA_zyht_grbxnx"/>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bookmarkEnd w:id="1005"/>
      <w:r>
        <w:rPr>
          <w:rFonts w:ascii="宋体" w:hAnsi="宋体"/>
          <w:snapToGrid w:val="0"/>
          <w:color w:val="auto"/>
          <w:kern w:val="0"/>
          <w:szCs w:val="21"/>
          <w:highlight w:val="none"/>
        </w:rPr>
        <w:t>个采暖期、供冷期；</w:t>
      </w:r>
    </w:p>
    <w:p w14:paraId="1621128B">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w:t>
      </w:r>
      <w:r>
        <w:rPr>
          <w:rFonts w:ascii="宋体" w:hAnsi="宋体"/>
          <w:snapToGrid w:val="0"/>
          <w:color w:val="auto"/>
          <w:kern w:val="0"/>
          <w:szCs w:val="21"/>
          <w:highlight w:val="none"/>
        </w:rPr>
        <w:t>住宅小区内的给排水设施、道路等配套工程为</w:t>
      </w:r>
      <w:r>
        <w:rPr>
          <w:rFonts w:hint="eastAsia" w:ascii="宋体" w:hAnsi="宋体"/>
          <w:snapToGrid w:val="0"/>
          <w:color w:val="auto"/>
          <w:kern w:val="0"/>
          <w:szCs w:val="21"/>
          <w:highlight w:val="none"/>
          <w:u w:val="single"/>
        </w:rPr>
        <w:t>2</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p>
    <w:p w14:paraId="0DD124DB">
      <w:pPr>
        <w:adjustRightInd/>
        <w:spacing w:line="288" w:lineRule="auto"/>
        <w:ind w:firstLine="420" w:firstLineChars="20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7．</w:t>
      </w:r>
      <w:r>
        <w:rPr>
          <w:rFonts w:ascii="宋体" w:hAnsi="宋体"/>
          <w:snapToGrid w:val="0"/>
          <w:color w:val="auto"/>
          <w:kern w:val="0"/>
          <w:szCs w:val="21"/>
          <w:highlight w:val="none"/>
        </w:rPr>
        <w:t>其他项目保修期限约定如下：</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p>
    <w:p w14:paraId="2B7FAE8A">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　　质量保修期自工程竣工验收合格之日起计算。</w:t>
      </w:r>
    </w:p>
    <w:p w14:paraId="5C57BAD3">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三、缺陷责任期</w:t>
      </w:r>
    </w:p>
    <w:p w14:paraId="2CA71090">
      <w:pPr>
        <w:adjustRightInd/>
        <w:spacing w:line="360"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工程缺陷责任期为</w:t>
      </w:r>
      <w:bookmarkStart w:id="1006" w:name="SOA_zyht_gcqxq"/>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24 </w:t>
      </w:r>
      <w:r>
        <w:rPr>
          <w:rFonts w:ascii="宋体" w:hAnsi="宋体"/>
          <w:snapToGrid w:val="0"/>
          <w:color w:val="auto"/>
          <w:kern w:val="0"/>
          <w:szCs w:val="21"/>
          <w:highlight w:val="none"/>
          <w:u w:val="single"/>
        </w:rPr>
        <w:t xml:space="preserve"> </w:t>
      </w:r>
      <w:bookmarkEnd w:id="1006"/>
      <w:r>
        <w:rPr>
          <w:rFonts w:ascii="宋体" w:hAnsi="宋体"/>
          <w:snapToGrid w:val="0"/>
          <w:color w:val="auto"/>
          <w:kern w:val="0"/>
          <w:szCs w:val="21"/>
          <w:highlight w:val="none"/>
        </w:rPr>
        <w:t>个月，缺陷责任期自</w:t>
      </w:r>
      <w:r>
        <w:rPr>
          <w:rFonts w:hint="eastAsia" w:ascii="宋体" w:hAnsi="宋体"/>
          <w:snapToGrid w:val="0"/>
          <w:color w:val="auto"/>
          <w:kern w:val="0"/>
          <w:szCs w:val="21"/>
          <w:highlight w:val="none"/>
        </w:rPr>
        <w:t>工程通过竣工验收合格之日</w:t>
      </w:r>
      <w:r>
        <w:rPr>
          <w:rFonts w:ascii="宋体" w:hAnsi="宋体"/>
          <w:snapToGrid w:val="0"/>
          <w:color w:val="auto"/>
          <w:kern w:val="0"/>
          <w:szCs w:val="21"/>
          <w:highlight w:val="none"/>
        </w:rPr>
        <w:t>起计算。单位工程先于全部工程进行验收，单位工程缺陷责任期自单位工程</w:t>
      </w:r>
      <w:r>
        <w:rPr>
          <w:rFonts w:hint="eastAsia" w:ascii="宋体" w:hAnsi="宋体"/>
          <w:snapToGrid w:val="0"/>
          <w:color w:val="auto"/>
          <w:kern w:val="0"/>
          <w:szCs w:val="21"/>
          <w:highlight w:val="none"/>
        </w:rPr>
        <w:t>验收合格之日</w:t>
      </w:r>
      <w:r>
        <w:rPr>
          <w:rFonts w:ascii="宋体" w:hAnsi="宋体"/>
          <w:snapToGrid w:val="0"/>
          <w:color w:val="auto"/>
          <w:kern w:val="0"/>
          <w:szCs w:val="21"/>
          <w:highlight w:val="none"/>
        </w:rPr>
        <w:t>起</w:t>
      </w:r>
      <w:r>
        <w:rPr>
          <w:rFonts w:hint="eastAsia" w:ascii="宋体" w:hAnsi="宋体"/>
          <w:snapToGrid w:val="0"/>
          <w:color w:val="auto"/>
          <w:kern w:val="0"/>
          <w:szCs w:val="21"/>
          <w:highlight w:val="none"/>
        </w:rPr>
        <w:t>计</w:t>
      </w:r>
      <w:r>
        <w:rPr>
          <w:rFonts w:ascii="宋体" w:hAnsi="宋体"/>
          <w:snapToGrid w:val="0"/>
          <w:color w:val="auto"/>
          <w:kern w:val="0"/>
          <w:szCs w:val="21"/>
          <w:highlight w:val="none"/>
        </w:rPr>
        <w:t>算。</w:t>
      </w:r>
    </w:p>
    <w:p w14:paraId="20332AF9">
      <w:pPr>
        <w:adjustRightInd/>
        <w:spacing w:line="288" w:lineRule="auto"/>
        <w:ind w:firstLine="420" w:firstLineChars="200"/>
        <w:rPr>
          <w:rFonts w:hint="eastAsia" w:ascii="宋体" w:hAnsi="宋体"/>
          <w:snapToGrid w:val="0"/>
          <w:color w:val="auto"/>
          <w:kern w:val="0"/>
          <w:szCs w:val="21"/>
          <w:highlight w:val="none"/>
        </w:rPr>
      </w:pPr>
      <w:r>
        <w:rPr>
          <w:rFonts w:ascii="宋体" w:hAnsi="宋体"/>
          <w:snapToGrid w:val="0"/>
          <w:color w:val="auto"/>
          <w:kern w:val="0"/>
          <w:szCs w:val="21"/>
          <w:highlight w:val="none"/>
        </w:rPr>
        <w:t>缺陷责任期终止后，发包人应退还剩余的质量保证金。</w:t>
      </w:r>
    </w:p>
    <w:p w14:paraId="660450F2">
      <w:pPr>
        <w:adjustRightInd/>
        <w:spacing w:line="288"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四、质量保修责任</w:t>
      </w:r>
    </w:p>
    <w:p w14:paraId="4EA2407C">
      <w:pPr>
        <w:adjustRightInd/>
        <w:spacing w:line="288"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w:t>
      </w:r>
      <w:r>
        <w:rPr>
          <w:rFonts w:ascii="宋体" w:hAnsi="宋体"/>
          <w:snapToGrid w:val="0"/>
          <w:color w:val="auto"/>
          <w:kern w:val="0"/>
          <w:szCs w:val="21"/>
          <w:highlight w:val="none"/>
        </w:rPr>
        <w:t>属于保修范围、内容的项目，承包人应当在接到保修通知之日起7天内派人保修。承包人不在约定期限内派人保修的，发包人可以委托他人修理。</w:t>
      </w:r>
    </w:p>
    <w:p w14:paraId="4190B674">
      <w:pPr>
        <w:adjustRightInd/>
        <w:spacing w:line="300"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w:t>
      </w:r>
      <w:r>
        <w:rPr>
          <w:rFonts w:ascii="宋体" w:hAnsi="宋体"/>
          <w:snapToGrid w:val="0"/>
          <w:color w:val="auto"/>
          <w:kern w:val="0"/>
          <w:szCs w:val="21"/>
          <w:highlight w:val="none"/>
        </w:rPr>
        <w:t>发生紧急事故需抢修的，承包人在接到事故通知后，应当立即到达事故现场抢修。</w:t>
      </w:r>
    </w:p>
    <w:p w14:paraId="67B45F13">
      <w:pPr>
        <w:adjustRightInd/>
        <w:spacing w:line="300" w:lineRule="auto"/>
        <w:ind w:left="105" w:leftChars="50" w:firstLine="430" w:firstLineChars="205"/>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ascii="宋体" w:hAnsi="宋体"/>
          <w:snapToGrid w:val="0"/>
          <w:color w:val="auto"/>
          <w:kern w:val="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DB03B11">
      <w:pPr>
        <w:adjustRightInd/>
        <w:spacing w:line="300" w:lineRule="auto"/>
        <w:ind w:left="420" w:leftChars="200" w:firstLine="105" w:firstLineChars="50"/>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质量保修完成后，由发包人组织验收。</w:t>
      </w:r>
    </w:p>
    <w:p w14:paraId="3CD6A283">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五、保修费用</w:t>
      </w:r>
    </w:p>
    <w:p w14:paraId="1125634B">
      <w:pPr>
        <w:adjustRightInd/>
        <w:spacing w:line="300" w:lineRule="auto"/>
        <w:ind w:firstLine="480"/>
        <w:rPr>
          <w:rFonts w:hint="eastAsia" w:ascii="宋体" w:hAnsi="宋体"/>
          <w:snapToGrid w:val="0"/>
          <w:color w:val="auto"/>
          <w:kern w:val="0"/>
          <w:szCs w:val="21"/>
          <w:highlight w:val="none"/>
        </w:rPr>
      </w:pPr>
      <w:r>
        <w:rPr>
          <w:rFonts w:ascii="宋体" w:hAnsi="宋体"/>
          <w:snapToGrid w:val="0"/>
          <w:color w:val="auto"/>
          <w:kern w:val="0"/>
          <w:szCs w:val="21"/>
          <w:highlight w:val="none"/>
        </w:rPr>
        <w:t>保修费用由造成质量缺陷的责任方承担。</w:t>
      </w:r>
    </w:p>
    <w:p w14:paraId="625EF6B5">
      <w:pPr>
        <w:adjustRightInd/>
        <w:spacing w:line="360" w:lineRule="auto"/>
        <w:ind w:firstLine="600"/>
        <w:jc w:val="left"/>
        <w:rPr>
          <w:rFonts w:hint="eastAsia" w:ascii="宋体" w:hAnsi="宋体"/>
          <w:snapToGrid w:val="0"/>
          <w:color w:val="auto"/>
          <w:kern w:val="0"/>
          <w:szCs w:val="21"/>
          <w:highlight w:val="none"/>
          <w:u w:val="single"/>
        </w:rPr>
      </w:pPr>
      <w:r>
        <w:rPr>
          <w:rFonts w:ascii="宋体" w:hAnsi="宋体"/>
          <w:b/>
          <w:snapToGrid w:val="0"/>
          <w:color w:val="auto"/>
          <w:kern w:val="0"/>
          <w:szCs w:val="21"/>
          <w:highlight w:val="none"/>
        </w:rPr>
        <w:t>六</w:t>
      </w:r>
      <w:r>
        <w:rPr>
          <w:rFonts w:ascii="宋体" w:hAnsi="宋体"/>
          <w:snapToGrid w:val="0"/>
          <w:color w:val="auto"/>
          <w:kern w:val="0"/>
          <w:szCs w:val="21"/>
          <w:highlight w:val="none"/>
        </w:rPr>
        <w:t>、双方约定的其他工程质量保修事项：</w:t>
      </w:r>
      <w:r>
        <w:rPr>
          <w:rFonts w:hint="eastAsia" w:ascii="宋体" w:hAnsi="宋体"/>
          <w:snapToGrid w:val="0"/>
          <w:color w:val="auto"/>
          <w:kern w:val="0"/>
          <w:szCs w:val="21"/>
          <w:highlight w:val="none"/>
          <w:u w:val="single"/>
        </w:rPr>
        <w:t>工程质量保证金在工程缺陷期满后，扣除相应的扣款（由于乙方维修不及时而甲方自行维修的费用）后，结清余款（无息）。</w:t>
      </w:r>
    </w:p>
    <w:p w14:paraId="702B5C03">
      <w:pPr>
        <w:adjustRightInd/>
        <w:spacing w:line="360" w:lineRule="auto"/>
        <w:ind w:firstLine="6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u w:val="single"/>
        </w:rPr>
        <w:t>甲方在保修期内发现质量问题并通知乙方，乙方应及时派专业人员进行维修，如乙方未及时派专业人员进行维修，甲方有权请其它人进行维修，由此产生的费用将从乙方的质量保修金中予以扣除，同时乙方将承担因维修延误给甲方造成的一切损失</w:t>
      </w:r>
      <w:r>
        <w:rPr>
          <w:rFonts w:ascii="宋体" w:hAnsi="宋体"/>
          <w:snapToGrid w:val="0"/>
          <w:color w:val="auto"/>
          <w:kern w:val="0"/>
          <w:szCs w:val="21"/>
          <w:highlight w:val="none"/>
        </w:rPr>
        <w:t>。</w:t>
      </w:r>
    </w:p>
    <w:p w14:paraId="4A75CC43">
      <w:pPr>
        <w:adjustRightInd/>
        <w:spacing w:line="300" w:lineRule="auto"/>
        <w:ind w:firstLine="399" w:firstLineChars="190"/>
        <w:rPr>
          <w:rFonts w:hint="eastAsia" w:ascii="宋体" w:hAnsi="宋体"/>
          <w:snapToGrid w:val="0"/>
          <w:color w:val="auto"/>
          <w:kern w:val="0"/>
          <w:szCs w:val="21"/>
          <w:highlight w:val="none"/>
        </w:rPr>
      </w:pPr>
      <w:r>
        <w:rPr>
          <w:rFonts w:ascii="宋体" w:hAnsi="宋体"/>
          <w:snapToGrid w:val="0"/>
          <w:color w:val="auto"/>
          <w:kern w:val="0"/>
          <w:szCs w:val="21"/>
          <w:highlight w:val="none"/>
        </w:rPr>
        <w:t>工程质量保修书由发包人、承包人在工程竣工验收前共同签署，作为施工合同附件，其有效期限至保修期满。</w:t>
      </w:r>
    </w:p>
    <w:p w14:paraId="2429F2D8">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发包人(公章)：</w:t>
      </w:r>
      <w:r>
        <w:rPr>
          <w:rFonts w:ascii="宋体" w:hAnsi="宋体"/>
          <w:snapToGrid w:val="0"/>
          <w:color w:val="auto"/>
          <w:kern w:val="0"/>
          <w:szCs w:val="21"/>
          <w:highlight w:val="none"/>
          <w:u w:val="single"/>
        </w:rPr>
        <w:t xml:space="preserve"> </w:t>
      </w:r>
      <w:bookmarkStart w:id="1007" w:name="SOA_zyht_fb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7"/>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承包人(公章)：</w:t>
      </w:r>
      <w:r>
        <w:rPr>
          <w:rFonts w:ascii="宋体" w:hAnsi="宋体"/>
          <w:snapToGrid w:val="0"/>
          <w:color w:val="auto"/>
          <w:kern w:val="0"/>
          <w:szCs w:val="21"/>
          <w:highlight w:val="none"/>
          <w:u w:val="single"/>
        </w:rPr>
        <w:t></w:t>
      </w:r>
      <w:bookmarkStart w:id="1008" w:name="SOA_zyht_cb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8"/>
      <w:r>
        <w:rPr>
          <w:rFonts w:hint="eastAsia" w:ascii="宋体" w:hAnsi="宋体"/>
          <w:snapToGrid w:val="0"/>
          <w:color w:val="auto"/>
          <w:kern w:val="0"/>
          <w:szCs w:val="21"/>
          <w:highlight w:val="none"/>
          <w:u w:val="single"/>
        </w:rPr>
        <w:t xml:space="preserve">  </w:t>
      </w:r>
    </w:p>
    <w:p w14:paraId="78560D66">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地  址：</w:t>
      </w:r>
      <w:r>
        <w:rPr>
          <w:rFonts w:ascii="宋体" w:hAnsi="宋体"/>
          <w:snapToGrid w:val="0"/>
          <w:color w:val="auto"/>
          <w:kern w:val="0"/>
          <w:szCs w:val="21"/>
          <w:highlight w:val="none"/>
          <w:u w:val="single"/>
        </w:rPr>
        <w:t xml:space="preserve"> </w:t>
      </w:r>
      <w:bookmarkStart w:id="1009" w:name="SOA_zyht_fbrdz"/>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bookmarkEnd w:id="1009"/>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地  址：</w:t>
      </w:r>
      <w:r>
        <w:rPr>
          <w:rFonts w:ascii="宋体" w:hAnsi="宋体"/>
          <w:snapToGrid w:val="0"/>
          <w:color w:val="auto"/>
          <w:kern w:val="0"/>
          <w:szCs w:val="21"/>
          <w:highlight w:val="none"/>
          <w:u w:val="single"/>
        </w:rPr>
        <w:t></w:t>
      </w:r>
      <w:bookmarkStart w:id="1010" w:name="SOA_zyht_cbrdz"/>
      <w:r>
        <w:rPr>
          <w:rFonts w:ascii="宋体" w:hAnsi="宋体"/>
          <w:snapToGrid w:val="0"/>
          <w:color w:val="auto"/>
          <w:kern w:val="0"/>
          <w:szCs w:val="21"/>
          <w:highlight w:val="none"/>
          <w:u w:val="single"/>
        </w:rPr>
        <w:t xml:space="preserve">      </w:t>
      </w:r>
      <w:bookmarkEnd w:id="1010"/>
      <w:r>
        <w:rPr>
          <w:rFonts w:ascii="宋体" w:hAnsi="宋体"/>
          <w:snapToGrid w:val="0"/>
          <w:color w:val="auto"/>
          <w:kern w:val="0"/>
          <w:szCs w:val="21"/>
          <w:highlight w:val="none"/>
          <w:u w:val="single"/>
        </w:rPr>
        <w:t></w:t>
      </w:r>
    </w:p>
    <w:p w14:paraId="184D0675">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法定代表人(签字)：</w:t>
      </w:r>
      <w:bookmarkStart w:id="1011" w:name="SOA_zyht_fddbr1"/>
      <w:r>
        <w:rPr>
          <w:rFonts w:ascii="宋体" w:hAnsi="宋体"/>
          <w:snapToGrid w:val="0"/>
          <w:color w:val="auto"/>
          <w:kern w:val="0"/>
          <w:szCs w:val="21"/>
          <w:highlight w:val="none"/>
          <w:u w:val="single"/>
        </w:rPr>
        <w:t xml:space="preserve">      </w:t>
      </w:r>
      <w:bookmarkEnd w:id="1011"/>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法定代表人(签字)：</w:t>
      </w:r>
      <w:bookmarkStart w:id="1012" w:name="SOA_zyht_fddbr2"/>
      <w:r>
        <w:rPr>
          <w:rFonts w:ascii="宋体" w:hAnsi="宋体"/>
          <w:snapToGrid w:val="0"/>
          <w:color w:val="auto"/>
          <w:kern w:val="0"/>
          <w:szCs w:val="21"/>
          <w:highlight w:val="none"/>
          <w:u w:val="single"/>
        </w:rPr>
        <w:t xml:space="preserve">      </w:t>
      </w:r>
      <w:bookmarkEnd w:id="1012"/>
      <w:r>
        <w:rPr>
          <w:rFonts w:hint="eastAsia" w:ascii="宋体" w:hAnsi="宋体"/>
          <w:snapToGrid w:val="0"/>
          <w:color w:val="auto"/>
          <w:kern w:val="0"/>
          <w:szCs w:val="21"/>
          <w:highlight w:val="none"/>
          <w:u w:val="single"/>
        </w:rPr>
        <w:t xml:space="preserve">  </w:t>
      </w:r>
    </w:p>
    <w:p w14:paraId="5DFD687B">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委托代理人(签字)：</w:t>
      </w:r>
      <w:bookmarkStart w:id="1013" w:name="SOA_zyht_wtdlr1"/>
      <w:r>
        <w:rPr>
          <w:rFonts w:ascii="宋体" w:hAnsi="宋体"/>
          <w:snapToGrid w:val="0"/>
          <w:color w:val="auto"/>
          <w:kern w:val="0"/>
          <w:szCs w:val="21"/>
          <w:highlight w:val="none"/>
          <w:u w:val="single"/>
        </w:rPr>
        <w:t xml:space="preserve">      </w:t>
      </w:r>
      <w:bookmarkEnd w:id="1013"/>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委托代理人(签字)：</w:t>
      </w:r>
      <w:bookmarkStart w:id="1014" w:name="SOA_zyht_wtdlr2"/>
      <w:r>
        <w:rPr>
          <w:rFonts w:ascii="宋体" w:hAnsi="宋体"/>
          <w:snapToGrid w:val="0"/>
          <w:color w:val="auto"/>
          <w:kern w:val="0"/>
          <w:szCs w:val="21"/>
          <w:highlight w:val="none"/>
          <w:u w:val="single"/>
        </w:rPr>
        <w:t xml:space="preserve">      </w:t>
      </w:r>
      <w:bookmarkEnd w:id="1014"/>
      <w:r>
        <w:rPr>
          <w:rFonts w:hint="eastAsia" w:ascii="宋体" w:hAnsi="宋体"/>
          <w:snapToGrid w:val="0"/>
          <w:color w:val="auto"/>
          <w:kern w:val="0"/>
          <w:szCs w:val="21"/>
          <w:highlight w:val="none"/>
          <w:u w:val="single"/>
        </w:rPr>
        <w:t xml:space="preserve">  </w:t>
      </w:r>
    </w:p>
    <w:p w14:paraId="5D9E1671">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w:t>
      </w:r>
      <w:bookmarkStart w:id="1015" w:name="SOA_zyht_fbrdh1"/>
      <w:r>
        <w:rPr>
          <w:rFonts w:ascii="宋体" w:hAnsi="宋体"/>
          <w:snapToGrid w:val="0"/>
          <w:color w:val="auto"/>
          <w:kern w:val="0"/>
          <w:szCs w:val="21"/>
          <w:highlight w:val="none"/>
          <w:u w:val="single"/>
        </w:rPr>
        <w:t xml:space="preserve">      </w:t>
      </w:r>
      <w:bookmarkEnd w:id="1015"/>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电  话：</w:t>
      </w:r>
      <w:r>
        <w:rPr>
          <w:rFonts w:ascii="宋体" w:hAnsi="宋体"/>
          <w:snapToGrid w:val="0"/>
          <w:color w:val="auto"/>
          <w:kern w:val="0"/>
          <w:szCs w:val="21"/>
          <w:highlight w:val="none"/>
          <w:u w:val="single"/>
        </w:rPr>
        <w:t></w:t>
      </w:r>
      <w:bookmarkStart w:id="1016" w:name="SOA_zyht_cbrdh"/>
      <w:r>
        <w:rPr>
          <w:rFonts w:ascii="宋体" w:hAnsi="宋体"/>
          <w:snapToGrid w:val="0"/>
          <w:color w:val="auto"/>
          <w:kern w:val="0"/>
          <w:szCs w:val="21"/>
          <w:highlight w:val="none"/>
          <w:u w:val="single"/>
        </w:rPr>
        <w:t xml:space="preserve">      </w:t>
      </w:r>
      <w:bookmarkEnd w:id="1016"/>
      <w:r>
        <w:rPr>
          <w:rFonts w:ascii="宋体" w:hAnsi="宋体"/>
          <w:snapToGrid w:val="0"/>
          <w:color w:val="auto"/>
          <w:kern w:val="0"/>
          <w:szCs w:val="21"/>
          <w:highlight w:val="none"/>
          <w:u w:val="single"/>
        </w:rPr>
        <w:t xml:space="preserve"> </w:t>
      </w:r>
    </w:p>
    <w:p w14:paraId="14CFCC23">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传  真：</w:t>
      </w:r>
      <w:r>
        <w:rPr>
          <w:rFonts w:hint="eastAsia" w:ascii="宋体" w:hAnsi="宋体"/>
          <w:snapToGrid w:val="0"/>
          <w:color w:val="auto"/>
          <w:kern w:val="0"/>
          <w:szCs w:val="21"/>
          <w:highlight w:val="none"/>
          <w:u w:val="single"/>
        </w:rPr>
        <w:t xml:space="preserve">  </w:t>
      </w:r>
      <w:bookmarkStart w:id="1017" w:name="SOA_zyht_fbrcz"/>
      <w:r>
        <w:rPr>
          <w:rFonts w:ascii="宋体" w:hAnsi="宋体"/>
          <w:snapToGrid w:val="0"/>
          <w:color w:val="auto"/>
          <w:kern w:val="0"/>
          <w:szCs w:val="21"/>
          <w:highlight w:val="none"/>
          <w:u w:val="single"/>
        </w:rPr>
        <w:t xml:space="preserve">      </w:t>
      </w:r>
      <w:bookmarkEnd w:id="1017"/>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传  真：</w:t>
      </w:r>
      <w:r>
        <w:rPr>
          <w:rFonts w:ascii="宋体" w:hAnsi="宋体"/>
          <w:snapToGrid w:val="0"/>
          <w:color w:val="auto"/>
          <w:kern w:val="0"/>
          <w:szCs w:val="21"/>
          <w:highlight w:val="none"/>
          <w:u w:val="single"/>
        </w:rPr>
        <w:t></w:t>
      </w:r>
      <w:bookmarkStart w:id="1018" w:name="SOA_zyht_cbrcz"/>
      <w:r>
        <w:rPr>
          <w:rFonts w:ascii="宋体" w:hAnsi="宋体"/>
          <w:snapToGrid w:val="0"/>
          <w:color w:val="auto"/>
          <w:kern w:val="0"/>
          <w:szCs w:val="21"/>
          <w:highlight w:val="none"/>
          <w:u w:val="single"/>
        </w:rPr>
        <w:t xml:space="preserve">      </w:t>
      </w:r>
      <w:bookmarkEnd w:id="1018"/>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 xml:space="preserve"> </w:t>
      </w:r>
    </w:p>
    <w:p w14:paraId="02D72174">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开户银行：</w:t>
      </w:r>
      <w:bookmarkStart w:id="1019" w:name="SOA_zyht_fbrkhyh"/>
      <w:r>
        <w:rPr>
          <w:rFonts w:ascii="宋体" w:hAnsi="宋体"/>
          <w:snapToGrid w:val="0"/>
          <w:color w:val="auto"/>
          <w:kern w:val="0"/>
          <w:szCs w:val="21"/>
          <w:highlight w:val="none"/>
          <w:u w:val="single"/>
        </w:rPr>
        <w:t xml:space="preserve">      </w:t>
      </w:r>
      <w:bookmarkEnd w:id="1019"/>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开户银行：</w:t>
      </w:r>
      <w:bookmarkStart w:id="1020" w:name="SOA_zyht_cbrkhyh"/>
      <w:r>
        <w:rPr>
          <w:rFonts w:ascii="宋体" w:hAnsi="宋体"/>
          <w:snapToGrid w:val="0"/>
          <w:color w:val="auto"/>
          <w:kern w:val="0"/>
          <w:szCs w:val="21"/>
          <w:highlight w:val="none"/>
          <w:u w:val="single"/>
        </w:rPr>
        <w:t xml:space="preserve">      </w:t>
      </w:r>
      <w:bookmarkEnd w:id="1020"/>
      <w:r>
        <w:rPr>
          <w:rFonts w:hint="eastAsia" w:ascii="宋体" w:hAnsi="宋体"/>
          <w:snapToGrid w:val="0"/>
          <w:color w:val="auto"/>
          <w:kern w:val="0"/>
          <w:szCs w:val="21"/>
          <w:highlight w:val="none"/>
          <w:u w:val="single"/>
        </w:rPr>
        <w:t xml:space="preserve">  </w:t>
      </w:r>
    </w:p>
    <w:p w14:paraId="122AFE3D">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账  号：</w:t>
      </w:r>
      <w:r>
        <w:rPr>
          <w:rFonts w:ascii="宋体" w:hAnsi="宋体"/>
          <w:snapToGrid w:val="0"/>
          <w:color w:val="auto"/>
          <w:kern w:val="0"/>
          <w:szCs w:val="21"/>
          <w:highlight w:val="none"/>
          <w:u w:val="single"/>
        </w:rPr>
        <w:t></w:t>
      </w:r>
      <w:bookmarkStart w:id="1021" w:name="SOA_zyht_fbrzh"/>
      <w:r>
        <w:rPr>
          <w:rFonts w:ascii="宋体" w:hAnsi="宋体"/>
          <w:snapToGrid w:val="0"/>
          <w:color w:val="auto"/>
          <w:kern w:val="0"/>
          <w:szCs w:val="21"/>
          <w:highlight w:val="none"/>
          <w:u w:val="single"/>
        </w:rPr>
        <w:t xml:space="preserve">      </w:t>
      </w:r>
      <w:bookmarkEnd w:id="1021"/>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账</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 xml:space="preserve"> 号：</w:t>
      </w:r>
      <w:r>
        <w:rPr>
          <w:rFonts w:ascii="宋体" w:hAnsi="宋体"/>
          <w:snapToGrid w:val="0"/>
          <w:color w:val="auto"/>
          <w:kern w:val="0"/>
          <w:szCs w:val="21"/>
          <w:highlight w:val="none"/>
          <w:u w:val="single"/>
        </w:rPr>
        <w:t></w:t>
      </w:r>
      <w:bookmarkStart w:id="1022" w:name="SOA_zyht_cbrzh"/>
      <w:r>
        <w:rPr>
          <w:rFonts w:ascii="宋体" w:hAnsi="宋体"/>
          <w:snapToGrid w:val="0"/>
          <w:color w:val="auto"/>
          <w:kern w:val="0"/>
          <w:szCs w:val="21"/>
          <w:highlight w:val="none"/>
          <w:u w:val="single"/>
        </w:rPr>
        <w:t xml:space="preserve">      </w:t>
      </w:r>
      <w:bookmarkEnd w:id="1022"/>
      <w:r>
        <w:rPr>
          <w:rFonts w:hint="eastAsia" w:ascii="宋体" w:hAnsi="宋体"/>
          <w:snapToGrid w:val="0"/>
          <w:color w:val="auto"/>
          <w:kern w:val="0"/>
          <w:szCs w:val="21"/>
          <w:highlight w:val="none"/>
          <w:u w:val="single"/>
        </w:rPr>
        <w:t xml:space="preserve">  </w:t>
      </w:r>
    </w:p>
    <w:p w14:paraId="16682C41">
      <w:pPr>
        <w:adjustRightInd/>
        <w:spacing w:line="300" w:lineRule="auto"/>
        <w:rPr>
          <w:rFonts w:hint="eastAsia" w:ascii="宋体" w:hAnsi="宋体"/>
          <w:snapToGrid w:val="0"/>
          <w:color w:val="auto"/>
          <w:kern w:val="0"/>
          <w:szCs w:val="21"/>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bookmarkStart w:id="1023" w:name="SOA_zyht_fbryb"/>
      <w:r>
        <w:rPr>
          <w:rFonts w:ascii="宋体" w:hAnsi="宋体"/>
          <w:snapToGrid w:val="0"/>
          <w:color w:val="auto"/>
          <w:kern w:val="0"/>
          <w:szCs w:val="21"/>
          <w:highlight w:val="none"/>
          <w:u w:val="single"/>
        </w:rPr>
        <w:t xml:space="preserve">      </w:t>
      </w:r>
      <w:bookmarkEnd w:id="1023"/>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w:t>
      </w:r>
      <w:bookmarkStart w:id="1024" w:name="SOA_zyht_cbryb"/>
      <w:r>
        <w:rPr>
          <w:rFonts w:ascii="宋体" w:hAnsi="宋体"/>
          <w:snapToGrid w:val="0"/>
          <w:color w:val="auto"/>
          <w:kern w:val="0"/>
          <w:szCs w:val="21"/>
          <w:highlight w:val="none"/>
          <w:u w:val="single"/>
        </w:rPr>
        <w:t xml:space="preserve">     </w:t>
      </w:r>
      <w:bookmarkEnd w:id="1024"/>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 xml:space="preserve">              </w:t>
      </w:r>
    </w:p>
    <w:p w14:paraId="357665AC">
      <w:pPr>
        <w:spacing w:line="480" w:lineRule="auto"/>
        <w:jc w:val="center"/>
        <w:rPr>
          <w:rFonts w:hint="eastAsia" w:ascii="宋体" w:hAnsi="宋体" w:cs="宋体"/>
          <w:b/>
          <w:color w:val="auto"/>
          <w:sz w:val="28"/>
          <w:szCs w:val="28"/>
          <w:highlight w:val="none"/>
        </w:rPr>
      </w:pPr>
    </w:p>
    <w:p w14:paraId="1A2749D5">
      <w:pPr>
        <w:spacing w:line="360" w:lineRule="auto"/>
        <w:ind w:left="-420" w:leftChars="-200" w:right="-420" w:rightChars="-200" w:firstLine="480" w:firstLineChars="200"/>
        <w:jc w:val="center"/>
        <w:outlineLvl w:val="0"/>
        <w:rPr>
          <w:rFonts w:hint="eastAsia" w:ascii="宋体" w:hAnsi="宋体" w:cs="宋体"/>
          <w:color w:val="auto"/>
          <w:sz w:val="24"/>
          <w:highlight w:val="none"/>
        </w:rPr>
        <w:sectPr>
          <w:headerReference r:id="rId8" w:type="first"/>
          <w:footerReference r:id="rId10" w:type="first"/>
          <w:footerReference r:id="rId9" w:type="default"/>
          <w:pgSz w:w="11906" w:h="16838"/>
          <w:pgMar w:top="1440" w:right="1080" w:bottom="1440" w:left="1080" w:header="851" w:footer="992" w:gutter="0"/>
          <w:cols w:space="720" w:num="1"/>
          <w:titlePg/>
          <w:docGrid w:linePitch="312" w:charSpace="0"/>
        </w:sectPr>
      </w:pPr>
    </w:p>
    <w:p w14:paraId="70483BC1">
      <w:pPr>
        <w:snapToGrid w:val="0"/>
        <w:spacing w:line="360" w:lineRule="auto"/>
        <w:jc w:val="center"/>
        <w:outlineLvl w:val="0"/>
        <w:rPr>
          <w:rFonts w:hint="eastAsia"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400"/>
      <w:r>
        <w:rPr>
          <w:rFonts w:hint="eastAsia" w:ascii="宋体" w:hAnsi="宋体" w:cs="宋体"/>
          <w:b/>
          <w:color w:val="auto"/>
          <w:sz w:val="36"/>
          <w:szCs w:val="20"/>
          <w:highlight w:val="none"/>
        </w:rPr>
        <w:t xml:space="preserve"> </w:t>
      </w:r>
      <w:bookmarkEnd w:id="401"/>
      <w:r>
        <w:rPr>
          <w:rFonts w:hint="eastAsia" w:ascii="宋体" w:hAnsi="宋体" w:cs="宋体"/>
          <w:b/>
          <w:color w:val="auto"/>
          <w:sz w:val="36"/>
          <w:szCs w:val="20"/>
          <w:highlight w:val="none"/>
        </w:rPr>
        <w:t>应提交的有关格式范例</w:t>
      </w:r>
    </w:p>
    <w:p w14:paraId="1E2950FA">
      <w:pPr>
        <w:spacing w:line="360" w:lineRule="auto"/>
        <w:jc w:val="center"/>
        <w:rPr>
          <w:rFonts w:hint="eastAsia" w:ascii="宋体" w:hAnsi="宋体" w:cs="宋体"/>
          <w:b/>
          <w:color w:val="auto"/>
          <w:kern w:val="0"/>
          <w:sz w:val="36"/>
          <w:szCs w:val="36"/>
          <w:highlight w:val="none"/>
        </w:rPr>
      </w:pPr>
    </w:p>
    <w:p w14:paraId="32145605">
      <w:pPr>
        <w:spacing w:line="360" w:lineRule="auto"/>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5134D76E">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73397A17">
      <w:pPr>
        <w:spacing w:line="360" w:lineRule="auto"/>
        <w:jc w:val="center"/>
        <w:rPr>
          <w:rFonts w:hint="eastAsia" w:ascii="宋体" w:hAnsi="宋体" w:cs="宋体"/>
          <w:b/>
          <w:color w:val="auto"/>
          <w:kern w:val="0"/>
          <w:sz w:val="36"/>
          <w:szCs w:val="36"/>
          <w:highlight w:val="none"/>
        </w:rPr>
      </w:pPr>
    </w:p>
    <w:p w14:paraId="7F0DAA1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A43C16C">
      <w:pPr>
        <w:snapToGrid w:val="0"/>
        <w:spacing w:line="360" w:lineRule="auto"/>
        <w:rPr>
          <w:rFonts w:hint="eastAsia"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color w:val="auto"/>
          <w:sz w:val="24"/>
          <w:highlight w:val="none"/>
        </w:rPr>
        <w:t>………………………………………………………………（页码）</w:t>
      </w:r>
    </w:p>
    <w:p w14:paraId="2460309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1933E679">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）本项目的特定资格要求………………………………………………（页码）</w:t>
      </w:r>
    </w:p>
    <w:p w14:paraId="771D617B">
      <w:pPr>
        <w:snapToGrid w:val="0"/>
        <w:spacing w:line="360" w:lineRule="auto"/>
        <w:ind w:firstLine="480" w:firstLineChars="200"/>
        <w:rPr>
          <w:rFonts w:hint="eastAsia" w:ascii="宋体" w:hAnsi="宋体" w:cs="宋体"/>
          <w:color w:val="auto"/>
          <w:sz w:val="24"/>
          <w:highlight w:val="none"/>
        </w:rPr>
      </w:pPr>
    </w:p>
    <w:p w14:paraId="3D31AE5C">
      <w:pPr>
        <w:spacing w:line="360" w:lineRule="auto"/>
        <w:ind w:firstLine="480" w:firstLineChars="200"/>
        <w:rPr>
          <w:rFonts w:hint="eastAsia" w:ascii="宋体" w:hAnsi="宋体" w:cs="宋体"/>
          <w:color w:val="auto"/>
          <w:sz w:val="24"/>
          <w:highlight w:val="none"/>
        </w:rPr>
      </w:pPr>
    </w:p>
    <w:p w14:paraId="35FAD0DF">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722BBF7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杭州市中策职业学校钱塘学校、浙江中通通信有限公司：</w:t>
      </w:r>
    </w:p>
    <w:p w14:paraId="135E45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我方参与旗杆东侧室外篮球场建设  【项目编号：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】政府采购活动，郑重承诺：</w:t>
      </w:r>
    </w:p>
    <w:p w14:paraId="22A5BB47">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4B0E49F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7E37706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2FDFEEB2">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3CD4DD0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D3068D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55335114">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2CBA5CF6">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048D040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（三）不存在以下情况：</w:t>
      </w:r>
    </w:p>
    <w:p w14:paraId="30E0AFBA">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36C23FF9">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551CFF49">
      <w:pPr>
        <w:snapToGrid w:val="0"/>
        <w:spacing w:line="360" w:lineRule="auto"/>
        <w:ind w:firstLine="5520" w:firstLineChars="23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547A6677">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6B9BFFD">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4F07482B">
      <w:pPr>
        <w:widowControl/>
        <w:spacing w:line="360" w:lineRule="auto"/>
        <w:ind w:firstLine="643" w:firstLineChars="20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二、联合协议（如果有）</w:t>
      </w:r>
    </w:p>
    <w:p w14:paraId="65686BD1">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[以联合体形式参与的，提供联合协议（附件5）；本项目不接受联合体或者供应商不以联合体形式投参与的，则不需要提供]</w:t>
      </w:r>
    </w:p>
    <w:p w14:paraId="71FD14BA">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51121AD">
      <w:pPr>
        <w:snapToGrid w:val="0"/>
        <w:spacing w:line="360" w:lineRule="auto"/>
        <w:ind w:right="48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三、落实政府采购政策需满足的资格要求</w:t>
      </w:r>
    </w:p>
    <w:p w14:paraId="4D45B8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（根据竞争性磋商公告落实政府采购政策需满足的资格要求选择提供相应的材料；未要求的，无需提供）</w:t>
      </w:r>
    </w:p>
    <w:p w14:paraId="06BC1C45">
      <w:pPr>
        <w:snapToGrid w:val="0"/>
        <w:spacing w:before="50" w:after="50"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.专门面向中小企业，工程全部由符合政策要求的中小企业（或小微企业）承建的，提供相应的中小企业声明函（附件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799542AD">
      <w:pPr>
        <w:widowControl/>
        <w:spacing w:line="360" w:lineRule="auto"/>
        <w:ind w:firstLine="480"/>
        <w:jc w:val="left"/>
        <w:rPr>
          <w:rFonts w:hint="eastAsia" w:ascii="宋体" w:hAnsi="宋体" w:cs="宋体"/>
          <w:color w:val="auto"/>
          <w:sz w:val="24"/>
          <w:highlight w:val="none"/>
        </w:rPr>
      </w:pPr>
    </w:p>
    <w:p w14:paraId="6E2BEF37">
      <w:pPr>
        <w:widowControl/>
        <w:spacing w:line="360" w:lineRule="auto"/>
        <w:ind w:firstLine="472" w:firstLineChars="196"/>
        <w:jc w:val="left"/>
        <w:rPr>
          <w:rFonts w:hint="eastAsia"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），联合协议中中小企业合同金额应当达到竞争性磋商公告载明的比例；如果供应商本身提供所有标的均由中小企业承建的，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2685014D">
      <w:pPr>
        <w:snapToGrid w:val="0"/>
        <w:spacing w:before="50" w:after="50" w:line="360" w:lineRule="auto"/>
        <w:jc w:val="center"/>
        <w:rPr>
          <w:rFonts w:hint="eastAsia" w:ascii="宋体" w:hAnsi="宋体" w:cs="宋体"/>
          <w:color w:val="auto"/>
          <w:sz w:val="24"/>
          <w:highlight w:val="none"/>
        </w:rPr>
      </w:pPr>
      <w:r>
        <w:rPr>
          <w:rFonts w:hint="eastAsia" w:ascii="宋体" w:hAnsi="宋体" w:cs="宋体"/>
          <w:b/>
          <w:color w:val="auto"/>
          <w:sz w:val="24"/>
          <w:highlight w:val="none"/>
        </w:rPr>
        <w:t xml:space="preserve">    </w:t>
      </w:r>
    </w:p>
    <w:p w14:paraId="578FA53D">
      <w:pPr>
        <w:spacing w:line="360" w:lineRule="auto"/>
        <w:ind w:firstLine="482" w:firstLineChars="200"/>
        <w:rPr>
          <w:rFonts w:hint="eastAsia"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），分包意向协议中中小企业合同金额应当达到竞争性磋商公告载明的比例；如果供应商本身提供所有标的均由中小企业承建，</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3CC2ECD4">
      <w:pPr>
        <w:widowControl/>
        <w:spacing w:line="360" w:lineRule="auto"/>
        <w:ind w:left="150"/>
        <w:jc w:val="center"/>
        <w:rPr>
          <w:rFonts w:hint="eastAsia" w:ascii="宋体" w:hAnsi="宋体" w:cs="宋体"/>
          <w:b/>
          <w:color w:val="auto"/>
          <w:kern w:val="0"/>
          <w:sz w:val="32"/>
          <w:szCs w:val="32"/>
          <w:highlight w:val="none"/>
        </w:rPr>
      </w:pPr>
    </w:p>
    <w:p w14:paraId="1D04486D">
      <w:pPr>
        <w:widowControl/>
        <w:spacing w:line="360" w:lineRule="auto"/>
        <w:ind w:left="150"/>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四、本项目的特定资格要求</w:t>
      </w:r>
    </w:p>
    <w:p w14:paraId="485B350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（根据竞争性磋商公告本项目的特定资格要求提供相应的材料；未要求的，无需提供）</w:t>
      </w:r>
    </w:p>
    <w:p w14:paraId="6E0ED0B8">
      <w:pPr>
        <w:rPr>
          <w:rFonts w:hint="eastAsia" w:ascii="宋体" w:hAnsi="宋体" w:cs="宋体"/>
          <w:color w:val="auto"/>
          <w:highlight w:val="none"/>
        </w:rPr>
      </w:pPr>
    </w:p>
    <w:p w14:paraId="496A07FF">
      <w:pPr>
        <w:snapToGrid w:val="0"/>
        <w:spacing w:line="360" w:lineRule="auto"/>
        <w:ind w:right="480"/>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03C1A3DF">
      <w:pPr>
        <w:tabs>
          <w:tab w:val="left" w:pos="432"/>
        </w:tabs>
        <w:rPr>
          <w:rFonts w:hint="eastAsia" w:ascii="宋体" w:hAnsi="宋体" w:cs="宋体"/>
          <w:color w:val="auto"/>
          <w:kern w:val="0"/>
          <w:sz w:val="36"/>
          <w:szCs w:val="36"/>
          <w:highlight w:val="none"/>
        </w:rPr>
      </w:pPr>
    </w:p>
    <w:p w14:paraId="36B85A82">
      <w:pPr>
        <w:spacing w:line="360" w:lineRule="auto"/>
        <w:ind w:right="420" w:firstLine="3614" w:firstLineChars="100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5975056A">
      <w:pPr>
        <w:spacing w:line="360" w:lineRule="auto"/>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795DABB1">
      <w:pPr>
        <w:numPr>
          <w:ilvl w:val="255"/>
          <w:numId w:val="0"/>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响应函……………………………………………………………………………（页码）</w:t>
      </w:r>
    </w:p>
    <w:p w14:paraId="19908CA1">
      <w:pPr>
        <w:numPr>
          <w:ilvl w:val="255"/>
          <w:numId w:val="0"/>
        </w:num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2）授权委托书或法定代表人（单位负责人、自然人本人）身份证明</w:t>
      </w:r>
      <w:r>
        <w:rPr>
          <w:rFonts w:hint="eastAsia" w:ascii="宋体" w:hAnsi="宋体" w:cs="宋体"/>
          <w:color w:val="auto"/>
          <w:sz w:val="24"/>
          <w:highlight w:val="none"/>
        </w:rPr>
        <w:t>……………（页码）</w:t>
      </w:r>
    </w:p>
    <w:p w14:paraId="596FC28C">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2F874855">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73EEA5B0">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）评审标准相应的商务技术资料……………………………………………………（页码）（</w:t>
      </w:r>
      <w:r>
        <w:rPr>
          <w:rFonts w:ascii="宋体" w:hAnsi="宋体" w:cs="宋体"/>
          <w:color w:val="auto"/>
          <w:sz w:val="24"/>
          <w:highlight w:val="none"/>
        </w:rPr>
        <w:t>6</w:t>
      </w:r>
      <w:r>
        <w:rPr>
          <w:rFonts w:hint="eastAsia" w:ascii="宋体" w:hAnsi="宋体" w:cs="宋体"/>
          <w:color w:val="auto"/>
          <w:sz w:val="24"/>
          <w:highlight w:val="none"/>
        </w:rPr>
        <w:t>）商务技术偏离表……………………………………………………………………（页码）</w:t>
      </w:r>
    </w:p>
    <w:p w14:paraId="255755B6">
      <w:pPr>
        <w:snapToGrid w:val="0"/>
        <w:spacing w:line="360" w:lineRule="auto"/>
        <w:ind w:left="479" w:leftChars="228"/>
        <w:rPr>
          <w:rFonts w:hint="eastAsia" w:ascii="宋体" w:hAnsi="宋体" w:cs="宋体"/>
          <w:color w:val="auto"/>
          <w:sz w:val="24"/>
          <w:highlight w:val="none"/>
        </w:rPr>
      </w:pPr>
      <w:r>
        <w:rPr>
          <w:rFonts w:hint="eastAsia" w:ascii="宋体" w:hAnsi="宋体" w:cs="宋体"/>
          <w:color w:val="auto"/>
          <w:sz w:val="24"/>
          <w:highlight w:val="none"/>
          <w:lang w:val="zh-CN"/>
        </w:rPr>
        <w:t>（</w:t>
      </w:r>
      <w:r>
        <w:rPr>
          <w:rFonts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227FFBDD">
      <w:pPr>
        <w:snapToGrid w:val="0"/>
        <w:spacing w:line="360" w:lineRule="auto"/>
        <w:jc w:val="center"/>
        <w:rPr>
          <w:rFonts w:hint="eastAsia" w:ascii="宋体" w:hAnsi="宋体" w:cs="宋体"/>
          <w:b/>
          <w:color w:val="auto"/>
          <w:kern w:val="0"/>
          <w:sz w:val="24"/>
          <w:szCs w:val="32"/>
          <w:highlight w:val="none"/>
          <w:lang w:val="zh-CN"/>
        </w:rPr>
        <w:sectPr>
          <w:pgSz w:w="11906" w:h="16838"/>
          <w:pgMar w:top="1440" w:right="1080" w:bottom="1440" w:left="1080" w:header="851" w:footer="992" w:gutter="0"/>
          <w:cols w:space="720" w:num="1"/>
          <w:titlePg/>
          <w:docGrid w:linePitch="312" w:charSpace="0"/>
        </w:sectPr>
      </w:pPr>
    </w:p>
    <w:p w14:paraId="22EE1179">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一、响应函</w:t>
      </w:r>
    </w:p>
    <w:p w14:paraId="22210DA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杭州市中策职业学校钱塘学校、浙江中通通信有限公司：</w:t>
      </w:r>
    </w:p>
    <w:p w14:paraId="69165A98">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我方参加你方组织的旗杆东侧室外篮球场建设【项目编号：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】采购的有关活动，并对此项目提交响应文件及报价。为此：</w:t>
      </w:r>
    </w:p>
    <w:p w14:paraId="199E74A1">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1、我方承诺响应文件有效期从提交响应文件的截止之日起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本响应文件在响应文件有效期满之前均具有约束力。</w:t>
      </w:r>
    </w:p>
    <w:p w14:paraId="6EECFE2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2、我方的响应文件包括以下内容：</w:t>
      </w:r>
    </w:p>
    <w:p w14:paraId="14E025AC">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2.1资格文件：</w:t>
      </w:r>
    </w:p>
    <w:p w14:paraId="7611EDC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2.1.1承诺函；</w:t>
      </w:r>
    </w:p>
    <w:p w14:paraId="28DCEC20">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联合协议（如果有)；</w:t>
      </w:r>
    </w:p>
    <w:p w14:paraId="3E5B5DDE">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522CEA1C">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w:t>
      </w:r>
      <w:r>
        <w:rPr>
          <w:rFonts w:ascii="宋体" w:hAnsi="宋体" w:cs="宋体"/>
          <w:color w:val="auto"/>
          <w:sz w:val="24"/>
          <w:highlight w:val="none"/>
        </w:rPr>
        <w:t>4</w:t>
      </w:r>
      <w:r>
        <w:rPr>
          <w:rFonts w:hint="eastAsia" w:ascii="宋体" w:hAnsi="宋体" w:cs="宋体"/>
          <w:color w:val="auto"/>
          <w:sz w:val="24"/>
          <w:highlight w:val="none"/>
        </w:rPr>
        <w:t>本项目的特定资格要求（如果有）。</w:t>
      </w:r>
    </w:p>
    <w:p w14:paraId="201E138F">
      <w:pPr>
        <w:snapToGrid w:val="0"/>
        <w:spacing w:line="360" w:lineRule="auto"/>
        <w:ind w:left="210" w:leftChars="1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3CE11131">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2.2.1响应函；</w:t>
      </w:r>
      <w:r>
        <w:rPr>
          <w:rFonts w:hint="eastAsia" w:ascii="宋体" w:hAnsi="宋体" w:cs="宋体"/>
          <w:color w:val="auto"/>
          <w:sz w:val="24"/>
          <w:highlight w:val="none"/>
          <w:lang w:val="zh-CN"/>
        </w:rPr>
        <w:t xml:space="preserve"> </w:t>
      </w:r>
    </w:p>
    <w:p w14:paraId="215D6024">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163E08AB">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64DF357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621278DB">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评审标准相应的商务技术资料；</w:t>
      </w:r>
    </w:p>
    <w:p w14:paraId="79B361F7">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2.2.6商务技术偏离表；</w:t>
      </w:r>
    </w:p>
    <w:p w14:paraId="71C23CF5">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7</w:t>
      </w:r>
      <w:r>
        <w:rPr>
          <w:rFonts w:hint="eastAsia" w:ascii="宋体" w:hAnsi="宋体" w:cs="宋体"/>
          <w:color w:val="auto"/>
          <w:sz w:val="24"/>
          <w:highlight w:val="none"/>
          <w:lang w:val="zh-CN"/>
        </w:rPr>
        <w:t>政府采购供应商廉洁自律承诺书；</w:t>
      </w:r>
    </w:p>
    <w:p w14:paraId="43A98980">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A0CCF23">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2.3.1报价单；</w:t>
      </w:r>
    </w:p>
    <w:p w14:paraId="3873512D">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2.3.2已标价工程量清单；</w:t>
      </w:r>
    </w:p>
    <w:p w14:paraId="3AFDEE8F">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2.3.3中小企业声明函（如果有）。</w:t>
      </w:r>
    </w:p>
    <w:p w14:paraId="3AB5BB2B">
      <w:pPr>
        <w:pStyle w:val="80"/>
        <w:ind w:firstLine="480"/>
        <w:rPr>
          <w:rFonts w:hint="eastAsia" w:ascii="宋体" w:hAnsi="宋体" w:cs="宋体"/>
          <w:color w:val="auto"/>
          <w:sz w:val="24"/>
          <w:highlight w:val="none"/>
        </w:rPr>
      </w:pPr>
      <w:r>
        <w:rPr>
          <w:rFonts w:hint="eastAsia" w:ascii="宋体" w:hAnsi="宋体" w:cs="宋体"/>
          <w:color w:val="auto"/>
          <w:sz w:val="24"/>
          <w:highlight w:val="none"/>
        </w:rPr>
        <w:t>3、我方承诺除商务技术偏离表列出的偏离外，我方响应采购文件的全部要求。对</w:t>
      </w:r>
      <w:r>
        <w:rPr>
          <w:rFonts w:hint="eastAsia" w:ascii="宋体" w:hAnsi="宋体" w:cs="宋体"/>
          <w:color w:val="auto"/>
          <w:sz w:val="24"/>
          <w:highlight w:val="none"/>
          <w:lang w:val="en-US"/>
        </w:rPr>
        <w:t>响应</w:t>
      </w:r>
      <w:r>
        <w:rPr>
          <w:rFonts w:hint="eastAsia" w:ascii="宋体" w:hAnsi="宋体" w:cs="宋体"/>
          <w:color w:val="auto"/>
          <w:sz w:val="24"/>
          <w:highlight w:val="none"/>
        </w:rPr>
        <w:t>文件中材料的真实性、合法性负责，积极配合采购人、采购代理机构复核响应文件中的资料。</w:t>
      </w:r>
    </w:p>
    <w:p w14:paraId="68DA2494">
      <w:pPr>
        <w:snapToGrid w:val="0"/>
        <w:spacing w:line="360" w:lineRule="auto"/>
        <w:ind w:firstLine="480" w:firstLineChars="200"/>
        <w:rPr>
          <w:rFonts w:hint="eastAsia" w:ascii="宋体" w:hAnsi="宋体" w:cs="宋体"/>
          <w:color w:val="auto"/>
          <w:sz w:val="24"/>
          <w:highlight w:val="none"/>
        </w:rPr>
      </w:pPr>
    </w:p>
    <w:p w14:paraId="13BA384E">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4、如我方成交，我方承诺：</w:t>
      </w:r>
    </w:p>
    <w:p w14:paraId="6A0EC97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4.1在收到成交通知书后，在成交通知书规定的期限内与你方签订合同； </w:t>
      </w:r>
    </w:p>
    <w:p w14:paraId="545314B2">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124DDB4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4.3按照采购文件要求提交履约保证金； </w:t>
      </w:r>
    </w:p>
    <w:p w14:paraId="4FE26B91">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C4570AB">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5、对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4F00258A">
      <w:pPr>
        <w:snapToGrid w:val="0"/>
        <w:spacing w:line="360" w:lineRule="auto"/>
        <w:ind w:left="210" w:leftChars="100"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6、其他补充说明: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3ACFBAB">
      <w:pPr>
        <w:spacing w:line="360" w:lineRule="auto"/>
        <w:ind w:firstLine="3600" w:firstLineChars="1500"/>
        <w:rPr>
          <w:rFonts w:hint="eastAsia" w:ascii="宋体" w:hAnsi="宋体" w:cs="宋体"/>
          <w:color w:val="auto"/>
          <w:sz w:val="24"/>
          <w:highlight w:val="none"/>
        </w:rPr>
      </w:pPr>
      <w:r>
        <w:rPr>
          <w:rFonts w:hint="eastAsia" w:ascii="宋体" w:hAnsi="宋体" w:cs="宋体"/>
          <w:color w:val="auto"/>
          <w:sz w:val="24"/>
          <w:highlight w:val="none"/>
        </w:rPr>
        <w:t xml:space="preserve">供应商名称（电子签名）：                          </w:t>
      </w:r>
    </w:p>
    <w:p w14:paraId="2E3FB579">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5D21C171">
      <w:pPr>
        <w:snapToGrid w:val="0"/>
        <w:spacing w:line="360" w:lineRule="auto"/>
        <w:ind w:left="420" w:leftChars="200" w:firstLine="4200" w:firstLineChars="1750"/>
        <w:rPr>
          <w:rFonts w:hint="eastAsia" w:ascii="宋体" w:hAnsi="宋体" w:cs="宋体"/>
          <w:color w:val="auto"/>
          <w:kern w:val="0"/>
          <w:sz w:val="24"/>
          <w:highlight w:val="none"/>
          <w:u w:val="single"/>
        </w:rPr>
      </w:pPr>
    </w:p>
    <w:p w14:paraId="7306E7C3">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6AF60A44">
      <w:pPr>
        <w:snapToGrid w:val="0"/>
        <w:spacing w:line="360" w:lineRule="auto"/>
        <w:jc w:val="center"/>
        <w:rPr>
          <w:rFonts w:hint="eastAsia" w:ascii="宋体" w:hAnsi="宋体" w:cs="宋体"/>
          <w:b/>
          <w:color w:val="auto"/>
          <w:kern w:val="0"/>
          <w:sz w:val="32"/>
          <w:szCs w:val="32"/>
          <w:highlight w:val="none"/>
        </w:rPr>
      </w:pPr>
    </w:p>
    <w:p w14:paraId="7BF4B83A">
      <w:pPr>
        <w:snapToGrid w:val="0"/>
        <w:spacing w:line="360" w:lineRule="auto"/>
        <w:rPr>
          <w:rFonts w:hint="eastAsia" w:ascii="宋体" w:hAnsi="宋体" w:cs="宋体"/>
          <w:color w:val="auto"/>
          <w:sz w:val="24"/>
          <w:highlight w:val="none"/>
        </w:rPr>
      </w:pPr>
    </w:p>
    <w:p w14:paraId="764C8E11">
      <w:pPr>
        <w:jc w:val="center"/>
        <w:rPr>
          <w:rFonts w:hint="eastAsia" w:ascii="宋体" w:hAnsi="宋体" w:cs="宋体"/>
          <w:b/>
          <w:color w:val="auto"/>
          <w:kern w:val="0"/>
          <w:sz w:val="32"/>
          <w:szCs w:val="32"/>
          <w:highlight w:val="none"/>
        </w:rPr>
      </w:pPr>
    </w:p>
    <w:p w14:paraId="71F30BE6">
      <w:pPr>
        <w:jc w:val="center"/>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141C5BC9">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二、授权委托书或法定代表人（单位负责人、自然人本人）身份证明</w:t>
      </w:r>
    </w:p>
    <w:p w14:paraId="1EF9F0C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596FC6C">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授权委托书（适用于非联合体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3C5EBE49">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杭州市中策职业学校钱塘学校、浙江中通通信有限公司</w:t>
      </w:r>
      <w:r>
        <w:rPr>
          <w:rFonts w:hint="eastAsia" w:ascii="宋体" w:hAnsi="宋体" w:cs="宋体"/>
          <w:color w:val="auto"/>
          <w:kern w:val="0"/>
          <w:sz w:val="24"/>
          <w:highlight w:val="none"/>
          <w:lang w:val="zh-CN"/>
        </w:rPr>
        <w:t>：</w:t>
      </w:r>
    </w:p>
    <w:p w14:paraId="19B6C486">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旗杆东侧室外篮球场建设  【项目编号：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139DFF88">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F60B662">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C41AD5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供应商名称(电子签名)：</w:t>
      </w:r>
    </w:p>
    <w:p w14:paraId="6EA48181">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38091EF6">
      <w:pPr>
        <w:snapToGrid w:val="0"/>
        <w:spacing w:line="360" w:lineRule="auto"/>
        <w:rPr>
          <w:rFonts w:hint="eastAsia" w:ascii="宋体" w:hAnsi="宋体" w:cs="宋体"/>
          <w:color w:val="auto"/>
          <w:sz w:val="24"/>
          <w:highlight w:val="none"/>
        </w:rPr>
      </w:pPr>
    </w:p>
    <w:p w14:paraId="50F588D3">
      <w:pPr>
        <w:snapToGrid w:val="0"/>
        <w:spacing w:line="360" w:lineRule="auto"/>
        <w:rPr>
          <w:rFonts w:hint="eastAsia" w:ascii="宋体" w:hAnsi="宋体" w:cs="宋体"/>
          <w:color w:val="auto"/>
          <w:sz w:val="24"/>
          <w:highlight w:val="none"/>
        </w:rPr>
      </w:pPr>
    </w:p>
    <w:p w14:paraId="768EEF19">
      <w:pPr>
        <w:snapToGrid w:val="0"/>
        <w:spacing w:line="360" w:lineRule="auto"/>
        <w:rPr>
          <w:rFonts w:hint="eastAsia" w:ascii="宋体" w:hAnsi="宋体" w:cs="宋体"/>
          <w:color w:val="auto"/>
          <w:sz w:val="24"/>
          <w:highlight w:val="none"/>
        </w:rPr>
      </w:pPr>
    </w:p>
    <w:p w14:paraId="64779A3A">
      <w:pPr>
        <w:snapToGrid w:val="0"/>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授权委托书（适用于联合体</w:t>
      </w:r>
      <w:r>
        <w:rPr>
          <w:rFonts w:hint="eastAsia" w:ascii="宋体" w:hAnsi="宋体" w:cs="宋体"/>
          <w:b/>
          <w:bCs/>
          <w:color w:val="auto"/>
          <w:sz w:val="32"/>
          <w:szCs w:val="32"/>
          <w:highlight w:val="none"/>
        </w:rPr>
        <w:t>响应</w:t>
      </w:r>
      <w:r>
        <w:rPr>
          <w:rFonts w:hint="eastAsia" w:ascii="宋体" w:hAnsi="宋体" w:cs="宋体"/>
          <w:b/>
          <w:bCs/>
          <w:color w:val="auto"/>
          <w:sz w:val="32"/>
          <w:szCs w:val="32"/>
          <w:highlight w:val="none"/>
          <w:lang w:val="zh-CN"/>
        </w:rPr>
        <w:t>）</w:t>
      </w:r>
    </w:p>
    <w:p w14:paraId="5B647E8E">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杭州市中策职业学校钱塘学校、浙江中通通信有限公司</w:t>
      </w:r>
      <w:r>
        <w:rPr>
          <w:rFonts w:hint="eastAsia" w:ascii="宋体" w:hAnsi="宋体" w:cs="宋体"/>
          <w:color w:val="auto"/>
          <w:kern w:val="0"/>
          <w:sz w:val="24"/>
          <w:highlight w:val="none"/>
          <w:lang w:val="zh-CN"/>
        </w:rPr>
        <w:t>：</w:t>
      </w:r>
    </w:p>
    <w:p w14:paraId="39580579">
      <w:pPr>
        <w:snapToGrid w:val="0"/>
        <w:spacing w:line="360" w:lineRule="auto"/>
        <w:ind w:firstLine="576"/>
        <w:rPr>
          <w:rFonts w:hint="eastAsia"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，所在单位：</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旗杆东侧室外篮球场建设  【项目编号：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政府采购</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的一切事项，其法律后果由我方承担。</w:t>
      </w:r>
    </w:p>
    <w:p w14:paraId="00D6BE6A">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4953989D">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7128A0B">
      <w:pPr>
        <w:jc w:val="center"/>
        <w:rPr>
          <w:rFonts w:hint="eastAsia" w:ascii="宋体" w:hAnsi="宋体" w:cs="宋体"/>
          <w:b/>
          <w:color w:val="auto"/>
          <w:kern w:val="0"/>
          <w:sz w:val="32"/>
          <w:szCs w:val="32"/>
          <w:highlight w:val="none"/>
        </w:rPr>
      </w:pPr>
    </w:p>
    <w:p w14:paraId="0D46801F">
      <w:pPr>
        <w:jc w:val="center"/>
        <w:rPr>
          <w:rFonts w:hint="eastAsia" w:ascii="宋体" w:hAnsi="宋体" w:cs="宋体"/>
          <w:b/>
          <w:color w:val="auto"/>
          <w:kern w:val="0"/>
          <w:sz w:val="32"/>
          <w:szCs w:val="32"/>
          <w:highlight w:val="none"/>
        </w:rPr>
      </w:pPr>
    </w:p>
    <w:p w14:paraId="64ADDA9C">
      <w:pPr>
        <w:jc w:val="center"/>
        <w:rPr>
          <w:rFonts w:hint="eastAsia" w:ascii="宋体" w:hAnsi="宋体" w:cs="宋体"/>
          <w:b/>
          <w:color w:val="auto"/>
          <w:kern w:val="0"/>
          <w:sz w:val="32"/>
          <w:szCs w:val="32"/>
          <w:highlight w:val="none"/>
        </w:rPr>
      </w:pPr>
    </w:p>
    <w:p w14:paraId="7CA87918">
      <w:pPr>
        <w:rPr>
          <w:rFonts w:hint="eastAsia" w:ascii="宋体" w:hAnsi="宋体" w:cs="宋体"/>
          <w:color w:val="auto"/>
          <w:highlight w:val="none"/>
        </w:rPr>
      </w:pPr>
    </w:p>
    <w:p w14:paraId="663A9988">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120F482">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185113F8">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7977C491">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2BCE6B7">
      <w:pPr>
        <w:snapToGrid w:val="0"/>
        <w:jc w:val="center"/>
        <w:rPr>
          <w:rFonts w:hint="eastAsia" w:ascii="宋体" w:hAnsi="宋体" w:cs="宋体"/>
          <w:b/>
          <w:bCs/>
          <w:color w:val="auto"/>
          <w:sz w:val="32"/>
          <w:szCs w:val="32"/>
          <w:highlight w:val="none"/>
          <w:lang w:val="zh-CN"/>
        </w:rPr>
      </w:pPr>
    </w:p>
    <w:p w14:paraId="23EBADA9">
      <w:pPr>
        <w:snapToGrid w:val="0"/>
        <w:jc w:val="center"/>
        <w:rPr>
          <w:rFonts w:hint="eastAsia" w:ascii="宋体" w:hAnsi="宋体" w:cs="宋体"/>
          <w:b/>
          <w:bCs/>
          <w:color w:val="auto"/>
          <w:sz w:val="32"/>
          <w:szCs w:val="32"/>
          <w:highlight w:val="none"/>
          <w:lang w:val="zh-CN"/>
        </w:rPr>
      </w:pPr>
    </w:p>
    <w:p w14:paraId="2371E233">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lang w:val="zh-CN"/>
        </w:rPr>
        <w:t>法定代表人、单位负责人或自然人本人</w:t>
      </w:r>
      <w:r>
        <w:rPr>
          <w:rFonts w:hint="eastAsia" w:ascii="宋体" w:hAnsi="宋体" w:cs="宋体"/>
          <w:b/>
          <w:bCs/>
          <w:color w:val="auto"/>
          <w:sz w:val="32"/>
          <w:szCs w:val="32"/>
          <w:highlight w:val="none"/>
        </w:rPr>
        <w:t>的身份证明（适用于法定代表人、单位负责人或者自然人本人代表供应商参加响应）</w:t>
      </w:r>
    </w:p>
    <w:p w14:paraId="62FF72AD">
      <w:pPr>
        <w:pStyle w:val="150"/>
        <w:spacing w:line="360" w:lineRule="auto"/>
        <w:rPr>
          <w:rFonts w:hint="eastAsia"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6BD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CDF40DE">
            <w:pPr>
              <w:pStyle w:val="150"/>
              <w:adjustRightInd w:val="0"/>
              <w:spacing w:line="360" w:lineRule="auto"/>
              <w:rPr>
                <w:rFonts w:hint="eastAsia" w:hAnsi="宋体" w:cs="宋体"/>
                <w:bCs/>
                <w:color w:val="auto"/>
                <w:sz w:val="24"/>
                <w:highlight w:val="none"/>
              </w:rPr>
            </w:pPr>
            <w:r>
              <w:rPr>
                <w:rFonts w:hint="eastAsia" w:hAnsi="宋体" w:cs="宋体"/>
                <w:bCs/>
                <w:color w:val="auto"/>
                <w:sz w:val="24"/>
                <w:highlight w:val="none"/>
              </w:rPr>
              <w:t>正面：                                 反面：</w:t>
            </w:r>
          </w:p>
          <w:p w14:paraId="1BC885AD">
            <w:pPr>
              <w:pStyle w:val="150"/>
              <w:adjustRightInd w:val="0"/>
              <w:spacing w:line="360" w:lineRule="auto"/>
              <w:rPr>
                <w:rFonts w:hint="eastAsia" w:hAnsi="宋体" w:cs="宋体"/>
                <w:bCs/>
                <w:color w:val="auto"/>
                <w:sz w:val="24"/>
                <w:highlight w:val="none"/>
              </w:rPr>
            </w:pPr>
          </w:p>
        </w:tc>
      </w:tr>
    </w:tbl>
    <w:p w14:paraId="4E0C1A93">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41646A05">
      <w:pPr>
        <w:snapToGrid w:val="0"/>
        <w:spacing w:line="360" w:lineRule="auto"/>
        <w:ind w:firstLine="576"/>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                              </w:t>
      </w:r>
    </w:p>
    <w:p w14:paraId="44441BE1">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03EE6D52">
      <w:pPr>
        <w:jc w:val="center"/>
        <w:rPr>
          <w:rFonts w:hint="eastAsia" w:ascii="宋体" w:hAnsi="宋体" w:cs="宋体"/>
          <w:b/>
          <w:color w:val="auto"/>
          <w:kern w:val="0"/>
          <w:sz w:val="32"/>
          <w:szCs w:val="32"/>
          <w:highlight w:val="none"/>
        </w:rPr>
      </w:pPr>
    </w:p>
    <w:p w14:paraId="6CE48973">
      <w:pPr>
        <w:jc w:val="center"/>
        <w:rPr>
          <w:rFonts w:hint="eastAsia" w:ascii="宋体" w:hAnsi="宋体" w:cs="宋体"/>
          <w:b/>
          <w:color w:val="auto"/>
          <w:kern w:val="0"/>
          <w:sz w:val="32"/>
          <w:szCs w:val="32"/>
          <w:highlight w:val="none"/>
        </w:rPr>
      </w:pPr>
    </w:p>
    <w:p w14:paraId="1679F67E">
      <w:pPr>
        <w:jc w:val="center"/>
        <w:rPr>
          <w:rFonts w:hint="eastAsia" w:ascii="宋体" w:hAnsi="宋体" w:cs="宋体"/>
          <w:b/>
          <w:color w:val="auto"/>
          <w:kern w:val="0"/>
          <w:sz w:val="32"/>
          <w:szCs w:val="32"/>
          <w:highlight w:val="none"/>
        </w:rPr>
      </w:pPr>
    </w:p>
    <w:p w14:paraId="5FF20109">
      <w:pPr>
        <w:jc w:val="center"/>
        <w:rPr>
          <w:rFonts w:hint="eastAsia" w:ascii="宋体" w:hAnsi="宋体" w:cs="宋体"/>
          <w:b/>
          <w:color w:val="auto"/>
          <w:kern w:val="0"/>
          <w:sz w:val="32"/>
          <w:szCs w:val="32"/>
          <w:highlight w:val="none"/>
        </w:rPr>
      </w:pPr>
    </w:p>
    <w:p w14:paraId="621E9820">
      <w:pPr>
        <w:jc w:val="center"/>
        <w:rPr>
          <w:rFonts w:hint="eastAsia" w:ascii="宋体" w:hAnsi="宋体" w:cs="宋体"/>
          <w:b/>
          <w:color w:val="auto"/>
          <w:kern w:val="0"/>
          <w:sz w:val="32"/>
          <w:szCs w:val="32"/>
          <w:highlight w:val="none"/>
        </w:rPr>
      </w:pPr>
    </w:p>
    <w:p w14:paraId="4ABEE601">
      <w:pPr>
        <w:jc w:val="center"/>
        <w:rPr>
          <w:rFonts w:hint="eastAsia" w:ascii="宋体" w:hAnsi="宋体" w:cs="宋体"/>
          <w:b/>
          <w:color w:val="auto"/>
          <w:kern w:val="0"/>
          <w:sz w:val="32"/>
          <w:szCs w:val="32"/>
          <w:highlight w:val="none"/>
        </w:rPr>
      </w:pPr>
    </w:p>
    <w:p w14:paraId="188AA129">
      <w:pPr>
        <w:jc w:val="center"/>
        <w:rPr>
          <w:rFonts w:hint="eastAsia" w:ascii="宋体" w:hAnsi="宋体" w:cs="宋体"/>
          <w:b/>
          <w:color w:val="auto"/>
          <w:kern w:val="0"/>
          <w:sz w:val="32"/>
          <w:szCs w:val="32"/>
          <w:highlight w:val="none"/>
        </w:rPr>
      </w:pPr>
    </w:p>
    <w:p w14:paraId="195571D9">
      <w:pPr>
        <w:jc w:val="center"/>
        <w:rPr>
          <w:rFonts w:hint="eastAsia" w:ascii="宋体" w:hAnsi="宋体" w:cs="宋体"/>
          <w:b/>
          <w:color w:val="auto"/>
          <w:kern w:val="0"/>
          <w:sz w:val="32"/>
          <w:szCs w:val="32"/>
          <w:highlight w:val="none"/>
        </w:rPr>
      </w:pPr>
    </w:p>
    <w:p w14:paraId="7DFD3E09">
      <w:pPr>
        <w:jc w:val="center"/>
        <w:rPr>
          <w:rFonts w:hint="eastAsia" w:ascii="宋体" w:hAnsi="宋体" w:cs="宋体"/>
          <w:b/>
          <w:color w:val="auto"/>
          <w:kern w:val="0"/>
          <w:sz w:val="32"/>
          <w:szCs w:val="32"/>
          <w:highlight w:val="none"/>
        </w:rPr>
      </w:pPr>
    </w:p>
    <w:p w14:paraId="7741E5EA">
      <w:pPr>
        <w:jc w:val="center"/>
        <w:rPr>
          <w:rFonts w:hint="eastAsia" w:ascii="宋体" w:hAnsi="宋体" w:cs="宋体"/>
          <w:b/>
          <w:color w:val="auto"/>
          <w:kern w:val="0"/>
          <w:sz w:val="32"/>
          <w:szCs w:val="32"/>
          <w:highlight w:val="none"/>
        </w:rPr>
      </w:pPr>
    </w:p>
    <w:p w14:paraId="361E2B95">
      <w:pPr>
        <w:snapToGrid w:val="0"/>
        <w:spacing w:line="360" w:lineRule="auto"/>
        <w:ind w:right="480"/>
        <w:rPr>
          <w:rFonts w:hint="eastAsia" w:ascii="宋体" w:hAnsi="宋体" w:cs="宋体"/>
          <w:b/>
          <w:color w:val="auto"/>
          <w:kern w:val="0"/>
          <w:sz w:val="32"/>
          <w:szCs w:val="32"/>
          <w:highlight w:val="none"/>
        </w:rPr>
        <w:sectPr>
          <w:pgSz w:w="11906" w:h="16838"/>
          <w:pgMar w:top="1440" w:right="1080" w:bottom="1440" w:left="1080" w:header="851" w:footer="992" w:gutter="0"/>
          <w:cols w:space="720" w:num="1"/>
          <w:titlePg/>
          <w:docGrid w:linePitch="312" w:charSpace="0"/>
        </w:sectPr>
      </w:pPr>
    </w:p>
    <w:p w14:paraId="3E7ACA6C">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三、分包意向协议</w:t>
      </w:r>
    </w:p>
    <w:p w14:paraId="07B45C2B">
      <w:pPr>
        <w:widowControl/>
        <w:spacing w:line="360" w:lineRule="auto"/>
        <w:ind w:firstLine="120" w:firstLineChars="50"/>
        <w:jc w:val="left"/>
        <w:rPr>
          <w:rFonts w:hint="eastAsia" w:ascii="宋体" w:hAnsi="宋体" w:cs="宋体"/>
          <w:color w:val="auto"/>
          <w:sz w:val="24"/>
          <w:highlight w:val="none"/>
        </w:rPr>
      </w:pPr>
      <w:bookmarkStart w:id="1025" w:name="_Hlk101169080"/>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；采购人不同意分包或者供应商成交后不以分包方式履行合同的，则不需要提供。</w:t>
      </w:r>
      <w:r>
        <w:rPr>
          <w:rFonts w:hint="eastAsia" w:ascii="宋体" w:hAnsi="宋体" w:cs="宋体"/>
          <w:color w:val="auto"/>
          <w:sz w:val="24"/>
          <w:highlight w:val="none"/>
        </w:rPr>
        <w:t>]</w:t>
      </w:r>
    </w:p>
    <w:bookmarkEnd w:id="1025"/>
    <w:p w14:paraId="2D408350">
      <w:pPr>
        <w:snapToGrid w:val="0"/>
        <w:spacing w:line="360" w:lineRule="auto"/>
        <w:rPr>
          <w:rFonts w:hint="eastAsia" w:ascii="宋体" w:hAnsi="宋体" w:cs="宋体"/>
          <w:color w:val="auto"/>
          <w:kern w:val="0"/>
          <w:sz w:val="24"/>
          <w:highlight w:val="none"/>
        </w:rPr>
      </w:pPr>
    </w:p>
    <w:p w14:paraId="1EFA558D">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四、符合性审查资料</w:t>
      </w:r>
    </w:p>
    <w:p w14:paraId="04B0D2A0">
      <w:pPr>
        <w:jc w:val="center"/>
        <w:rPr>
          <w:rFonts w:hint="eastAsia"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53FE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E8CF3C8">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50710736">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1B2E8E5E">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64186744">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响应文件中的</w:t>
            </w:r>
          </w:p>
          <w:p w14:paraId="173E819C">
            <w:pPr>
              <w:snapToGrid w:val="0"/>
              <w:spacing w:line="240" w:lineRule="atLeast"/>
              <w:jc w:val="center"/>
              <w:rPr>
                <w:rFonts w:hint="eastAsia" w:ascii="宋体" w:hAnsi="宋体" w:cs="宋体"/>
                <w:b/>
                <w:color w:val="auto"/>
                <w:sz w:val="24"/>
                <w:highlight w:val="none"/>
              </w:rPr>
            </w:pPr>
            <w:r>
              <w:rPr>
                <w:rFonts w:hint="eastAsia" w:ascii="宋体" w:hAnsi="宋体" w:cs="宋体"/>
                <w:b/>
                <w:color w:val="auto"/>
                <w:sz w:val="24"/>
                <w:highlight w:val="none"/>
              </w:rPr>
              <w:t>页码位置</w:t>
            </w:r>
          </w:p>
        </w:tc>
      </w:tr>
      <w:tr w14:paraId="48FDC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6A40E68">
            <w:pPr>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0EC98FF7">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响应文件按照采购文件要求签署、盖章。</w:t>
            </w:r>
          </w:p>
        </w:tc>
        <w:tc>
          <w:tcPr>
            <w:tcW w:w="2551" w:type="dxa"/>
            <w:vAlign w:val="center"/>
          </w:tcPr>
          <w:p w14:paraId="65A4A4A9">
            <w:pPr>
              <w:rPr>
                <w:rFonts w:hint="eastAsia" w:ascii="宋体" w:hAnsi="宋体" w:cs="宋体"/>
                <w:color w:val="auto"/>
                <w:sz w:val="24"/>
                <w:highlight w:val="none"/>
              </w:rPr>
            </w:pPr>
            <w:r>
              <w:rPr>
                <w:rFonts w:hint="eastAsia" w:ascii="宋体" w:hAnsi="宋体" w:cs="宋体"/>
                <w:color w:val="auto"/>
                <w:sz w:val="24"/>
                <w:highlight w:val="none"/>
              </w:rPr>
              <w:t>需要使用电子签名或者签字盖章的响应文件的组成部分</w:t>
            </w:r>
          </w:p>
        </w:tc>
        <w:tc>
          <w:tcPr>
            <w:tcW w:w="1418" w:type="dxa"/>
            <w:vAlign w:val="center"/>
          </w:tcPr>
          <w:p w14:paraId="784DCE7E">
            <w:pPr>
              <w:rPr>
                <w:rFonts w:hint="eastAsia" w:ascii="宋体" w:hAnsi="宋体" w:cs="宋体"/>
                <w:color w:val="auto"/>
                <w:sz w:val="24"/>
                <w:highlight w:val="none"/>
              </w:rPr>
            </w:pPr>
            <w:r>
              <w:rPr>
                <w:rFonts w:hint="eastAsia" w:ascii="宋体" w:hAnsi="宋体" w:cs="宋体"/>
                <w:color w:val="auto"/>
                <w:sz w:val="24"/>
                <w:highlight w:val="none"/>
              </w:rPr>
              <w:t>见响应文件</w:t>
            </w:r>
          </w:p>
          <w:p w14:paraId="5BF7B594">
            <w:pPr>
              <w:rPr>
                <w:rFonts w:hint="eastAsia"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72A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E33588">
            <w:pPr>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098986E4">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采购人拟采购的产品属于政府强制采购的节能产品品目清单范围的，供应商按采购文件要求提供国家确定的认证机构出具的、处于有效期之内的节能产品认证证书。</w:t>
            </w:r>
          </w:p>
        </w:tc>
        <w:tc>
          <w:tcPr>
            <w:tcW w:w="2551" w:type="dxa"/>
            <w:vAlign w:val="center"/>
          </w:tcPr>
          <w:p w14:paraId="7C087C31">
            <w:pPr>
              <w:rPr>
                <w:rFonts w:hint="eastAsia" w:ascii="宋体" w:hAnsi="宋体" w:cs="宋体"/>
                <w:color w:val="auto"/>
                <w:sz w:val="24"/>
                <w:highlight w:val="none"/>
              </w:rPr>
            </w:pPr>
            <w:r>
              <w:rPr>
                <w:rFonts w:hint="eastAsia" w:ascii="宋体" w:hAnsi="宋体" w:cs="宋体"/>
                <w:color w:val="auto"/>
                <w:sz w:val="24"/>
                <w:highlight w:val="none"/>
              </w:rPr>
              <w:t>节能产品认证证书（本项目拟采购的产品不属于政府强制采购的节能产品品目清单范围的，无需提供）</w:t>
            </w:r>
          </w:p>
        </w:tc>
        <w:tc>
          <w:tcPr>
            <w:tcW w:w="1418" w:type="dxa"/>
            <w:vAlign w:val="center"/>
          </w:tcPr>
          <w:p w14:paraId="6C9159CF">
            <w:pPr>
              <w:rPr>
                <w:rFonts w:hint="eastAsia" w:ascii="宋体" w:hAnsi="宋体" w:cs="宋体"/>
                <w:color w:val="auto"/>
                <w:sz w:val="24"/>
                <w:highlight w:val="none"/>
              </w:rPr>
            </w:pPr>
            <w:r>
              <w:rPr>
                <w:rFonts w:hint="eastAsia" w:ascii="宋体" w:hAnsi="宋体" w:cs="宋体"/>
                <w:color w:val="auto"/>
                <w:sz w:val="24"/>
                <w:highlight w:val="none"/>
              </w:rPr>
              <w:t>见响应文件</w:t>
            </w:r>
          </w:p>
          <w:p w14:paraId="1F2F5DB3">
            <w:pPr>
              <w:pStyle w:val="3"/>
              <w:jc w:val="both"/>
              <w:rPr>
                <w:rFonts w:hint="eastAsia" w:ascii="宋体" w:hAnsi="宋体" w:eastAsia="宋体" w:cs="宋体"/>
                <w:color w:val="auto"/>
                <w:highlight w:val="none"/>
                <w:lang w:val="en-US"/>
              </w:rPr>
            </w:pPr>
            <w:r>
              <w:rPr>
                <w:rFonts w:hint="eastAsia" w:ascii="宋体" w:hAnsi="宋体" w:eastAsia="宋体" w:cs="宋体"/>
                <w:b w:val="0"/>
                <w:bCs w:val="0"/>
                <w:color w:val="auto"/>
                <w:sz w:val="24"/>
                <w:szCs w:val="24"/>
                <w:highlight w:val="none"/>
                <w:lang w:val="en-US"/>
              </w:rPr>
              <w:t>第</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页</w:t>
            </w:r>
          </w:p>
        </w:tc>
      </w:tr>
      <w:tr w14:paraId="32F97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1B6A5CE">
            <w:pPr>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4991" w:type="dxa"/>
            <w:vAlign w:val="center"/>
          </w:tcPr>
          <w:p w14:paraId="4703AA93">
            <w:pPr>
              <w:spacing w:line="360" w:lineRule="auto"/>
              <w:rPr>
                <w:rFonts w:hint="eastAsia" w:ascii="宋体" w:hAnsi="宋体" w:cs="宋体"/>
                <w:color w:val="auto"/>
                <w:sz w:val="24"/>
                <w:highlight w:val="none"/>
              </w:rPr>
            </w:pPr>
            <w:r>
              <w:rPr>
                <w:rFonts w:hint="eastAsia" w:ascii="宋体" w:hAnsi="宋体" w:cs="宋体"/>
                <w:color w:val="auto"/>
                <w:sz w:val="24"/>
                <w:highlight w:val="none"/>
              </w:rPr>
              <w:t>响应文件中承诺的响应文件有效期不少于采购文件中载明的响应文件有效期。</w:t>
            </w:r>
          </w:p>
        </w:tc>
        <w:tc>
          <w:tcPr>
            <w:tcW w:w="2551" w:type="dxa"/>
            <w:vAlign w:val="center"/>
          </w:tcPr>
          <w:p w14:paraId="72B3A1F7">
            <w:pPr>
              <w:rPr>
                <w:rFonts w:hint="eastAsia" w:ascii="宋体" w:hAnsi="宋体" w:cs="宋体"/>
                <w:color w:val="auto"/>
                <w:sz w:val="24"/>
                <w:highlight w:val="none"/>
              </w:rPr>
            </w:pPr>
            <w:r>
              <w:rPr>
                <w:rFonts w:hint="eastAsia" w:ascii="宋体" w:hAnsi="宋体" w:cs="宋体"/>
                <w:color w:val="auto"/>
                <w:sz w:val="24"/>
                <w:highlight w:val="none"/>
              </w:rPr>
              <w:t>响应函</w:t>
            </w:r>
          </w:p>
        </w:tc>
        <w:tc>
          <w:tcPr>
            <w:tcW w:w="1418" w:type="dxa"/>
            <w:vAlign w:val="center"/>
          </w:tcPr>
          <w:p w14:paraId="70597564">
            <w:pPr>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209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436850">
            <w:pPr>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4991" w:type="dxa"/>
          </w:tcPr>
          <w:p w14:paraId="600582CD">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其他实质性要求1：</w:t>
            </w:r>
          </w:p>
        </w:tc>
        <w:tc>
          <w:tcPr>
            <w:tcW w:w="2551" w:type="dxa"/>
            <w:vMerge w:val="restart"/>
            <w:vAlign w:val="center"/>
          </w:tcPr>
          <w:p w14:paraId="4E77E616">
            <w:pPr>
              <w:rPr>
                <w:rFonts w:hint="eastAsia" w:ascii="宋体" w:hAnsi="宋体" w:cs="宋体"/>
                <w:color w:val="auto"/>
                <w:sz w:val="24"/>
                <w:highlight w:val="none"/>
              </w:rPr>
            </w:pPr>
            <w:r>
              <w:rPr>
                <w:rFonts w:hint="eastAsia" w:ascii="宋体" w:hAnsi="宋体" w:cs="宋体"/>
                <w:color w:val="auto"/>
                <w:kern w:val="0"/>
                <w:sz w:val="24"/>
                <w:highlight w:val="none"/>
              </w:rPr>
              <w:t>采购文件其它实质性要求相应的材料（“▲” 系指实质性要求条款，采购文件无其它实质性要求的，无需提供）</w:t>
            </w:r>
          </w:p>
        </w:tc>
        <w:tc>
          <w:tcPr>
            <w:tcW w:w="1418" w:type="dxa"/>
            <w:vAlign w:val="center"/>
          </w:tcPr>
          <w:p w14:paraId="68C2BE3E">
            <w:pPr>
              <w:rPr>
                <w:rFonts w:hint="eastAsia" w:ascii="宋体" w:hAnsi="宋体" w:cs="宋体"/>
                <w:color w:val="auto"/>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6E6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A9E7EEB">
            <w:pPr>
              <w:jc w:val="center"/>
              <w:rPr>
                <w:rFonts w:hint="eastAsia" w:ascii="宋体" w:hAnsi="宋体" w:cs="宋体"/>
                <w:color w:val="auto"/>
                <w:sz w:val="24"/>
                <w:highlight w:val="none"/>
              </w:rPr>
            </w:pPr>
            <w:r>
              <w:rPr>
                <w:rFonts w:hint="eastAsia" w:ascii="宋体" w:hAnsi="宋体" w:cs="宋体"/>
                <w:color w:val="auto"/>
                <w:sz w:val="24"/>
                <w:highlight w:val="none"/>
              </w:rPr>
              <w:t>5</w:t>
            </w:r>
          </w:p>
        </w:tc>
        <w:tc>
          <w:tcPr>
            <w:tcW w:w="4991" w:type="dxa"/>
          </w:tcPr>
          <w:p w14:paraId="7D77B2F1">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其他实质性要求2：</w:t>
            </w:r>
          </w:p>
        </w:tc>
        <w:tc>
          <w:tcPr>
            <w:tcW w:w="2551" w:type="dxa"/>
            <w:vMerge w:val="continue"/>
            <w:vAlign w:val="center"/>
          </w:tcPr>
          <w:p w14:paraId="7418C2E1">
            <w:pPr>
              <w:rPr>
                <w:rFonts w:hint="eastAsia" w:ascii="宋体" w:hAnsi="宋体" w:cs="宋体"/>
                <w:color w:val="auto"/>
                <w:kern w:val="0"/>
                <w:sz w:val="24"/>
                <w:highlight w:val="none"/>
              </w:rPr>
            </w:pPr>
          </w:p>
        </w:tc>
        <w:tc>
          <w:tcPr>
            <w:tcW w:w="1418" w:type="dxa"/>
            <w:vAlign w:val="center"/>
          </w:tcPr>
          <w:p w14:paraId="74F93157">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0552D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CFA40EB">
            <w:pPr>
              <w:jc w:val="center"/>
              <w:rPr>
                <w:color w:val="auto"/>
                <w:highlight w:val="none"/>
              </w:rPr>
            </w:pPr>
            <w:r>
              <w:rPr>
                <w:rFonts w:hint="eastAsia" w:ascii="宋体" w:hAnsi="宋体" w:cs="宋体"/>
                <w:color w:val="auto"/>
                <w:kern w:val="0"/>
                <w:sz w:val="24"/>
                <w:highlight w:val="none"/>
              </w:rPr>
              <w:t>……</w:t>
            </w:r>
          </w:p>
        </w:tc>
        <w:tc>
          <w:tcPr>
            <w:tcW w:w="4991" w:type="dxa"/>
          </w:tcPr>
          <w:p w14:paraId="17994573">
            <w:pPr>
              <w:spacing w:line="360" w:lineRule="auto"/>
              <w:rPr>
                <w:rFonts w:hint="eastAsia" w:ascii="宋体" w:hAnsi="宋体" w:cs="宋体"/>
                <w:color w:val="auto"/>
                <w:sz w:val="24"/>
                <w:highlight w:val="none"/>
              </w:rPr>
            </w:pPr>
            <w:r>
              <w:rPr>
                <w:rFonts w:hint="eastAsia" w:ascii="宋体" w:hAnsi="宋体" w:cs="宋体"/>
                <w:snapToGrid w:val="0"/>
                <w:color w:val="auto"/>
                <w:sz w:val="24"/>
                <w:highlight w:val="none"/>
              </w:rPr>
              <w:t>其他实质性要求</w:t>
            </w:r>
            <w:r>
              <w:rPr>
                <w:rFonts w:hint="eastAsia" w:ascii="宋体" w:hAnsi="宋体" w:cs="宋体"/>
                <w:color w:val="auto"/>
                <w:kern w:val="0"/>
                <w:sz w:val="24"/>
                <w:highlight w:val="none"/>
              </w:rPr>
              <w:t>……</w:t>
            </w:r>
            <w:r>
              <w:rPr>
                <w:rFonts w:hint="eastAsia" w:ascii="宋体" w:hAnsi="宋体" w:cs="宋体"/>
                <w:snapToGrid w:val="0"/>
                <w:color w:val="auto"/>
                <w:sz w:val="24"/>
                <w:highlight w:val="none"/>
              </w:rPr>
              <w:t>：</w:t>
            </w:r>
          </w:p>
        </w:tc>
        <w:tc>
          <w:tcPr>
            <w:tcW w:w="2551" w:type="dxa"/>
            <w:vMerge w:val="continue"/>
            <w:vAlign w:val="center"/>
          </w:tcPr>
          <w:p w14:paraId="6E0A0A97">
            <w:pPr>
              <w:rPr>
                <w:rFonts w:hint="eastAsia" w:ascii="宋体" w:hAnsi="宋体" w:cs="宋体"/>
                <w:color w:val="auto"/>
                <w:kern w:val="0"/>
                <w:sz w:val="24"/>
                <w:highlight w:val="none"/>
              </w:rPr>
            </w:pPr>
          </w:p>
        </w:tc>
        <w:tc>
          <w:tcPr>
            <w:tcW w:w="1418" w:type="dxa"/>
            <w:vAlign w:val="center"/>
          </w:tcPr>
          <w:p w14:paraId="12453D71">
            <w:pPr>
              <w:rPr>
                <w:rFonts w:hint="eastAsia" w:ascii="宋体" w:hAnsi="宋体" w:cs="宋体"/>
                <w:color w:val="auto"/>
                <w:sz w:val="24"/>
                <w:highlight w:val="none"/>
              </w:rPr>
            </w:pPr>
            <w:r>
              <w:rPr>
                <w:rFonts w:hint="eastAsia" w:ascii="宋体" w:hAnsi="宋体" w:cs="宋体"/>
                <w:color w:val="auto"/>
                <w:sz w:val="24"/>
                <w:highlight w:val="none"/>
              </w:rPr>
              <w:t>见响应文件第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bl>
    <w:p w14:paraId="554840DA">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4FECC3A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2、采购文件中实质性要求必须明确响应。</w:t>
      </w:r>
    </w:p>
    <w:p w14:paraId="491BFE45">
      <w:pPr>
        <w:pStyle w:val="82"/>
        <w:rPr>
          <w:rFonts w:hint="eastAsia"/>
          <w:color w:val="auto"/>
          <w:highlight w:val="none"/>
        </w:rPr>
      </w:pPr>
    </w:p>
    <w:p w14:paraId="51F673E8">
      <w:pPr>
        <w:jc w:val="center"/>
        <w:rPr>
          <w:rFonts w:hint="eastAsia" w:ascii="宋体" w:hAnsi="宋体" w:cs="宋体"/>
          <w:b/>
          <w:color w:val="auto"/>
          <w:kern w:val="0"/>
          <w:sz w:val="32"/>
          <w:szCs w:val="32"/>
          <w:highlight w:val="none"/>
        </w:rPr>
      </w:pPr>
    </w:p>
    <w:p w14:paraId="76C97920">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2A38A568">
      <w:pPr>
        <w:jc w:val="center"/>
        <w:rPr>
          <w:rFonts w:hint="eastAsia" w:ascii="宋体" w:hAnsi="宋体" w:cs="宋体"/>
          <w:b/>
          <w:color w:val="auto"/>
          <w:kern w:val="0"/>
          <w:sz w:val="32"/>
          <w:szCs w:val="32"/>
          <w:highlight w:val="none"/>
        </w:rPr>
      </w:pPr>
    </w:p>
    <w:p w14:paraId="5A2E4618">
      <w:pPr>
        <w:jc w:val="center"/>
        <w:rPr>
          <w:rFonts w:hint="eastAsia" w:ascii="宋体" w:hAnsi="宋体" w:cs="宋体"/>
          <w:b/>
          <w:color w:val="auto"/>
          <w:kern w:val="0"/>
          <w:sz w:val="32"/>
          <w:szCs w:val="32"/>
          <w:highlight w:val="none"/>
        </w:rPr>
      </w:pPr>
    </w:p>
    <w:p w14:paraId="3C43F337">
      <w:pPr>
        <w:jc w:val="center"/>
        <w:rPr>
          <w:rFonts w:hint="eastAsia" w:ascii="宋体" w:hAnsi="宋体" w:cs="宋体"/>
          <w:b/>
          <w:color w:val="auto"/>
          <w:kern w:val="0"/>
          <w:sz w:val="32"/>
          <w:szCs w:val="32"/>
          <w:highlight w:val="none"/>
        </w:rPr>
      </w:pPr>
    </w:p>
    <w:p w14:paraId="15D65F6C">
      <w:pPr>
        <w:jc w:val="center"/>
        <w:rPr>
          <w:rFonts w:hint="eastAsia" w:ascii="宋体" w:hAnsi="宋体" w:cs="宋体"/>
          <w:b/>
          <w:color w:val="auto"/>
          <w:kern w:val="0"/>
          <w:sz w:val="32"/>
          <w:szCs w:val="32"/>
          <w:highlight w:val="none"/>
        </w:rPr>
      </w:pPr>
    </w:p>
    <w:p w14:paraId="5C176EED">
      <w:pPr>
        <w:jc w:val="center"/>
        <w:rPr>
          <w:rFonts w:hint="eastAsia" w:ascii="宋体" w:hAnsi="宋体" w:cs="宋体"/>
          <w:b/>
          <w:color w:val="auto"/>
          <w:kern w:val="0"/>
          <w:sz w:val="32"/>
          <w:szCs w:val="32"/>
          <w:highlight w:val="none"/>
        </w:rPr>
      </w:pPr>
    </w:p>
    <w:p w14:paraId="0A0758E3">
      <w:pPr>
        <w:jc w:val="center"/>
        <w:rPr>
          <w:rFonts w:hint="eastAsia" w:ascii="宋体" w:hAnsi="宋体" w:cs="宋体"/>
          <w:b/>
          <w:color w:val="auto"/>
          <w:kern w:val="0"/>
          <w:sz w:val="32"/>
          <w:szCs w:val="32"/>
          <w:highlight w:val="none"/>
        </w:rPr>
      </w:pPr>
    </w:p>
    <w:p w14:paraId="56E9A753">
      <w:pPr>
        <w:jc w:val="center"/>
        <w:rPr>
          <w:rFonts w:hint="eastAsia" w:ascii="宋体" w:hAnsi="宋体" w:cs="宋体"/>
          <w:b/>
          <w:color w:val="auto"/>
          <w:kern w:val="0"/>
          <w:sz w:val="32"/>
          <w:szCs w:val="32"/>
          <w:highlight w:val="none"/>
        </w:rPr>
      </w:pPr>
    </w:p>
    <w:p w14:paraId="5CC4F118">
      <w:pPr>
        <w:jc w:val="center"/>
        <w:rPr>
          <w:rFonts w:hint="eastAsia" w:ascii="宋体" w:hAnsi="宋体" w:cs="宋体"/>
          <w:b/>
          <w:color w:val="auto"/>
          <w:kern w:val="0"/>
          <w:sz w:val="32"/>
          <w:szCs w:val="32"/>
          <w:highlight w:val="none"/>
        </w:rPr>
      </w:pPr>
    </w:p>
    <w:p w14:paraId="0A620CAC">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五、评审标准相应的商务技术资料</w:t>
      </w:r>
    </w:p>
    <w:p w14:paraId="6E8CEBFD">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（按采购文件第四部分评审办法前附表中“响应文件中评审标准相应的商务技术资料目录”提供资料。）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71DC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F462A05">
            <w:pPr>
              <w:snapToGrid w:val="0"/>
              <w:spacing w:line="360" w:lineRule="auto"/>
              <w:jc w:val="center"/>
              <w:rPr>
                <w:rFonts w:hint="eastAsia" w:cs="仿宋_GB2312" w:asciiTheme="minorEastAsia" w:hAnsiTheme="minorEastAsia" w:eastAsiaTheme="minorEastAsia"/>
                <w:bCs/>
                <w:color w:val="auto"/>
                <w:sz w:val="24"/>
                <w:highlight w:val="none"/>
              </w:rPr>
            </w:pPr>
            <w:r>
              <w:rPr>
                <w:rFonts w:hint="eastAsia" w:cs="仿宋_GB2312" w:asciiTheme="minorEastAsia" w:hAnsiTheme="minorEastAsia" w:eastAsiaTheme="minorEastAsia"/>
                <w:bCs/>
                <w:color w:val="auto"/>
                <w:sz w:val="24"/>
                <w:highlight w:val="none"/>
              </w:rPr>
              <w:t>序号</w:t>
            </w:r>
          </w:p>
        </w:tc>
        <w:tc>
          <w:tcPr>
            <w:tcW w:w="5465" w:type="dxa"/>
          </w:tcPr>
          <w:p w14:paraId="31C6C4E1">
            <w:pPr>
              <w:snapToGrid w:val="0"/>
              <w:spacing w:line="360" w:lineRule="auto"/>
              <w:jc w:val="center"/>
              <w:rPr>
                <w:rFonts w:hint="eastAsia" w:ascii="宋体" w:hAnsi="宋体" w:cs="宋体"/>
                <w:bCs/>
                <w:color w:val="auto"/>
                <w:sz w:val="24"/>
                <w:highlight w:val="none"/>
              </w:rPr>
            </w:pPr>
            <w:r>
              <w:rPr>
                <w:rFonts w:hint="eastAsia" w:cs="仿宋_GB2312" w:asciiTheme="minorEastAsia" w:hAnsiTheme="minorEastAsia" w:eastAsiaTheme="minorEastAsia"/>
                <w:bCs/>
                <w:color w:val="auto"/>
                <w:sz w:val="24"/>
                <w:highlight w:val="none"/>
              </w:rPr>
              <w:t>响应文件中评标标准相应的商务技术资料目录*</w:t>
            </w:r>
          </w:p>
        </w:tc>
        <w:tc>
          <w:tcPr>
            <w:tcW w:w="3046" w:type="dxa"/>
          </w:tcPr>
          <w:p w14:paraId="317BB505">
            <w:pPr>
              <w:snapToGrid w:val="0"/>
              <w:spacing w:line="240" w:lineRule="atLeast"/>
              <w:jc w:val="center"/>
              <w:rPr>
                <w:rFonts w:hint="eastAsia" w:ascii="宋体" w:hAnsi="宋体" w:cs="宋体"/>
                <w:bCs/>
                <w:color w:val="auto"/>
                <w:sz w:val="24"/>
                <w:highlight w:val="none"/>
              </w:rPr>
            </w:pPr>
            <w:r>
              <w:rPr>
                <w:rFonts w:hint="eastAsia" w:ascii="宋体" w:hAnsi="宋体" w:cs="宋体"/>
                <w:bCs/>
                <w:color w:val="auto"/>
                <w:sz w:val="24"/>
                <w:highlight w:val="none"/>
              </w:rPr>
              <w:t>响应文件中的页码位置</w:t>
            </w:r>
          </w:p>
        </w:tc>
      </w:tr>
      <w:tr w14:paraId="705A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B83883E">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5465" w:type="dxa"/>
          </w:tcPr>
          <w:p w14:paraId="700E7AAD">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XXX（预先填写）</w:t>
            </w:r>
          </w:p>
        </w:tc>
        <w:tc>
          <w:tcPr>
            <w:tcW w:w="3046" w:type="dxa"/>
          </w:tcPr>
          <w:p w14:paraId="76853BFA">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7F4E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6717161">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5465" w:type="dxa"/>
          </w:tcPr>
          <w:p w14:paraId="29177A45">
            <w:pPr>
              <w:snapToGrid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XXX</w:t>
            </w:r>
          </w:p>
        </w:tc>
        <w:tc>
          <w:tcPr>
            <w:tcW w:w="3046" w:type="dxa"/>
          </w:tcPr>
          <w:p w14:paraId="04BA6F5A">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r w14:paraId="47974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0438A792">
            <w:pPr>
              <w:snapToGrid w:val="0"/>
              <w:spacing w:line="360" w:lineRule="auto"/>
              <w:jc w:val="center"/>
              <w:rPr>
                <w:rFonts w:hint="eastAsia" w:ascii="宋体" w:hAnsi="宋体" w:cs="宋体"/>
                <w:bCs/>
                <w:color w:val="auto"/>
                <w:sz w:val="24"/>
                <w:highlight w:val="none"/>
              </w:rPr>
            </w:pPr>
            <w:r>
              <w:rPr>
                <w:rFonts w:hint="eastAsia" w:ascii="宋体" w:hAnsi="宋体" w:cs="宋体"/>
                <w:color w:val="auto"/>
                <w:kern w:val="0"/>
                <w:sz w:val="24"/>
                <w:highlight w:val="none"/>
              </w:rPr>
              <w:t>……</w:t>
            </w:r>
          </w:p>
        </w:tc>
        <w:tc>
          <w:tcPr>
            <w:tcW w:w="5465" w:type="dxa"/>
          </w:tcPr>
          <w:p w14:paraId="0C814536">
            <w:pPr>
              <w:snapToGrid w:val="0"/>
              <w:spacing w:line="360" w:lineRule="auto"/>
              <w:jc w:val="center"/>
              <w:rPr>
                <w:rFonts w:hint="eastAsia" w:ascii="宋体" w:hAnsi="宋体" w:cs="宋体"/>
                <w:bCs/>
                <w:color w:val="auto"/>
                <w:sz w:val="24"/>
                <w:highlight w:val="none"/>
              </w:rPr>
            </w:pPr>
          </w:p>
        </w:tc>
        <w:tc>
          <w:tcPr>
            <w:tcW w:w="3046" w:type="dxa"/>
          </w:tcPr>
          <w:p w14:paraId="5648F2CC">
            <w:pPr>
              <w:jc w:val="center"/>
              <w:rPr>
                <w:rFonts w:hint="eastAsia" w:ascii="宋体" w:hAnsi="宋体" w:cs="宋体"/>
                <w:bCs/>
                <w:color w:val="auto"/>
                <w:sz w:val="24"/>
                <w:highlight w:val="none"/>
              </w:rPr>
            </w:pPr>
            <w:r>
              <w:rPr>
                <w:rFonts w:hint="eastAsia" w:ascii="宋体" w:hAnsi="宋体" w:cs="宋体"/>
                <w:bCs/>
                <w:color w:val="auto"/>
                <w:sz w:val="24"/>
                <w:highlight w:val="none"/>
              </w:rPr>
              <w:t>见响应文件第</w:t>
            </w:r>
            <w:r>
              <w:rPr>
                <w:rFonts w:hint="eastAsia" w:ascii="宋体" w:hAnsi="宋体" w:cs="宋体"/>
                <w:bCs/>
                <w:color w:val="auto"/>
                <w:sz w:val="24"/>
                <w:highlight w:val="none"/>
                <w:u w:val="single"/>
              </w:rPr>
              <w:t xml:space="preserve">  </w:t>
            </w:r>
            <w:r>
              <w:rPr>
                <w:rFonts w:hint="eastAsia" w:ascii="宋体" w:hAnsi="宋体" w:cs="宋体"/>
                <w:bCs/>
                <w:color w:val="auto"/>
                <w:sz w:val="24"/>
                <w:highlight w:val="none"/>
              </w:rPr>
              <w:t>页</w:t>
            </w:r>
          </w:p>
        </w:tc>
      </w:tr>
    </w:tbl>
    <w:p w14:paraId="12C66897">
      <w:pPr>
        <w:jc w:val="center"/>
        <w:rPr>
          <w:rFonts w:hint="eastAsia" w:ascii="宋体" w:hAnsi="宋体" w:cs="宋体"/>
          <w:b/>
          <w:color w:val="auto"/>
          <w:kern w:val="0"/>
          <w:sz w:val="32"/>
          <w:szCs w:val="32"/>
          <w:highlight w:val="none"/>
        </w:rPr>
      </w:pPr>
    </w:p>
    <w:p w14:paraId="60A73581">
      <w:pPr>
        <w:jc w:val="center"/>
        <w:rPr>
          <w:rFonts w:hint="eastAsia" w:ascii="宋体" w:hAnsi="宋体" w:cs="宋体"/>
          <w:b/>
          <w:color w:val="auto"/>
          <w:kern w:val="0"/>
          <w:sz w:val="32"/>
          <w:szCs w:val="32"/>
          <w:highlight w:val="none"/>
        </w:rPr>
      </w:pPr>
    </w:p>
    <w:p w14:paraId="09BC8F1A">
      <w:pPr>
        <w:jc w:val="center"/>
        <w:rPr>
          <w:rFonts w:hint="eastAsia" w:ascii="宋体" w:hAnsi="宋体" w:cs="宋体"/>
          <w:b/>
          <w:color w:val="auto"/>
          <w:kern w:val="0"/>
          <w:sz w:val="32"/>
          <w:szCs w:val="32"/>
          <w:highlight w:val="none"/>
        </w:rPr>
      </w:pPr>
    </w:p>
    <w:p w14:paraId="21CA87E1">
      <w:pPr>
        <w:jc w:val="center"/>
        <w:rPr>
          <w:rFonts w:hint="eastAsia" w:ascii="宋体" w:hAnsi="宋体" w:cs="宋体"/>
          <w:b/>
          <w:color w:val="auto"/>
          <w:kern w:val="0"/>
          <w:sz w:val="32"/>
          <w:szCs w:val="32"/>
          <w:highlight w:val="none"/>
        </w:rPr>
      </w:pPr>
    </w:p>
    <w:p w14:paraId="71CB7563">
      <w:pPr>
        <w:jc w:val="center"/>
        <w:rPr>
          <w:rFonts w:hint="eastAsia" w:ascii="宋体" w:hAnsi="宋体" w:cs="宋体"/>
          <w:b/>
          <w:color w:val="auto"/>
          <w:kern w:val="0"/>
          <w:sz w:val="32"/>
          <w:szCs w:val="32"/>
          <w:highlight w:val="none"/>
        </w:rPr>
      </w:pPr>
    </w:p>
    <w:p w14:paraId="25634F14">
      <w:pPr>
        <w:snapToGrid w:val="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六、商务技术偏离表</w:t>
      </w: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709A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DDD6C55">
            <w:pPr>
              <w:jc w:val="center"/>
              <w:rPr>
                <w:rFonts w:hint="eastAsia" w:ascii="宋体" w:hAnsi="宋体" w:cs="宋体"/>
                <w:b/>
                <w:bCs/>
                <w:color w:val="auto"/>
                <w:sz w:val="24"/>
                <w:highlight w:val="none"/>
              </w:rPr>
            </w:pPr>
            <w:r>
              <w:rPr>
                <w:rFonts w:hint="eastAsia" w:ascii="宋体" w:hAnsi="宋体" w:cs="宋体"/>
                <w:b/>
                <w:bCs/>
                <w:color w:val="auto"/>
                <w:sz w:val="24"/>
                <w:highlight w:val="none"/>
              </w:rPr>
              <w:t>序号</w:t>
            </w:r>
          </w:p>
        </w:tc>
        <w:tc>
          <w:tcPr>
            <w:tcW w:w="3683" w:type="dxa"/>
          </w:tcPr>
          <w:p w14:paraId="6291F050">
            <w:pPr>
              <w:jc w:val="center"/>
              <w:rPr>
                <w:rFonts w:hint="eastAsia" w:ascii="宋体" w:hAnsi="宋体" w:cs="宋体"/>
                <w:b/>
                <w:bCs/>
                <w:color w:val="auto"/>
                <w:sz w:val="24"/>
                <w:highlight w:val="none"/>
              </w:rPr>
            </w:pPr>
            <w:r>
              <w:rPr>
                <w:rFonts w:hint="eastAsia" w:ascii="宋体" w:hAnsi="宋体" w:cs="宋体"/>
                <w:b/>
                <w:bCs/>
                <w:color w:val="auto"/>
                <w:sz w:val="24"/>
                <w:highlight w:val="none"/>
              </w:rPr>
              <w:t>采购文件章节及具体内容</w:t>
            </w:r>
          </w:p>
        </w:tc>
        <w:tc>
          <w:tcPr>
            <w:tcW w:w="3546" w:type="dxa"/>
          </w:tcPr>
          <w:p w14:paraId="13BD1B96">
            <w:pPr>
              <w:jc w:val="center"/>
              <w:rPr>
                <w:rFonts w:hint="eastAsia" w:ascii="宋体" w:hAnsi="宋体" w:cs="宋体"/>
                <w:b/>
                <w:bCs/>
                <w:color w:val="auto"/>
                <w:sz w:val="24"/>
                <w:highlight w:val="none"/>
              </w:rPr>
            </w:pPr>
            <w:r>
              <w:rPr>
                <w:rFonts w:hint="eastAsia" w:ascii="宋体" w:hAnsi="宋体" w:cs="宋体"/>
                <w:b/>
                <w:bCs/>
                <w:color w:val="auto"/>
                <w:sz w:val="24"/>
                <w:highlight w:val="none"/>
              </w:rPr>
              <w:t>响应文件章节及具体内容</w:t>
            </w:r>
          </w:p>
        </w:tc>
        <w:tc>
          <w:tcPr>
            <w:tcW w:w="1276" w:type="dxa"/>
          </w:tcPr>
          <w:p w14:paraId="58D7F9E5">
            <w:pPr>
              <w:jc w:val="center"/>
              <w:rPr>
                <w:rFonts w:hint="eastAsia" w:ascii="宋体" w:hAnsi="宋体" w:cs="宋体"/>
                <w:b/>
                <w:bCs/>
                <w:color w:val="auto"/>
                <w:sz w:val="24"/>
                <w:highlight w:val="none"/>
              </w:rPr>
            </w:pPr>
            <w:r>
              <w:rPr>
                <w:rFonts w:hint="eastAsia" w:ascii="宋体" w:hAnsi="宋体" w:cs="宋体"/>
                <w:b/>
                <w:bCs/>
                <w:color w:val="auto"/>
                <w:sz w:val="24"/>
                <w:highlight w:val="none"/>
              </w:rPr>
              <w:t>偏离说明</w:t>
            </w:r>
          </w:p>
        </w:tc>
      </w:tr>
      <w:tr w14:paraId="1B3F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8EE4E12">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3683" w:type="dxa"/>
          </w:tcPr>
          <w:p w14:paraId="69361421">
            <w:pPr>
              <w:jc w:val="center"/>
              <w:rPr>
                <w:rFonts w:hint="eastAsia" w:ascii="宋体" w:hAnsi="宋体" w:cs="宋体"/>
                <w:b/>
                <w:color w:val="auto"/>
                <w:kern w:val="0"/>
                <w:sz w:val="32"/>
                <w:szCs w:val="32"/>
                <w:highlight w:val="none"/>
              </w:rPr>
            </w:pPr>
          </w:p>
        </w:tc>
        <w:tc>
          <w:tcPr>
            <w:tcW w:w="3546" w:type="dxa"/>
          </w:tcPr>
          <w:p w14:paraId="5AAF1F1D">
            <w:pPr>
              <w:jc w:val="center"/>
              <w:rPr>
                <w:rFonts w:hint="eastAsia" w:ascii="宋体" w:hAnsi="宋体" w:cs="宋体"/>
                <w:b/>
                <w:color w:val="auto"/>
                <w:kern w:val="0"/>
                <w:sz w:val="32"/>
                <w:szCs w:val="32"/>
                <w:highlight w:val="none"/>
              </w:rPr>
            </w:pPr>
          </w:p>
        </w:tc>
        <w:tc>
          <w:tcPr>
            <w:tcW w:w="1276" w:type="dxa"/>
          </w:tcPr>
          <w:p w14:paraId="0B496F4F">
            <w:pPr>
              <w:jc w:val="center"/>
              <w:rPr>
                <w:rFonts w:hint="eastAsia" w:ascii="宋体" w:hAnsi="宋体" w:cs="宋体"/>
                <w:b/>
                <w:color w:val="auto"/>
                <w:kern w:val="0"/>
                <w:sz w:val="32"/>
                <w:szCs w:val="32"/>
                <w:highlight w:val="none"/>
              </w:rPr>
            </w:pPr>
          </w:p>
        </w:tc>
      </w:tr>
      <w:tr w14:paraId="6CF31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82141A">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3683" w:type="dxa"/>
          </w:tcPr>
          <w:p w14:paraId="254A260E">
            <w:pPr>
              <w:jc w:val="center"/>
              <w:rPr>
                <w:rFonts w:hint="eastAsia" w:ascii="宋体" w:hAnsi="宋体" w:cs="宋体"/>
                <w:b/>
                <w:color w:val="auto"/>
                <w:kern w:val="0"/>
                <w:sz w:val="32"/>
                <w:szCs w:val="32"/>
                <w:highlight w:val="none"/>
              </w:rPr>
            </w:pPr>
          </w:p>
        </w:tc>
        <w:tc>
          <w:tcPr>
            <w:tcW w:w="3546" w:type="dxa"/>
          </w:tcPr>
          <w:p w14:paraId="28A29D43">
            <w:pPr>
              <w:jc w:val="center"/>
              <w:rPr>
                <w:rFonts w:hint="eastAsia" w:ascii="宋体" w:hAnsi="宋体" w:cs="宋体"/>
                <w:b/>
                <w:color w:val="auto"/>
                <w:kern w:val="0"/>
                <w:sz w:val="32"/>
                <w:szCs w:val="32"/>
                <w:highlight w:val="none"/>
              </w:rPr>
            </w:pPr>
          </w:p>
        </w:tc>
        <w:tc>
          <w:tcPr>
            <w:tcW w:w="1276" w:type="dxa"/>
          </w:tcPr>
          <w:p w14:paraId="0177D355">
            <w:pPr>
              <w:jc w:val="center"/>
              <w:rPr>
                <w:rFonts w:hint="eastAsia" w:ascii="宋体" w:hAnsi="宋体" w:cs="宋体"/>
                <w:b/>
                <w:color w:val="auto"/>
                <w:kern w:val="0"/>
                <w:sz w:val="32"/>
                <w:szCs w:val="32"/>
                <w:highlight w:val="none"/>
              </w:rPr>
            </w:pPr>
          </w:p>
        </w:tc>
      </w:tr>
      <w:tr w14:paraId="3F15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58607B7">
            <w:pPr>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3683" w:type="dxa"/>
          </w:tcPr>
          <w:p w14:paraId="41E2C315">
            <w:pPr>
              <w:jc w:val="center"/>
              <w:rPr>
                <w:rFonts w:hint="eastAsia" w:ascii="宋体" w:hAnsi="宋体" w:cs="宋体"/>
                <w:b/>
                <w:color w:val="auto"/>
                <w:kern w:val="0"/>
                <w:sz w:val="32"/>
                <w:szCs w:val="32"/>
                <w:highlight w:val="none"/>
              </w:rPr>
            </w:pPr>
          </w:p>
        </w:tc>
        <w:tc>
          <w:tcPr>
            <w:tcW w:w="3546" w:type="dxa"/>
          </w:tcPr>
          <w:p w14:paraId="3362E109">
            <w:pPr>
              <w:jc w:val="center"/>
              <w:rPr>
                <w:rFonts w:hint="eastAsia" w:ascii="宋体" w:hAnsi="宋体" w:cs="宋体"/>
                <w:b/>
                <w:color w:val="auto"/>
                <w:kern w:val="0"/>
                <w:sz w:val="32"/>
                <w:szCs w:val="32"/>
                <w:highlight w:val="none"/>
              </w:rPr>
            </w:pPr>
          </w:p>
        </w:tc>
        <w:tc>
          <w:tcPr>
            <w:tcW w:w="1276" w:type="dxa"/>
          </w:tcPr>
          <w:p w14:paraId="735FD907">
            <w:pPr>
              <w:jc w:val="center"/>
              <w:rPr>
                <w:rFonts w:hint="eastAsia" w:ascii="宋体" w:hAnsi="宋体" w:cs="宋体"/>
                <w:b/>
                <w:color w:val="auto"/>
                <w:kern w:val="0"/>
                <w:sz w:val="32"/>
                <w:szCs w:val="32"/>
                <w:highlight w:val="none"/>
              </w:rPr>
            </w:pPr>
          </w:p>
        </w:tc>
      </w:tr>
    </w:tbl>
    <w:p w14:paraId="449958AF">
      <w:pPr>
        <w:jc w:val="left"/>
        <w:rPr>
          <w:rFonts w:hint="eastAsia" w:ascii="宋体" w:hAnsi="宋体" w:cs="宋体"/>
          <w:color w:val="auto"/>
          <w:kern w:val="0"/>
          <w:sz w:val="24"/>
          <w:highlight w:val="none"/>
        </w:rPr>
      </w:pPr>
      <w:r>
        <w:rPr>
          <w:rFonts w:hint="eastAsia" w:ascii="宋体" w:hAnsi="宋体" w:cs="宋体"/>
          <w:color w:val="auto"/>
          <w:kern w:val="0"/>
          <w:sz w:val="24"/>
          <w:highlight w:val="none"/>
        </w:rPr>
        <w:t>供应商保证：除商务技术偏离表列出的偏离外，供应商响应采购文件的全部要求</w:t>
      </w:r>
    </w:p>
    <w:p w14:paraId="49EC0D70">
      <w:pPr>
        <w:jc w:val="center"/>
        <w:rPr>
          <w:rFonts w:hint="eastAsia" w:ascii="宋体" w:hAnsi="宋体" w:cs="宋体"/>
          <w:b/>
          <w:color w:val="auto"/>
          <w:kern w:val="0"/>
          <w:sz w:val="32"/>
          <w:szCs w:val="32"/>
          <w:highlight w:val="none"/>
        </w:rPr>
      </w:pPr>
    </w:p>
    <w:p w14:paraId="7FCC4FAF">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注：1.按本格式和要求提供。</w:t>
      </w:r>
    </w:p>
    <w:p w14:paraId="5C19F026">
      <w:pPr>
        <w:pStyle w:val="82"/>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2.本表格所反映的偏离情况与“符合性审查资料”、“评标标准相应的商务技术资料”不一致的，以“符合性审查资料”、“评标标准相应的商务技术资料”为准。</w:t>
      </w:r>
    </w:p>
    <w:p w14:paraId="6A1EBA25">
      <w:pPr>
        <w:pStyle w:val="82"/>
        <w:ind w:firstLine="48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3.供应商须保证：除商务技术偏离表列出的偏离外，供应商响应竞争性磋商文件的全部非实质性要求。</w:t>
      </w:r>
    </w:p>
    <w:p w14:paraId="37D7FD33">
      <w:pPr>
        <w:spacing w:line="360" w:lineRule="auto"/>
        <w:ind w:right="420"/>
        <w:rPr>
          <w:rFonts w:hint="eastAsia" w:ascii="宋体" w:hAnsi="宋体" w:cs="宋体"/>
          <w:color w:val="auto"/>
          <w:sz w:val="24"/>
          <w:highlight w:val="none"/>
        </w:rPr>
      </w:pPr>
    </w:p>
    <w:p w14:paraId="74196C9C">
      <w:pPr>
        <w:ind w:firstLine="1911" w:firstLineChars="595"/>
        <w:rPr>
          <w:rFonts w:hint="eastAsia" w:ascii="宋体" w:hAnsi="宋体" w:cs="宋体"/>
          <w:b/>
          <w:bCs/>
          <w:color w:val="auto"/>
          <w:sz w:val="32"/>
          <w:szCs w:val="32"/>
          <w:highlight w:val="none"/>
        </w:rPr>
        <w:sectPr>
          <w:footerReference r:id="rId12" w:type="first"/>
          <w:footerReference r:id="rId11" w:type="default"/>
          <w:pgSz w:w="11906" w:h="16838"/>
          <w:pgMar w:top="1440" w:right="1080" w:bottom="1440" w:left="1080" w:header="851" w:footer="992" w:gutter="0"/>
          <w:cols w:space="720" w:num="1"/>
          <w:titlePg/>
          <w:docGrid w:linePitch="312" w:charSpace="0"/>
        </w:sectPr>
      </w:pPr>
    </w:p>
    <w:p w14:paraId="0E6889C5">
      <w:pPr>
        <w:snapToGrid w:val="0"/>
        <w:jc w:val="center"/>
        <w:rPr>
          <w:rFonts w:hint="eastAsia" w:ascii="宋体" w:hAnsi="宋体" w:cs="宋体"/>
          <w:b/>
          <w:color w:val="auto"/>
          <w:kern w:val="0"/>
          <w:sz w:val="32"/>
          <w:szCs w:val="32"/>
          <w:highlight w:val="none"/>
        </w:rPr>
      </w:pPr>
      <w:r>
        <w:rPr>
          <w:rFonts w:hint="eastAsia" w:ascii="宋体" w:hAnsi="宋体" w:cs="宋体"/>
          <w:b/>
          <w:bCs/>
          <w:color w:val="auto"/>
          <w:sz w:val="32"/>
          <w:szCs w:val="32"/>
          <w:highlight w:val="none"/>
        </w:rPr>
        <w:t>七</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5B7A1006">
      <w:pPr>
        <w:snapToGrid w:val="0"/>
        <w:spacing w:line="360" w:lineRule="auto"/>
        <w:rPr>
          <w:rFonts w:hint="eastAsia" w:ascii="宋体" w:hAnsi="宋体" w:cs="宋体"/>
          <w:color w:val="auto"/>
          <w:sz w:val="24"/>
          <w:highlight w:val="none"/>
        </w:rPr>
      </w:pPr>
    </w:p>
    <w:p w14:paraId="74C59EA0">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杭州市中策职业学校钱塘学校、浙江中通通信有限公司</w:t>
      </w:r>
      <w:r>
        <w:rPr>
          <w:rFonts w:hint="eastAsia" w:ascii="宋体" w:hAnsi="宋体" w:cs="宋体"/>
          <w:color w:val="auto"/>
          <w:kern w:val="0"/>
          <w:sz w:val="24"/>
          <w:highlight w:val="none"/>
          <w:lang w:val="zh-CN"/>
        </w:rPr>
        <w:t>：</w:t>
      </w:r>
    </w:p>
    <w:p w14:paraId="5C636845">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6CA3FA8D">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69CFEB1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687B5C9F">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5F9D3C97">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E2A5E39">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五、不为项目有关人员个人装修住房、婚丧嫁娶、配偶子女工作安排等提供好处；</w:t>
      </w:r>
    </w:p>
    <w:p w14:paraId="2A6D83BB">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六、严格遵守《中华人民共和国政府采购法》《中华人民共和国招标投标法》《中华人民共和国民法典》等法律法规，诚实守信，合法经营，坚决抵制各种违法违纪行为。 </w:t>
      </w:r>
    </w:p>
    <w:p w14:paraId="46635A4D">
      <w:pPr>
        <w:autoSpaceDE w:val="0"/>
        <w:autoSpaceDN w:val="0"/>
        <w:spacing w:line="360" w:lineRule="auto"/>
        <w:ind w:left="2" w:leftChars="1"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如违反上述承诺，你单位有权立即取消我单位投标、中标或在建项目的建设资格，有权拒绝我单位在一定时期内进入你单位进行项目建设或其他经营活动，并通报市财政局。由此引起的相应损失均由我单位承担。</w:t>
      </w:r>
    </w:p>
    <w:p w14:paraId="6C8C0CBE">
      <w:pPr>
        <w:autoSpaceDE w:val="0"/>
        <w:autoSpaceDN w:val="0"/>
        <w:spacing w:line="360" w:lineRule="auto"/>
        <w:ind w:left="2"/>
        <w:jc w:val="left"/>
        <w:rPr>
          <w:rFonts w:hint="eastAsia" w:ascii="宋体" w:hAnsi="宋体" w:cs="宋体"/>
          <w:color w:val="auto"/>
          <w:kern w:val="0"/>
          <w:sz w:val="24"/>
          <w:highlight w:val="none"/>
          <w:lang w:val="zh-CN"/>
        </w:rPr>
      </w:pPr>
    </w:p>
    <w:p w14:paraId="53D1CDE2">
      <w:pPr>
        <w:autoSpaceDE w:val="0"/>
        <w:autoSpaceDN w:val="0"/>
        <w:spacing w:line="360" w:lineRule="auto"/>
        <w:ind w:left="2"/>
        <w:jc w:val="left"/>
        <w:rPr>
          <w:rFonts w:hint="eastAsia" w:ascii="宋体" w:hAnsi="宋体" w:cs="宋体"/>
          <w:color w:val="auto"/>
          <w:kern w:val="0"/>
          <w:sz w:val="24"/>
          <w:highlight w:val="none"/>
          <w:lang w:val="zh-CN"/>
        </w:rPr>
      </w:pPr>
    </w:p>
    <w:p w14:paraId="32D4307E">
      <w:pPr>
        <w:autoSpaceDE w:val="0"/>
        <w:autoSpaceDN w:val="0"/>
        <w:spacing w:line="360" w:lineRule="auto"/>
        <w:ind w:left="2"/>
        <w:jc w:val="left"/>
        <w:rPr>
          <w:rFonts w:hint="eastAsia" w:ascii="宋体" w:hAnsi="宋体" w:cs="宋体"/>
          <w:color w:val="auto"/>
          <w:kern w:val="0"/>
          <w:sz w:val="24"/>
          <w:highlight w:val="none"/>
          <w:lang w:val="zh-CN"/>
        </w:rPr>
      </w:pPr>
    </w:p>
    <w:p w14:paraId="11552000">
      <w:pPr>
        <w:autoSpaceDE w:val="0"/>
        <w:autoSpaceDN w:val="0"/>
        <w:spacing w:line="360" w:lineRule="auto"/>
        <w:ind w:left="2" w:leftChars="1" w:right="1120" w:firstLine="4560" w:firstLineChars="19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供应商名称（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09B96BC2">
      <w:pPr>
        <w:spacing w:line="360" w:lineRule="auto"/>
        <w:ind w:left="4620" w:leftChars="2200"/>
        <w:rPr>
          <w:rFonts w:hint="eastAsia"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29679718">
      <w:pPr>
        <w:spacing w:line="360" w:lineRule="auto"/>
        <w:jc w:val="center"/>
        <w:rPr>
          <w:rFonts w:hint="eastAsia" w:ascii="宋体" w:hAnsi="宋体" w:cs="宋体"/>
          <w:b/>
          <w:bCs/>
          <w:color w:val="auto"/>
          <w:sz w:val="24"/>
          <w:highlight w:val="none"/>
        </w:rPr>
      </w:pPr>
    </w:p>
    <w:p w14:paraId="061C2E3E">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0226AEAF">
      <w:pPr>
        <w:spacing w:line="360" w:lineRule="auto"/>
        <w:jc w:val="center"/>
        <w:rPr>
          <w:rFonts w:hint="eastAsia" w:ascii="宋体" w:hAnsi="宋体" w:cs="宋体"/>
          <w:b/>
          <w:bCs/>
          <w:color w:val="auto"/>
          <w:sz w:val="24"/>
          <w:highlight w:val="none"/>
        </w:rPr>
        <w:sectPr>
          <w:pgSz w:w="11906" w:h="16838"/>
          <w:pgMar w:top="1440" w:right="1080" w:bottom="1440" w:left="1080" w:header="851" w:footer="992" w:gutter="0"/>
          <w:cols w:space="720" w:num="1"/>
          <w:titlePg/>
          <w:docGrid w:linePitch="312" w:charSpace="0"/>
        </w:sectPr>
      </w:pPr>
    </w:p>
    <w:p w14:paraId="21081EDB">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F9482A3">
      <w:pPr>
        <w:spacing w:line="360" w:lineRule="auto"/>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F649836">
      <w:pPr>
        <w:spacing w:line="360" w:lineRule="auto"/>
        <w:jc w:val="center"/>
        <w:rPr>
          <w:rFonts w:hint="eastAsia" w:ascii="宋体" w:hAnsi="宋体" w:cs="宋体"/>
          <w:b/>
          <w:color w:val="auto"/>
          <w:kern w:val="0"/>
          <w:sz w:val="36"/>
          <w:szCs w:val="36"/>
          <w:highlight w:val="none"/>
        </w:rPr>
      </w:pPr>
    </w:p>
    <w:p w14:paraId="212FFFCC">
      <w:pPr>
        <w:numPr>
          <w:ilvl w:val="0"/>
          <w:numId w:val="8"/>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报价单…………………………………………………………………………（页码）</w:t>
      </w:r>
    </w:p>
    <w:p w14:paraId="4975071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（2）已标价工程量清单……………………………………………………………（页码）</w:t>
      </w:r>
    </w:p>
    <w:p w14:paraId="299D7F88">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（3）中小企业声明函………………………………………………………………（页码）</w:t>
      </w:r>
    </w:p>
    <w:p w14:paraId="1A324226">
      <w:pPr>
        <w:pStyle w:val="80"/>
        <w:rPr>
          <w:rFonts w:hint="eastAsia"/>
          <w:color w:val="auto"/>
          <w:highlight w:val="none"/>
        </w:rPr>
      </w:pPr>
    </w:p>
    <w:p w14:paraId="1520790F">
      <w:pPr>
        <w:snapToGrid w:val="0"/>
        <w:spacing w:line="360" w:lineRule="auto"/>
        <w:ind w:right="480"/>
        <w:jc w:val="center"/>
        <w:rPr>
          <w:rFonts w:hint="eastAsia" w:ascii="宋体" w:hAnsi="宋体" w:cs="宋体"/>
          <w:b/>
          <w:color w:val="auto"/>
          <w:kern w:val="0"/>
          <w:sz w:val="32"/>
          <w:szCs w:val="32"/>
          <w:highlight w:val="none"/>
        </w:rPr>
      </w:pPr>
    </w:p>
    <w:p w14:paraId="19D0F258">
      <w:pPr>
        <w:snapToGrid w:val="0"/>
        <w:spacing w:line="360" w:lineRule="auto"/>
        <w:ind w:right="480"/>
        <w:jc w:val="center"/>
        <w:rPr>
          <w:rFonts w:hint="eastAsia" w:ascii="宋体" w:hAnsi="宋体" w:cs="宋体"/>
          <w:b/>
          <w:color w:val="auto"/>
          <w:kern w:val="0"/>
          <w:sz w:val="32"/>
          <w:szCs w:val="32"/>
          <w:highlight w:val="none"/>
        </w:rPr>
      </w:pPr>
    </w:p>
    <w:p w14:paraId="7FEDCECA">
      <w:pPr>
        <w:snapToGrid w:val="0"/>
        <w:spacing w:line="360" w:lineRule="auto"/>
        <w:ind w:right="480"/>
        <w:jc w:val="center"/>
        <w:rPr>
          <w:rFonts w:hint="eastAsia" w:ascii="宋体" w:hAnsi="宋体" w:cs="宋体"/>
          <w:b/>
          <w:color w:val="auto"/>
          <w:kern w:val="0"/>
          <w:sz w:val="32"/>
          <w:szCs w:val="32"/>
          <w:highlight w:val="none"/>
        </w:rPr>
      </w:pPr>
    </w:p>
    <w:p w14:paraId="61231DC2">
      <w:pPr>
        <w:snapToGrid w:val="0"/>
        <w:spacing w:line="360" w:lineRule="auto"/>
        <w:ind w:right="480"/>
        <w:jc w:val="center"/>
        <w:rPr>
          <w:rFonts w:hint="eastAsia" w:ascii="宋体" w:hAnsi="宋体" w:cs="宋体"/>
          <w:b/>
          <w:color w:val="auto"/>
          <w:kern w:val="0"/>
          <w:sz w:val="32"/>
          <w:szCs w:val="32"/>
          <w:highlight w:val="none"/>
        </w:rPr>
      </w:pPr>
    </w:p>
    <w:p w14:paraId="1B39776B">
      <w:pPr>
        <w:snapToGrid w:val="0"/>
        <w:spacing w:line="360" w:lineRule="auto"/>
        <w:ind w:right="480"/>
        <w:jc w:val="center"/>
        <w:rPr>
          <w:rFonts w:hint="eastAsia" w:ascii="宋体" w:hAnsi="宋体" w:cs="宋体"/>
          <w:b/>
          <w:color w:val="auto"/>
          <w:kern w:val="0"/>
          <w:sz w:val="32"/>
          <w:szCs w:val="32"/>
          <w:highlight w:val="none"/>
        </w:rPr>
      </w:pPr>
    </w:p>
    <w:p w14:paraId="06A6F27B">
      <w:pPr>
        <w:snapToGrid w:val="0"/>
        <w:spacing w:line="360" w:lineRule="auto"/>
        <w:ind w:right="480"/>
        <w:jc w:val="center"/>
        <w:rPr>
          <w:rFonts w:hint="eastAsia" w:ascii="宋体" w:hAnsi="宋体" w:cs="宋体"/>
          <w:b/>
          <w:color w:val="auto"/>
          <w:kern w:val="0"/>
          <w:sz w:val="32"/>
          <w:szCs w:val="32"/>
          <w:highlight w:val="none"/>
        </w:rPr>
      </w:pPr>
    </w:p>
    <w:p w14:paraId="4DB10B69">
      <w:pPr>
        <w:snapToGrid w:val="0"/>
        <w:spacing w:line="360" w:lineRule="auto"/>
        <w:ind w:right="480"/>
        <w:jc w:val="center"/>
        <w:rPr>
          <w:rFonts w:hint="eastAsia" w:ascii="宋体" w:hAnsi="宋体" w:cs="宋体"/>
          <w:b/>
          <w:color w:val="auto"/>
          <w:kern w:val="0"/>
          <w:sz w:val="32"/>
          <w:szCs w:val="32"/>
          <w:highlight w:val="none"/>
        </w:rPr>
      </w:pPr>
    </w:p>
    <w:p w14:paraId="1C0F93DD">
      <w:pPr>
        <w:snapToGrid w:val="0"/>
        <w:spacing w:line="360" w:lineRule="auto"/>
        <w:ind w:right="480"/>
        <w:jc w:val="center"/>
        <w:rPr>
          <w:rFonts w:hint="eastAsia" w:ascii="宋体" w:hAnsi="宋体" w:cs="宋体"/>
          <w:b/>
          <w:color w:val="auto"/>
          <w:kern w:val="0"/>
          <w:sz w:val="32"/>
          <w:szCs w:val="32"/>
          <w:highlight w:val="none"/>
        </w:rPr>
      </w:pPr>
    </w:p>
    <w:p w14:paraId="1CA83B29">
      <w:pPr>
        <w:snapToGrid w:val="0"/>
        <w:spacing w:line="360" w:lineRule="auto"/>
        <w:ind w:right="480"/>
        <w:jc w:val="center"/>
        <w:rPr>
          <w:rFonts w:hint="eastAsia" w:ascii="宋体" w:hAnsi="宋体" w:cs="宋体"/>
          <w:b/>
          <w:color w:val="auto"/>
          <w:kern w:val="0"/>
          <w:sz w:val="32"/>
          <w:szCs w:val="32"/>
          <w:highlight w:val="none"/>
        </w:rPr>
      </w:pPr>
    </w:p>
    <w:p w14:paraId="7CF25E5F">
      <w:pPr>
        <w:snapToGrid w:val="0"/>
        <w:spacing w:line="360" w:lineRule="auto"/>
        <w:ind w:right="480"/>
        <w:jc w:val="center"/>
        <w:rPr>
          <w:rFonts w:hint="eastAsia" w:ascii="宋体" w:hAnsi="宋体" w:cs="宋体"/>
          <w:b/>
          <w:color w:val="auto"/>
          <w:kern w:val="0"/>
          <w:sz w:val="32"/>
          <w:szCs w:val="32"/>
          <w:highlight w:val="none"/>
        </w:rPr>
      </w:pPr>
    </w:p>
    <w:p w14:paraId="791B517A">
      <w:pPr>
        <w:snapToGrid w:val="0"/>
        <w:spacing w:line="360" w:lineRule="auto"/>
        <w:ind w:right="480"/>
        <w:jc w:val="center"/>
        <w:rPr>
          <w:rFonts w:hint="eastAsia" w:ascii="宋体" w:hAnsi="宋体" w:cs="宋体"/>
          <w:b/>
          <w:color w:val="auto"/>
          <w:kern w:val="0"/>
          <w:sz w:val="32"/>
          <w:szCs w:val="32"/>
          <w:highlight w:val="none"/>
        </w:rPr>
      </w:pPr>
    </w:p>
    <w:p w14:paraId="2811B5F9">
      <w:pPr>
        <w:snapToGrid w:val="0"/>
        <w:spacing w:line="360" w:lineRule="auto"/>
        <w:ind w:right="480"/>
        <w:jc w:val="center"/>
        <w:rPr>
          <w:rFonts w:hint="eastAsia" w:ascii="宋体" w:hAnsi="宋体" w:cs="宋体"/>
          <w:b/>
          <w:color w:val="auto"/>
          <w:kern w:val="0"/>
          <w:sz w:val="32"/>
          <w:szCs w:val="32"/>
          <w:highlight w:val="none"/>
        </w:rPr>
      </w:pPr>
    </w:p>
    <w:p w14:paraId="4A7EE6A6">
      <w:pPr>
        <w:snapToGrid w:val="0"/>
        <w:spacing w:line="360" w:lineRule="auto"/>
        <w:ind w:right="480"/>
        <w:jc w:val="center"/>
        <w:rPr>
          <w:rFonts w:hint="eastAsia" w:ascii="宋体" w:hAnsi="宋体" w:cs="宋体"/>
          <w:b/>
          <w:color w:val="auto"/>
          <w:kern w:val="0"/>
          <w:sz w:val="32"/>
          <w:szCs w:val="32"/>
          <w:highlight w:val="none"/>
        </w:rPr>
      </w:pPr>
    </w:p>
    <w:p w14:paraId="01635C4E">
      <w:pPr>
        <w:snapToGrid w:val="0"/>
        <w:spacing w:line="360" w:lineRule="auto"/>
        <w:ind w:right="480"/>
        <w:jc w:val="center"/>
        <w:rPr>
          <w:rFonts w:hint="eastAsia" w:ascii="宋体" w:hAnsi="宋体" w:cs="宋体"/>
          <w:b/>
          <w:color w:val="auto"/>
          <w:kern w:val="0"/>
          <w:sz w:val="32"/>
          <w:szCs w:val="32"/>
          <w:highlight w:val="none"/>
        </w:rPr>
      </w:pPr>
    </w:p>
    <w:p w14:paraId="5BD8C253">
      <w:pPr>
        <w:snapToGrid w:val="0"/>
        <w:spacing w:line="360" w:lineRule="auto"/>
        <w:ind w:right="480"/>
        <w:jc w:val="center"/>
        <w:rPr>
          <w:rFonts w:hint="eastAsia" w:ascii="宋体" w:hAnsi="宋体" w:cs="宋体"/>
          <w:b/>
          <w:color w:val="auto"/>
          <w:kern w:val="0"/>
          <w:sz w:val="32"/>
          <w:szCs w:val="32"/>
          <w:highlight w:val="none"/>
        </w:rPr>
      </w:pPr>
    </w:p>
    <w:p w14:paraId="25A3C784">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footerReference r:id="rId15" w:type="first"/>
          <w:headerReference r:id="rId13" w:type="default"/>
          <w:footerReference r:id="rId14" w:type="default"/>
          <w:pgSz w:w="11906" w:h="16838"/>
          <w:pgMar w:top="1440" w:right="1080" w:bottom="1440" w:left="1080" w:header="851" w:footer="992" w:gutter="0"/>
          <w:cols w:space="720" w:num="1"/>
          <w:titlePg/>
          <w:docGrid w:linePitch="312" w:charSpace="0"/>
        </w:sectPr>
      </w:pPr>
    </w:p>
    <w:p w14:paraId="1729DE55">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一、报价单</w:t>
      </w:r>
    </w:p>
    <w:p w14:paraId="3C433261">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杭州市中策职业学校钱塘学校、浙江中通通信有限公司</w:t>
      </w:r>
      <w:r>
        <w:rPr>
          <w:rFonts w:hint="eastAsia" w:ascii="宋体" w:hAnsi="宋体" w:cs="宋体"/>
          <w:color w:val="auto"/>
          <w:kern w:val="0"/>
          <w:sz w:val="24"/>
          <w:highlight w:val="none"/>
          <w:lang w:val="zh-CN"/>
        </w:rPr>
        <w:t>：</w:t>
      </w:r>
    </w:p>
    <w:p w14:paraId="78F0825C">
      <w:pPr>
        <w:snapToGrid w:val="0"/>
        <w:spacing w:line="360" w:lineRule="auto"/>
        <w:ind w:firstLine="482"/>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按你方采购文件要求，我们，本响应文件签字方，谨此向你方发出要约如下：如你方接受本投标，我方承诺按照如下报价单的价格完成</w:t>
      </w:r>
      <w:r>
        <w:rPr>
          <w:rFonts w:hint="eastAsia" w:ascii="宋体" w:hAnsi="宋体" w:cs="宋体"/>
          <w:color w:val="auto"/>
          <w:sz w:val="24"/>
          <w:highlight w:val="none"/>
        </w:rPr>
        <w:t xml:space="preserve">旗杆东侧室外篮球场建设  </w:t>
      </w:r>
      <w:r>
        <w:rPr>
          <w:rFonts w:hint="eastAsia" w:ascii="宋体" w:hAnsi="宋体" w:cs="宋体"/>
          <w:color w:val="auto"/>
          <w:kern w:val="0"/>
          <w:sz w:val="24"/>
          <w:highlight w:val="none"/>
          <w:lang w:val="zh-CN"/>
        </w:rPr>
        <w:t>【项目编号：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】的实施</w:t>
      </w:r>
      <w:r>
        <w:rPr>
          <w:rFonts w:hint="eastAsia" w:ascii="宋体" w:hAnsi="宋体" w:cs="宋体"/>
          <w:color w:val="auto"/>
          <w:kern w:val="0"/>
          <w:sz w:val="24"/>
          <w:highlight w:val="none"/>
          <w:lang w:val="zh-CN"/>
        </w:rPr>
        <w:t>。</w:t>
      </w:r>
    </w:p>
    <w:p w14:paraId="3DC5FC6E">
      <w:pPr>
        <w:spacing w:line="360" w:lineRule="auto"/>
        <w:jc w:val="center"/>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报价单(单位均为人民币元)</w:t>
      </w:r>
    </w:p>
    <w:tbl>
      <w:tblPr>
        <w:tblStyle w:val="63"/>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843"/>
        <w:gridCol w:w="3118"/>
        <w:gridCol w:w="2552"/>
        <w:gridCol w:w="1984"/>
        <w:gridCol w:w="3119"/>
      </w:tblGrid>
      <w:tr w14:paraId="4389A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1951" w:type="dxa"/>
            <w:vAlign w:val="center"/>
          </w:tcPr>
          <w:p w14:paraId="6F71EF4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项目名称</w:t>
            </w:r>
          </w:p>
        </w:tc>
        <w:tc>
          <w:tcPr>
            <w:tcW w:w="1843" w:type="dxa"/>
          </w:tcPr>
          <w:p w14:paraId="00F5AFDF">
            <w:pPr>
              <w:spacing w:line="360" w:lineRule="auto"/>
              <w:jc w:val="center"/>
              <w:rPr>
                <w:rFonts w:hint="eastAsia" w:ascii="宋体" w:hAnsi="宋体" w:cs="宋体"/>
                <w:b/>
                <w:color w:val="auto"/>
                <w:sz w:val="24"/>
                <w:highlight w:val="none"/>
              </w:rPr>
            </w:pPr>
          </w:p>
          <w:p w14:paraId="6C68A44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施工范围</w:t>
            </w:r>
          </w:p>
        </w:tc>
        <w:tc>
          <w:tcPr>
            <w:tcW w:w="3118" w:type="dxa"/>
            <w:vAlign w:val="center"/>
          </w:tcPr>
          <w:p w14:paraId="0573F0D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施工工期</w:t>
            </w:r>
          </w:p>
        </w:tc>
        <w:tc>
          <w:tcPr>
            <w:tcW w:w="2552" w:type="dxa"/>
            <w:vAlign w:val="center"/>
          </w:tcPr>
          <w:p w14:paraId="4BEB6FCD">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项目经理</w:t>
            </w:r>
          </w:p>
        </w:tc>
        <w:tc>
          <w:tcPr>
            <w:tcW w:w="1984" w:type="dxa"/>
            <w:vAlign w:val="center"/>
          </w:tcPr>
          <w:p w14:paraId="222CE371">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执业证书信息</w:t>
            </w:r>
          </w:p>
        </w:tc>
        <w:tc>
          <w:tcPr>
            <w:tcW w:w="3119" w:type="dxa"/>
            <w:vAlign w:val="center"/>
          </w:tcPr>
          <w:p w14:paraId="2F1E22F8">
            <w:pPr>
              <w:spacing w:line="360" w:lineRule="auto"/>
              <w:jc w:val="center"/>
              <w:rPr>
                <w:rFonts w:hint="eastAsia" w:ascii="宋体" w:hAnsi="宋体" w:cs="宋体"/>
                <w:b/>
                <w:color w:val="auto"/>
                <w:sz w:val="24"/>
                <w:highlight w:val="none"/>
              </w:rPr>
            </w:pPr>
          </w:p>
          <w:p w14:paraId="3230516C">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备注（如果有）</w:t>
            </w:r>
          </w:p>
          <w:p w14:paraId="02B06119">
            <w:pPr>
              <w:spacing w:line="360" w:lineRule="auto"/>
              <w:jc w:val="center"/>
              <w:rPr>
                <w:rFonts w:hint="eastAsia" w:ascii="宋体" w:hAnsi="宋体" w:cs="宋体"/>
                <w:b/>
                <w:color w:val="auto"/>
                <w:sz w:val="24"/>
                <w:highlight w:val="none"/>
              </w:rPr>
            </w:pPr>
          </w:p>
        </w:tc>
      </w:tr>
      <w:tr w14:paraId="0946F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951" w:type="dxa"/>
            <w:vAlign w:val="center"/>
          </w:tcPr>
          <w:p w14:paraId="13B67769">
            <w:pPr>
              <w:snapToGrid w:val="0"/>
              <w:spacing w:line="360" w:lineRule="auto"/>
              <w:jc w:val="center"/>
              <w:rPr>
                <w:rFonts w:hint="eastAsia" w:ascii="宋体" w:hAnsi="宋体" w:cs="宋体"/>
                <w:color w:val="auto"/>
                <w:sz w:val="24"/>
                <w:highlight w:val="none"/>
              </w:rPr>
            </w:pPr>
          </w:p>
        </w:tc>
        <w:tc>
          <w:tcPr>
            <w:tcW w:w="1843" w:type="dxa"/>
            <w:vAlign w:val="center"/>
          </w:tcPr>
          <w:p w14:paraId="5A0FC033">
            <w:pPr>
              <w:snapToGrid w:val="0"/>
              <w:spacing w:line="360" w:lineRule="auto"/>
              <w:jc w:val="center"/>
              <w:rPr>
                <w:rFonts w:hint="eastAsia" w:ascii="宋体" w:hAnsi="宋体" w:cs="宋体"/>
                <w:color w:val="auto"/>
                <w:sz w:val="24"/>
                <w:highlight w:val="none"/>
              </w:rPr>
            </w:pPr>
          </w:p>
        </w:tc>
        <w:tc>
          <w:tcPr>
            <w:tcW w:w="3118" w:type="dxa"/>
            <w:vAlign w:val="center"/>
          </w:tcPr>
          <w:p w14:paraId="294D4230">
            <w:pPr>
              <w:snapToGrid w:val="0"/>
              <w:spacing w:line="360" w:lineRule="auto"/>
              <w:jc w:val="center"/>
              <w:rPr>
                <w:rFonts w:hint="eastAsia" w:ascii="宋体" w:hAnsi="宋体" w:cs="宋体"/>
                <w:color w:val="auto"/>
                <w:sz w:val="24"/>
                <w:highlight w:val="none"/>
              </w:rPr>
            </w:pPr>
          </w:p>
        </w:tc>
        <w:tc>
          <w:tcPr>
            <w:tcW w:w="2552" w:type="dxa"/>
            <w:vAlign w:val="center"/>
          </w:tcPr>
          <w:p w14:paraId="13F1073A">
            <w:pPr>
              <w:spacing w:line="360" w:lineRule="auto"/>
              <w:jc w:val="center"/>
              <w:rPr>
                <w:rFonts w:hint="eastAsia" w:ascii="宋体" w:hAnsi="宋体" w:cs="宋体"/>
                <w:color w:val="auto"/>
                <w:sz w:val="24"/>
                <w:highlight w:val="none"/>
              </w:rPr>
            </w:pPr>
          </w:p>
        </w:tc>
        <w:tc>
          <w:tcPr>
            <w:tcW w:w="1984" w:type="dxa"/>
            <w:vAlign w:val="center"/>
          </w:tcPr>
          <w:p w14:paraId="20AF031B">
            <w:pPr>
              <w:spacing w:line="360" w:lineRule="auto"/>
              <w:jc w:val="center"/>
              <w:rPr>
                <w:rFonts w:hint="eastAsia" w:ascii="宋体" w:hAnsi="宋体" w:cs="宋体"/>
                <w:color w:val="auto"/>
                <w:sz w:val="24"/>
                <w:highlight w:val="none"/>
              </w:rPr>
            </w:pPr>
          </w:p>
        </w:tc>
        <w:tc>
          <w:tcPr>
            <w:tcW w:w="3119" w:type="dxa"/>
            <w:vAlign w:val="center"/>
          </w:tcPr>
          <w:p w14:paraId="7516DDC6">
            <w:pPr>
              <w:spacing w:line="360" w:lineRule="auto"/>
              <w:jc w:val="center"/>
              <w:rPr>
                <w:rFonts w:hint="eastAsia" w:ascii="宋体" w:hAnsi="宋体" w:cs="宋体"/>
                <w:color w:val="auto"/>
                <w:sz w:val="24"/>
                <w:highlight w:val="none"/>
              </w:rPr>
            </w:pPr>
          </w:p>
        </w:tc>
      </w:tr>
      <w:tr w14:paraId="21319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3"/>
            <w:vAlign w:val="center"/>
          </w:tcPr>
          <w:p w14:paraId="01EF0E69">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磋商报价（小写）</w:t>
            </w:r>
          </w:p>
        </w:tc>
        <w:tc>
          <w:tcPr>
            <w:tcW w:w="7655" w:type="dxa"/>
            <w:gridSpan w:val="3"/>
            <w:vAlign w:val="center"/>
          </w:tcPr>
          <w:p w14:paraId="4B08870B">
            <w:pPr>
              <w:spacing w:line="360" w:lineRule="auto"/>
              <w:jc w:val="center"/>
              <w:rPr>
                <w:rFonts w:hint="eastAsia" w:ascii="宋体" w:hAnsi="宋体" w:cs="宋体"/>
                <w:color w:val="auto"/>
                <w:sz w:val="24"/>
                <w:highlight w:val="none"/>
              </w:rPr>
            </w:pPr>
          </w:p>
        </w:tc>
      </w:tr>
      <w:tr w14:paraId="77CD5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3"/>
            <w:vAlign w:val="center"/>
          </w:tcPr>
          <w:p w14:paraId="0606CCA5">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磋商报价（大写）</w:t>
            </w:r>
          </w:p>
        </w:tc>
        <w:tc>
          <w:tcPr>
            <w:tcW w:w="7655" w:type="dxa"/>
            <w:gridSpan w:val="3"/>
            <w:vAlign w:val="center"/>
          </w:tcPr>
          <w:p w14:paraId="4DE57BDB">
            <w:pPr>
              <w:spacing w:line="360" w:lineRule="auto"/>
              <w:jc w:val="center"/>
              <w:rPr>
                <w:rFonts w:hint="eastAsia" w:ascii="宋体" w:hAnsi="宋体" w:cs="宋体"/>
                <w:color w:val="auto"/>
                <w:sz w:val="24"/>
                <w:highlight w:val="none"/>
              </w:rPr>
            </w:pPr>
          </w:p>
        </w:tc>
      </w:tr>
    </w:tbl>
    <w:p w14:paraId="1B8D92AE">
      <w:pPr>
        <w:snapToGrid w:val="0"/>
        <w:spacing w:line="360" w:lineRule="auto"/>
        <w:ind w:left="480"/>
        <w:rPr>
          <w:rFonts w:hint="eastAsia"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140CDFE">
      <w:pPr>
        <w:spacing w:line="360" w:lineRule="auto"/>
        <w:ind w:left="-2" w:leftChars="-1"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响应文件含有采购人不能接受的附加条件，响应文件无效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4E2B464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部分产品、服务单价为零的，视作已包含在总价中。</w:t>
      </w:r>
      <w:r>
        <w:rPr>
          <w:rFonts w:hint="eastAsia" w:ascii="宋体" w:hAnsi="宋体" w:cs="宋体"/>
          <w:b/>
          <w:color w:val="auto"/>
          <w:kern w:val="0"/>
          <w:sz w:val="24"/>
          <w:highlight w:val="none"/>
          <w:lang w:val="zh-CN"/>
        </w:rPr>
        <w:t>采购内容未包含在《报价单》名称栏中，供应商不能作出合理解释的，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响应文件含有采购人不能接受的附加条件的，响应文件无效。</w:t>
      </w:r>
    </w:p>
    <w:p w14:paraId="6D3372FF">
      <w:pP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3、特别提示：采购代理机构将对项目名称和项目编号，成交供应商名称、地址和成交金额、施工范围、施工工期、项目经理、执业证书信息、品牌（如果有）、规格型号、数量、单价等予以公示。</w:t>
      </w:r>
    </w:p>
    <w:p w14:paraId="69CF87BC">
      <w:pPr>
        <w:spacing w:line="360" w:lineRule="auto"/>
        <w:ind w:firstLine="482" w:firstLineChars="200"/>
        <w:rPr>
          <w:rFonts w:hint="eastAsia" w:ascii="宋体" w:hAnsi="宋体" w:cs="宋体"/>
          <w:b/>
          <w:color w:val="auto"/>
          <w:kern w:val="0"/>
          <w:sz w:val="24"/>
          <w:highlight w:val="none"/>
        </w:rPr>
      </w:pPr>
    </w:p>
    <w:p w14:paraId="5997351A">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18DCFF50">
      <w:pPr>
        <w:pStyle w:val="694"/>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40" w:right="1080" w:bottom="1440" w:left="1080" w:header="851" w:footer="992" w:gutter="0"/>
          <w:cols w:space="720" w:num="1"/>
          <w:titlePg/>
          <w:docGrid w:linePitch="312" w:charSpace="0"/>
        </w:sectPr>
      </w:pPr>
    </w:p>
    <w:p w14:paraId="713B63DF">
      <w:pPr>
        <w:pStyle w:val="694"/>
        <w:keepNext w:val="0"/>
        <w:tabs>
          <w:tab w:val="clear" w:pos="720"/>
        </w:tabs>
        <w:snapToGrid w:val="0"/>
        <w:spacing w:before="120" w:after="120"/>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二、已标价工程量清单</w:t>
      </w:r>
    </w:p>
    <w:p w14:paraId="0E734A9D">
      <w:pPr>
        <w:ind w:right="420"/>
        <w:rPr>
          <w:rFonts w:hint="eastAsia" w:ascii="宋体" w:hAnsi="宋体" w:cs="宋体"/>
          <w:color w:val="auto"/>
          <w:sz w:val="24"/>
          <w:highlight w:val="none"/>
        </w:rPr>
      </w:pPr>
      <w:r>
        <w:rPr>
          <w:rFonts w:hint="eastAsia" w:ascii="宋体" w:hAnsi="宋体" w:cs="宋体"/>
          <w:color w:val="auto"/>
          <w:sz w:val="24"/>
          <w:highlight w:val="none"/>
        </w:rPr>
        <w:t xml:space="preserve">注：按采购文件工程量清单编制 </w:t>
      </w:r>
    </w:p>
    <w:p w14:paraId="78023263">
      <w:pPr>
        <w:pStyle w:val="62"/>
        <w:ind w:firstLine="480"/>
        <w:rPr>
          <w:rFonts w:hint="eastAsia" w:cs="宋体"/>
          <w:color w:val="auto"/>
          <w:sz w:val="24"/>
          <w:highlight w:val="none"/>
        </w:rPr>
      </w:pPr>
    </w:p>
    <w:p w14:paraId="0753F981">
      <w:pPr>
        <w:pStyle w:val="62"/>
        <w:ind w:firstLine="480"/>
        <w:rPr>
          <w:rFonts w:hint="eastAsia" w:cs="宋体"/>
          <w:color w:val="auto"/>
          <w:sz w:val="24"/>
          <w:highlight w:val="none"/>
        </w:rPr>
        <w:sectPr>
          <w:footerReference r:id="rId19" w:type="first"/>
          <w:headerReference r:id="rId16" w:type="default"/>
          <w:footerReference r:id="rId17" w:type="default"/>
          <w:footerReference r:id="rId18" w:type="even"/>
          <w:pgSz w:w="11906" w:h="16838"/>
          <w:pgMar w:top="1440" w:right="1080" w:bottom="1440" w:left="1080" w:header="851" w:footer="992" w:gutter="0"/>
          <w:cols w:space="720" w:num="1"/>
          <w:titlePg/>
          <w:docGrid w:linePitch="312" w:charSpace="0"/>
        </w:sectPr>
      </w:pPr>
    </w:p>
    <w:p w14:paraId="3B976EF4">
      <w:pPr>
        <w:pStyle w:val="694"/>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kern w:val="2"/>
          <w:sz w:val="32"/>
          <w:szCs w:val="32"/>
          <w:highlight w:val="none"/>
        </w:rPr>
        <w:t>三、</w:t>
      </w:r>
      <w:r>
        <w:rPr>
          <w:rFonts w:hint="eastAsia" w:ascii="宋体" w:hAnsi="宋体" w:eastAsia="宋体" w:cs="宋体"/>
          <w:color w:val="auto"/>
          <w:sz w:val="32"/>
          <w:szCs w:val="32"/>
          <w:highlight w:val="none"/>
        </w:rPr>
        <w:t>中小企业声明函</w:t>
      </w:r>
      <w:bookmarkStart w:id="1026" w:name="_Hlk101259491"/>
      <w:r>
        <w:rPr>
          <w:rFonts w:hint="eastAsia" w:ascii="宋体" w:hAnsi="宋体" w:eastAsia="宋体" w:cs="宋体"/>
          <w:color w:val="auto"/>
          <w:sz w:val="32"/>
          <w:szCs w:val="32"/>
          <w:highlight w:val="none"/>
        </w:rPr>
        <w:t>（如果有）</w:t>
      </w:r>
      <w:bookmarkEnd w:id="1026"/>
    </w:p>
    <w:p w14:paraId="3B885D1C">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竞争性磋商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7968C62C">
      <w:pPr>
        <w:pStyle w:val="2"/>
        <w:keepNext w:val="0"/>
        <w:keepLines w:val="0"/>
        <w:pageBreakBefore/>
        <w:widowControl/>
        <w:spacing w:before="100" w:beforeAutospacing="1" w:after="100" w:afterAutospacing="1" w:line="360" w:lineRule="auto"/>
        <w:ind w:left="1290" w:firstLine="3092" w:firstLineChars="700"/>
        <w:rPr>
          <w:rFonts w:hint="eastAsia" w:ascii="宋体" w:hAnsi="宋体" w:cs="宋体"/>
          <w:color w:val="auto"/>
          <w:highlight w:val="none"/>
        </w:rPr>
      </w:pPr>
      <w:bookmarkStart w:id="1027" w:name="_Toc465665161"/>
      <w:r>
        <w:rPr>
          <w:rFonts w:hint="eastAsia" w:ascii="宋体" w:hAnsi="宋体" w:cs="宋体"/>
          <w:color w:val="auto"/>
          <w:highlight w:val="none"/>
        </w:rPr>
        <w:t>附件</w:t>
      </w:r>
      <w:bookmarkEnd w:id="1027"/>
    </w:p>
    <w:p w14:paraId="43877F5E">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402E1CE1">
      <w:pPr>
        <w:spacing w:line="360" w:lineRule="auto"/>
        <w:jc w:val="center"/>
        <w:rPr>
          <w:rFonts w:hint="eastAsia" w:ascii="宋体" w:hAnsi="宋体" w:cs="宋体"/>
          <w:b/>
          <w:color w:val="auto"/>
          <w:spacing w:val="6"/>
          <w:sz w:val="32"/>
          <w:szCs w:val="32"/>
          <w:highlight w:val="none"/>
        </w:rPr>
      </w:pPr>
      <w:bookmarkStart w:id="1028" w:name="OLE_LINK13"/>
      <w:bookmarkStart w:id="1029" w:name="OLE_LINK14"/>
      <w:r>
        <w:rPr>
          <w:rFonts w:hint="eastAsia" w:ascii="宋体" w:hAnsi="宋体" w:cs="宋体"/>
          <w:b/>
          <w:color w:val="auto"/>
          <w:spacing w:val="6"/>
          <w:sz w:val="32"/>
          <w:szCs w:val="32"/>
          <w:highlight w:val="none"/>
        </w:rPr>
        <w:t>残疾人福利性单位声明函</w:t>
      </w:r>
    </w:p>
    <w:bookmarkEnd w:id="1028"/>
    <w:bookmarkEnd w:id="1029"/>
    <w:p w14:paraId="4416B483">
      <w:pPr>
        <w:spacing w:line="360" w:lineRule="auto"/>
        <w:rPr>
          <w:rFonts w:hint="eastAsia" w:ascii="宋体" w:hAnsi="宋体" w:cs="宋体"/>
          <w:b/>
          <w:color w:val="auto"/>
          <w:spacing w:val="6"/>
          <w:sz w:val="30"/>
          <w:szCs w:val="30"/>
          <w:highlight w:val="none"/>
        </w:rPr>
      </w:pPr>
    </w:p>
    <w:p w14:paraId="3617D81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C99D4E">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0A4A6F6">
      <w:pPr>
        <w:spacing w:line="360" w:lineRule="auto"/>
        <w:ind w:firstLine="480" w:firstLineChars="200"/>
        <w:rPr>
          <w:rFonts w:hint="eastAsia" w:ascii="宋体" w:hAnsi="宋体" w:cs="宋体"/>
          <w:color w:val="auto"/>
          <w:sz w:val="24"/>
          <w:highlight w:val="none"/>
        </w:rPr>
      </w:pPr>
    </w:p>
    <w:p w14:paraId="17A5D4E1">
      <w:pPr>
        <w:spacing w:line="360" w:lineRule="auto"/>
        <w:ind w:firstLine="480" w:firstLineChars="200"/>
        <w:rPr>
          <w:rFonts w:hint="eastAsia" w:ascii="宋体" w:hAnsi="宋体" w:cs="宋体"/>
          <w:color w:val="auto"/>
          <w:sz w:val="24"/>
          <w:highlight w:val="none"/>
        </w:rPr>
      </w:pPr>
    </w:p>
    <w:p w14:paraId="4FE48757">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供应商名称（电子签名）</w:t>
      </w:r>
      <w:r>
        <w:rPr>
          <w:rFonts w:hint="eastAsia" w:ascii="宋体" w:hAnsi="宋体" w:cs="宋体"/>
          <w:color w:val="auto"/>
          <w:sz w:val="24"/>
          <w:highlight w:val="none"/>
        </w:rPr>
        <w:t>：</w:t>
      </w:r>
    </w:p>
    <w:p w14:paraId="0D28F903">
      <w:pPr>
        <w:tabs>
          <w:tab w:val="left" w:pos="4860"/>
        </w:tabs>
        <w:spacing w:line="360" w:lineRule="auto"/>
        <w:ind w:right="1560" w:firstLine="480" w:firstLineChars="200"/>
        <w:jc w:val="center"/>
        <w:rPr>
          <w:rFonts w:hint="eastAsia" w:ascii="宋体" w:hAnsi="宋体" w:cs="宋体"/>
          <w:color w:val="auto"/>
          <w:sz w:val="24"/>
          <w:highlight w:val="none"/>
        </w:rPr>
      </w:pPr>
      <w:r>
        <w:rPr>
          <w:rFonts w:hint="eastAsia" w:ascii="宋体" w:hAnsi="宋体" w:cs="宋体"/>
          <w:color w:val="auto"/>
          <w:sz w:val="24"/>
          <w:highlight w:val="none"/>
        </w:rPr>
        <w:t xml:space="preserve">       日  期：</w:t>
      </w:r>
    </w:p>
    <w:p w14:paraId="77E5AAD9">
      <w:pPr>
        <w:spacing w:line="360" w:lineRule="auto"/>
        <w:ind w:firstLine="480" w:firstLineChars="200"/>
        <w:rPr>
          <w:rFonts w:hint="eastAsia" w:ascii="宋体" w:hAnsi="宋体" w:cs="宋体"/>
          <w:color w:val="auto"/>
          <w:sz w:val="24"/>
          <w:highlight w:val="none"/>
        </w:rPr>
      </w:pPr>
    </w:p>
    <w:p w14:paraId="40D840F7">
      <w:pPr>
        <w:spacing w:line="360" w:lineRule="auto"/>
        <w:ind w:firstLine="420" w:firstLineChars="200"/>
        <w:rPr>
          <w:rFonts w:hint="eastAsia" w:ascii="宋体" w:hAnsi="宋体" w:cs="宋体"/>
          <w:color w:val="auto"/>
          <w:highlight w:val="none"/>
        </w:rPr>
      </w:pPr>
    </w:p>
    <w:p w14:paraId="43412091">
      <w:pPr>
        <w:spacing w:line="360" w:lineRule="auto"/>
        <w:ind w:firstLine="420" w:firstLineChars="200"/>
        <w:rPr>
          <w:rFonts w:hint="eastAsia" w:ascii="宋体" w:hAnsi="宋体" w:cs="宋体"/>
          <w:color w:val="auto"/>
          <w:highlight w:val="none"/>
        </w:rPr>
      </w:pPr>
    </w:p>
    <w:p w14:paraId="348B368A">
      <w:pPr>
        <w:spacing w:line="360" w:lineRule="auto"/>
        <w:ind w:firstLine="420" w:firstLineChars="200"/>
        <w:rPr>
          <w:rFonts w:hint="eastAsia" w:ascii="宋体" w:hAnsi="宋体" w:cs="宋体"/>
          <w:color w:val="auto"/>
          <w:highlight w:val="none"/>
        </w:rPr>
      </w:pPr>
    </w:p>
    <w:p w14:paraId="5BB81A22">
      <w:pPr>
        <w:spacing w:line="360" w:lineRule="auto"/>
        <w:ind w:firstLine="420" w:firstLineChars="200"/>
        <w:rPr>
          <w:rFonts w:hint="eastAsia" w:ascii="宋体" w:hAnsi="宋体" w:cs="宋体"/>
          <w:color w:val="auto"/>
          <w:highlight w:val="none"/>
        </w:rPr>
      </w:pPr>
    </w:p>
    <w:p w14:paraId="40CF6790">
      <w:pPr>
        <w:spacing w:line="360" w:lineRule="auto"/>
        <w:rPr>
          <w:rFonts w:hint="eastAsia" w:ascii="宋体" w:hAnsi="宋体" w:cs="宋体"/>
          <w:b/>
          <w:color w:val="auto"/>
          <w:sz w:val="24"/>
          <w:highlight w:val="none"/>
        </w:rPr>
      </w:pPr>
    </w:p>
    <w:p w14:paraId="6FC4D7A6">
      <w:pPr>
        <w:spacing w:line="360" w:lineRule="auto"/>
        <w:rPr>
          <w:rFonts w:hint="eastAsia" w:ascii="宋体" w:hAnsi="宋体" w:cs="宋体"/>
          <w:b/>
          <w:color w:val="auto"/>
          <w:sz w:val="24"/>
          <w:highlight w:val="none"/>
        </w:rPr>
      </w:pPr>
    </w:p>
    <w:p w14:paraId="6D92016D">
      <w:pPr>
        <w:spacing w:line="360" w:lineRule="auto"/>
        <w:rPr>
          <w:rFonts w:hint="eastAsia" w:ascii="宋体" w:hAnsi="宋体" w:cs="宋体"/>
          <w:b/>
          <w:color w:val="auto"/>
          <w:sz w:val="24"/>
          <w:highlight w:val="none"/>
        </w:rPr>
      </w:pPr>
    </w:p>
    <w:p w14:paraId="154D91D6">
      <w:pPr>
        <w:spacing w:line="360" w:lineRule="auto"/>
        <w:rPr>
          <w:rFonts w:hint="eastAsia" w:ascii="宋体" w:hAnsi="宋体" w:cs="宋体"/>
          <w:b/>
          <w:color w:val="auto"/>
          <w:sz w:val="24"/>
          <w:highlight w:val="none"/>
        </w:rPr>
      </w:pPr>
    </w:p>
    <w:p w14:paraId="5BE06D1F">
      <w:pPr>
        <w:spacing w:line="360" w:lineRule="auto"/>
        <w:rPr>
          <w:rFonts w:hint="eastAsia" w:ascii="宋体" w:hAnsi="宋体" w:cs="宋体"/>
          <w:b/>
          <w:color w:val="auto"/>
          <w:sz w:val="24"/>
          <w:highlight w:val="none"/>
        </w:rPr>
      </w:pPr>
    </w:p>
    <w:p w14:paraId="4BC728CF">
      <w:pPr>
        <w:spacing w:line="360" w:lineRule="auto"/>
        <w:rPr>
          <w:rFonts w:hint="eastAsia" w:ascii="宋体" w:hAnsi="宋体" w:cs="宋体"/>
          <w:b/>
          <w:color w:val="auto"/>
          <w:sz w:val="24"/>
          <w:highlight w:val="none"/>
        </w:rPr>
      </w:pPr>
    </w:p>
    <w:p w14:paraId="32757247">
      <w:pPr>
        <w:spacing w:line="360" w:lineRule="auto"/>
        <w:rPr>
          <w:rFonts w:hint="eastAsia" w:ascii="宋体" w:hAnsi="宋体" w:cs="宋体"/>
          <w:b/>
          <w:color w:val="auto"/>
          <w:sz w:val="24"/>
          <w:highlight w:val="none"/>
        </w:rPr>
      </w:pPr>
    </w:p>
    <w:p w14:paraId="5EADE8E7">
      <w:pPr>
        <w:spacing w:line="360" w:lineRule="auto"/>
        <w:rPr>
          <w:rFonts w:hint="eastAsia" w:ascii="宋体" w:hAnsi="宋体" w:cs="宋体"/>
          <w:b/>
          <w:color w:val="auto"/>
          <w:sz w:val="24"/>
          <w:highlight w:val="none"/>
        </w:rPr>
      </w:pPr>
    </w:p>
    <w:p w14:paraId="50CCE153">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5EED0D35">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4720A536">
      <w:pPr>
        <w:snapToGrid w:val="0"/>
        <w:spacing w:before="240" w:beforeLines="100" w:line="360" w:lineRule="auto"/>
        <w:rPr>
          <w:rFonts w:hint="eastAsia" w:ascii="宋体" w:hAnsi="宋体" w:cs="宋体"/>
          <w:bCs/>
          <w:color w:val="auto"/>
          <w:sz w:val="24"/>
          <w:highlight w:val="none"/>
        </w:rPr>
      </w:pPr>
      <w:r>
        <w:rPr>
          <w:rFonts w:hint="eastAsia" w:ascii="宋体" w:hAnsi="宋体" w:cs="宋体"/>
          <w:bCs/>
          <w:color w:val="auto"/>
          <w:sz w:val="24"/>
          <w:highlight w:val="none"/>
        </w:rPr>
        <w:t>一、质疑供应商基本信息</w:t>
      </w:r>
    </w:p>
    <w:p w14:paraId="4A6EE53A">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B5CCF65">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8D09B1">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7B9A764">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85763DE">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B9F32DC">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356EFB76">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二、质疑项目基本情况</w:t>
      </w:r>
    </w:p>
    <w:p w14:paraId="7DB1BA07">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263A886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2E903DA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6E9AD04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44359ACC">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三、质疑事项具体内容</w:t>
      </w:r>
    </w:p>
    <w:p w14:paraId="57805DF3">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2A104F2">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647B7AB">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dotted"/>
        </w:rPr>
        <w:t xml:space="preserve">                                                       </w:t>
      </w:r>
    </w:p>
    <w:p w14:paraId="285DE96C">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35D0A6F5">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0A1CCDD">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质疑事项2</w:t>
      </w:r>
    </w:p>
    <w:p w14:paraId="7A3CF52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p w14:paraId="0F96B6B6">
      <w:pPr>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23EC253B">
      <w:pPr>
        <w:snapToGrid w:val="0"/>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355D1C5B">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50159351">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66C17678">
      <w:pPr>
        <w:spacing w:line="360" w:lineRule="auto"/>
        <w:jc w:val="center"/>
        <w:rPr>
          <w:rFonts w:hint="eastAsia" w:ascii="宋体" w:hAnsi="宋体" w:cs="宋体"/>
          <w:b/>
          <w:bCs/>
          <w:color w:val="auto"/>
          <w:sz w:val="24"/>
          <w:highlight w:val="none"/>
        </w:rPr>
      </w:pPr>
    </w:p>
    <w:p w14:paraId="26EAD6F3">
      <w:pPr>
        <w:spacing w:line="360" w:lineRule="auto"/>
        <w:rPr>
          <w:rFonts w:hint="eastAsia" w:ascii="宋体" w:hAnsi="宋体" w:cs="宋体"/>
          <w:b/>
          <w:color w:val="auto"/>
          <w:sz w:val="24"/>
          <w:highlight w:val="none"/>
        </w:rPr>
      </w:pPr>
    </w:p>
    <w:p w14:paraId="1A44FDB3">
      <w:pPr>
        <w:spacing w:line="360" w:lineRule="auto"/>
        <w:rPr>
          <w:rFonts w:hint="eastAsia" w:ascii="宋体" w:hAnsi="宋体" w:cs="宋体"/>
          <w:b/>
          <w:color w:val="auto"/>
          <w:sz w:val="24"/>
          <w:highlight w:val="none"/>
        </w:rPr>
      </w:pPr>
    </w:p>
    <w:p w14:paraId="63C57233">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质疑函制作说明：</w:t>
      </w:r>
    </w:p>
    <w:p w14:paraId="28BAF4E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27513A3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233786B">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3B9F874C">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2165422">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DA6A146">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85DD42">
      <w:pPr>
        <w:widowControl/>
        <w:spacing w:line="360" w:lineRule="auto"/>
        <w:ind w:firstLine="600" w:firstLineChars="200"/>
        <w:jc w:val="left"/>
        <w:rPr>
          <w:rFonts w:hint="eastAsia" w:ascii="宋体" w:hAnsi="宋体" w:cs="宋体"/>
          <w:color w:val="auto"/>
          <w:sz w:val="30"/>
          <w:szCs w:val="30"/>
          <w:highlight w:val="none"/>
        </w:rPr>
      </w:pPr>
    </w:p>
    <w:p w14:paraId="16861D39">
      <w:pPr>
        <w:spacing w:line="360" w:lineRule="auto"/>
        <w:jc w:val="center"/>
        <w:rPr>
          <w:rFonts w:hint="eastAsia" w:ascii="宋体" w:hAnsi="宋体" w:cs="宋体"/>
          <w:b/>
          <w:color w:val="auto"/>
          <w:spacing w:val="6"/>
          <w:sz w:val="32"/>
          <w:szCs w:val="32"/>
          <w:highlight w:val="none"/>
        </w:rPr>
      </w:pPr>
    </w:p>
    <w:p w14:paraId="321BCAEE">
      <w:pPr>
        <w:spacing w:line="360" w:lineRule="auto"/>
        <w:jc w:val="center"/>
        <w:rPr>
          <w:rFonts w:hint="eastAsia" w:ascii="宋体" w:hAnsi="宋体" w:cs="宋体"/>
          <w:b/>
          <w:color w:val="auto"/>
          <w:spacing w:val="6"/>
          <w:sz w:val="32"/>
          <w:szCs w:val="32"/>
          <w:highlight w:val="none"/>
        </w:rPr>
      </w:pPr>
    </w:p>
    <w:p w14:paraId="6F44E147">
      <w:pPr>
        <w:spacing w:line="360" w:lineRule="auto"/>
        <w:jc w:val="center"/>
        <w:rPr>
          <w:rFonts w:hint="eastAsia" w:ascii="宋体" w:hAnsi="宋体" w:cs="宋体"/>
          <w:b/>
          <w:color w:val="auto"/>
          <w:spacing w:val="6"/>
          <w:sz w:val="32"/>
          <w:szCs w:val="32"/>
          <w:highlight w:val="none"/>
        </w:rPr>
      </w:pPr>
    </w:p>
    <w:p w14:paraId="4083524F">
      <w:pPr>
        <w:spacing w:line="360" w:lineRule="auto"/>
        <w:jc w:val="center"/>
        <w:rPr>
          <w:rFonts w:hint="eastAsia" w:ascii="宋体" w:hAnsi="宋体" w:cs="宋体"/>
          <w:b/>
          <w:color w:val="auto"/>
          <w:spacing w:val="6"/>
          <w:sz w:val="32"/>
          <w:szCs w:val="32"/>
          <w:highlight w:val="none"/>
        </w:rPr>
      </w:pPr>
    </w:p>
    <w:p w14:paraId="08F981BC">
      <w:pPr>
        <w:spacing w:line="360" w:lineRule="auto"/>
        <w:jc w:val="center"/>
        <w:rPr>
          <w:rFonts w:hint="eastAsia" w:ascii="宋体" w:hAnsi="宋体" w:cs="宋体"/>
          <w:b/>
          <w:color w:val="auto"/>
          <w:spacing w:val="6"/>
          <w:sz w:val="32"/>
          <w:szCs w:val="32"/>
          <w:highlight w:val="none"/>
        </w:rPr>
      </w:pPr>
    </w:p>
    <w:p w14:paraId="66F2C563">
      <w:pPr>
        <w:spacing w:line="360" w:lineRule="auto"/>
        <w:jc w:val="center"/>
        <w:rPr>
          <w:rFonts w:hint="eastAsia" w:ascii="宋体" w:hAnsi="宋体" w:cs="宋体"/>
          <w:b/>
          <w:color w:val="auto"/>
          <w:spacing w:val="6"/>
          <w:sz w:val="32"/>
          <w:szCs w:val="32"/>
          <w:highlight w:val="none"/>
        </w:rPr>
      </w:pPr>
    </w:p>
    <w:p w14:paraId="0A8B5ABC">
      <w:pPr>
        <w:spacing w:line="360" w:lineRule="auto"/>
        <w:jc w:val="center"/>
        <w:rPr>
          <w:rFonts w:hint="eastAsia" w:ascii="宋体" w:hAnsi="宋体" w:cs="宋体"/>
          <w:b/>
          <w:color w:val="auto"/>
          <w:spacing w:val="6"/>
          <w:sz w:val="32"/>
          <w:szCs w:val="32"/>
          <w:highlight w:val="none"/>
        </w:rPr>
      </w:pPr>
    </w:p>
    <w:p w14:paraId="1F2483C3">
      <w:pPr>
        <w:spacing w:line="360" w:lineRule="auto"/>
        <w:jc w:val="center"/>
        <w:rPr>
          <w:rFonts w:hint="eastAsia" w:ascii="宋体" w:hAnsi="宋体" w:cs="宋体"/>
          <w:b/>
          <w:color w:val="auto"/>
          <w:spacing w:val="6"/>
          <w:sz w:val="32"/>
          <w:szCs w:val="32"/>
          <w:highlight w:val="none"/>
        </w:rPr>
      </w:pPr>
    </w:p>
    <w:p w14:paraId="56DFA2C9">
      <w:pPr>
        <w:spacing w:line="360" w:lineRule="auto"/>
        <w:jc w:val="center"/>
        <w:rPr>
          <w:rFonts w:hint="eastAsia" w:ascii="宋体" w:hAnsi="宋体" w:cs="宋体"/>
          <w:b/>
          <w:color w:val="auto"/>
          <w:spacing w:val="6"/>
          <w:sz w:val="32"/>
          <w:szCs w:val="32"/>
          <w:highlight w:val="none"/>
        </w:rPr>
      </w:pPr>
    </w:p>
    <w:p w14:paraId="5C74D5C8">
      <w:pPr>
        <w:spacing w:line="360" w:lineRule="auto"/>
        <w:jc w:val="center"/>
        <w:rPr>
          <w:rFonts w:hint="eastAsia" w:ascii="宋体" w:hAnsi="宋体" w:cs="宋体"/>
          <w:b/>
          <w:color w:val="auto"/>
          <w:spacing w:val="6"/>
          <w:sz w:val="32"/>
          <w:szCs w:val="32"/>
          <w:highlight w:val="none"/>
        </w:rPr>
      </w:pPr>
    </w:p>
    <w:p w14:paraId="093A2E8E">
      <w:pPr>
        <w:spacing w:line="360" w:lineRule="auto"/>
        <w:jc w:val="center"/>
        <w:rPr>
          <w:rFonts w:hint="eastAsia" w:ascii="宋体" w:hAnsi="宋体" w:cs="宋体"/>
          <w:b/>
          <w:color w:val="auto"/>
          <w:spacing w:val="6"/>
          <w:sz w:val="32"/>
          <w:szCs w:val="32"/>
          <w:highlight w:val="none"/>
        </w:rPr>
      </w:pPr>
    </w:p>
    <w:p w14:paraId="1818A959">
      <w:pPr>
        <w:spacing w:line="360" w:lineRule="auto"/>
        <w:jc w:val="center"/>
        <w:rPr>
          <w:rFonts w:hint="eastAsia" w:ascii="宋体" w:hAnsi="宋体" w:cs="宋体"/>
          <w:b/>
          <w:color w:val="auto"/>
          <w:spacing w:val="6"/>
          <w:sz w:val="32"/>
          <w:szCs w:val="32"/>
          <w:highlight w:val="none"/>
        </w:rPr>
      </w:pPr>
    </w:p>
    <w:p w14:paraId="052571CF">
      <w:pPr>
        <w:spacing w:line="360" w:lineRule="auto"/>
        <w:jc w:val="left"/>
        <w:rPr>
          <w:rFonts w:hint="eastAsia" w:ascii="宋体" w:hAnsi="宋体" w:cs="宋体"/>
          <w:b/>
          <w:color w:val="auto"/>
          <w:spacing w:val="6"/>
          <w:sz w:val="32"/>
          <w:szCs w:val="32"/>
          <w:highlight w:val="none"/>
        </w:rPr>
      </w:pPr>
    </w:p>
    <w:p w14:paraId="088BC7B4">
      <w:pPr>
        <w:spacing w:line="360" w:lineRule="auto"/>
        <w:jc w:val="left"/>
        <w:rPr>
          <w:rFonts w:hint="eastAsia" w:ascii="宋体" w:hAnsi="宋体" w:cs="宋体"/>
          <w:b/>
          <w:color w:val="auto"/>
          <w:spacing w:val="6"/>
          <w:sz w:val="32"/>
          <w:szCs w:val="32"/>
          <w:highlight w:val="none"/>
        </w:rPr>
      </w:pPr>
    </w:p>
    <w:p w14:paraId="7578EC06">
      <w:pPr>
        <w:spacing w:line="360" w:lineRule="auto"/>
        <w:jc w:val="left"/>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3B03A5C1">
      <w:pPr>
        <w:spacing w:line="360" w:lineRule="auto"/>
        <w:jc w:val="center"/>
        <w:rPr>
          <w:rFonts w:hint="eastAsia" w:ascii="宋体" w:hAnsi="宋体" w:cs="宋体"/>
          <w:b/>
          <w:color w:val="auto"/>
          <w:sz w:val="24"/>
          <w:highlight w:val="none"/>
        </w:rPr>
      </w:pPr>
    </w:p>
    <w:p w14:paraId="15FAB575">
      <w:pPr>
        <w:spacing w:line="360" w:lineRule="auto"/>
        <w:jc w:val="cente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4E1002E6">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一、投诉相关主体基本情况</w:t>
      </w:r>
    </w:p>
    <w:p w14:paraId="574C10A3">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1C272A5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8F0486">
      <w:pPr>
        <w:tabs>
          <w:tab w:val="left" w:pos="651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7AAD4AC3">
      <w:pPr>
        <w:tabs>
          <w:tab w:val="left" w:pos="6510"/>
        </w:tabs>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51A22FC">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36BCF90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0AAA9FC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EC0FA3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5C4B4CF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FD59DA4">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被投诉人2</w:t>
      </w:r>
    </w:p>
    <w:p w14:paraId="510D6F9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0B7F245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7A0E1D6">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04A13D">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6AA7A79">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二、投诉项目基本情况</w:t>
      </w:r>
    </w:p>
    <w:p w14:paraId="35296194">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0F913AA4">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5183712E">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A99D61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3AB7FFA9">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3FD7CA2A">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547389F1">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三、质疑基本情况</w:t>
      </w:r>
    </w:p>
    <w:p w14:paraId="6F7FD6D6">
      <w:pPr>
        <w:spacing w:line="360" w:lineRule="auto"/>
        <w:ind w:firstLine="480" w:firstLineChars="200"/>
        <w:rPr>
          <w:rFonts w:hint="eastAsia"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1661CC5A">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0E94EDE">
      <w:pPr>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51838100">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四、投诉事项具体内容</w:t>
      </w:r>
    </w:p>
    <w:p w14:paraId="3CF8BB7C">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2D3D5FC3">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268F7BE8">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6991325E">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2463E1B">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BC9523F">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投诉事项2</w:t>
      </w:r>
    </w:p>
    <w:p w14:paraId="55651CD2">
      <w:pPr>
        <w:spacing w:line="360" w:lineRule="auto"/>
        <w:rPr>
          <w:rFonts w:hint="eastAsia" w:ascii="宋体" w:hAnsi="宋体" w:cs="宋体"/>
          <w:color w:val="auto"/>
          <w:sz w:val="24"/>
          <w:highlight w:val="none"/>
          <w:u w:val="dotted"/>
        </w:rPr>
      </w:pPr>
      <w:r>
        <w:rPr>
          <w:rFonts w:hint="eastAsia" w:ascii="宋体" w:hAnsi="宋体" w:cs="宋体"/>
          <w:color w:val="auto"/>
          <w:sz w:val="24"/>
          <w:highlight w:val="none"/>
        </w:rPr>
        <w:t>……</w:t>
      </w:r>
    </w:p>
    <w:p w14:paraId="230F7E48">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五、与投诉事项相关的投诉请求</w:t>
      </w:r>
    </w:p>
    <w:p w14:paraId="246C4967">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948C590">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 xml:space="preserve">                                                                                                    </w:t>
      </w:r>
    </w:p>
    <w:p w14:paraId="27D01AA7">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签字(签章)：                   公章：                      </w:t>
      </w:r>
    </w:p>
    <w:p w14:paraId="759B3D60">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日期：    </w:t>
      </w:r>
    </w:p>
    <w:p w14:paraId="5F8E7B5E">
      <w:pPr>
        <w:spacing w:line="360" w:lineRule="auto"/>
        <w:rPr>
          <w:rFonts w:hint="eastAsia" w:ascii="宋体" w:hAnsi="宋体" w:cs="宋体"/>
          <w:b/>
          <w:color w:val="auto"/>
          <w:sz w:val="24"/>
          <w:highlight w:val="none"/>
        </w:rPr>
      </w:pPr>
    </w:p>
    <w:p w14:paraId="781FA9C6">
      <w:pPr>
        <w:spacing w:line="360" w:lineRule="auto"/>
        <w:rPr>
          <w:rFonts w:hint="eastAsia" w:ascii="宋体" w:hAnsi="宋体" w:cs="宋体"/>
          <w:b/>
          <w:color w:val="auto"/>
          <w:sz w:val="24"/>
          <w:highlight w:val="none"/>
        </w:rPr>
      </w:pPr>
    </w:p>
    <w:p w14:paraId="71C10EF5">
      <w:pPr>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投诉书制作说明：</w:t>
      </w:r>
    </w:p>
    <w:p w14:paraId="1667BAED">
      <w:pPr>
        <w:widowControl/>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247ADB8F">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1845BF0A">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46BE9E0D">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19C23423">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4A56ED45">
      <w:pPr>
        <w:widowControl/>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03D93FA5">
      <w:pPr>
        <w:widowControl/>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06B4CAC">
      <w:pPr>
        <w:spacing w:line="360" w:lineRule="auto"/>
        <w:rPr>
          <w:rFonts w:hint="eastAsia" w:ascii="宋体" w:hAnsi="宋体" w:cs="宋体"/>
          <w:b/>
          <w:color w:val="auto"/>
          <w:sz w:val="24"/>
          <w:highlight w:val="none"/>
        </w:rPr>
      </w:pPr>
    </w:p>
    <w:p w14:paraId="6F693102">
      <w:pPr>
        <w:autoSpaceDE w:val="0"/>
        <w:autoSpaceDN w:val="0"/>
        <w:jc w:val="center"/>
        <w:rPr>
          <w:rFonts w:hint="eastAsia" w:ascii="宋体" w:hAnsi="宋体" w:cs="宋体"/>
          <w:b/>
          <w:color w:val="auto"/>
          <w:spacing w:val="6"/>
          <w:sz w:val="32"/>
          <w:szCs w:val="32"/>
          <w:highlight w:val="none"/>
        </w:rPr>
      </w:pPr>
    </w:p>
    <w:p w14:paraId="318A015B">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1662BBA1">
      <w:pPr>
        <w:spacing w:line="360" w:lineRule="auto"/>
        <w:rPr>
          <w:rFonts w:hint="eastAsia" w:ascii="宋体" w:hAnsi="宋体" w:cs="宋体"/>
          <w:color w:val="auto"/>
          <w:sz w:val="24"/>
          <w:highlight w:val="none"/>
          <w:u w:val="single"/>
        </w:rPr>
      </w:pPr>
    </w:p>
    <w:p w14:paraId="64C4D279">
      <w:pPr>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杭州市中策职业学校钱塘学校   、浙江中通通信有限公司</w:t>
      </w:r>
    </w:p>
    <w:p w14:paraId="6DCB54A1">
      <w:p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(供应商全称)是中华人民共和国依法登记注册的合法企业，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你方组织的旗杆东侧室外篮球场建设  项目【项目编号：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2C7A9B2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特此说明。</w:t>
      </w:r>
    </w:p>
    <w:p w14:paraId="769FDC65">
      <w:pPr>
        <w:spacing w:line="360" w:lineRule="auto"/>
        <w:ind w:firstLine="494"/>
        <w:rPr>
          <w:rFonts w:hint="eastAsia" w:ascii="宋体" w:hAnsi="宋体" w:cs="宋体"/>
          <w:color w:val="auto"/>
          <w:sz w:val="24"/>
          <w:highlight w:val="none"/>
        </w:rPr>
      </w:pPr>
    </w:p>
    <w:p w14:paraId="6DD700BB">
      <w:pPr>
        <w:spacing w:line="360" w:lineRule="auto"/>
        <w:ind w:firstLine="494"/>
        <w:rPr>
          <w:rFonts w:hint="eastAsia" w:ascii="宋体" w:hAnsi="宋体" w:cs="宋体"/>
          <w:color w:val="auto"/>
          <w:sz w:val="24"/>
          <w:highlight w:val="none"/>
        </w:rPr>
      </w:pPr>
    </w:p>
    <w:p w14:paraId="6C43F174">
      <w:pPr>
        <w:spacing w:line="360" w:lineRule="auto"/>
        <w:ind w:firstLine="494"/>
        <w:rPr>
          <w:rFonts w:hint="eastAsia" w:ascii="宋体" w:hAnsi="宋体" w:cs="宋体"/>
          <w:color w:val="auto"/>
          <w:sz w:val="24"/>
          <w:highlight w:val="none"/>
        </w:rPr>
      </w:pPr>
    </w:p>
    <w:p w14:paraId="0592E229">
      <w:pPr>
        <w:spacing w:line="360" w:lineRule="auto"/>
        <w:ind w:firstLine="494"/>
        <w:rPr>
          <w:rFonts w:hint="eastAsia" w:ascii="宋体" w:hAnsi="宋体" w:cs="宋体"/>
          <w:color w:val="auto"/>
          <w:sz w:val="24"/>
          <w:highlight w:val="none"/>
        </w:rPr>
      </w:pPr>
    </w:p>
    <w:p w14:paraId="6EFAEB79">
      <w:pPr>
        <w:spacing w:line="360" w:lineRule="auto"/>
        <w:ind w:right="480" w:firstLine="4080" w:firstLineChars="1700"/>
        <w:rPr>
          <w:rFonts w:hint="eastAsia" w:ascii="宋体" w:hAnsi="宋体" w:cs="宋体"/>
          <w:color w:val="auto"/>
          <w:sz w:val="24"/>
          <w:highlight w:val="none"/>
        </w:rPr>
      </w:pPr>
      <w:r>
        <w:rPr>
          <w:rFonts w:hint="eastAsia" w:ascii="宋体" w:hAnsi="宋体" w:cs="宋体"/>
          <w:color w:val="auto"/>
          <w:sz w:val="24"/>
          <w:highlight w:val="none"/>
        </w:rPr>
        <w:t>供应商（法定名称章）：</w:t>
      </w:r>
    </w:p>
    <w:p w14:paraId="2B288415">
      <w:pPr>
        <w:ind w:right="1440" w:firstLine="494"/>
        <w:jc w:val="center"/>
        <w:rPr>
          <w:rFonts w:hint="eastAsia" w:ascii="宋体" w:hAnsi="宋体" w:cs="宋体"/>
          <w:color w:val="auto"/>
          <w:sz w:val="24"/>
          <w:highlight w:val="none"/>
        </w:rPr>
      </w:pPr>
      <w:r>
        <w:rPr>
          <w:rFonts w:hint="eastAsia" w:ascii="宋体" w:hAnsi="宋体" w:cs="宋体"/>
          <w:color w:val="auto"/>
          <w:sz w:val="24"/>
          <w:highlight w:val="none"/>
        </w:rPr>
        <w:t xml:space="preserve">                              日期：       年     月     日</w:t>
      </w:r>
    </w:p>
    <w:p w14:paraId="4C5FEEAC">
      <w:pPr>
        <w:rPr>
          <w:rFonts w:hint="eastAsia" w:ascii="宋体" w:hAnsi="宋体" w:cs="宋体"/>
          <w:color w:val="auto"/>
          <w:sz w:val="24"/>
          <w:highlight w:val="none"/>
        </w:rPr>
      </w:pPr>
      <w:r>
        <w:rPr>
          <w:rFonts w:hint="eastAsia" w:ascii="宋体" w:hAnsi="宋体" w:cs="宋体"/>
          <w:b/>
          <w:bCs/>
          <w:color w:val="auto"/>
          <w:sz w:val="24"/>
          <w:highlight w:val="none"/>
        </w:rPr>
        <w:t>附：</w:t>
      </w:r>
    </w:p>
    <w:p w14:paraId="17541C8C">
      <w:pPr>
        <w:spacing w:line="360" w:lineRule="auto"/>
        <w:rPr>
          <w:rFonts w:hint="eastAsia" w:ascii="宋体" w:hAnsi="宋体" w:cs="宋体"/>
          <w:bCs/>
          <w:color w:val="auto"/>
          <w:sz w:val="24"/>
          <w:highlight w:val="none"/>
        </w:rPr>
      </w:pPr>
      <w:r>
        <w:rPr>
          <w:rFonts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w:t>供应商</w:t>
      </w:r>
      <w:r>
        <w:rPr>
          <w:rFonts w:hint="eastAsia" w:ascii="宋体" w:hAnsi="宋体" w:cs="宋体"/>
          <w:color w:val="auto"/>
          <w:sz w:val="24"/>
          <w:highlight w:val="none"/>
        </w:rPr>
        <w:t>法定名称章（印模）                供应商“XX专用章”（印模）</w:t>
      </w:r>
    </w:p>
    <w:p w14:paraId="10D7D518">
      <w:pPr>
        <w:autoSpaceDE w:val="0"/>
        <w:autoSpaceDN w:val="0"/>
        <w:jc w:val="center"/>
        <w:rPr>
          <w:rFonts w:hint="eastAsia" w:ascii="宋体" w:hAnsi="宋体" w:cs="宋体"/>
          <w:b/>
          <w:color w:val="auto"/>
          <w:spacing w:val="6"/>
          <w:sz w:val="32"/>
          <w:szCs w:val="32"/>
          <w:highlight w:val="none"/>
        </w:rPr>
      </w:pPr>
    </w:p>
    <w:p w14:paraId="4316AFF8">
      <w:pPr>
        <w:autoSpaceDE w:val="0"/>
        <w:autoSpaceDN w:val="0"/>
        <w:jc w:val="center"/>
        <w:rPr>
          <w:rFonts w:hint="eastAsia" w:ascii="宋体" w:hAnsi="宋体" w:cs="宋体"/>
          <w:b/>
          <w:color w:val="auto"/>
          <w:spacing w:val="6"/>
          <w:sz w:val="32"/>
          <w:szCs w:val="32"/>
          <w:highlight w:val="none"/>
        </w:rPr>
      </w:pPr>
    </w:p>
    <w:p w14:paraId="5869840D">
      <w:pPr>
        <w:autoSpaceDE w:val="0"/>
        <w:autoSpaceDN w:val="0"/>
        <w:jc w:val="center"/>
        <w:rPr>
          <w:rFonts w:hint="eastAsia" w:ascii="宋体" w:hAnsi="宋体" w:cs="宋体"/>
          <w:b/>
          <w:color w:val="auto"/>
          <w:spacing w:val="6"/>
          <w:sz w:val="32"/>
          <w:szCs w:val="32"/>
          <w:highlight w:val="none"/>
        </w:rPr>
      </w:pPr>
    </w:p>
    <w:p w14:paraId="62FBC116">
      <w:pPr>
        <w:autoSpaceDE w:val="0"/>
        <w:autoSpaceDN w:val="0"/>
        <w:jc w:val="center"/>
        <w:rPr>
          <w:rFonts w:hint="eastAsia" w:ascii="宋体" w:hAnsi="宋体" w:cs="宋体"/>
          <w:b/>
          <w:color w:val="auto"/>
          <w:spacing w:val="6"/>
          <w:sz w:val="32"/>
          <w:szCs w:val="32"/>
          <w:highlight w:val="none"/>
        </w:rPr>
      </w:pPr>
    </w:p>
    <w:p w14:paraId="6F2B4514">
      <w:pPr>
        <w:autoSpaceDE w:val="0"/>
        <w:autoSpaceDN w:val="0"/>
        <w:jc w:val="center"/>
        <w:rPr>
          <w:rFonts w:hint="eastAsia" w:ascii="宋体" w:hAnsi="宋体" w:cs="宋体"/>
          <w:b/>
          <w:color w:val="auto"/>
          <w:spacing w:val="6"/>
          <w:sz w:val="32"/>
          <w:szCs w:val="32"/>
          <w:highlight w:val="none"/>
        </w:rPr>
      </w:pPr>
    </w:p>
    <w:p w14:paraId="6A05F32B">
      <w:pPr>
        <w:autoSpaceDE w:val="0"/>
        <w:autoSpaceDN w:val="0"/>
        <w:jc w:val="center"/>
        <w:rPr>
          <w:rFonts w:hint="eastAsia" w:ascii="宋体" w:hAnsi="宋体" w:cs="宋体"/>
          <w:b/>
          <w:color w:val="auto"/>
          <w:spacing w:val="6"/>
          <w:sz w:val="32"/>
          <w:szCs w:val="32"/>
          <w:highlight w:val="none"/>
        </w:rPr>
      </w:pPr>
    </w:p>
    <w:p w14:paraId="014EAFD6">
      <w:pPr>
        <w:autoSpaceDE w:val="0"/>
        <w:autoSpaceDN w:val="0"/>
        <w:jc w:val="center"/>
        <w:rPr>
          <w:rFonts w:hint="eastAsia" w:ascii="宋体" w:hAnsi="宋体" w:cs="宋体"/>
          <w:b/>
          <w:color w:val="auto"/>
          <w:spacing w:val="6"/>
          <w:sz w:val="32"/>
          <w:szCs w:val="32"/>
          <w:highlight w:val="none"/>
        </w:rPr>
      </w:pPr>
    </w:p>
    <w:p w14:paraId="42BC57D8">
      <w:pPr>
        <w:autoSpaceDE w:val="0"/>
        <w:autoSpaceDN w:val="0"/>
        <w:jc w:val="center"/>
        <w:rPr>
          <w:rFonts w:hint="eastAsia" w:ascii="宋体" w:hAnsi="宋体" w:cs="宋体"/>
          <w:b/>
          <w:color w:val="auto"/>
          <w:spacing w:val="6"/>
          <w:sz w:val="32"/>
          <w:szCs w:val="32"/>
          <w:highlight w:val="none"/>
        </w:rPr>
      </w:pPr>
    </w:p>
    <w:p w14:paraId="4E82CEAA">
      <w:pPr>
        <w:autoSpaceDE w:val="0"/>
        <w:autoSpaceDN w:val="0"/>
        <w:jc w:val="center"/>
        <w:rPr>
          <w:rFonts w:hint="eastAsia" w:ascii="宋体" w:hAnsi="宋体" w:cs="宋体"/>
          <w:b/>
          <w:color w:val="auto"/>
          <w:spacing w:val="6"/>
          <w:sz w:val="32"/>
          <w:szCs w:val="32"/>
          <w:highlight w:val="none"/>
        </w:rPr>
      </w:pPr>
    </w:p>
    <w:p w14:paraId="0B3F22DB">
      <w:pPr>
        <w:autoSpaceDE w:val="0"/>
        <w:autoSpaceDN w:val="0"/>
        <w:jc w:val="center"/>
        <w:rPr>
          <w:rFonts w:hint="eastAsia" w:ascii="宋体" w:hAnsi="宋体" w:cs="宋体"/>
          <w:b/>
          <w:color w:val="auto"/>
          <w:spacing w:val="6"/>
          <w:sz w:val="32"/>
          <w:szCs w:val="32"/>
          <w:highlight w:val="none"/>
        </w:rPr>
      </w:pPr>
    </w:p>
    <w:p w14:paraId="1028EFE5">
      <w:pPr>
        <w:autoSpaceDE w:val="0"/>
        <w:autoSpaceDN w:val="0"/>
        <w:jc w:val="center"/>
        <w:rPr>
          <w:rFonts w:hint="eastAsia" w:ascii="宋体" w:hAnsi="宋体" w:cs="宋体"/>
          <w:b/>
          <w:color w:val="auto"/>
          <w:spacing w:val="6"/>
          <w:sz w:val="32"/>
          <w:szCs w:val="32"/>
          <w:highlight w:val="none"/>
        </w:rPr>
      </w:pPr>
    </w:p>
    <w:p w14:paraId="0D87F0D9">
      <w:pPr>
        <w:autoSpaceDE w:val="0"/>
        <w:autoSpaceDN w:val="0"/>
        <w:jc w:val="center"/>
        <w:rPr>
          <w:rFonts w:hint="eastAsia" w:ascii="宋体" w:hAnsi="宋体" w:cs="宋体"/>
          <w:b/>
          <w:color w:val="auto"/>
          <w:spacing w:val="6"/>
          <w:sz w:val="32"/>
          <w:szCs w:val="32"/>
          <w:highlight w:val="none"/>
        </w:rPr>
      </w:pPr>
    </w:p>
    <w:p w14:paraId="332F6157">
      <w:pPr>
        <w:autoSpaceDE w:val="0"/>
        <w:autoSpaceDN w:val="0"/>
        <w:jc w:val="center"/>
        <w:rPr>
          <w:rFonts w:hint="eastAsia" w:ascii="宋体" w:hAnsi="宋体" w:cs="宋体"/>
          <w:b/>
          <w:color w:val="auto"/>
          <w:spacing w:val="6"/>
          <w:sz w:val="32"/>
          <w:szCs w:val="32"/>
          <w:highlight w:val="none"/>
        </w:rPr>
      </w:pPr>
    </w:p>
    <w:p w14:paraId="3BB61C66">
      <w:pPr>
        <w:autoSpaceDE w:val="0"/>
        <w:autoSpaceDN w:val="0"/>
        <w:jc w:val="center"/>
        <w:rPr>
          <w:rFonts w:hint="eastAsia" w:ascii="宋体" w:hAnsi="宋体" w:cs="宋体"/>
          <w:b/>
          <w:color w:val="auto"/>
          <w:spacing w:val="6"/>
          <w:sz w:val="32"/>
          <w:szCs w:val="32"/>
          <w:highlight w:val="none"/>
        </w:rPr>
      </w:pPr>
    </w:p>
    <w:p w14:paraId="546C4E12">
      <w:pPr>
        <w:autoSpaceDE w:val="0"/>
        <w:autoSpaceDN w:val="0"/>
        <w:jc w:val="center"/>
        <w:rPr>
          <w:rFonts w:hint="eastAsia" w:ascii="宋体" w:hAnsi="宋体" w:cs="宋体"/>
          <w:b/>
          <w:color w:val="auto"/>
          <w:spacing w:val="6"/>
          <w:sz w:val="32"/>
          <w:szCs w:val="32"/>
          <w:highlight w:val="none"/>
        </w:rPr>
      </w:pPr>
    </w:p>
    <w:p w14:paraId="59FBDA49">
      <w:pPr>
        <w:autoSpaceDE w:val="0"/>
        <w:autoSpaceDN w:val="0"/>
        <w:jc w:val="center"/>
        <w:rPr>
          <w:rFonts w:hint="eastAsia" w:ascii="宋体" w:hAnsi="宋体" w:cs="宋体"/>
          <w:b/>
          <w:color w:val="auto"/>
          <w:spacing w:val="6"/>
          <w:sz w:val="32"/>
          <w:szCs w:val="32"/>
          <w:highlight w:val="none"/>
        </w:rPr>
      </w:pPr>
    </w:p>
    <w:p w14:paraId="2DF202E1">
      <w:pPr>
        <w:autoSpaceDE w:val="0"/>
        <w:autoSpaceDN w:val="0"/>
        <w:jc w:val="center"/>
        <w:rPr>
          <w:rFonts w:hint="eastAsia" w:ascii="宋体" w:hAnsi="宋体" w:cs="宋体"/>
          <w:b/>
          <w:color w:val="auto"/>
          <w:spacing w:val="6"/>
          <w:sz w:val="32"/>
          <w:szCs w:val="32"/>
          <w:highlight w:val="none"/>
        </w:rPr>
      </w:pPr>
    </w:p>
    <w:p w14:paraId="38653BD8">
      <w:pPr>
        <w:autoSpaceDE w:val="0"/>
        <w:autoSpaceDN w:val="0"/>
        <w:jc w:val="center"/>
        <w:rPr>
          <w:rFonts w:hint="eastAsia"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1EB59999">
      <w:pPr>
        <w:widowControl/>
        <w:spacing w:line="360" w:lineRule="auto"/>
        <w:ind w:firstLine="482" w:firstLineChars="200"/>
        <w:jc w:val="left"/>
        <w:rPr>
          <w:rFonts w:hint="eastAsia" w:ascii="宋体" w:hAnsi="宋体" w:cs="宋体"/>
          <w:b/>
          <w:color w:val="auto"/>
          <w:sz w:val="24"/>
          <w:highlight w:val="none"/>
        </w:rPr>
      </w:pPr>
      <w:r>
        <w:rPr>
          <w:rFonts w:hint="eastAsia" w:ascii="宋体" w:hAnsi="宋体" w:cs="宋体"/>
          <w:b/>
          <w:color w:val="auto"/>
          <w:sz w:val="24"/>
          <w:highlight w:val="none"/>
        </w:rPr>
        <w:t>（以联合体形式参与的，提供联合协议；本项目不接受联合体或者供应商不以联合体形式参与的，则不需要提供）</w:t>
      </w:r>
    </w:p>
    <w:p w14:paraId="37D24B0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组成一个联合体，以一个供应商的身份</w:t>
      </w:r>
      <w:r>
        <w:rPr>
          <w:rFonts w:hint="eastAsia" w:ascii="宋体" w:hAnsi="宋体" w:cs="宋体"/>
          <w:color w:val="auto"/>
          <w:kern w:val="0"/>
          <w:sz w:val="24"/>
          <w:highlight w:val="none"/>
        </w:rPr>
        <w:t>参加</w:t>
      </w:r>
      <w:r>
        <w:rPr>
          <w:rFonts w:hint="eastAsia" w:ascii="宋体" w:hAnsi="宋体" w:cs="宋体"/>
          <w:color w:val="auto"/>
          <w:sz w:val="24"/>
          <w:highlight w:val="none"/>
        </w:rPr>
        <w:t>旗杆东侧室外篮球场建设  【项目编号：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 xml:space="preserve">。 </w:t>
      </w:r>
    </w:p>
    <w:p w14:paraId="19958AE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8FEE30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授权代表根据采购文件规定及</w:t>
      </w:r>
      <w:r>
        <w:rPr>
          <w:rFonts w:hint="eastAsia" w:ascii="宋体" w:hAnsi="宋体" w:cs="宋体"/>
          <w:color w:val="auto"/>
          <w:kern w:val="0"/>
          <w:sz w:val="24"/>
          <w:highlight w:val="none"/>
        </w:rPr>
        <w:t>响应内容</w:t>
      </w:r>
      <w:r>
        <w:rPr>
          <w:rFonts w:hint="eastAsia" w:ascii="宋体" w:hAnsi="宋体" w:cs="宋体"/>
          <w:color w:val="auto"/>
          <w:kern w:val="0"/>
          <w:sz w:val="24"/>
          <w:highlight w:val="none"/>
          <w:lang w:val="zh-CN"/>
        </w:rPr>
        <w:t>而对采购人、采购代理机构所作的任何合法承诺，包括书面澄清及相应等均对联合投标各方产生约束力。</w:t>
      </w:r>
    </w:p>
    <w:p w14:paraId="0558BAAC">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中，分工如下：</w:t>
      </w:r>
    </w:p>
    <w:p w14:paraId="37FE0943">
      <w:pPr>
        <w:snapToGrid w:val="0"/>
        <w:spacing w:line="360" w:lineRule="auto"/>
        <w:ind w:firstLine="576"/>
        <w:rPr>
          <w:rFonts w:hint="eastAsia" w:ascii="宋体" w:hAnsi="宋体" w:cs="宋体"/>
          <w:color w:val="auto"/>
          <w:kern w:val="0"/>
          <w:sz w:val="24"/>
          <w:highlight w:val="none"/>
          <w:lang w:val="zh-CN"/>
        </w:rPr>
      </w:pPr>
      <w:bookmarkStart w:id="1030"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7B632B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13C3AAF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1030"/>
    <w:p w14:paraId="5482601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28ADC340">
      <w:pPr>
        <w:snapToGrid w:val="0"/>
        <w:spacing w:line="360" w:lineRule="auto"/>
        <w:ind w:firstLine="576"/>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提供的全部工程由小微企业承建，其合同份额占到合同总金额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w:t>
      </w:r>
      <w:r>
        <w:rPr>
          <w:rFonts w:hint="eastAsia" w:ascii="宋体" w:hAnsi="宋体" w:cs="宋体"/>
          <w:b/>
          <w:color w:val="auto"/>
          <w:kern w:val="0"/>
          <w:sz w:val="24"/>
          <w:highlight w:val="none"/>
        </w:rPr>
        <w:t>磋商</w:t>
      </w:r>
      <w:r>
        <w:rPr>
          <w:rFonts w:hint="eastAsia" w:ascii="宋体" w:hAnsi="宋体" w:cs="宋体"/>
          <w:b/>
          <w:color w:val="auto"/>
          <w:kern w:val="0"/>
          <w:sz w:val="24"/>
          <w:highlight w:val="none"/>
          <w:lang w:val="zh-CN"/>
        </w:rPr>
        <w:t>的，联合协议约定小微企业的合同份额占到合同总金额30%以上的，对联合体报价给予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D28471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要求以联合体形式参加的项目或采购包，供应商按采购文件第一部分竞争性磋商公告申请人的资格要求中规定的联合协议中中小企业、小微企业合同金额应当达到的比例要求填写。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p>
    <w:p w14:paraId="7D3D0DB5">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五、如果成交，</w:t>
      </w:r>
      <w:r>
        <w:rPr>
          <w:rFonts w:hint="eastAsia" w:ascii="宋体" w:hAnsi="宋体" w:cs="宋体"/>
          <w:color w:val="auto"/>
          <w:sz w:val="24"/>
          <w:highlight w:val="none"/>
        </w:rPr>
        <w:t>联合体各成员方共同与采购人签订合同，并就采购合同约定的事项对采购人承担连带责任。</w:t>
      </w:r>
    </w:p>
    <w:p w14:paraId="2A43C15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w:t>
      </w:r>
      <w:r>
        <w:rPr>
          <w:rFonts w:hint="eastAsia" w:ascii="宋体" w:hAnsi="宋体" w:cs="宋体"/>
          <w:color w:val="auto"/>
          <w:kern w:val="0"/>
          <w:sz w:val="24"/>
          <w:highlight w:val="none"/>
        </w:rPr>
        <w:t>响应</w:t>
      </w:r>
      <w:r>
        <w:rPr>
          <w:rFonts w:hint="eastAsia" w:ascii="宋体" w:hAnsi="宋体" w:cs="宋体"/>
          <w:color w:val="auto"/>
          <w:kern w:val="0"/>
          <w:sz w:val="24"/>
          <w:highlight w:val="none"/>
          <w:lang w:val="zh-CN"/>
        </w:rPr>
        <w:t>的其他事宜：</w:t>
      </w:r>
    </w:p>
    <w:p w14:paraId="045D896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136D7AAE">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6A083083">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73A007C">
      <w:pPr>
        <w:snapToGrid w:val="0"/>
        <w:spacing w:line="360" w:lineRule="auto"/>
        <w:ind w:firstLine="5040" w:firstLine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731684A">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6D7AD784">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注：按本格式和要求提供。</w:t>
      </w:r>
    </w:p>
    <w:p w14:paraId="1CAACDBA">
      <w:pPr>
        <w:autoSpaceDE w:val="0"/>
        <w:autoSpaceDN w:val="0"/>
        <w:jc w:val="center"/>
        <w:rPr>
          <w:rFonts w:hint="eastAsia"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5FA32C43">
      <w:pPr>
        <w:snapToGrid w:val="0"/>
        <w:spacing w:line="360" w:lineRule="auto"/>
        <w:jc w:val="center"/>
        <w:rPr>
          <w:rFonts w:hint="eastAsia"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11E6026D">
      <w:pPr>
        <w:widowControl/>
        <w:spacing w:line="360" w:lineRule="auto"/>
        <w:ind w:firstLine="120" w:firstLineChars="50"/>
        <w:jc w:val="left"/>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成交后以分包方式履行合同的，提供分包意向协议；采购人不同意分包或者供应商成交后不以分包方式履行合同的，则不需要提供。</w:t>
      </w:r>
      <w:r>
        <w:rPr>
          <w:rFonts w:hint="eastAsia" w:ascii="宋体" w:hAnsi="宋体" w:cs="宋体"/>
          <w:color w:val="auto"/>
          <w:sz w:val="24"/>
          <w:highlight w:val="none"/>
        </w:rPr>
        <w:t>）</w:t>
      </w:r>
    </w:p>
    <w:p w14:paraId="3FF7BB4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旗杆东侧室外篮球场建设  【项目编号：</w:t>
      </w:r>
      <w:r>
        <w:rPr>
          <w:rFonts w:hint="eastAsia" w:ascii="宋体" w:hAnsi="宋体" w:cs="宋体"/>
          <w:color w:val="auto"/>
          <w:sz w:val="24"/>
          <w:highlight w:val="none"/>
          <w:lang w:eastAsia="zh-CN"/>
        </w:rPr>
        <w:t>330100261010520000006-0512</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的成交供应商，将依法采取分包方式履行合同。</w:t>
      </w: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1DD88F07">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17F3B92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u w:val="single"/>
        </w:rPr>
        <w:t>（供应商名称）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C134DE1">
      <w:pPr>
        <w:tabs>
          <w:tab w:val="left" w:pos="432"/>
        </w:tabs>
        <w:ind w:left="664" w:leftChars="316" w:firstLine="228" w:firstLineChars="95"/>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0B9FB7D6">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095C5367">
      <w:pPr>
        <w:snapToGrid w:val="0"/>
        <w:spacing w:line="360" w:lineRule="auto"/>
        <w:ind w:firstLine="576"/>
        <w:rPr>
          <w:rFonts w:hint="eastAsia"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……）提供的工程全部由小微企业承建，</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（未预留份额专门面向中小企业采购的采购项目，以及预留份额中的非预留部分采购包，允许分包的，分包意向协议约定小微企业的合同份额占到合同总金额30%以上的，对大中型企业的报价给予</w:t>
      </w:r>
      <w:r>
        <w:rPr>
          <w:rFonts w:hint="eastAsia" w:ascii="宋体" w:hAnsi="宋体" w:cs="宋体"/>
          <w:b/>
          <w:color w:val="auto"/>
          <w:kern w:val="0"/>
          <w:sz w:val="24"/>
          <w:highlight w:val="none"/>
        </w:rPr>
        <w:t>2</w:t>
      </w:r>
      <w:r>
        <w:rPr>
          <w:rFonts w:hint="eastAsia" w:ascii="宋体" w:hAnsi="宋体" w:cs="宋体"/>
          <w:b/>
          <w:color w:val="auto"/>
          <w:kern w:val="0"/>
          <w:sz w:val="24"/>
          <w:highlight w:val="none"/>
          <w:lang w:val="zh-CN"/>
        </w:rPr>
        <w:t>%的扣除。供应商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5F854E9">
      <w:pPr>
        <w:spacing w:line="360" w:lineRule="auto"/>
        <w:ind w:firstLine="480" w:firstLineChars="200"/>
        <w:rPr>
          <w:rFonts w:hint="eastAsia" w:ascii="宋体" w:hAnsi="宋体" w:cs="宋体"/>
          <w:b/>
          <w:bCs/>
          <w:color w:val="auto"/>
          <w:kern w:val="0"/>
          <w:sz w:val="24"/>
          <w:highlight w:val="none"/>
          <w:lang w:val="zh-CN"/>
        </w:rPr>
      </w:pPr>
      <w:r>
        <w:rPr>
          <w:rFonts w:hint="eastAsia" w:ascii="宋体" w:hAnsi="宋体" w:cs="宋体"/>
          <w:color w:val="auto"/>
          <w:sz w:val="24"/>
          <w:highlight w:val="none"/>
        </w:rPr>
        <w:t>2、</w:t>
      </w:r>
      <w:bookmarkStart w:id="1031"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要求合同分包形式参加的项目或采购包，供应商按采购文件第一部分竞争性磋商公告申请人的资格要求中规定的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1031"/>
    </w:p>
    <w:p w14:paraId="12DE34DB">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719E7099">
      <w:pPr>
        <w:snapToGrid w:val="0"/>
        <w:spacing w:line="360" w:lineRule="auto"/>
        <w:ind w:firstLine="576"/>
        <w:rPr>
          <w:rFonts w:hint="eastAsia" w:ascii="宋体" w:hAnsi="宋体" w:cs="宋体"/>
          <w:color w:val="auto"/>
          <w:highlight w:val="none"/>
          <w:u w:val="single"/>
        </w:rPr>
      </w:pPr>
      <w:r>
        <w:rPr>
          <w:rFonts w:hint="eastAsia" w:ascii="宋体" w:hAnsi="宋体" w:cs="宋体"/>
          <w:color w:val="auto"/>
          <w:highlight w:val="none"/>
          <w:u w:val="single"/>
        </w:rPr>
        <w:t xml:space="preserve">                                                                                  </w:t>
      </w:r>
    </w:p>
    <w:p w14:paraId="6652A2E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0B3F70F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BDDD521">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28461035">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2E88418">
      <w:pPr>
        <w:snapToGrid w:val="0"/>
        <w:spacing w:line="360" w:lineRule="auto"/>
        <w:ind w:left="573" w:leftChars="273"/>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4D20411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96E0E48">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3E26D4D2">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BF4F02">
      <w:pPr>
        <w:snapToGrid w:val="0"/>
        <w:spacing w:line="360" w:lineRule="auto"/>
        <w:ind w:left="5758" w:leftChars="342" w:hanging="5040" w:hangingChars="21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供应商名称(电子签名)：</w:t>
      </w:r>
    </w:p>
    <w:p w14:paraId="3046EDF3">
      <w:pPr>
        <w:snapToGrid w:val="0"/>
        <w:spacing w:line="360" w:lineRule="auto"/>
        <w:ind w:firstLine="5640" w:firstLineChars="23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p>
    <w:p w14:paraId="2C233E3F">
      <w:pPr>
        <w:snapToGrid w:val="0"/>
        <w:spacing w:line="360" w:lineRule="auto"/>
        <w:ind w:firstLine="5760" w:firstLineChars="2400"/>
        <w:rPr>
          <w:rFonts w:hint="eastAsia" w:ascii="宋体" w:hAnsi="宋体" w:cs="宋体"/>
          <w:color w:val="auto"/>
          <w:highlight w:val="none"/>
        </w:rPr>
      </w:pPr>
      <w:r>
        <w:rPr>
          <w:rFonts w:hint="eastAsia" w:ascii="宋体" w:hAnsi="宋体" w:cs="宋体"/>
          <w:color w:val="auto"/>
          <w:kern w:val="0"/>
          <w:sz w:val="24"/>
          <w:highlight w:val="none"/>
          <w:lang w:val="zh-CN"/>
        </w:rPr>
        <w:t>……</w:t>
      </w:r>
    </w:p>
    <w:p w14:paraId="5F17CEDA">
      <w:pPr>
        <w:spacing w:line="360" w:lineRule="auto"/>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F67647A">
      <w:pPr>
        <w:autoSpaceDE w:val="0"/>
        <w:autoSpaceDN w:val="0"/>
        <w:jc w:val="center"/>
        <w:rPr>
          <w:rFonts w:hint="eastAsia" w:ascii="宋体" w:hAnsi="宋体" w:cs="宋体"/>
          <w:b/>
          <w:color w:val="auto"/>
          <w:spacing w:val="6"/>
          <w:sz w:val="32"/>
          <w:szCs w:val="32"/>
          <w:highlight w:val="none"/>
        </w:rPr>
      </w:pPr>
    </w:p>
    <w:p w14:paraId="2C8669A6">
      <w:pPr>
        <w:autoSpaceDE w:val="0"/>
        <w:autoSpaceDN w:val="0"/>
        <w:jc w:val="center"/>
        <w:rPr>
          <w:rFonts w:hint="eastAsia" w:ascii="宋体" w:hAnsi="宋体" w:cs="宋体"/>
          <w:b/>
          <w:color w:val="auto"/>
          <w:spacing w:val="6"/>
          <w:sz w:val="32"/>
          <w:szCs w:val="32"/>
          <w:highlight w:val="none"/>
        </w:rPr>
        <w:sectPr>
          <w:pgSz w:w="11906" w:h="16838"/>
          <w:pgMar w:top="1440" w:right="1080" w:bottom="1440" w:left="1080" w:header="851" w:footer="992" w:gutter="0"/>
          <w:cols w:space="720" w:num="1"/>
          <w:titlePg/>
          <w:docGrid w:linePitch="312" w:charSpace="0"/>
        </w:sectPr>
      </w:pPr>
    </w:p>
    <w:p w14:paraId="3B8FCA2A">
      <w:pPr>
        <w:autoSpaceDE w:val="0"/>
        <w:autoSpaceDN w:val="0"/>
        <w:jc w:val="center"/>
        <w:rPr>
          <w:rFonts w:hint="eastAsia" w:ascii="宋体" w:hAnsi="宋体" w:cs="宋体"/>
          <w:b/>
          <w:bCs/>
          <w:color w:val="auto"/>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7</w:t>
      </w:r>
      <w:r>
        <w:rPr>
          <w:rFonts w:hint="eastAsia" w:ascii="宋体" w:hAnsi="宋体" w:cs="宋体"/>
          <w:b/>
          <w:color w:val="auto"/>
          <w:spacing w:val="6"/>
          <w:sz w:val="32"/>
          <w:szCs w:val="32"/>
          <w:highlight w:val="none"/>
        </w:rPr>
        <w:t>：</w:t>
      </w:r>
      <w:r>
        <w:rPr>
          <w:rFonts w:hint="eastAsia" w:ascii="宋体" w:hAnsi="宋体" w:cs="宋体"/>
          <w:b/>
          <w:color w:val="auto"/>
          <w:sz w:val="32"/>
          <w:szCs w:val="32"/>
          <w:highlight w:val="none"/>
        </w:rPr>
        <w:t>中小企业声明函</w:t>
      </w:r>
    </w:p>
    <w:p w14:paraId="164B8454">
      <w:pPr>
        <w:spacing w:line="360" w:lineRule="auto"/>
        <w:jc w:val="center"/>
        <w:rPr>
          <w:rFonts w:hint="eastAsia" w:ascii="宋体" w:hAnsi="宋体" w:cs="宋体"/>
          <w:color w:val="auto"/>
          <w:sz w:val="24"/>
          <w:highlight w:val="none"/>
          <w:u w:val="single"/>
        </w:rPr>
      </w:pPr>
    </w:p>
    <w:p w14:paraId="6A204089">
      <w:pPr>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中小企业声明函（工程）</w:t>
      </w:r>
    </w:p>
    <w:p w14:paraId="7258C68C">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杭州市中策职业学校钱塘学校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旗杆东侧室外篮球场建设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2C5CF96">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09B98889">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2DB7977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w:t>
      </w:r>
    </w:p>
    <w:p w14:paraId="773B2DDC">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45B4B81">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D6C73FF">
      <w:pPr>
        <w:spacing w:line="360" w:lineRule="auto"/>
        <w:ind w:firstLine="480" w:firstLineChars="200"/>
        <w:rPr>
          <w:rFonts w:hint="eastAsia" w:ascii="宋体" w:hAnsi="宋体" w:cs="宋体"/>
          <w:color w:val="auto"/>
          <w:sz w:val="24"/>
          <w:highlight w:val="none"/>
        </w:rPr>
      </w:pPr>
    </w:p>
    <w:p w14:paraId="34AAD933">
      <w:pPr>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供应商名称(电子签名)：</w:t>
      </w:r>
    </w:p>
    <w:p w14:paraId="195B5205">
      <w:pPr>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F665126">
      <w:pPr>
        <w:spacing w:line="360" w:lineRule="auto"/>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从业人员、营业收入、资产总额填报上一年度数据，无上一年度数据的新成立企业可不填报。</w:t>
      </w:r>
    </w:p>
    <w:p w14:paraId="7343F5A5">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w:t>
      </w:r>
    </w:p>
    <w:p w14:paraId="1133A8CA">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1、填写要求：①“标的名称”、“采购文件中明确的所属行业”依据采购文件第二部分供应商须知前附表中“采购标的及其对应的中小企业划分标准所属行业”的指引，逐一填写，不得缺漏；②从业人员、营业收入、资产总额填报上一年度数据，无上一年度数据的新成立企业可不填报；③中型企业、小型企业、微型企业等3种企业类型，结合以上数据，依据《中小企业划型标准规定》（工信部联企业〔2011〕300号）确定；④供应商提供的《中小企业声明函》与实际情况不符的或者未按以上要求填写的，中小企业声明函无效，不享受中小企业扶持政策。声明内容不实的，属于提供虚假材料谋取中标、成交的，依法承担法律责任。</w:t>
      </w:r>
    </w:p>
    <w:p w14:paraId="05DF0BF4">
      <w:pPr>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供应商提供由省级以上监狱管理局、戒毒管理局（含新疆生产建设兵团）出具的属于监狱企业证明文件的，视同为小型和微型企业。</w:t>
      </w:r>
    </w:p>
    <w:p w14:paraId="58DA3674">
      <w:pPr>
        <w:spacing w:line="360" w:lineRule="auto"/>
        <w:jc w:val="center"/>
        <w:rPr>
          <w:rFonts w:hint="eastAsia" w:ascii="宋体" w:hAnsi="宋体" w:cs="宋体"/>
          <w:b/>
          <w:color w:val="auto"/>
          <w:sz w:val="32"/>
          <w:szCs w:val="32"/>
          <w:highlight w:val="none"/>
        </w:rPr>
      </w:pPr>
    </w:p>
    <w:p w14:paraId="4667DD6D">
      <w:pPr>
        <w:spacing w:line="360" w:lineRule="auto"/>
        <w:rPr>
          <w:rFonts w:hint="eastAsia" w:ascii="宋体" w:hAnsi="宋体" w:cs="宋体"/>
          <w:bCs/>
          <w:color w:val="auto"/>
          <w:sz w:val="24"/>
          <w:highlight w:val="none"/>
        </w:rPr>
        <w:sectPr>
          <w:pgSz w:w="11906" w:h="16838"/>
          <w:pgMar w:top="1440" w:right="1080" w:bottom="1440" w:left="1080" w:header="851" w:footer="992" w:gutter="0"/>
          <w:cols w:space="720" w:num="1"/>
          <w:titlePg/>
          <w:docGrid w:linePitch="312" w:charSpace="0"/>
        </w:sectPr>
      </w:pPr>
    </w:p>
    <w:p w14:paraId="19A67DE9">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附件8：工程量清单（另附）</w:t>
      </w:r>
    </w:p>
    <w:p w14:paraId="233908EC">
      <w:pPr>
        <w:spacing w:line="360" w:lineRule="auto"/>
        <w:rPr>
          <w:rFonts w:hint="eastAsia" w:ascii="宋体" w:hAnsi="宋体" w:cs="宋体"/>
          <w:b/>
          <w:color w:val="auto"/>
          <w:spacing w:val="6"/>
          <w:sz w:val="32"/>
          <w:szCs w:val="32"/>
          <w:highlight w:val="none"/>
        </w:rPr>
      </w:pPr>
    </w:p>
    <w:p w14:paraId="5E17FED4">
      <w:pPr>
        <w:spacing w:line="360" w:lineRule="auto"/>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附件9：图纸（另附）</w:t>
      </w:r>
    </w:p>
    <w:p w14:paraId="5997F497">
      <w:pPr>
        <w:pStyle w:val="5"/>
        <w:rPr>
          <w:rFonts w:hint="eastAsia"/>
          <w:color w:val="auto"/>
          <w:highlight w:val="none"/>
        </w:rPr>
      </w:pPr>
    </w:p>
    <w:sectPr>
      <w:pgSz w:w="11906" w:h="16838"/>
      <w:pgMar w:top="1440" w:right="1080" w:bottom="1440" w:left="1080"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604020202020204"/>
    <w:charset w:val="00"/>
    <w:family w:val="swiss"/>
    <w:pitch w:val="default"/>
    <w:sig w:usb0="00000000" w:usb1="00000000" w:usb2="00000000" w:usb3="00000000" w:csb0="000001FF"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0"/>
    <w:family w:val="swiss"/>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B" w:csb1="00000000"/>
  </w:font>
  <w:font w:name=".PingFang SC">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20E0">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9E6F7">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82</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17796">
    <w:pPr>
      <w:pStyle w:val="42"/>
      <w:framePr w:wrap="around" w:vAnchor="text" w:hAnchor="margin" w:xAlign="right" w:y="1"/>
      <w:rPr>
        <w:rStyle w:val="73"/>
      </w:rPr>
    </w:pPr>
    <w:r>
      <w:fldChar w:fldCharType="begin"/>
    </w:r>
    <w:r>
      <w:rPr>
        <w:rStyle w:val="73"/>
      </w:rPr>
      <w:instrText xml:space="preserve">PAGE  </w:instrText>
    </w:r>
    <w:r>
      <w:fldChar w:fldCharType="end"/>
    </w:r>
  </w:p>
  <w:p w14:paraId="6FB56299">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9B0B1">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83</w:t>
    </w:r>
    <w:r>
      <w:rPr>
        <w:rFonts w:hint="eastAsia" w:ascii="仿宋_GB2312" w:eastAsia="仿宋_GB2312"/>
        <w:kern w:val="0"/>
        <w:szCs w:val="21"/>
      </w:rPr>
      <w:fldChar w:fldCharType="end"/>
    </w:r>
    <w:bookmarkStart w:id="1032" w:name="_Toc91899912"/>
    <w:bookmarkStart w:id="1033" w:name="_Toc131845147"/>
    <w:bookmarkStart w:id="1034" w:name="_Toc36110187"/>
    <w:bookmarkStart w:id="1035" w:name="_Toc164085800"/>
    <w:r>
      <w:rPr>
        <w:rFonts w:hint="eastAsia" w:ascii="仿宋_GB2312" w:eastAsia="仿宋_GB2312"/>
        <w:kern w:val="0"/>
        <w:szCs w:val="21"/>
      </w:rPr>
      <w:t xml:space="preserve"> 页</w:t>
    </w:r>
    <w:bookmarkEnd w:id="1032"/>
    <w:bookmarkEnd w:id="1033"/>
    <w:bookmarkEnd w:id="1034"/>
    <w:bookmarkEnd w:id="103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5B249A">
    <w:pPr>
      <w:pStyle w:val="42"/>
      <w:framePr w:wrap="around" w:vAnchor="text" w:hAnchor="margin" w:xAlign="right" w:y="1"/>
      <w:rPr>
        <w:rStyle w:val="73"/>
      </w:rPr>
    </w:pPr>
    <w:r>
      <w:fldChar w:fldCharType="begin"/>
    </w:r>
    <w:r>
      <w:rPr>
        <w:rStyle w:val="73"/>
      </w:rPr>
      <w:instrText xml:space="preserve">PAGE  </w:instrText>
    </w:r>
    <w:r>
      <w:fldChar w:fldCharType="end"/>
    </w:r>
  </w:p>
  <w:p w14:paraId="0E97F6B3">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8BE3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7E4A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7ACC159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233D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69B58CE">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63A79">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46FE1AD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CF705">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60ED63DD">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0CBC3">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7E85C28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F61694">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67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83</w:t>
    </w:r>
    <w:r>
      <w:rPr>
        <w:rFonts w:hint="eastAsia" w:ascii="仿宋_GB2312" w:eastAsia="仿宋_GB2312"/>
        <w:kern w:val="0"/>
      </w:rPr>
      <w:fldChar w:fldCharType="end"/>
    </w:r>
    <w:r>
      <w:rPr>
        <w:rFonts w:hint="eastAsia" w:ascii="仿宋_GB2312" w:eastAsia="仿宋_GB2312"/>
        <w:kern w:val="0"/>
      </w:rPr>
      <w:t xml:space="preserve"> 页</w:t>
    </w:r>
  </w:p>
  <w:p w14:paraId="3ACCFB1E">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A0D25">
    <w:pPr>
      <w:pStyle w:val="43"/>
      <w:pBdr>
        <w:bottom w:val="single" w:color="auto" w:sz="6" w:space="0"/>
      </w:pBdr>
      <w:jc w:val="right"/>
      <w:rPr>
        <w:rFonts w:ascii="仿宋_GB2312" w:eastAsia="仿宋_GB2312"/>
        <w:i/>
        <w:u w:val="single"/>
      </w:rPr>
    </w:pPr>
    <w:r>
      <w:rPr>
        <w:lang w:val="zh-CN"/>
      </w:rPr>
      <w:t>杭州市政府采购</w:t>
    </w:r>
    <w:r>
      <w:rPr>
        <w:rFonts w:hint="eastAsia"/>
        <w:lang w:val="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000E">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F5365">
    <w:pPr>
      <w:pStyle w:val="43"/>
      <w:pBdr>
        <w:bottom w:val="single" w:color="auto" w:sz="6" w:space="0"/>
      </w:pBdr>
      <w:tabs>
        <w:tab w:val="center" w:pos="4535"/>
        <w:tab w:val="right" w:pos="9070"/>
        <w:tab w:val="clear" w:pos="4153"/>
        <w:tab w:val="clear" w:pos="8306"/>
      </w:tabs>
      <w:jc w:val="right"/>
    </w:pPr>
    <w:r>
      <w:rPr>
        <w:lang w:val="zh-CN"/>
      </w:rPr>
      <w:t>杭州市政府采购</w:t>
    </w:r>
    <w:r>
      <w:rPr>
        <w:rFonts w:hint="eastAsia"/>
        <w:lang w:val="zh-CN"/>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A0497">
    <w:pPr>
      <w:pStyle w:val="43"/>
      <w:pBdr>
        <w:bottom w:val="single" w:color="auto" w:sz="6" w:space="0"/>
      </w:pBdr>
      <w:tabs>
        <w:tab w:val="center" w:pos="4535"/>
        <w:tab w:val="right" w:pos="9070"/>
        <w:tab w:val="clear" w:pos="4153"/>
        <w:tab w:val="clear" w:pos="8306"/>
      </w:tabs>
      <w:jc w:val="right"/>
      <w:rPr>
        <w:rFonts w:ascii="仿宋_GB2312" w:eastAsia="仿宋_GB2312"/>
        <w:b/>
        <w:i/>
        <w:u w:val="single"/>
      </w:rPr>
    </w:pPr>
    <w:r>
      <w:rPr>
        <w:lang w:val="zh-CN"/>
      </w:rPr>
      <w:t>杭州市政府采购</w:t>
    </w:r>
    <w:r>
      <w:rPr>
        <w:rFonts w:hint="eastAsia"/>
        <w:lang w:val="zh-CN"/>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479E1">
    <w:pPr>
      <w:pStyle w:val="43"/>
      <w:pBdr>
        <w:bottom w:val="single" w:color="auto" w:sz="6" w:space="0"/>
      </w:pBdr>
      <w:tabs>
        <w:tab w:val="center" w:pos="4535"/>
        <w:tab w:val="right" w:pos="9070"/>
        <w:tab w:val="clear" w:pos="4153"/>
        <w:tab w:val="clear" w:pos="8306"/>
      </w:tabs>
      <w:jc w:val="right"/>
      <w:rPr>
        <w:rFonts w:ascii="仿宋_GB2312"/>
        <w:b/>
        <w:i/>
        <w:iCs/>
        <w:u w:val="single"/>
      </w:rPr>
    </w:pPr>
    <w:r>
      <w:rPr>
        <w:lang w:val="zh-CN"/>
      </w:rPr>
      <w:t>杭州市政府采购</w:t>
    </w:r>
    <w:r>
      <w:rPr>
        <w:rFonts w:hint="eastAsia"/>
        <w:lang w:val="zh-CN"/>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E102D"/>
    <w:multiLevelType w:val="singleLevel"/>
    <w:tmpl w:val="8B1E102D"/>
    <w:lvl w:ilvl="0" w:tentative="0">
      <w:start w:val="1"/>
      <w:numFmt w:val="decimal"/>
      <w:suff w:val="nothing"/>
      <w:lvlText w:val="（%1）"/>
      <w:lvlJc w:val="left"/>
    </w:lvl>
  </w:abstractNum>
  <w:abstractNum w:abstractNumId="1">
    <w:nsid w:val="175EE394"/>
    <w:multiLevelType w:val="singleLevel"/>
    <w:tmpl w:val="175EE394"/>
    <w:lvl w:ilvl="0" w:tentative="0">
      <w:start w:val="1"/>
      <w:numFmt w:val="decimalEnclosedCircleChinese"/>
      <w:suff w:val="nothing"/>
      <w:lvlText w:val="%1　"/>
      <w:lvlJc w:val="left"/>
      <w:pPr>
        <w:ind w:left="0" w:firstLine="400"/>
      </w:pPr>
      <w:rPr>
        <w:rFonts w:hint="eastAsia"/>
      </w:rPr>
    </w:lvl>
  </w:abstractNum>
  <w:abstractNum w:abstractNumId="2">
    <w:nsid w:val="17B7CFB3"/>
    <w:multiLevelType w:val="singleLevel"/>
    <w:tmpl w:val="17B7CFB3"/>
    <w:lvl w:ilvl="0" w:tentative="0">
      <w:start w:val="1"/>
      <w:numFmt w:val="decimalEnclosedCircleChinese"/>
      <w:suff w:val="nothing"/>
      <w:lvlText w:val="%1　"/>
      <w:lvlJc w:val="left"/>
      <w:pPr>
        <w:ind w:left="0" w:firstLine="400"/>
      </w:pPr>
      <w:rPr>
        <w:rFonts w:hint="eastAsia"/>
      </w:rPr>
    </w:lvl>
  </w:abstractNum>
  <w:abstractNum w:abstractNumId="3">
    <w:nsid w:val="1C8538D0"/>
    <w:multiLevelType w:val="singleLevel"/>
    <w:tmpl w:val="1C8538D0"/>
    <w:lvl w:ilvl="0" w:tentative="0">
      <w:start w:val="1"/>
      <w:numFmt w:val="decimalEnclosedCircleChinese"/>
      <w:suff w:val="nothing"/>
      <w:lvlText w:val="%1　"/>
      <w:lvlJc w:val="left"/>
      <w:pPr>
        <w:ind w:left="0" w:firstLine="400"/>
      </w:pPr>
      <w:rPr>
        <w:rFonts w:hint="eastAsia"/>
      </w:rPr>
    </w:lvl>
  </w:abstractNum>
  <w:abstractNum w:abstractNumId="4">
    <w:nsid w:val="30BAFDEF"/>
    <w:multiLevelType w:val="singleLevel"/>
    <w:tmpl w:val="30BAFDEF"/>
    <w:lvl w:ilvl="0" w:tentative="0">
      <w:start w:val="5"/>
      <w:numFmt w:val="decimal"/>
      <w:suff w:val="nothing"/>
      <w:lvlText w:val="（%1）"/>
      <w:lvlJc w:val="left"/>
    </w:lvl>
  </w:abstractNum>
  <w:abstractNum w:abstractNumId="5">
    <w:nsid w:val="310E463D"/>
    <w:multiLevelType w:val="singleLevel"/>
    <w:tmpl w:val="310E463D"/>
    <w:lvl w:ilvl="0" w:tentative="0">
      <w:start w:val="1"/>
      <w:numFmt w:val="decimal"/>
      <w:suff w:val="space"/>
      <w:lvlText w:val="%1."/>
      <w:lvlJc w:val="left"/>
    </w:lvl>
  </w:abstractNum>
  <w:abstractNum w:abstractNumId="6">
    <w:nsid w:val="69269639"/>
    <w:multiLevelType w:val="singleLevel"/>
    <w:tmpl w:val="69269639"/>
    <w:lvl w:ilvl="0" w:tentative="0">
      <w:start w:val="1"/>
      <w:numFmt w:val="decimalEnclosedCircleChinese"/>
      <w:suff w:val="nothing"/>
      <w:lvlText w:val="%1　"/>
      <w:lvlJc w:val="left"/>
      <w:pPr>
        <w:ind w:left="0" w:firstLine="400"/>
      </w:pPr>
      <w:rPr>
        <w:rFonts w:hint="eastAsia"/>
      </w:rPr>
    </w:lvl>
  </w:abstractNum>
  <w:abstractNum w:abstractNumId="7">
    <w:nsid w:val="7D437654"/>
    <w:multiLevelType w:val="singleLevel"/>
    <w:tmpl w:val="7D437654"/>
    <w:lvl w:ilvl="0" w:tentative="0">
      <w:start w:val="10"/>
      <w:numFmt w:val="decimal"/>
      <w:suff w:val="nothing"/>
      <w:lvlText w:val="（%1）"/>
      <w:lvlJc w:val="left"/>
    </w:lvl>
  </w:abstractNum>
  <w:num w:numId="1">
    <w:abstractNumId w:val="2"/>
  </w:num>
  <w:num w:numId="2">
    <w:abstractNumId w:val="5"/>
  </w:num>
  <w:num w:numId="3">
    <w:abstractNumId w:val="1"/>
  </w:num>
  <w:num w:numId="4">
    <w:abstractNumId w:val="6"/>
  </w:num>
  <w:num w:numId="5">
    <w:abstractNumId w:val="3"/>
  </w:num>
  <w:num w:numId="6">
    <w:abstractNumId w:val="7"/>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hideSpellingErrors/>
  <w:documentProtection w:enforcement="0"/>
  <w:defaultTabStop w:val="419"/>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7D6"/>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471"/>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43"/>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4AF"/>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689A"/>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0CFA"/>
    <w:rsid w:val="001A128B"/>
    <w:rsid w:val="001A1475"/>
    <w:rsid w:val="001A1F0E"/>
    <w:rsid w:val="001A3335"/>
    <w:rsid w:val="001A473A"/>
    <w:rsid w:val="001A4977"/>
    <w:rsid w:val="001A4ED9"/>
    <w:rsid w:val="001A5785"/>
    <w:rsid w:val="001A5FD7"/>
    <w:rsid w:val="001A66A6"/>
    <w:rsid w:val="001A6BAF"/>
    <w:rsid w:val="001A6BBB"/>
    <w:rsid w:val="001A79A2"/>
    <w:rsid w:val="001B06A6"/>
    <w:rsid w:val="001B13BF"/>
    <w:rsid w:val="001B16F5"/>
    <w:rsid w:val="001B1C1F"/>
    <w:rsid w:val="001B219B"/>
    <w:rsid w:val="001B2703"/>
    <w:rsid w:val="001B3DCD"/>
    <w:rsid w:val="001B45B9"/>
    <w:rsid w:val="001B46B2"/>
    <w:rsid w:val="001B4725"/>
    <w:rsid w:val="001B48B2"/>
    <w:rsid w:val="001B49DA"/>
    <w:rsid w:val="001B4CA8"/>
    <w:rsid w:val="001B559D"/>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5DA1"/>
    <w:rsid w:val="001F612E"/>
    <w:rsid w:val="001F6A92"/>
    <w:rsid w:val="001F77E8"/>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A25"/>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7196"/>
    <w:rsid w:val="002775ED"/>
    <w:rsid w:val="002778AB"/>
    <w:rsid w:val="002802A5"/>
    <w:rsid w:val="00280CFB"/>
    <w:rsid w:val="00280D24"/>
    <w:rsid w:val="002815C4"/>
    <w:rsid w:val="00281BCB"/>
    <w:rsid w:val="00281C76"/>
    <w:rsid w:val="0028316D"/>
    <w:rsid w:val="00283296"/>
    <w:rsid w:val="00285085"/>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8DC"/>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4E9"/>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1F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58C"/>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088"/>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6CEE"/>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5A21"/>
    <w:rsid w:val="00465DE5"/>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17D"/>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45F"/>
    <w:rsid w:val="004B6E50"/>
    <w:rsid w:val="004B728F"/>
    <w:rsid w:val="004B7317"/>
    <w:rsid w:val="004B75B2"/>
    <w:rsid w:val="004B75C6"/>
    <w:rsid w:val="004B7A1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3E6"/>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17FE0"/>
    <w:rsid w:val="005207D8"/>
    <w:rsid w:val="0052091D"/>
    <w:rsid w:val="005212F4"/>
    <w:rsid w:val="00521908"/>
    <w:rsid w:val="005224BC"/>
    <w:rsid w:val="00522928"/>
    <w:rsid w:val="00522FF1"/>
    <w:rsid w:val="00523946"/>
    <w:rsid w:val="0052397A"/>
    <w:rsid w:val="005256D6"/>
    <w:rsid w:val="00525AD8"/>
    <w:rsid w:val="00525D6B"/>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250"/>
    <w:rsid w:val="00570763"/>
    <w:rsid w:val="0057200B"/>
    <w:rsid w:val="00572297"/>
    <w:rsid w:val="0057345D"/>
    <w:rsid w:val="0057347D"/>
    <w:rsid w:val="00573560"/>
    <w:rsid w:val="00574E7B"/>
    <w:rsid w:val="00574F36"/>
    <w:rsid w:val="00576B5C"/>
    <w:rsid w:val="005770CC"/>
    <w:rsid w:val="005802F9"/>
    <w:rsid w:val="005806D5"/>
    <w:rsid w:val="00580916"/>
    <w:rsid w:val="00580DFC"/>
    <w:rsid w:val="0058134C"/>
    <w:rsid w:val="005815CD"/>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61E6"/>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8BB"/>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4592"/>
    <w:rsid w:val="00684963"/>
    <w:rsid w:val="00685033"/>
    <w:rsid w:val="0068517F"/>
    <w:rsid w:val="00685D65"/>
    <w:rsid w:val="00685FC8"/>
    <w:rsid w:val="006861E4"/>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B67"/>
    <w:rsid w:val="006B4CF8"/>
    <w:rsid w:val="006B506B"/>
    <w:rsid w:val="006B54E8"/>
    <w:rsid w:val="006B5FBC"/>
    <w:rsid w:val="006B6ED2"/>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9A3"/>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761"/>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55C"/>
    <w:rsid w:val="007A18B1"/>
    <w:rsid w:val="007A1BBD"/>
    <w:rsid w:val="007A1F08"/>
    <w:rsid w:val="007A2317"/>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503"/>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4D71"/>
    <w:rsid w:val="008052CE"/>
    <w:rsid w:val="0080548A"/>
    <w:rsid w:val="008058D0"/>
    <w:rsid w:val="00806A4C"/>
    <w:rsid w:val="0080705B"/>
    <w:rsid w:val="0080723C"/>
    <w:rsid w:val="00807F71"/>
    <w:rsid w:val="0081000F"/>
    <w:rsid w:val="0081137A"/>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C35"/>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7C2"/>
    <w:rsid w:val="00926939"/>
    <w:rsid w:val="00926F4C"/>
    <w:rsid w:val="00927330"/>
    <w:rsid w:val="00927710"/>
    <w:rsid w:val="009307CA"/>
    <w:rsid w:val="009312F9"/>
    <w:rsid w:val="00931445"/>
    <w:rsid w:val="00931AB8"/>
    <w:rsid w:val="00931C19"/>
    <w:rsid w:val="00931C63"/>
    <w:rsid w:val="00931D10"/>
    <w:rsid w:val="0093218A"/>
    <w:rsid w:val="009336D0"/>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357"/>
    <w:rsid w:val="009A1ECA"/>
    <w:rsid w:val="009A2BE9"/>
    <w:rsid w:val="009A2BF3"/>
    <w:rsid w:val="009A3688"/>
    <w:rsid w:val="009A3713"/>
    <w:rsid w:val="009A3C3E"/>
    <w:rsid w:val="009A4153"/>
    <w:rsid w:val="009A4C2C"/>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8B8"/>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4DD"/>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5FA9"/>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423"/>
    <w:rsid w:val="00A94A32"/>
    <w:rsid w:val="00A94AFC"/>
    <w:rsid w:val="00A94BF5"/>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0E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E7368"/>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4EE"/>
    <w:rsid w:val="00B04678"/>
    <w:rsid w:val="00B047C9"/>
    <w:rsid w:val="00B04A04"/>
    <w:rsid w:val="00B04B78"/>
    <w:rsid w:val="00B04C37"/>
    <w:rsid w:val="00B04F00"/>
    <w:rsid w:val="00B05BA6"/>
    <w:rsid w:val="00B066FE"/>
    <w:rsid w:val="00B06912"/>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53"/>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595"/>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03FA"/>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ABD"/>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34B"/>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1FE2"/>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38E"/>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C31"/>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4FC"/>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3E71"/>
    <w:rsid w:val="00E14356"/>
    <w:rsid w:val="00E14961"/>
    <w:rsid w:val="00E14D76"/>
    <w:rsid w:val="00E15183"/>
    <w:rsid w:val="00E15D6C"/>
    <w:rsid w:val="00E1720B"/>
    <w:rsid w:val="00E203DE"/>
    <w:rsid w:val="00E20CE7"/>
    <w:rsid w:val="00E217B1"/>
    <w:rsid w:val="00E222FA"/>
    <w:rsid w:val="00E229CE"/>
    <w:rsid w:val="00E22B4A"/>
    <w:rsid w:val="00E23659"/>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6EC6"/>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1EE"/>
    <w:rsid w:val="00E912FD"/>
    <w:rsid w:val="00E91B26"/>
    <w:rsid w:val="00E92C6E"/>
    <w:rsid w:val="00E92D0B"/>
    <w:rsid w:val="00E92FFF"/>
    <w:rsid w:val="00E93195"/>
    <w:rsid w:val="00E9391C"/>
    <w:rsid w:val="00E93D05"/>
    <w:rsid w:val="00E950D4"/>
    <w:rsid w:val="00E951D8"/>
    <w:rsid w:val="00E95C2A"/>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0FC"/>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030EE"/>
    <w:rsid w:val="010651D9"/>
    <w:rsid w:val="011863EE"/>
    <w:rsid w:val="011F6449"/>
    <w:rsid w:val="01227D26"/>
    <w:rsid w:val="01236AFB"/>
    <w:rsid w:val="01483505"/>
    <w:rsid w:val="01675739"/>
    <w:rsid w:val="016A4929"/>
    <w:rsid w:val="01761E20"/>
    <w:rsid w:val="019F7441"/>
    <w:rsid w:val="01B37585"/>
    <w:rsid w:val="01BD35AB"/>
    <w:rsid w:val="01C65DA5"/>
    <w:rsid w:val="01CE248F"/>
    <w:rsid w:val="01D55165"/>
    <w:rsid w:val="01DF6BF8"/>
    <w:rsid w:val="01E32035"/>
    <w:rsid w:val="01E70DB5"/>
    <w:rsid w:val="01EC2C57"/>
    <w:rsid w:val="01F01BD2"/>
    <w:rsid w:val="0213289B"/>
    <w:rsid w:val="024B6E08"/>
    <w:rsid w:val="025F0711"/>
    <w:rsid w:val="026B2E25"/>
    <w:rsid w:val="02755FB4"/>
    <w:rsid w:val="02824D4D"/>
    <w:rsid w:val="02DC4B10"/>
    <w:rsid w:val="02DD76CE"/>
    <w:rsid w:val="02F36323"/>
    <w:rsid w:val="02F5619C"/>
    <w:rsid w:val="03142EB7"/>
    <w:rsid w:val="0326446A"/>
    <w:rsid w:val="032B09E8"/>
    <w:rsid w:val="032D5555"/>
    <w:rsid w:val="036634D2"/>
    <w:rsid w:val="03774EE7"/>
    <w:rsid w:val="03824AAC"/>
    <w:rsid w:val="03AA6FC4"/>
    <w:rsid w:val="03DD35E4"/>
    <w:rsid w:val="03F040A4"/>
    <w:rsid w:val="03F1578E"/>
    <w:rsid w:val="04076900"/>
    <w:rsid w:val="041A5A3B"/>
    <w:rsid w:val="042311BA"/>
    <w:rsid w:val="04245B63"/>
    <w:rsid w:val="042B157A"/>
    <w:rsid w:val="043B4C5B"/>
    <w:rsid w:val="046716F5"/>
    <w:rsid w:val="048F763B"/>
    <w:rsid w:val="04910D1F"/>
    <w:rsid w:val="049F330E"/>
    <w:rsid w:val="04AA775C"/>
    <w:rsid w:val="04AF1889"/>
    <w:rsid w:val="04C64E6C"/>
    <w:rsid w:val="04F3765D"/>
    <w:rsid w:val="04F66F48"/>
    <w:rsid w:val="04F75026"/>
    <w:rsid w:val="051B7D1D"/>
    <w:rsid w:val="05251E14"/>
    <w:rsid w:val="056A1C9B"/>
    <w:rsid w:val="058814F6"/>
    <w:rsid w:val="05A16594"/>
    <w:rsid w:val="05A7762D"/>
    <w:rsid w:val="05AB7FC5"/>
    <w:rsid w:val="05E25CD6"/>
    <w:rsid w:val="06093262"/>
    <w:rsid w:val="060E5941"/>
    <w:rsid w:val="06110FAF"/>
    <w:rsid w:val="061E21DC"/>
    <w:rsid w:val="06493CA7"/>
    <w:rsid w:val="0653265B"/>
    <w:rsid w:val="065A6178"/>
    <w:rsid w:val="066F1CF3"/>
    <w:rsid w:val="067A4160"/>
    <w:rsid w:val="06930BB8"/>
    <w:rsid w:val="06C13C78"/>
    <w:rsid w:val="06C4362D"/>
    <w:rsid w:val="06D62901"/>
    <w:rsid w:val="07245D42"/>
    <w:rsid w:val="07245E7A"/>
    <w:rsid w:val="07264C62"/>
    <w:rsid w:val="0779354C"/>
    <w:rsid w:val="077A3CEC"/>
    <w:rsid w:val="07852DBD"/>
    <w:rsid w:val="07A46B95"/>
    <w:rsid w:val="07B23486"/>
    <w:rsid w:val="07DC6755"/>
    <w:rsid w:val="07EB733A"/>
    <w:rsid w:val="08061376"/>
    <w:rsid w:val="08452D77"/>
    <w:rsid w:val="086401F8"/>
    <w:rsid w:val="08661343"/>
    <w:rsid w:val="08751CAA"/>
    <w:rsid w:val="087E4C40"/>
    <w:rsid w:val="088F37C7"/>
    <w:rsid w:val="08923AEE"/>
    <w:rsid w:val="089A4FBE"/>
    <w:rsid w:val="08A871D0"/>
    <w:rsid w:val="08D66AD6"/>
    <w:rsid w:val="08DA33A3"/>
    <w:rsid w:val="08E80F13"/>
    <w:rsid w:val="09335624"/>
    <w:rsid w:val="093F2701"/>
    <w:rsid w:val="0944690F"/>
    <w:rsid w:val="09535675"/>
    <w:rsid w:val="095F057D"/>
    <w:rsid w:val="09606B8F"/>
    <w:rsid w:val="09642282"/>
    <w:rsid w:val="09733572"/>
    <w:rsid w:val="09772C16"/>
    <w:rsid w:val="098353B5"/>
    <w:rsid w:val="09A92330"/>
    <w:rsid w:val="09B06B87"/>
    <w:rsid w:val="09C13146"/>
    <w:rsid w:val="09E04166"/>
    <w:rsid w:val="0A1C0718"/>
    <w:rsid w:val="0A3E7710"/>
    <w:rsid w:val="0A5B7E63"/>
    <w:rsid w:val="0A703465"/>
    <w:rsid w:val="0A8A06EA"/>
    <w:rsid w:val="0AA16DBF"/>
    <w:rsid w:val="0AA374A5"/>
    <w:rsid w:val="0AAB7649"/>
    <w:rsid w:val="0AAE43D8"/>
    <w:rsid w:val="0AB37C41"/>
    <w:rsid w:val="0ABC5606"/>
    <w:rsid w:val="0ACA0AE6"/>
    <w:rsid w:val="0B30404E"/>
    <w:rsid w:val="0B32455D"/>
    <w:rsid w:val="0B473F7A"/>
    <w:rsid w:val="0B4C6C14"/>
    <w:rsid w:val="0B547599"/>
    <w:rsid w:val="0B631A88"/>
    <w:rsid w:val="0B650B85"/>
    <w:rsid w:val="0B683D45"/>
    <w:rsid w:val="0B7F3F11"/>
    <w:rsid w:val="0B884417"/>
    <w:rsid w:val="0B8909A2"/>
    <w:rsid w:val="0BEB6F66"/>
    <w:rsid w:val="0BF6188C"/>
    <w:rsid w:val="0BF73C91"/>
    <w:rsid w:val="0BFE6C9A"/>
    <w:rsid w:val="0C170175"/>
    <w:rsid w:val="0C403756"/>
    <w:rsid w:val="0C571A41"/>
    <w:rsid w:val="0C594818"/>
    <w:rsid w:val="0C5C1171"/>
    <w:rsid w:val="0C5E1CBC"/>
    <w:rsid w:val="0C607454"/>
    <w:rsid w:val="0C615B50"/>
    <w:rsid w:val="0C8445DA"/>
    <w:rsid w:val="0C87121B"/>
    <w:rsid w:val="0CC007F7"/>
    <w:rsid w:val="0CC47EE3"/>
    <w:rsid w:val="0CC617AC"/>
    <w:rsid w:val="0CE618DF"/>
    <w:rsid w:val="0CFE707A"/>
    <w:rsid w:val="0D005685"/>
    <w:rsid w:val="0D063BDA"/>
    <w:rsid w:val="0D08375F"/>
    <w:rsid w:val="0D184CFB"/>
    <w:rsid w:val="0D2941EA"/>
    <w:rsid w:val="0D2D26A5"/>
    <w:rsid w:val="0D3A63F7"/>
    <w:rsid w:val="0D4A7419"/>
    <w:rsid w:val="0D6671EC"/>
    <w:rsid w:val="0D827401"/>
    <w:rsid w:val="0D84094E"/>
    <w:rsid w:val="0D896A37"/>
    <w:rsid w:val="0D8A00E9"/>
    <w:rsid w:val="0D8D589E"/>
    <w:rsid w:val="0D954E07"/>
    <w:rsid w:val="0DA01C73"/>
    <w:rsid w:val="0DD63300"/>
    <w:rsid w:val="0DF50604"/>
    <w:rsid w:val="0DF702FE"/>
    <w:rsid w:val="0E060E51"/>
    <w:rsid w:val="0E2008DB"/>
    <w:rsid w:val="0E5604B2"/>
    <w:rsid w:val="0E576B35"/>
    <w:rsid w:val="0E6D5D79"/>
    <w:rsid w:val="0E9D0089"/>
    <w:rsid w:val="0EA10D2A"/>
    <w:rsid w:val="0EAF071F"/>
    <w:rsid w:val="0EB803EE"/>
    <w:rsid w:val="0EC57F43"/>
    <w:rsid w:val="0ED307D9"/>
    <w:rsid w:val="0EF32D02"/>
    <w:rsid w:val="0EF94D4B"/>
    <w:rsid w:val="0F386966"/>
    <w:rsid w:val="0F4958DC"/>
    <w:rsid w:val="0F515DF7"/>
    <w:rsid w:val="0F596BA8"/>
    <w:rsid w:val="0F6248D2"/>
    <w:rsid w:val="0F693536"/>
    <w:rsid w:val="0F7B0511"/>
    <w:rsid w:val="0F7B76D9"/>
    <w:rsid w:val="0F816ACD"/>
    <w:rsid w:val="0F84395A"/>
    <w:rsid w:val="0F9832DB"/>
    <w:rsid w:val="0FA43FFC"/>
    <w:rsid w:val="0FBD3E53"/>
    <w:rsid w:val="0FBF3FD2"/>
    <w:rsid w:val="0FBF7FF3"/>
    <w:rsid w:val="0FE4089C"/>
    <w:rsid w:val="100B5E29"/>
    <w:rsid w:val="1021389E"/>
    <w:rsid w:val="10480E2B"/>
    <w:rsid w:val="105060D5"/>
    <w:rsid w:val="10646583"/>
    <w:rsid w:val="107D4B15"/>
    <w:rsid w:val="108A3C80"/>
    <w:rsid w:val="10C26171"/>
    <w:rsid w:val="10F33360"/>
    <w:rsid w:val="10FC16EA"/>
    <w:rsid w:val="110F1949"/>
    <w:rsid w:val="110F1D40"/>
    <w:rsid w:val="11266F33"/>
    <w:rsid w:val="112F5B47"/>
    <w:rsid w:val="118963A1"/>
    <w:rsid w:val="118B7221"/>
    <w:rsid w:val="11A13517"/>
    <w:rsid w:val="11C6522A"/>
    <w:rsid w:val="11E104CC"/>
    <w:rsid w:val="11E20309"/>
    <w:rsid w:val="11E20E0C"/>
    <w:rsid w:val="11E245C8"/>
    <w:rsid w:val="11F03528"/>
    <w:rsid w:val="12255233"/>
    <w:rsid w:val="12437C74"/>
    <w:rsid w:val="12530213"/>
    <w:rsid w:val="127723A9"/>
    <w:rsid w:val="12862074"/>
    <w:rsid w:val="12883966"/>
    <w:rsid w:val="129E45B4"/>
    <w:rsid w:val="12D81596"/>
    <w:rsid w:val="12E56E05"/>
    <w:rsid w:val="13051255"/>
    <w:rsid w:val="13072A44"/>
    <w:rsid w:val="13224518"/>
    <w:rsid w:val="132A4818"/>
    <w:rsid w:val="135F4BE2"/>
    <w:rsid w:val="139B1A0A"/>
    <w:rsid w:val="139D25C7"/>
    <w:rsid w:val="13A903BA"/>
    <w:rsid w:val="13BF3CE4"/>
    <w:rsid w:val="13EE5846"/>
    <w:rsid w:val="141008D8"/>
    <w:rsid w:val="14125FE6"/>
    <w:rsid w:val="145025E8"/>
    <w:rsid w:val="146D271E"/>
    <w:rsid w:val="14982588"/>
    <w:rsid w:val="149A5AD9"/>
    <w:rsid w:val="14A7619D"/>
    <w:rsid w:val="14C8253B"/>
    <w:rsid w:val="14EA425F"/>
    <w:rsid w:val="14EB3E95"/>
    <w:rsid w:val="150536C3"/>
    <w:rsid w:val="150C1963"/>
    <w:rsid w:val="151447A0"/>
    <w:rsid w:val="152B4878"/>
    <w:rsid w:val="154020D1"/>
    <w:rsid w:val="15455939"/>
    <w:rsid w:val="154A6454"/>
    <w:rsid w:val="156F0C08"/>
    <w:rsid w:val="15762120"/>
    <w:rsid w:val="158F12AA"/>
    <w:rsid w:val="15D77F1B"/>
    <w:rsid w:val="15F014F9"/>
    <w:rsid w:val="16227A86"/>
    <w:rsid w:val="163919FD"/>
    <w:rsid w:val="166353E2"/>
    <w:rsid w:val="16A8729C"/>
    <w:rsid w:val="16B33777"/>
    <w:rsid w:val="16BC70A7"/>
    <w:rsid w:val="16C6339E"/>
    <w:rsid w:val="16D11459"/>
    <w:rsid w:val="16DA00DD"/>
    <w:rsid w:val="16FB6BF7"/>
    <w:rsid w:val="171437CD"/>
    <w:rsid w:val="172F215D"/>
    <w:rsid w:val="172F2D79"/>
    <w:rsid w:val="17557BEF"/>
    <w:rsid w:val="176C53FF"/>
    <w:rsid w:val="17D349C1"/>
    <w:rsid w:val="17E01949"/>
    <w:rsid w:val="18220694"/>
    <w:rsid w:val="182B350C"/>
    <w:rsid w:val="1830729E"/>
    <w:rsid w:val="18510A99"/>
    <w:rsid w:val="18616F2E"/>
    <w:rsid w:val="1870062C"/>
    <w:rsid w:val="187C3D68"/>
    <w:rsid w:val="18817102"/>
    <w:rsid w:val="18830A15"/>
    <w:rsid w:val="18852B28"/>
    <w:rsid w:val="188B5321"/>
    <w:rsid w:val="189C7E50"/>
    <w:rsid w:val="18DA28B6"/>
    <w:rsid w:val="191F46F3"/>
    <w:rsid w:val="192F0DDA"/>
    <w:rsid w:val="19463461"/>
    <w:rsid w:val="19487729"/>
    <w:rsid w:val="196C4CD9"/>
    <w:rsid w:val="19932372"/>
    <w:rsid w:val="19A20DD5"/>
    <w:rsid w:val="19AE03F1"/>
    <w:rsid w:val="19B7492C"/>
    <w:rsid w:val="19B94B48"/>
    <w:rsid w:val="19EF51BA"/>
    <w:rsid w:val="1A071A03"/>
    <w:rsid w:val="1A0E09F0"/>
    <w:rsid w:val="1A1324AA"/>
    <w:rsid w:val="1A1F16AE"/>
    <w:rsid w:val="1A3B5C77"/>
    <w:rsid w:val="1A7B3BAB"/>
    <w:rsid w:val="1A984BAD"/>
    <w:rsid w:val="1AB8220E"/>
    <w:rsid w:val="1ABB6CEC"/>
    <w:rsid w:val="1AE4166C"/>
    <w:rsid w:val="1AF06CFB"/>
    <w:rsid w:val="1AF11B8D"/>
    <w:rsid w:val="1B11359C"/>
    <w:rsid w:val="1B1C538E"/>
    <w:rsid w:val="1B2A271F"/>
    <w:rsid w:val="1B4072CF"/>
    <w:rsid w:val="1B530544"/>
    <w:rsid w:val="1B650AE3"/>
    <w:rsid w:val="1B713184"/>
    <w:rsid w:val="1B803B6F"/>
    <w:rsid w:val="1B9211AC"/>
    <w:rsid w:val="1B9238A2"/>
    <w:rsid w:val="1BA00681"/>
    <w:rsid w:val="1BA209CF"/>
    <w:rsid w:val="1BB13D28"/>
    <w:rsid w:val="1BB4777D"/>
    <w:rsid w:val="1BBB0703"/>
    <w:rsid w:val="1BD75AB8"/>
    <w:rsid w:val="1BEC2FB3"/>
    <w:rsid w:val="1C0459C2"/>
    <w:rsid w:val="1C0A168B"/>
    <w:rsid w:val="1C1B3B4A"/>
    <w:rsid w:val="1C525A3A"/>
    <w:rsid w:val="1C7725CD"/>
    <w:rsid w:val="1C88086E"/>
    <w:rsid w:val="1CC23D13"/>
    <w:rsid w:val="1CEE6F01"/>
    <w:rsid w:val="1D1C1676"/>
    <w:rsid w:val="1D266CE1"/>
    <w:rsid w:val="1D3963AF"/>
    <w:rsid w:val="1D3D0FE5"/>
    <w:rsid w:val="1D6A673C"/>
    <w:rsid w:val="1D87616A"/>
    <w:rsid w:val="1D9247AE"/>
    <w:rsid w:val="1DB567EC"/>
    <w:rsid w:val="1DDA4CBB"/>
    <w:rsid w:val="1DE20038"/>
    <w:rsid w:val="1DF51A98"/>
    <w:rsid w:val="1E256365"/>
    <w:rsid w:val="1E3173A3"/>
    <w:rsid w:val="1E3D060F"/>
    <w:rsid w:val="1E3F7D2E"/>
    <w:rsid w:val="1E4134E4"/>
    <w:rsid w:val="1E5062B3"/>
    <w:rsid w:val="1E523514"/>
    <w:rsid w:val="1E6A6411"/>
    <w:rsid w:val="1E714A66"/>
    <w:rsid w:val="1E802593"/>
    <w:rsid w:val="1E827C5E"/>
    <w:rsid w:val="1E8B6156"/>
    <w:rsid w:val="1EA703CC"/>
    <w:rsid w:val="1EB7330C"/>
    <w:rsid w:val="1EBB6C6C"/>
    <w:rsid w:val="1F0A0FF3"/>
    <w:rsid w:val="1F494278"/>
    <w:rsid w:val="1F5771FF"/>
    <w:rsid w:val="1F5F3A9B"/>
    <w:rsid w:val="1F646BF6"/>
    <w:rsid w:val="1F705CA9"/>
    <w:rsid w:val="1F840C68"/>
    <w:rsid w:val="1F904124"/>
    <w:rsid w:val="1FA53BA4"/>
    <w:rsid w:val="1FB738D7"/>
    <w:rsid w:val="1FC55FF4"/>
    <w:rsid w:val="1FE868A9"/>
    <w:rsid w:val="20034907"/>
    <w:rsid w:val="20052895"/>
    <w:rsid w:val="20173E4B"/>
    <w:rsid w:val="20256A93"/>
    <w:rsid w:val="202645B9"/>
    <w:rsid w:val="203F1570"/>
    <w:rsid w:val="204E48BC"/>
    <w:rsid w:val="208921B3"/>
    <w:rsid w:val="20973DEB"/>
    <w:rsid w:val="20AB30E2"/>
    <w:rsid w:val="20B26522"/>
    <w:rsid w:val="20B44310"/>
    <w:rsid w:val="20EF2BFD"/>
    <w:rsid w:val="210743EB"/>
    <w:rsid w:val="21091F11"/>
    <w:rsid w:val="210E7527"/>
    <w:rsid w:val="211116EB"/>
    <w:rsid w:val="21271830"/>
    <w:rsid w:val="2130049E"/>
    <w:rsid w:val="215C64E4"/>
    <w:rsid w:val="216133FC"/>
    <w:rsid w:val="218D0F3A"/>
    <w:rsid w:val="21CB18BC"/>
    <w:rsid w:val="21D56769"/>
    <w:rsid w:val="21E06B66"/>
    <w:rsid w:val="21E112ED"/>
    <w:rsid w:val="21E52EF3"/>
    <w:rsid w:val="21FB5D7B"/>
    <w:rsid w:val="22015E94"/>
    <w:rsid w:val="220B1C3D"/>
    <w:rsid w:val="221D1D20"/>
    <w:rsid w:val="22334A87"/>
    <w:rsid w:val="226118D9"/>
    <w:rsid w:val="227D2BB6"/>
    <w:rsid w:val="22BE6801"/>
    <w:rsid w:val="22D4654E"/>
    <w:rsid w:val="22D87DED"/>
    <w:rsid w:val="22F564B9"/>
    <w:rsid w:val="23201794"/>
    <w:rsid w:val="233500BF"/>
    <w:rsid w:val="23377FF7"/>
    <w:rsid w:val="233B65CE"/>
    <w:rsid w:val="236B425F"/>
    <w:rsid w:val="23836192"/>
    <w:rsid w:val="23901F29"/>
    <w:rsid w:val="239C0061"/>
    <w:rsid w:val="23B37E79"/>
    <w:rsid w:val="23B5610E"/>
    <w:rsid w:val="23B908A4"/>
    <w:rsid w:val="23C93BD9"/>
    <w:rsid w:val="23CC105A"/>
    <w:rsid w:val="23E159F4"/>
    <w:rsid w:val="23E95BEF"/>
    <w:rsid w:val="23F3768B"/>
    <w:rsid w:val="23FD0064"/>
    <w:rsid w:val="241F37F9"/>
    <w:rsid w:val="242E4F59"/>
    <w:rsid w:val="243D3180"/>
    <w:rsid w:val="24521E21"/>
    <w:rsid w:val="245375B0"/>
    <w:rsid w:val="24642C0A"/>
    <w:rsid w:val="24833D88"/>
    <w:rsid w:val="24B22173"/>
    <w:rsid w:val="24B95AD9"/>
    <w:rsid w:val="24BE24DA"/>
    <w:rsid w:val="24C34ACD"/>
    <w:rsid w:val="24CF5825"/>
    <w:rsid w:val="24D663E6"/>
    <w:rsid w:val="24D77F2B"/>
    <w:rsid w:val="24E52C95"/>
    <w:rsid w:val="24ED56A6"/>
    <w:rsid w:val="250D6DDF"/>
    <w:rsid w:val="25331C52"/>
    <w:rsid w:val="258B00E2"/>
    <w:rsid w:val="25A917A6"/>
    <w:rsid w:val="25BE27CC"/>
    <w:rsid w:val="25DF5936"/>
    <w:rsid w:val="25F74A5C"/>
    <w:rsid w:val="26081B3A"/>
    <w:rsid w:val="261C4C02"/>
    <w:rsid w:val="261C6242"/>
    <w:rsid w:val="2628662C"/>
    <w:rsid w:val="262D45DE"/>
    <w:rsid w:val="262F57E2"/>
    <w:rsid w:val="266320C3"/>
    <w:rsid w:val="26871DC8"/>
    <w:rsid w:val="26A53EF9"/>
    <w:rsid w:val="26A94201"/>
    <w:rsid w:val="26AC274F"/>
    <w:rsid w:val="26B648E9"/>
    <w:rsid w:val="26F251F5"/>
    <w:rsid w:val="27044A29"/>
    <w:rsid w:val="270A69E3"/>
    <w:rsid w:val="270E64D3"/>
    <w:rsid w:val="271D34C8"/>
    <w:rsid w:val="273601D5"/>
    <w:rsid w:val="276142BF"/>
    <w:rsid w:val="276500BD"/>
    <w:rsid w:val="27783712"/>
    <w:rsid w:val="27907362"/>
    <w:rsid w:val="279369D8"/>
    <w:rsid w:val="27A504B9"/>
    <w:rsid w:val="27E62FAC"/>
    <w:rsid w:val="27ED433A"/>
    <w:rsid w:val="28125142"/>
    <w:rsid w:val="28333E1D"/>
    <w:rsid w:val="283B1F3C"/>
    <w:rsid w:val="28454BD6"/>
    <w:rsid w:val="28455253"/>
    <w:rsid w:val="284E28FF"/>
    <w:rsid w:val="28551971"/>
    <w:rsid w:val="28591380"/>
    <w:rsid w:val="285B1C53"/>
    <w:rsid w:val="289C035C"/>
    <w:rsid w:val="289F7086"/>
    <w:rsid w:val="28C32028"/>
    <w:rsid w:val="28CC490F"/>
    <w:rsid w:val="28D177B8"/>
    <w:rsid w:val="28DE40AA"/>
    <w:rsid w:val="292A511A"/>
    <w:rsid w:val="29345E77"/>
    <w:rsid w:val="294C65AD"/>
    <w:rsid w:val="2951272C"/>
    <w:rsid w:val="29806583"/>
    <w:rsid w:val="298B3C4C"/>
    <w:rsid w:val="29A27B4A"/>
    <w:rsid w:val="29A94291"/>
    <w:rsid w:val="29B844D4"/>
    <w:rsid w:val="29F26D24"/>
    <w:rsid w:val="29F81E64"/>
    <w:rsid w:val="2A0E2346"/>
    <w:rsid w:val="2A117E8B"/>
    <w:rsid w:val="2A15033F"/>
    <w:rsid w:val="2A1662C1"/>
    <w:rsid w:val="2A1C7367"/>
    <w:rsid w:val="2A2815FA"/>
    <w:rsid w:val="2A2D414C"/>
    <w:rsid w:val="2A5E4860"/>
    <w:rsid w:val="2A5E7E2D"/>
    <w:rsid w:val="2A663566"/>
    <w:rsid w:val="2A6D6092"/>
    <w:rsid w:val="2A7D76B4"/>
    <w:rsid w:val="2A9767DF"/>
    <w:rsid w:val="2B1B2F6C"/>
    <w:rsid w:val="2B437463"/>
    <w:rsid w:val="2B4A1AA4"/>
    <w:rsid w:val="2B591CE7"/>
    <w:rsid w:val="2B5D5537"/>
    <w:rsid w:val="2B7807EE"/>
    <w:rsid w:val="2BA50BF7"/>
    <w:rsid w:val="2BB752A8"/>
    <w:rsid w:val="2BBF00EC"/>
    <w:rsid w:val="2BC37CFD"/>
    <w:rsid w:val="2BD5237F"/>
    <w:rsid w:val="2BE536CE"/>
    <w:rsid w:val="2BE758D9"/>
    <w:rsid w:val="2C0318E7"/>
    <w:rsid w:val="2C09049E"/>
    <w:rsid w:val="2C0A653C"/>
    <w:rsid w:val="2C1520B2"/>
    <w:rsid w:val="2C1874AC"/>
    <w:rsid w:val="2C191F85"/>
    <w:rsid w:val="2C3342E6"/>
    <w:rsid w:val="2C3806EC"/>
    <w:rsid w:val="2C622CBA"/>
    <w:rsid w:val="2CE77D3C"/>
    <w:rsid w:val="2CE82D6F"/>
    <w:rsid w:val="2CED6B8B"/>
    <w:rsid w:val="2D343236"/>
    <w:rsid w:val="2D4B38B1"/>
    <w:rsid w:val="2D8A7145"/>
    <w:rsid w:val="2DB476A8"/>
    <w:rsid w:val="2DD15014"/>
    <w:rsid w:val="2DDD09AD"/>
    <w:rsid w:val="2DF72DE4"/>
    <w:rsid w:val="2E0220AF"/>
    <w:rsid w:val="2E093550"/>
    <w:rsid w:val="2E4B082A"/>
    <w:rsid w:val="2E5D4E86"/>
    <w:rsid w:val="2E5D790B"/>
    <w:rsid w:val="2E935510"/>
    <w:rsid w:val="2E9A3C18"/>
    <w:rsid w:val="2EB3155B"/>
    <w:rsid w:val="2EBB0FEE"/>
    <w:rsid w:val="2EC1207D"/>
    <w:rsid w:val="2EC63002"/>
    <w:rsid w:val="2F0A6B38"/>
    <w:rsid w:val="2F283EAA"/>
    <w:rsid w:val="2F5563C2"/>
    <w:rsid w:val="2F697F3B"/>
    <w:rsid w:val="2F705BBA"/>
    <w:rsid w:val="2F7470EF"/>
    <w:rsid w:val="2F7964B4"/>
    <w:rsid w:val="2F7E7F6E"/>
    <w:rsid w:val="2F8119E7"/>
    <w:rsid w:val="2F8F18E7"/>
    <w:rsid w:val="2F946CCB"/>
    <w:rsid w:val="2FC00586"/>
    <w:rsid w:val="2FD25781"/>
    <w:rsid w:val="2FDC745C"/>
    <w:rsid w:val="2FE674A5"/>
    <w:rsid w:val="2FFB2B49"/>
    <w:rsid w:val="2FFD7934"/>
    <w:rsid w:val="30071D11"/>
    <w:rsid w:val="30234671"/>
    <w:rsid w:val="30733ACD"/>
    <w:rsid w:val="308C3862"/>
    <w:rsid w:val="309379D8"/>
    <w:rsid w:val="30986E0D"/>
    <w:rsid w:val="309C7EC7"/>
    <w:rsid w:val="30A270F7"/>
    <w:rsid w:val="30AA14F8"/>
    <w:rsid w:val="30B362CA"/>
    <w:rsid w:val="30C24B73"/>
    <w:rsid w:val="30DF1478"/>
    <w:rsid w:val="30EC586F"/>
    <w:rsid w:val="311D6E24"/>
    <w:rsid w:val="316842DD"/>
    <w:rsid w:val="319C6071"/>
    <w:rsid w:val="319F1CC5"/>
    <w:rsid w:val="31A11ECE"/>
    <w:rsid w:val="31AA3038"/>
    <w:rsid w:val="31AC537E"/>
    <w:rsid w:val="31E3679B"/>
    <w:rsid w:val="31E732FD"/>
    <w:rsid w:val="31EB11BF"/>
    <w:rsid w:val="32163B88"/>
    <w:rsid w:val="324B37A0"/>
    <w:rsid w:val="325154C6"/>
    <w:rsid w:val="32517576"/>
    <w:rsid w:val="32690A61"/>
    <w:rsid w:val="329326DF"/>
    <w:rsid w:val="32943604"/>
    <w:rsid w:val="3296737C"/>
    <w:rsid w:val="32A24AAE"/>
    <w:rsid w:val="32BE5C2C"/>
    <w:rsid w:val="32D63C1D"/>
    <w:rsid w:val="32FB6478"/>
    <w:rsid w:val="330F5320"/>
    <w:rsid w:val="33233306"/>
    <w:rsid w:val="332410BB"/>
    <w:rsid w:val="33263B3F"/>
    <w:rsid w:val="33264BA4"/>
    <w:rsid w:val="336963EB"/>
    <w:rsid w:val="337D6B81"/>
    <w:rsid w:val="33816EEB"/>
    <w:rsid w:val="339733AC"/>
    <w:rsid w:val="33EB55CD"/>
    <w:rsid w:val="33EC4C02"/>
    <w:rsid w:val="33F70876"/>
    <w:rsid w:val="33FE342B"/>
    <w:rsid w:val="340D2360"/>
    <w:rsid w:val="3410665D"/>
    <w:rsid w:val="34211214"/>
    <w:rsid w:val="342E63AB"/>
    <w:rsid w:val="34367069"/>
    <w:rsid w:val="34950E68"/>
    <w:rsid w:val="34986E94"/>
    <w:rsid w:val="34AF62C9"/>
    <w:rsid w:val="34BB756E"/>
    <w:rsid w:val="34C54D6F"/>
    <w:rsid w:val="34CB4388"/>
    <w:rsid w:val="34D81ECE"/>
    <w:rsid w:val="34FA6E12"/>
    <w:rsid w:val="351849C1"/>
    <w:rsid w:val="35270760"/>
    <w:rsid w:val="354D7158"/>
    <w:rsid w:val="357F234A"/>
    <w:rsid w:val="358D5588"/>
    <w:rsid w:val="361164F9"/>
    <w:rsid w:val="363A3B40"/>
    <w:rsid w:val="365302AE"/>
    <w:rsid w:val="365F7944"/>
    <w:rsid w:val="36607A0A"/>
    <w:rsid w:val="366E227C"/>
    <w:rsid w:val="366F2E0D"/>
    <w:rsid w:val="366F50DC"/>
    <w:rsid w:val="367B6A5C"/>
    <w:rsid w:val="36830F3A"/>
    <w:rsid w:val="36A74ADA"/>
    <w:rsid w:val="36AB4220"/>
    <w:rsid w:val="36AD60D5"/>
    <w:rsid w:val="36B224F9"/>
    <w:rsid w:val="36B23ECE"/>
    <w:rsid w:val="36E3469B"/>
    <w:rsid w:val="36EC0CC9"/>
    <w:rsid w:val="371D1E1A"/>
    <w:rsid w:val="373F410B"/>
    <w:rsid w:val="374A4272"/>
    <w:rsid w:val="37C07E87"/>
    <w:rsid w:val="37ED3EE3"/>
    <w:rsid w:val="37EE7094"/>
    <w:rsid w:val="38033706"/>
    <w:rsid w:val="38172D0E"/>
    <w:rsid w:val="38237904"/>
    <w:rsid w:val="38296C89"/>
    <w:rsid w:val="383002EB"/>
    <w:rsid w:val="383F450C"/>
    <w:rsid w:val="38414B66"/>
    <w:rsid w:val="38586797"/>
    <w:rsid w:val="38675A43"/>
    <w:rsid w:val="38685317"/>
    <w:rsid w:val="387F42EB"/>
    <w:rsid w:val="38975BFC"/>
    <w:rsid w:val="38BC0149"/>
    <w:rsid w:val="38C00A02"/>
    <w:rsid w:val="38D87D1C"/>
    <w:rsid w:val="38DD5C76"/>
    <w:rsid w:val="38E01351"/>
    <w:rsid w:val="39636459"/>
    <w:rsid w:val="396B7F6C"/>
    <w:rsid w:val="39745A19"/>
    <w:rsid w:val="397C056C"/>
    <w:rsid w:val="39A9086A"/>
    <w:rsid w:val="39AA35E8"/>
    <w:rsid w:val="39B417A9"/>
    <w:rsid w:val="39CF66AA"/>
    <w:rsid w:val="39DC5D26"/>
    <w:rsid w:val="39FC5695"/>
    <w:rsid w:val="3A006D8E"/>
    <w:rsid w:val="3A204F94"/>
    <w:rsid w:val="3A3651E5"/>
    <w:rsid w:val="3A450985"/>
    <w:rsid w:val="3A476B07"/>
    <w:rsid w:val="3A5827A2"/>
    <w:rsid w:val="3A64183E"/>
    <w:rsid w:val="3A744481"/>
    <w:rsid w:val="3A893C3D"/>
    <w:rsid w:val="3A8C7BEF"/>
    <w:rsid w:val="3A906246"/>
    <w:rsid w:val="3A916DA7"/>
    <w:rsid w:val="3A9E536B"/>
    <w:rsid w:val="3AA57635"/>
    <w:rsid w:val="3B2349B7"/>
    <w:rsid w:val="3B616CFF"/>
    <w:rsid w:val="3B6259F6"/>
    <w:rsid w:val="3B9052B1"/>
    <w:rsid w:val="3B976654"/>
    <w:rsid w:val="3BC01EFC"/>
    <w:rsid w:val="3BCA786A"/>
    <w:rsid w:val="3BD31E2F"/>
    <w:rsid w:val="3BE253E0"/>
    <w:rsid w:val="3BE74DCE"/>
    <w:rsid w:val="3BF15831"/>
    <w:rsid w:val="3C105946"/>
    <w:rsid w:val="3C471448"/>
    <w:rsid w:val="3C5F759A"/>
    <w:rsid w:val="3C6B7ACC"/>
    <w:rsid w:val="3C6C525A"/>
    <w:rsid w:val="3C91052B"/>
    <w:rsid w:val="3C940DD1"/>
    <w:rsid w:val="3CCE0757"/>
    <w:rsid w:val="3CCE23CB"/>
    <w:rsid w:val="3CD17D17"/>
    <w:rsid w:val="3CD967E3"/>
    <w:rsid w:val="3CF74540"/>
    <w:rsid w:val="3D3C7F39"/>
    <w:rsid w:val="3D440F09"/>
    <w:rsid w:val="3D4504A0"/>
    <w:rsid w:val="3D673163"/>
    <w:rsid w:val="3D8734BB"/>
    <w:rsid w:val="3D8F3346"/>
    <w:rsid w:val="3D9A11D4"/>
    <w:rsid w:val="3DA16D89"/>
    <w:rsid w:val="3DA364BE"/>
    <w:rsid w:val="3DE041CB"/>
    <w:rsid w:val="3E0D48F6"/>
    <w:rsid w:val="3E1868B4"/>
    <w:rsid w:val="3E192C3E"/>
    <w:rsid w:val="3E377251"/>
    <w:rsid w:val="3E3D7695"/>
    <w:rsid w:val="3E42664B"/>
    <w:rsid w:val="3E522CF1"/>
    <w:rsid w:val="3E5A7334"/>
    <w:rsid w:val="3E7B5D6B"/>
    <w:rsid w:val="3E843E66"/>
    <w:rsid w:val="3E8F51FE"/>
    <w:rsid w:val="3E926F87"/>
    <w:rsid w:val="3E9A59DE"/>
    <w:rsid w:val="3E9C622E"/>
    <w:rsid w:val="3EAF4836"/>
    <w:rsid w:val="3EB07A18"/>
    <w:rsid w:val="3EC33DFA"/>
    <w:rsid w:val="3EF9316D"/>
    <w:rsid w:val="3F060E16"/>
    <w:rsid w:val="3F1D1096"/>
    <w:rsid w:val="3F2F0234"/>
    <w:rsid w:val="3F6363FE"/>
    <w:rsid w:val="3F6932EB"/>
    <w:rsid w:val="3F756B8F"/>
    <w:rsid w:val="3F811FA6"/>
    <w:rsid w:val="3F9150F7"/>
    <w:rsid w:val="3F95482B"/>
    <w:rsid w:val="3F9B06C8"/>
    <w:rsid w:val="3FDB3BB7"/>
    <w:rsid w:val="4019356B"/>
    <w:rsid w:val="40592157"/>
    <w:rsid w:val="406E1939"/>
    <w:rsid w:val="406E1CAE"/>
    <w:rsid w:val="409217D2"/>
    <w:rsid w:val="409D025C"/>
    <w:rsid w:val="409F1AF2"/>
    <w:rsid w:val="40A0133A"/>
    <w:rsid w:val="40C31A53"/>
    <w:rsid w:val="40CB6D8B"/>
    <w:rsid w:val="40CD48B1"/>
    <w:rsid w:val="40DE6ABE"/>
    <w:rsid w:val="40E83499"/>
    <w:rsid w:val="40FF545D"/>
    <w:rsid w:val="410067C8"/>
    <w:rsid w:val="414D59F2"/>
    <w:rsid w:val="415935B0"/>
    <w:rsid w:val="416176D3"/>
    <w:rsid w:val="417E7959"/>
    <w:rsid w:val="418F0D2A"/>
    <w:rsid w:val="41A970CC"/>
    <w:rsid w:val="41D01505"/>
    <w:rsid w:val="41DB1DE2"/>
    <w:rsid w:val="42474939"/>
    <w:rsid w:val="424C3C57"/>
    <w:rsid w:val="42613FF3"/>
    <w:rsid w:val="42655F99"/>
    <w:rsid w:val="42660D96"/>
    <w:rsid w:val="428667D2"/>
    <w:rsid w:val="42CD1CE0"/>
    <w:rsid w:val="42E1381E"/>
    <w:rsid w:val="42ED6459"/>
    <w:rsid w:val="42F06635"/>
    <w:rsid w:val="42F5544C"/>
    <w:rsid w:val="42F6139F"/>
    <w:rsid w:val="42FE58DD"/>
    <w:rsid w:val="43174B3D"/>
    <w:rsid w:val="4348021F"/>
    <w:rsid w:val="43486DC9"/>
    <w:rsid w:val="434B790E"/>
    <w:rsid w:val="4360274F"/>
    <w:rsid w:val="437B23A2"/>
    <w:rsid w:val="43977AB6"/>
    <w:rsid w:val="43A26FE5"/>
    <w:rsid w:val="43A3342B"/>
    <w:rsid w:val="43C77C27"/>
    <w:rsid w:val="43CC2BFE"/>
    <w:rsid w:val="43DE09EE"/>
    <w:rsid w:val="43F81C45"/>
    <w:rsid w:val="44002FAD"/>
    <w:rsid w:val="441C37AA"/>
    <w:rsid w:val="44705C7F"/>
    <w:rsid w:val="44782D86"/>
    <w:rsid w:val="449101DD"/>
    <w:rsid w:val="44AB0037"/>
    <w:rsid w:val="44DE1391"/>
    <w:rsid w:val="44DF2E05"/>
    <w:rsid w:val="450217D3"/>
    <w:rsid w:val="451B225C"/>
    <w:rsid w:val="451D6913"/>
    <w:rsid w:val="452410C9"/>
    <w:rsid w:val="45317DFB"/>
    <w:rsid w:val="45544B15"/>
    <w:rsid w:val="456D3CE4"/>
    <w:rsid w:val="4579042C"/>
    <w:rsid w:val="457F0571"/>
    <w:rsid w:val="45851176"/>
    <w:rsid w:val="459040FF"/>
    <w:rsid w:val="45A8769B"/>
    <w:rsid w:val="45AC718B"/>
    <w:rsid w:val="45BF1803"/>
    <w:rsid w:val="45C55BC2"/>
    <w:rsid w:val="45C63B94"/>
    <w:rsid w:val="45E36312"/>
    <w:rsid w:val="45EE1561"/>
    <w:rsid w:val="460129E9"/>
    <w:rsid w:val="460E7DA5"/>
    <w:rsid w:val="463A59B6"/>
    <w:rsid w:val="46422483"/>
    <w:rsid w:val="4659254A"/>
    <w:rsid w:val="465B0637"/>
    <w:rsid w:val="465E3F0D"/>
    <w:rsid w:val="466A16E6"/>
    <w:rsid w:val="466C691A"/>
    <w:rsid w:val="46893F2B"/>
    <w:rsid w:val="469043B7"/>
    <w:rsid w:val="4698326B"/>
    <w:rsid w:val="46B7509B"/>
    <w:rsid w:val="46C444E6"/>
    <w:rsid w:val="46C4686E"/>
    <w:rsid w:val="46D00C57"/>
    <w:rsid w:val="46E46B2F"/>
    <w:rsid w:val="46F168EC"/>
    <w:rsid w:val="46FA3F26"/>
    <w:rsid w:val="470E6E59"/>
    <w:rsid w:val="476A10AC"/>
    <w:rsid w:val="477B778F"/>
    <w:rsid w:val="478203EC"/>
    <w:rsid w:val="47867B3B"/>
    <w:rsid w:val="479A532E"/>
    <w:rsid w:val="47AC3472"/>
    <w:rsid w:val="47B025FA"/>
    <w:rsid w:val="4809698F"/>
    <w:rsid w:val="4811697D"/>
    <w:rsid w:val="486750AE"/>
    <w:rsid w:val="48757D08"/>
    <w:rsid w:val="487A3E25"/>
    <w:rsid w:val="488B5503"/>
    <w:rsid w:val="48937E21"/>
    <w:rsid w:val="489A0361"/>
    <w:rsid w:val="48A8102D"/>
    <w:rsid w:val="48B94FF3"/>
    <w:rsid w:val="48E37AAB"/>
    <w:rsid w:val="48FD4B4C"/>
    <w:rsid w:val="490A68E0"/>
    <w:rsid w:val="491055FE"/>
    <w:rsid w:val="49267254"/>
    <w:rsid w:val="495F2766"/>
    <w:rsid w:val="495F5B3E"/>
    <w:rsid w:val="49663AF5"/>
    <w:rsid w:val="496F77D7"/>
    <w:rsid w:val="497654FD"/>
    <w:rsid w:val="49B64211"/>
    <w:rsid w:val="49D00F6E"/>
    <w:rsid w:val="49D41AAC"/>
    <w:rsid w:val="49F033BE"/>
    <w:rsid w:val="49F6167F"/>
    <w:rsid w:val="4A064FA0"/>
    <w:rsid w:val="4A16615C"/>
    <w:rsid w:val="4A317C5F"/>
    <w:rsid w:val="4A4424D7"/>
    <w:rsid w:val="4A8F7F71"/>
    <w:rsid w:val="4AB82D0F"/>
    <w:rsid w:val="4AC565F9"/>
    <w:rsid w:val="4ADF590D"/>
    <w:rsid w:val="4AE271AB"/>
    <w:rsid w:val="4AEB7664"/>
    <w:rsid w:val="4AFD7C19"/>
    <w:rsid w:val="4B0567D1"/>
    <w:rsid w:val="4B236AAE"/>
    <w:rsid w:val="4B2477C4"/>
    <w:rsid w:val="4B2F799D"/>
    <w:rsid w:val="4B3113E2"/>
    <w:rsid w:val="4B402530"/>
    <w:rsid w:val="4B4E2A92"/>
    <w:rsid w:val="4B577B99"/>
    <w:rsid w:val="4B5D6832"/>
    <w:rsid w:val="4B707271"/>
    <w:rsid w:val="4B9739F7"/>
    <w:rsid w:val="4BAB3A41"/>
    <w:rsid w:val="4BAD3BC3"/>
    <w:rsid w:val="4BEE2503"/>
    <w:rsid w:val="4BF727EA"/>
    <w:rsid w:val="4C043151"/>
    <w:rsid w:val="4C245A30"/>
    <w:rsid w:val="4C4C6346"/>
    <w:rsid w:val="4C4F68B8"/>
    <w:rsid w:val="4C5506BA"/>
    <w:rsid w:val="4C632109"/>
    <w:rsid w:val="4C746529"/>
    <w:rsid w:val="4C9D306C"/>
    <w:rsid w:val="4CA0550F"/>
    <w:rsid w:val="4CB6685F"/>
    <w:rsid w:val="4CB93F3C"/>
    <w:rsid w:val="4CC367FE"/>
    <w:rsid w:val="4CD55219"/>
    <w:rsid w:val="4D077F3C"/>
    <w:rsid w:val="4D123355"/>
    <w:rsid w:val="4D2A3B31"/>
    <w:rsid w:val="4D312C52"/>
    <w:rsid w:val="4D905305"/>
    <w:rsid w:val="4D964A72"/>
    <w:rsid w:val="4D9C1254"/>
    <w:rsid w:val="4D9E5B15"/>
    <w:rsid w:val="4DBA61BD"/>
    <w:rsid w:val="4DC332C4"/>
    <w:rsid w:val="4E10402F"/>
    <w:rsid w:val="4E163753"/>
    <w:rsid w:val="4E3C34ED"/>
    <w:rsid w:val="4E4B32B9"/>
    <w:rsid w:val="4E557EA6"/>
    <w:rsid w:val="4E56516E"/>
    <w:rsid w:val="4E793892"/>
    <w:rsid w:val="4E800872"/>
    <w:rsid w:val="4E8B75BB"/>
    <w:rsid w:val="4EA56E6D"/>
    <w:rsid w:val="4EC569ED"/>
    <w:rsid w:val="4ED50EA1"/>
    <w:rsid w:val="4EEC050C"/>
    <w:rsid w:val="4EF13E61"/>
    <w:rsid w:val="4F104EC3"/>
    <w:rsid w:val="4F3E697A"/>
    <w:rsid w:val="4F47354A"/>
    <w:rsid w:val="4F7A5C04"/>
    <w:rsid w:val="4F911C54"/>
    <w:rsid w:val="4FB12B89"/>
    <w:rsid w:val="4FC43323"/>
    <w:rsid w:val="4FC96B8B"/>
    <w:rsid w:val="4FE625E0"/>
    <w:rsid w:val="5021480F"/>
    <w:rsid w:val="505A77E4"/>
    <w:rsid w:val="505C301C"/>
    <w:rsid w:val="505E72D4"/>
    <w:rsid w:val="507E34D2"/>
    <w:rsid w:val="508F1819"/>
    <w:rsid w:val="50962ECB"/>
    <w:rsid w:val="50A42E38"/>
    <w:rsid w:val="50A4577F"/>
    <w:rsid w:val="50B73D1F"/>
    <w:rsid w:val="50BD5BC9"/>
    <w:rsid w:val="50C11EEE"/>
    <w:rsid w:val="50E61077"/>
    <w:rsid w:val="50E97CFC"/>
    <w:rsid w:val="50F244D3"/>
    <w:rsid w:val="50FA4028"/>
    <w:rsid w:val="510D65B7"/>
    <w:rsid w:val="511157AB"/>
    <w:rsid w:val="5138719B"/>
    <w:rsid w:val="513A1AEF"/>
    <w:rsid w:val="5142540C"/>
    <w:rsid w:val="517448D5"/>
    <w:rsid w:val="518832C8"/>
    <w:rsid w:val="519D3C50"/>
    <w:rsid w:val="51A0432A"/>
    <w:rsid w:val="51A86090"/>
    <w:rsid w:val="51B318A1"/>
    <w:rsid w:val="51B7396D"/>
    <w:rsid w:val="51EE6435"/>
    <w:rsid w:val="52012312"/>
    <w:rsid w:val="522959F2"/>
    <w:rsid w:val="522E4CC3"/>
    <w:rsid w:val="5244374D"/>
    <w:rsid w:val="5244713B"/>
    <w:rsid w:val="52546BE0"/>
    <w:rsid w:val="52615633"/>
    <w:rsid w:val="526F4DE4"/>
    <w:rsid w:val="52977FD4"/>
    <w:rsid w:val="52A25790"/>
    <w:rsid w:val="52A62351"/>
    <w:rsid w:val="52A96B6F"/>
    <w:rsid w:val="52AA6800"/>
    <w:rsid w:val="52B45975"/>
    <w:rsid w:val="52BC703E"/>
    <w:rsid w:val="52D94AA4"/>
    <w:rsid w:val="52EA3A62"/>
    <w:rsid w:val="52EB0BC7"/>
    <w:rsid w:val="52F50BB8"/>
    <w:rsid w:val="53097272"/>
    <w:rsid w:val="534C1537"/>
    <w:rsid w:val="53544462"/>
    <w:rsid w:val="5391176E"/>
    <w:rsid w:val="5397158E"/>
    <w:rsid w:val="53D53D51"/>
    <w:rsid w:val="53D63625"/>
    <w:rsid w:val="53E325D5"/>
    <w:rsid w:val="54013861"/>
    <w:rsid w:val="541A1764"/>
    <w:rsid w:val="54276FD5"/>
    <w:rsid w:val="54487265"/>
    <w:rsid w:val="544D6070"/>
    <w:rsid w:val="54605E1E"/>
    <w:rsid w:val="54882B71"/>
    <w:rsid w:val="54B3506A"/>
    <w:rsid w:val="54B90F7D"/>
    <w:rsid w:val="54C811C0"/>
    <w:rsid w:val="54CA0D16"/>
    <w:rsid w:val="54DC110F"/>
    <w:rsid w:val="54DD4057"/>
    <w:rsid w:val="54E7490F"/>
    <w:rsid w:val="54EB4EAE"/>
    <w:rsid w:val="550764A4"/>
    <w:rsid w:val="550B2BF6"/>
    <w:rsid w:val="55214EB5"/>
    <w:rsid w:val="552526A7"/>
    <w:rsid w:val="55364EFD"/>
    <w:rsid w:val="55377C59"/>
    <w:rsid w:val="554615BE"/>
    <w:rsid w:val="5559450E"/>
    <w:rsid w:val="555D4828"/>
    <w:rsid w:val="557A4C8B"/>
    <w:rsid w:val="558931E1"/>
    <w:rsid w:val="559002B6"/>
    <w:rsid w:val="55923347"/>
    <w:rsid w:val="55925180"/>
    <w:rsid w:val="55983B1B"/>
    <w:rsid w:val="55A408D2"/>
    <w:rsid w:val="55A8376B"/>
    <w:rsid w:val="55C0633B"/>
    <w:rsid w:val="55DC29B6"/>
    <w:rsid w:val="55DD4241"/>
    <w:rsid w:val="55EF5EC4"/>
    <w:rsid w:val="56576C9F"/>
    <w:rsid w:val="566B6D1E"/>
    <w:rsid w:val="567E247E"/>
    <w:rsid w:val="56971BEE"/>
    <w:rsid w:val="56A30136"/>
    <w:rsid w:val="56A874FB"/>
    <w:rsid w:val="56BC0420"/>
    <w:rsid w:val="56E342CA"/>
    <w:rsid w:val="57032A2C"/>
    <w:rsid w:val="57034731"/>
    <w:rsid w:val="570F5219"/>
    <w:rsid w:val="571903F8"/>
    <w:rsid w:val="572E78E5"/>
    <w:rsid w:val="575D12B5"/>
    <w:rsid w:val="57610A87"/>
    <w:rsid w:val="577B1140"/>
    <w:rsid w:val="577B7F21"/>
    <w:rsid w:val="577F181B"/>
    <w:rsid w:val="578372D9"/>
    <w:rsid w:val="57921984"/>
    <w:rsid w:val="579737F0"/>
    <w:rsid w:val="57AB7B30"/>
    <w:rsid w:val="57AF5251"/>
    <w:rsid w:val="57B26373"/>
    <w:rsid w:val="57B63F04"/>
    <w:rsid w:val="57B7551B"/>
    <w:rsid w:val="57CD20C2"/>
    <w:rsid w:val="57D675AB"/>
    <w:rsid w:val="57D95FDD"/>
    <w:rsid w:val="57F329F7"/>
    <w:rsid w:val="58096564"/>
    <w:rsid w:val="584D65AC"/>
    <w:rsid w:val="58917D2F"/>
    <w:rsid w:val="5894085C"/>
    <w:rsid w:val="58AE4F0C"/>
    <w:rsid w:val="58B85899"/>
    <w:rsid w:val="58C44394"/>
    <w:rsid w:val="58E363A9"/>
    <w:rsid w:val="58F02429"/>
    <w:rsid w:val="591E264C"/>
    <w:rsid w:val="595E1678"/>
    <w:rsid w:val="59633EF2"/>
    <w:rsid w:val="596D5BD4"/>
    <w:rsid w:val="59747B49"/>
    <w:rsid w:val="597E3DD8"/>
    <w:rsid w:val="598853C1"/>
    <w:rsid w:val="59941FB8"/>
    <w:rsid w:val="59965D30"/>
    <w:rsid w:val="59A9432F"/>
    <w:rsid w:val="59C7413C"/>
    <w:rsid w:val="59F80043"/>
    <w:rsid w:val="5A09252F"/>
    <w:rsid w:val="5A0B2778"/>
    <w:rsid w:val="5A2A7C7B"/>
    <w:rsid w:val="5A3E2560"/>
    <w:rsid w:val="5A493823"/>
    <w:rsid w:val="5A5654C0"/>
    <w:rsid w:val="5A5B4884"/>
    <w:rsid w:val="5A5D23AA"/>
    <w:rsid w:val="5A5D3B6E"/>
    <w:rsid w:val="5A637A76"/>
    <w:rsid w:val="5A6D33BA"/>
    <w:rsid w:val="5A792B1F"/>
    <w:rsid w:val="5A874767"/>
    <w:rsid w:val="5AA85BE2"/>
    <w:rsid w:val="5AAD6F28"/>
    <w:rsid w:val="5ABE2749"/>
    <w:rsid w:val="5AD63A24"/>
    <w:rsid w:val="5AE26D53"/>
    <w:rsid w:val="5AE51A4D"/>
    <w:rsid w:val="5AF30F60"/>
    <w:rsid w:val="5B054CA6"/>
    <w:rsid w:val="5B060C94"/>
    <w:rsid w:val="5B2E1A1D"/>
    <w:rsid w:val="5B843A1C"/>
    <w:rsid w:val="5B873E3F"/>
    <w:rsid w:val="5B995664"/>
    <w:rsid w:val="5C02690E"/>
    <w:rsid w:val="5C196DA7"/>
    <w:rsid w:val="5C2A048C"/>
    <w:rsid w:val="5C4760EB"/>
    <w:rsid w:val="5C4D2220"/>
    <w:rsid w:val="5C80234E"/>
    <w:rsid w:val="5C8A680C"/>
    <w:rsid w:val="5CD64792"/>
    <w:rsid w:val="5D0525FA"/>
    <w:rsid w:val="5D0C4701"/>
    <w:rsid w:val="5D0F0395"/>
    <w:rsid w:val="5D107877"/>
    <w:rsid w:val="5D1551BE"/>
    <w:rsid w:val="5D221076"/>
    <w:rsid w:val="5D397964"/>
    <w:rsid w:val="5D445AA3"/>
    <w:rsid w:val="5D5977A1"/>
    <w:rsid w:val="5D5A391C"/>
    <w:rsid w:val="5D5F10C0"/>
    <w:rsid w:val="5D790E2F"/>
    <w:rsid w:val="5D891B7B"/>
    <w:rsid w:val="5DAB143A"/>
    <w:rsid w:val="5DAD38EE"/>
    <w:rsid w:val="5DCF7A63"/>
    <w:rsid w:val="5E003A5E"/>
    <w:rsid w:val="5E006862"/>
    <w:rsid w:val="5E0207B9"/>
    <w:rsid w:val="5E1834A1"/>
    <w:rsid w:val="5E261785"/>
    <w:rsid w:val="5E4A7017"/>
    <w:rsid w:val="5E552BBA"/>
    <w:rsid w:val="5E611C10"/>
    <w:rsid w:val="5E7A0F3F"/>
    <w:rsid w:val="5E9B0A71"/>
    <w:rsid w:val="5EFC7377"/>
    <w:rsid w:val="5F06174D"/>
    <w:rsid w:val="5F1024B7"/>
    <w:rsid w:val="5F3A3602"/>
    <w:rsid w:val="5F45733B"/>
    <w:rsid w:val="5F5C2601"/>
    <w:rsid w:val="5F6277C6"/>
    <w:rsid w:val="5F6D0B1D"/>
    <w:rsid w:val="5F8D0B82"/>
    <w:rsid w:val="5F942D12"/>
    <w:rsid w:val="5F944E8A"/>
    <w:rsid w:val="5FC44C79"/>
    <w:rsid w:val="5FCC5339"/>
    <w:rsid w:val="5FDE716B"/>
    <w:rsid w:val="5FE34A5B"/>
    <w:rsid w:val="5FEF1CF6"/>
    <w:rsid w:val="5FF2728A"/>
    <w:rsid w:val="5FF7504F"/>
    <w:rsid w:val="5FFC6A35"/>
    <w:rsid w:val="5FFE1E36"/>
    <w:rsid w:val="601410A2"/>
    <w:rsid w:val="60232584"/>
    <w:rsid w:val="60275934"/>
    <w:rsid w:val="603D64BE"/>
    <w:rsid w:val="607330CE"/>
    <w:rsid w:val="60825176"/>
    <w:rsid w:val="60901D96"/>
    <w:rsid w:val="609F2AC4"/>
    <w:rsid w:val="60AF76D8"/>
    <w:rsid w:val="60F32409"/>
    <w:rsid w:val="60FA2EE8"/>
    <w:rsid w:val="61054A27"/>
    <w:rsid w:val="610A52BC"/>
    <w:rsid w:val="610D059B"/>
    <w:rsid w:val="611D2366"/>
    <w:rsid w:val="61293E55"/>
    <w:rsid w:val="613A51F3"/>
    <w:rsid w:val="61421856"/>
    <w:rsid w:val="615227C4"/>
    <w:rsid w:val="61592C7A"/>
    <w:rsid w:val="61654E3F"/>
    <w:rsid w:val="6182292A"/>
    <w:rsid w:val="619F7F92"/>
    <w:rsid w:val="61B75247"/>
    <w:rsid w:val="61C07A1F"/>
    <w:rsid w:val="61F94C26"/>
    <w:rsid w:val="62000E56"/>
    <w:rsid w:val="621041A6"/>
    <w:rsid w:val="623970D7"/>
    <w:rsid w:val="624F3E49"/>
    <w:rsid w:val="62632286"/>
    <w:rsid w:val="62885958"/>
    <w:rsid w:val="62A504E9"/>
    <w:rsid w:val="62D11B87"/>
    <w:rsid w:val="62E713AB"/>
    <w:rsid w:val="62F40B65"/>
    <w:rsid w:val="62FB09B2"/>
    <w:rsid w:val="62FC2CFE"/>
    <w:rsid w:val="63024505"/>
    <w:rsid w:val="63027F93"/>
    <w:rsid w:val="63121B3F"/>
    <w:rsid w:val="635600A5"/>
    <w:rsid w:val="635B1DB5"/>
    <w:rsid w:val="63711FED"/>
    <w:rsid w:val="63880DDC"/>
    <w:rsid w:val="638B7F88"/>
    <w:rsid w:val="638D750D"/>
    <w:rsid w:val="639F3A33"/>
    <w:rsid w:val="63AC6CC0"/>
    <w:rsid w:val="63BF5E84"/>
    <w:rsid w:val="63F23480"/>
    <w:rsid w:val="6401192F"/>
    <w:rsid w:val="64055776"/>
    <w:rsid w:val="640F6F57"/>
    <w:rsid w:val="641F5B67"/>
    <w:rsid w:val="64234664"/>
    <w:rsid w:val="64240056"/>
    <w:rsid w:val="642D0685"/>
    <w:rsid w:val="643E143A"/>
    <w:rsid w:val="64491666"/>
    <w:rsid w:val="646F7295"/>
    <w:rsid w:val="648B6EEF"/>
    <w:rsid w:val="64B12D3D"/>
    <w:rsid w:val="64C158BF"/>
    <w:rsid w:val="64CE2EAA"/>
    <w:rsid w:val="64E35BA2"/>
    <w:rsid w:val="653C3090"/>
    <w:rsid w:val="6558179E"/>
    <w:rsid w:val="657D677E"/>
    <w:rsid w:val="65854376"/>
    <w:rsid w:val="658767BE"/>
    <w:rsid w:val="65892531"/>
    <w:rsid w:val="658D6FB2"/>
    <w:rsid w:val="659C0875"/>
    <w:rsid w:val="660E46E0"/>
    <w:rsid w:val="661277F3"/>
    <w:rsid w:val="66195831"/>
    <w:rsid w:val="662E75B1"/>
    <w:rsid w:val="66342C2E"/>
    <w:rsid w:val="663E784C"/>
    <w:rsid w:val="66823BC6"/>
    <w:rsid w:val="668B6A45"/>
    <w:rsid w:val="66A23AB0"/>
    <w:rsid w:val="66C57C55"/>
    <w:rsid w:val="66F127F8"/>
    <w:rsid w:val="67112C4A"/>
    <w:rsid w:val="67185881"/>
    <w:rsid w:val="672F3F24"/>
    <w:rsid w:val="673E055F"/>
    <w:rsid w:val="674943E2"/>
    <w:rsid w:val="67551CE3"/>
    <w:rsid w:val="6760797E"/>
    <w:rsid w:val="67875DFC"/>
    <w:rsid w:val="67A22552"/>
    <w:rsid w:val="67B22DCC"/>
    <w:rsid w:val="67BE71AA"/>
    <w:rsid w:val="67CF7323"/>
    <w:rsid w:val="67D90273"/>
    <w:rsid w:val="67DE5875"/>
    <w:rsid w:val="67E55852"/>
    <w:rsid w:val="67EB1AB4"/>
    <w:rsid w:val="67FA1285"/>
    <w:rsid w:val="68037C35"/>
    <w:rsid w:val="68551F4F"/>
    <w:rsid w:val="687C10C9"/>
    <w:rsid w:val="68840C16"/>
    <w:rsid w:val="68876EFB"/>
    <w:rsid w:val="68884654"/>
    <w:rsid w:val="689F444F"/>
    <w:rsid w:val="68AD09A1"/>
    <w:rsid w:val="68AF56BE"/>
    <w:rsid w:val="68B96DBB"/>
    <w:rsid w:val="68CA2805"/>
    <w:rsid w:val="68E937A3"/>
    <w:rsid w:val="68FB149A"/>
    <w:rsid w:val="693E15D3"/>
    <w:rsid w:val="695D23C7"/>
    <w:rsid w:val="69627681"/>
    <w:rsid w:val="6977531D"/>
    <w:rsid w:val="69794D27"/>
    <w:rsid w:val="698711F2"/>
    <w:rsid w:val="69996F17"/>
    <w:rsid w:val="699D27C3"/>
    <w:rsid w:val="69CC2BFF"/>
    <w:rsid w:val="69D81A4D"/>
    <w:rsid w:val="69FD55B8"/>
    <w:rsid w:val="6A0B1C62"/>
    <w:rsid w:val="6A2406C8"/>
    <w:rsid w:val="6A3B7666"/>
    <w:rsid w:val="6A9A1ADF"/>
    <w:rsid w:val="6AD456C3"/>
    <w:rsid w:val="6ADE0BD1"/>
    <w:rsid w:val="6AE81378"/>
    <w:rsid w:val="6AE96859"/>
    <w:rsid w:val="6B147746"/>
    <w:rsid w:val="6B24787C"/>
    <w:rsid w:val="6B340F05"/>
    <w:rsid w:val="6B573233"/>
    <w:rsid w:val="6B5B6274"/>
    <w:rsid w:val="6B935D53"/>
    <w:rsid w:val="6BCB261A"/>
    <w:rsid w:val="6BE97F42"/>
    <w:rsid w:val="6BEC5C84"/>
    <w:rsid w:val="6C1316F7"/>
    <w:rsid w:val="6C196F71"/>
    <w:rsid w:val="6C1C5B6F"/>
    <w:rsid w:val="6C1D7BEB"/>
    <w:rsid w:val="6C226FCB"/>
    <w:rsid w:val="6C256AA0"/>
    <w:rsid w:val="6C29113A"/>
    <w:rsid w:val="6C2E3BA6"/>
    <w:rsid w:val="6C31226F"/>
    <w:rsid w:val="6C427652"/>
    <w:rsid w:val="6C517EC7"/>
    <w:rsid w:val="6C552F0B"/>
    <w:rsid w:val="6C5D1DE1"/>
    <w:rsid w:val="6C7D7890"/>
    <w:rsid w:val="6C8C67B7"/>
    <w:rsid w:val="6C9D744C"/>
    <w:rsid w:val="6CAF1BF9"/>
    <w:rsid w:val="6CC10EBE"/>
    <w:rsid w:val="6CDA5ADC"/>
    <w:rsid w:val="6D01750D"/>
    <w:rsid w:val="6D0D4043"/>
    <w:rsid w:val="6D167928"/>
    <w:rsid w:val="6D26299B"/>
    <w:rsid w:val="6D3A7601"/>
    <w:rsid w:val="6D432D37"/>
    <w:rsid w:val="6D4772EC"/>
    <w:rsid w:val="6D9078AF"/>
    <w:rsid w:val="6D967C55"/>
    <w:rsid w:val="6DAA3FEF"/>
    <w:rsid w:val="6DB37F40"/>
    <w:rsid w:val="6DC0172B"/>
    <w:rsid w:val="6DCB690C"/>
    <w:rsid w:val="6DD41A5B"/>
    <w:rsid w:val="6DF43C2E"/>
    <w:rsid w:val="6DF51CA3"/>
    <w:rsid w:val="6E6C4597"/>
    <w:rsid w:val="6E7A6286"/>
    <w:rsid w:val="6E8335BD"/>
    <w:rsid w:val="6E8E12EF"/>
    <w:rsid w:val="6E972936"/>
    <w:rsid w:val="6EBC193D"/>
    <w:rsid w:val="6ED446C5"/>
    <w:rsid w:val="6ED816A7"/>
    <w:rsid w:val="6EEE586F"/>
    <w:rsid w:val="6F2A7D94"/>
    <w:rsid w:val="6F2B261F"/>
    <w:rsid w:val="6F5306C1"/>
    <w:rsid w:val="6F5B73A8"/>
    <w:rsid w:val="6F633C29"/>
    <w:rsid w:val="6F7915DC"/>
    <w:rsid w:val="6F8331F1"/>
    <w:rsid w:val="6FAE1A09"/>
    <w:rsid w:val="6FBE3493"/>
    <w:rsid w:val="6FCA62DC"/>
    <w:rsid w:val="6FD47051"/>
    <w:rsid w:val="6FD75BF8"/>
    <w:rsid w:val="6FFE004A"/>
    <w:rsid w:val="700663BD"/>
    <w:rsid w:val="70147FC1"/>
    <w:rsid w:val="70223A22"/>
    <w:rsid w:val="70645DE9"/>
    <w:rsid w:val="70751679"/>
    <w:rsid w:val="7075449A"/>
    <w:rsid w:val="707723D0"/>
    <w:rsid w:val="70875F7B"/>
    <w:rsid w:val="70950698"/>
    <w:rsid w:val="70C17291"/>
    <w:rsid w:val="70C60851"/>
    <w:rsid w:val="70F5661B"/>
    <w:rsid w:val="71285068"/>
    <w:rsid w:val="7130216F"/>
    <w:rsid w:val="71360107"/>
    <w:rsid w:val="713B688E"/>
    <w:rsid w:val="714464DD"/>
    <w:rsid w:val="7148279F"/>
    <w:rsid w:val="717A163C"/>
    <w:rsid w:val="71C8684B"/>
    <w:rsid w:val="71D43752"/>
    <w:rsid w:val="71F1796A"/>
    <w:rsid w:val="71FB63D5"/>
    <w:rsid w:val="72154626"/>
    <w:rsid w:val="72262B5D"/>
    <w:rsid w:val="72283FF7"/>
    <w:rsid w:val="722E7212"/>
    <w:rsid w:val="723A0474"/>
    <w:rsid w:val="724E2402"/>
    <w:rsid w:val="725923E4"/>
    <w:rsid w:val="72864BF7"/>
    <w:rsid w:val="729023FC"/>
    <w:rsid w:val="730E028E"/>
    <w:rsid w:val="73217FC1"/>
    <w:rsid w:val="737169FD"/>
    <w:rsid w:val="737A3B75"/>
    <w:rsid w:val="73814F04"/>
    <w:rsid w:val="73890C87"/>
    <w:rsid w:val="73C0646E"/>
    <w:rsid w:val="74026044"/>
    <w:rsid w:val="740B4C99"/>
    <w:rsid w:val="740C091F"/>
    <w:rsid w:val="742222F5"/>
    <w:rsid w:val="74236A6A"/>
    <w:rsid w:val="74476126"/>
    <w:rsid w:val="746A3BEA"/>
    <w:rsid w:val="74706664"/>
    <w:rsid w:val="747F3682"/>
    <w:rsid w:val="74835B1D"/>
    <w:rsid w:val="749C4185"/>
    <w:rsid w:val="74AD630E"/>
    <w:rsid w:val="74B51309"/>
    <w:rsid w:val="74C95F08"/>
    <w:rsid w:val="74E474F8"/>
    <w:rsid w:val="75067759"/>
    <w:rsid w:val="751A459C"/>
    <w:rsid w:val="751A5610"/>
    <w:rsid w:val="752E6DCD"/>
    <w:rsid w:val="7551380D"/>
    <w:rsid w:val="755C158A"/>
    <w:rsid w:val="755D394A"/>
    <w:rsid w:val="75600BE5"/>
    <w:rsid w:val="7564475C"/>
    <w:rsid w:val="756B0E42"/>
    <w:rsid w:val="757271FA"/>
    <w:rsid w:val="7583797F"/>
    <w:rsid w:val="75C33A20"/>
    <w:rsid w:val="75D20F1D"/>
    <w:rsid w:val="75DA2C18"/>
    <w:rsid w:val="75DC0B17"/>
    <w:rsid w:val="75F54412"/>
    <w:rsid w:val="761D08E0"/>
    <w:rsid w:val="7634625D"/>
    <w:rsid w:val="764F3097"/>
    <w:rsid w:val="765D347C"/>
    <w:rsid w:val="76655649"/>
    <w:rsid w:val="76826699"/>
    <w:rsid w:val="76A05F37"/>
    <w:rsid w:val="76C87133"/>
    <w:rsid w:val="76CD08D5"/>
    <w:rsid w:val="76CD7FA3"/>
    <w:rsid w:val="76DB4B92"/>
    <w:rsid w:val="76F74DB3"/>
    <w:rsid w:val="77052AA4"/>
    <w:rsid w:val="77136511"/>
    <w:rsid w:val="77256FC2"/>
    <w:rsid w:val="772C33D8"/>
    <w:rsid w:val="77340A39"/>
    <w:rsid w:val="77351FD0"/>
    <w:rsid w:val="773C53F2"/>
    <w:rsid w:val="77472422"/>
    <w:rsid w:val="774C5829"/>
    <w:rsid w:val="7756518C"/>
    <w:rsid w:val="77617526"/>
    <w:rsid w:val="777F31F2"/>
    <w:rsid w:val="77B5634E"/>
    <w:rsid w:val="77D1700D"/>
    <w:rsid w:val="77EC04CC"/>
    <w:rsid w:val="77F2017E"/>
    <w:rsid w:val="78393FFF"/>
    <w:rsid w:val="783A0506"/>
    <w:rsid w:val="785B79E4"/>
    <w:rsid w:val="78636F96"/>
    <w:rsid w:val="78775729"/>
    <w:rsid w:val="78A42DB0"/>
    <w:rsid w:val="78A656AB"/>
    <w:rsid w:val="78AA049C"/>
    <w:rsid w:val="78AF2513"/>
    <w:rsid w:val="78B2245C"/>
    <w:rsid w:val="78C50DDF"/>
    <w:rsid w:val="78D12489"/>
    <w:rsid w:val="78E172CC"/>
    <w:rsid w:val="78EA1D1F"/>
    <w:rsid w:val="79036DC3"/>
    <w:rsid w:val="7904172F"/>
    <w:rsid w:val="790F7E27"/>
    <w:rsid w:val="792A231A"/>
    <w:rsid w:val="79316829"/>
    <w:rsid w:val="79370055"/>
    <w:rsid w:val="79382508"/>
    <w:rsid w:val="793A4371"/>
    <w:rsid w:val="793D48A8"/>
    <w:rsid w:val="797E66A9"/>
    <w:rsid w:val="798518A4"/>
    <w:rsid w:val="799D05BD"/>
    <w:rsid w:val="79A97383"/>
    <w:rsid w:val="79B0209F"/>
    <w:rsid w:val="79B3393D"/>
    <w:rsid w:val="79B7342D"/>
    <w:rsid w:val="79CD6A4F"/>
    <w:rsid w:val="79E27E8B"/>
    <w:rsid w:val="79F850CE"/>
    <w:rsid w:val="79FD443C"/>
    <w:rsid w:val="79FEE5E2"/>
    <w:rsid w:val="7A081EDB"/>
    <w:rsid w:val="7A1D1975"/>
    <w:rsid w:val="7A28432B"/>
    <w:rsid w:val="7A394DCB"/>
    <w:rsid w:val="7A3E5150"/>
    <w:rsid w:val="7A4670D6"/>
    <w:rsid w:val="7A534B63"/>
    <w:rsid w:val="7A615382"/>
    <w:rsid w:val="7A67303B"/>
    <w:rsid w:val="7AAB1D04"/>
    <w:rsid w:val="7ABA4368"/>
    <w:rsid w:val="7AC322A6"/>
    <w:rsid w:val="7AD05746"/>
    <w:rsid w:val="7B257FFD"/>
    <w:rsid w:val="7B343476"/>
    <w:rsid w:val="7B5A2978"/>
    <w:rsid w:val="7B5A7E4C"/>
    <w:rsid w:val="7B667AF9"/>
    <w:rsid w:val="7B7468F8"/>
    <w:rsid w:val="7BDF42FE"/>
    <w:rsid w:val="7BEE0103"/>
    <w:rsid w:val="7C0466D2"/>
    <w:rsid w:val="7C0A0FE4"/>
    <w:rsid w:val="7C1B3678"/>
    <w:rsid w:val="7C254906"/>
    <w:rsid w:val="7C590818"/>
    <w:rsid w:val="7C7C10F6"/>
    <w:rsid w:val="7C7F3FAA"/>
    <w:rsid w:val="7C853BEA"/>
    <w:rsid w:val="7C881368"/>
    <w:rsid w:val="7CD564F7"/>
    <w:rsid w:val="7CE00EED"/>
    <w:rsid w:val="7CE27788"/>
    <w:rsid w:val="7CE958B4"/>
    <w:rsid w:val="7CEE663A"/>
    <w:rsid w:val="7D0C32F1"/>
    <w:rsid w:val="7D0F408D"/>
    <w:rsid w:val="7D31799A"/>
    <w:rsid w:val="7D491C6C"/>
    <w:rsid w:val="7D5429C0"/>
    <w:rsid w:val="7D562F5D"/>
    <w:rsid w:val="7D6E6D43"/>
    <w:rsid w:val="7D83506F"/>
    <w:rsid w:val="7D8555F0"/>
    <w:rsid w:val="7DB57A34"/>
    <w:rsid w:val="7DD064B1"/>
    <w:rsid w:val="7DE60973"/>
    <w:rsid w:val="7DEF0916"/>
    <w:rsid w:val="7E1E5218"/>
    <w:rsid w:val="7E2B43EA"/>
    <w:rsid w:val="7E424E13"/>
    <w:rsid w:val="7E6C679B"/>
    <w:rsid w:val="7E9A4E1F"/>
    <w:rsid w:val="7EA0521F"/>
    <w:rsid w:val="7EA7723A"/>
    <w:rsid w:val="7ECB34D7"/>
    <w:rsid w:val="7EEA6053"/>
    <w:rsid w:val="7EF56FBB"/>
    <w:rsid w:val="7F0768EB"/>
    <w:rsid w:val="7F143BEC"/>
    <w:rsid w:val="7F1C3DA0"/>
    <w:rsid w:val="7F362021"/>
    <w:rsid w:val="7F477001"/>
    <w:rsid w:val="7F715AF2"/>
    <w:rsid w:val="7F7B47F9"/>
    <w:rsid w:val="7F886E69"/>
    <w:rsid w:val="7F98785D"/>
    <w:rsid w:val="7FBF3552"/>
    <w:rsid w:val="7FCC7507"/>
    <w:rsid w:val="7FEA5659"/>
    <w:rsid w:val="AEFB2051"/>
    <w:rsid w:val="BB7FA927"/>
    <w:rsid w:val="EFF72F48"/>
    <w:rsid w:val="F5FFD31F"/>
    <w:rsid w:val="F7E57758"/>
    <w:rsid w:val="F7FD985E"/>
    <w:rsid w:val="FBDE7B37"/>
    <w:rsid w:val="FEF3980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4"/>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4"/>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8"/>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4"/>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8"/>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8"/>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9"/>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3"/>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5"/>
    <w:link w:val="194"/>
    <w:qFormat/>
    <w:uiPriority w:val="0"/>
    <w:pPr>
      <w:widowControl/>
      <w:snapToGrid w:val="0"/>
      <w:spacing w:line="480" w:lineRule="exact"/>
      <w:ind w:firstLine="567"/>
    </w:pPr>
    <w:rPr>
      <w:rFonts w:ascii="宋体"/>
      <w:snapToGrid w:val="0"/>
      <w:color w:val="000000"/>
      <w:kern w:val="28"/>
      <w:sz w:val="28"/>
      <w:szCs w:val="20"/>
    </w:rPr>
  </w:style>
  <w:style w:type="paragraph" w:styleId="5">
    <w:name w:val="Body Text Indent"/>
    <w:basedOn w:val="1"/>
    <w:next w:val="1"/>
    <w:link w:val="266"/>
    <w:qFormat/>
    <w:uiPriority w:val="0"/>
    <w:pPr>
      <w:spacing w:line="480" w:lineRule="exact"/>
      <w:ind w:firstLine="480" w:firstLineChars="200"/>
    </w:pPr>
    <w:rPr>
      <w:rFonts w:ascii="宋体" w:hAnsi="宋体"/>
      <w:sz w:val="24"/>
    </w:rPr>
  </w:style>
  <w:style w:type="paragraph" w:styleId="13">
    <w:name w:val="toc 7"/>
    <w:basedOn w:val="1"/>
    <w:next w:val="1"/>
    <w:qFormat/>
    <w:uiPriority w:val="0"/>
    <w:pPr>
      <w:ind w:left="2520" w:leftChars="1200"/>
    </w:pPr>
  </w:style>
  <w:style w:type="paragraph" w:styleId="14">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30"/>
    <w:qFormat/>
    <w:uiPriority w:val="0"/>
    <w:rPr>
      <w:b/>
      <w:sz w:val="28"/>
      <w:szCs w:val="20"/>
    </w:rPr>
  </w:style>
  <w:style w:type="paragraph" w:styleId="18">
    <w:name w:val="index 5"/>
    <w:basedOn w:val="1"/>
    <w:next w:val="1"/>
    <w:qFormat/>
    <w:uiPriority w:val="0"/>
    <w:pPr>
      <w:adjustRightInd/>
      <w:ind w:left="800" w:leftChars="800" w:firstLine="200" w:firstLineChars="200"/>
    </w:pPr>
  </w:style>
  <w:style w:type="paragraph" w:styleId="19">
    <w:name w:val="Document Map"/>
    <w:basedOn w:val="1"/>
    <w:link w:val="203"/>
    <w:qFormat/>
    <w:uiPriority w:val="0"/>
    <w:pPr>
      <w:shd w:val="clear" w:color="auto" w:fill="000080"/>
    </w:pPr>
  </w:style>
  <w:style w:type="paragraph" w:styleId="20">
    <w:name w:val="toa heading"/>
    <w:basedOn w:val="1"/>
    <w:next w:val="1"/>
    <w:semiHidden/>
    <w:qFormat/>
    <w:uiPriority w:val="0"/>
    <w:pPr>
      <w:spacing w:before="120"/>
    </w:pPr>
    <w:rPr>
      <w:rFonts w:ascii="Arial" w:hAnsi="Arial" w:cs="Arial"/>
      <w:sz w:val="24"/>
    </w:rPr>
  </w:style>
  <w:style w:type="paragraph" w:styleId="21">
    <w:name w:val="annotation text"/>
    <w:basedOn w:val="1"/>
    <w:link w:val="345"/>
    <w:qFormat/>
    <w:uiPriority w:val="99"/>
    <w:pPr>
      <w:jc w:val="left"/>
    </w:pPr>
  </w:style>
  <w:style w:type="paragraph" w:styleId="22">
    <w:name w:val="Salutation"/>
    <w:basedOn w:val="1"/>
    <w:next w:val="1"/>
    <w:link w:val="299"/>
    <w:qFormat/>
    <w:uiPriority w:val="0"/>
    <w:rPr>
      <w:rFonts w:ascii="仿宋_GB2312" w:eastAsia="仿宋_GB2312"/>
      <w:sz w:val="28"/>
      <w:szCs w:val="20"/>
    </w:rPr>
  </w:style>
  <w:style w:type="paragraph" w:styleId="23">
    <w:name w:val="Body Text 3"/>
    <w:basedOn w:val="1"/>
    <w:link w:val="331"/>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26"/>
    <w:link w:val="431"/>
    <w:qFormat/>
    <w:uiPriority w:val="0"/>
    <w:pPr>
      <w:autoSpaceDE w:val="0"/>
      <w:autoSpaceDN w:val="0"/>
      <w:spacing w:line="360" w:lineRule="auto"/>
    </w:pPr>
    <w:rPr>
      <w:rFonts w:ascii="宋体" w:hAnsi="Arial" w:cs="Arial"/>
      <w:snapToGrid w:val="0"/>
      <w:sz w:val="24"/>
      <w:szCs w:val="21"/>
      <w:lang w:val="zh-CN"/>
    </w:rPr>
  </w:style>
  <w:style w:type="paragraph" w:styleId="26">
    <w:name w:val="Body Text First Indent"/>
    <w:basedOn w:val="25"/>
    <w:next w:val="27"/>
    <w:link w:val="322"/>
    <w:qFormat/>
    <w:uiPriority w:val="0"/>
    <w:pPr>
      <w:ind w:firstLine="420"/>
    </w:pPr>
    <w:rPr>
      <w:rFonts w:hAnsi="Calibri" w:cs="Times New Roman"/>
      <w:snapToGrid/>
      <w:szCs w:val="20"/>
    </w:rPr>
  </w:style>
  <w:style w:type="paragraph" w:styleId="27">
    <w:name w:val="toc 6"/>
    <w:basedOn w:val="1"/>
    <w:next w:val="1"/>
    <w:qFormat/>
    <w:uiPriority w:val="0"/>
    <w:pPr>
      <w:ind w:left="2100" w:leftChars="1000"/>
    </w:p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0"/>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6"/>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2"/>
    <w:qFormat/>
    <w:uiPriority w:val="0"/>
    <w:pPr>
      <w:ind w:left="100" w:leftChars="2500"/>
    </w:pPr>
    <w:rPr>
      <w:rFonts w:ascii="宋体"/>
      <w:sz w:val="24"/>
      <w:szCs w:val="21"/>
      <w:lang w:val="zh-CN"/>
    </w:rPr>
  </w:style>
  <w:style w:type="paragraph" w:styleId="39">
    <w:name w:val="Body Text Indent 2"/>
    <w:basedOn w:val="1"/>
    <w:link w:val="309"/>
    <w:qFormat/>
    <w:uiPriority w:val="0"/>
    <w:pPr>
      <w:spacing w:line="360" w:lineRule="auto"/>
      <w:ind w:firstLine="601"/>
      <w:textAlignment w:val="baseline"/>
    </w:pPr>
    <w:rPr>
      <w:rFonts w:ascii="宋体"/>
      <w:kern w:val="0"/>
      <w:sz w:val="28"/>
      <w:szCs w:val="20"/>
    </w:rPr>
  </w:style>
  <w:style w:type="paragraph" w:styleId="40">
    <w:name w:val="endnote text"/>
    <w:basedOn w:val="1"/>
    <w:link w:val="933"/>
    <w:qFormat/>
    <w:uiPriority w:val="0"/>
    <w:rPr>
      <w:lang w:val="zh-CN"/>
    </w:rPr>
  </w:style>
  <w:style w:type="paragraph" w:styleId="41">
    <w:name w:val="Balloon Text"/>
    <w:basedOn w:val="1"/>
    <w:link w:val="189"/>
    <w:qFormat/>
    <w:uiPriority w:val="0"/>
    <w:rPr>
      <w:sz w:val="18"/>
      <w:szCs w:val="18"/>
    </w:rPr>
  </w:style>
  <w:style w:type="paragraph" w:styleId="42">
    <w:name w:val="footer"/>
    <w:basedOn w:val="1"/>
    <w:link w:val="384"/>
    <w:qFormat/>
    <w:uiPriority w:val="99"/>
    <w:pPr>
      <w:tabs>
        <w:tab w:val="center" w:pos="4153"/>
        <w:tab w:val="right" w:pos="8306"/>
      </w:tabs>
      <w:snapToGrid w:val="0"/>
      <w:jc w:val="left"/>
    </w:pPr>
    <w:rPr>
      <w:sz w:val="18"/>
      <w:szCs w:val="18"/>
    </w:rPr>
  </w:style>
  <w:style w:type="paragraph" w:styleId="43">
    <w:name w:val="header"/>
    <w:basedOn w:val="1"/>
    <w:link w:val="39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6"/>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4"/>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4"/>
    <w:link w:val="311"/>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6"/>
    <w:qFormat/>
    <w:uiPriority w:val="0"/>
    <w:pPr>
      <w:spacing w:line="360" w:lineRule="auto"/>
      <w:ind w:firstLine="420"/>
    </w:pPr>
    <w:rPr>
      <w:sz w:val="24"/>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3"/>
    <w:qFormat/>
    <w:uiPriority w:val="0"/>
    <w:pPr>
      <w:spacing w:after="120" w:line="480" w:lineRule="auto"/>
    </w:pPr>
  </w:style>
  <w:style w:type="paragraph" w:styleId="58">
    <w:name w:val="HTML Preformatted"/>
    <w:basedOn w:val="1"/>
    <w:link w:val="30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7"/>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21"/>
    <w:next w:val="21"/>
    <w:link w:val="97"/>
    <w:qFormat/>
    <w:uiPriority w:val="0"/>
    <w:rPr>
      <w:b/>
      <w:bCs/>
    </w:rPr>
  </w:style>
  <w:style w:type="paragraph" w:styleId="62">
    <w:name w:val="Body Text First Indent 2"/>
    <w:basedOn w:val="5"/>
    <w:link w:val="122"/>
    <w:qFormat/>
    <w:uiPriority w:val="0"/>
    <w:pPr>
      <w:adjustRightInd/>
      <w:spacing w:after="120" w:line="240" w:lineRule="auto"/>
      <w:ind w:left="420" w:leftChars="200" w:firstLine="210"/>
    </w:pPr>
    <w:rPr>
      <w:sz w:val="21"/>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正文空2字"/>
    <w:basedOn w:val="81"/>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qFormat/>
    <w:uiPriority w:val="99"/>
    <w:rPr>
      <w:rFonts w:ascii="Calibri" w:hAnsi="Calibri" w:eastAsia="仿宋_GB2312" w:cs="Calibri"/>
      <w:kern w:val="2"/>
      <w:sz w:val="32"/>
      <w:szCs w:val="32"/>
      <w:lang w:val="en-US"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3">
    <w:name w:val="表格非标题文字 Char"/>
    <w:link w:val="84"/>
    <w:qFormat/>
    <w:uiPriority w:val="0"/>
    <w:rPr>
      <w:rFonts w:ascii="Futura Bk" w:hAnsi="Futura Bk"/>
      <w:kern w:val="2"/>
      <w:sz w:val="18"/>
      <w:szCs w:val="21"/>
      <w:lang w:val="en-US" w:eastAsia="zh-CN" w:bidi="ar-SA"/>
    </w:rPr>
  </w:style>
  <w:style w:type="paragraph" w:customStyle="1" w:styleId="84">
    <w:name w:val="表格非标题文字"/>
    <w:link w:val="83"/>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5">
    <w:name w:val="*正文 Char"/>
    <w:link w:val="86"/>
    <w:qFormat/>
    <w:locked/>
    <w:uiPriority w:val="0"/>
    <w:rPr>
      <w:rFonts w:ascii="宋体" w:hAnsi="宋体"/>
      <w:sz w:val="24"/>
    </w:rPr>
  </w:style>
  <w:style w:type="paragraph" w:customStyle="1" w:styleId="86">
    <w:name w:val="*正文"/>
    <w:basedOn w:val="1"/>
    <w:link w:val="85"/>
    <w:qFormat/>
    <w:uiPriority w:val="0"/>
    <w:pPr>
      <w:snapToGrid w:val="0"/>
      <w:spacing w:line="360" w:lineRule="auto"/>
      <w:ind w:firstLine="482"/>
      <w:jc w:val="left"/>
    </w:pPr>
    <w:rPr>
      <w:rFonts w:ascii="宋体" w:hAnsi="宋体"/>
      <w:kern w:val="0"/>
      <w:sz w:val="24"/>
      <w:szCs w:val="20"/>
    </w:rPr>
  </w:style>
  <w:style w:type="character" w:customStyle="1" w:styleId="87">
    <w:name w:val="Char Char71"/>
    <w:semiHidden/>
    <w:qFormat/>
    <w:uiPriority w:val="0"/>
    <w:rPr>
      <w:rFonts w:eastAsia="宋体"/>
      <w:kern w:val="2"/>
      <w:sz w:val="21"/>
      <w:szCs w:val="24"/>
      <w:lang w:val="en-US" w:eastAsia="zh-CN" w:bidi="ar-SA"/>
    </w:rPr>
  </w:style>
  <w:style w:type="character" w:customStyle="1" w:styleId="88">
    <w:name w:val="Char Char6"/>
    <w:qFormat/>
    <w:uiPriority w:val="0"/>
    <w:rPr>
      <w:rFonts w:eastAsia="宋体"/>
      <w:kern w:val="2"/>
      <w:sz w:val="21"/>
      <w:szCs w:val="24"/>
      <w:lang w:val="en-US" w:eastAsia="zh-CN" w:bidi="ar-SA"/>
    </w:rPr>
  </w:style>
  <w:style w:type="character" w:customStyle="1" w:styleId="89">
    <w:name w:val="正文缩进 Char"/>
    <w:qFormat/>
    <w:uiPriority w:val="0"/>
    <w:rPr>
      <w:rFonts w:eastAsia="宋体"/>
      <w:kern w:val="2"/>
      <w:sz w:val="21"/>
      <w:lang w:val="en-US" w:eastAsia="zh-CN"/>
    </w:rPr>
  </w:style>
  <w:style w:type="character" w:customStyle="1" w:styleId="90">
    <w:name w:val="正文首行缩进 Char1"/>
    <w:qFormat/>
    <w:uiPriority w:val="0"/>
    <w:rPr>
      <w:rFonts w:ascii="宋体" w:hAnsi="Times New Roman" w:eastAsia="宋体" w:cs="Times New Roman"/>
      <w:snapToGrid w:val="0"/>
      <w:kern w:val="2"/>
      <w:sz w:val="24"/>
      <w:szCs w:val="21"/>
      <w:lang w:val="zh-CN"/>
    </w:rPr>
  </w:style>
  <w:style w:type="character" w:customStyle="1" w:styleId="91">
    <w:name w:val="Char Char28"/>
    <w:qFormat/>
    <w:uiPriority w:val="6"/>
    <w:rPr>
      <w:rFonts w:ascii="仿宋_GB2312" w:hAnsi="仿宋_GB2312" w:eastAsia="仿宋_GB2312"/>
      <w:kern w:val="1"/>
      <w:sz w:val="28"/>
    </w:rPr>
  </w:style>
  <w:style w:type="character" w:customStyle="1" w:styleId="9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3">
    <w:name w:val="Heading 1 Char"/>
    <w:qFormat/>
    <w:uiPriority w:val="6"/>
    <w:rPr>
      <w:rFonts w:ascii="Times New Roman" w:hAnsi="Times New Roman" w:eastAsia="黑体" w:cs="Times New Roman"/>
      <w:b/>
      <w:kern w:val="0"/>
      <w:sz w:val="24"/>
      <w:szCs w:val="24"/>
    </w:rPr>
  </w:style>
  <w:style w:type="character" w:customStyle="1" w:styleId="94">
    <w:name w:val="U_正文 Char"/>
    <w:link w:val="95"/>
    <w:qFormat/>
    <w:uiPriority w:val="0"/>
    <w:rPr>
      <w:sz w:val="24"/>
      <w:szCs w:val="24"/>
    </w:rPr>
  </w:style>
  <w:style w:type="paragraph" w:customStyle="1" w:styleId="95">
    <w:name w:val="U_正文"/>
    <w:basedOn w:val="1"/>
    <w:link w:val="94"/>
    <w:qFormat/>
    <w:uiPriority w:val="0"/>
    <w:pPr>
      <w:adjustRightInd/>
      <w:spacing w:beforeLines="20" w:afterLines="20" w:line="300" w:lineRule="auto"/>
      <w:ind w:firstLine="200" w:firstLineChars="200"/>
    </w:pPr>
    <w:rPr>
      <w:kern w:val="0"/>
      <w:sz w:val="24"/>
    </w:rPr>
  </w:style>
  <w:style w:type="character" w:customStyle="1" w:styleId="96">
    <w:name w:val="HTML 地址 Char1"/>
    <w:qFormat/>
    <w:uiPriority w:val="0"/>
    <w:rPr>
      <w:rFonts w:ascii="Times New Roman" w:hAnsi="Times New Roman" w:eastAsia="宋体" w:cs="Times New Roman"/>
      <w:i/>
      <w:iCs/>
      <w:szCs w:val="24"/>
    </w:rPr>
  </w:style>
  <w:style w:type="character" w:customStyle="1" w:styleId="97">
    <w:name w:val="批注主题 字符"/>
    <w:link w:val="61"/>
    <w:qFormat/>
    <w:uiPriority w:val="0"/>
    <w:rPr>
      <w:b/>
      <w:bCs/>
      <w:kern w:val="2"/>
      <w:sz w:val="21"/>
      <w:szCs w:val="24"/>
    </w:rPr>
  </w:style>
  <w:style w:type="character" w:customStyle="1" w:styleId="98">
    <w:name w:val="Char Char51"/>
    <w:qFormat/>
    <w:uiPriority w:val="0"/>
    <w:rPr>
      <w:rFonts w:ascii="宋体" w:hAnsi="Courier New" w:eastAsia="宋体"/>
      <w:kern w:val="2"/>
      <w:sz w:val="21"/>
      <w:lang w:val="en-US" w:eastAsia="zh-CN"/>
    </w:rPr>
  </w:style>
  <w:style w:type="character" w:customStyle="1" w:styleId="99">
    <w:name w:val="表正文 Char"/>
    <w:qFormat/>
    <w:uiPriority w:val="0"/>
    <w:rPr>
      <w:rFonts w:ascii="宋体" w:eastAsia="宋体"/>
      <w:snapToGrid w:val="0"/>
      <w:color w:val="000000"/>
      <w:kern w:val="28"/>
      <w:sz w:val="28"/>
      <w:lang w:val="en-US" w:eastAsia="zh-CN" w:bidi="ar-SA"/>
    </w:rPr>
  </w:style>
  <w:style w:type="character" w:customStyle="1" w:styleId="100">
    <w:name w:val="Char Char34"/>
    <w:qFormat/>
    <w:uiPriority w:val="6"/>
    <w:rPr>
      <w:b/>
      <w:kern w:val="1"/>
      <w:sz w:val="28"/>
      <w:szCs w:val="28"/>
    </w:rPr>
  </w:style>
  <w:style w:type="character" w:customStyle="1" w:styleId="10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2">
    <w:name w:val="哈哈正文 Char"/>
    <w:link w:val="103"/>
    <w:qFormat/>
    <w:uiPriority w:val="0"/>
    <w:rPr>
      <w:rFonts w:ascii="宋体" w:hAnsi="宋体" w:eastAsia="宋体"/>
      <w:kern w:val="2"/>
      <w:sz w:val="24"/>
      <w:lang w:bidi="ar-SA"/>
    </w:rPr>
  </w:style>
  <w:style w:type="paragraph" w:customStyle="1" w:styleId="103">
    <w:name w:val="哈哈正文"/>
    <w:basedOn w:val="1"/>
    <w:link w:val="102"/>
    <w:qFormat/>
    <w:uiPriority w:val="0"/>
    <w:pPr>
      <w:adjustRightInd/>
      <w:spacing w:line="360" w:lineRule="auto"/>
      <w:ind w:firstLine="200" w:firstLineChars="200"/>
    </w:pPr>
    <w:rPr>
      <w:rFonts w:ascii="宋体" w:hAnsi="宋体"/>
      <w:sz w:val="24"/>
      <w:szCs w:val="20"/>
    </w:rPr>
  </w:style>
  <w:style w:type="character" w:customStyle="1" w:styleId="104">
    <w:name w:val="未处理的提及1"/>
    <w:qFormat/>
    <w:uiPriority w:val="0"/>
    <w:rPr>
      <w:color w:val="808080"/>
      <w:shd w:val="clear" w:color="auto" w:fill="E6E6E6"/>
    </w:rPr>
  </w:style>
  <w:style w:type="character" w:customStyle="1" w:styleId="105">
    <w:name w:val="txt"/>
    <w:qFormat/>
    <w:uiPriority w:val="0"/>
    <w:rPr>
      <w:rFonts w:ascii="仿宋_GB2312" w:eastAsia="微软雅黑"/>
      <w:b/>
      <w:kern w:val="2"/>
      <w:sz w:val="32"/>
      <w:szCs w:val="32"/>
      <w:lang w:val="en-US" w:eastAsia="zh-CN" w:bidi="ar-SA"/>
    </w:rPr>
  </w:style>
  <w:style w:type="character" w:customStyle="1" w:styleId="106">
    <w:name w:val="二级标题 Char Char"/>
    <w:qFormat/>
    <w:uiPriority w:val="0"/>
    <w:rPr>
      <w:rFonts w:ascii="宋体" w:hAnsi="宋体" w:eastAsia="宋体"/>
      <w:b/>
      <w:snapToGrid w:val="0"/>
      <w:kern w:val="2"/>
      <w:sz w:val="24"/>
      <w:szCs w:val="24"/>
      <w:lang w:val="en-US" w:eastAsia="zh-CN" w:bidi="ar-SA"/>
    </w:rPr>
  </w:style>
  <w:style w:type="character" w:customStyle="1" w:styleId="107">
    <w:name w:val="Char Char32"/>
    <w:qFormat/>
    <w:uiPriority w:val="6"/>
    <w:rPr>
      <w:b/>
      <w:kern w:val="1"/>
      <w:sz w:val="24"/>
      <w:szCs w:val="24"/>
    </w:rPr>
  </w:style>
  <w:style w:type="character" w:customStyle="1" w:styleId="108">
    <w:name w:val="PI Char1"/>
    <w:qFormat/>
    <w:uiPriority w:val="0"/>
    <w:rPr>
      <w:rFonts w:ascii="宋体" w:hAnsi="宋体"/>
      <w:kern w:val="2"/>
      <w:sz w:val="24"/>
      <w:szCs w:val="24"/>
    </w:rPr>
  </w:style>
  <w:style w:type="character" w:customStyle="1" w:styleId="109">
    <w:name w:val="tw4winTerm"/>
    <w:qFormat/>
    <w:uiPriority w:val="0"/>
    <w:rPr>
      <w:color w:val="0000FF"/>
    </w:rPr>
  </w:style>
  <w:style w:type="character" w:customStyle="1" w:styleId="110">
    <w:name w:val="Footer Char"/>
    <w:qFormat/>
    <w:locked/>
    <w:uiPriority w:val="0"/>
    <w:rPr>
      <w:rFonts w:eastAsia="宋体"/>
      <w:kern w:val="2"/>
      <w:sz w:val="18"/>
      <w:lang w:val="en-US" w:eastAsia="zh-CN" w:bidi="ar-SA"/>
    </w:rPr>
  </w:style>
  <w:style w:type="character" w:customStyle="1" w:styleId="111">
    <w:name w:val="普通文字 Char Char1"/>
    <w:qFormat/>
    <w:uiPriority w:val="0"/>
    <w:rPr>
      <w:rFonts w:ascii="宋体" w:hAnsi="Courier New"/>
      <w:kern w:val="2"/>
      <w:sz w:val="21"/>
    </w:rPr>
  </w:style>
  <w:style w:type="character" w:customStyle="1" w:styleId="112">
    <w:name w:val="Char Char101"/>
    <w:qFormat/>
    <w:uiPriority w:val="6"/>
    <w:rPr>
      <w:rFonts w:ascii="宋体" w:hAnsi="宋体"/>
      <w:kern w:val="2"/>
      <w:sz w:val="21"/>
      <w:szCs w:val="24"/>
      <w:lang w:val="en-US" w:eastAsia="zh-CN"/>
    </w:rPr>
  </w:style>
  <w:style w:type="character" w:customStyle="1" w:styleId="113">
    <w:name w:val="标题 4 Char"/>
    <w:qFormat/>
    <w:uiPriority w:val="0"/>
    <w:rPr>
      <w:rFonts w:ascii="Arial" w:hAnsi="Arial" w:eastAsia="黑体"/>
      <w:b/>
      <w:kern w:val="2"/>
      <w:sz w:val="28"/>
    </w:rPr>
  </w:style>
  <w:style w:type="character" w:customStyle="1" w:styleId="114">
    <w:name w:val="链接"/>
    <w:qFormat/>
    <w:uiPriority w:val="0"/>
    <w:rPr>
      <w:color w:val="0000FF"/>
      <w:sz w:val="21"/>
      <w:szCs w:val="21"/>
      <w:u w:val="single"/>
    </w:rPr>
  </w:style>
  <w:style w:type="character" w:customStyle="1" w:styleId="115">
    <w:name w:val="h4 Char"/>
    <w:qFormat/>
    <w:uiPriority w:val="0"/>
    <w:rPr>
      <w:rFonts w:ascii="Arial" w:hAnsi="Arial" w:eastAsia="黑体"/>
      <w:b/>
      <w:bCs/>
      <w:kern w:val="2"/>
      <w:sz w:val="28"/>
      <w:szCs w:val="28"/>
      <w:lang w:val="zh-CN" w:eastAsia="zh-CN" w:bidi="ar-SA"/>
    </w:rPr>
  </w:style>
  <w:style w:type="character" w:customStyle="1" w:styleId="116">
    <w:name w:val="5正文 Char"/>
    <w:link w:val="117"/>
    <w:qFormat/>
    <w:uiPriority w:val="0"/>
    <w:rPr>
      <w:rFonts w:ascii="仿宋_GB2312" w:hAnsi="微软雅黑" w:eastAsia="仿宋_GB2312"/>
      <w:sz w:val="28"/>
      <w:szCs w:val="21"/>
    </w:rPr>
  </w:style>
  <w:style w:type="paragraph" w:customStyle="1" w:styleId="117">
    <w:name w:val="5正文"/>
    <w:basedOn w:val="1"/>
    <w:link w:val="116"/>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8">
    <w:name w:val="标题 3 字符"/>
    <w:qFormat/>
    <w:uiPriority w:val="9"/>
    <w:rPr>
      <w:b/>
      <w:bCs/>
      <w:kern w:val="2"/>
      <w:sz w:val="32"/>
      <w:szCs w:val="32"/>
    </w:rPr>
  </w:style>
  <w:style w:type="character" w:customStyle="1" w:styleId="119">
    <w:name w:val="样式6 Char"/>
    <w:qFormat/>
    <w:uiPriority w:val="0"/>
    <w:rPr>
      <w:rFonts w:ascii="仿宋_GB2312" w:hAnsi="宋体" w:eastAsia="仿宋_GB2312"/>
      <w:b/>
      <w:bCs/>
      <w:kern w:val="2"/>
      <w:sz w:val="24"/>
      <w:szCs w:val="24"/>
      <w:lang w:val="en-US" w:eastAsia="zh-CN" w:bidi="ar-SA"/>
    </w:rPr>
  </w:style>
  <w:style w:type="character" w:customStyle="1" w:styleId="120">
    <w:name w:val="Char Char14"/>
    <w:qFormat/>
    <w:uiPriority w:val="6"/>
    <w:rPr>
      <w:rFonts w:ascii="黑体" w:hAnsi="黑体" w:eastAsia="黑体"/>
    </w:rPr>
  </w:style>
  <w:style w:type="character" w:customStyle="1" w:styleId="121">
    <w:name w:val="Heading 2 Hidden Char"/>
    <w:qFormat/>
    <w:uiPriority w:val="0"/>
    <w:rPr>
      <w:rFonts w:ascii="仿宋_GB2312" w:eastAsia="仿宋_GB2312"/>
      <w:b/>
      <w:bCs/>
      <w:kern w:val="2"/>
      <w:sz w:val="24"/>
      <w:szCs w:val="24"/>
      <w:lang w:val="zh-CN" w:eastAsia="zh-CN" w:bidi="ar-SA"/>
    </w:rPr>
  </w:style>
  <w:style w:type="character" w:customStyle="1" w:styleId="122">
    <w:name w:val="正文文本首行缩进 2 字符"/>
    <w:link w:val="62"/>
    <w:qFormat/>
    <w:uiPriority w:val="0"/>
    <w:rPr>
      <w:rFonts w:ascii="宋体" w:hAnsi="宋体"/>
      <w:kern w:val="2"/>
      <w:sz w:val="21"/>
      <w:szCs w:val="24"/>
    </w:rPr>
  </w:style>
  <w:style w:type="character" w:customStyle="1" w:styleId="123">
    <w:name w:val="font11"/>
    <w:qFormat/>
    <w:uiPriority w:val="0"/>
    <w:rPr>
      <w:rFonts w:hint="default" w:ascii="Times New Roman" w:hAnsi="Times New Roman" w:cs="Times New Roman"/>
      <w:color w:val="000000"/>
      <w:sz w:val="22"/>
      <w:szCs w:val="22"/>
      <w:u w:val="none"/>
    </w:rPr>
  </w:style>
  <w:style w:type="character" w:customStyle="1" w:styleId="124">
    <w:name w:val="表正文 Char1"/>
    <w:qFormat/>
    <w:uiPriority w:val="0"/>
    <w:rPr>
      <w:rFonts w:ascii="宋体" w:eastAsia="宋体"/>
      <w:snapToGrid w:val="0"/>
      <w:color w:val="000000"/>
      <w:kern w:val="28"/>
      <w:sz w:val="28"/>
    </w:rPr>
  </w:style>
  <w:style w:type="character" w:customStyle="1" w:styleId="125">
    <w:name w:val="blue1"/>
    <w:basedOn w:val="70"/>
    <w:qFormat/>
    <w:uiPriority w:val="0"/>
    <w:rPr>
      <w:rFonts w:ascii="Arial" w:hAnsi="Arial" w:eastAsia="黑体" w:cs="Arial"/>
      <w:snapToGrid w:val="0"/>
      <w:kern w:val="0"/>
      <w:szCs w:val="21"/>
    </w:rPr>
  </w:style>
  <w:style w:type="character" w:customStyle="1" w:styleId="126">
    <w:name w:val="纯文本 字符1"/>
    <w:link w:val="35"/>
    <w:qFormat/>
    <w:uiPriority w:val="0"/>
    <w:rPr>
      <w:rFonts w:ascii="宋体" w:hAnsi="Courier New" w:eastAsia="宋体" w:cs="Arial"/>
      <w:snapToGrid w:val="0"/>
      <w:kern w:val="2"/>
      <w:sz w:val="21"/>
      <w:szCs w:val="21"/>
      <w:lang w:val="en-US" w:eastAsia="zh-CN" w:bidi="ar-SA"/>
    </w:rPr>
  </w:style>
  <w:style w:type="character" w:customStyle="1" w:styleId="127">
    <w:name w:val="标书1 Char"/>
    <w:qFormat/>
    <w:uiPriority w:val="0"/>
    <w:rPr>
      <w:rFonts w:eastAsia="宋体"/>
      <w:b/>
      <w:bCs/>
      <w:kern w:val="44"/>
      <w:sz w:val="44"/>
      <w:szCs w:val="44"/>
      <w:lang w:val="en-US" w:eastAsia="zh-CN" w:bidi="ar-SA"/>
    </w:rPr>
  </w:style>
  <w:style w:type="character" w:customStyle="1" w:styleId="128">
    <w:name w:val="样式5 Char"/>
    <w:qFormat/>
    <w:uiPriority w:val="0"/>
    <w:rPr>
      <w:rFonts w:ascii="仿宋_GB2312" w:hAnsi="仿宋" w:eastAsia="仿宋_GB2312"/>
      <w:kern w:val="2"/>
      <w:sz w:val="24"/>
      <w:szCs w:val="24"/>
    </w:rPr>
  </w:style>
  <w:style w:type="character" w:customStyle="1" w:styleId="129">
    <w:name w:val="样式4 Char"/>
    <w:qFormat/>
    <w:uiPriority w:val="0"/>
    <w:rPr>
      <w:rFonts w:ascii="仿宋_GB2312" w:hAnsi="仿宋" w:eastAsia="仿宋_GB2312"/>
      <w:b/>
      <w:kern w:val="2"/>
      <w:sz w:val="32"/>
      <w:szCs w:val="32"/>
      <w:lang w:bidi="ar-SA"/>
    </w:rPr>
  </w:style>
  <w:style w:type="character" w:customStyle="1" w:styleId="130">
    <w:name w:val="插图说明 Char"/>
    <w:qFormat/>
    <w:uiPriority w:val="0"/>
    <w:rPr>
      <w:rFonts w:eastAsia="黑体"/>
      <w:sz w:val="24"/>
      <w:lang w:val="en-US" w:eastAsia="zh-CN"/>
    </w:rPr>
  </w:style>
  <w:style w:type="character" w:customStyle="1" w:styleId="131">
    <w:name w:val="正文2 Char Char"/>
    <w:link w:val="132"/>
    <w:qFormat/>
    <w:uiPriority w:val="0"/>
    <w:rPr>
      <w:rFonts w:eastAsia="宋体"/>
      <w:kern w:val="2"/>
      <w:sz w:val="24"/>
      <w:lang w:val="en-US" w:eastAsia="zh-CN" w:bidi="ar-SA"/>
    </w:rPr>
  </w:style>
  <w:style w:type="paragraph" w:customStyle="1" w:styleId="132">
    <w:name w:val="正文2"/>
    <w:basedOn w:val="1"/>
    <w:link w:val="131"/>
    <w:qFormat/>
    <w:uiPriority w:val="0"/>
    <w:pPr>
      <w:spacing w:before="156" w:line="360" w:lineRule="auto"/>
      <w:ind w:firstLine="510" w:firstLineChars="200"/>
    </w:pPr>
    <w:rPr>
      <w:sz w:val="24"/>
      <w:szCs w:val="20"/>
    </w:rPr>
  </w:style>
  <w:style w:type="character" w:customStyle="1" w:styleId="133">
    <w:name w:val="Char Char24"/>
    <w:qFormat/>
    <w:uiPriority w:val="6"/>
    <w:rPr>
      <w:kern w:val="1"/>
      <w:sz w:val="21"/>
    </w:rPr>
  </w:style>
  <w:style w:type="character" w:customStyle="1" w:styleId="134">
    <w:name w:val="副标题 字符"/>
    <w:link w:val="49"/>
    <w:qFormat/>
    <w:uiPriority w:val="0"/>
    <w:rPr>
      <w:rFonts w:ascii="Arial" w:hAnsi="Arial" w:eastAsia="隶书"/>
      <w:b/>
      <w:bCs/>
      <w:kern w:val="28"/>
      <w:sz w:val="44"/>
      <w:szCs w:val="32"/>
      <w:lang w:val="en-US" w:eastAsia="zh-CN" w:bidi="ar-SA"/>
    </w:rPr>
  </w:style>
  <w:style w:type="character" w:customStyle="1" w:styleId="135">
    <w:name w:val="普通文字 Char1 Char"/>
    <w:qFormat/>
    <w:uiPriority w:val="0"/>
    <w:rPr>
      <w:rFonts w:ascii="宋体" w:hAnsi="Courier New" w:eastAsia="宋体"/>
      <w:kern w:val="2"/>
      <w:sz w:val="21"/>
      <w:szCs w:val="24"/>
      <w:lang w:val="en-US" w:eastAsia="zh-CN" w:bidi="ar-SA"/>
    </w:rPr>
  </w:style>
  <w:style w:type="character" w:customStyle="1" w:styleId="136">
    <w:name w:val="h3 Char1"/>
    <w:qFormat/>
    <w:uiPriority w:val="0"/>
    <w:rPr>
      <w:rFonts w:eastAsia="宋体"/>
      <w:b/>
      <w:bCs/>
      <w:kern w:val="2"/>
      <w:sz w:val="32"/>
      <w:szCs w:val="32"/>
      <w:lang w:bidi="ar-SA"/>
    </w:rPr>
  </w:style>
  <w:style w:type="character" w:customStyle="1" w:styleId="137">
    <w:name w:val="标题 Char1"/>
    <w:qFormat/>
    <w:uiPriority w:val="0"/>
    <w:rPr>
      <w:rFonts w:ascii="Cambria" w:hAnsi="Cambria" w:eastAsia="宋体" w:cs="Times New Roman"/>
      <w:b/>
      <w:bCs/>
      <w:sz w:val="32"/>
      <w:szCs w:val="32"/>
      <w:lang w:bidi="ar-SA"/>
    </w:rPr>
  </w:style>
  <w:style w:type="character" w:customStyle="1" w:styleId="138">
    <w:name w:val="gf正文1 Char"/>
    <w:qFormat/>
    <w:uiPriority w:val="0"/>
    <w:rPr>
      <w:rFonts w:ascii="宋体" w:hAnsi="宋体" w:eastAsia="宋体" w:cs="宋体"/>
      <w:kern w:val="2"/>
      <w:sz w:val="24"/>
      <w:szCs w:val="24"/>
      <w:lang w:val="en-US" w:eastAsia="zh-CN" w:bidi="ar-SA"/>
    </w:rPr>
  </w:style>
  <w:style w:type="character" w:customStyle="1" w:styleId="139">
    <w:name w:val="正文文本缩进 Char1"/>
    <w:qFormat/>
    <w:uiPriority w:val="0"/>
    <w:rPr>
      <w:rFonts w:ascii="Calibri" w:hAnsi="Calibri"/>
      <w:sz w:val="28"/>
    </w:rPr>
  </w:style>
  <w:style w:type="character" w:customStyle="1" w:styleId="140">
    <w:name w:val="No Spacing Char"/>
    <w:link w:val="141"/>
    <w:qFormat/>
    <w:uiPriority w:val="1"/>
    <w:rPr>
      <w:sz w:val="22"/>
      <w:szCs w:val="22"/>
      <w:lang w:val="en-US" w:eastAsia="zh-CN" w:bidi="ar-SA"/>
    </w:rPr>
  </w:style>
  <w:style w:type="paragraph" w:customStyle="1" w:styleId="141">
    <w:name w:val="无间隔1"/>
    <w:link w:val="140"/>
    <w:qFormat/>
    <w:uiPriority w:val="1"/>
    <w:rPr>
      <w:rFonts w:ascii="Times New Roman" w:hAnsi="Times New Roman" w:eastAsia="宋体" w:cs="Times New Roman"/>
      <w:sz w:val="22"/>
      <w:szCs w:val="22"/>
      <w:lang w:val="en-US" w:eastAsia="zh-CN" w:bidi="ar-SA"/>
    </w:rPr>
  </w:style>
  <w:style w:type="character" w:customStyle="1" w:styleId="142">
    <w:name w:val="样式7 Char"/>
    <w:qFormat/>
    <w:uiPriority w:val="0"/>
    <w:rPr>
      <w:rFonts w:ascii="仿宋_GB2312" w:hAnsi="仿宋" w:eastAsia="仿宋_GB2312"/>
      <w:b/>
      <w:kern w:val="2"/>
      <w:sz w:val="24"/>
      <w:szCs w:val="24"/>
    </w:rPr>
  </w:style>
  <w:style w:type="character" w:customStyle="1" w:styleId="143">
    <w:name w:val="font12gray1"/>
    <w:qFormat/>
    <w:uiPriority w:val="0"/>
    <w:rPr>
      <w:rFonts w:ascii="仿宋_GB2312" w:eastAsia="微软雅黑"/>
      <w:b/>
      <w:spacing w:val="300"/>
      <w:kern w:val="2"/>
      <w:sz w:val="18"/>
      <w:szCs w:val="18"/>
      <w:lang w:val="en-US" w:eastAsia="zh-CN" w:bidi="ar-SA"/>
    </w:rPr>
  </w:style>
  <w:style w:type="character" w:customStyle="1" w:styleId="144">
    <w:name w:val="Char Char7"/>
    <w:semiHidden/>
    <w:qFormat/>
    <w:uiPriority w:val="0"/>
    <w:rPr>
      <w:rFonts w:eastAsia="宋体"/>
      <w:kern w:val="2"/>
      <w:sz w:val="21"/>
      <w:szCs w:val="24"/>
      <w:lang w:val="en-US" w:eastAsia="zh-CN" w:bidi="ar-SA"/>
    </w:rPr>
  </w:style>
  <w:style w:type="character" w:customStyle="1" w:styleId="145">
    <w:name w:val="表名 Char"/>
    <w:qFormat/>
    <w:uiPriority w:val="0"/>
    <w:rPr>
      <w:rFonts w:eastAsia="宋体"/>
      <w:b/>
      <w:bCs/>
      <w:kern w:val="2"/>
      <w:sz w:val="24"/>
      <w:szCs w:val="24"/>
      <w:lang w:val="en-US" w:eastAsia="zh-CN" w:bidi="ar-SA"/>
    </w:rPr>
  </w:style>
  <w:style w:type="character" w:customStyle="1" w:styleId="146">
    <w:name w:val="Document Map Char"/>
    <w:qFormat/>
    <w:locked/>
    <w:uiPriority w:val="0"/>
    <w:rPr>
      <w:rFonts w:eastAsia="宋体"/>
      <w:kern w:val="2"/>
      <w:sz w:val="21"/>
      <w:szCs w:val="24"/>
      <w:lang w:val="en-US" w:eastAsia="zh-CN" w:bidi="ar-SA"/>
    </w:rPr>
  </w:style>
  <w:style w:type="character" w:customStyle="1" w:styleId="147">
    <w:name w:val="font41"/>
    <w:qFormat/>
    <w:uiPriority w:val="0"/>
    <w:rPr>
      <w:rFonts w:hint="eastAsia" w:ascii="仿宋_GB2312" w:eastAsia="仿宋_GB2312" w:cs="仿宋_GB2312"/>
      <w:color w:val="000000"/>
      <w:sz w:val="22"/>
      <w:szCs w:val="22"/>
      <w:u w:val="none"/>
    </w:rPr>
  </w:style>
  <w:style w:type="character" w:customStyle="1" w:styleId="148">
    <w:name w:val="标题 6 字符"/>
    <w:link w:val="9"/>
    <w:qFormat/>
    <w:uiPriority w:val="0"/>
    <w:rPr>
      <w:rFonts w:ascii="Arial" w:hAnsi="Arial" w:eastAsia="黑体"/>
      <w:b/>
      <w:bCs/>
      <w:kern w:val="2"/>
      <w:sz w:val="24"/>
      <w:szCs w:val="24"/>
    </w:rPr>
  </w:style>
  <w:style w:type="character" w:customStyle="1" w:styleId="149">
    <w:name w:val="纯文本 Char_0"/>
    <w:link w:val="150"/>
    <w:qFormat/>
    <w:uiPriority w:val="0"/>
    <w:rPr>
      <w:rFonts w:ascii="宋体" w:hAnsi="Courier New"/>
      <w:kern w:val="2"/>
      <w:sz w:val="21"/>
      <w:szCs w:val="21"/>
      <w:lang w:val="en-US" w:eastAsia="zh-CN"/>
    </w:rPr>
  </w:style>
  <w:style w:type="paragraph" w:customStyle="1" w:styleId="150">
    <w:name w:val="纯文本_0_0"/>
    <w:basedOn w:val="151"/>
    <w:link w:val="149"/>
    <w:qFormat/>
    <w:uiPriority w:val="0"/>
    <w:rPr>
      <w:rFonts w:ascii="宋体" w:hAnsi="Courier New"/>
      <w:szCs w:val="21"/>
    </w:rPr>
  </w:style>
  <w:style w:type="paragraph" w:customStyle="1" w:styleId="151">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2">
    <w:name w:val="Balloon Text Char"/>
    <w:qFormat/>
    <w:locked/>
    <w:uiPriority w:val="0"/>
    <w:rPr>
      <w:rFonts w:eastAsia="宋体"/>
      <w:kern w:val="2"/>
      <w:sz w:val="18"/>
      <w:szCs w:val="18"/>
      <w:lang w:val="en-US" w:eastAsia="zh-CN" w:bidi="ar-SA"/>
    </w:rPr>
  </w:style>
  <w:style w:type="character" w:customStyle="1" w:styleId="153">
    <w:name w:val="正文 项目2 Char"/>
    <w:basedOn w:val="154"/>
    <w:qFormat/>
    <w:uiPriority w:val="0"/>
    <w:rPr>
      <w:rFonts w:ascii="仿宋_GB2312" w:hAnsi="仿宋_GB2312" w:eastAsia="仿宋_GB2312"/>
      <w:kern w:val="2"/>
      <w:sz w:val="24"/>
      <w:lang w:bidi="ar-SA"/>
    </w:rPr>
  </w:style>
  <w:style w:type="character" w:customStyle="1" w:styleId="154">
    <w:name w:val="正文 项目 Char"/>
    <w:qFormat/>
    <w:uiPriority w:val="0"/>
    <w:rPr>
      <w:rFonts w:ascii="仿宋_GB2312" w:hAnsi="仿宋_GB2312" w:eastAsia="仿宋_GB2312"/>
      <w:kern w:val="2"/>
      <w:sz w:val="24"/>
      <w:lang w:bidi="ar-SA"/>
    </w:rPr>
  </w:style>
  <w:style w:type="character" w:customStyle="1" w:styleId="155">
    <w:name w:val="h Char Char1"/>
    <w:qFormat/>
    <w:uiPriority w:val="0"/>
    <w:rPr>
      <w:rFonts w:eastAsia="宋体"/>
      <w:kern w:val="2"/>
      <w:sz w:val="18"/>
      <w:szCs w:val="18"/>
      <w:lang w:val="en-US" w:eastAsia="zh-CN" w:bidi="ar-SA"/>
    </w:rPr>
  </w:style>
  <w:style w:type="character" w:customStyle="1" w:styleId="156">
    <w:name w:val="Char Char27"/>
    <w:qFormat/>
    <w:uiPriority w:val="6"/>
    <w:rPr>
      <w:rFonts w:ascii="宋体" w:hAnsi="宋体" w:eastAsia="宋体"/>
      <w:color w:val="000000"/>
      <w:kern w:val="1"/>
      <w:sz w:val="28"/>
      <w:lang w:val="en-US" w:eastAsia="zh-CN" w:bidi="ar-SA"/>
    </w:rPr>
  </w:style>
  <w:style w:type="character" w:customStyle="1" w:styleId="157">
    <w:name w:val="px14"/>
    <w:qFormat/>
    <w:uiPriority w:val="0"/>
    <w:rPr>
      <w:rFonts w:ascii="仿宋_GB2312" w:eastAsia="微软雅黑" w:cs="Times New Roman"/>
      <w:b/>
      <w:kern w:val="2"/>
      <w:sz w:val="32"/>
      <w:szCs w:val="32"/>
      <w:lang w:val="en-US" w:eastAsia="zh-CN" w:bidi="ar-SA"/>
    </w:rPr>
  </w:style>
  <w:style w:type="character" w:customStyle="1" w:styleId="158">
    <w:name w:val="HTML 预设格式 Char1"/>
    <w:qFormat/>
    <w:uiPriority w:val="0"/>
    <w:rPr>
      <w:rFonts w:ascii="Courier New" w:hAnsi="Courier New" w:eastAsia="宋体" w:cs="Courier New"/>
      <w:sz w:val="20"/>
      <w:szCs w:val="20"/>
    </w:rPr>
  </w:style>
  <w:style w:type="character" w:customStyle="1" w:styleId="159">
    <w:name w:val="普通文字 Char1"/>
    <w:qFormat/>
    <w:uiPriority w:val="0"/>
    <w:rPr>
      <w:rFonts w:ascii="宋体" w:hAnsi="Courier New" w:eastAsia="宋体"/>
      <w:kern w:val="2"/>
      <w:sz w:val="21"/>
      <w:lang w:val="en-US" w:eastAsia="zh-CN"/>
    </w:rPr>
  </w:style>
  <w:style w:type="character" w:customStyle="1" w:styleId="160">
    <w:name w:val="hei16b1"/>
    <w:qFormat/>
    <w:uiPriority w:val="0"/>
    <w:rPr>
      <w:rFonts w:hint="default" w:ascii="Arial" w:hAnsi="Arial" w:cs="Arial"/>
      <w:b/>
      <w:bCs/>
      <w:color w:val="000000"/>
      <w:sz w:val="24"/>
      <w:szCs w:val="24"/>
    </w:rPr>
  </w:style>
  <w:style w:type="character" w:customStyle="1" w:styleId="161">
    <w:name w:val="正文（绿盟科技） Char"/>
    <w:link w:val="162"/>
    <w:qFormat/>
    <w:uiPriority w:val="0"/>
    <w:rPr>
      <w:rFonts w:ascii="Arial" w:hAnsi="Arial"/>
      <w:sz w:val="21"/>
      <w:szCs w:val="21"/>
    </w:rPr>
  </w:style>
  <w:style w:type="paragraph" w:customStyle="1" w:styleId="162">
    <w:name w:val="正文（绿盟科技）"/>
    <w:link w:val="161"/>
    <w:qFormat/>
    <w:uiPriority w:val="0"/>
    <w:pPr>
      <w:spacing w:line="300" w:lineRule="auto"/>
    </w:pPr>
    <w:rPr>
      <w:rFonts w:ascii="Arial" w:hAnsi="Arial" w:eastAsia="宋体" w:cs="Times New Roman"/>
      <w:sz w:val="21"/>
      <w:szCs w:val="21"/>
      <w:lang w:val="en-US" w:eastAsia="zh-CN" w:bidi="ar-SA"/>
    </w:rPr>
  </w:style>
  <w:style w:type="character" w:customStyle="1" w:styleId="163">
    <w:name w:val="Char Char19"/>
    <w:qFormat/>
    <w:uiPriority w:val="6"/>
    <w:rPr>
      <w:rFonts w:ascii="宋体" w:hAnsi="宋体"/>
      <w:i/>
      <w:sz w:val="24"/>
      <w:szCs w:val="24"/>
    </w:rPr>
  </w:style>
  <w:style w:type="character" w:customStyle="1" w:styleId="164">
    <w:name w:val="页脚 Char"/>
    <w:qFormat/>
    <w:uiPriority w:val="0"/>
    <w:rPr>
      <w:rFonts w:eastAsia="仿宋_GB2312"/>
      <w:kern w:val="2"/>
      <w:sz w:val="18"/>
      <w:lang w:val="en-US" w:eastAsia="zh-CN"/>
    </w:rPr>
  </w:style>
  <w:style w:type="character" w:customStyle="1" w:styleId="165">
    <w:name w:val="批注主题 Char"/>
    <w:qFormat/>
    <w:uiPriority w:val="0"/>
    <w:rPr>
      <w:rFonts w:eastAsia="宋体"/>
      <w:b/>
      <w:bCs/>
      <w:kern w:val="2"/>
      <w:sz w:val="21"/>
      <w:szCs w:val="24"/>
      <w:lang w:val="en-US" w:eastAsia="zh-CN" w:bidi="ar-SA"/>
    </w:rPr>
  </w:style>
  <w:style w:type="character" w:customStyle="1" w:styleId="166">
    <w:name w:val="Comment Text Char"/>
    <w:qFormat/>
    <w:locked/>
    <w:uiPriority w:val="0"/>
    <w:rPr>
      <w:rFonts w:ascii="宋体" w:hAnsi="宋体" w:eastAsia="宋体"/>
      <w:kern w:val="2"/>
      <w:sz w:val="24"/>
      <w:lang w:val="en-US" w:eastAsia="zh-CN" w:bidi="ar-SA"/>
    </w:rPr>
  </w:style>
  <w:style w:type="character" w:customStyle="1" w:styleId="167">
    <w:name w:val="标题 2 字符"/>
    <w:qFormat/>
    <w:uiPriority w:val="1"/>
    <w:rPr>
      <w:rFonts w:ascii="仿宋_GB2312" w:hAnsi="Times New Roman" w:eastAsia="仿宋_GB2312" w:cs="Times New Roman"/>
      <w:b/>
      <w:kern w:val="2"/>
      <w:sz w:val="24"/>
      <w:lang w:val="zh-CN"/>
    </w:rPr>
  </w:style>
  <w:style w:type="character" w:customStyle="1" w:styleId="168">
    <w:name w:val="Char Char72"/>
    <w:qFormat/>
    <w:uiPriority w:val="0"/>
    <w:rPr>
      <w:rFonts w:eastAsia="宋体"/>
      <w:kern w:val="2"/>
      <w:sz w:val="21"/>
      <w:szCs w:val="24"/>
      <w:lang w:val="en-US" w:eastAsia="zh-CN" w:bidi="ar-SA"/>
    </w:rPr>
  </w:style>
  <w:style w:type="character" w:customStyle="1" w:styleId="169">
    <w:name w:val="正文文本缩进 Char2"/>
    <w:qFormat/>
    <w:uiPriority w:val="0"/>
    <w:rPr>
      <w:rFonts w:ascii="Times New Roman" w:hAnsi="Times New Roman" w:eastAsia="宋体" w:cs="Times New Roman"/>
      <w:snapToGrid w:val="0"/>
      <w:kern w:val="0"/>
      <w:szCs w:val="24"/>
    </w:rPr>
  </w:style>
  <w:style w:type="character" w:customStyle="1" w:styleId="170">
    <w:name w:val="样式2 Char"/>
    <w:qFormat/>
    <w:uiPriority w:val="0"/>
    <w:rPr>
      <w:rFonts w:ascii="仿宋_GB2312" w:hAnsi="仿宋" w:eastAsia="仿宋_GB2312" w:cs="仿宋_GB2312"/>
      <w:b/>
      <w:bCs/>
      <w:sz w:val="32"/>
      <w:szCs w:val="30"/>
      <w:lang w:val="zh-CN"/>
    </w:rPr>
  </w:style>
  <w:style w:type="character" w:customStyle="1" w:styleId="171">
    <w:name w:val="表格名称[858D7CFB-ED40-4347-BF05-701D383B685F]"/>
    <w:link w:val="172"/>
    <w:qFormat/>
    <w:uiPriority w:val="0"/>
    <w:rPr>
      <w:sz w:val="32"/>
    </w:rPr>
  </w:style>
  <w:style w:type="paragraph" w:customStyle="1" w:styleId="172">
    <w:name w:val="表格名称"/>
    <w:basedOn w:val="3"/>
    <w:link w:val="171"/>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3">
    <w:name w:val="Char Char4"/>
    <w:qFormat/>
    <w:uiPriority w:val="0"/>
    <w:rPr>
      <w:rFonts w:eastAsia="宋体"/>
      <w:b/>
      <w:sz w:val="24"/>
      <w:lang w:val="en-GB" w:eastAsia="zh-CN" w:bidi="ar-SA"/>
    </w:rPr>
  </w:style>
  <w:style w:type="character" w:customStyle="1" w:styleId="174">
    <w:name w:val="c7 style3"/>
    <w:qFormat/>
    <w:uiPriority w:val="0"/>
  </w:style>
  <w:style w:type="character" w:customStyle="1" w:styleId="175">
    <w:name w:val="正文文本 3 Char1"/>
    <w:semiHidden/>
    <w:qFormat/>
    <w:uiPriority w:val="99"/>
    <w:rPr>
      <w:rFonts w:ascii="Times New Roman" w:hAnsi="Times New Roman" w:eastAsia="宋体" w:cs="Times New Roman"/>
      <w:sz w:val="16"/>
      <w:szCs w:val="16"/>
    </w:rPr>
  </w:style>
  <w:style w:type="character" w:customStyle="1" w:styleId="176">
    <w:name w:val="tw4winInternal"/>
    <w:qFormat/>
    <w:uiPriority w:val="0"/>
    <w:rPr>
      <w:rFonts w:ascii="Courier New" w:hAnsi="Courier New" w:cs="Courier New"/>
      <w:color w:val="FF0000"/>
      <w:lang w:val="en-US" w:eastAsia="zh-CN"/>
    </w:rPr>
  </w:style>
  <w:style w:type="character" w:customStyle="1" w:styleId="177">
    <w:name w:val="Char Char10"/>
    <w:semiHidden/>
    <w:qFormat/>
    <w:uiPriority w:val="0"/>
    <w:rPr>
      <w:rFonts w:ascii="宋体" w:hAnsi="宋体"/>
      <w:kern w:val="2"/>
      <w:sz w:val="21"/>
      <w:szCs w:val="24"/>
      <w:lang w:val="en-US" w:eastAsia="zh-CN"/>
    </w:rPr>
  </w:style>
  <w:style w:type="character" w:customStyle="1" w:styleId="178">
    <w:name w:val="shadow11"/>
    <w:qFormat/>
    <w:uiPriority w:val="0"/>
    <w:rPr>
      <w:color w:val="000000"/>
      <w:sz w:val="21"/>
    </w:rPr>
  </w:style>
  <w:style w:type="character" w:customStyle="1" w:styleId="179">
    <w:name w:val="正文非缩进 Char3"/>
    <w:qFormat/>
    <w:uiPriority w:val="0"/>
    <w:rPr>
      <w:rFonts w:ascii="宋体" w:eastAsia="宋体"/>
      <w:snapToGrid w:val="0"/>
      <w:color w:val="000000"/>
      <w:kern w:val="28"/>
      <w:sz w:val="28"/>
      <w:lang w:val="en-US" w:eastAsia="zh-CN" w:bidi="ar-SA"/>
    </w:rPr>
  </w:style>
  <w:style w:type="character" w:customStyle="1" w:styleId="180">
    <w:name w:val="Char Char"/>
    <w:qFormat/>
    <w:uiPriority w:val="0"/>
    <w:rPr>
      <w:rFonts w:ascii="宋体" w:hAnsi="Courier New" w:eastAsia="宋体"/>
      <w:kern w:val="2"/>
      <w:sz w:val="21"/>
      <w:lang w:val="en-US" w:eastAsia="zh-CN" w:bidi="ar-SA"/>
    </w:rPr>
  </w:style>
  <w:style w:type="character" w:customStyle="1" w:styleId="181">
    <w:name w:val="签名 Char1"/>
    <w:qFormat/>
    <w:uiPriority w:val="0"/>
    <w:rPr>
      <w:rFonts w:ascii="Times New Roman" w:hAnsi="Times New Roman" w:eastAsia="宋体" w:cs="Times New Roman"/>
      <w:szCs w:val="24"/>
    </w:rPr>
  </w:style>
  <w:style w:type="character" w:customStyle="1" w:styleId="182">
    <w:name w:val="日期 字符"/>
    <w:link w:val="38"/>
    <w:qFormat/>
    <w:uiPriority w:val="0"/>
    <w:rPr>
      <w:rFonts w:ascii="宋体"/>
      <w:kern w:val="2"/>
      <w:sz w:val="24"/>
      <w:szCs w:val="21"/>
      <w:lang w:val="zh-CN"/>
    </w:rPr>
  </w:style>
  <w:style w:type="character" w:customStyle="1" w:styleId="183">
    <w:name w:val="标题 9 字符"/>
    <w:link w:val="12"/>
    <w:qFormat/>
    <w:uiPriority w:val="0"/>
    <w:rPr>
      <w:rFonts w:ascii="Arial" w:hAnsi="Arial" w:eastAsia="黑体"/>
      <w:kern w:val="2"/>
      <w:sz w:val="21"/>
      <w:szCs w:val="21"/>
    </w:rPr>
  </w:style>
  <w:style w:type="character" w:customStyle="1" w:styleId="184">
    <w:name w:val="Char Char18"/>
    <w:qFormat/>
    <w:uiPriority w:val="6"/>
    <w:rPr>
      <w:rFonts w:ascii="宋体" w:hAnsi="宋体"/>
      <w:sz w:val="28"/>
    </w:rPr>
  </w:style>
  <w:style w:type="character" w:customStyle="1" w:styleId="185">
    <w:name w:val="批注文字 Char"/>
    <w:qFormat/>
    <w:uiPriority w:val="99"/>
    <w:rPr>
      <w:kern w:val="2"/>
      <w:sz w:val="21"/>
      <w:szCs w:val="24"/>
    </w:rPr>
  </w:style>
  <w:style w:type="character" w:customStyle="1" w:styleId="186">
    <w:name w:val="Char Char22"/>
    <w:qFormat/>
    <w:uiPriority w:val="6"/>
    <w:rPr>
      <w:rFonts w:ascii="宋体" w:hAnsi="宋体"/>
      <w:kern w:val="1"/>
      <w:sz w:val="24"/>
      <w:szCs w:val="24"/>
    </w:rPr>
  </w:style>
  <w:style w:type="character" w:customStyle="1" w:styleId="187">
    <w:name w:val="pt141"/>
    <w:qFormat/>
    <w:uiPriority w:val="0"/>
    <w:rPr>
      <w:color w:val="330066"/>
      <w:sz w:val="22"/>
      <w:szCs w:val="22"/>
    </w:rPr>
  </w:style>
  <w:style w:type="character" w:customStyle="1" w:styleId="188">
    <w:name w:val="正文文本缩进 2 Char1"/>
    <w:semiHidden/>
    <w:qFormat/>
    <w:uiPriority w:val="99"/>
    <w:rPr>
      <w:rFonts w:ascii="Times New Roman" w:hAnsi="Times New Roman" w:eastAsia="宋体" w:cs="Times New Roman"/>
      <w:szCs w:val="24"/>
    </w:rPr>
  </w:style>
  <w:style w:type="character" w:customStyle="1" w:styleId="189">
    <w:name w:val="批注框文本 字符1"/>
    <w:link w:val="41"/>
    <w:qFormat/>
    <w:uiPriority w:val="0"/>
    <w:rPr>
      <w:kern w:val="2"/>
      <w:sz w:val="18"/>
      <w:szCs w:val="18"/>
    </w:rPr>
  </w:style>
  <w:style w:type="character" w:customStyle="1" w:styleId="190">
    <w:name w:val="Char Char611"/>
    <w:qFormat/>
    <w:uiPriority w:val="0"/>
    <w:rPr>
      <w:rFonts w:eastAsia="宋体"/>
      <w:kern w:val="2"/>
      <w:sz w:val="21"/>
      <w:szCs w:val="24"/>
      <w:lang w:val="en-US" w:eastAsia="zh-CN" w:bidi="ar-SA"/>
    </w:rPr>
  </w:style>
  <w:style w:type="character" w:customStyle="1" w:styleId="191">
    <w:name w:val="highlight1"/>
    <w:qFormat/>
    <w:uiPriority w:val="0"/>
    <w:rPr>
      <w:rFonts w:ascii="仿宋_GB2312" w:eastAsia="微软雅黑"/>
      <w:b/>
      <w:kern w:val="2"/>
      <w:sz w:val="23"/>
      <w:szCs w:val="23"/>
      <w:lang w:val="en-US" w:eastAsia="zh-CN" w:bidi="ar-SA"/>
    </w:rPr>
  </w:style>
  <w:style w:type="character" w:customStyle="1" w:styleId="192">
    <w:name w:val="my正文 Char"/>
    <w:link w:val="193"/>
    <w:qFormat/>
    <w:locked/>
    <w:uiPriority w:val="0"/>
    <w:rPr>
      <w:rFonts w:ascii="Tahoma" w:hAnsi="Tahoma"/>
      <w:sz w:val="24"/>
      <w:szCs w:val="24"/>
    </w:rPr>
  </w:style>
  <w:style w:type="paragraph" w:customStyle="1" w:styleId="193">
    <w:name w:val="my正文"/>
    <w:basedOn w:val="1"/>
    <w:link w:val="192"/>
    <w:qFormat/>
    <w:uiPriority w:val="0"/>
    <w:pPr>
      <w:adjustRightInd/>
      <w:spacing w:line="360" w:lineRule="auto"/>
      <w:ind w:firstLine="480" w:firstLineChars="200"/>
    </w:pPr>
    <w:rPr>
      <w:rFonts w:ascii="Tahoma" w:hAnsi="Tahoma"/>
      <w:kern w:val="0"/>
      <w:sz w:val="24"/>
    </w:rPr>
  </w:style>
  <w:style w:type="character" w:customStyle="1" w:styleId="194">
    <w:name w:val="正文缩进 字符2"/>
    <w:link w:val="4"/>
    <w:qFormat/>
    <w:uiPriority w:val="0"/>
    <w:rPr>
      <w:rFonts w:ascii="宋体" w:eastAsia="宋体"/>
      <w:snapToGrid w:val="0"/>
      <w:color w:val="000000"/>
      <w:kern w:val="28"/>
      <w:sz w:val="28"/>
      <w:lang w:val="en-US" w:eastAsia="zh-CN" w:bidi="ar-SA"/>
    </w:rPr>
  </w:style>
  <w:style w:type="character" w:customStyle="1" w:styleId="195">
    <w:name w:val="Used by Word for text of Help footnotes Char Char1"/>
    <w:qFormat/>
    <w:uiPriority w:val="0"/>
    <w:rPr>
      <w:color w:val="0000FF"/>
      <w:sz w:val="21"/>
    </w:rPr>
  </w:style>
  <w:style w:type="character" w:customStyle="1" w:styleId="196">
    <w:name w:val="页眉 Char"/>
    <w:qFormat/>
    <w:uiPriority w:val="0"/>
    <w:rPr>
      <w:rFonts w:eastAsia="仿宋_GB2312"/>
      <w:kern w:val="2"/>
      <w:sz w:val="18"/>
      <w:lang w:val="en-US" w:eastAsia="zh-CN"/>
    </w:rPr>
  </w:style>
  <w:style w:type="character" w:customStyle="1" w:styleId="197">
    <w:name w:val="FA正文 Char Char"/>
    <w:qFormat/>
    <w:uiPriority w:val="0"/>
    <w:rPr>
      <w:rFonts w:hAnsi="宋体"/>
      <w:kern w:val="2"/>
      <w:sz w:val="24"/>
      <w:lang w:bidi="ar-SA"/>
    </w:rPr>
  </w:style>
  <w:style w:type="character" w:customStyle="1" w:styleId="198">
    <w:name w:val="纯文本 字符"/>
    <w:qFormat/>
    <w:uiPriority w:val="0"/>
    <w:rPr>
      <w:rFonts w:ascii="宋体" w:hAnsi="Courier New" w:eastAsia="宋体" w:cs="Arial"/>
      <w:snapToGrid w:val="0"/>
      <w:kern w:val="2"/>
      <w:sz w:val="21"/>
      <w:szCs w:val="21"/>
      <w:lang w:val="en-US" w:eastAsia="zh-CN" w:bidi="ar-SA"/>
    </w:rPr>
  </w:style>
  <w:style w:type="character" w:customStyle="1" w:styleId="199">
    <w:name w:val="3级 Char"/>
    <w:link w:val="200"/>
    <w:qFormat/>
    <w:uiPriority w:val="0"/>
    <w:rPr>
      <w:rFonts w:ascii="宋体" w:hAnsi="宋体"/>
      <w:b/>
      <w:bCs/>
      <w:snapToGrid/>
      <w:sz w:val="28"/>
    </w:rPr>
  </w:style>
  <w:style w:type="paragraph" w:customStyle="1" w:styleId="200">
    <w:name w:val="3级"/>
    <w:basedOn w:val="201"/>
    <w:link w:val="199"/>
    <w:qFormat/>
    <w:uiPriority w:val="0"/>
    <w:pPr>
      <w:ind w:left="0" w:right="466" w:firstLine="288"/>
    </w:pPr>
    <w:rPr>
      <w:rFonts w:hAnsi="宋体"/>
      <w:snapToGrid/>
    </w:rPr>
  </w:style>
  <w:style w:type="paragraph" w:customStyle="1" w:styleId="201">
    <w:name w:val="样式 标题 3h33rd level3BOD 0H3l3CTHeading 3 - oldLevel 3 He..."/>
    <w:basedOn w:val="6"/>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2">
    <w:name w:val="myp11"/>
    <w:qFormat/>
    <w:uiPriority w:val="0"/>
    <w:rPr>
      <w:rFonts w:ascii="仿宋_GB2312" w:eastAsia="微软雅黑"/>
      <w:b/>
      <w:kern w:val="2"/>
      <w:sz w:val="32"/>
      <w:szCs w:val="32"/>
      <w:lang w:val="en-US" w:eastAsia="zh-CN" w:bidi="ar-SA"/>
    </w:rPr>
  </w:style>
  <w:style w:type="character" w:customStyle="1" w:styleId="203">
    <w:name w:val="文档结构图 字符"/>
    <w:link w:val="19"/>
    <w:qFormat/>
    <w:uiPriority w:val="0"/>
    <w:rPr>
      <w:kern w:val="2"/>
      <w:sz w:val="21"/>
      <w:szCs w:val="24"/>
      <w:shd w:val="clear" w:color="auto" w:fill="000080"/>
    </w:rPr>
  </w:style>
  <w:style w:type="character" w:customStyle="1" w:styleId="204">
    <w:name w:val="H6 Char"/>
    <w:qFormat/>
    <w:uiPriority w:val="0"/>
    <w:rPr>
      <w:rFonts w:ascii="Arial" w:hAnsi="Arial" w:eastAsia="黑体"/>
      <w:b/>
      <w:bCs/>
      <w:kern w:val="2"/>
      <w:sz w:val="24"/>
      <w:szCs w:val="24"/>
    </w:rPr>
  </w:style>
  <w:style w:type="character" w:customStyle="1" w:styleId="205">
    <w:name w:val="Char Char91"/>
    <w:qFormat/>
    <w:uiPriority w:val="0"/>
    <w:rPr>
      <w:rFonts w:eastAsia="宋体"/>
      <w:kern w:val="2"/>
      <w:sz w:val="18"/>
      <w:szCs w:val="18"/>
      <w:lang w:val="en-US" w:eastAsia="zh-CN" w:bidi="ar-SA"/>
    </w:rPr>
  </w:style>
  <w:style w:type="character" w:customStyle="1" w:styleId="206">
    <w:name w:val="副标题 Char1"/>
    <w:qFormat/>
    <w:uiPriority w:val="0"/>
    <w:rPr>
      <w:rFonts w:ascii="Cambria" w:hAnsi="Cambria" w:eastAsia="宋体" w:cs="Times New Roman"/>
      <w:b/>
      <w:bCs/>
      <w:snapToGrid w:val="0"/>
      <w:kern w:val="28"/>
      <w:sz w:val="32"/>
      <w:szCs w:val="32"/>
    </w:rPr>
  </w:style>
  <w:style w:type="character" w:customStyle="1" w:styleId="207">
    <w:name w:val="font61"/>
    <w:qFormat/>
    <w:uiPriority w:val="0"/>
    <w:rPr>
      <w:rFonts w:hint="eastAsia" w:ascii="仿宋" w:hAnsi="仿宋" w:eastAsia="仿宋" w:cs="仿宋"/>
      <w:color w:val="000000"/>
      <w:sz w:val="20"/>
      <w:szCs w:val="20"/>
      <w:u w:val="none"/>
    </w:rPr>
  </w:style>
  <w:style w:type="character" w:customStyle="1" w:styleId="208">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9">
    <w:name w:val="Char Char211"/>
    <w:qFormat/>
    <w:uiPriority w:val="0"/>
    <w:rPr>
      <w:rFonts w:eastAsia="宋体"/>
      <w:b/>
      <w:bCs/>
      <w:kern w:val="2"/>
      <w:sz w:val="21"/>
      <w:szCs w:val="24"/>
      <w:lang w:val="en-US" w:eastAsia="zh-CN" w:bidi="ar-SA"/>
    </w:rPr>
  </w:style>
  <w:style w:type="character" w:customStyle="1" w:styleId="210">
    <w:name w:val="标题 2 Char"/>
    <w:qFormat/>
    <w:uiPriority w:val="0"/>
    <w:rPr>
      <w:rFonts w:ascii="Arial" w:hAnsi="Arial" w:eastAsia="黑体"/>
      <w:b/>
      <w:kern w:val="2"/>
      <w:sz w:val="32"/>
      <w:lang w:val="en-US" w:eastAsia="zh-CN"/>
    </w:rPr>
  </w:style>
  <w:style w:type="character" w:customStyle="1" w:styleId="211">
    <w:name w:val="maywed421"/>
    <w:qFormat/>
    <w:uiPriority w:val="0"/>
    <w:rPr>
      <w:color w:val="366FB6"/>
      <w:u w:val="none"/>
    </w:rPr>
  </w:style>
  <w:style w:type="character" w:customStyle="1" w:styleId="212">
    <w:name w:val="正文文本缩进 Char"/>
    <w:qFormat/>
    <w:uiPriority w:val="0"/>
    <w:rPr>
      <w:rFonts w:ascii="宋体" w:hAnsi="宋体"/>
      <w:kern w:val="2"/>
      <w:sz w:val="24"/>
      <w:szCs w:val="24"/>
    </w:rPr>
  </w:style>
  <w:style w:type="character" w:customStyle="1" w:styleId="213">
    <w:name w:val="Char Char102"/>
    <w:semiHidden/>
    <w:qFormat/>
    <w:uiPriority w:val="0"/>
    <w:rPr>
      <w:rFonts w:ascii="宋体" w:hAnsi="宋体"/>
      <w:kern w:val="2"/>
      <w:sz w:val="21"/>
      <w:szCs w:val="24"/>
      <w:lang w:val="en-US" w:eastAsia="zh-CN"/>
    </w:rPr>
  </w:style>
  <w:style w:type="character" w:customStyle="1" w:styleId="214">
    <w:name w:val="页眉 Char1"/>
    <w:qFormat/>
    <w:uiPriority w:val="0"/>
    <w:rPr>
      <w:rFonts w:eastAsia="宋体"/>
      <w:kern w:val="2"/>
      <w:sz w:val="18"/>
      <w:szCs w:val="18"/>
      <w:lang w:val="en-US" w:eastAsia="zh-CN" w:bidi="ar-SA"/>
    </w:rPr>
  </w:style>
  <w:style w:type="character" w:customStyle="1" w:styleId="215">
    <w:name w:val="md"/>
    <w:basedOn w:val="70"/>
    <w:qFormat/>
    <w:uiPriority w:val="0"/>
    <w:rPr>
      <w:rFonts w:ascii="Arial" w:hAnsi="Arial" w:eastAsia="黑体" w:cs="Arial"/>
      <w:snapToGrid w:val="0"/>
      <w:kern w:val="0"/>
      <w:szCs w:val="21"/>
    </w:rPr>
  </w:style>
  <w:style w:type="character" w:customStyle="1" w:styleId="216">
    <w:name w:val="big1"/>
    <w:qFormat/>
    <w:uiPriority w:val="0"/>
    <w:rPr>
      <w:rFonts w:hint="eastAsia" w:ascii="宋体" w:hAnsi="宋体" w:eastAsia="宋体"/>
      <w:color w:val="333333"/>
      <w:sz w:val="22"/>
      <w:szCs w:val="22"/>
    </w:rPr>
  </w:style>
  <w:style w:type="character" w:customStyle="1" w:styleId="217">
    <w:name w:val="Char Char311"/>
    <w:qFormat/>
    <w:uiPriority w:val="0"/>
    <w:rPr>
      <w:rFonts w:eastAsia="宋体"/>
      <w:kern w:val="2"/>
      <w:sz w:val="21"/>
      <w:szCs w:val="24"/>
      <w:lang w:val="en-US" w:eastAsia="zh-CN" w:bidi="ar-SA"/>
    </w:rPr>
  </w:style>
  <w:style w:type="character" w:customStyle="1" w:styleId="218">
    <w:name w:val="Char Char81"/>
    <w:qFormat/>
    <w:uiPriority w:val="6"/>
    <w:rPr>
      <w:rFonts w:eastAsia="宋体"/>
      <w:b/>
      <w:sz w:val="24"/>
      <w:lang w:val="en-GB" w:eastAsia="zh-CN"/>
    </w:rPr>
  </w:style>
  <w:style w:type="character" w:customStyle="1" w:styleId="219">
    <w:name w:val="样式3 Char"/>
    <w:basedOn w:val="170"/>
    <w:qFormat/>
    <w:uiPriority w:val="0"/>
    <w:rPr>
      <w:rFonts w:ascii="仿宋_GB2312" w:hAnsi="仿宋" w:eastAsia="仿宋_GB2312" w:cs="仿宋_GB2312"/>
      <w:sz w:val="32"/>
      <w:szCs w:val="30"/>
      <w:lang w:val="zh-CN"/>
    </w:rPr>
  </w:style>
  <w:style w:type="character" w:customStyle="1" w:styleId="220">
    <w:name w:val="HTML 地址 字符"/>
    <w:link w:val="32"/>
    <w:qFormat/>
    <w:uiPriority w:val="0"/>
    <w:rPr>
      <w:rFonts w:ascii="宋体" w:hAnsi="宋体"/>
      <w:i/>
      <w:iCs/>
      <w:sz w:val="24"/>
      <w:szCs w:val="24"/>
    </w:rPr>
  </w:style>
  <w:style w:type="character" w:customStyle="1" w:styleId="221">
    <w:name w:val="正文首行缩进 2 Char1"/>
    <w:qFormat/>
    <w:uiPriority w:val="0"/>
    <w:rPr>
      <w:rFonts w:ascii="Times New Roman" w:hAnsi="Times New Roman" w:eastAsia="宋体" w:cs="Times New Roman"/>
      <w:kern w:val="2"/>
      <w:sz w:val="24"/>
      <w:szCs w:val="24"/>
    </w:rPr>
  </w:style>
  <w:style w:type="character" w:customStyle="1" w:styleId="222">
    <w:name w:val="副标题 Char2"/>
    <w:qFormat/>
    <w:uiPriority w:val="0"/>
    <w:rPr>
      <w:rFonts w:ascii="Cambria" w:hAnsi="Cambria" w:eastAsia="宋体" w:cs="Times New Roman"/>
      <w:b/>
      <w:bCs/>
      <w:snapToGrid w:val="0"/>
      <w:kern w:val="28"/>
      <w:sz w:val="32"/>
      <w:szCs w:val="32"/>
    </w:rPr>
  </w:style>
  <w:style w:type="character" w:customStyle="1" w:styleId="223">
    <w:name w:val="标题4-dyf Char"/>
    <w:link w:val="224"/>
    <w:qFormat/>
    <w:uiPriority w:val="0"/>
    <w:rPr>
      <w:rFonts w:ascii="Cambria" w:hAnsi="Cambria"/>
      <w:b/>
      <w:bCs/>
      <w:color w:val="000000"/>
      <w:kern w:val="2"/>
      <w:sz w:val="21"/>
      <w:szCs w:val="21"/>
    </w:rPr>
  </w:style>
  <w:style w:type="paragraph" w:customStyle="1" w:styleId="224">
    <w:name w:val="标题4-dyf"/>
    <w:basedOn w:val="7"/>
    <w:link w:val="223"/>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5">
    <w:name w:val="dectext1"/>
    <w:qFormat/>
    <w:uiPriority w:val="0"/>
    <w:rPr>
      <w:rFonts w:ascii="宋体" w:hAnsi="宋体" w:eastAsia="宋体"/>
      <w:color w:val="333333"/>
      <w:sz w:val="21"/>
      <w:szCs w:val="21"/>
      <w:u w:val="none"/>
    </w:rPr>
  </w:style>
  <w:style w:type="character" w:customStyle="1" w:styleId="226">
    <w:name w:val="冯 Char"/>
    <w:link w:val="227"/>
    <w:qFormat/>
    <w:uiPriority w:val="0"/>
    <w:rPr>
      <w:rFonts w:ascii="宋体" w:hAnsi="宋体"/>
      <w:color w:val="000000"/>
      <w:sz w:val="24"/>
      <w:szCs w:val="24"/>
    </w:rPr>
  </w:style>
  <w:style w:type="paragraph" w:customStyle="1" w:styleId="227">
    <w:name w:val="冯"/>
    <w:basedOn w:val="1"/>
    <w:link w:val="226"/>
    <w:qFormat/>
    <w:uiPriority w:val="0"/>
    <w:pPr>
      <w:widowControl/>
      <w:adjustRightInd/>
      <w:spacing w:line="360" w:lineRule="auto"/>
      <w:ind w:firstLine="480" w:firstLineChars="200"/>
    </w:pPr>
    <w:rPr>
      <w:rFonts w:ascii="宋体" w:hAnsi="宋体"/>
      <w:color w:val="000000"/>
      <w:kern w:val="0"/>
      <w:sz w:val="24"/>
    </w:rPr>
  </w:style>
  <w:style w:type="character" w:customStyle="1" w:styleId="228">
    <w:name w:val="Header Char"/>
    <w:qFormat/>
    <w:locked/>
    <w:uiPriority w:val="0"/>
    <w:rPr>
      <w:rFonts w:eastAsia="宋体"/>
      <w:kern w:val="2"/>
      <w:sz w:val="18"/>
      <w:szCs w:val="18"/>
      <w:lang w:val="en-US" w:eastAsia="zh-CN" w:bidi="ar-SA"/>
    </w:rPr>
  </w:style>
  <w:style w:type="character" w:customStyle="1" w:styleId="229">
    <w:name w:val="Char Char12"/>
    <w:qFormat/>
    <w:uiPriority w:val="0"/>
    <w:rPr>
      <w:rFonts w:ascii="仿宋_GB2312" w:eastAsia="仿宋_GB2312"/>
      <w:b/>
      <w:bCs/>
      <w:kern w:val="2"/>
      <w:sz w:val="24"/>
      <w:szCs w:val="24"/>
      <w:lang w:val="zh-CN" w:eastAsia="zh-CN" w:bidi="ar-SA"/>
    </w:rPr>
  </w:style>
  <w:style w:type="character" w:customStyle="1" w:styleId="230">
    <w:name w:val="题注 字符"/>
    <w:link w:val="17"/>
    <w:qFormat/>
    <w:uiPriority w:val="0"/>
    <w:rPr>
      <w:b/>
      <w:kern w:val="2"/>
      <w:sz w:val="28"/>
    </w:rPr>
  </w:style>
  <w:style w:type="character" w:customStyle="1" w:styleId="231">
    <w:name w:val="普通文字 Char3"/>
    <w:qFormat/>
    <w:uiPriority w:val="0"/>
    <w:rPr>
      <w:rFonts w:ascii="宋体" w:hAnsi="Courier New" w:eastAsia="宋体"/>
      <w:kern w:val="2"/>
      <w:sz w:val="21"/>
      <w:lang w:val="en-US" w:eastAsia="zh-CN" w:bidi="ar-SA"/>
    </w:rPr>
  </w:style>
  <w:style w:type="character" w:customStyle="1" w:styleId="232">
    <w:name w:val="公文正文 Char"/>
    <w:qFormat/>
    <w:uiPriority w:val="0"/>
    <w:rPr>
      <w:rFonts w:ascii="仿宋_GB2312" w:eastAsia="仿宋_GB2312"/>
      <w:kern w:val="2"/>
      <w:sz w:val="24"/>
      <w:szCs w:val="24"/>
      <w:lang w:val="en-US" w:eastAsia="zh-CN" w:bidi="ar-SA"/>
    </w:rPr>
  </w:style>
  <w:style w:type="character" w:customStyle="1" w:styleId="233">
    <w:name w:val="正文首行缩进 Char Char Char Char Char"/>
    <w:qFormat/>
    <w:uiPriority w:val="0"/>
    <w:rPr>
      <w:rFonts w:ascii="宋体"/>
      <w:kern w:val="2"/>
      <w:sz w:val="24"/>
      <w:lang w:val="zh-CN"/>
    </w:rPr>
  </w:style>
  <w:style w:type="character" w:customStyle="1" w:styleId="234">
    <w:name w:val="PI Char"/>
    <w:qFormat/>
    <w:uiPriority w:val="0"/>
    <w:rPr>
      <w:rFonts w:ascii="宋体" w:hAnsi="宋体" w:eastAsia="宋体"/>
      <w:kern w:val="2"/>
      <w:sz w:val="24"/>
      <w:szCs w:val="24"/>
      <w:lang w:val="en-US" w:eastAsia="zh-CN" w:bidi="ar-SA"/>
    </w:rPr>
  </w:style>
  <w:style w:type="character" w:customStyle="1" w:styleId="235">
    <w:name w:val="Default Char"/>
    <w:link w:val="236"/>
    <w:qFormat/>
    <w:uiPriority w:val="0"/>
    <w:rPr>
      <w:rFonts w:ascii="仿宋_GB2312" w:eastAsia="仿宋_GB2312" w:cs="仿宋_GB2312"/>
      <w:color w:val="000000"/>
      <w:sz w:val="24"/>
      <w:szCs w:val="24"/>
      <w:lang w:val="en-US" w:eastAsia="zh-CN" w:bidi="ar-SA"/>
    </w:rPr>
  </w:style>
  <w:style w:type="paragraph" w:customStyle="1" w:styleId="236">
    <w:name w:val="Default"/>
    <w:link w:val="23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7">
    <w:name w:val="style91"/>
    <w:qFormat/>
    <w:uiPriority w:val="0"/>
    <w:rPr>
      <w:color w:val="333333"/>
    </w:rPr>
  </w:style>
  <w:style w:type="character" w:customStyle="1" w:styleId="238">
    <w:name w:val="列出段落 Char2"/>
    <w:qFormat/>
    <w:uiPriority w:val="34"/>
    <w:rPr>
      <w:rFonts w:ascii="Calibri" w:hAnsi="Calibri"/>
      <w:kern w:val="2"/>
      <w:sz w:val="28"/>
    </w:rPr>
  </w:style>
  <w:style w:type="character" w:customStyle="1" w:styleId="239">
    <w:name w:val="mdeck"/>
    <w:qFormat/>
    <w:uiPriority w:val="0"/>
    <w:rPr>
      <w:rFonts w:ascii="仿宋_GB2312" w:eastAsia="微软雅黑"/>
      <w:b/>
      <w:kern w:val="2"/>
      <w:sz w:val="32"/>
      <w:szCs w:val="32"/>
      <w:lang w:val="en-US" w:eastAsia="zh-CN" w:bidi="ar-SA"/>
    </w:rPr>
  </w:style>
  <w:style w:type="character" w:customStyle="1" w:styleId="240">
    <w:name w:val="unnamed11"/>
    <w:qFormat/>
    <w:uiPriority w:val="0"/>
    <w:rPr>
      <w:sz w:val="20"/>
      <w:szCs w:val="20"/>
    </w:rPr>
  </w:style>
  <w:style w:type="character" w:customStyle="1" w:styleId="241">
    <w:name w:val="正文文本 Char2"/>
    <w:semiHidden/>
    <w:qFormat/>
    <w:uiPriority w:val="99"/>
    <w:rPr>
      <w:rFonts w:ascii="Times New Roman" w:hAnsi="Times New Roman" w:eastAsia="宋体" w:cs="Times New Roman"/>
      <w:snapToGrid w:val="0"/>
      <w:kern w:val="0"/>
      <w:szCs w:val="24"/>
    </w:rPr>
  </w:style>
  <w:style w:type="character" w:customStyle="1" w:styleId="242">
    <w:name w:val="标书正文格式 Char"/>
    <w:qFormat/>
    <w:uiPriority w:val="0"/>
    <w:rPr>
      <w:rFonts w:eastAsia="楷体_GB2312"/>
      <w:kern w:val="2"/>
      <w:sz w:val="24"/>
      <w:szCs w:val="24"/>
      <w:lang w:bidi="ar-SA"/>
    </w:rPr>
  </w:style>
  <w:style w:type="character" w:customStyle="1" w:styleId="243">
    <w:name w:val="Char Char11"/>
    <w:qFormat/>
    <w:locked/>
    <w:uiPriority w:val="0"/>
    <w:rPr>
      <w:rFonts w:ascii="宋体" w:hAnsi="宋体" w:eastAsia="宋体"/>
      <w:b/>
      <w:kern w:val="2"/>
      <w:sz w:val="24"/>
      <w:szCs w:val="24"/>
      <w:lang w:val="en-US" w:eastAsia="zh-CN" w:bidi="ar-SA"/>
    </w:rPr>
  </w:style>
  <w:style w:type="character" w:customStyle="1" w:styleId="244">
    <w:name w:val="ca-131"/>
    <w:qFormat/>
    <w:uiPriority w:val="0"/>
    <w:rPr>
      <w:rFonts w:hint="eastAsia" w:ascii="仿宋_GB2312" w:eastAsia="仿宋_GB2312"/>
      <w:b/>
      <w:bCs/>
      <w:color w:val="000000"/>
      <w:spacing w:val="-20"/>
      <w:sz w:val="24"/>
      <w:szCs w:val="24"/>
    </w:rPr>
  </w:style>
  <w:style w:type="character" w:customStyle="1" w:styleId="245">
    <w:name w:val="tw4winMark"/>
    <w:qFormat/>
    <w:uiPriority w:val="0"/>
    <w:rPr>
      <w:rFonts w:ascii="Courier New" w:hAnsi="Courier New" w:cs="Courier New"/>
      <w:vanish/>
      <w:color w:val="800080"/>
      <w:sz w:val="24"/>
      <w:szCs w:val="24"/>
      <w:vertAlign w:val="subscript"/>
    </w:rPr>
  </w:style>
  <w:style w:type="character" w:customStyle="1" w:styleId="246">
    <w:name w:val="正文样式 Char"/>
    <w:link w:val="247"/>
    <w:qFormat/>
    <w:uiPriority w:val="0"/>
    <w:rPr>
      <w:rFonts w:ascii="Calibri" w:hAnsi="Calibri"/>
      <w:sz w:val="24"/>
      <w:szCs w:val="24"/>
    </w:rPr>
  </w:style>
  <w:style w:type="paragraph" w:customStyle="1" w:styleId="247">
    <w:name w:val="正文样式"/>
    <w:basedOn w:val="1"/>
    <w:link w:val="246"/>
    <w:qFormat/>
    <w:uiPriority w:val="0"/>
    <w:pPr>
      <w:adjustRightInd/>
      <w:spacing w:line="360" w:lineRule="auto"/>
      <w:ind w:firstLine="480" w:firstLineChars="200"/>
    </w:pPr>
    <w:rPr>
      <w:kern w:val="0"/>
      <w:sz w:val="24"/>
    </w:rPr>
  </w:style>
  <w:style w:type="character" w:customStyle="1" w:styleId="248">
    <w:name w:val="表正文 Char3"/>
    <w:qFormat/>
    <w:uiPriority w:val="0"/>
    <w:rPr>
      <w:rFonts w:eastAsia="宋体"/>
    </w:rPr>
  </w:style>
  <w:style w:type="character" w:customStyle="1" w:styleId="249">
    <w:name w:val="H5 Char"/>
    <w:qFormat/>
    <w:uiPriority w:val="0"/>
    <w:rPr>
      <w:b/>
      <w:bCs/>
      <w:kern w:val="2"/>
      <w:sz w:val="28"/>
      <w:szCs w:val="28"/>
    </w:rPr>
  </w:style>
  <w:style w:type="character" w:customStyle="1" w:styleId="250">
    <w:name w:val="Char Char3"/>
    <w:qFormat/>
    <w:uiPriority w:val="0"/>
    <w:rPr>
      <w:rFonts w:eastAsia="宋体"/>
      <w:kern w:val="2"/>
      <w:sz w:val="21"/>
      <w:szCs w:val="24"/>
      <w:lang w:val="en-US" w:eastAsia="zh-CN" w:bidi="ar-SA"/>
    </w:rPr>
  </w:style>
  <w:style w:type="character" w:customStyle="1" w:styleId="251">
    <w:name w:val="正文 编号 Char"/>
    <w:qFormat/>
    <w:uiPriority w:val="0"/>
    <w:rPr>
      <w:rFonts w:ascii="仿宋_GB2312" w:hAnsi="仿宋_GB2312" w:eastAsia="仿宋_GB2312"/>
      <w:kern w:val="2"/>
      <w:sz w:val="24"/>
      <w:lang w:bidi="ar-SA"/>
    </w:rPr>
  </w:style>
  <w:style w:type="character" w:customStyle="1" w:styleId="252">
    <w:name w:val="question-title2"/>
    <w:qFormat/>
    <w:uiPriority w:val="6"/>
    <w:rPr>
      <w:rFonts w:ascii="Arial" w:hAnsi="Arial" w:eastAsia="黑体" w:cs="Arial"/>
      <w:snapToGrid w:val="0"/>
      <w:kern w:val="0"/>
      <w:szCs w:val="21"/>
    </w:rPr>
  </w:style>
  <w:style w:type="character" w:customStyle="1" w:styleId="253">
    <w:name w:val="gf正文1 Char Char"/>
    <w:link w:val="254"/>
    <w:qFormat/>
    <w:uiPriority w:val="0"/>
    <w:rPr>
      <w:rFonts w:ascii="宋体" w:hAnsi="宋体" w:cs="宋体"/>
      <w:kern w:val="2"/>
      <w:sz w:val="24"/>
      <w:szCs w:val="24"/>
    </w:rPr>
  </w:style>
  <w:style w:type="paragraph" w:customStyle="1" w:styleId="254">
    <w:name w:val="gf正文1"/>
    <w:basedOn w:val="1"/>
    <w:link w:val="253"/>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5">
    <w:name w:val="Char Char15"/>
    <w:qFormat/>
    <w:uiPriority w:val="6"/>
    <w:rPr>
      <w:rFonts w:ascii="宋体" w:hAnsi="宋体"/>
      <w:kern w:val="1"/>
      <w:sz w:val="21"/>
    </w:rPr>
  </w:style>
  <w:style w:type="character" w:customStyle="1" w:styleId="256">
    <w:name w:val="正文缩进 Char3"/>
    <w:qFormat/>
    <w:uiPriority w:val="0"/>
    <w:rPr>
      <w:rFonts w:ascii="宋体" w:eastAsia="宋体"/>
      <w:snapToGrid w:val="0"/>
      <w:color w:val="000000"/>
      <w:kern w:val="28"/>
      <w:sz w:val="28"/>
      <w:lang w:val="en-US" w:eastAsia="zh-CN" w:bidi="ar-SA"/>
    </w:rPr>
  </w:style>
  <w:style w:type="character" w:customStyle="1" w:styleId="257">
    <w:name w:val="列出段落 Char1"/>
    <w:link w:val="258"/>
    <w:qFormat/>
    <w:uiPriority w:val="0"/>
    <w:rPr>
      <w:rFonts w:ascii="Calibri" w:hAnsi="Calibri"/>
      <w:sz w:val="24"/>
      <w:lang w:eastAsia="en-US"/>
    </w:rPr>
  </w:style>
  <w:style w:type="paragraph" w:customStyle="1" w:styleId="258">
    <w:name w:val="列表1"/>
    <w:basedOn w:val="1"/>
    <w:next w:val="259"/>
    <w:link w:val="257"/>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259">
    <w:name w:val="列出段落1"/>
    <w:basedOn w:val="1"/>
    <w:qFormat/>
    <w:uiPriority w:val="34"/>
    <w:pPr>
      <w:spacing w:line="360" w:lineRule="auto"/>
      <w:ind w:firstLine="200" w:firstLineChars="200"/>
    </w:pPr>
    <w:rPr>
      <w:rFonts w:eastAsia="楷体_GB2312" w:cs="Lucida Sans"/>
      <w:sz w:val="24"/>
    </w:rPr>
  </w:style>
  <w:style w:type="character" w:customStyle="1" w:styleId="260">
    <w:name w:val="Char Char8"/>
    <w:qFormat/>
    <w:uiPriority w:val="0"/>
    <w:rPr>
      <w:rFonts w:eastAsia="宋体"/>
      <w:b/>
      <w:sz w:val="24"/>
      <w:lang w:val="en-GB" w:eastAsia="zh-CN"/>
    </w:rPr>
  </w:style>
  <w:style w:type="character" w:customStyle="1" w:styleId="261">
    <w:name w:val="Normal Indent Char Char"/>
    <w:qFormat/>
    <w:uiPriority w:val="0"/>
    <w:rPr>
      <w:rFonts w:eastAsia="宋体"/>
      <w:kern w:val="2"/>
      <w:sz w:val="21"/>
      <w:lang w:val="en-US" w:eastAsia="zh-CN" w:bidi="ar-SA"/>
    </w:rPr>
  </w:style>
  <w:style w:type="character" w:customStyle="1" w:styleId="262">
    <w:name w:val="列表段落 字符"/>
    <w:qFormat/>
    <w:uiPriority w:val="99"/>
  </w:style>
  <w:style w:type="character" w:customStyle="1" w:styleId="263">
    <w:name w:val="Ò³Ã¼ Char Char1"/>
    <w:qFormat/>
    <w:uiPriority w:val="0"/>
    <w:rPr>
      <w:rFonts w:eastAsia="宋体"/>
      <w:kern w:val="2"/>
      <w:sz w:val="18"/>
      <w:szCs w:val="18"/>
      <w:lang w:val="en-US" w:eastAsia="zh-CN" w:bidi="ar-SA"/>
    </w:rPr>
  </w:style>
  <w:style w:type="character" w:customStyle="1" w:styleId="264">
    <w:name w:val="方案正文 Char"/>
    <w:qFormat/>
    <w:uiPriority w:val="0"/>
    <w:rPr>
      <w:rFonts w:ascii="仿宋_GB2312" w:eastAsia="仿宋_GB2312"/>
      <w:b/>
      <w:color w:val="000000"/>
      <w:kern w:val="2"/>
      <w:sz w:val="24"/>
      <w:lang w:val="en-US" w:eastAsia="zh-CN" w:bidi="ar-SA"/>
    </w:rPr>
  </w:style>
  <w:style w:type="character" w:customStyle="1" w:styleId="265">
    <w:name w:val="Char Char30"/>
    <w:qFormat/>
    <w:uiPriority w:val="6"/>
    <w:rPr>
      <w:rFonts w:ascii="Arial" w:hAnsi="Arial" w:eastAsia="黑体"/>
      <w:kern w:val="1"/>
      <w:sz w:val="21"/>
      <w:szCs w:val="21"/>
    </w:rPr>
  </w:style>
  <w:style w:type="character" w:customStyle="1" w:styleId="266">
    <w:name w:val="正文文本缩进 字符1"/>
    <w:link w:val="5"/>
    <w:qFormat/>
    <w:uiPriority w:val="0"/>
    <w:rPr>
      <w:rFonts w:ascii="宋体" w:hAnsi="宋体"/>
      <w:kern w:val="2"/>
      <w:sz w:val="24"/>
      <w:szCs w:val="24"/>
    </w:rPr>
  </w:style>
  <w:style w:type="character" w:customStyle="1" w:styleId="267">
    <w:name w:val="font01"/>
    <w:qFormat/>
    <w:uiPriority w:val="0"/>
    <w:rPr>
      <w:rFonts w:hint="eastAsia" w:ascii="微软雅黑" w:hAnsi="微软雅黑" w:eastAsia="微软雅黑" w:cs="微软雅黑"/>
      <w:color w:val="000000"/>
      <w:sz w:val="20"/>
      <w:szCs w:val="20"/>
      <w:u w:val="none"/>
    </w:rPr>
  </w:style>
  <w:style w:type="character" w:customStyle="1" w:styleId="268">
    <w:name w:val="Char Char20"/>
    <w:qFormat/>
    <w:uiPriority w:val="6"/>
    <w:rPr>
      <w:kern w:val="1"/>
      <w:sz w:val="24"/>
    </w:rPr>
  </w:style>
  <w:style w:type="character" w:customStyle="1" w:styleId="269">
    <w:name w:val="tw4winExternal"/>
    <w:qFormat/>
    <w:uiPriority w:val="0"/>
    <w:rPr>
      <w:rFonts w:ascii="Courier New" w:hAnsi="Courier New" w:cs="Courier New"/>
      <w:color w:val="808080"/>
      <w:lang w:val="en-US" w:eastAsia="zh-CN"/>
    </w:rPr>
  </w:style>
  <w:style w:type="character" w:customStyle="1" w:styleId="270">
    <w:name w:val="标题 4 Char1"/>
    <w:qFormat/>
    <w:uiPriority w:val="9"/>
    <w:rPr>
      <w:rFonts w:ascii="Cambria" w:hAnsi="Cambria" w:eastAsia="宋体" w:cs="Times New Roman"/>
      <w:b/>
      <w:bCs/>
      <w:kern w:val="2"/>
      <w:sz w:val="28"/>
      <w:szCs w:val="28"/>
    </w:rPr>
  </w:style>
  <w:style w:type="character" w:customStyle="1" w:styleId="271">
    <w:name w:val="批注文字 Char2"/>
    <w:qFormat/>
    <w:uiPriority w:val="99"/>
    <w:rPr>
      <w:rFonts w:ascii="Times New Roman" w:hAnsi="Times New Roman" w:eastAsia="宋体" w:cs="Times New Roman"/>
      <w:snapToGrid w:val="0"/>
      <w:kern w:val="0"/>
      <w:szCs w:val="24"/>
    </w:rPr>
  </w:style>
  <w:style w:type="character" w:customStyle="1" w:styleId="272">
    <w:name w:val="正文文本 2 Char"/>
    <w:qFormat/>
    <w:uiPriority w:val="0"/>
    <w:rPr>
      <w:rFonts w:eastAsia="宋体"/>
      <w:kern w:val="2"/>
      <w:sz w:val="21"/>
      <w:szCs w:val="24"/>
      <w:lang w:val="en-US" w:eastAsia="zh-CN" w:bidi="ar-SA"/>
    </w:rPr>
  </w:style>
  <w:style w:type="character" w:customStyle="1" w:styleId="273">
    <w:name w:val="Ò³Ã¼ Char Char"/>
    <w:qFormat/>
    <w:uiPriority w:val="0"/>
    <w:rPr>
      <w:rFonts w:eastAsia="宋体"/>
      <w:kern w:val="2"/>
      <w:sz w:val="18"/>
      <w:lang w:val="en-US" w:eastAsia="zh-CN" w:bidi="ar-SA"/>
    </w:rPr>
  </w:style>
  <w:style w:type="character" w:customStyle="1" w:styleId="274">
    <w:name w:val="message1"/>
    <w:qFormat/>
    <w:uiPriority w:val="0"/>
    <w:rPr>
      <w:rFonts w:hint="default" w:ascii="Tahoma" w:hAnsi="Tahoma" w:cs="Tahoma"/>
      <w:sz w:val="18"/>
      <w:szCs w:val="18"/>
    </w:rPr>
  </w:style>
  <w:style w:type="character" w:customStyle="1" w:styleId="275">
    <w:name w:val="Char Char23"/>
    <w:qFormat/>
    <w:uiPriority w:val="6"/>
    <w:rPr>
      <w:color w:val="0000FF"/>
      <w:sz w:val="21"/>
    </w:rPr>
  </w:style>
  <w:style w:type="character" w:customStyle="1" w:styleId="276">
    <w:name w:val="批注框文本 字符"/>
    <w:qFormat/>
    <w:uiPriority w:val="0"/>
    <w:rPr>
      <w:rFonts w:ascii="Arial" w:hAnsi="Arial" w:eastAsia="黑体" w:cs="Arial"/>
      <w:snapToGrid w:val="0"/>
      <w:kern w:val="0"/>
      <w:sz w:val="18"/>
      <w:szCs w:val="18"/>
    </w:rPr>
  </w:style>
  <w:style w:type="character" w:customStyle="1" w:styleId="277">
    <w:name w:val="纯文本 Char2"/>
    <w:semiHidden/>
    <w:qFormat/>
    <w:uiPriority w:val="99"/>
    <w:rPr>
      <w:rFonts w:ascii="宋体" w:hAnsi="Courier New" w:eastAsia="宋体" w:cs="Courier New"/>
    </w:rPr>
  </w:style>
  <w:style w:type="character" w:customStyle="1" w:styleId="278">
    <w:name w:val="Char Char25"/>
    <w:qFormat/>
    <w:uiPriority w:val="6"/>
    <w:rPr>
      <w:rFonts w:ascii="宋体" w:hAnsi="宋体"/>
      <w:kern w:val="1"/>
      <w:sz w:val="24"/>
      <w:lang w:val="zh-CN"/>
    </w:rPr>
  </w:style>
  <w:style w:type="character" w:customStyle="1" w:styleId="279">
    <w:name w:val="Char Char411"/>
    <w:qFormat/>
    <w:uiPriority w:val="0"/>
    <w:rPr>
      <w:rFonts w:eastAsia="宋体"/>
      <w:b/>
      <w:sz w:val="24"/>
      <w:lang w:val="en-GB" w:eastAsia="zh-CN" w:bidi="ar-SA"/>
    </w:rPr>
  </w:style>
  <w:style w:type="character" w:customStyle="1" w:styleId="280">
    <w:name w:val="Heading 7 Char"/>
    <w:qFormat/>
    <w:locked/>
    <w:uiPriority w:val="0"/>
    <w:rPr>
      <w:rFonts w:ascii="宋体" w:hAnsi="宋体" w:eastAsia="宋体"/>
      <w:b/>
      <w:bCs/>
      <w:kern w:val="2"/>
      <w:sz w:val="24"/>
      <w:szCs w:val="24"/>
      <w:lang w:val="en-US" w:eastAsia="zh-CN" w:bidi="ar-SA"/>
    </w:rPr>
  </w:style>
  <w:style w:type="character" w:customStyle="1" w:styleId="281">
    <w:name w:val="此正文 Char"/>
    <w:link w:val="282"/>
    <w:qFormat/>
    <w:uiPriority w:val="0"/>
    <w:rPr>
      <w:kern w:val="2"/>
      <w:sz w:val="24"/>
      <w:szCs w:val="24"/>
    </w:rPr>
  </w:style>
  <w:style w:type="paragraph" w:customStyle="1" w:styleId="282">
    <w:name w:val="此正文"/>
    <w:basedOn w:val="1"/>
    <w:link w:val="281"/>
    <w:qFormat/>
    <w:uiPriority w:val="0"/>
    <w:pPr>
      <w:adjustRightInd/>
      <w:spacing w:line="360" w:lineRule="auto"/>
      <w:ind w:firstLine="200" w:firstLineChars="200"/>
    </w:pPr>
    <w:rPr>
      <w:sz w:val="24"/>
    </w:rPr>
  </w:style>
  <w:style w:type="character" w:customStyle="1" w:styleId="283">
    <w:name w:val="Char Char2"/>
    <w:qFormat/>
    <w:uiPriority w:val="0"/>
    <w:rPr>
      <w:rFonts w:eastAsia="宋体"/>
      <w:b/>
      <w:bCs/>
      <w:kern w:val="2"/>
      <w:sz w:val="21"/>
      <w:szCs w:val="24"/>
      <w:lang w:val="en-US" w:eastAsia="zh-CN" w:bidi="ar-SA"/>
    </w:rPr>
  </w:style>
  <w:style w:type="character" w:customStyle="1" w:styleId="284">
    <w:name w:val="标题 1 字符1"/>
    <w:link w:val="2"/>
    <w:qFormat/>
    <w:uiPriority w:val="9"/>
    <w:rPr>
      <w:b/>
      <w:bCs/>
      <w:kern w:val="44"/>
      <w:sz w:val="44"/>
      <w:szCs w:val="44"/>
    </w:rPr>
  </w:style>
  <w:style w:type="character" w:customStyle="1" w:styleId="285">
    <w:name w:val="Footer-Even Char1"/>
    <w:qFormat/>
    <w:uiPriority w:val="0"/>
    <w:rPr>
      <w:rFonts w:eastAsia="宋体"/>
      <w:kern w:val="2"/>
      <w:sz w:val="18"/>
      <w:szCs w:val="18"/>
      <w:lang w:val="en-US" w:eastAsia="zh-CN" w:bidi="ar-SA"/>
    </w:rPr>
  </w:style>
  <w:style w:type="character" w:customStyle="1" w:styleId="286">
    <w:name w:val="Char Char29"/>
    <w:qFormat/>
    <w:uiPriority w:val="6"/>
    <w:rPr>
      <w:rFonts w:ascii="Arial" w:hAnsi="Arial" w:eastAsia="微软雅黑"/>
      <w:b/>
      <w:kern w:val="1"/>
      <w:sz w:val="44"/>
      <w:szCs w:val="32"/>
      <w:lang w:val="en-US" w:eastAsia="zh-CN" w:bidi="ar-SA"/>
    </w:rPr>
  </w:style>
  <w:style w:type="character" w:customStyle="1" w:styleId="287">
    <w:name w:val="标题 字符"/>
    <w:link w:val="60"/>
    <w:qFormat/>
    <w:uiPriority w:val="10"/>
    <w:rPr>
      <w:b/>
      <w:sz w:val="24"/>
      <w:lang w:val="en-GB"/>
    </w:rPr>
  </w:style>
  <w:style w:type="character" w:customStyle="1" w:styleId="288">
    <w:name w:val="font81"/>
    <w:qFormat/>
    <w:uiPriority w:val="0"/>
    <w:rPr>
      <w:rFonts w:ascii="微软雅黑" w:hAnsi="微软雅黑" w:eastAsia="微软雅黑" w:cs="微软雅黑"/>
      <w:color w:val="000000"/>
      <w:sz w:val="20"/>
      <w:szCs w:val="20"/>
      <w:u w:val="none"/>
    </w:rPr>
  </w:style>
  <w:style w:type="character" w:customStyle="1" w:styleId="289">
    <w:name w:val="Char Char312"/>
    <w:qFormat/>
    <w:uiPriority w:val="0"/>
    <w:rPr>
      <w:rFonts w:ascii="Times New Roman" w:hAnsi="Times New Roman" w:eastAsia="宋体" w:cs="Times New Roman"/>
      <w:b/>
      <w:kern w:val="2"/>
      <w:sz w:val="32"/>
      <w:szCs w:val="24"/>
      <w:lang w:val="en-US" w:eastAsia="zh-CN" w:bidi="ar-SA"/>
    </w:rPr>
  </w:style>
  <w:style w:type="character" w:customStyle="1" w:styleId="290">
    <w:name w:val="t21"/>
    <w:qFormat/>
    <w:uiPriority w:val="0"/>
    <w:rPr>
      <w:rFonts w:ascii="仿宋_GB2312" w:eastAsia="微软雅黑"/>
      <w:b/>
      <w:kern w:val="2"/>
      <w:sz w:val="23"/>
      <w:szCs w:val="23"/>
      <w:lang w:val="en-US" w:eastAsia="zh-CN" w:bidi="ar-SA"/>
    </w:rPr>
  </w:style>
  <w:style w:type="character" w:customStyle="1" w:styleId="291">
    <w:name w:val="样式8 Char"/>
    <w:qFormat/>
    <w:uiPriority w:val="0"/>
    <w:rPr>
      <w:rFonts w:ascii="仿宋_GB2312" w:hAnsi="宋体" w:eastAsia="仿宋_GB2312"/>
      <w:b/>
      <w:bCs/>
      <w:kern w:val="2"/>
      <w:sz w:val="24"/>
      <w:szCs w:val="24"/>
    </w:rPr>
  </w:style>
  <w:style w:type="character" w:customStyle="1" w:styleId="292">
    <w:name w:val="表格 Char Char"/>
    <w:qFormat/>
    <w:uiPriority w:val="0"/>
    <w:rPr>
      <w:rFonts w:ascii="宋体" w:hAnsi="宋体" w:eastAsia="宋体"/>
      <w:lang w:bidi="ar-SA"/>
    </w:rPr>
  </w:style>
  <w:style w:type="character" w:customStyle="1" w:styleId="293">
    <w:name w:val="正文文本 字符1"/>
    <w:qFormat/>
    <w:uiPriority w:val="0"/>
    <w:rPr>
      <w:rFonts w:ascii="Calibri" w:hAnsi="Calibri" w:eastAsia="黑体" w:cs="Arial"/>
      <w:snapToGrid w:val="0"/>
      <w:kern w:val="2"/>
      <w:sz w:val="28"/>
      <w:szCs w:val="21"/>
    </w:rPr>
  </w:style>
  <w:style w:type="character" w:customStyle="1" w:styleId="294">
    <w:name w:val="标题 5 字符"/>
    <w:link w:val="8"/>
    <w:qFormat/>
    <w:uiPriority w:val="9"/>
    <w:rPr>
      <w:b/>
      <w:bCs/>
      <w:kern w:val="2"/>
      <w:sz w:val="28"/>
      <w:szCs w:val="28"/>
    </w:rPr>
  </w:style>
  <w:style w:type="character" w:customStyle="1" w:styleId="295">
    <w:name w:val="标题 6 Char1"/>
    <w:qFormat/>
    <w:uiPriority w:val="0"/>
    <w:rPr>
      <w:rFonts w:ascii="Arial" w:hAnsi="Arial" w:eastAsia="黑体" w:cs="Times New Roman"/>
      <w:b/>
      <w:sz w:val="24"/>
      <w:szCs w:val="20"/>
      <w:lang w:bidi="ar-SA"/>
    </w:rPr>
  </w:style>
  <w:style w:type="character" w:customStyle="1" w:styleId="296">
    <w:name w:val="带编号样式 Char"/>
    <w:qFormat/>
    <w:uiPriority w:val="0"/>
    <w:rPr>
      <w:rFonts w:ascii="仿宋_GB2312" w:eastAsia="仿宋_GB2312"/>
      <w:color w:val="000000"/>
      <w:sz w:val="24"/>
      <w:lang w:bidi="ar-SA"/>
    </w:rPr>
  </w:style>
  <w:style w:type="character" w:customStyle="1" w:styleId="297">
    <w:name w:val="unnamed31"/>
    <w:qFormat/>
    <w:uiPriority w:val="0"/>
    <w:rPr>
      <w:rFonts w:ascii="Tahoma" w:hAnsi="Tahoma" w:eastAsia="宋体"/>
      <w:b/>
      <w:kern w:val="2"/>
      <w:sz w:val="24"/>
      <w:szCs w:val="32"/>
      <w:u w:val="none"/>
      <w:lang w:val="en-US" w:eastAsia="zh-CN" w:bidi="ar-SA"/>
    </w:rPr>
  </w:style>
  <w:style w:type="character" w:customStyle="1" w:styleId="298">
    <w:name w:val="正文首行缩进 Char Char Char Char Char Char1"/>
    <w:qFormat/>
    <w:uiPriority w:val="0"/>
    <w:rPr>
      <w:rFonts w:ascii="宋体" w:eastAsia="宋体"/>
      <w:kern w:val="2"/>
      <w:sz w:val="24"/>
      <w:szCs w:val="24"/>
      <w:lang w:val="zh-CN" w:bidi="ar-SA"/>
    </w:rPr>
  </w:style>
  <w:style w:type="character" w:customStyle="1" w:styleId="299">
    <w:name w:val="称呼 字符"/>
    <w:link w:val="22"/>
    <w:qFormat/>
    <w:uiPriority w:val="0"/>
    <w:rPr>
      <w:rFonts w:ascii="仿宋_GB2312" w:eastAsia="仿宋_GB2312"/>
      <w:kern w:val="2"/>
      <w:sz w:val="28"/>
    </w:rPr>
  </w:style>
  <w:style w:type="character" w:customStyle="1" w:styleId="300">
    <w:name w:val="文本正文 Char Char"/>
    <w:qFormat/>
    <w:locked/>
    <w:uiPriority w:val="0"/>
    <w:rPr>
      <w:sz w:val="24"/>
      <w:lang w:bidi="ar-SA"/>
    </w:rPr>
  </w:style>
  <w:style w:type="character" w:customStyle="1" w:styleId="301">
    <w:name w:val="正文缩进 字符"/>
    <w:qFormat/>
    <w:uiPriority w:val="0"/>
    <w:rPr>
      <w:rFonts w:ascii="宋体" w:eastAsia="宋体"/>
      <w:snapToGrid w:val="0"/>
      <w:color w:val="000000"/>
      <w:kern w:val="28"/>
      <w:sz w:val="28"/>
      <w:lang w:val="en-US" w:eastAsia="zh-CN" w:bidi="ar-SA"/>
    </w:rPr>
  </w:style>
  <w:style w:type="character" w:customStyle="1" w:styleId="302">
    <w:name w:val="HTML 预设格式 字符"/>
    <w:link w:val="58"/>
    <w:qFormat/>
    <w:uiPriority w:val="0"/>
    <w:rPr>
      <w:rFonts w:ascii="黑体" w:hAnsi="Courier New" w:eastAsia="黑体"/>
    </w:rPr>
  </w:style>
  <w:style w:type="character" w:customStyle="1" w:styleId="303">
    <w:name w:val="正文文本 2 字符1"/>
    <w:link w:val="57"/>
    <w:qFormat/>
    <w:uiPriority w:val="0"/>
    <w:rPr>
      <w:kern w:val="2"/>
      <w:sz w:val="21"/>
      <w:szCs w:val="24"/>
    </w:rPr>
  </w:style>
  <w:style w:type="character" w:customStyle="1" w:styleId="304">
    <w:name w:val="样式 样式 标题 4h4H4Fab-4T5Ref Heading 1rh1Heading sqlsect 1.2.3.... +... Char"/>
    <w:link w:val="305"/>
    <w:qFormat/>
    <w:uiPriority w:val="0"/>
    <w:rPr>
      <w:rFonts w:ascii="微软雅黑" w:hAnsi="微软雅黑" w:eastAsia="微软雅黑"/>
      <w:b/>
      <w:bCs/>
      <w:kern w:val="2"/>
      <w:sz w:val="24"/>
      <w:szCs w:val="28"/>
    </w:rPr>
  </w:style>
  <w:style w:type="paragraph" w:customStyle="1" w:styleId="305">
    <w:name w:val="样式 样式 标题 4h4H4Fab-4T5Ref Heading 1rh1Heading sqlsect 1.2.3.... +..."/>
    <w:basedOn w:val="306"/>
    <w:link w:val="304"/>
    <w:qFormat/>
    <w:uiPriority w:val="0"/>
    <w:pPr>
      <w:tabs>
        <w:tab w:val="left" w:pos="2356"/>
      </w:tabs>
    </w:pPr>
  </w:style>
  <w:style w:type="paragraph" w:customStyle="1" w:styleId="306">
    <w:name w:val="样式 标题 4h4H4Fab-4T5Ref Heading 1rh1Heading sqlsect 1.2.3...."/>
    <w:basedOn w:val="7"/>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7">
    <w:name w:val="正文非缩进 Char"/>
    <w:qFormat/>
    <w:uiPriority w:val="0"/>
    <w:rPr>
      <w:rFonts w:ascii="宋体" w:eastAsia="宋体"/>
      <w:snapToGrid w:val="0"/>
      <w:color w:val="000000"/>
      <w:kern w:val="28"/>
      <w:sz w:val="28"/>
      <w:lang w:val="en-US" w:eastAsia="zh-CN" w:bidi="ar-SA"/>
    </w:rPr>
  </w:style>
  <w:style w:type="character" w:customStyle="1" w:styleId="308">
    <w:name w:val="标题 7 字符"/>
    <w:link w:val="10"/>
    <w:qFormat/>
    <w:uiPriority w:val="0"/>
    <w:rPr>
      <w:b/>
      <w:bCs/>
      <w:kern w:val="2"/>
      <w:sz w:val="24"/>
      <w:szCs w:val="24"/>
    </w:rPr>
  </w:style>
  <w:style w:type="character" w:customStyle="1" w:styleId="309">
    <w:name w:val="正文文本缩进 2 字符"/>
    <w:link w:val="39"/>
    <w:qFormat/>
    <w:uiPriority w:val="0"/>
    <w:rPr>
      <w:rFonts w:ascii="宋体"/>
      <w:sz w:val="28"/>
    </w:rPr>
  </w:style>
  <w:style w:type="character" w:customStyle="1" w:styleId="310">
    <w:name w:val="Char Char5"/>
    <w:qFormat/>
    <w:uiPriority w:val="0"/>
    <w:rPr>
      <w:rFonts w:ascii="宋体" w:hAnsi="Courier New" w:eastAsia="宋体"/>
      <w:kern w:val="2"/>
      <w:sz w:val="21"/>
      <w:lang w:val="en-US" w:eastAsia="zh-CN"/>
    </w:rPr>
  </w:style>
  <w:style w:type="character" w:customStyle="1" w:styleId="311">
    <w:name w:val="脚注文本 字符"/>
    <w:link w:val="52"/>
    <w:qFormat/>
    <w:uiPriority w:val="0"/>
    <w:rPr>
      <w:color w:val="0000FF"/>
      <w:sz w:val="21"/>
    </w:rPr>
  </w:style>
  <w:style w:type="character" w:customStyle="1" w:styleId="312">
    <w:name w:val="称呼 Char1"/>
    <w:qFormat/>
    <w:uiPriority w:val="0"/>
    <w:rPr>
      <w:rFonts w:ascii="Times New Roman" w:hAnsi="Times New Roman" w:eastAsia="宋体" w:cs="Times New Roman"/>
      <w:szCs w:val="24"/>
    </w:rPr>
  </w:style>
  <w:style w:type="character" w:customStyle="1" w:styleId="313">
    <w:name w:val="正文1 Char"/>
    <w:qFormat/>
    <w:uiPriority w:val="0"/>
    <w:rPr>
      <w:rFonts w:ascii="宋体" w:eastAsia="宋体"/>
      <w:snapToGrid w:val="0"/>
      <w:color w:val="000000"/>
      <w:kern w:val="28"/>
      <w:sz w:val="28"/>
      <w:lang w:val="en-US" w:eastAsia="zh-CN" w:bidi="ar-SA"/>
    </w:rPr>
  </w:style>
  <w:style w:type="character" w:customStyle="1" w:styleId="314">
    <w:name w:val="正文缩进 Char1"/>
    <w:qFormat/>
    <w:uiPriority w:val="0"/>
    <w:rPr>
      <w:rFonts w:ascii="宋体" w:eastAsia="宋体"/>
      <w:snapToGrid w:val="0"/>
      <w:color w:val="000000"/>
      <w:kern w:val="28"/>
      <w:sz w:val="28"/>
      <w:lang w:val="en-US" w:eastAsia="zh-CN" w:bidi="ar-SA"/>
    </w:rPr>
  </w:style>
  <w:style w:type="character" w:customStyle="1" w:styleId="315">
    <w:name w:val="font21"/>
    <w:qFormat/>
    <w:uiPriority w:val="0"/>
    <w:rPr>
      <w:rFonts w:hint="eastAsia" w:ascii="宋体" w:hAnsi="宋体" w:eastAsia="宋体"/>
      <w:kern w:val="2"/>
      <w:sz w:val="28"/>
      <w:szCs w:val="28"/>
      <w:lang w:val="en-US" w:eastAsia="zh-CN" w:bidi="ar-SA"/>
    </w:rPr>
  </w:style>
  <w:style w:type="character" w:customStyle="1" w:styleId="316">
    <w:name w:val="Char Char26"/>
    <w:qFormat/>
    <w:uiPriority w:val="6"/>
    <w:rPr>
      <w:kern w:val="1"/>
      <w:sz w:val="21"/>
      <w:szCs w:val="24"/>
    </w:rPr>
  </w:style>
  <w:style w:type="character" w:customStyle="1" w:styleId="317">
    <w:name w:val="Item List Char"/>
    <w:link w:val="318"/>
    <w:qFormat/>
    <w:uiPriority w:val="0"/>
    <w:rPr>
      <w:rFonts w:ascii="Arial"/>
      <w:bCs/>
      <w:sz w:val="21"/>
      <w:szCs w:val="21"/>
      <w:lang w:val="en-US" w:eastAsia="zh-CN" w:bidi="ar-SA"/>
    </w:rPr>
  </w:style>
  <w:style w:type="paragraph" w:customStyle="1" w:styleId="318">
    <w:name w:val="Item List"/>
    <w:link w:val="317"/>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9">
    <w:name w:val="批注框文本 Char1"/>
    <w:qFormat/>
    <w:uiPriority w:val="0"/>
    <w:rPr>
      <w:rFonts w:ascii="Times New Roman" w:hAnsi="Times New Roman" w:eastAsia="宋体" w:cs="Times New Roman"/>
      <w:sz w:val="18"/>
      <w:szCs w:val="18"/>
    </w:rPr>
  </w:style>
  <w:style w:type="character" w:customStyle="1" w:styleId="320">
    <w:name w:val="纯文本 Char1"/>
    <w:link w:val="321"/>
    <w:qFormat/>
    <w:uiPriority w:val="0"/>
    <w:rPr>
      <w:rFonts w:ascii="宋体" w:hAnsi="Courier New"/>
    </w:rPr>
  </w:style>
  <w:style w:type="paragraph" w:customStyle="1" w:styleId="321">
    <w:name w:val="纯文本1"/>
    <w:basedOn w:val="1"/>
    <w:link w:val="320"/>
    <w:qFormat/>
    <w:uiPriority w:val="0"/>
    <w:pPr>
      <w:adjustRightInd/>
    </w:pPr>
    <w:rPr>
      <w:rFonts w:ascii="宋体" w:hAnsi="Courier New"/>
      <w:kern w:val="0"/>
      <w:sz w:val="20"/>
      <w:szCs w:val="20"/>
    </w:rPr>
  </w:style>
  <w:style w:type="character" w:customStyle="1" w:styleId="322">
    <w:name w:val="正文文本首行缩进 字符"/>
    <w:link w:val="26"/>
    <w:qFormat/>
    <w:uiPriority w:val="0"/>
    <w:rPr>
      <w:rFonts w:ascii="宋体"/>
      <w:kern w:val="2"/>
      <w:sz w:val="24"/>
      <w:lang w:val="zh-CN"/>
    </w:rPr>
  </w:style>
  <w:style w:type="character" w:customStyle="1" w:styleId="323">
    <w:name w:val="h3 Char"/>
    <w:qFormat/>
    <w:uiPriority w:val="0"/>
    <w:rPr>
      <w:rFonts w:eastAsia="宋体"/>
      <w:b/>
      <w:kern w:val="2"/>
      <w:sz w:val="32"/>
      <w:lang w:val="en-US" w:eastAsia="zh-CN" w:bidi="ar-SA"/>
    </w:rPr>
  </w:style>
  <w:style w:type="character" w:customStyle="1" w:styleId="324">
    <w:name w:val="dandyren_title1"/>
    <w:qFormat/>
    <w:uiPriority w:val="0"/>
    <w:rPr>
      <w:b/>
      <w:bCs/>
      <w:color w:val="FF6633"/>
      <w:sz w:val="18"/>
      <w:szCs w:val="18"/>
    </w:rPr>
  </w:style>
  <w:style w:type="character" w:customStyle="1" w:styleId="325">
    <w:name w:val="Char Char31"/>
    <w:qFormat/>
    <w:uiPriority w:val="6"/>
    <w:rPr>
      <w:rFonts w:ascii="Arial" w:hAnsi="Arial" w:eastAsia="黑体"/>
      <w:kern w:val="1"/>
      <w:sz w:val="24"/>
      <w:szCs w:val="24"/>
    </w:rPr>
  </w:style>
  <w:style w:type="character" w:customStyle="1" w:styleId="326">
    <w:name w:val="h Char1"/>
    <w:qFormat/>
    <w:uiPriority w:val="0"/>
    <w:rPr>
      <w:sz w:val="18"/>
      <w:szCs w:val="18"/>
    </w:rPr>
  </w:style>
  <w:style w:type="character" w:customStyle="1" w:styleId="327">
    <w:name w:val="solutionfonts"/>
    <w:qFormat/>
    <w:uiPriority w:val="0"/>
  </w:style>
  <w:style w:type="character" w:customStyle="1" w:styleId="328">
    <w:name w:val="标题 4 字符1"/>
    <w:link w:val="7"/>
    <w:qFormat/>
    <w:uiPriority w:val="9"/>
    <w:rPr>
      <w:rFonts w:ascii="Arial" w:hAnsi="Arial" w:eastAsia="黑体"/>
      <w:b/>
      <w:bCs/>
      <w:kern w:val="2"/>
      <w:sz w:val="28"/>
      <w:szCs w:val="28"/>
      <w:lang w:val="zh-CN"/>
    </w:rPr>
  </w:style>
  <w:style w:type="character" w:customStyle="1" w:styleId="329">
    <w:name w:val="首行缩进 Char"/>
    <w:qFormat/>
    <w:uiPriority w:val="0"/>
    <w:rPr>
      <w:rFonts w:ascii="宋体" w:eastAsia="宋体"/>
      <w:kern w:val="2"/>
      <w:sz w:val="24"/>
      <w:lang w:val="en-US" w:eastAsia="zh-CN" w:bidi="ar-SA"/>
    </w:rPr>
  </w:style>
  <w:style w:type="character" w:customStyle="1" w:styleId="330">
    <w:name w:val="Char Char52"/>
    <w:qFormat/>
    <w:uiPriority w:val="0"/>
    <w:rPr>
      <w:rFonts w:ascii="宋体" w:hAnsi="Courier New" w:eastAsia="宋体"/>
      <w:kern w:val="2"/>
      <w:sz w:val="21"/>
      <w:lang w:val="en-US" w:eastAsia="zh-CN"/>
    </w:rPr>
  </w:style>
  <w:style w:type="character" w:customStyle="1" w:styleId="331">
    <w:name w:val="正文文本 3 字符"/>
    <w:link w:val="23"/>
    <w:qFormat/>
    <w:uiPriority w:val="0"/>
    <w:rPr>
      <w:kern w:val="2"/>
      <w:sz w:val="21"/>
    </w:rPr>
  </w:style>
  <w:style w:type="character" w:customStyle="1" w:styleId="332">
    <w:name w:val="font31"/>
    <w:qFormat/>
    <w:uiPriority w:val="0"/>
    <w:rPr>
      <w:rFonts w:hint="eastAsia" w:ascii="仿宋" w:hAnsi="仿宋" w:eastAsia="仿宋" w:cs="仿宋"/>
      <w:color w:val="000000"/>
      <w:sz w:val="20"/>
      <w:szCs w:val="20"/>
      <w:u w:val="none"/>
    </w:rPr>
  </w:style>
  <w:style w:type="character" w:customStyle="1" w:styleId="333">
    <w:name w:val="正文说明 Char"/>
    <w:link w:val="334"/>
    <w:qFormat/>
    <w:uiPriority w:val="0"/>
    <w:rPr>
      <w:sz w:val="24"/>
      <w:szCs w:val="24"/>
    </w:rPr>
  </w:style>
  <w:style w:type="paragraph" w:customStyle="1" w:styleId="334">
    <w:name w:val="正文说明"/>
    <w:basedOn w:val="1"/>
    <w:link w:val="333"/>
    <w:qFormat/>
    <w:uiPriority w:val="0"/>
    <w:pPr>
      <w:adjustRightInd/>
      <w:spacing w:line="360" w:lineRule="auto"/>
    </w:pPr>
    <w:rPr>
      <w:kern w:val="0"/>
      <w:sz w:val="24"/>
    </w:rPr>
  </w:style>
  <w:style w:type="character" w:customStyle="1" w:styleId="335">
    <w:name w:val="脚注文本 Char1"/>
    <w:qFormat/>
    <w:uiPriority w:val="0"/>
    <w:rPr>
      <w:rFonts w:ascii="Times New Roman" w:hAnsi="Times New Roman" w:eastAsia="宋体" w:cs="Times New Roman"/>
      <w:sz w:val="18"/>
      <w:szCs w:val="18"/>
    </w:rPr>
  </w:style>
  <w:style w:type="character" w:customStyle="1" w:styleId="336">
    <w:name w:val="Char Char1211"/>
    <w:qFormat/>
    <w:uiPriority w:val="0"/>
    <w:rPr>
      <w:rFonts w:ascii="仿宋_GB2312" w:eastAsia="仿宋_GB2312"/>
      <w:b/>
      <w:bCs/>
      <w:kern w:val="2"/>
      <w:sz w:val="24"/>
      <w:szCs w:val="24"/>
      <w:lang w:val="zh-CN" w:eastAsia="zh-CN" w:bidi="ar-SA"/>
    </w:rPr>
  </w:style>
  <w:style w:type="character" w:customStyle="1" w:styleId="337">
    <w:name w:val="标题 Char"/>
    <w:qFormat/>
    <w:uiPriority w:val="0"/>
    <w:rPr>
      <w:rFonts w:eastAsia="宋体"/>
      <w:b/>
      <w:sz w:val="24"/>
      <w:lang w:val="en-GB" w:eastAsia="zh-CN" w:bidi="ar-SA"/>
    </w:rPr>
  </w:style>
  <w:style w:type="character" w:customStyle="1" w:styleId="338">
    <w:name w:val="Char Char35"/>
    <w:qFormat/>
    <w:uiPriority w:val="6"/>
    <w:rPr>
      <w:rFonts w:ascii="Arial" w:hAnsi="Arial" w:eastAsia="黑体"/>
      <w:b/>
      <w:kern w:val="1"/>
      <w:sz w:val="28"/>
      <w:szCs w:val="28"/>
      <w:lang w:val="zh-CN"/>
    </w:rPr>
  </w:style>
  <w:style w:type="character" w:customStyle="1" w:styleId="339">
    <w:name w:val="纯文本 Char Char Char"/>
    <w:qFormat/>
    <w:uiPriority w:val="0"/>
    <w:rPr>
      <w:rFonts w:ascii="宋体" w:hAnsi="Courier New" w:eastAsia="宋体"/>
      <w:kern w:val="2"/>
      <w:sz w:val="21"/>
      <w:lang w:val="en-US" w:eastAsia="zh-CN" w:bidi="ar-SA"/>
    </w:rPr>
  </w:style>
  <w:style w:type="character" w:customStyle="1" w:styleId="340">
    <w:name w:val="Table Text Char"/>
    <w:link w:val="341"/>
    <w:qFormat/>
    <w:uiPriority w:val="0"/>
    <w:rPr>
      <w:sz w:val="24"/>
      <w:szCs w:val="24"/>
    </w:rPr>
  </w:style>
  <w:style w:type="paragraph" w:customStyle="1" w:styleId="341">
    <w:name w:val="Table Text"/>
    <w:basedOn w:val="1"/>
    <w:link w:val="340"/>
    <w:qFormat/>
    <w:uiPriority w:val="0"/>
    <w:pPr>
      <w:widowControl/>
      <w:spacing w:before="60" w:after="60"/>
      <w:jc w:val="left"/>
    </w:pPr>
    <w:rPr>
      <w:kern w:val="0"/>
      <w:sz w:val="24"/>
    </w:rPr>
  </w:style>
  <w:style w:type="character" w:customStyle="1" w:styleId="342">
    <w:name w:val="正文1 Char1"/>
    <w:qFormat/>
    <w:uiPriority w:val="0"/>
    <w:rPr>
      <w:rFonts w:ascii="仿宋_GB2312" w:hAnsi="Courier New" w:eastAsia="仿宋_GB2312"/>
      <w:kern w:val="28"/>
      <w:sz w:val="24"/>
      <w:szCs w:val="24"/>
      <w:lang w:val="en-US" w:eastAsia="zh-CN"/>
    </w:rPr>
  </w:style>
  <w:style w:type="character" w:customStyle="1" w:styleId="343">
    <w:name w:val="页脚 Char1"/>
    <w:qFormat/>
    <w:uiPriority w:val="0"/>
    <w:rPr>
      <w:rFonts w:eastAsia="宋体"/>
      <w:kern w:val="2"/>
      <w:sz w:val="18"/>
      <w:szCs w:val="18"/>
      <w:lang w:val="en-US" w:eastAsia="zh-CN" w:bidi="ar-SA"/>
    </w:rPr>
  </w:style>
  <w:style w:type="character" w:customStyle="1" w:styleId="344">
    <w:name w:val="Bold"/>
    <w:qFormat/>
    <w:uiPriority w:val="0"/>
    <w:rPr>
      <w:rFonts w:ascii="Arial" w:hAnsi="Arial" w:eastAsia="黑体" w:cs="Times New Roman"/>
      <w:b/>
      <w:kern w:val="2"/>
      <w:sz w:val="32"/>
      <w:szCs w:val="32"/>
      <w:lang w:val="en-US" w:eastAsia="zh-CN" w:bidi="ar-SA"/>
    </w:rPr>
  </w:style>
  <w:style w:type="character" w:customStyle="1" w:styleId="345">
    <w:name w:val="批注文字 字符1"/>
    <w:link w:val="21"/>
    <w:qFormat/>
    <w:uiPriority w:val="99"/>
    <w:rPr>
      <w:kern w:val="2"/>
      <w:sz w:val="21"/>
      <w:szCs w:val="24"/>
    </w:rPr>
  </w:style>
  <w:style w:type="character" w:customStyle="1" w:styleId="346">
    <w:name w:val="签名 字符"/>
    <w:link w:val="44"/>
    <w:qFormat/>
    <w:uiPriority w:val="0"/>
    <w:rPr>
      <w:rFonts w:eastAsia="仿宋_GB2312"/>
      <w:sz w:val="24"/>
    </w:rPr>
  </w:style>
  <w:style w:type="character" w:customStyle="1" w:styleId="347">
    <w:name w:val="hui3"/>
    <w:qFormat/>
    <w:uiPriority w:val="0"/>
    <w:rPr>
      <w:color w:val="333333"/>
    </w:rPr>
  </w:style>
  <w:style w:type="character" w:customStyle="1" w:styleId="348">
    <w:name w:val="Char Char17"/>
    <w:qFormat/>
    <w:uiPriority w:val="6"/>
    <w:rPr>
      <w:rFonts w:eastAsia="仿宋_GB2312"/>
      <w:sz w:val="24"/>
    </w:rPr>
  </w:style>
  <w:style w:type="character" w:customStyle="1" w:styleId="349">
    <w:name w:val="标题 4 字符"/>
    <w:qFormat/>
    <w:uiPriority w:val="9"/>
    <w:rPr>
      <w:rFonts w:ascii="等线 Light" w:hAnsi="等线 Light" w:eastAsia="等线 Light" w:cs="Times New Roman"/>
      <w:b/>
      <w:bCs/>
      <w:snapToGrid w:val="0"/>
      <w:kern w:val="0"/>
      <w:sz w:val="28"/>
      <w:szCs w:val="28"/>
    </w:rPr>
  </w:style>
  <w:style w:type="character" w:customStyle="1" w:styleId="350">
    <w:name w:val="Char Char37"/>
    <w:qFormat/>
    <w:uiPriority w:val="6"/>
    <w:rPr>
      <w:b/>
      <w:kern w:val="1"/>
      <w:sz w:val="44"/>
      <w:szCs w:val="44"/>
    </w:rPr>
  </w:style>
  <w:style w:type="character" w:customStyle="1" w:styleId="351">
    <w:name w:val="列出段落 Char"/>
    <w:qFormat/>
    <w:uiPriority w:val="0"/>
    <w:rPr>
      <w:rFonts w:eastAsia="楷体_GB2312" w:cs="Lucida Sans"/>
      <w:kern w:val="2"/>
      <w:sz w:val="24"/>
      <w:szCs w:val="24"/>
      <w:lang w:val="en-US" w:eastAsia="zh-CN" w:bidi="ar-SA"/>
    </w:rPr>
  </w:style>
  <w:style w:type="character" w:customStyle="1" w:styleId="352">
    <w:name w:val="正文文本缩进 3 Char1"/>
    <w:semiHidden/>
    <w:qFormat/>
    <w:uiPriority w:val="99"/>
    <w:rPr>
      <w:rFonts w:ascii="Times New Roman" w:hAnsi="Times New Roman" w:eastAsia="宋体" w:cs="Times New Roman"/>
      <w:sz w:val="16"/>
      <w:szCs w:val="16"/>
    </w:rPr>
  </w:style>
  <w:style w:type="character" w:customStyle="1" w:styleId="353">
    <w:name w:val="公文正文 Char Char"/>
    <w:link w:val="354"/>
    <w:qFormat/>
    <w:uiPriority w:val="0"/>
    <w:rPr>
      <w:rFonts w:ascii="仿宋_GB2312" w:eastAsia="仿宋_GB2312"/>
      <w:kern w:val="2"/>
      <w:sz w:val="24"/>
      <w:szCs w:val="24"/>
    </w:rPr>
  </w:style>
  <w:style w:type="paragraph" w:customStyle="1" w:styleId="354">
    <w:name w:val="公文正文"/>
    <w:basedOn w:val="1"/>
    <w:link w:val="353"/>
    <w:qFormat/>
    <w:uiPriority w:val="0"/>
    <w:pPr>
      <w:adjustRightInd/>
      <w:spacing w:before="156" w:line="360" w:lineRule="auto"/>
      <w:ind w:firstLine="360" w:firstLineChars="200"/>
    </w:pPr>
    <w:rPr>
      <w:rFonts w:ascii="仿宋_GB2312" w:eastAsia="仿宋_GB2312"/>
      <w:sz w:val="24"/>
    </w:rPr>
  </w:style>
  <w:style w:type="character" w:customStyle="1" w:styleId="355">
    <w:name w:val="Table Text Char1"/>
    <w:qFormat/>
    <w:uiPriority w:val="0"/>
    <w:rPr>
      <w:rFonts w:eastAsia="宋体"/>
      <w:sz w:val="24"/>
      <w:szCs w:val="24"/>
      <w:lang w:val="en-US" w:eastAsia="zh-CN" w:bidi="ar-SA"/>
    </w:rPr>
  </w:style>
  <w:style w:type="character" w:customStyle="1" w:styleId="356">
    <w:name w:val="标题 1 Char Char"/>
    <w:qFormat/>
    <w:uiPriority w:val="0"/>
    <w:rPr>
      <w:rFonts w:hint="eastAsia" w:ascii="宋体" w:hAnsi="宋体" w:eastAsia="宋体"/>
      <w:b/>
      <w:spacing w:val="-2"/>
      <w:sz w:val="24"/>
      <w:lang w:val="en-US" w:eastAsia="zh-CN" w:bidi="ar-SA"/>
    </w:rPr>
  </w:style>
  <w:style w:type="character" w:customStyle="1" w:styleId="357">
    <w:name w:val="正文（缩进2汉字） Char"/>
    <w:link w:val="358"/>
    <w:qFormat/>
    <w:uiPriority w:val="0"/>
    <w:rPr>
      <w:rFonts w:ascii="宋体"/>
    </w:rPr>
  </w:style>
  <w:style w:type="paragraph" w:customStyle="1" w:styleId="358">
    <w:name w:val="正文（缩进2汉字）"/>
    <w:basedOn w:val="1"/>
    <w:link w:val="357"/>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9">
    <w:name w:val="标题 8 字符"/>
    <w:link w:val="11"/>
    <w:qFormat/>
    <w:uiPriority w:val="0"/>
    <w:rPr>
      <w:rFonts w:ascii="Arial" w:hAnsi="Arial" w:eastAsia="黑体"/>
      <w:kern w:val="2"/>
      <w:sz w:val="24"/>
      <w:szCs w:val="24"/>
    </w:rPr>
  </w:style>
  <w:style w:type="character" w:customStyle="1" w:styleId="360">
    <w:name w:val="标书表格字体格式 Char"/>
    <w:qFormat/>
    <w:uiPriority w:val="0"/>
    <w:rPr>
      <w:kern w:val="2"/>
      <w:sz w:val="21"/>
      <w:szCs w:val="24"/>
      <w:lang w:bidi="ar-SA"/>
    </w:rPr>
  </w:style>
  <w:style w:type="character" w:customStyle="1" w:styleId="361">
    <w:name w:val="tw4winError"/>
    <w:qFormat/>
    <w:uiPriority w:val="0"/>
    <w:rPr>
      <w:rFonts w:ascii="Courier New" w:hAnsi="Courier New" w:cs="Courier New"/>
      <w:color w:val="00FF00"/>
      <w:sz w:val="40"/>
      <w:szCs w:val="40"/>
    </w:rPr>
  </w:style>
  <w:style w:type="character" w:customStyle="1" w:styleId="362">
    <w:name w:val="Body Text(ch) Char Char"/>
    <w:qFormat/>
    <w:uiPriority w:val="0"/>
    <w:rPr>
      <w:rFonts w:ascii="宋体"/>
      <w:kern w:val="2"/>
      <w:sz w:val="24"/>
      <w:szCs w:val="21"/>
      <w:lang w:val="zh-CN"/>
    </w:rPr>
  </w:style>
  <w:style w:type="character" w:customStyle="1" w:styleId="363">
    <w:name w:val="正文首行缩进两字 Char"/>
    <w:qFormat/>
    <w:uiPriority w:val="0"/>
    <w:rPr>
      <w:sz w:val="24"/>
      <w:szCs w:val="24"/>
      <w:lang w:val="en-US" w:eastAsia="zh-CN" w:bidi="ar-SA"/>
    </w:rPr>
  </w:style>
  <w:style w:type="character" w:customStyle="1" w:styleId="364">
    <w:name w:val="正文文本 Char"/>
    <w:qFormat/>
    <w:uiPriority w:val="0"/>
    <w:rPr>
      <w:rFonts w:eastAsia="宋体"/>
      <w:kern w:val="2"/>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字符"/>
    <w:link w:val="54"/>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字符2"/>
    <w:link w:val="42"/>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 w:val="24"/>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字符2"/>
    <w:link w:val="43"/>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napToGrid w:val="0"/>
      <w:spacing w:after="156" w:afterLines="50"/>
      <w:ind w:firstLine="200" w:firstLineChars="200"/>
    </w:pPr>
    <w:rPr>
      <w:kern w:val="0"/>
      <w:sz w:val="24"/>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 w:val="24"/>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 w:val="24"/>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6"/>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 w:val="24"/>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标题 1 字符"/>
    <w:qFormat/>
    <w:uiPriority w:val="9"/>
    <w:rPr>
      <w:rFonts w:ascii="Arial" w:hAnsi="Arial" w:eastAsia="黑体" w:cs="Arial"/>
      <w:b/>
      <w:bCs/>
      <w:snapToGrid w:val="0"/>
      <w:kern w:val="44"/>
      <w:sz w:val="44"/>
      <w:szCs w:val="44"/>
    </w:rPr>
  </w:style>
  <w:style w:type="character" w:customStyle="1" w:styleId="422">
    <w:name w:val="style36"/>
    <w:basedOn w:val="70"/>
    <w:qFormat/>
    <w:uiPriority w:val="0"/>
    <w:rPr>
      <w:rFonts w:ascii="Arial" w:hAnsi="Arial" w:eastAsia="黑体" w:cs="Arial"/>
      <w:snapToGrid w:val="0"/>
      <w:kern w:val="0"/>
      <w:szCs w:val="21"/>
    </w:rPr>
  </w:style>
  <w:style w:type="character" w:customStyle="1" w:styleId="423">
    <w:name w:val="pt9"/>
    <w:qFormat/>
    <w:uiPriority w:val="0"/>
    <w:rPr>
      <w:rFonts w:ascii="仿宋_GB2312" w:eastAsia="微软雅黑"/>
      <w:b/>
      <w:kern w:val="2"/>
      <w:sz w:val="32"/>
      <w:szCs w:val="32"/>
      <w:lang w:val="en-US" w:eastAsia="zh-CN" w:bidi="ar-SA"/>
    </w:rPr>
  </w:style>
  <w:style w:type="character" w:customStyle="1" w:styleId="424">
    <w:name w:val="DO_NOT_TRANSLATE"/>
    <w:qFormat/>
    <w:uiPriority w:val="0"/>
    <w:rPr>
      <w:rFonts w:ascii="Courier New" w:hAnsi="Courier New" w:cs="Courier New"/>
      <w:color w:val="800000"/>
      <w:lang w:val="en-US" w:eastAsia="zh-CN"/>
    </w:rPr>
  </w:style>
  <w:style w:type="character" w:customStyle="1" w:styleId="425">
    <w:name w:val="标书1 Char1"/>
    <w:qFormat/>
    <w:uiPriority w:val="0"/>
    <w:rPr>
      <w:rFonts w:eastAsia="宋体"/>
      <w:b/>
      <w:bCs/>
      <w:kern w:val="44"/>
      <w:sz w:val="44"/>
      <w:szCs w:val="44"/>
      <w:lang w:val="en-US" w:eastAsia="zh-CN" w:bidi="ar-SA"/>
    </w:rPr>
  </w:style>
  <w:style w:type="character" w:customStyle="1" w:styleId="426">
    <w:name w:val="页脚 字符"/>
    <w:qFormat/>
    <w:uiPriority w:val="99"/>
    <w:rPr>
      <w:kern w:val="2"/>
      <w:sz w:val="18"/>
      <w:szCs w:val="18"/>
    </w:rPr>
  </w:style>
  <w:style w:type="character" w:customStyle="1" w:styleId="427">
    <w:name w:val="正文2 Char"/>
    <w:qFormat/>
    <w:uiPriority w:val="0"/>
    <w:rPr>
      <w:rFonts w:eastAsia="宋体"/>
      <w:kern w:val="2"/>
      <w:sz w:val="24"/>
      <w:lang w:val="en-US" w:eastAsia="zh-CN" w:bidi="ar-SA"/>
    </w:rPr>
  </w:style>
  <w:style w:type="character" w:customStyle="1" w:styleId="428">
    <w:name w:val="Char Char21"/>
    <w:qFormat/>
    <w:uiPriority w:val="6"/>
    <w:rPr>
      <w:rFonts w:ascii="宋体" w:hAnsi="宋体"/>
      <w:kern w:val="1"/>
      <w:sz w:val="24"/>
      <w:szCs w:val="21"/>
      <w:lang w:val="zh-CN"/>
    </w:rPr>
  </w:style>
  <w:style w:type="character" w:customStyle="1" w:styleId="429">
    <w:name w:val="样式 正文缩进 + 首行缩进:  2 字符 Char Char"/>
    <w:link w:val="430"/>
    <w:qFormat/>
    <w:uiPriority w:val="0"/>
    <w:rPr>
      <w:rFonts w:cs="宋体"/>
      <w:kern w:val="2"/>
      <w:sz w:val="24"/>
    </w:rPr>
  </w:style>
  <w:style w:type="paragraph" w:customStyle="1" w:styleId="430">
    <w:name w:val="样式 正文缩进 + 首行缩进:  2 字符"/>
    <w:basedOn w:val="4"/>
    <w:link w:val="429"/>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1">
    <w:name w:val="正文文本 字符"/>
    <w:link w:val="25"/>
    <w:qFormat/>
    <w:uiPriority w:val="0"/>
    <w:rPr>
      <w:rFonts w:ascii="宋体" w:hAnsi="Arial" w:eastAsia="宋体" w:cs="Arial"/>
      <w:snapToGrid w:val="0"/>
      <w:kern w:val="2"/>
      <w:sz w:val="24"/>
      <w:szCs w:val="21"/>
      <w:lang w:val="zh-CN" w:eastAsia="zh-CN" w:bidi="ar-SA"/>
    </w:rPr>
  </w:style>
  <w:style w:type="character" w:customStyle="1" w:styleId="432">
    <w:name w:val="gray6"/>
    <w:basedOn w:val="70"/>
    <w:qFormat/>
    <w:uiPriority w:val="0"/>
    <w:rPr>
      <w:rFonts w:ascii="Arial" w:hAnsi="Arial" w:eastAsia="黑体" w:cs="Arial"/>
      <w:snapToGrid w:val="0"/>
      <w:kern w:val="0"/>
      <w:szCs w:val="21"/>
    </w:rPr>
  </w:style>
  <w:style w:type="character" w:customStyle="1" w:styleId="433">
    <w:name w:val="hui"/>
    <w:basedOn w:val="70"/>
    <w:qFormat/>
    <w:uiPriority w:val="0"/>
    <w:rPr>
      <w:rFonts w:ascii="Arial" w:hAnsi="Arial" w:eastAsia="黑体" w:cs="Arial"/>
      <w:snapToGrid w:val="0"/>
      <w:kern w:val="0"/>
      <w:szCs w:val="21"/>
    </w:rPr>
  </w:style>
  <w:style w:type="character" w:customStyle="1" w:styleId="434">
    <w:name w:val="哈哈正文 Char Char"/>
    <w:qFormat/>
    <w:uiPriority w:val="0"/>
    <w:rPr>
      <w:rFonts w:ascii="宋体" w:hAnsi="宋体" w:eastAsia="宋体" w:cs="宋体"/>
      <w:kern w:val="2"/>
      <w:sz w:val="24"/>
      <w:lang w:val="en-US" w:eastAsia="zh-CN" w:bidi="ar-SA"/>
    </w:rPr>
  </w:style>
  <w:style w:type="paragraph" w:customStyle="1" w:styleId="435">
    <w:name w:val="样式 正文文本缩进 + 左侧:  2 字符 首行缩进:  2 字符"/>
    <w:basedOn w:val="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7">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39">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2">
    <w:name w:val="标题4_自定义"/>
    <w:basedOn w:val="7"/>
    <w:qFormat/>
    <w:uiPriority w:val="0"/>
    <w:pPr>
      <w:adjustRightInd/>
      <w:spacing w:before="0" w:after="0" w:line="360" w:lineRule="auto"/>
    </w:pPr>
    <w:rPr>
      <w:rFonts w:ascii="Verdana" w:eastAsia="Verdana"/>
      <w:sz w:val="21"/>
      <w:lang w:val="en-US"/>
    </w:rPr>
  </w:style>
  <w:style w:type="paragraph" w:customStyle="1" w:styleId="443">
    <w:name w:val="正文 内标 序号标"/>
    <w:basedOn w:val="444"/>
    <w:qFormat/>
    <w:uiPriority w:val="0"/>
    <w:pPr>
      <w:tabs>
        <w:tab w:val="left" w:pos="0"/>
      </w:tabs>
      <w:adjustRightInd/>
      <w:spacing w:before="0"/>
      <w:ind w:firstLine="482"/>
    </w:pPr>
    <w:rPr>
      <w:rFonts w:ascii="微软雅黑" w:hAnsi="微软雅黑"/>
      <w:sz w:val="24"/>
      <w:szCs w:val="24"/>
    </w:rPr>
  </w:style>
  <w:style w:type="paragraph" w:customStyle="1" w:styleId="444">
    <w:name w:val="My正文"/>
    <w:basedOn w:val="1"/>
    <w:qFormat/>
    <w:uiPriority w:val="0"/>
    <w:pPr>
      <w:spacing w:before="120" w:line="360" w:lineRule="auto"/>
      <w:ind w:firstLine="567"/>
    </w:pPr>
    <w:rPr>
      <w:rFonts w:ascii="Arial" w:hAnsi="Arial"/>
      <w:sz w:val="20"/>
      <w:szCs w:val="20"/>
    </w:rPr>
  </w:style>
  <w:style w:type="paragraph" w:customStyle="1" w:styleId="445">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6">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8">
    <w:name w:val="修订2"/>
    <w:qFormat/>
    <w:uiPriority w:val="0"/>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0">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2">
    <w:name w:val="封面公司名"/>
    <w:qFormat/>
    <w:uiPriority w:val="0"/>
    <w:pPr>
      <w:jc w:val="center"/>
    </w:pPr>
    <w:rPr>
      <w:rFonts w:ascii="Arial" w:hAnsi="Arial" w:eastAsia="楷体_GB2312" w:cs="宋体"/>
      <w:bCs/>
      <w:kern w:val="2"/>
      <w:sz w:val="28"/>
      <w:lang w:val="en-US" w:eastAsia="zh-CN" w:bidi="ar-SA"/>
    </w:rPr>
  </w:style>
  <w:style w:type="paragraph" w:customStyle="1" w:styleId="453">
    <w:name w:val="Char1 Char Char Char5"/>
    <w:basedOn w:val="1"/>
    <w:qFormat/>
    <w:uiPriority w:val="0"/>
    <w:pPr>
      <w:adjustRightInd/>
      <w:ind w:firstLine="200" w:firstLineChars="200"/>
    </w:pPr>
    <w:rPr>
      <w:rFonts w:ascii="Tahoma" w:hAnsi="Tahoma"/>
      <w:sz w:val="24"/>
      <w:szCs w:val="20"/>
    </w:rPr>
  </w:style>
  <w:style w:type="paragraph" w:customStyle="1" w:styleId="454">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qFormat/>
    <w:uiPriority w:val="0"/>
    <w:pPr>
      <w:tabs>
        <w:tab w:val="left" w:pos="360"/>
      </w:tabs>
    </w:pPr>
    <w:rPr>
      <w:sz w:val="24"/>
      <w:szCs w:val="20"/>
    </w:rPr>
  </w:style>
  <w:style w:type="paragraph" w:customStyle="1" w:styleId="457">
    <w:name w:val="Char Char11 Char Char Char"/>
    <w:basedOn w:val="1"/>
    <w:qFormat/>
    <w:uiPriority w:val="0"/>
    <w:pPr>
      <w:spacing w:line="360" w:lineRule="auto"/>
    </w:pPr>
    <w:rPr>
      <w:szCs w:val="20"/>
    </w:rPr>
  </w:style>
  <w:style w:type="paragraph" w:customStyle="1" w:styleId="458">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0">
    <w:name w:val="样式3"/>
    <w:basedOn w:val="461"/>
    <w:qFormat/>
    <w:uiPriority w:val="0"/>
    <w:pPr>
      <w:tabs>
        <w:tab w:val="left" w:pos="2790"/>
        <w:tab w:val="left" w:pos="4230"/>
      </w:tabs>
      <w:spacing w:before="312" w:beforeLines="100"/>
      <w:jc w:val="left"/>
    </w:pPr>
  </w:style>
  <w:style w:type="paragraph" w:customStyle="1" w:styleId="461">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qFormat/>
    <w:uiPriority w:val="0"/>
    <w:pPr>
      <w:tabs>
        <w:tab w:val="left" w:pos="840"/>
      </w:tabs>
      <w:ind w:left="840" w:hanging="420"/>
    </w:pPr>
    <w:rPr>
      <w:rFonts w:ascii="Tahoma" w:hAnsi="Tahoma"/>
      <w:sz w:val="24"/>
    </w:rPr>
  </w:style>
  <w:style w:type="paragraph" w:customStyle="1" w:styleId="463">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5">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6">
    <w:name w:val="正文21"/>
    <w:basedOn w:val="1"/>
    <w:qFormat/>
    <w:uiPriority w:val="0"/>
    <w:pPr>
      <w:adjustRightInd/>
      <w:spacing w:before="156" w:line="360" w:lineRule="auto"/>
      <w:ind w:firstLine="510" w:firstLineChars="200"/>
    </w:pPr>
    <w:rPr>
      <w:sz w:val="24"/>
      <w:szCs w:val="20"/>
    </w:rPr>
  </w:style>
  <w:style w:type="paragraph" w:customStyle="1" w:styleId="467">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8">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qFormat/>
    <w:uiPriority w:val="0"/>
    <w:rPr>
      <w:rFonts w:ascii="仿宋_GB2312" w:eastAsia="仿宋_GB2312"/>
      <w:b/>
      <w:sz w:val="32"/>
      <w:szCs w:val="32"/>
    </w:rPr>
  </w:style>
  <w:style w:type="paragraph" w:customStyle="1" w:styleId="470">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2">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3">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qFormat/>
    <w:uiPriority w:val="0"/>
    <w:pPr>
      <w:keepNext/>
      <w:tabs>
        <w:tab w:val="left" w:pos="360"/>
      </w:tabs>
      <w:spacing w:before="0" w:after="0"/>
      <w:outlineLvl w:val="5"/>
    </w:pPr>
  </w:style>
  <w:style w:type="paragraph" w:customStyle="1" w:styleId="475">
    <w:name w:val="5级标题"/>
    <w:basedOn w:val="476"/>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6">
    <w:name w:val="4级标题"/>
    <w:basedOn w:val="259"/>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7">
    <w:name w:val="样式 正文文本缩进 + 段前: 2 字符"/>
    <w:basedOn w:val="1"/>
    <w:qFormat/>
    <w:uiPriority w:val="0"/>
    <w:pPr>
      <w:adjustRightInd/>
      <w:ind w:left="420" w:leftChars="200"/>
      <w:jc w:val="left"/>
    </w:pPr>
    <w:rPr>
      <w:sz w:val="28"/>
      <w:szCs w:val="20"/>
      <w:lang w:eastAsia="zh-TW"/>
    </w:rPr>
  </w:style>
  <w:style w:type="paragraph" w:customStyle="1" w:styleId="478">
    <w:name w:val="Char2 Char Char"/>
    <w:basedOn w:val="1"/>
    <w:qFormat/>
    <w:uiPriority w:val="0"/>
    <w:pPr>
      <w:adjustRightInd/>
    </w:pPr>
    <w:rPr>
      <w:rFonts w:ascii="Tahoma" w:hAnsi="Tahoma"/>
      <w:sz w:val="24"/>
      <w:szCs w:val="20"/>
    </w:rPr>
  </w:style>
  <w:style w:type="paragraph" w:customStyle="1" w:styleId="479">
    <w:name w:val="_Style 11"/>
    <w:basedOn w:val="1"/>
    <w:qFormat/>
    <w:uiPriority w:val="34"/>
    <w:pPr>
      <w:adjustRightInd/>
      <w:ind w:firstLine="420" w:firstLineChars="200"/>
    </w:pPr>
    <w:rPr>
      <w:rFonts w:eastAsia="仿宋_GB2312"/>
      <w:sz w:val="28"/>
    </w:rPr>
  </w:style>
  <w:style w:type="paragraph" w:customStyle="1" w:styleId="480">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qFormat/>
    <w:uiPriority w:val="0"/>
    <w:rPr>
      <w:rFonts w:ascii="Tahoma" w:hAnsi="Tahoma"/>
      <w:sz w:val="24"/>
      <w:szCs w:val="20"/>
    </w:rPr>
  </w:style>
  <w:style w:type="paragraph" w:customStyle="1" w:styleId="482">
    <w:name w:val="数字标题6"/>
    <w:basedOn w:val="9"/>
    <w:next w:val="1"/>
    <w:qFormat/>
    <w:uiPriority w:val="0"/>
    <w:pPr>
      <w:tabs>
        <w:tab w:val="left" w:pos="1080"/>
      </w:tabs>
      <w:ind w:left="1080" w:hanging="1080"/>
    </w:pPr>
    <w:rPr>
      <w:rFonts w:ascii="Times New Roman" w:hAnsi="Times New Roman" w:eastAsia="宋体"/>
      <w:i/>
    </w:rPr>
  </w:style>
  <w:style w:type="paragraph" w:customStyle="1" w:styleId="483">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4">
    <w:name w:val="无间隔2"/>
    <w:basedOn w:val="1"/>
    <w:link w:val="934"/>
    <w:qFormat/>
    <w:uiPriority w:val="99"/>
    <w:rPr>
      <w:szCs w:val="22"/>
    </w:rPr>
  </w:style>
  <w:style w:type="paragraph" w:customStyle="1" w:styleId="485">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qFormat/>
    <w:uiPriority w:val="6"/>
    <w:rPr>
      <w:rFonts w:ascii="Tahoma" w:hAnsi="Tahoma" w:cs="仿宋_GB2312"/>
      <w:sz w:val="24"/>
      <w:szCs w:val="20"/>
    </w:rPr>
  </w:style>
  <w:style w:type="paragraph" w:customStyle="1" w:styleId="487">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qFormat/>
    <w:uiPriority w:val="0"/>
    <w:pPr>
      <w:tabs>
        <w:tab w:val="left" w:pos="1260"/>
      </w:tabs>
      <w:ind w:left="1260" w:hanging="420"/>
    </w:pPr>
    <w:rPr>
      <w:rFonts w:ascii="Arial" w:hAnsi="Arial" w:eastAsia="黑体"/>
      <w:lang w:val="en-US"/>
    </w:rPr>
  </w:style>
  <w:style w:type="paragraph" w:customStyle="1" w:styleId="491">
    <w:name w:val="五级无标题条"/>
    <w:basedOn w:val="1"/>
    <w:qFormat/>
    <w:uiPriority w:val="0"/>
    <w:pPr>
      <w:adjustRightInd/>
    </w:pPr>
  </w:style>
  <w:style w:type="paragraph" w:customStyle="1" w:styleId="492">
    <w:name w:val="Char5"/>
    <w:basedOn w:val="1"/>
    <w:qFormat/>
    <w:uiPriority w:val="0"/>
    <w:rPr>
      <w:rFonts w:ascii="仿宋_GB2312" w:eastAsia="仿宋_GB2312"/>
      <w:b/>
      <w:sz w:val="32"/>
      <w:szCs w:val="32"/>
    </w:rPr>
  </w:style>
  <w:style w:type="paragraph" w:customStyle="1" w:styleId="493">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qFormat/>
    <w:uiPriority w:val="0"/>
    <w:pPr>
      <w:adjustRightInd/>
      <w:ind w:firstLine="420" w:firstLineChars="200"/>
    </w:pPr>
    <w:rPr>
      <w:rFonts w:ascii="Calibri" w:hAnsi="Calibri"/>
      <w:szCs w:val="22"/>
    </w:rPr>
  </w:style>
  <w:style w:type="paragraph" w:customStyle="1" w:styleId="495">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6">
    <w:name w:val="Char2"/>
    <w:basedOn w:val="1"/>
    <w:qFormat/>
    <w:uiPriority w:val="0"/>
    <w:rPr>
      <w:rFonts w:ascii="仿宋_GB2312" w:eastAsia="仿宋_GB2312"/>
      <w:b/>
      <w:sz w:val="32"/>
      <w:szCs w:val="32"/>
    </w:rPr>
  </w:style>
  <w:style w:type="paragraph" w:customStyle="1" w:styleId="497">
    <w:name w:val="数字标题3"/>
    <w:basedOn w:val="6"/>
    <w:next w:val="1"/>
    <w:qFormat/>
    <w:uiPriority w:val="0"/>
    <w:pPr>
      <w:spacing w:line="240" w:lineRule="auto"/>
    </w:pPr>
    <w:rPr>
      <w:sz w:val="28"/>
      <w:szCs w:val="28"/>
    </w:rPr>
  </w:style>
  <w:style w:type="paragraph" w:customStyle="1" w:styleId="498">
    <w:name w:val="FA正文"/>
    <w:basedOn w:val="1"/>
    <w:qFormat/>
    <w:uiPriority w:val="0"/>
    <w:pPr>
      <w:spacing w:line="360" w:lineRule="auto"/>
      <w:ind w:firstLine="480" w:firstLineChars="200"/>
    </w:pPr>
    <w:rPr>
      <w:rFonts w:hAnsi="宋体"/>
      <w:sz w:val="24"/>
      <w:szCs w:val="20"/>
    </w:rPr>
  </w:style>
  <w:style w:type="paragraph" w:customStyle="1" w:styleId="499">
    <w:name w:val="MM Topic 5"/>
    <w:basedOn w:val="8"/>
    <w:qFormat/>
    <w:uiPriority w:val="0"/>
    <w:pPr>
      <w:tabs>
        <w:tab w:val="left" w:pos="2520"/>
      </w:tabs>
      <w:adjustRightInd/>
      <w:ind w:left="2520" w:hanging="420"/>
    </w:pPr>
  </w:style>
  <w:style w:type="paragraph" w:customStyle="1" w:styleId="500">
    <w:name w:val="Char Char Char Char Char Char Char Char Char Char1"/>
    <w:basedOn w:val="1"/>
    <w:qFormat/>
    <w:uiPriority w:val="0"/>
    <w:rPr>
      <w:rFonts w:ascii="仿宋_GB2312" w:eastAsia="仿宋_GB2312"/>
      <w:b/>
      <w:sz w:val="32"/>
      <w:szCs w:val="32"/>
    </w:rPr>
  </w:style>
  <w:style w:type="paragraph" w:customStyle="1" w:styleId="501">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qFormat/>
    <w:uiPriority w:val="3"/>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qFormat/>
    <w:uiPriority w:val="0"/>
    <w:rPr>
      <w:rFonts w:ascii="仿宋_GB2312" w:eastAsia="仿宋_GB2312"/>
      <w:b/>
      <w:sz w:val="32"/>
      <w:szCs w:val="32"/>
    </w:rPr>
  </w:style>
  <w:style w:type="paragraph" w:customStyle="1" w:styleId="504">
    <w:name w:val="Char2 Char Char Char1"/>
    <w:basedOn w:val="1"/>
    <w:qFormat/>
    <w:uiPriority w:val="6"/>
    <w:rPr>
      <w:rFonts w:ascii="仿宋_GB2312" w:eastAsia="仿宋_GB2312"/>
      <w:b/>
      <w:sz w:val="32"/>
      <w:szCs w:val="32"/>
    </w:rPr>
  </w:style>
  <w:style w:type="paragraph" w:customStyle="1" w:styleId="505">
    <w:name w:val="默认段落样式"/>
    <w:basedOn w:val="132"/>
    <w:qFormat/>
    <w:uiPriority w:val="0"/>
    <w:pPr>
      <w:spacing w:before="0"/>
      <w:ind w:firstLine="480"/>
      <w:outlineLvl w:val="2"/>
    </w:pPr>
    <w:rPr>
      <w:rFonts w:ascii="仿宋_GB2312" w:hAnsi="宋体" w:eastAsia="仿宋_GB2312"/>
      <w:color w:val="000000"/>
      <w:szCs w:val="24"/>
    </w:rPr>
  </w:style>
  <w:style w:type="paragraph" w:customStyle="1" w:styleId="506">
    <w:name w:val="图中文字"/>
    <w:basedOn w:val="1"/>
    <w:qFormat/>
    <w:uiPriority w:val="0"/>
    <w:pPr>
      <w:snapToGrid w:val="0"/>
      <w:spacing w:line="0" w:lineRule="atLeast"/>
      <w:ind w:firstLine="200" w:firstLineChars="200"/>
      <w:jc w:val="center"/>
    </w:pPr>
    <w:rPr>
      <w:sz w:val="24"/>
      <w:szCs w:val="20"/>
    </w:rPr>
  </w:style>
  <w:style w:type="paragraph" w:customStyle="1" w:styleId="5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6"/>
    <w:qFormat/>
    <w:uiPriority w:val="0"/>
    <w:pPr>
      <w:tabs>
        <w:tab w:val="left" w:pos="1680"/>
      </w:tabs>
      <w:adjustRightInd/>
      <w:ind w:left="1680" w:hanging="420"/>
    </w:pPr>
  </w:style>
  <w:style w:type="paragraph" w:customStyle="1" w:styleId="509">
    <w:name w:val="标准小四"/>
    <w:basedOn w:val="1"/>
    <w:qFormat/>
    <w:uiPriority w:val="0"/>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1">
    <w:name w:val="表格（小）"/>
    <w:basedOn w:val="1"/>
    <w:qFormat/>
    <w:uiPriority w:val="0"/>
    <w:pPr>
      <w:adjustRightInd/>
      <w:snapToGrid w:val="0"/>
      <w:spacing w:line="300" w:lineRule="auto"/>
    </w:pPr>
    <w:rPr>
      <w:rFonts w:eastAsia="仿宋"/>
      <w:szCs w:val="21"/>
    </w:rPr>
  </w:style>
  <w:style w:type="paragraph" w:customStyle="1" w:styleId="512">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3">
    <w:name w:val="Char2 Char Char1"/>
    <w:basedOn w:val="1"/>
    <w:qFormat/>
    <w:uiPriority w:val="6"/>
    <w:pPr>
      <w:adjustRightInd/>
    </w:pPr>
    <w:rPr>
      <w:rFonts w:ascii="Tahoma" w:hAnsi="Tahoma"/>
      <w:sz w:val="24"/>
      <w:szCs w:val="20"/>
    </w:rPr>
  </w:style>
  <w:style w:type="paragraph" w:customStyle="1" w:styleId="514">
    <w:name w:val="列出段落5"/>
    <w:basedOn w:val="1"/>
    <w:qFormat/>
    <w:uiPriority w:val="0"/>
    <w:pPr>
      <w:spacing w:line="360" w:lineRule="auto"/>
      <w:ind w:firstLine="200" w:firstLineChars="200"/>
    </w:pPr>
    <w:rPr>
      <w:rFonts w:eastAsia="楷体_GB2312" w:cs="Lucida Sans"/>
      <w:sz w:val="24"/>
    </w:rPr>
  </w:style>
  <w:style w:type="paragraph" w:customStyle="1" w:styleId="51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4"/>
    <w:qFormat/>
    <w:uiPriority w:val="0"/>
    <w:pPr>
      <w:adjustRightInd/>
      <w:ind w:firstLine="200" w:firstLineChars="200"/>
    </w:pPr>
    <w:rPr>
      <w:rFonts w:ascii="Arial" w:hAnsi="Arial"/>
      <w:spacing w:val="-5"/>
      <w:kern w:val="0"/>
      <w:sz w:val="24"/>
      <w:szCs w:val="20"/>
    </w:rPr>
  </w:style>
  <w:style w:type="paragraph" w:customStyle="1" w:styleId="517">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1">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2">
    <w:name w:val="_Style 3"/>
    <w:basedOn w:val="1"/>
    <w:qFormat/>
    <w:uiPriority w:val="0"/>
    <w:pPr>
      <w:adjustRightInd/>
      <w:ind w:firstLine="420" w:firstLineChars="200"/>
    </w:pPr>
    <w:rPr>
      <w:rFonts w:eastAsia="仿宋_GB2312"/>
      <w:sz w:val="28"/>
    </w:rPr>
  </w:style>
  <w:style w:type="paragraph" w:customStyle="1" w:styleId="523">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26"/>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qFormat/>
    <w:uiPriority w:val="0"/>
    <w:pPr>
      <w:adjustRightInd/>
      <w:ind w:firstLine="200" w:firstLineChars="200"/>
      <w:jc w:val="right"/>
    </w:pPr>
  </w:style>
  <w:style w:type="paragraph" w:customStyle="1" w:styleId="526">
    <w:name w:val="Char Char11 Char Char Char Char Char Char Char Char Char"/>
    <w:basedOn w:val="1"/>
    <w:qFormat/>
    <w:uiPriority w:val="0"/>
    <w:pPr>
      <w:spacing w:line="360" w:lineRule="auto"/>
    </w:pPr>
    <w:rPr>
      <w:szCs w:val="20"/>
    </w:rPr>
  </w:style>
  <w:style w:type="paragraph" w:customStyle="1" w:styleId="527">
    <w:name w:val="正文1.25"/>
    <w:basedOn w:val="1"/>
    <w:qFormat/>
    <w:uiPriority w:val="0"/>
    <w:pPr>
      <w:adjustRightInd/>
      <w:spacing w:line="300" w:lineRule="auto"/>
      <w:ind w:firstLine="480" w:firstLineChars="200"/>
    </w:pPr>
    <w:rPr>
      <w:sz w:val="24"/>
      <w:szCs w:val="20"/>
    </w:rPr>
  </w:style>
  <w:style w:type="paragraph" w:customStyle="1" w:styleId="528">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29">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0">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qFormat/>
    <w:uiPriority w:val="6"/>
    <w:rPr>
      <w:rFonts w:ascii="仿宋_GB2312" w:eastAsia="仿宋_GB2312"/>
      <w:b/>
      <w:sz w:val="32"/>
      <w:szCs w:val="20"/>
    </w:rPr>
  </w:style>
  <w:style w:type="paragraph" w:customStyle="1" w:styleId="532">
    <w:name w:val="列出段落2"/>
    <w:basedOn w:val="1"/>
    <w:qFormat/>
    <w:uiPriority w:val="0"/>
    <w:pPr>
      <w:adjustRightInd/>
      <w:ind w:firstLine="420" w:firstLineChars="200"/>
    </w:pPr>
    <w:rPr>
      <w:rFonts w:ascii="宋体" w:hAnsi="宋体"/>
      <w:sz w:val="24"/>
    </w:rPr>
  </w:style>
  <w:style w:type="paragraph" w:customStyle="1" w:styleId="533">
    <w:name w:val="默认段落字体 Para Char Char Char Char Char Char Char"/>
    <w:basedOn w:val="1"/>
    <w:qFormat/>
    <w:uiPriority w:val="0"/>
    <w:rPr>
      <w:rFonts w:eastAsia="仿宋_GB2312"/>
      <w:sz w:val="28"/>
      <w:szCs w:val="20"/>
    </w:rPr>
  </w:style>
  <w:style w:type="paragraph" w:customStyle="1" w:styleId="534">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7"/>
    <w:qFormat/>
    <w:uiPriority w:val="0"/>
    <w:pPr>
      <w:widowControl/>
      <w:jc w:val="left"/>
    </w:pPr>
    <w:rPr>
      <w:rFonts w:cs="宋体"/>
      <w:sz w:val="24"/>
      <w:szCs w:val="20"/>
    </w:rPr>
  </w:style>
  <w:style w:type="paragraph" w:customStyle="1" w:styleId="536">
    <w:name w:val="彩色列表 - 强调文字颜色 11"/>
    <w:basedOn w:val="1"/>
    <w:qFormat/>
    <w:uiPriority w:val="0"/>
    <w:pPr>
      <w:adjustRightInd/>
      <w:ind w:firstLine="420" w:firstLineChars="200"/>
    </w:pPr>
    <w:rPr>
      <w:rFonts w:ascii="Calibri" w:hAnsi="Calibri"/>
      <w:szCs w:val="22"/>
    </w:rPr>
  </w:style>
  <w:style w:type="paragraph" w:customStyle="1" w:styleId="53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38">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qFormat/>
    <w:uiPriority w:val="6"/>
    <w:rPr>
      <w:szCs w:val="20"/>
    </w:rPr>
  </w:style>
  <w:style w:type="paragraph" w:customStyle="1" w:styleId="54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5">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36"/>
    <w:next w:val="236"/>
    <w:qFormat/>
    <w:uiPriority w:val="0"/>
    <w:pPr>
      <w:spacing w:after="68"/>
    </w:pPr>
    <w:rPr>
      <w:rFonts w:ascii="FHLHE E+ Futura Bk" w:eastAsia="FHLHE E+ Futura Bk" w:cs="Times New Roman"/>
      <w:color w:val="auto"/>
    </w:rPr>
  </w:style>
  <w:style w:type="paragraph" w:customStyle="1" w:styleId="547">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0">
    <w:name w:val="正文文字 2"/>
    <w:basedOn w:val="236"/>
    <w:next w:val="236"/>
    <w:qFormat/>
    <w:uiPriority w:val="0"/>
    <w:rPr>
      <w:rFonts w:ascii="宋体" w:eastAsia="宋体" w:cs="Times New Roman"/>
      <w:color w:val="auto"/>
    </w:rPr>
  </w:style>
  <w:style w:type="paragraph" w:customStyle="1" w:styleId="551">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qFormat/>
    <w:uiPriority w:val="0"/>
    <w:rPr>
      <w:rFonts w:ascii="仿宋_GB2312" w:eastAsia="仿宋_GB2312"/>
      <w:b/>
      <w:sz w:val="32"/>
      <w:szCs w:val="32"/>
    </w:rPr>
  </w:style>
  <w:style w:type="paragraph" w:customStyle="1" w:styleId="553">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5">
    <w:name w:val="Char Char111"/>
    <w:basedOn w:val="1"/>
    <w:qFormat/>
    <w:uiPriority w:val="0"/>
    <w:pPr>
      <w:spacing w:line="360" w:lineRule="auto"/>
    </w:pPr>
    <w:rPr>
      <w:szCs w:val="20"/>
    </w:rPr>
  </w:style>
  <w:style w:type="paragraph" w:customStyle="1" w:styleId="556">
    <w:name w:val="Char"/>
    <w:basedOn w:val="1"/>
    <w:qFormat/>
    <w:uiPriority w:val="0"/>
    <w:rPr>
      <w:rFonts w:ascii="仿宋_GB2312" w:eastAsia="仿宋_GB2312"/>
      <w:b/>
      <w:sz w:val="32"/>
      <w:szCs w:val="32"/>
    </w:rPr>
  </w:style>
  <w:style w:type="paragraph" w:customStyle="1" w:styleId="557">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qFormat/>
    <w:uiPriority w:val="0"/>
    <w:rPr>
      <w:szCs w:val="20"/>
    </w:rPr>
  </w:style>
  <w:style w:type="paragraph" w:customStyle="1" w:styleId="560">
    <w:name w:val="正文标准"/>
    <w:basedOn w:val="1"/>
    <w:qFormat/>
    <w:uiPriority w:val="0"/>
    <w:pPr>
      <w:adjustRightInd/>
      <w:spacing w:line="360" w:lineRule="auto"/>
      <w:ind w:firstLine="200" w:firstLineChars="200"/>
    </w:pPr>
    <w:rPr>
      <w:rFonts w:ascii="宋体" w:hAnsi="Calibri"/>
      <w:sz w:val="24"/>
    </w:rPr>
  </w:style>
  <w:style w:type="paragraph" w:customStyle="1" w:styleId="56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3">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5">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8">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4"/>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3">
    <w:name w:val="Char Char Char Char Char Char Char Char Char Char"/>
    <w:basedOn w:val="1"/>
    <w:qFormat/>
    <w:uiPriority w:val="0"/>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5">
    <w:name w:val="_正文段落"/>
    <w:basedOn w:val="1"/>
    <w:qFormat/>
    <w:uiPriority w:val="0"/>
    <w:pPr>
      <w:adjustRightInd/>
      <w:ind w:firstLine="560"/>
    </w:pPr>
    <w:rPr>
      <w:rFonts w:ascii="仿宋_GB2312" w:hAnsi="仿宋" w:eastAsia="仿宋_GB2312"/>
      <w:kern w:val="0"/>
      <w:sz w:val="28"/>
      <w:szCs w:val="28"/>
    </w:rPr>
  </w:style>
  <w:style w:type="paragraph" w:customStyle="1" w:styleId="576">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7">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1">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qFormat/>
    <w:uiPriority w:val="0"/>
    <w:rPr>
      <w:szCs w:val="20"/>
    </w:rPr>
  </w:style>
  <w:style w:type="paragraph" w:customStyle="1" w:styleId="583">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4">
    <w:name w:val="默认段落字体 Para Char"/>
    <w:basedOn w:val="1"/>
    <w:qFormat/>
    <w:uiPriority w:val="0"/>
    <w:rPr>
      <w:rFonts w:ascii="Tahoma" w:hAnsi="Tahoma"/>
      <w:sz w:val="24"/>
      <w:szCs w:val="20"/>
    </w:rPr>
  </w:style>
  <w:style w:type="paragraph" w:customStyle="1" w:styleId="585">
    <w:name w:val="标题五"/>
    <w:basedOn w:val="1"/>
    <w:qFormat/>
    <w:uiPriority w:val="0"/>
    <w:pPr>
      <w:adjustRightInd/>
      <w:spacing w:before="156" w:beforeLines="50" w:line="360" w:lineRule="auto"/>
    </w:pPr>
    <w:rPr>
      <w:b/>
      <w:sz w:val="24"/>
    </w:rPr>
  </w:style>
  <w:style w:type="paragraph" w:customStyle="1" w:styleId="586">
    <w:name w:val="Char Char1101"/>
    <w:basedOn w:val="1"/>
    <w:qFormat/>
    <w:uiPriority w:val="0"/>
    <w:pPr>
      <w:spacing w:line="360" w:lineRule="auto"/>
    </w:pPr>
    <w:rPr>
      <w:rFonts w:ascii="Tahoma" w:hAnsi="Tahoma"/>
      <w:sz w:val="24"/>
      <w:szCs w:val="20"/>
    </w:rPr>
  </w:style>
  <w:style w:type="paragraph" w:customStyle="1" w:styleId="587">
    <w:name w:val="Char Char Char Char Char Char Char Char1"/>
    <w:basedOn w:val="1"/>
    <w:qFormat/>
    <w:uiPriority w:val="0"/>
    <w:pPr>
      <w:tabs>
        <w:tab w:val="left" w:pos="360"/>
      </w:tabs>
    </w:pPr>
    <w:rPr>
      <w:sz w:val="24"/>
      <w:szCs w:val="20"/>
    </w:rPr>
  </w:style>
  <w:style w:type="paragraph" w:customStyle="1" w:styleId="588">
    <w:name w:val="Char Char Char 字元 字元"/>
    <w:basedOn w:val="1"/>
    <w:qFormat/>
    <w:uiPriority w:val="0"/>
    <w:pPr>
      <w:adjustRightInd/>
      <w:spacing w:line="360" w:lineRule="auto"/>
      <w:ind w:firstLine="200" w:firstLineChars="200"/>
    </w:pPr>
    <w:rPr>
      <w:szCs w:val="20"/>
    </w:rPr>
  </w:style>
  <w:style w:type="paragraph" w:customStyle="1" w:styleId="589">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qFormat/>
    <w:uiPriority w:val="0"/>
    <w:rPr>
      <w:rFonts w:ascii="仿宋_GB2312" w:eastAsia="仿宋_GB2312"/>
      <w:b/>
      <w:sz w:val="32"/>
      <w:szCs w:val="32"/>
    </w:rPr>
  </w:style>
  <w:style w:type="paragraph" w:customStyle="1" w:styleId="59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5">
    <w:name w:val="批注框文本 Char Char"/>
    <w:basedOn w:val="1"/>
    <w:qFormat/>
    <w:uiPriority w:val="0"/>
    <w:pPr>
      <w:adjustRightInd/>
    </w:pPr>
    <w:rPr>
      <w:sz w:val="18"/>
      <w:szCs w:val="20"/>
    </w:rPr>
  </w:style>
  <w:style w:type="paragraph" w:customStyle="1" w:styleId="596">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9">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qFormat/>
    <w:uiPriority w:val="99"/>
    <w:pPr>
      <w:adjustRightInd/>
      <w:spacing w:line="360" w:lineRule="auto"/>
    </w:pPr>
    <w:rPr>
      <w:rFonts w:ascii="仿宋_GB2312" w:eastAsia="仿宋_GB2312"/>
      <w:sz w:val="24"/>
      <w:szCs w:val="20"/>
    </w:rPr>
  </w:style>
  <w:style w:type="paragraph" w:customStyle="1" w:styleId="601">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3">
    <w:name w:val="正文文字缩进项目"/>
    <w:basedOn w:val="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qFormat/>
    <w:uiPriority w:val="0"/>
    <w:pPr>
      <w:spacing w:line="480" w:lineRule="atLeast"/>
      <w:ind w:firstLine="567"/>
      <w:textAlignment w:val="baseline"/>
    </w:pPr>
    <w:rPr>
      <w:kern w:val="0"/>
      <w:sz w:val="24"/>
      <w:szCs w:val="20"/>
    </w:rPr>
  </w:style>
  <w:style w:type="paragraph" w:customStyle="1" w:styleId="605">
    <w:name w:val="正文文字表格居中"/>
    <w:basedOn w:val="1"/>
    <w:next w:val="57"/>
    <w:qFormat/>
    <w:uiPriority w:val="0"/>
    <w:pPr>
      <w:snapToGrid w:val="0"/>
      <w:spacing w:line="360" w:lineRule="auto"/>
    </w:pPr>
    <w:rPr>
      <w:rFonts w:ascii="宋体"/>
      <w:b/>
      <w:sz w:val="24"/>
      <w:szCs w:val="20"/>
    </w:rPr>
  </w:style>
  <w:style w:type="paragraph" w:customStyle="1" w:styleId="606">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7">
    <w:name w:val="小节"/>
    <w:basedOn w:val="6"/>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qFormat/>
    <w:uiPriority w:val="7"/>
    <w:pPr>
      <w:adjustRightInd/>
    </w:pPr>
    <w:rPr>
      <w:rFonts w:ascii="宋体" w:hAnsi="Courier New"/>
    </w:rPr>
  </w:style>
  <w:style w:type="paragraph" w:customStyle="1" w:styleId="609">
    <w:name w:val="Char3"/>
    <w:basedOn w:val="1"/>
    <w:qFormat/>
    <w:uiPriority w:val="0"/>
    <w:pPr>
      <w:adjustRightInd/>
    </w:pPr>
    <w:rPr>
      <w:rFonts w:ascii="仿宋_GB2312" w:eastAsia="仿宋_GB2312"/>
      <w:b/>
      <w:sz w:val="32"/>
      <w:szCs w:val="32"/>
    </w:rPr>
  </w:style>
  <w:style w:type="paragraph" w:customStyle="1" w:styleId="610">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2">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qFormat/>
    <w:uiPriority w:val="0"/>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6"/>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qFormat/>
    <w:uiPriority w:val="0"/>
    <w:pPr>
      <w:widowControl/>
      <w:adjustRightInd/>
      <w:spacing w:after="160" w:line="240" w:lineRule="exact"/>
      <w:jc w:val="left"/>
    </w:pPr>
    <w:rPr>
      <w:szCs w:val="20"/>
    </w:rPr>
  </w:style>
  <w:style w:type="paragraph" w:customStyle="1" w:styleId="618">
    <w:name w:val="表格标题2"/>
    <w:basedOn w:val="619"/>
    <w:qFormat/>
    <w:uiPriority w:val="0"/>
    <w:rPr>
      <w:b/>
    </w:rPr>
  </w:style>
  <w:style w:type="paragraph" w:customStyle="1" w:styleId="619">
    <w:name w:val="表格内文"/>
    <w:basedOn w:val="1"/>
    <w:qFormat/>
    <w:uiPriority w:val="0"/>
    <w:pPr>
      <w:adjustRightInd/>
      <w:spacing w:line="360" w:lineRule="auto"/>
    </w:pPr>
    <w:rPr>
      <w:rFonts w:ascii="宋体" w:hAnsi="宋体" w:cs="宋体"/>
      <w:color w:val="000000"/>
      <w:szCs w:val="20"/>
    </w:rPr>
  </w:style>
  <w:style w:type="paragraph" w:customStyle="1" w:styleId="620">
    <w:name w:val="Char Char Char Char Char Char Char Char Char Char2"/>
    <w:basedOn w:val="1"/>
    <w:qFormat/>
    <w:uiPriority w:val="0"/>
    <w:rPr>
      <w:rFonts w:ascii="仿宋_GB2312" w:eastAsia="仿宋_GB2312"/>
      <w:b/>
      <w:sz w:val="32"/>
      <w:szCs w:val="32"/>
    </w:rPr>
  </w:style>
  <w:style w:type="paragraph" w:customStyle="1" w:styleId="621">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3">
    <w:name w:val="Char Char11 Char Char Char Char Char Char Char Char Char11"/>
    <w:basedOn w:val="1"/>
    <w:qFormat/>
    <w:uiPriority w:val="0"/>
    <w:pPr>
      <w:spacing w:line="360" w:lineRule="auto"/>
    </w:pPr>
    <w:rPr>
      <w:szCs w:val="20"/>
    </w:rPr>
  </w:style>
  <w:style w:type="paragraph" w:customStyle="1" w:styleId="624">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6">
    <w:name w:val="MM Topic 1"/>
    <w:basedOn w:val="2"/>
    <w:qFormat/>
    <w:uiPriority w:val="0"/>
    <w:pPr>
      <w:tabs>
        <w:tab w:val="left" w:pos="840"/>
      </w:tabs>
      <w:adjustRightInd/>
      <w:ind w:left="840" w:hanging="420"/>
    </w:pPr>
  </w:style>
  <w:style w:type="paragraph" w:customStyle="1" w:styleId="627">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qFormat/>
    <w:uiPriority w:val="0"/>
    <w:pPr>
      <w:spacing w:line="360" w:lineRule="auto"/>
      <w:ind w:firstLine="200" w:firstLineChars="200"/>
    </w:pPr>
    <w:rPr>
      <w:kern w:val="0"/>
      <w:sz w:val="24"/>
      <w:szCs w:val="20"/>
    </w:rPr>
  </w:style>
  <w:style w:type="paragraph" w:customStyle="1" w:styleId="629">
    <w:name w:val="表格"/>
    <w:basedOn w:val="1"/>
    <w:qFormat/>
    <w:uiPriority w:val="0"/>
    <w:pPr>
      <w:snapToGrid w:val="0"/>
      <w:ind w:firstLine="42" w:firstLineChars="21"/>
    </w:pPr>
    <w:rPr>
      <w:rFonts w:ascii="宋体" w:hAnsi="宋体"/>
      <w:kern w:val="0"/>
      <w:sz w:val="20"/>
      <w:szCs w:val="20"/>
    </w:rPr>
  </w:style>
  <w:style w:type="paragraph" w:customStyle="1" w:styleId="630">
    <w:name w:val="标书标题4"/>
    <w:basedOn w:val="7"/>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qFormat/>
    <w:uiPriority w:val="0"/>
    <w:pPr>
      <w:adjustRightInd/>
      <w:spacing w:line="300" w:lineRule="auto"/>
      <w:jc w:val="center"/>
    </w:pPr>
  </w:style>
  <w:style w:type="paragraph" w:customStyle="1" w:styleId="635">
    <w:name w:val="_Style 6"/>
    <w:basedOn w:val="1"/>
    <w:qFormat/>
    <w:uiPriority w:val="34"/>
    <w:pPr>
      <w:adjustRightInd/>
      <w:ind w:firstLine="420" w:firstLineChars="200"/>
    </w:pPr>
    <w:rPr>
      <w:rFonts w:eastAsia="仿宋_GB2312"/>
      <w:sz w:val="28"/>
    </w:rPr>
  </w:style>
  <w:style w:type="paragraph" w:customStyle="1" w:styleId="636">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9">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3">
    <w:name w:val="trademark"/>
    <w:qFormat/>
    <w:uiPriority w:val="0"/>
    <w:pPr>
      <w:spacing w:after="60"/>
    </w:pPr>
    <w:rPr>
      <w:rFonts w:ascii="Futura Bk" w:hAnsi="Futura Bk" w:eastAsia="宋体" w:cs="Times New Roman"/>
      <w:sz w:val="15"/>
      <w:lang w:val="en-US" w:eastAsia="en-US" w:bidi="ar-SA"/>
    </w:rPr>
  </w:style>
  <w:style w:type="paragraph" w:customStyle="1" w:styleId="644">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qFormat/>
    <w:uiPriority w:val="0"/>
    <w:rPr>
      <w:rFonts w:ascii="仿宋_GB2312" w:eastAsia="仿宋_GB2312"/>
      <w:b/>
      <w:sz w:val="32"/>
      <w:szCs w:val="20"/>
    </w:rPr>
  </w:style>
  <w:style w:type="paragraph" w:customStyle="1" w:styleId="646">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7">
    <w:name w:val="Char1 Char Char Char1"/>
    <w:basedOn w:val="1"/>
    <w:qFormat/>
    <w:uiPriority w:val="0"/>
    <w:pPr>
      <w:adjustRightInd/>
      <w:ind w:firstLine="200" w:firstLineChars="200"/>
    </w:pPr>
    <w:rPr>
      <w:rFonts w:ascii="Tahoma" w:hAnsi="Tahoma"/>
      <w:sz w:val="24"/>
      <w:szCs w:val="20"/>
    </w:rPr>
  </w:style>
  <w:style w:type="paragraph" w:customStyle="1" w:styleId="648">
    <w:name w:val="a1"/>
    <w:basedOn w:val="1"/>
    <w:qFormat/>
    <w:uiPriority w:val="0"/>
    <w:pPr>
      <w:widowControl/>
      <w:spacing w:line="300" w:lineRule="atLeast"/>
      <w:jc w:val="left"/>
    </w:pPr>
    <w:rPr>
      <w:rFonts w:ascii="宋体" w:hAnsi="宋体"/>
      <w:kern w:val="0"/>
      <w:sz w:val="18"/>
      <w:szCs w:val="20"/>
    </w:rPr>
  </w:style>
  <w:style w:type="paragraph" w:customStyle="1" w:styleId="649">
    <w:name w:val="样式7"/>
    <w:basedOn w:val="650"/>
    <w:next w:val="1"/>
    <w:qFormat/>
    <w:uiPriority w:val="0"/>
    <w:pPr>
      <w:spacing w:after="156" w:afterLines="50"/>
      <w:jc w:val="left"/>
      <w:outlineLvl w:val="3"/>
    </w:pPr>
    <w:rPr>
      <w:sz w:val="24"/>
      <w:szCs w:val="24"/>
    </w:rPr>
  </w:style>
  <w:style w:type="paragraph" w:customStyle="1" w:styleId="650">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2">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3">
    <w:name w:val="样式 样式2 + 左侧:  1 字符 右侧:  1 字符"/>
    <w:basedOn w:val="461"/>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qFormat/>
    <w:uiPriority w:val="0"/>
    <w:pPr>
      <w:adjustRightInd/>
    </w:pPr>
    <w:rPr>
      <w:rFonts w:ascii="Tahoma" w:hAnsi="Tahoma"/>
      <w:sz w:val="24"/>
      <w:szCs w:val="20"/>
    </w:rPr>
  </w:style>
  <w:style w:type="paragraph" w:customStyle="1" w:styleId="655">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qFormat/>
    <w:uiPriority w:val="0"/>
    <w:pPr>
      <w:tabs>
        <w:tab w:val="left" w:pos="1260"/>
        <w:tab w:val="left" w:pos="1680"/>
        <w:tab w:val="left" w:pos="2100"/>
        <w:tab w:val="left" w:pos="2520"/>
      </w:tabs>
      <w:ind w:left="2520"/>
      <w:outlineLvl w:val="4"/>
    </w:pPr>
  </w:style>
  <w:style w:type="paragraph" w:customStyle="1" w:styleId="657">
    <w:name w:val="二级条标题"/>
    <w:basedOn w:val="658"/>
    <w:next w:val="641"/>
    <w:qFormat/>
    <w:uiPriority w:val="0"/>
    <w:pPr>
      <w:tabs>
        <w:tab w:val="left" w:pos="1260"/>
        <w:tab w:val="left" w:pos="1680"/>
        <w:tab w:val="left" w:pos="2100"/>
      </w:tabs>
      <w:ind w:left="0"/>
      <w:outlineLvl w:val="3"/>
    </w:pPr>
  </w:style>
  <w:style w:type="paragraph" w:customStyle="1" w:styleId="658">
    <w:name w:val="一级条标题"/>
    <w:basedOn w:val="659"/>
    <w:next w:val="641"/>
    <w:qFormat/>
    <w:uiPriority w:val="0"/>
    <w:pPr>
      <w:tabs>
        <w:tab w:val="left" w:pos="1260"/>
        <w:tab w:val="left" w:pos="1680"/>
      </w:tabs>
      <w:spacing w:before="0" w:beforeLines="0" w:after="0" w:afterLines="0"/>
      <w:ind w:left="1680"/>
      <w:outlineLvl w:val="2"/>
    </w:pPr>
  </w:style>
  <w:style w:type="paragraph" w:customStyle="1" w:styleId="659">
    <w:name w:val="章标题"/>
    <w:next w:val="641"/>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1">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3">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6">
    <w:name w:val="正文 项目2"/>
    <w:basedOn w:val="667"/>
    <w:qFormat/>
    <w:uiPriority w:val="0"/>
    <w:pPr>
      <w:tabs>
        <w:tab w:val="left" w:pos="840"/>
      </w:tabs>
      <w:spacing w:after="0"/>
      <w:ind w:left="900"/>
    </w:pPr>
  </w:style>
  <w:style w:type="paragraph" w:customStyle="1" w:styleId="667">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qFormat/>
    <w:uiPriority w:val="6"/>
    <w:pPr>
      <w:widowControl/>
      <w:adjustRightInd/>
      <w:ind w:left="720" w:hanging="720"/>
    </w:pPr>
    <w:rPr>
      <w:color w:val="000000"/>
      <w:kern w:val="0"/>
      <w:sz w:val="24"/>
      <w:szCs w:val="20"/>
      <w:lang w:val="en-GB"/>
    </w:rPr>
  </w:style>
  <w:style w:type="paragraph" w:customStyle="1" w:styleId="669">
    <w:name w:val="表1"/>
    <w:basedOn w:val="1"/>
    <w:qFormat/>
    <w:uiPriority w:val="0"/>
    <w:pPr>
      <w:tabs>
        <w:tab w:val="left" w:pos="703"/>
      </w:tabs>
      <w:adjustRightInd/>
      <w:spacing w:line="360" w:lineRule="auto"/>
      <w:ind w:left="703"/>
      <w:jc w:val="center"/>
    </w:pPr>
  </w:style>
  <w:style w:type="paragraph" w:customStyle="1" w:styleId="670">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3">
    <w:name w:val="2级标题"/>
    <w:basedOn w:val="674"/>
    <w:qFormat/>
    <w:uiPriority w:val="0"/>
    <w:pPr>
      <w:jc w:val="left"/>
      <w:outlineLvl w:val="1"/>
    </w:pPr>
    <w:rPr>
      <w:rFonts w:ascii="Times New Roman" w:hAnsi="Times New Roman" w:eastAsia="仿宋"/>
      <w:sz w:val="30"/>
    </w:rPr>
  </w:style>
  <w:style w:type="paragraph" w:customStyle="1" w:styleId="674">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5">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qFormat/>
    <w:uiPriority w:val="0"/>
    <w:pPr>
      <w:tabs>
        <w:tab w:val="left" w:pos="840"/>
      </w:tabs>
      <w:adjustRightInd/>
      <w:ind w:left="840" w:hanging="420"/>
    </w:pPr>
  </w:style>
  <w:style w:type="paragraph" w:customStyle="1" w:styleId="680">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5">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6">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7"/>
    <w:qFormat/>
    <w:uiPriority w:val="0"/>
    <w:pPr>
      <w:tabs>
        <w:tab w:val="left" w:pos="2100"/>
      </w:tabs>
      <w:adjustRightInd/>
      <w:ind w:left="2100" w:hanging="420"/>
    </w:pPr>
    <w:rPr>
      <w:lang w:val="en-US"/>
    </w:rPr>
  </w:style>
  <w:style w:type="paragraph" w:customStyle="1" w:styleId="68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89">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qFormat/>
    <w:uiPriority w:val="6"/>
    <w:pPr>
      <w:spacing w:line="360" w:lineRule="auto"/>
    </w:pPr>
    <w:rPr>
      <w:szCs w:val="20"/>
    </w:rPr>
  </w:style>
  <w:style w:type="paragraph" w:customStyle="1" w:styleId="691">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2">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7">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qFormat/>
    <w:uiPriority w:val="0"/>
    <w:pPr>
      <w:adjustRightInd/>
      <w:spacing w:line="360" w:lineRule="auto"/>
      <w:jc w:val="center"/>
    </w:pPr>
    <w:rPr>
      <w:sz w:val="24"/>
    </w:rPr>
  </w:style>
  <w:style w:type="paragraph" w:customStyle="1" w:styleId="701">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qFormat/>
    <w:uiPriority w:val="6"/>
    <w:rPr>
      <w:rFonts w:ascii="仿宋_GB2312" w:eastAsia="仿宋_GB2312"/>
      <w:b/>
      <w:sz w:val="32"/>
      <w:szCs w:val="32"/>
    </w:rPr>
  </w:style>
  <w:style w:type="paragraph" w:customStyle="1" w:styleId="703">
    <w:name w:val="正文缩进1"/>
    <w:basedOn w:val="1"/>
    <w:next w:val="5"/>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4">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qFormat/>
    <w:uiPriority w:val="0"/>
    <w:pPr>
      <w:widowControl/>
      <w:adjustRightInd/>
      <w:spacing w:after="160" w:line="240" w:lineRule="exact"/>
      <w:jc w:val="left"/>
    </w:pPr>
    <w:rPr>
      <w:szCs w:val="20"/>
    </w:rPr>
  </w:style>
  <w:style w:type="paragraph" w:customStyle="1" w:styleId="706">
    <w:name w:val="Char Char1121"/>
    <w:basedOn w:val="1"/>
    <w:qFormat/>
    <w:uiPriority w:val="0"/>
    <w:pPr>
      <w:spacing w:line="360" w:lineRule="auto"/>
    </w:pPr>
    <w:rPr>
      <w:szCs w:val="20"/>
    </w:rPr>
  </w:style>
  <w:style w:type="paragraph" w:customStyle="1" w:styleId="707">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qFormat/>
    <w:uiPriority w:val="0"/>
    <w:rPr>
      <w:rFonts w:ascii="Times New Roman" w:hAnsi="Times New Roman" w:eastAsia="宋体" w:cs="Times New Roman"/>
      <w:lang w:val="en-US" w:eastAsia="en-US" w:bidi="ar-SA"/>
    </w:rPr>
  </w:style>
  <w:style w:type="paragraph" w:customStyle="1" w:styleId="710">
    <w:name w:val="带编号样式"/>
    <w:basedOn w:val="628"/>
    <w:qFormat/>
    <w:uiPriority w:val="0"/>
    <w:pPr>
      <w:tabs>
        <w:tab w:val="left" w:pos="840"/>
      </w:tabs>
      <w:snapToGrid w:val="0"/>
      <w:ind w:left="840" w:hanging="420" w:firstLineChars="0"/>
    </w:pPr>
    <w:rPr>
      <w:rFonts w:ascii="仿宋_GB2312" w:eastAsia="仿宋_GB2312"/>
      <w:color w:val="000000"/>
    </w:rPr>
  </w:style>
  <w:style w:type="paragraph" w:customStyle="1" w:styleId="711">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qFormat/>
    <w:uiPriority w:val="0"/>
    <w:pPr>
      <w:spacing w:line="360" w:lineRule="atLeast"/>
      <w:jc w:val="right"/>
      <w:textAlignment w:val="baseline"/>
    </w:pPr>
    <w:rPr>
      <w:rFonts w:ascii="Symbol" w:hAnsi="Symbol"/>
      <w:kern w:val="0"/>
      <w:szCs w:val="20"/>
    </w:rPr>
  </w:style>
  <w:style w:type="paragraph" w:customStyle="1" w:styleId="714">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6">
    <w:name w:val="默认段落字体 Para Char Char Char1 Char"/>
    <w:basedOn w:val="1"/>
    <w:qFormat/>
    <w:uiPriority w:val="0"/>
    <w:pPr>
      <w:spacing w:line="240" w:lineRule="atLeast"/>
      <w:ind w:left="420" w:firstLine="420"/>
    </w:pPr>
    <w:rPr>
      <w:sz w:val="24"/>
    </w:rPr>
  </w:style>
  <w:style w:type="paragraph" w:customStyle="1" w:styleId="717">
    <w:name w:val="WW-正文文字缩进 2"/>
    <w:basedOn w:val="1"/>
    <w:qFormat/>
    <w:uiPriority w:val="0"/>
    <w:pPr>
      <w:suppressAutoHyphens/>
      <w:adjustRightInd/>
      <w:ind w:firstLine="420"/>
    </w:pPr>
    <w:rPr>
      <w:kern w:val="1"/>
      <w:szCs w:val="20"/>
    </w:rPr>
  </w:style>
  <w:style w:type="paragraph" w:customStyle="1" w:styleId="718">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0">
    <w:name w:val="有符号正文"/>
    <w:basedOn w:val="1"/>
    <w:qFormat/>
    <w:uiPriority w:val="0"/>
    <w:pPr>
      <w:adjustRightInd/>
      <w:spacing w:line="400" w:lineRule="exact"/>
      <w:ind w:firstLine="200" w:firstLineChars="200"/>
    </w:pPr>
    <w:rPr>
      <w:rFonts w:ascii="Arial" w:hAnsi="Arial"/>
    </w:rPr>
  </w:style>
  <w:style w:type="paragraph" w:customStyle="1" w:styleId="721">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3">
    <w:name w:val="4"/>
    <w:basedOn w:val="1"/>
    <w:next w:val="39"/>
    <w:qFormat/>
    <w:uiPriority w:val="0"/>
    <w:pPr>
      <w:spacing w:after="120" w:line="480" w:lineRule="auto"/>
      <w:ind w:left="420" w:leftChars="200"/>
    </w:pPr>
    <w:rPr>
      <w:sz w:val="24"/>
      <w:szCs w:val="20"/>
    </w:rPr>
  </w:style>
  <w:style w:type="paragraph" w:customStyle="1" w:styleId="724">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6"/>
    <w:qFormat/>
    <w:uiPriority w:val="0"/>
    <w:pPr>
      <w:keepLines w:val="0"/>
      <w:spacing w:before="0" w:after="0" w:line="240" w:lineRule="auto"/>
      <w:jc w:val="left"/>
    </w:pPr>
    <w:rPr>
      <w:rFonts w:cs="宋体"/>
      <w:sz w:val="21"/>
      <w:szCs w:val="20"/>
    </w:rPr>
  </w:style>
  <w:style w:type="paragraph" w:customStyle="1" w:styleId="72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28">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9">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1">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qFormat/>
    <w:uiPriority w:val="0"/>
    <w:rPr>
      <w:rFonts w:ascii="仿宋_GB2312" w:eastAsia="仿宋_GB2312"/>
      <w:b/>
      <w:sz w:val="32"/>
      <w:szCs w:val="20"/>
    </w:rPr>
  </w:style>
  <w:style w:type="paragraph" w:customStyle="1" w:styleId="733">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5">
    <w:name w:val="Picture"/>
    <w:basedOn w:val="1"/>
    <w:next w:val="17"/>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qFormat/>
    <w:uiPriority w:val="0"/>
    <w:rPr>
      <w:rFonts w:ascii="仿宋_GB2312" w:eastAsia="仿宋_GB2312"/>
      <w:b/>
      <w:sz w:val="32"/>
      <w:szCs w:val="32"/>
    </w:rPr>
  </w:style>
  <w:style w:type="paragraph" w:customStyle="1" w:styleId="737">
    <w:name w:val="Char3 Char Char Char1"/>
    <w:basedOn w:val="1"/>
    <w:qFormat/>
    <w:uiPriority w:val="6"/>
    <w:pPr>
      <w:widowControl/>
      <w:adjustRightInd/>
      <w:spacing w:after="160" w:line="240" w:lineRule="exact"/>
      <w:jc w:val="left"/>
    </w:pPr>
    <w:rPr>
      <w:szCs w:val="20"/>
    </w:rPr>
  </w:style>
  <w:style w:type="paragraph" w:customStyle="1" w:styleId="738">
    <w:name w:val="Char1 Char Char Char21"/>
    <w:basedOn w:val="1"/>
    <w:qFormat/>
    <w:uiPriority w:val="0"/>
    <w:rPr>
      <w:rFonts w:ascii="Tahoma" w:hAnsi="Tahoma"/>
      <w:sz w:val="24"/>
      <w:szCs w:val="20"/>
    </w:rPr>
  </w:style>
  <w:style w:type="paragraph" w:customStyle="1" w:styleId="739">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0">
    <w:name w:val="正文（标题三）"/>
    <w:basedOn w:val="1"/>
    <w:qFormat/>
    <w:uiPriority w:val="0"/>
    <w:pPr>
      <w:spacing w:line="360" w:lineRule="auto"/>
      <w:ind w:firstLine="200" w:firstLineChars="200"/>
    </w:pPr>
    <w:rPr>
      <w:sz w:val="24"/>
    </w:rPr>
  </w:style>
  <w:style w:type="paragraph" w:customStyle="1" w:styleId="74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2">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4">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qFormat/>
    <w:uiPriority w:val="0"/>
    <w:pPr>
      <w:adjustRightInd/>
      <w:ind w:firstLine="200" w:firstLineChars="200"/>
    </w:pPr>
    <w:rPr>
      <w:rFonts w:ascii="Tahoma" w:hAnsi="Tahoma"/>
      <w:sz w:val="24"/>
      <w:szCs w:val="20"/>
    </w:rPr>
  </w:style>
  <w:style w:type="paragraph" w:customStyle="1" w:styleId="747">
    <w:name w:val="_标题2"/>
    <w:basedOn w:val="714"/>
    <w:next w:val="714"/>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8">
    <w:name w:val="样式1 + (中宋体"/>
    <w:basedOn w:val="725"/>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qFormat/>
    <w:uiPriority w:val="0"/>
    <w:pPr>
      <w:adjustRightInd/>
      <w:spacing w:line="360" w:lineRule="auto"/>
    </w:pPr>
    <w:rPr>
      <w:rFonts w:ascii="宋体" w:hAnsi="宋体"/>
      <w:szCs w:val="20"/>
    </w:rPr>
  </w:style>
  <w:style w:type="paragraph" w:customStyle="1" w:styleId="753">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qFormat/>
    <w:uiPriority w:val="0"/>
    <w:pPr>
      <w:adjustRightInd/>
    </w:pPr>
    <w:rPr>
      <w:rFonts w:ascii="Tahoma" w:hAnsi="Tahoma"/>
      <w:sz w:val="24"/>
    </w:rPr>
  </w:style>
  <w:style w:type="paragraph" w:customStyle="1" w:styleId="755">
    <w:name w:val="Char Char Char Char11"/>
    <w:basedOn w:val="1"/>
    <w:qFormat/>
    <w:uiPriority w:val="0"/>
    <w:rPr>
      <w:rFonts w:ascii="Tahoma" w:hAnsi="Tahoma"/>
      <w:sz w:val="24"/>
      <w:szCs w:val="20"/>
    </w:rPr>
  </w:style>
  <w:style w:type="paragraph" w:customStyle="1" w:styleId="756">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qFormat/>
    <w:uiPriority w:val="0"/>
    <w:rPr>
      <w:rFonts w:ascii="Tahoma" w:hAnsi="Tahoma"/>
      <w:sz w:val="24"/>
      <w:szCs w:val="20"/>
    </w:rPr>
  </w:style>
  <w:style w:type="paragraph" w:customStyle="1" w:styleId="758">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qFormat/>
    <w:uiPriority w:val="0"/>
    <w:pPr>
      <w:adjustRightInd/>
    </w:pPr>
    <w:rPr>
      <w:szCs w:val="20"/>
    </w:rPr>
  </w:style>
  <w:style w:type="paragraph" w:customStyle="1" w:styleId="760">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2">
    <w:name w:val="_Style 5"/>
    <w:basedOn w:val="1"/>
    <w:qFormat/>
    <w:uiPriority w:val="34"/>
    <w:pPr>
      <w:adjustRightInd/>
      <w:ind w:firstLine="420" w:firstLineChars="200"/>
    </w:pPr>
    <w:rPr>
      <w:rFonts w:eastAsia="仿宋_GB2312"/>
      <w:sz w:val="28"/>
    </w:rPr>
  </w:style>
  <w:style w:type="paragraph" w:customStyle="1" w:styleId="763">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qFormat/>
    <w:uiPriority w:val="0"/>
    <w:rPr>
      <w:rFonts w:ascii="Times New Roman" w:hAnsi="Times New Roman" w:eastAsia="宋体" w:cs="Times New Roman"/>
      <w:kern w:val="2"/>
      <w:sz w:val="21"/>
      <w:szCs w:val="24"/>
      <w:lang w:val="en-US" w:eastAsia="zh-CN" w:bidi="ar-SA"/>
    </w:rPr>
  </w:style>
  <w:style w:type="paragraph" w:customStyle="1" w:styleId="767">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8">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qFormat/>
    <w:uiPriority w:val="0"/>
    <w:rPr>
      <w:rFonts w:ascii="Times New Roman" w:hAnsi="Times New Roman" w:eastAsia="宋体" w:cs="Times New Roman"/>
      <w:kern w:val="2"/>
      <w:sz w:val="21"/>
      <w:lang w:val="en-US" w:eastAsia="zh-CN" w:bidi="ar-SA"/>
    </w:rPr>
  </w:style>
  <w:style w:type="paragraph" w:customStyle="1" w:styleId="770">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1">
    <w:name w:val="无间隔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qFormat/>
    <w:uiPriority w:val="0"/>
    <w:rPr>
      <w:rFonts w:ascii="宋体" w:hAnsi="Times New Roman" w:eastAsia="宋体" w:cs="Times New Roman"/>
      <w:kern w:val="2"/>
      <w:lang w:val="en-US" w:eastAsia="zh-CN" w:bidi="ar-SA"/>
    </w:rPr>
  </w:style>
  <w:style w:type="paragraph" w:customStyle="1" w:styleId="773">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qFormat/>
    <w:uiPriority w:val="0"/>
    <w:pPr>
      <w:tabs>
        <w:tab w:val="left" w:pos="360"/>
      </w:tabs>
    </w:pPr>
    <w:rPr>
      <w:sz w:val="24"/>
      <w:szCs w:val="20"/>
    </w:rPr>
  </w:style>
  <w:style w:type="paragraph" w:customStyle="1" w:styleId="777">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4"/>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3">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5">
    <w:name w:val="p0"/>
    <w:basedOn w:val="1"/>
    <w:qFormat/>
    <w:uiPriority w:val="0"/>
    <w:pPr>
      <w:widowControl/>
      <w:adjustRightInd/>
    </w:pPr>
    <w:rPr>
      <w:kern w:val="0"/>
      <w:szCs w:val="21"/>
    </w:rPr>
  </w:style>
  <w:style w:type="paragraph" w:customStyle="1" w:styleId="786">
    <w:name w:val="Char6"/>
    <w:basedOn w:val="1"/>
    <w:qFormat/>
    <w:uiPriority w:val="0"/>
    <w:rPr>
      <w:rFonts w:ascii="仿宋_GB2312" w:eastAsia="仿宋_GB2312"/>
      <w:b/>
      <w:sz w:val="32"/>
      <w:szCs w:val="32"/>
    </w:rPr>
  </w:style>
  <w:style w:type="paragraph" w:customStyle="1" w:styleId="787">
    <w:name w:val="Char111"/>
    <w:basedOn w:val="1"/>
    <w:qFormat/>
    <w:uiPriority w:val="0"/>
    <w:rPr>
      <w:rFonts w:ascii="仿宋_GB2312" w:eastAsia="仿宋_GB2312"/>
      <w:b/>
      <w:sz w:val="32"/>
      <w:szCs w:val="32"/>
    </w:rPr>
  </w:style>
  <w:style w:type="paragraph" w:customStyle="1" w:styleId="788">
    <w:name w:val="标题3"/>
    <w:basedOn w:val="6"/>
    <w:next w:val="54"/>
    <w:qFormat/>
    <w:uiPriority w:val="0"/>
    <w:pPr>
      <w:tabs>
        <w:tab w:val="clear" w:pos="900"/>
      </w:tabs>
      <w:spacing w:after="0" w:line="360" w:lineRule="auto"/>
    </w:pPr>
    <w:rPr>
      <w:rFonts w:ascii="仿宋" w:hAnsi="仿宋" w:eastAsia="仿宋" w:cs="仿宋"/>
    </w:rPr>
  </w:style>
  <w:style w:type="paragraph" w:customStyle="1" w:styleId="789">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qFormat/>
    <w:uiPriority w:val="0"/>
    <w:pPr>
      <w:adjustRightInd/>
      <w:ind w:firstLine="200" w:firstLineChars="200"/>
    </w:pPr>
    <w:rPr>
      <w:rFonts w:ascii="Tahoma" w:hAnsi="Tahoma"/>
      <w:sz w:val="24"/>
      <w:szCs w:val="20"/>
    </w:rPr>
  </w:style>
  <w:style w:type="paragraph" w:customStyle="1" w:styleId="792">
    <w:name w:val="列出段落11"/>
    <w:basedOn w:val="1"/>
    <w:qFormat/>
    <w:uiPriority w:val="0"/>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4">
    <w:name w:val="Char Char Char Char Char Char Char2"/>
    <w:basedOn w:val="1"/>
    <w:qFormat/>
    <w:uiPriority w:val="0"/>
    <w:rPr>
      <w:rFonts w:ascii="仿宋_GB2312" w:eastAsia="仿宋_GB2312"/>
      <w:b/>
      <w:sz w:val="32"/>
      <w:szCs w:val="32"/>
    </w:rPr>
  </w:style>
  <w:style w:type="paragraph" w:customStyle="1" w:styleId="795">
    <w:name w:val="五级条标题"/>
    <w:basedOn w:val="796"/>
    <w:next w:val="641"/>
    <w:qFormat/>
    <w:uiPriority w:val="0"/>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qFormat/>
    <w:uiPriority w:val="0"/>
    <w:pPr>
      <w:tabs>
        <w:tab w:val="left" w:pos="2940"/>
        <w:tab w:val="clear" w:pos="2520"/>
      </w:tabs>
      <w:ind w:left="2940"/>
      <w:outlineLvl w:val="5"/>
    </w:pPr>
  </w:style>
  <w:style w:type="paragraph" w:customStyle="1" w:styleId="797">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qFormat/>
    <w:uiPriority w:val="0"/>
    <w:rPr>
      <w:rFonts w:ascii="仿宋_GB2312" w:eastAsia="仿宋_GB2312"/>
      <w:b/>
      <w:sz w:val="32"/>
      <w:szCs w:val="32"/>
    </w:rPr>
  </w:style>
  <w:style w:type="paragraph" w:customStyle="1" w:styleId="799">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1">
    <w:name w:val="首行缩进"/>
    <w:basedOn w:val="1"/>
    <w:qFormat/>
    <w:uiPriority w:val="0"/>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3">
    <w:name w:val="单元格左对齐"/>
    <w:basedOn w:val="1"/>
    <w:qFormat/>
    <w:uiPriority w:val="0"/>
    <w:pPr>
      <w:adjustRightInd/>
      <w:spacing w:line="360" w:lineRule="auto"/>
    </w:pPr>
    <w:rPr>
      <w:sz w:val="24"/>
    </w:rPr>
  </w:style>
  <w:style w:type="paragraph" w:customStyle="1" w:styleId="804">
    <w:name w:val="正文主体"/>
    <w:basedOn w:val="625"/>
    <w:qFormat/>
    <w:uiPriority w:val="0"/>
  </w:style>
  <w:style w:type="paragraph" w:customStyle="1" w:styleId="805">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6">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7">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qFormat/>
    <w:uiPriority w:val="0"/>
    <w:pPr>
      <w:adjustRightInd/>
      <w:spacing w:line="360" w:lineRule="auto"/>
      <w:ind w:firstLine="480" w:firstLineChars="200"/>
    </w:pPr>
    <w:rPr>
      <w:sz w:val="24"/>
      <w:szCs w:val="20"/>
    </w:rPr>
  </w:style>
  <w:style w:type="paragraph" w:customStyle="1" w:styleId="809">
    <w:name w:val="P1"/>
    <w:basedOn w:val="1"/>
    <w:qFormat/>
    <w:uiPriority w:val="0"/>
    <w:pPr>
      <w:adjustRightInd/>
      <w:spacing w:line="288" w:lineRule="auto"/>
      <w:ind w:firstLine="425" w:firstLineChars="200"/>
    </w:pPr>
  </w:style>
  <w:style w:type="paragraph" w:customStyle="1" w:styleId="810">
    <w:name w:val="列表内容"/>
    <w:basedOn w:val="1"/>
    <w:next w:val="1"/>
    <w:qFormat/>
    <w:uiPriority w:val="0"/>
    <w:pPr>
      <w:widowControl/>
      <w:tabs>
        <w:tab w:val="left" w:pos="840"/>
      </w:tabs>
      <w:ind w:left="840" w:hanging="420"/>
      <w:jc w:val="left"/>
    </w:pPr>
    <w:rPr>
      <w:kern w:val="0"/>
      <w:sz w:val="18"/>
    </w:rPr>
  </w:style>
  <w:style w:type="paragraph" w:customStyle="1" w:styleId="811">
    <w:name w:val="Char Char11 Char Char Char1"/>
    <w:basedOn w:val="1"/>
    <w:qFormat/>
    <w:uiPriority w:val="6"/>
    <w:pPr>
      <w:spacing w:line="360" w:lineRule="auto"/>
    </w:pPr>
    <w:rPr>
      <w:szCs w:val="20"/>
    </w:rPr>
  </w:style>
  <w:style w:type="paragraph" w:customStyle="1" w:styleId="812">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3">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4">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6">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qFormat/>
    <w:uiPriority w:val="0"/>
    <w:pPr>
      <w:spacing w:line="360" w:lineRule="auto"/>
    </w:pPr>
    <w:rPr>
      <w:szCs w:val="20"/>
    </w:rPr>
  </w:style>
  <w:style w:type="paragraph" w:customStyle="1" w:styleId="818">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19">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qFormat/>
    <w:uiPriority w:val="0"/>
    <w:rPr>
      <w:rFonts w:ascii="仿宋_GB2312" w:eastAsia="仿宋_GB2312"/>
      <w:b/>
      <w:sz w:val="32"/>
      <w:szCs w:val="32"/>
    </w:rPr>
  </w:style>
  <w:style w:type="paragraph" w:customStyle="1" w:styleId="821">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3">
    <w:name w:val="正文 首行缩进:  2 字符 Char"/>
    <w:basedOn w:val="1"/>
    <w:qFormat/>
    <w:uiPriority w:val="0"/>
    <w:pPr>
      <w:adjustRightInd/>
      <w:spacing w:line="360" w:lineRule="auto"/>
      <w:ind w:firstLine="480"/>
    </w:pPr>
    <w:rPr>
      <w:rFonts w:cs="宋体"/>
      <w:sz w:val="24"/>
      <w:szCs w:val="20"/>
    </w:rPr>
  </w:style>
  <w:style w:type="paragraph" w:customStyle="1" w:styleId="824">
    <w:name w:val="Char Char4 Char Char"/>
    <w:basedOn w:val="1"/>
    <w:qFormat/>
    <w:uiPriority w:val="0"/>
    <w:pPr>
      <w:widowControl/>
      <w:adjustRightInd/>
      <w:spacing w:after="160" w:line="240" w:lineRule="exact"/>
      <w:jc w:val="left"/>
    </w:pPr>
  </w:style>
  <w:style w:type="paragraph" w:customStyle="1" w:styleId="825">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qFormat/>
    <w:uiPriority w:val="0"/>
    <w:pPr>
      <w:spacing w:line="360" w:lineRule="auto"/>
    </w:pPr>
    <w:rPr>
      <w:szCs w:val="20"/>
    </w:rPr>
  </w:style>
  <w:style w:type="paragraph" w:customStyle="1" w:styleId="827">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9">
    <w:name w:val="数字标题4"/>
    <w:basedOn w:val="7"/>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1">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2">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qFormat/>
    <w:uiPriority w:val="0"/>
    <w:pPr>
      <w:adjustRightInd/>
      <w:ind w:firstLine="200" w:firstLineChars="200"/>
    </w:pPr>
    <w:rPr>
      <w:rFonts w:ascii="Tahoma" w:hAnsi="Tahoma"/>
      <w:sz w:val="24"/>
      <w:szCs w:val="20"/>
    </w:rPr>
  </w:style>
  <w:style w:type="paragraph" w:customStyle="1" w:styleId="834">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5">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qFormat/>
    <w:uiPriority w:val="0"/>
    <w:pPr>
      <w:tabs>
        <w:tab w:val="left" w:pos="0"/>
      </w:tabs>
      <w:ind w:left="900" w:firstLine="0" w:firstLineChars="0"/>
    </w:pPr>
  </w:style>
  <w:style w:type="paragraph" w:customStyle="1" w:styleId="837">
    <w:name w:val="Bulleted List"/>
    <w:basedOn w:val="1"/>
    <w:qFormat/>
    <w:uiPriority w:val="0"/>
    <w:pPr>
      <w:tabs>
        <w:tab w:val="left" w:pos="1260"/>
      </w:tabs>
      <w:adjustRightInd/>
      <w:ind w:left="1260" w:hanging="420"/>
    </w:pPr>
  </w:style>
  <w:style w:type="paragraph" w:customStyle="1" w:styleId="838">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39">
    <w:name w:val="样式 左侧:  0.85 厘米"/>
    <w:basedOn w:val="1"/>
    <w:qFormat/>
    <w:uiPriority w:val="2"/>
    <w:pPr>
      <w:adjustRightInd/>
      <w:spacing w:line="360" w:lineRule="auto"/>
    </w:pPr>
    <w:rPr>
      <w:rFonts w:cs="宋体"/>
      <w:sz w:val="24"/>
      <w:szCs w:val="20"/>
    </w:rPr>
  </w:style>
  <w:style w:type="paragraph" w:customStyle="1" w:styleId="840">
    <w:name w:val="Char Char Char Char Char Char Char Char Char Char Char Char1 Char"/>
    <w:basedOn w:val="1"/>
    <w:qFormat/>
    <w:uiPriority w:val="0"/>
    <w:rPr>
      <w:rFonts w:ascii="Tahoma" w:hAnsi="Tahoma" w:cs="仿宋_GB2312"/>
      <w:sz w:val="24"/>
      <w:szCs w:val="20"/>
    </w:rPr>
  </w:style>
  <w:style w:type="paragraph" w:customStyle="1" w:styleId="841">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3">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qFormat/>
    <w:uiPriority w:val="0"/>
    <w:rPr>
      <w:rFonts w:ascii="仿宋_GB2312" w:eastAsia="仿宋_GB2312"/>
      <w:b/>
      <w:sz w:val="32"/>
      <w:szCs w:val="20"/>
    </w:rPr>
  </w:style>
  <w:style w:type="paragraph" w:customStyle="1" w:styleId="846">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qFormat/>
    <w:uiPriority w:val="0"/>
    <w:rPr>
      <w:rFonts w:ascii="仿宋_GB2312" w:eastAsia="仿宋_GB2312"/>
      <w:b/>
      <w:sz w:val="32"/>
      <w:szCs w:val="20"/>
    </w:rPr>
  </w:style>
  <w:style w:type="paragraph" w:customStyle="1" w:styleId="848">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0">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5">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qFormat/>
    <w:uiPriority w:val="0"/>
    <w:pPr>
      <w:adjustRightInd/>
    </w:pPr>
    <w:rPr>
      <w:rFonts w:ascii="仿宋_GB2312" w:eastAsia="仿宋_GB2312"/>
      <w:b/>
      <w:sz w:val="32"/>
      <w:szCs w:val="32"/>
    </w:rPr>
  </w:style>
  <w:style w:type="paragraph" w:customStyle="1" w:styleId="858">
    <w:name w:val="样式 标题 3h33rd level3Heading 3 - oldH3l3CTheading 3Headin..."/>
    <w:basedOn w:val="6"/>
    <w:qFormat/>
    <w:uiPriority w:val="0"/>
    <w:pPr>
      <w:snapToGrid w:val="0"/>
      <w:ind w:left="0" w:firstLine="0"/>
      <w:jc w:val="left"/>
    </w:pPr>
    <w:rPr>
      <w:rFonts w:eastAsia="黑体" w:cs="宋体"/>
      <w:sz w:val="28"/>
      <w:szCs w:val="20"/>
    </w:rPr>
  </w:style>
  <w:style w:type="paragraph" w:customStyle="1" w:styleId="859">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qFormat/>
    <w:uiPriority w:val="0"/>
    <w:pPr>
      <w:widowControl/>
      <w:spacing w:after="160" w:line="240" w:lineRule="exact"/>
      <w:jc w:val="left"/>
    </w:pPr>
    <w:rPr>
      <w:rFonts w:eastAsia="仿宋_GB2312"/>
      <w:sz w:val="28"/>
    </w:rPr>
  </w:style>
  <w:style w:type="paragraph" w:customStyle="1" w:styleId="862">
    <w:name w:val="Char21"/>
    <w:basedOn w:val="1"/>
    <w:qFormat/>
    <w:uiPriority w:val="0"/>
    <w:pPr>
      <w:adjustRightInd/>
      <w:ind w:firstLine="200" w:firstLineChars="200"/>
    </w:pPr>
    <w:rPr>
      <w:rFonts w:ascii="仿宋_GB2312" w:eastAsia="仿宋_GB2312"/>
      <w:b/>
      <w:sz w:val="32"/>
      <w:szCs w:val="32"/>
    </w:rPr>
  </w:style>
  <w:style w:type="paragraph" w:customStyle="1" w:styleId="863">
    <w:name w:val="列表段落1"/>
    <w:basedOn w:val="1"/>
    <w:qFormat/>
    <w:uiPriority w:val="34"/>
    <w:pPr>
      <w:adjustRightInd/>
      <w:ind w:right="238" w:firstLine="420"/>
    </w:pPr>
    <w:rPr>
      <w:rFonts w:ascii="Calibri" w:hAnsi="Calibri"/>
      <w:sz w:val="24"/>
    </w:rPr>
  </w:style>
  <w:style w:type="paragraph" w:customStyle="1" w:styleId="864">
    <w:name w:val="Char Char110"/>
    <w:basedOn w:val="1"/>
    <w:qFormat/>
    <w:uiPriority w:val="6"/>
    <w:pPr>
      <w:spacing w:line="360" w:lineRule="auto"/>
    </w:pPr>
    <w:rPr>
      <w:rFonts w:ascii="Tahoma" w:hAnsi="Tahoma"/>
      <w:sz w:val="24"/>
      <w:szCs w:val="20"/>
    </w:rPr>
  </w:style>
  <w:style w:type="paragraph" w:customStyle="1" w:styleId="865">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7">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qFormat/>
    <w:uiPriority w:val="0"/>
    <w:rPr>
      <w:rFonts w:ascii="Tahoma" w:hAnsi="Tahoma" w:cs="仿宋_GB2312"/>
      <w:sz w:val="24"/>
      <w:szCs w:val="20"/>
    </w:rPr>
  </w:style>
  <w:style w:type="paragraph" w:customStyle="1" w:styleId="870">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2">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4">
    <w:name w:val="_Style 12"/>
    <w:basedOn w:val="19"/>
    <w:qFormat/>
    <w:uiPriority w:val="0"/>
    <w:pPr>
      <w:snapToGrid w:val="0"/>
      <w:spacing w:line="360" w:lineRule="auto"/>
    </w:pPr>
  </w:style>
  <w:style w:type="paragraph" w:customStyle="1" w:styleId="875">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6">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59"/>
    <w:qFormat/>
    <w:uiPriority w:val="34"/>
    <w:pPr>
      <w:adjustRightInd/>
      <w:spacing w:line="360" w:lineRule="auto"/>
      <w:ind w:firstLine="200" w:firstLineChars="200"/>
    </w:pPr>
    <w:rPr>
      <w:rFonts w:ascii="Calibri" w:hAnsi="Calibri"/>
      <w:sz w:val="28"/>
      <w:szCs w:val="20"/>
    </w:rPr>
  </w:style>
  <w:style w:type="paragraph" w:customStyle="1" w:styleId="878">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0">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qFormat/>
    <w:uiPriority w:val="0"/>
    <w:pPr>
      <w:outlineLvl w:val="2"/>
    </w:pPr>
  </w:style>
  <w:style w:type="paragraph" w:customStyle="1" w:styleId="882">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qFormat/>
    <w:uiPriority w:val="0"/>
    <w:pPr>
      <w:adjustRightInd/>
      <w:ind w:firstLine="200" w:firstLineChars="200"/>
    </w:pPr>
    <w:rPr>
      <w:rFonts w:ascii="Tahoma" w:hAnsi="Tahoma"/>
      <w:sz w:val="24"/>
      <w:szCs w:val="20"/>
    </w:rPr>
  </w:style>
  <w:style w:type="paragraph" w:customStyle="1" w:styleId="884">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5">
    <w:name w:val="MM Empty"/>
    <w:basedOn w:val="1"/>
    <w:qFormat/>
    <w:uiPriority w:val="0"/>
    <w:pPr>
      <w:adjustRightInd/>
    </w:pPr>
  </w:style>
  <w:style w:type="paragraph" w:customStyle="1" w:styleId="886">
    <w:name w:val="Char24"/>
    <w:basedOn w:val="1"/>
    <w:qFormat/>
    <w:uiPriority w:val="0"/>
    <w:rPr>
      <w:rFonts w:ascii="仿宋_GB2312" w:eastAsia="仿宋_GB2312"/>
      <w:b/>
      <w:sz w:val="32"/>
      <w:szCs w:val="32"/>
    </w:rPr>
  </w:style>
  <w:style w:type="paragraph" w:customStyle="1" w:styleId="887">
    <w:name w:val="正文箭头"/>
    <w:basedOn w:val="539"/>
    <w:qFormat/>
    <w:uiPriority w:val="0"/>
  </w:style>
  <w:style w:type="paragraph" w:customStyle="1" w:styleId="888">
    <w:name w:val="U_编号2"/>
    <w:basedOn w:val="1"/>
    <w:qFormat/>
    <w:uiPriority w:val="0"/>
    <w:pPr>
      <w:tabs>
        <w:tab w:val="left" w:pos="785"/>
      </w:tabs>
      <w:adjustRightInd/>
      <w:spacing w:beforeLines="10" w:afterLines="10" w:line="300" w:lineRule="auto"/>
    </w:pPr>
    <w:rPr>
      <w:sz w:val="24"/>
    </w:rPr>
  </w:style>
  <w:style w:type="paragraph" w:customStyle="1" w:styleId="889">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qFormat/>
    <w:uiPriority w:val="34"/>
    <w:pPr>
      <w:adjustRightInd/>
      <w:ind w:firstLine="420" w:firstLineChars="200"/>
    </w:pPr>
    <w:rPr>
      <w:rFonts w:eastAsia="仿宋_GB2312"/>
      <w:sz w:val="28"/>
    </w:rPr>
  </w:style>
  <w:style w:type="paragraph" w:customStyle="1" w:styleId="894">
    <w:name w:val="表格 内容"/>
    <w:basedOn w:val="730"/>
    <w:qFormat/>
    <w:uiPriority w:val="0"/>
    <w:rPr>
      <w:b w:val="0"/>
      <w:sz w:val="20"/>
    </w:rPr>
  </w:style>
  <w:style w:type="paragraph" w:customStyle="1" w:styleId="895">
    <w:name w:val="正文首行缩进1"/>
    <w:basedOn w:val="25"/>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7">
    <w:name w:val="数字标题5"/>
    <w:basedOn w:val="8"/>
    <w:next w:val="1"/>
    <w:qFormat/>
    <w:uiPriority w:val="0"/>
    <w:pPr>
      <w:tabs>
        <w:tab w:val="left" w:pos="1080"/>
      </w:tabs>
      <w:ind w:left="1080" w:hanging="1080"/>
    </w:pPr>
  </w:style>
  <w:style w:type="paragraph" w:customStyle="1" w:styleId="898">
    <w:name w:val="数字标题1"/>
    <w:basedOn w:val="2"/>
    <w:next w:val="1"/>
    <w:qFormat/>
    <w:uiPriority w:val="0"/>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qFormat/>
    <w:uiPriority w:val="0"/>
    <w:pPr>
      <w:widowControl/>
    </w:pPr>
    <w:rPr>
      <w:kern w:val="0"/>
      <w:sz w:val="24"/>
      <w:szCs w:val="20"/>
    </w:rPr>
  </w:style>
  <w:style w:type="paragraph" w:customStyle="1" w:styleId="906">
    <w:name w:val="Char Char113"/>
    <w:basedOn w:val="1"/>
    <w:qFormat/>
    <w:uiPriority w:val="0"/>
    <w:pPr>
      <w:widowControl/>
      <w:spacing w:after="160" w:line="240" w:lineRule="exact"/>
      <w:jc w:val="left"/>
    </w:pPr>
    <w:rPr>
      <w:rFonts w:eastAsia="仿宋_GB2312"/>
      <w:sz w:val="28"/>
    </w:rPr>
  </w:style>
  <w:style w:type="paragraph" w:customStyle="1" w:styleId="907">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8">
    <w:name w:val="_Style 8"/>
    <w:basedOn w:val="1"/>
    <w:qFormat/>
    <w:uiPriority w:val="34"/>
    <w:pPr>
      <w:adjustRightInd/>
      <w:ind w:firstLine="420" w:firstLineChars="200"/>
    </w:pPr>
    <w:rPr>
      <w:rFonts w:eastAsia="仿宋_GB2312"/>
      <w:sz w:val="2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1">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qFormat/>
    <w:uiPriority w:val="6"/>
    <w:pPr>
      <w:widowControl/>
      <w:spacing w:after="160" w:line="240" w:lineRule="exact"/>
      <w:jc w:val="left"/>
    </w:pPr>
    <w:rPr>
      <w:rFonts w:eastAsia="仿宋_GB2312"/>
      <w:sz w:val="28"/>
    </w:rPr>
  </w:style>
  <w:style w:type="paragraph" w:customStyle="1" w:styleId="915">
    <w:name w:val="正文 图"/>
    <w:basedOn w:val="444"/>
    <w:qFormat/>
    <w:uiPriority w:val="0"/>
    <w:pPr>
      <w:adjustRightInd/>
      <w:spacing w:before="0"/>
      <w:ind w:firstLine="0"/>
      <w:jc w:val="center"/>
    </w:pPr>
    <w:rPr>
      <w:rFonts w:ascii="微软雅黑" w:hAnsi="微软雅黑"/>
    </w:rPr>
  </w:style>
  <w:style w:type="paragraph" w:customStyle="1" w:styleId="916">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qFormat/>
    <w:uiPriority w:val="0"/>
    <w:pPr>
      <w:ind w:left="0"/>
    </w:pPr>
  </w:style>
  <w:style w:type="paragraph" w:customStyle="1" w:styleId="919">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1">
    <w:name w:val="注释"/>
    <w:basedOn w:val="1"/>
    <w:qFormat/>
    <w:uiPriority w:val="0"/>
    <w:pPr>
      <w:adjustRightInd/>
      <w:spacing w:line="360" w:lineRule="auto"/>
      <w:ind w:firstLine="480"/>
    </w:pPr>
    <w:rPr>
      <w:sz w:val="24"/>
    </w:rPr>
  </w:style>
  <w:style w:type="table" w:customStyle="1" w:styleId="922">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6">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7">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8">
    <w:name w:val="列出段落111"/>
    <w:basedOn w:val="1"/>
    <w:qFormat/>
    <w:uiPriority w:val="34"/>
    <w:pPr>
      <w:ind w:firstLine="420" w:firstLineChars="200"/>
    </w:pPr>
  </w:style>
  <w:style w:type="character" w:customStyle="1" w:styleId="929">
    <w:name w:val="交叉引用"/>
    <w:qFormat/>
    <w:uiPriority w:val="1"/>
    <w:rPr>
      <w:rFonts w:ascii="Arial" w:hAnsi="Arial" w:eastAsia="黑体"/>
      <w:snapToGrid w:val="0"/>
      <w:color w:val="0000FF"/>
      <w:kern w:val="0"/>
      <w:sz w:val="20"/>
      <w:szCs w:val="21"/>
      <w:u w:val="single"/>
      <w:lang w:val="en-US" w:eastAsia="zh-CN"/>
    </w:rPr>
  </w:style>
  <w:style w:type="character" w:customStyle="1" w:styleId="930">
    <w:name w:val="正文缩进 字符1"/>
    <w:qFormat/>
    <w:uiPriority w:val="0"/>
    <w:rPr>
      <w:rFonts w:ascii="宋体" w:eastAsia="宋体"/>
      <w:snapToGrid w:val="0"/>
      <w:color w:val="000000"/>
      <w:kern w:val="28"/>
      <w:sz w:val="28"/>
      <w:lang w:val="en-US" w:eastAsia="zh-CN" w:bidi="ar-SA"/>
    </w:rPr>
  </w:style>
  <w:style w:type="character" w:customStyle="1" w:styleId="931">
    <w:name w:val="页脚 字符1"/>
    <w:qFormat/>
    <w:locked/>
    <w:uiPriority w:val="99"/>
    <w:rPr>
      <w:kern w:val="2"/>
      <w:sz w:val="18"/>
      <w:szCs w:val="18"/>
    </w:rPr>
  </w:style>
  <w:style w:type="character" w:customStyle="1" w:styleId="932">
    <w:name w:val="页眉 字符1"/>
    <w:qFormat/>
    <w:uiPriority w:val="99"/>
    <w:rPr>
      <w:kern w:val="2"/>
      <w:sz w:val="18"/>
      <w:szCs w:val="18"/>
    </w:rPr>
  </w:style>
  <w:style w:type="character" w:customStyle="1" w:styleId="933">
    <w:name w:val="尾注文本 字符"/>
    <w:link w:val="40"/>
    <w:qFormat/>
    <w:uiPriority w:val="0"/>
    <w:rPr>
      <w:kern w:val="2"/>
      <w:sz w:val="21"/>
      <w:szCs w:val="24"/>
      <w:lang w:val="zh-CN"/>
    </w:rPr>
  </w:style>
  <w:style w:type="character" w:customStyle="1" w:styleId="934">
    <w:name w:val="无间隔 字符"/>
    <w:link w:val="484"/>
    <w:qFormat/>
    <w:uiPriority w:val="99"/>
    <w:rPr>
      <w:kern w:val="2"/>
      <w:sz w:val="21"/>
      <w:szCs w:val="22"/>
    </w:rPr>
  </w:style>
  <w:style w:type="character" w:customStyle="1" w:styleId="935">
    <w:name w:val="标准文本 Char Char"/>
    <w:link w:val="936"/>
    <w:qFormat/>
    <w:uiPriority w:val="0"/>
    <w:rPr>
      <w:rFonts w:cs="宋体"/>
      <w:kern w:val="2"/>
      <w:sz w:val="24"/>
    </w:rPr>
  </w:style>
  <w:style w:type="paragraph" w:customStyle="1" w:styleId="936">
    <w:name w:val="标准文本"/>
    <w:basedOn w:val="1"/>
    <w:link w:val="935"/>
    <w:qFormat/>
    <w:uiPriority w:val="0"/>
    <w:pPr>
      <w:adjustRightInd/>
      <w:spacing w:line="360" w:lineRule="auto"/>
      <w:ind w:firstLine="480" w:firstLineChars="200"/>
    </w:pPr>
    <w:rPr>
      <w:rFonts w:cs="宋体"/>
      <w:sz w:val="24"/>
      <w:szCs w:val="20"/>
    </w:rPr>
  </w:style>
  <w:style w:type="character" w:customStyle="1" w:styleId="937">
    <w:name w:val="Char Char213"/>
    <w:qFormat/>
    <w:uiPriority w:val="0"/>
    <w:rPr>
      <w:rFonts w:eastAsia="Century Gothic"/>
      <w:b/>
      <w:bCs/>
      <w:kern w:val="44"/>
      <w:sz w:val="32"/>
      <w:szCs w:val="44"/>
      <w:lang w:val="en-US" w:eastAsia="zh-CN" w:bidi="ar-SA"/>
    </w:rPr>
  </w:style>
  <w:style w:type="character" w:customStyle="1" w:styleId="938">
    <w:name w:val="apple-style-span"/>
    <w:qFormat/>
    <w:uiPriority w:val="0"/>
    <w:rPr>
      <w:rFonts w:ascii="Arial" w:hAnsi="Arial" w:eastAsia="黑体" w:cs="Arial"/>
      <w:snapToGrid w:val="0"/>
      <w:kern w:val="0"/>
      <w:szCs w:val="21"/>
    </w:rPr>
  </w:style>
  <w:style w:type="character" w:customStyle="1" w:styleId="939">
    <w:name w:val="15"/>
    <w:qFormat/>
    <w:uiPriority w:val="0"/>
    <w:rPr>
      <w:rFonts w:hint="default" w:ascii="Calibri" w:hAnsi="Calibri"/>
      <w:color w:val="0000FF"/>
      <w:u w:val="single"/>
    </w:rPr>
  </w:style>
  <w:style w:type="character" w:customStyle="1" w:styleId="940">
    <w:name w:val="16"/>
    <w:qFormat/>
    <w:uiPriority w:val="0"/>
    <w:rPr>
      <w:rFonts w:hint="eastAsia" w:ascii="宋体" w:hAnsi="宋体" w:eastAsia="宋体"/>
      <w:color w:val="000000"/>
      <w:sz w:val="20"/>
      <w:szCs w:val="20"/>
    </w:rPr>
  </w:style>
  <w:style w:type="character" w:customStyle="1" w:styleId="941">
    <w:name w:val="edui-unclickable"/>
    <w:qFormat/>
    <w:uiPriority w:val="0"/>
    <w:rPr>
      <w:color w:val="808080"/>
    </w:rPr>
  </w:style>
  <w:style w:type="character" w:customStyle="1" w:styleId="942">
    <w:name w:val="tpc_content1"/>
    <w:qFormat/>
    <w:uiPriority w:val="0"/>
    <w:rPr>
      <w:sz w:val="20"/>
      <w:szCs w:val="20"/>
    </w:rPr>
  </w:style>
  <w:style w:type="character" w:customStyle="1" w:styleId="943">
    <w:name w:val="正文文本缩进 字符"/>
    <w:qFormat/>
    <w:uiPriority w:val="0"/>
    <w:rPr>
      <w:rFonts w:ascii="Century Gothic" w:hAnsi="Century Gothic" w:eastAsia="Century Gothic"/>
      <w:kern w:val="2"/>
      <w:sz w:val="24"/>
      <w:lang w:val="en-US" w:eastAsia="zh-CN" w:bidi="ar-SA"/>
    </w:rPr>
  </w:style>
  <w:style w:type="character" w:customStyle="1" w:styleId="944">
    <w:name w:val="正文文本 2 字符"/>
    <w:qFormat/>
    <w:uiPriority w:val="0"/>
    <w:rPr>
      <w:rFonts w:ascii="Arial" w:hAnsi="Arial" w:eastAsia="宋体"/>
      <w:kern w:val="2"/>
      <w:sz w:val="24"/>
      <w:szCs w:val="24"/>
      <w:lang w:val="en-US" w:eastAsia="zh-CN" w:bidi="ar-SA"/>
    </w:rPr>
  </w:style>
  <w:style w:type="character" w:customStyle="1" w:styleId="945">
    <w:name w:val="edui-clickable2"/>
    <w:qFormat/>
    <w:uiPriority w:val="0"/>
    <w:rPr>
      <w:color w:val="0000FF"/>
      <w:u w:val="single"/>
    </w:rPr>
  </w:style>
  <w:style w:type="character" w:customStyle="1" w:styleId="946">
    <w:name w:val="style1"/>
    <w:qFormat/>
    <w:uiPriority w:val="0"/>
    <w:rPr>
      <w:rFonts w:ascii="Arial" w:hAnsi="Arial" w:eastAsia="黑体" w:cs="Arial"/>
      <w:snapToGrid w:val="0"/>
      <w:kern w:val="0"/>
      <w:szCs w:val="21"/>
    </w:rPr>
  </w:style>
  <w:style w:type="character" w:customStyle="1" w:styleId="947">
    <w:name w:val="zbggtop11 style5"/>
    <w:qFormat/>
    <w:uiPriority w:val="0"/>
    <w:rPr>
      <w:rFonts w:ascii="Arial" w:hAnsi="Arial" w:eastAsia="黑体" w:cs="Arial"/>
      <w:snapToGrid w:val="0"/>
      <w:kern w:val="0"/>
      <w:szCs w:val="21"/>
    </w:rPr>
  </w:style>
  <w:style w:type="character" w:customStyle="1" w:styleId="948">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9">
    <w:name w:val="bulletintext1"/>
    <w:qFormat/>
    <w:uiPriority w:val="0"/>
    <w:rPr>
      <w:color w:val="000000"/>
      <w:sz w:val="18"/>
    </w:rPr>
  </w:style>
  <w:style w:type="paragraph" w:customStyle="1" w:styleId="950">
    <w:name w:val="_Style 947"/>
    <w:basedOn w:val="1"/>
    <w:next w:val="259"/>
    <w:qFormat/>
    <w:uiPriority w:val="34"/>
    <w:pPr>
      <w:adjustRightInd/>
      <w:ind w:firstLine="420" w:firstLineChars="200"/>
    </w:pPr>
  </w:style>
  <w:style w:type="paragraph" w:customStyle="1" w:styleId="951">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2">
    <w:name w:val="纯文本2"/>
    <w:basedOn w:val="1"/>
    <w:qFormat/>
    <w:uiPriority w:val="0"/>
    <w:pPr>
      <w:adjustRightInd/>
      <w:snapToGrid w:val="0"/>
      <w:jc w:val="left"/>
    </w:pPr>
    <w:rPr>
      <w:rFonts w:ascii="Century Gothic" w:hAnsi="楷体_GB2312" w:eastAsia="Century Gothic"/>
      <w:szCs w:val="20"/>
    </w:rPr>
  </w:style>
  <w:style w:type="paragraph" w:customStyle="1" w:styleId="953">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4">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5">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6">
    <w:name w:val="Blockquote"/>
    <w:basedOn w:val="1"/>
    <w:qFormat/>
    <w:uiPriority w:val="0"/>
    <w:pPr>
      <w:autoSpaceDE w:val="0"/>
      <w:autoSpaceDN w:val="0"/>
      <w:spacing w:before="100" w:after="100"/>
      <w:ind w:left="360" w:right="360"/>
      <w:jc w:val="left"/>
    </w:pPr>
    <w:rPr>
      <w:kern w:val="0"/>
      <w:sz w:val="24"/>
      <w:szCs w:val="20"/>
    </w:rPr>
  </w:style>
  <w:style w:type="paragraph" w:customStyle="1" w:styleId="957">
    <w:name w:val="p1"/>
    <w:basedOn w:val="1"/>
    <w:qFormat/>
    <w:uiPriority w:val="0"/>
    <w:pPr>
      <w:widowControl/>
      <w:adjustRightInd/>
      <w:jc w:val="left"/>
    </w:pPr>
    <w:rPr>
      <w:rFonts w:ascii=".PingFang SC" w:eastAsia=".PingFang SC"/>
      <w:color w:val="454545"/>
      <w:kern w:val="0"/>
      <w:sz w:val="18"/>
      <w:szCs w:val="18"/>
    </w:rPr>
  </w:style>
  <w:style w:type="paragraph" w:customStyle="1" w:styleId="958">
    <w:name w:val="Table Paragraph"/>
    <w:basedOn w:val="1"/>
    <w:qFormat/>
    <w:uiPriority w:val="0"/>
    <w:pPr>
      <w:adjustRightInd/>
      <w:jc w:val="left"/>
    </w:pPr>
    <w:rPr>
      <w:rFonts w:ascii="Calibri" w:hAnsi="Calibri"/>
      <w:kern w:val="0"/>
      <w:sz w:val="22"/>
      <w:szCs w:val="22"/>
      <w:lang w:eastAsia="en-US"/>
    </w:rPr>
  </w:style>
  <w:style w:type="paragraph" w:customStyle="1" w:styleId="95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0">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1">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2">
    <w:name w:val="ksfind_class_select1"/>
    <w:basedOn w:val="70"/>
    <w:qFormat/>
    <w:uiPriority w:val="0"/>
    <w:rPr>
      <w:color w:val="000000"/>
      <w:shd w:val="clear" w:color="auto" w:fill="EFD200"/>
    </w:rPr>
  </w:style>
  <w:style w:type="character" w:customStyle="1" w:styleId="963">
    <w:name w:val="font71"/>
    <w:qFormat/>
    <w:uiPriority w:val="0"/>
    <w:rPr>
      <w:rFonts w:hint="eastAsia" w:ascii="宋体" w:hAnsi="宋体" w:eastAsia="宋体" w:cs="宋体"/>
      <w:color w:val="000000"/>
      <w:sz w:val="22"/>
      <w:szCs w:val="22"/>
      <w:u w:val="none"/>
    </w:rPr>
  </w:style>
  <w:style w:type="character" w:customStyle="1" w:styleId="964">
    <w:name w:val="font91"/>
    <w:qFormat/>
    <w:uiPriority w:val="0"/>
    <w:rPr>
      <w:rFonts w:hint="eastAsia" w:ascii="仿宋" w:hAnsi="仿宋" w:eastAsia="仿宋" w:cs="仿宋"/>
      <w:color w:val="000000"/>
      <w:sz w:val="22"/>
      <w:szCs w:val="22"/>
      <w:u w:val="none"/>
    </w:rPr>
  </w:style>
  <w:style w:type="paragraph" w:customStyle="1" w:styleId="965">
    <w:name w:val="样式 标题 2 + Times New Roman 四号 非加粗 段前: 5 磅 段后: 0 磅 行距: 固定值 20..."/>
    <w:basedOn w:val="3"/>
    <w:qFormat/>
    <w:uiPriority w:val="0"/>
    <w:pPr>
      <w:tabs>
        <w:tab w:val="left" w:pos="1080"/>
        <w:tab w:val="clear" w:pos="432"/>
      </w:tabs>
      <w:spacing w:before="100" w:line="400" w:lineRule="exact"/>
    </w:pPr>
    <w:rPr>
      <w:rFonts w:ascii="Times New Roman" w:hAnsi="Times New Roman" w:eastAsia="黑体" w:cs="宋体"/>
      <w:b w:val="0"/>
      <w:sz w:val="28"/>
      <w:szCs w:val="20"/>
    </w:rPr>
  </w:style>
  <w:style w:type="paragraph" w:customStyle="1" w:styleId="966">
    <w:name w:val="p16"/>
    <w:basedOn w:val="1"/>
    <w:qFormat/>
    <w:uiPriority w:val="0"/>
    <w:pPr>
      <w:widowControl/>
      <w:spacing w:before="100" w:after="100"/>
      <w:jc w:val="left"/>
    </w:pPr>
    <w:rPr>
      <w:rFonts w:ascii="宋体" w:hAnsi="宋体" w:cs="宋体"/>
      <w:color w:val="000000"/>
      <w:kern w:val="0"/>
      <w:sz w:val="24"/>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footer" Target="footer10.xml"/><Relationship Id="rId16" Type="http://schemas.openxmlformats.org/officeDocument/2006/relationships/header" Target="header5.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103</Pages>
  <Words>22756</Words>
  <Characters>24042</Characters>
  <Lines>528</Lines>
  <Paragraphs>148</Paragraphs>
  <TotalTime>8</TotalTime>
  <ScaleCrop>false</ScaleCrop>
  <LinksUpToDate>false</LinksUpToDate>
  <CharactersWithSpaces>24503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2022-05-07T23:35:00Z</dcterms:created>
  <dc:creator>玥</dc:creator>
  <cp:lastModifiedBy>ZJZT-G</cp:lastModifiedBy>
  <cp:lastPrinted>2026-04-29T06:04:00Z</cp:lastPrinted>
  <dcterms:modified xsi:type="dcterms:W3CDTF">2026-05-12T07:59:36Z</dcterms:modified>
  <dc:title>杭州市市民卡扩大发卡工程</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4A46E0FCE2EA011A02E7BA67BE254928_43</vt:lpwstr>
  </property>
  <property fmtid="{D5CDD505-2E9C-101B-9397-08002B2CF9AE}" pid="5" name="commondata">
    <vt:lpwstr>eyJoZGlkIjoiNGNlMmFkMDQ1NDY0ZmRiM2Q0NjY4NTFjN2IwMTllYjMifQ==</vt:lpwstr>
  </property>
  <property fmtid="{D5CDD505-2E9C-101B-9397-08002B2CF9AE}" pid="6" name="KSOTemplateDocerSaveRecord">
    <vt:lpwstr>eyJoZGlkIjoiZWVlOTlkNzZhZDAwZmRmNDEwNjQxMDcwNzI3M2UwZTciLCJ1c2VySWQiOiIzNTcyMzkxNDQifQ==</vt:lpwstr>
  </property>
</Properties>
</file>