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B180">
      <w:pPr>
        <w:pStyle w:val="2"/>
        <w:rPr>
          <w:rFonts w:hint="eastAsia" w:ascii="宋体" w:hAnsi="宋体" w:eastAsia="宋体" w:cs="宋体"/>
          <w:color w:val="auto"/>
          <w:highlight w:val="none"/>
        </w:rPr>
      </w:pPr>
      <w:r>
        <w:rPr>
          <w:rFonts w:hint="eastAsia" w:ascii="宋体" w:hAnsi="宋体" w:eastAsia="宋体" w:cs="宋体"/>
          <w:color w:val="auto"/>
          <w:highlight w:val="none"/>
        </w:rPr>
        <w:t>招标内容及要求</w:t>
      </w:r>
    </w:p>
    <w:p w14:paraId="3E27CDAB">
      <w:pPr>
        <w:snapToGrid w:val="0"/>
        <w:spacing w:line="360" w:lineRule="auto"/>
        <w:ind w:firstLine="480" w:firstLineChars="200"/>
        <w:rPr>
          <w:rFonts w:hint="eastAsia" w:ascii="宋体" w:hAnsi="宋体" w:eastAsia="宋体" w:cs="宋体"/>
          <w:color w:val="auto"/>
          <w:sz w:val="24"/>
          <w:highlight w:val="none"/>
        </w:rPr>
      </w:pPr>
    </w:p>
    <w:p w14:paraId="3F87D823">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14:paraId="19184F5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1.各投标人必须对招标文件第五章《</w:t>
      </w:r>
      <w:r>
        <w:rPr>
          <w:rFonts w:hint="eastAsia" w:ascii="宋体" w:hAnsi="宋体" w:eastAsia="宋体" w:cs="宋体"/>
          <w:color w:val="auto"/>
          <w:sz w:val="24"/>
          <w:szCs w:val="24"/>
          <w:highlight w:val="none"/>
          <w:lang w:eastAsia="zh-CN"/>
        </w:rPr>
        <w:t>招标内容及要求</w:t>
      </w:r>
      <w:r>
        <w:rPr>
          <w:rFonts w:hint="eastAsia" w:ascii="宋体" w:hAnsi="宋体" w:eastAsia="宋体" w:cs="宋体"/>
          <w:color w:val="auto"/>
          <w:sz w:val="24"/>
          <w:szCs w:val="24"/>
          <w:highlight w:val="none"/>
        </w:rPr>
        <w:t>》中的规格、技术条款和性能要求作出全面、真实的反映，若投标文件中未对招标文件第五章《</w:t>
      </w:r>
      <w:r>
        <w:rPr>
          <w:rFonts w:hint="eastAsia" w:ascii="宋体" w:hAnsi="宋体" w:eastAsia="宋体" w:cs="宋体"/>
          <w:color w:val="auto"/>
          <w:sz w:val="24"/>
          <w:szCs w:val="24"/>
          <w:highlight w:val="none"/>
          <w:lang w:eastAsia="zh-CN"/>
        </w:rPr>
        <w:t>招标内容及要求</w:t>
      </w:r>
      <w:r>
        <w:rPr>
          <w:rFonts w:hint="eastAsia" w:ascii="宋体" w:hAnsi="宋体" w:eastAsia="宋体" w:cs="宋体"/>
          <w:color w:val="auto"/>
          <w:sz w:val="24"/>
          <w:szCs w:val="24"/>
          <w:highlight w:val="none"/>
        </w:rPr>
        <w:t>》中的规格、技术条款和性能要求作出全面、真实的反映，而投标人又未在投标文件中作出说明和解释的，评标委员会在评审时可以视为不响应该条规格、技术条款和性能要求。</w:t>
      </w:r>
    </w:p>
    <w:p w14:paraId="6D2BB91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41A0ACB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3.投标人应保证其提供的货物或者服务在采购人使用期间不受第三方可能提出的侵犯其所有权、知识产权、商标权、专利权、著作权等相关权利的起诉。</w:t>
      </w:r>
      <w:bookmarkStart w:id="0" w:name="_Toc491307394"/>
      <w:bookmarkStart w:id="1" w:name="_Toc491307332"/>
    </w:p>
    <w:p w14:paraId="26177EA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4.投标人应在合同履行的过程中，</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highlight w:val="none"/>
        </w:rPr>
        <w:t>采购人的工作信息等秘密内容进行保密。双方应共同对采购过程中涉及的技术</w:t>
      </w:r>
      <w:r>
        <w:rPr>
          <w:rFonts w:hint="eastAsia" w:ascii="宋体" w:hAnsi="宋体" w:cs="宋体"/>
          <w:color w:val="auto"/>
          <w:sz w:val="24"/>
          <w:szCs w:val="24"/>
          <w:highlight w:val="none"/>
          <w:lang w:val="en-US" w:eastAsia="zh-CN"/>
        </w:rPr>
        <w:t>信息</w:t>
      </w:r>
      <w:r>
        <w:rPr>
          <w:rFonts w:hint="eastAsia" w:ascii="宋体" w:hAnsi="宋体" w:eastAsia="宋体" w:cs="宋体"/>
          <w:color w:val="auto"/>
          <w:sz w:val="24"/>
          <w:szCs w:val="24"/>
          <w:highlight w:val="none"/>
        </w:rPr>
        <w:t>和资料进行保密。</w:t>
      </w:r>
      <w:bookmarkEnd w:id="0"/>
      <w:bookmarkEnd w:id="1"/>
    </w:p>
    <w:p w14:paraId="2C2349C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5.投标人应严格按照《中华人民共和国政府采购法》《中华人民共和国政府采购法实施条例》《政府采购货物和服务招标投标管理办法》（财政部令第87号）等有关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的规定进行投标，合同签订后采购人将按照中标人投标文件中所投货物或者服务进行验收，一旦发现虚假应标行为，取消该中标人的中标资格，并保留追究其法律责任的权利。</w:t>
      </w:r>
    </w:p>
    <w:p w14:paraId="44495CA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6.本文件的解释权属于采购人、采购代理机构。</w:t>
      </w:r>
    </w:p>
    <w:p w14:paraId="0CDD2978">
      <w:pPr>
        <w:rPr>
          <w:rFonts w:hint="eastAsia" w:ascii="宋体" w:hAnsi="宋体" w:eastAsia="宋体" w:cs="宋体"/>
          <w:color w:val="auto"/>
          <w:highlight w:val="none"/>
        </w:rPr>
        <w:sectPr>
          <w:headerReference r:id="rId3" w:type="default"/>
          <w:footerReference r:id="rId4" w:type="default"/>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7983F774">
      <w:pPr>
        <w:rPr>
          <w:rFonts w:hint="eastAsia"/>
          <w:highlight w:val="none"/>
        </w:rPr>
      </w:pPr>
    </w:p>
    <w:p w14:paraId="1F173872">
      <w:pPr>
        <w:pStyle w:val="3"/>
        <w:numPr>
          <w:ilvl w:val="0"/>
          <w:numId w:val="0"/>
        </w:numPr>
        <w:spacing w:before="0"/>
        <w:ind w:left="893" w:hanging="694" w:hangingChars="247"/>
        <w:jc w:val="center"/>
        <w:rPr>
          <w:rFonts w:hint="eastAsia" w:ascii="宋体" w:hAnsi="宋体" w:eastAsia="宋体" w:cs="宋体"/>
          <w:color w:val="auto"/>
          <w:sz w:val="28"/>
          <w:szCs w:val="28"/>
          <w:highlight w:val="none"/>
        </w:rPr>
      </w:pPr>
      <w:bookmarkStart w:id="2" w:name="_Toc5080"/>
      <w:r>
        <w:rPr>
          <w:rFonts w:hint="eastAsia" w:ascii="宋体" w:hAnsi="宋体" w:eastAsia="宋体" w:cs="宋体"/>
          <w:color w:val="auto"/>
          <w:sz w:val="28"/>
          <w:szCs w:val="28"/>
          <w:highlight w:val="none"/>
        </w:rPr>
        <w:t>第一部分、采购内容一览表</w:t>
      </w:r>
      <w:bookmarkEnd w:id="2"/>
    </w:p>
    <w:p w14:paraId="46F6B0D4">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3" w:name="_Toc32446"/>
      <w:bookmarkStart w:id="4" w:name="_Toc27540"/>
      <w:r>
        <w:rPr>
          <w:rFonts w:hint="eastAsia" w:ascii="宋体" w:hAnsi="宋体" w:eastAsia="宋体" w:cs="宋体"/>
          <w:color w:val="auto"/>
          <w:sz w:val="24"/>
          <w:szCs w:val="24"/>
          <w:highlight w:val="none"/>
          <w:lang w:val="en-US" w:eastAsia="zh-CN"/>
        </w:rPr>
        <w:t>预算金额：20.82万元。</w:t>
      </w:r>
      <w:bookmarkEnd w:id="3"/>
      <w:bookmarkEnd w:id="4"/>
    </w:p>
    <w:p w14:paraId="27FB4BAC">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5" w:name="_Toc11387"/>
      <w:bookmarkStart w:id="6" w:name="_Toc4117"/>
      <w:r>
        <w:rPr>
          <w:rFonts w:hint="eastAsia" w:ascii="宋体" w:hAnsi="宋体" w:eastAsia="宋体" w:cs="宋体"/>
          <w:color w:val="auto"/>
          <w:sz w:val="24"/>
          <w:szCs w:val="24"/>
          <w:highlight w:val="none"/>
          <w:lang w:val="en-US" w:eastAsia="zh-CN"/>
        </w:rPr>
        <w:t>本项目核心产品：剖面样品科普展示柜</w:t>
      </w:r>
      <w:bookmarkEnd w:id="5"/>
      <w:bookmarkEnd w:id="6"/>
    </w:p>
    <w:p w14:paraId="50702CFC">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7" w:name="_Toc27127"/>
      <w:bookmarkStart w:id="8" w:name="_Toc25889"/>
      <w:r>
        <w:rPr>
          <w:rFonts w:hint="eastAsia" w:ascii="宋体" w:hAnsi="宋体" w:eastAsia="宋体" w:cs="宋体"/>
          <w:color w:val="auto"/>
          <w:sz w:val="24"/>
          <w:szCs w:val="24"/>
          <w:highlight w:val="none"/>
          <w:lang w:val="en-US" w:eastAsia="zh-CN"/>
        </w:rPr>
        <w:t>本项目共有 10 个标注“</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”的重要参数。</w:t>
      </w:r>
      <w:bookmarkEnd w:id="7"/>
      <w:bookmarkEnd w:id="8"/>
    </w:p>
    <w:p w14:paraId="79256A55">
      <w:pPr>
        <w:rPr>
          <w:rFonts w:hint="eastAsia"/>
          <w:lang w:val="en-US" w:eastAsia="zh-CN"/>
        </w:rPr>
      </w:pPr>
    </w:p>
    <w:p w14:paraId="1511B542">
      <w:pPr>
        <w:bidi w:val="0"/>
        <w:ind w:firstLine="3740" w:firstLineChars="1700"/>
        <w:rPr>
          <w:rFonts w:hint="default"/>
          <w:highlight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bidi="ar"/>
        </w:rPr>
        <w:t>采购内容一览表</w:t>
      </w:r>
    </w:p>
    <w:tbl>
      <w:tblPr>
        <w:tblStyle w:val="6"/>
        <w:tblW w:w="88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2160"/>
        <w:gridCol w:w="515"/>
        <w:gridCol w:w="900"/>
        <w:gridCol w:w="758"/>
        <w:gridCol w:w="1056"/>
        <w:gridCol w:w="1430"/>
        <w:gridCol w:w="1453"/>
      </w:tblGrid>
      <w:tr w14:paraId="7BB3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68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47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产品（项目）名称</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3A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是否进口</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36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BAA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计量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124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最高限</w:t>
            </w:r>
          </w:p>
          <w:p w14:paraId="4D5AB9C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单价</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E3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总金额</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B8B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交货地点/备注</w:t>
            </w:r>
          </w:p>
        </w:tc>
      </w:tr>
      <w:tr w14:paraId="6EC3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EED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F29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剖面样品储存架（木盒）</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F84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DF4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CE6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2DB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61100.00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827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61100.00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CF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昆明</w:t>
            </w:r>
          </w:p>
        </w:tc>
      </w:tr>
      <w:tr w14:paraId="555A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1FB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5FD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剖面样品储存架（纸盒）</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53D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A10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74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28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44000.00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2EF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E7A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昆明</w:t>
            </w:r>
          </w:p>
        </w:tc>
      </w:tr>
      <w:tr w14:paraId="4A5F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C70A4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C36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剖面样品科普展示柜</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E8D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812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F45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F7C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8120.00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91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81200.00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73F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昆明</w:t>
            </w:r>
          </w:p>
        </w:tc>
      </w:tr>
      <w:tr w14:paraId="2F39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AA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710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工作台面（剖面制作）</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6A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DCC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4EE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797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2500.00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B05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17500.00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F9F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昆明</w:t>
            </w:r>
          </w:p>
        </w:tc>
      </w:tr>
      <w:tr w14:paraId="1BBC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E0302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B0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实验室工作台</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B89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1B3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641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B51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2200.00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0B3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424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昆明</w:t>
            </w:r>
          </w:p>
        </w:tc>
      </w:tr>
    </w:tbl>
    <w:p w14:paraId="01AB6E1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D696EF3">
      <w:pPr>
        <w:bidi w:val="0"/>
        <w:rPr>
          <w:rFonts w:hint="eastAsia"/>
          <w:highlight w:val="none"/>
          <w:lang w:val="en-US" w:eastAsia="zh-CN"/>
        </w:rPr>
      </w:pPr>
    </w:p>
    <w:p w14:paraId="0BF466D3">
      <w:pPr>
        <w:pStyle w:val="3"/>
        <w:numPr>
          <w:ilvl w:val="0"/>
          <w:numId w:val="3"/>
        </w:numPr>
        <w:spacing w:before="0"/>
        <w:ind w:left="893" w:hanging="694" w:hangingChars="247"/>
        <w:jc w:val="center"/>
        <w:rPr>
          <w:rFonts w:hint="eastAsia" w:ascii="宋体" w:hAnsi="宋体" w:eastAsia="宋体" w:cs="宋体"/>
          <w:color w:val="auto"/>
          <w:sz w:val="28"/>
          <w:szCs w:val="28"/>
          <w:highlight w:val="none"/>
        </w:rPr>
      </w:pPr>
      <w:bookmarkStart w:id="9" w:name="_Toc3392"/>
      <w:r>
        <w:rPr>
          <w:rFonts w:hint="eastAsia" w:ascii="宋体" w:hAnsi="宋体" w:eastAsia="宋体" w:cs="宋体"/>
          <w:color w:val="auto"/>
          <w:sz w:val="28"/>
          <w:szCs w:val="28"/>
          <w:highlight w:val="none"/>
        </w:rPr>
        <w:t>技术参数及要求</w:t>
      </w:r>
      <w:bookmarkEnd w:id="9"/>
    </w:p>
    <w:p w14:paraId="68383279">
      <w:pPr>
        <w:numPr>
          <w:ilvl w:val="0"/>
          <w:numId w:val="0"/>
        </w:numPr>
        <w:rPr>
          <w:rFonts w:hint="eastAsia"/>
        </w:rPr>
      </w:pPr>
    </w:p>
    <w:p w14:paraId="05E7A852">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10" w:name="_Toc4682"/>
      <w:r>
        <w:rPr>
          <w:rFonts w:hint="eastAsia" w:ascii="宋体" w:hAnsi="宋体" w:eastAsia="宋体" w:cs="宋体"/>
          <w:color w:val="auto"/>
          <w:sz w:val="24"/>
          <w:szCs w:val="24"/>
          <w:highlight w:val="none"/>
          <w:lang w:val="en-US" w:eastAsia="zh-CN"/>
        </w:rPr>
        <w:t>一、剖面样品储存架（木盒）</w:t>
      </w:r>
      <w:bookmarkEnd w:id="10"/>
    </w:p>
    <w:p w14:paraId="43F01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设计思路：土壤剖面样品木盒尺寸约为1000mm（长）×225mm（宽）×50mm（厚）。储存系统应满足高密度存储、取用便捷（单盒独立抽出）、便于观察样品分层及标签、具备防滑落防倾倒的安全锁止机构等要求。采用钢结构骨架加倾斜滑道设计，滑道倾角设计合理，每层滑道设独立锁止机构。</w:t>
      </w:r>
    </w:p>
    <w:p w14:paraId="41986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总体结构布局：每个储存单元由立柱、横梁、倾斜滑道组件、背板支撑、锁止机构和底脚调节螺栓组成。储存单元尺寸根据木盒规格和场地条件进行设计。储存容量≥250个。</w:t>
      </w:r>
    </w:p>
    <w:p w14:paraId="08586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滑道系统设计：滑轨材质应采用耐腐蚀材料（如不锈钢），滑道内底面应设置耐磨衬垫以降低摩擦系数并保护木盒底面。滑道两侧应设导向结构，防止木盒侧向窜动。</w:t>
      </w:r>
    </w:p>
    <w:p w14:paraId="474FA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锁止机构设计：在滑道前端安装锁止装置，保证每个木盒在非抽取状态下不会因震动或自重滑出。锁止机构应具备足够的强度和耐久性。</w:t>
      </w:r>
    </w:p>
    <w:p w14:paraId="19FB5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钢结构支撑设计：立柱、横梁、斜撑等钢结构构件应选用符合国家标准的钢材，表面进行防锈处理。结构应进行受力分析，确保承载安全可靠。</w:t>
      </w:r>
    </w:p>
    <w:p w14:paraId="56818E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使用流程与维护：应提供详细的样品存取操作流程和维护要求。</w:t>
      </w:r>
    </w:p>
    <w:p w14:paraId="4E9A1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40F732AD">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11" w:name="_Toc29033"/>
      <w:r>
        <w:rPr>
          <w:rFonts w:hint="eastAsia" w:ascii="宋体" w:hAnsi="宋体" w:eastAsia="宋体" w:cs="宋体"/>
          <w:color w:val="auto"/>
          <w:sz w:val="24"/>
          <w:szCs w:val="24"/>
          <w:highlight w:val="none"/>
          <w:lang w:val="en-US" w:eastAsia="zh-CN"/>
        </w:rPr>
        <w:t>二、剖面样品储存架（纸盒）</w:t>
      </w:r>
      <w:bookmarkEnd w:id="11"/>
    </w:p>
    <w:p w14:paraId="2CE27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根据三普技术规范，纸盒标本在入库前已完成充分风干，盒体材质为硬质纸板，内部分格用于存放不同发生层次的土壤样块。典型纸盒尺寸规格如下：</w:t>
      </w:r>
    </w:p>
    <w:p w14:paraId="675C8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纸盒长度 310mm-330mm</w:t>
      </w:r>
    </w:p>
    <w:p w14:paraId="2EEF0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纸盒宽度 85mm±2mm</w:t>
      </w:r>
    </w:p>
    <w:p w14:paraId="47133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纸盒高度 35mm±2mm</w:t>
      </w:r>
    </w:p>
    <w:p w14:paraId="78EC3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盒体材质 硬质纸板，表面防水处理</w:t>
      </w:r>
    </w:p>
    <w:p w14:paraId="4928B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盒内结构 分格设计，每55mm一格，用于存放不同发生层样块</w:t>
      </w:r>
    </w:p>
    <w:p w14:paraId="0C43D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纸盒重量 装满样品后约3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6kg/盒</w:t>
      </w:r>
    </w:p>
    <w:p w14:paraId="4FC36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标签信息 盒盖或盒体正面粘贴标签，包含采样地点、土壤类型、发生层、深度范围等信息</w:t>
      </w:r>
    </w:p>
    <w:p w14:paraId="5D869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纸质标本对储存环境要求严格，储存区域应保持干燥、通风、无阳光直射、无污染，库房室温保持在30℃以下，相对湿度低于50%，并具备防霉变、防鼠害、防火灾等设施。</w:t>
      </w:r>
    </w:p>
    <w:p w14:paraId="784E33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纸盒标本储存柜应设置标准化储存空间，各标准空间内的纸盒不得叠放，避免长时间挤压；每个储存单元的纸盒数量分配应合理，兼顾重量要求与使用便捷性。每个储存单元应设有独立的扫描标识区，用于样品的归集与查找。</w:t>
      </w:r>
    </w:p>
    <w:p w14:paraId="270C8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投标人须提供技术方案，内容包括但不限于：结构图、零配件表，以及样品归集与查找方案。</w:t>
      </w:r>
    </w:p>
    <w:p w14:paraId="2C435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设计思路：采用开放式多层钢结构货架，纸盒标本平放于层板上，同一样品区域集中存放，便于批量管理和快速检索。依据普通密集柜的柜体参数设计，需确保能放下全省3000个土壤纸盒标本。</w:t>
      </w:r>
    </w:p>
    <w:p w14:paraId="40CE09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406F0BF">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12" w:name="_Toc5643"/>
      <w:r>
        <w:rPr>
          <w:rFonts w:hint="eastAsia" w:ascii="宋体" w:hAnsi="宋体" w:eastAsia="宋体" w:cs="宋体"/>
          <w:color w:val="auto"/>
          <w:sz w:val="24"/>
          <w:szCs w:val="24"/>
          <w:highlight w:val="none"/>
          <w:lang w:val="en-US" w:eastAsia="zh-CN"/>
        </w:rPr>
        <w:t>三、剖面样品科普展示柜</w:t>
      </w:r>
      <w:bookmarkEnd w:id="12"/>
    </w:p>
    <w:p w14:paraId="1B4E9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▲3.1 </w:t>
      </w:r>
      <w:r>
        <w:rPr>
          <w:rFonts w:hint="eastAsia" w:ascii="宋体" w:hAnsi="宋体" w:eastAsia="宋体" w:cs="宋体"/>
          <w:color w:val="auto"/>
          <w:sz w:val="24"/>
          <w:szCs w:val="24"/>
          <w:highlight w:val="none"/>
          <w:lang w:val="en-US" w:eastAsia="zh-CN"/>
        </w:rPr>
        <w:t>土壤剖面样品展示柜：用于存放和展示土壤剖面样品，可容纳不少于30个标准尺寸的木盒装土壤剖面样品。</w:t>
      </w:r>
    </w:p>
    <w:p w14:paraId="75118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sz w:val="24"/>
          <w:szCs w:val="24"/>
          <w:highlight w:val="none"/>
          <w:lang w:val="en-US" w:eastAsia="zh-CN"/>
        </w:rPr>
        <w:t>3.2 结构尺寸：单个木盒样品的外部参考尺寸为：长1000mm×宽225mm×高50mm（允许±5mm公差）。展示柜内部结构应能稳定放置上述尺寸的样品盒，盒体之间不叠压，保证取放便捷。</w:t>
      </w:r>
    </w:p>
    <w:p w14:paraId="5EA55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sz w:val="24"/>
          <w:szCs w:val="24"/>
          <w:highlight w:val="none"/>
          <w:lang w:val="en-US" w:eastAsia="zh-CN"/>
        </w:rPr>
        <w:t>3.3 材质要求：柜体材质应采用耐腐蚀、防潮、承重良好的环保材料（如金属型材、阻燃板材等），表面平整、易清洁。</w:t>
      </w:r>
    </w:p>
    <w:p w14:paraId="14F0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CF6A923">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13" w:name="_Toc31771"/>
      <w:r>
        <w:rPr>
          <w:rFonts w:hint="eastAsia" w:ascii="宋体" w:hAnsi="宋体" w:eastAsia="宋体" w:cs="宋体"/>
          <w:color w:val="auto"/>
          <w:sz w:val="24"/>
          <w:szCs w:val="24"/>
          <w:highlight w:val="none"/>
          <w:lang w:val="en-US" w:eastAsia="zh-CN"/>
        </w:rPr>
        <w:t>四、工作台面（剖面制作）</w:t>
      </w:r>
      <w:bookmarkEnd w:id="13"/>
    </w:p>
    <w:p w14:paraId="7127B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工作台面（剖面制作）：用于土壤整段标本的整饰、修复及制作，满足打孔、灌胶、翻板等关键工序操作，具备足够的承重与耐腐蚀性能。</w:t>
      </w:r>
    </w:p>
    <w:p w14:paraId="171DF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结构尺寸：台面≥3000mm×1200mm，高度750-850mm可调，台面下方净空≥650mm，底部配水平调节脚（调节范围≥30mm）。</w:t>
      </w:r>
    </w:p>
    <w:p w14:paraId="6B5B7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4.3 </w:t>
      </w:r>
      <w:r>
        <w:rPr>
          <w:rFonts w:hint="eastAsia" w:ascii="宋体" w:hAnsi="宋体" w:eastAsia="宋体" w:cs="宋体"/>
          <w:color w:val="auto"/>
          <w:sz w:val="24"/>
          <w:szCs w:val="24"/>
          <w:highlight w:val="none"/>
          <w:lang w:val="en-US" w:eastAsia="zh-CN"/>
        </w:rPr>
        <w:t>材质要求：台面采用≥12mm理化板（耐强酸碱、耐温≥140℃、耐冲击），框架为≥40×60×1.5mm冷轧方钢管，柜体及抽屉为≥1.0mm冷轧钢板，抽屉承重≥30kg。</w:t>
      </w:r>
    </w:p>
    <w:p w14:paraId="0E17C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功能配置：配备≥2组防水电源插座、可移动工具架/挂板、可锁止万向脚轮、抽屉式工具存储单元。</w:t>
      </w:r>
    </w:p>
    <w:p w14:paraId="300EA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CC3F9E5">
      <w:pPr>
        <w:pStyle w:val="4"/>
        <w:keepNext w:val="0"/>
        <w:keepLines w:val="0"/>
        <w:pageBreakBefore w:val="0"/>
        <w:widowControl w:val="0"/>
        <w:numPr>
          <w:ilvl w:val="0"/>
          <w:numId w:val="0"/>
        </w:numPr>
        <w:tabs>
          <w:tab w:val="clear" w:pos="420"/>
        </w:tabs>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highlight w:val="none"/>
          <w:lang w:val="en-US" w:eastAsia="zh-CN"/>
        </w:rPr>
      </w:pPr>
      <w:bookmarkStart w:id="14" w:name="_Toc16437"/>
      <w:r>
        <w:rPr>
          <w:rFonts w:hint="eastAsia" w:ascii="宋体" w:hAnsi="宋体" w:eastAsia="宋体" w:cs="宋体"/>
          <w:color w:val="auto"/>
          <w:sz w:val="24"/>
          <w:szCs w:val="24"/>
          <w:highlight w:val="none"/>
          <w:lang w:val="en-US" w:eastAsia="zh-CN"/>
        </w:rPr>
        <w:t>五、实验室工作台</w:t>
      </w:r>
      <w:bookmarkEnd w:id="14"/>
    </w:p>
    <w:p w14:paraId="3F8F3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实验室工作台：适用于土壤样品制备、称量、分装及检测前处理等日常实验操作，满足风干室与制样室分区管理要求，设计上应有效防止样品交叉污染。</w:t>
      </w:r>
    </w:p>
    <w:p w14:paraId="4182B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结构尺寸：中央台宽度1500±50mm，边台宽度750±50mm，仪器台宽度900±50mm，高度均为800-850mm，长度根据场地定制。</w:t>
      </w:r>
    </w:p>
    <w:p w14:paraId="7E452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5.3 </w:t>
      </w:r>
      <w:r>
        <w:rPr>
          <w:rFonts w:hint="eastAsia" w:ascii="宋体" w:hAnsi="宋体" w:eastAsia="宋体" w:cs="宋体"/>
          <w:color w:val="auto"/>
          <w:sz w:val="24"/>
          <w:szCs w:val="24"/>
          <w:highlight w:val="none"/>
          <w:lang w:val="en-US" w:eastAsia="zh-CN"/>
        </w:rPr>
        <w:t>材质要求：台面采用≥12mm厚耐酸碱、耐高温（≥140℃）的理化板；框架为≥40×60×1.5mm冷轧方钢管全钢C型或回型结构；柜体采用≥1.0mm冷轧钢板（环保E1级），柜门抽屉为双层结构；铰链为实验室专用，抽屉承重≥45kg，拉手为铝合金或不锈钢。</w:t>
      </w:r>
    </w:p>
    <w:p w14:paraId="6471D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 功能配置：中央台及边台配备多功能插座盒（含电源及网络接口）；水槽台</w:t>
      </w:r>
      <w:r>
        <w:rPr>
          <w:rFonts w:hint="eastAsia" w:ascii="宋体" w:hAnsi="宋体" w:cs="宋体"/>
          <w:color w:val="auto"/>
          <w:sz w:val="24"/>
          <w:szCs w:val="24"/>
          <w:highlight w:val="none"/>
          <w:lang w:val="en-US" w:eastAsia="zh-CN"/>
        </w:rPr>
        <w:t>配备</w:t>
      </w:r>
      <w:r>
        <w:rPr>
          <w:rFonts w:hint="eastAsia" w:ascii="宋体" w:hAnsi="宋体" w:eastAsia="宋体" w:cs="宋体"/>
          <w:color w:val="auto"/>
          <w:sz w:val="24"/>
          <w:szCs w:val="24"/>
          <w:highlight w:val="none"/>
          <w:lang w:val="en-US" w:eastAsia="zh-CN"/>
        </w:rPr>
        <w:t>耐腐蚀水槽（深度≥300mm，防溢水）及三联水龙头；柜内可调节层板承重≥50kg/层；仪器台承重≥300kg/m²。</w:t>
      </w:r>
    </w:p>
    <w:p w14:paraId="660BE97C">
      <w:pPr>
        <w:rPr>
          <w:rFonts w:hint="eastAsia"/>
          <w:color w:val="auto"/>
          <w:highlight w:val="none"/>
        </w:rPr>
      </w:pPr>
      <w:r>
        <w:rPr>
          <w:rFonts w:hint="eastAsia"/>
          <w:color w:val="auto"/>
          <w:highlight w:val="none"/>
        </w:rPr>
        <w:br w:type="page"/>
      </w:r>
    </w:p>
    <w:p w14:paraId="7D9AE6F2">
      <w:pPr>
        <w:bidi w:val="0"/>
        <w:rPr>
          <w:rFonts w:hint="eastAsia"/>
          <w:highlight w:val="none"/>
          <w:lang w:val="en-US" w:eastAsia="zh-CN"/>
        </w:rPr>
      </w:pPr>
    </w:p>
    <w:p w14:paraId="2FC09608">
      <w:pPr>
        <w:pStyle w:val="3"/>
        <w:numPr>
          <w:ilvl w:val="0"/>
          <w:numId w:val="0"/>
        </w:numPr>
        <w:spacing w:before="0"/>
        <w:ind w:left="893" w:hanging="694" w:hangingChars="247"/>
        <w:jc w:val="center"/>
        <w:rPr>
          <w:rFonts w:hint="default" w:ascii="宋体" w:hAnsi="宋体" w:eastAsia="宋体" w:cs="宋体"/>
          <w:color w:val="auto"/>
          <w:sz w:val="28"/>
          <w:szCs w:val="28"/>
          <w:highlight w:val="none"/>
          <w:lang w:val="en-US" w:eastAsia="zh-CN"/>
        </w:rPr>
      </w:pPr>
      <w:bookmarkStart w:id="15" w:name="_Toc31348"/>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部分、</w:t>
      </w:r>
      <w:r>
        <w:rPr>
          <w:rFonts w:hint="eastAsia" w:ascii="宋体" w:hAnsi="宋体" w:eastAsia="宋体" w:cs="宋体"/>
          <w:color w:val="auto"/>
          <w:sz w:val="28"/>
          <w:szCs w:val="28"/>
          <w:highlight w:val="none"/>
          <w:lang w:val="en-US" w:eastAsia="zh-CN"/>
        </w:rPr>
        <w:t>售后服务及其他要求</w:t>
      </w:r>
      <w:bookmarkEnd w:id="15"/>
    </w:p>
    <w:p w14:paraId="23C08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6DCF7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一、总体服务要求</w:t>
      </w:r>
    </w:p>
    <w:p w14:paraId="25FC2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供应商须为原厂授权正规供应商，所供设备、材料均为全新原厂正品，严禁翻新、贴牌、二手产品，全部符合国家及行业标准与本招标文件技术参数要求。</w:t>
      </w:r>
    </w:p>
    <w:p w14:paraId="3014F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供应商负责设计、生产、运输、装卸、安装、调试、培训、验收、售后全流程服务，项目不得转包、违法分包。</w:t>
      </w:r>
    </w:p>
    <w:p w14:paraId="53DCA9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所有设备、结构件须提供合法合规证明文件，无知识产权纠纷，符合土壤普查样品库安全、环保、消防要求。</w:t>
      </w:r>
    </w:p>
    <w:p w14:paraId="61ADC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供应商须提供7×24 小时技术支持，设立专属项目负责人，全程对接实施与售后。</w:t>
      </w:r>
    </w:p>
    <w:p w14:paraId="3562EE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二、交货、安装与调试</w:t>
      </w:r>
    </w:p>
    <w:p w14:paraId="7D8C0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交货期：合同签订之日起60日历天内完成交货及安装调试。</w:t>
      </w:r>
    </w:p>
    <w:p w14:paraId="292184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运输、装卸、保险及相关费用由供应商承担，途中损坏、丢失由供应商免费更换。</w:t>
      </w:r>
    </w:p>
    <w:p w14:paraId="69490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供应商免费上门安装、调试、现场组装，含人工、辅材、工具、耗材，确保安装牢固、使用安全、运行顺畅。</w:t>
      </w:r>
    </w:p>
    <w:p w14:paraId="6ED48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施工遵守现场安全管理规定，做好成品保护，完工后清理垃圾、恢复场地原貌。</w:t>
      </w:r>
    </w:p>
    <w:p w14:paraId="6E442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安装完成后7 个工作日内完成调试，出具调试报告，确保结构稳固、存取顺畅、锁止可靠。</w:t>
      </w:r>
    </w:p>
    <w:p w14:paraId="6D457A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三、验收要求</w:t>
      </w:r>
    </w:p>
    <w:p w14:paraId="461F9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分阶段验收：到货查验→安装核验→结构调试→功能验收→最终验收，各阶段须采购人签字确认。</w:t>
      </w:r>
    </w:p>
    <w:p w14:paraId="4EBA8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验收以本招标文件第二部分技术参数及要求为唯一标准，逐项核对，不达标须无条件整改、更换或重新供货。</w:t>
      </w:r>
    </w:p>
    <w:p w14:paraId="575307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验收资料：产品合格证、检测报告、原厂质保函、结构图、零配件清单、安装图纸、操作维护手册等纸质 + 电子版。</w:t>
      </w:r>
    </w:p>
    <w:p w14:paraId="18BEB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最终验收：设备结构稳固、存取顺畅、锁止可靠、尺寸匹配，连续正常使用无故障，双方签署验收合格证书。</w:t>
      </w:r>
    </w:p>
    <w:p w14:paraId="730E43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四、培训服务</w:t>
      </w:r>
    </w:p>
    <w:p w14:paraId="4B59A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验收前提供不少于 2 名操作人员、1 名管理人员免费现场培训，内容包括样品存取、锁止操作、日常检查、维护保养、安全规范。</w:t>
      </w:r>
    </w:p>
    <w:p w14:paraId="0D3BF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针对储存架、展示柜、工作台等提供专项实操培训，确保受训人员独立安全操作。</w:t>
      </w:r>
    </w:p>
    <w:p w14:paraId="5B5F3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提供纸质 + 电子培训手册、维护指南、常见问题处理说明。</w:t>
      </w:r>
    </w:p>
    <w:p w14:paraId="3E482F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质保期内提供免费复训，满足人员更替需求。</w:t>
      </w:r>
    </w:p>
    <w:p w14:paraId="63C421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五、质保期服务</w:t>
      </w:r>
    </w:p>
    <w:p w14:paraId="46246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质保期限：所有储存架、展示柜、工作台整机质保≥3 年，结构件、锁止机构、滑轨等核心部件质保≥5 年。</w:t>
      </w:r>
    </w:p>
    <w:p w14:paraId="44EA0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质保期内非人为故障，免费维修、免费更换原厂配件，不收取任何费用。</w:t>
      </w:r>
    </w:p>
    <w:p w14:paraId="6E6944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每12 个月上门免费巡检保养，紧固连接件、检查滑轨与锁止机构，出具巡检报告。</w:t>
      </w:r>
    </w:p>
    <w:p w14:paraId="795E1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故障响应：30 分钟内响应，2 小时内远程指导，4 小时内到达现场，24 小时内解决问题。</w:t>
      </w:r>
    </w:p>
    <w:p w14:paraId="3520A4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六、质保期后服务</w:t>
      </w:r>
    </w:p>
    <w:p w14:paraId="3388B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提供终身技术支持与维修服务，仅收取配件成本费，免收人工费、上门费。</w:t>
      </w:r>
    </w:p>
    <w:p w14:paraId="7A2F9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承诺10 年内稳定供应原厂配件，配件价格备案，不随意涨价。</w:t>
      </w:r>
    </w:p>
    <w:p w14:paraId="02E11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提供年度维保方案，含结构检查、紧固、润滑、调整等服务。</w:t>
      </w:r>
    </w:p>
    <w:p w14:paraId="0A9F6B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七、技术资料与备品备件</w:t>
      </w:r>
    </w:p>
    <w:p w14:paraId="15569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验收时提供全套纸质 + 电子资料：说明书、合格证、结构图、零配件表、组装图纸、维护手册等。</w:t>
      </w:r>
    </w:p>
    <w:p w14:paraId="4B157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免费提供配套备品备件，满足长期稳定使用需求，清单经采购人确认。</w:t>
      </w:r>
    </w:p>
    <w:p w14:paraId="236B16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八、质量与合规要求</w:t>
      </w:r>
    </w:p>
    <w:p w14:paraId="1A108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供应商提供质量承诺书，保证设备结构安全、尺寸匹配、材质达标、功能完整。</w:t>
      </w:r>
    </w:p>
    <w:p w14:paraId="625E3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钢材、理化板、五金配件等符合环保、安全、防腐、防潮、防火要求。</w:t>
      </w:r>
    </w:p>
    <w:p w14:paraId="2F807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提供营业执照、原厂授权书、产品检测报告、材质证明等资质文件。</w:t>
      </w:r>
    </w:p>
    <w:p w14:paraId="7CA9B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中标后 7 个工作日内提供结构图、零配件表、样品归集与查找方案，逾期或不达标视为违约。</w:t>
      </w:r>
    </w:p>
    <w:p w14:paraId="075B5F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九、其他要求</w:t>
      </w:r>
    </w:p>
    <w:p w14:paraId="25245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付款方式按双方签订合同执行，供应商开具合法有效发票。</w:t>
      </w:r>
    </w:p>
    <w:p w14:paraId="00F29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供应商对项目信息、样品资料承担保密义务，不得向第三方泄露。</w:t>
      </w:r>
    </w:p>
    <w:p w14:paraId="14FF3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验收及使用中发现问题，供应商48 小时内完成整改，直至达标。</w:t>
      </w:r>
    </w:p>
    <w:p w14:paraId="74C59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未满足技术参数、工期、售后服务要求，按合同承担违约责任，采购人有权拒付、索赔或解除合同。</w:t>
      </w:r>
    </w:p>
    <w:p w14:paraId="3D68E6E4">
      <w:bookmarkStart w:id="16" w:name="_GoBack"/>
      <w:bookmarkEnd w:id="16"/>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373342"/>
    </w:sdtPr>
    <w:sdtContent>
      <w:p w14:paraId="619DF008">
        <w:pPr>
          <w:pStyle w:val="5"/>
          <w:jc w:val="center"/>
        </w:pPr>
        <w:r>
          <w:fldChar w:fldCharType="begin"/>
        </w:r>
        <w:r>
          <w:instrText xml:space="preserve">PAGE   \* MERGEFORMAT</w:instrText>
        </w:r>
        <w:r>
          <w:fldChar w:fldCharType="separate"/>
        </w:r>
        <w:r>
          <w:rPr>
            <w:lang w:val="zh-CN"/>
          </w:rPr>
          <w:t>59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0B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5D23C65D"/>
    <w:multiLevelType w:val="singleLevel"/>
    <w:tmpl w:val="5D23C65D"/>
    <w:lvl w:ilvl="0" w:tentative="0">
      <w:start w:val="2"/>
      <w:numFmt w:val="chineseCounting"/>
      <w:suff w:val="nothing"/>
      <w:lvlText w:val="第%1部分、"/>
      <w:lvlJc w:val="left"/>
      <w:rPr>
        <w:rFonts w:hint="eastAsia"/>
      </w:rPr>
    </w:lvl>
  </w:abstractNum>
  <w:abstractNum w:abstractNumId="2">
    <w:nsid w:val="60085042"/>
    <w:multiLevelType w:val="multilevel"/>
    <w:tmpl w:val="60085042"/>
    <w:lvl w:ilvl="0" w:tentative="0">
      <w:start w:val="1"/>
      <w:numFmt w:val="decimal"/>
      <w:pStyle w:val="4"/>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C68A3"/>
    <w:rsid w:val="5F4D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tabs>
        <w:tab w:val="left" w:pos="360"/>
      </w:tabs>
      <w:adjustRightInd w:val="0"/>
      <w:spacing w:before="120" w:line="360" w:lineRule="auto"/>
      <w:textAlignment w:val="baseline"/>
      <w:outlineLvl w:val="1"/>
    </w:pPr>
    <w:rPr>
      <w:rFonts w:eastAsia="黑体"/>
      <w:b/>
      <w:kern w:val="0"/>
      <w:sz w:val="28"/>
      <w:szCs w:val="20"/>
    </w:rPr>
  </w:style>
  <w:style w:type="paragraph" w:styleId="4">
    <w:name w:val="heading 3"/>
    <w:basedOn w:val="1"/>
    <w:next w:val="1"/>
    <w:qFormat/>
    <w:uiPriority w:val="9"/>
    <w:pPr>
      <w:numPr>
        <w:ilvl w:val="0"/>
        <w:numId w:val="2"/>
      </w:numPr>
      <w:tabs>
        <w:tab w:val="left" w:pos="360"/>
        <w:tab w:val="left" w:pos="900"/>
        <w:tab w:val="left" w:pos="1588"/>
      </w:tabs>
      <w:adjustRightInd w:val="0"/>
      <w:spacing w:line="400" w:lineRule="exact"/>
      <w:ind w:firstLine="6"/>
      <w:textAlignment w:val="baseline"/>
      <w:outlineLvl w:val="2"/>
    </w:pPr>
    <w:rPr>
      <w:rFonts w:eastAsia="黑体"/>
      <w:b/>
      <w:kern w:val="0"/>
      <w:sz w:val="28"/>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rFonts w:ascii="宋体"/>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2026-05-22T08:46:21Z</dcterms:created>
  <dc:creator>ZBYW1</dc:creator>
  <cp:lastModifiedBy>佚名</cp:lastModifiedBy>
  <dcterms:modified xsi:type="dcterms:W3CDTF">2026-05-22T08:47:06Z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eyJoZGlkIjoiOTgxZDBiNGQzNjlhZGVjNDEwNDFiMWEyYjkxMjAxODYiLCJ1c2VySWQiOiI1ODQ3MzgwMTIifQ==</vt:lpwstr>
  </property>
  <property fmtid="{D5CDD505-2E9C-101B-9397-08002B2CF9AE}" pid="4" name="ICV">
    <vt:lpwstr>97D93C0A96954BD9AF1B9941F1D30A7B_12</vt:lpwstr>
  </property>
</Properties>
</file>