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7CA993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60"/>
          <w:szCs w:val="60"/>
          <w:highlight w:val="none"/>
        </w:rPr>
      </w:pPr>
      <w:r>
        <w:rPr>
          <w:rFonts w:hint="eastAsia" w:ascii="宋体" w:hAnsi="宋体" w:eastAsia="宋体" w:cs="宋体"/>
          <w:b/>
          <w:bCs/>
          <w:color w:val="auto"/>
          <w:kern w:val="0"/>
          <w:sz w:val="60"/>
          <w:szCs w:val="60"/>
          <w:highlight w:val="none"/>
          <w:lang w:val="en-US" w:eastAsia="zh-CN"/>
        </w:rPr>
        <w:t>政府采购项目</w:t>
      </w:r>
      <w:r>
        <w:rPr>
          <w:rFonts w:hint="eastAsia" w:ascii="宋体" w:hAnsi="宋体" w:eastAsia="宋体" w:cs="宋体"/>
          <w:b/>
          <w:bCs/>
          <w:color w:val="auto"/>
          <w:sz w:val="60"/>
          <w:szCs w:val="60"/>
          <w:highlight w:val="none"/>
        </w:rPr>
        <w:t>竞争性</w:t>
      </w:r>
      <w:r>
        <w:rPr>
          <w:rFonts w:hint="eastAsia" w:cs="宋体"/>
          <w:b/>
          <w:bCs/>
          <w:color w:val="auto"/>
          <w:sz w:val="60"/>
          <w:szCs w:val="60"/>
          <w:highlight w:val="none"/>
          <w:lang w:val="en-US" w:eastAsia="zh-CN"/>
        </w:rPr>
        <w:t>谈判</w:t>
      </w:r>
      <w:r>
        <w:rPr>
          <w:rFonts w:hint="eastAsia" w:ascii="宋体" w:hAnsi="宋体" w:eastAsia="宋体" w:cs="宋体"/>
          <w:b/>
          <w:bCs/>
          <w:color w:val="auto"/>
          <w:sz w:val="60"/>
          <w:szCs w:val="60"/>
          <w:highlight w:val="none"/>
        </w:rPr>
        <w:t>文件</w:t>
      </w:r>
    </w:p>
    <w:p w14:paraId="64E764E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60"/>
          <w:szCs w:val="60"/>
          <w:highlight w:val="none"/>
        </w:rPr>
      </w:pPr>
    </w:p>
    <w:p w14:paraId="4E1FA33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6C8C8A47">
      <w:pPr>
        <w:jc w:val="center"/>
        <w:rPr>
          <w:rFonts w:ascii="黑体" w:hAnsi="黑体" w:eastAsia="黑体"/>
          <w:color w:val="auto"/>
          <w:sz w:val="72"/>
          <w:szCs w:val="72"/>
          <w:highlight w:val="none"/>
        </w:rPr>
      </w:pPr>
    </w:p>
    <w:p w14:paraId="281ECC9C">
      <w:pPr>
        <w:jc w:val="center"/>
        <w:rPr>
          <w:rFonts w:ascii="黑体" w:hAnsi="黑体" w:eastAsia="黑体"/>
          <w:color w:val="auto"/>
          <w:sz w:val="72"/>
          <w:szCs w:val="72"/>
          <w:highlight w:val="none"/>
        </w:rPr>
      </w:pPr>
    </w:p>
    <w:p w14:paraId="450CD3A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黑体" w:hAnsi="黑体" w:eastAsia="黑体"/>
          <w:color w:val="auto"/>
          <w:sz w:val="72"/>
          <w:szCs w:val="72"/>
          <w:highlight w:val="none"/>
        </w:rPr>
      </w:pPr>
    </w:p>
    <w:p w14:paraId="7A2B5886">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cs="宋体"/>
          <w:color w:val="auto"/>
          <w:sz w:val="36"/>
          <w:szCs w:val="36"/>
          <w:highlight w:val="none"/>
          <w:u w:val="single"/>
          <w:lang w:eastAsia="zh-CN"/>
        </w:rPr>
        <w:t>GTZB（ZC）2026-133-01</w:t>
      </w:r>
    </w:p>
    <w:p w14:paraId="7C82BF7F">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rPr>
      </w:pPr>
    </w:p>
    <w:p w14:paraId="24ABB9FB">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库尔勒上库高新技术产业开发区春季绿化</w:t>
      </w:r>
    </w:p>
    <w:p w14:paraId="4ED656F3">
      <w:pPr>
        <w:keepNext w:val="0"/>
        <w:keepLines w:val="0"/>
        <w:pageBreakBefore w:val="0"/>
        <w:widowControl w:val="0"/>
        <w:kinsoku/>
        <w:wordWrap/>
        <w:overflowPunct/>
        <w:topLinePunct w:val="0"/>
        <w:autoSpaceDE/>
        <w:autoSpaceDN/>
        <w:bidi w:val="0"/>
        <w:adjustRightInd/>
        <w:snapToGrid/>
        <w:spacing w:line="480" w:lineRule="auto"/>
        <w:ind w:left="0" w:leftChars="0" w:firstLine="2160" w:firstLineChars="600"/>
        <w:jc w:val="left"/>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u w:val="single"/>
        </w:rPr>
        <w:t>-苗木采购项目</w:t>
      </w:r>
      <w:r>
        <w:rPr>
          <w:rFonts w:hint="eastAsia" w:cs="宋体"/>
          <w:color w:val="auto"/>
          <w:sz w:val="36"/>
          <w:szCs w:val="36"/>
          <w:highlight w:val="none"/>
          <w:u w:val="single"/>
          <w:lang w:eastAsia="zh-CN"/>
        </w:rPr>
        <w:t>（</w:t>
      </w:r>
      <w:r>
        <w:rPr>
          <w:rFonts w:hint="eastAsia" w:cs="宋体"/>
          <w:color w:val="auto"/>
          <w:sz w:val="36"/>
          <w:szCs w:val="36"/>
          <w:highlight w:val="none"/>
          <w:u w:val="single"/>
          <w:lang w:val="en-US" w:eastAsia="zh-CN"/>
        </w:rPr>
        <w:t>二次</w:t>
      </w:r>
      <w:r>
        <w:rPr>
          <w:rFonts w:hint="eastAsia" w:cs="宋体"/>
          <w:color w:val="auto"/>
          <w:sz w:val="36"/>
          <w:szCs w:val="36"/>
          <w:highlight w:val="none"/>
          <w:u w:val="single"/>
          <w:lang w:eastAsia="zh-CN"/>
        </w:rPr>
        <w:t>）</w:t>
      </w:r>
    </w:p>
    <w:p w14:paraId="6CC6AA2D">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rPr>
      </w:pPr>
    </w:p>
    <w:p w14:paraId="728E52F3">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购</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库尔勒上库高新技术产业开发区管理委员会</w:t>
      </w:r>
    </w:p>
    <w:p w14:paraId="706592B6">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rPr>
      </w:pPr>
    </w:p>
    <w:p w14:paraId="4B180FDF">
      <w:pPr>
        <w:keepNext w:val="0"/>
        <w:keepLines w:val="0"/>
        <w:pageBreakBefore w:val="0"/>
        <w:widowControl w:val="0"/>
        <w:kinsoku/>
        <w:wordWrap/>
        <w:overflowPunct/>
        <w:topLinePunct w:val="0"/>
        <w:autoSpaceDE/>
        <w:autoSpaceDN/>
        <w:bidi w:val="0"/>
        <w:adjustRightInd/>
        <w:snapToGrid/>
        <w:spacing w:line="480" w:lineRule="auto"/>
        <w:ind w:left="0" w:leftChars="0" w:firstLine="360" w:firstLineChars="100"/>
        <w:jc w:val="left"/>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eastAsia="zh-CN"/>
        </w:rPr>
        <w:t>新疆国腾工程项目管理咨询有限公司</w:t>
      </w:r>
    </w:p>
    <w:p w14:paraId="2C93F193">
      <w:pPr>
        <w:keepNext w:val="0"/>
        <w:keepLines w:val="0"/>
        <w:pageBreakBefore w:val="0"/>
        <w:widowControl w:val="0"/>
        <w:kinsoku/>
        <w:wordWrap/>
        <w:overflowPunct/>
        <w:topLinePunct w:val="0"/>
        <w:autoSpaceDE/>
        <w:autoSpaceDN/>
        <w:bidi w:val="0"/>
        <w:adjustRightInd/>
        <w:snapToGrid/>
        <w:spacing w:line="480" w:lineRule="auto"/>
        <w:textAlignment w:val="auto"/>
        <w:rPr>
          <w:rFonts w:ascii="黑体" w:hAnsi="黑体" w:eastAsia="黑体"/>
          <w:color w:val="auto"/>
          <w:highlight w:val="none"/>
        </w:rPr>
      </w:pPr>
    </w:p>
    <w:p w14:paraId="02F7A15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p>
    <w:p w14:paraId="27E04485">
      <w:pPr>
        <w:rPr>
          <w:rFonts w:ascii="黑体" w:hAnsi="黑体" w:eastAsia="黑体"/>
          <w:color w:val="auto"/>
          <w:sz w:val="32"/>
          <w:szCs w:val="32"/>
          <w:highlight w:val="none"/>
        </w:rPr>
      </w:pPr>
    </w:p>
    <w:p w14:paraId="798135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使用说明</w:t>
      </w:r>
    </w:p>
    <w:p w14:paraId="344ECDD7">
      <w:pPr>
        <w:pStyle w:val="53"/>
        <w:rPr>
          <w:rFonts w:hint="eastAsia" w:ascii="黑体" w:hAnsi="黑体" w:eastAsia="黑体"/>
          <w:color w:val="auto"/>
          <w:sz w:val="72"/>
          <w:szCs w:val="72"/>
          <w:highlight w:val="none"/>
        </w:rPr>
      </w:pPr>
    </w:p>
    <w:p w14:paraId="1560DCC4">
      <w:pPr>
        <w:pStyle w:val="9"/>
        <w:keepNext w:val="0"/>
        <w:keepLines w:val="0"/>
        <w:pageBreakBefore w:val="0"/>
        <w:widowControl w:val="0"/>
        <w:kinsoku/>
        <w:overflowPunct/>
        <w:topLinePunct w:val="0"/>
        <w:autoSpaceDE/>
        <w:autoSpaceDN/>
        <w:bidi w:val="0"/>
        <w:adjustRightInd/>
        <w:snapToGrid/>
        <w:spacing w:line="360" w:lineRule="auto"/>
        <w:ind w:firstLine="600" w:firstLineChars="200"/>
        <w:textAlignment w:val="auto"/>
        <w:rPr>
          <w:rFonts w:hint="eastAsia" w:ascii="宋体" w:hAnsi="宋体" w:eastAsia="宋体" w:cs="宋体"/>
          <w:iCs/>
          <w:color w:val="auto"/>
          <w:kern w:val="2"/>
          <w:sz w:val="30"/>
          <w:szCs w:val="30"/>
          <w:highlight w:val="none"/>
          <w:shd w:val="clear" w:color="auto" w:fill="FFFFFF" w:themeFill="background1"/>
          <w:lang w:val="zh-CN" w:eastAsia="zh-CN" w:bidi="ar-SA"/>
        </w:rPr>
      </w:pPr>
      <w:r>
        <w:rPr>
          <w:rFonts w:hint="eastAsia" w:ascii="宋体" w:hAnsi="宋体" w:eastAsia="宋体" w:cs="宋体"/>
          <w:iCs/>
          <w:color w:val="auto"/>
          <w:kern w:val="2"/>
          <w:sz w:val="30"/>
          <w:szCs w:val="30"/>
          <w:highlight w:val="none"/>
          <w:shd w:val="clear" w:color="auto" w:fill="FFFFFF" w:themeFill="background1"/>
          <w:lang w:val="en-US" w:eastAsia="zh-CN" w:bidi="ar-SA"/>
        </w:rPr>
        <w:t>为促进政府采购活动的公开、公平和公正进行，进一步优化政府采购营商环境，提高竞争性谈判文件编制质量和采购工作效率，根据政府采购有关法律法规及政策要求，会同有关单位研究制定了《政府采购项目竞争性谈判文件（2026年版）》（以下简称《文本》），并在政府采购项目中推广使用，</w:t>
      </w:r>
      <w:r>
        <w:rPr>
          <w:rFonts w:hint="eastAsia" w:ascii="宋体" w:hAnsi="宋体" w:eastAsia="宋体" w:cs="宋体"/>
          <w:iCs/>
          <w:color w:val="auto"/>
          <w:kern w:val="2"/>
          <w:sz w:val="30"/>
          <w:szCs w:val="30"/>
          <w:highlight w:val="none"/>
          <w:shd w:val="clear" w:color="auto" w:fill="FFFFFF" w:themeFill="background1"/>
          <w:lang w:val="zh-CN" w:eastAsia="zh-CN" w:bidi="ar-SA"/>
        </w:rPr>
        <w:t>特此说明如下：</w:t>
      </w:r>
    </w:p>
    <w:p w14:paraId="762D3896">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rPr>
      </w:pPr>
      <w:r>
        <w:rPr>
          <w:rFonts w:hint="eastAsia" w:ascii="黑体" w:hAnsi="黑体" w:eastAsia="黑体" w:cs="黑体"/>
          <w:b/>
          <w:bCs/>
          <w:color w:val="auto"/>
          <w:sz w:val="32"/>
          <w:szCs w:val="24"/>
          <w:highlight w:val="none"/>
        </w:rPr>
        <w:t>一、适用范围</w:t>
      </w:r>
    </w:p>
    <w:p w14:paraId="28837969">
      <w:pPr>
        <w:pStyle w:val="9"/>
        <w:keepNext w:val="0"/>
        <w:keepLines w:val="0"/>
        <w:pageBreakBefore w:val="0"/>
        <w:widowControl w:val="0"/>
        <w:kinsoku/>
        <w:overflowPunct/>
        <w:topLinePunct w:val="0"/>
        <w:autoSpaceDE/>
        <w:autoSpaceDN/>
        <w:bidi w:val="0"/>
        <w:adjustRightInd/>
        <w:snapToGrid/>
        <w:spacing w:line="360" w:lineRule="auto"/>
        <w:ind w:firstLine="600" w:firstLineChars="200"/>
        <w:textAlignment w:val="auto"/>
        <w:rPr>
          <w:rFonts w:hint="eastAsia" w:ascii="宋体" w:hAnsi="宋体" w:eastAsia="宋体" w:cs="宋体"/>
          <w:iCs/>
          <w:color w:val="auto"/>
          <w:kern w:val="2"/>
          <w:sz w:val="30"/>
          <w:szCs w:val="30"/>
          <w:highlight w:val="none"/>
          <w:shd w:val="clear" w:color="auto" w:fill="FFFFFF" w:themeFill="background1"/>
          <w:lang w:val="zh-CN" w:eastAsia="zh-CN" w:bidi="ar-SA"/>
        </w:rPr>
      </w:pPr>
      <w:r>
        <w:rPr>
          <w:rFonts w:hint="eastAsia" w:ascii="宋体" w:hAnsi="宋体" w:eastAsia="宋体" w:cs="宋体"/>
          <w:iCs/>
          <w:color w:val="auto"/>
          <w:kern w:val="2"/>
          <w:sz w:val="30"/>
          <w:szCs w:val="30"/>
          <w:highlight w:val="none"/>
          <w:shd w:val="clear" w:color="auto" w:fill="FFFFFF" w:themeFill="background1"/>
          <w:lang w:val="zh-CN" w:eastAsia="zh-CN" w:bidi="ar-SA"/>
        </w:rPr>
        <w:t>《文本》适用于政府采购项目。</w:t>
      </w:r>
    </w:p>
    <w:p w14:paraId="42BB8292">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rPr>
      </w:pPr>
      <w:r>
        <w:rPr>
          <w:rFonts w:hint="eastAsia" w:ascii="黑体" w:hAnsi="黑体" w:eastAsia="黑体" w:cs="黑体"/>
          <w:b/>
          <w:bCs/>
          <w:color w:val="auto"/>
          <w:sz w:val="32"/>
          <w:szCs w:val="24"/>
          <w:highlight w:val="none"/>
        </w:rPr>
        <w:t>二、使用规则</w:t>
      </w:r>
    </w:p>
    <w:p w14:paraId="4E121B87">
      <w:pPr>
        <w:pStyle w:val="9"/>
        <w:keepNext w:val="0"/>
        <w:keepLines w:val="0"/>
        <w:pageBreakBefore w:val="0"/>
        <w:widowControl w:val="0"/>
        <w:kinsoku/>
        <w:overflowPunct/>
        <w:topLinePunct w:val="0"/>
        <w:autoSpaceDE/>
        <w:autoSpaceDN/>
        <w:bidi w:val="0"/>
        <w:adjustRightInd/>
        <w:snapToGrid/>
        <w:spacing w:line="360" w:lineRule="auto"/>
        <w:ind w:firstLine="600" w:firstLineChars="200"/>
        <w:textAlignment w:val="auto"/>
        <w:rPr>
          <w:rFonts w:hint="eastAsia" w:ascii="宋体" w:hAnsi="宋体" w:eastAsia="宋体" w:cs="宋体"/>
          <w:iCs/>
          <w:color w:val="auto"/>
          <w:kern w:val="2"/>
          <w:sz w:val="30"/>
          <w:szCs w:val="30"/>
          <w:highlight w:val="none"/>
          <w:shd w:val="clear" w:color="auto" w:fill="FFFFFF" w:themeFill="background1"/>
          <w:lang w:val="zh-CN" w:eastAsia="zh-CN" w:bidi="ar-SA"/>
        </w:rPr>
      </w:pPr>
      <w:r>
        <w:rPr>
          <w:rFonts w:hint="eastAsia" w:ascii="宋体" w:hAnsi="宋体" w:eastAsia="宋体" w:cs="宋体"/>
          <w:iCs/>
          <w:color w:val="auto"/>
          <w:kern w:val="2"/>
          <w:sz w:val="30"/>
          <w:szCs w:val="30"/>
          <w:highlight w:val="none"/>
          <w:shd w:val="clear" w:color="auto" w:fill="FFFFFF" w:themeFill="background1"/>
          <w:lang w:val="en-US" w:eastAsia="zh-CN" w:bidi="ar-SA"/>
        </w:rPr>
        <w:t>1.条款中以“□”形式标记的内容，适用于本项目的选项标记为“</w:t>
      </w:r>
      <w:r>
        <w:rPr>
          <w:rFonts w:hint="eastAsia" w:ascii="宋体" w:hAnsi="宋体" w:eastAsia="宋体" w:cs="宋体"/>
          <w:iCs/>
          <w:color w:val="auto"/>
          <w:kern w:val="2"/>
          <w:sz w:val="30"/>
          <w:szCs w:val="30"/>
          <w:highlight w:val="none"/>
          <w:shd w:val="clear" w:color="auto" w:fill="FFFFFF" w:themeFill="background1"/>
          <w:lang w:val="en-US" w:eastAsia="zh-CN" w:bidi="ar-SA"/>
        </w:rPr>
        <w:sym w:font="Wingdings 2" w:char="0052"/>
      </w:r>
      <w:r>
        <w:rPr>
          <w:rFonts w:hint="eastAsia" w:ascii="宋体" w:hAnsi="宋体" w:eastAsia="宋体" w:cs="宋体"/>
          <w:iCs/>
          <w:color w:val="auto"/>
          <w:kern w:val="2"/>
          <w:sz w:val="30"/>
          <w:szCs w:val="30"/>
          <w:highlight w:val="none"/>
          <w:shd w:val="clear" w:color="auto" w:fill="FFFFFF" w:themeFill="background1"/>
          <w:lang w:val="en-US" w:eastAsia="zh-CN" w:bidi="ar-SA"/>
        </w:rPr>
        <w:t>”，不适用于本项目的选项标记为“□”。</w:t>
      </w:r>
    </w:p>
    <w:p w14:paraId="3A26A745">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rPr>
      </w:pPr>
      <w:r>
        <w:rPr>
          <w:rFonts w:hint="eastAsia" w:ascii="黑体" w:hAnsi="黑体" w:eastAsia="黑体" w:cs="黑体"/>
          <w:b/>
          <w:bCs/>
          <w:color w:val="auto"/>
          <w:sz w:val="32"/>
          <w:szCs w:val="24"/>
          <w:highlight w:val="none"/>
        </w:rPr>
        <w:t>三、</w:t>
      </w:r>
      <w:r>
        <w:rPr>
          <w:rFonts w:hint="eastAsia" w:ascii="黑体" w:hAnsi="黑体" w:eastAsia="黑体" w:cs="黑体"/>
          <w:b/>
          <w:bCs/>
          <w:color w:val="auto"/>
          <w:sz w:val="32"/>
          <w:szCs w:val="24"/>
          <w:highlight w:val="none"/>
          <w:lang w:val="en-US" w:eastAsia="zh-CN"/>
        </w:rPr>
        <w:t>供应商</w:t>
      </w:r>
      <w:r>
        <w:rPr>
          <w:rFonts w:hint="eastAsia" w:ascii="黑体" w:hAnsi="黑体" w:eastAsia="黑体" w:cs="黑体"/>
          <w:b/>
          <w:bCs/>
          <w:color w:val="auto"/>
          <w:sz w:val="32"/>
          <w:szCs w:val="24"/>
          <w:highlight w:val="none"/>
        </w:rPr>
        <w:t>须知前附表说明</w:t>
      </w:r>
    </w:p>
    <w:p w14:paraId="7942F6BE">
      <w:pPr>
        <w:pStyle w:val="35"/>
        <w:keepNext w:val="0"/>
        <w:keepLines w:val="0"/>
        <w:pageBreakBefore w:val="0"/>
        <w:widowControl w:val="0"/>
        <w:kinsoku/>
        <w:wordWrap w:val="0"/>
        <w:overflowPunct/>
        <w:topLinePunct w:val="0"/>
        <w:autoSpaceDE/>
        <w:autoSpaceDN/>
        <w:bidi w:val="0"/>
        <w:adjustRightInd/>
        <w:snapToGrid/>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val="en-US" w:eastAsia="zh-CN"/>
        </w:rPr>
        <w:t>1.</w:t>
      </w:r>
      <w:r>
        <w:rPr>
          <w:rFonts w:hint="eastAsia" w:ascii="宋体" w:hAnsi="宋体" w:eastAsia="宋体" w:cs="宋体"/>
          <w:color w:val="auto"/>
          <w:sz w:val="30"/>
          <w:szCs w:val="30"/>
          <w:highlight w:val="none"/>
        </w:rPr>
        <w:t>为了便于</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高效阅览、避免遗漏重点内容，《文本》对第二章“</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须知”设置了表格形式。“</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须知前附表”用于进一步明确“</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须知”正文中的未尽事宜，“</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须知前附表”与“</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须知”正文内容不一致的，以“</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须知前附表”为准。</w:t>
      </w:r>
    </w:p>
    <w:p w14:paraId="7DCB88FF">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rPr>
      </w:pPr>
      <w:r>
        <w:rPr>
          <w:rFonts w:hint="eastAsia" w:ascii="黑体" w:hAnsi="黑体" w:eastAsia="黑体" w:cs="黑体"/>
          <w:b/>
          <w:bCs/>
          <w:color w:val="auto"/>
          <w:sz w:val="32"/>
          <w:szCs w:val="24"/>
          <w:highlight w:val="none"/>
          <w:lang w:val="en-US" w:eastAsia="zh-CN"/>
        </w:rPr>
        <w:t>四、</w:t>
      </w:r>
      <w:r>
        <w:rPr>
          <w:rFonts w:hint="eastAsia" w:ascii="黑体" w:hAnsi="黑体" w:eastAsia="黑体" w:cs="黑体"/>
          <w:b/>
          <w:bCs/>
          <w:color w:val="auto"/>
          <w:sz w:val="32"/>
          <w:szCs w:val="24"/>
          <w:highlight w:val="none"/>
        </w:rPr>
        <w:t>合同文本</w:t>
      </w:r>
    </w:p>
    <w:p w14:paraId="7F46068E">
      <w:pPr>
        <w:pStyle w:val="35"/>
        <w:keepNext w:val="0"/>
        <w:keepLines w:val="0"/>
        <w:pageBreakBefore w:val="0"/>
        <w:widowControl w:val="0"/>
        <w:kinsoku/>
        <w:overflowPunct/>
        <w:topLinePunct w:val="0"/>
        <w:autoSpaceDE/>
        <w:autoSpaceDN/>
        <w:bidi w:val="0"/>
        <w:adjustRightInd/>
        <w:snapToGrid/>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文本》中的合同仅用于参考。依据《中华人民共和国民法典》等有关法律法规和政策要求，结合采购项目合同类型和特点，规范拟定和签署项目采购合同。在拟定合同文本时，应优先选择国家或行业制定推荐的有关标准或示范合同文本。</w:t>
      </w:r>
    </w:p>
    <w:p w14:paraId="655754F7">
      <w:pPr>
        <w:keepNext w:val="0"/>
        <w:keepLines w:val="0"/>
        <w:pageBreakBefore w:val="0"/>
        <w:widowControl w:val="0"/>
        <w:kinsoku/>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24"/>
          <w:highlight w:val="none"/>
        </w:rPr>
      </w:pPr>
      <w:r>
        <w:rPr>
          <w:rFonts w:hint="eastAsia" w:ascii="黑体" w:hAnsi="黑体" w:eastAsia="黑体" w:cs="黑体"/>
          <w:b/>
          <w:bCs/>
          <w:color w:val="auto"/>
          <w:sz w:val="32"/>
          <w:szCs w:val="24"/>
          <w:highlight w:val="none"/>
          <w:lang w:val="en-US" w:eastAsia="zh-CN"/>
        </w:rPr>
        <w:t>五</w:t>
      </w:r>
      <w:r>
        <w:rPr>
          <w:rFonts w:hint="eastAsia" w:ascii="黑体" w:hAnsi="黑体" w:eastAsia="黑体" w:cs="黑体"/>
          <w:b/>
          <w:bCs/>
          <w:color w:val="auto"/>
          <w:sz w:val="32"/>
          <w:szCs w:val="24"/>
          <w:highlight w:val="none"/>
        </w:rPr>
        <w:t>、</w:t>
      </w:r>
      <w:r>
        <w:rPr>
          <w:rFonts w:hint="eastAsia" w:ascii="黑体" w:hAnsi="黑体" w:eastAsia="黑体" w:cs="黑体"/>
          <w:b/>
          <w:bCs/>
          <w:color w:val="auto"/>
          <w:sz w:val="32"/>
          <w:szCs w:val="24"/>
          <w:highlight w:val="none"/>
          <w:lang w:val="en-US" w:eastAsia="zh-CN"/>
        </w:rPr>
        <w:t>响应</w:t>
      </w:r>
      <w:r>
        <w:rPr>
          <w:rFonts w:hint="eastAsia" w:ascii="黑体" w:hAnsi="黑体" w:eastAsia="黑体" w:cs="黑体"/>
          <w:b/>
          <w:bCs/>
          <w:color w:val="auto"/>
          <w:sz w:val="32"/>
          <w:szCs w:val="24"/>
          <w:highlight w:val="none"/>
        </w:rPr>
        <w:t>文件格式使用</w:t>
      </w:r>
    </w:p>
    <w:p w14:paraId="785E2B4F">
      <w:pPr>
        <w:pStyle w:val="35"/>
        <w:keepNext w:val="0"/>
        <w:keepLines w:val="0"/>
        <w:pageBreakBefore w:val="0"/>
        <w:widowControl w:val="0"/>
        <w:kinsoku/>
        <w:overflowPunct/>
        <w:topLinePunct w:val="0"/>
        <w:autoSpaceDE/>
        <w:autoSpaceDN/>
        <w:bidi w:val="0"/>
        <w:adjustRightInd/>
        <w:snapToGrid/>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为便于</w:t>
      </w:r>
      <w:r>
        <w:rPr>
          <w:rFonts w:hint="eastAsia" w:ascii="宋体" w:hAnsi="宋体" w:eastAsia="宋体" w:cs="宋体"/>
          <w:color w:val="auto"/>
          <w:sz w:val="30"/>
          <w:szCs w:val="30"/>
          <w:highlight w:val="none"/>
          <w:lang w:val="en-US" w:eastAsia="zh-CN"/>
        </w:rPr>
        <w:t>供应商</w:t>
      </w:r>
      <w:r>
        <w:rPr>
          <w:rFonts w:hint="eastAsia" w:ascii="宋体" w:hAnsi="宋体" w:eastAsia="宋体" w:cs="宋体"/>
          <w:color w:val="auto"/>
          <w:sz w:val="30"/>
          <w:szCs w:val="30"/>
          <w:highlight w:val="none"/>
        </w:rPr>
        <w:t>制作</w:t>
      </w:r>
      <w:r>
        <w:rPr>
          <w:rFonts w:hint="eastAsia" w:ascii="宋体" w:hAnsi="宋体" w:eastAsia="宋体" w:cs="宋体"/>
          <w:color w:val="auto"/>
          <w:sz w:val="30"/>
          <w:szCs w:val="30"/>
          <w:highlight w:val="none"/>
          <w:lang w:val="en-US" w:eastAsia="zh-CN"/>
        </w:rPr>
        <w:t>响应</w:t>
      </w:r>
      <w:r>
        <w:rPr>
          <w:rFonts w:hint="eastAsia" w:ascii="宋体" w:hAnsi="宋体" w:eastAsia="宋体" w:cs="宋体"/>
          <w:color w:val="auto"/>
          <w:sz w:val="30"/>
          <w:szCs w:val="30"/>
          <w:highlight w:val="none"/>
        </w:rPr>
        <w:t>文件，便于</w:t>
      </w:r>
      <w:r>
        <w:rPr>
          <w:rFonts w:hint="eastAsia" w:ascii="宋体" w:hAnsi="宋体" w:eastAsia="宋体" w:cs="宋体"/>
          <w:color w:val="auto"/>
          <w:sz w:val="30"/>
          <w:szCs w:val="30"/>
          <w:highlight w:val="none"/>
          <w:lang w:val="en-US" w:eastAsia="zh-CN"/>
        </w:rPr>
        <w:t>竞争性</w:t>
      </w:r>
      <w:r>
        <w:rPr>
          <w:rFonts w:hint="eastAsia" w:cs="宋体"/>
          <w:color w:val="auto"/>
          <w:sz w:val="30"/>
          <w:szCs w:val="30"/>
          <w:highlight w:val="none"/>
          <w:lang w:val="en-US" w:eastAsia="zh-CN"/>
        </w:rPr>
        <w:t>谈判</w:t>
      </w:r>
      <w:r>
        <w:rPr>
          <w:rFonts w:hint="eastAsia" w:ascii="宋体" w:hAnsi="宋体" w:eastAsia="宋体" w:cs="宋体"/>
          <w:color w:val="auto"/>
          <w:sz w:val="30"/>
          <w:szCs w:val="30"/>
          <w:highlight w:val="none"/>
          <w:lang w:val="en-US" w:eastAsia="zh-CN"/>
        </w:rPr>
        <w:t>小组</w:t>
      </w:r>
      <w:r>
        <w:rPr>
          <w:rFonts w:hint="eastAsia" w:ascii="宋体" w:hAnsi="宋体" w:eastAsia="宋体" w:cs="宋体"/>
          <w:color w:val="auto"/>
          <w:sz w:val="30"/>
          <w:szCs w:val="30"/>
          <w:highlight w:val="none"/>
        </w:rPr>
        <w:t>评审时统一标准，《文本》对适宜的内容提供了统一的</w:t>
      </w:r>
      <w:r>
        <w:rPr>
          <w:rFonts w:hint="eastAsia" w:ascii="宋体" w:hAnsi="宋体" w:eastAsia="宋体" w:cs="宋体"/>
          <w:color w:val="auto"/>
          <w:sz w:val="30"/>
          <w:szCs w:val="30"/>
          <w:highlight w:val="none"/>
          <w:lang w:val="en-US" w:eastAsia="zh-CN"/>
        </w:rPr>
        <w:t>响应</w:t>
      </w:r>
      <w:r>
        <w:rPr>
          <w:rFonts w:hint="eastAsia" w:ascii="宋体" w:hAnsi="宋体" w:eastAsia="宋体" w:cs="宋体"/>
          <w:color w:val="auto"/>
          <w:sz w:val="30"/>
          <w:szCs w:val="30"/>
          <w:highlight w:val="none"/>
        </w:rPr>
        <w:t>文件参考格式。</w:t>
      </w:r>
    </w:p>
    <w:p w14:paraId="3B7B1BF2">
      <w:pPr>
        <w:pStyle w:val="35"/>
        <w:ind w:firstLine="640"/>
        <w:rPr>
          <w:rFonts w:hint="eastAsia" w:ascii="仿宋" w:hAnsi="仿宋" w:eastAsia="仿宋" w:cs="仿宋"/>
          <w:color w:val="auto"/>
          <w:sz w:val="24"/>
          <w:szCs w:val="24"/>
          <w:highlight w:val="none"/>
        </w:rPr>
      </w:pPr>
    </w:p>
    <w:p w14:paraId="29422657">
      <w:pPr>
        <w:rPr>
          <w:rFonts w:ascii="黑体" w:hAnsi="黑体" w:eastAsia="黑体"/>
          <w:color w:val="auto"/>
          <w:sz w:val="32"/>
          <w:szCs w:val="32"/>
          <w:highlight w:val="none"/>
        </w:rPr>
        <w:sectPr>
          <w:pgSz w:w="11906" w:h="16838"/>
          <w:pgMar w:top="1440" w:right="1196" w:bottom="1440" w:left="1196" w:header="851" w:footer="992" w:gutter="0"/>
          <w:pgNumType w:fmt="numberInDash"/>
          <w:cols w:space="425" w:num="1"/>
          <w:docGrid w:type="lines" w:linePitch="312" w:charSpace="0"/>
        </w:sectPr>
      </w:pPr>
    </w:p>
    <w:p w14:paraId="44858711">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jc w:val="center"/>
        <w:rPr>
          <w:rFonts w:hint="eastAsia" w:ascii="宋体" w:hAnsi="宋体" w:eastAsia="宋体" w:cs="宋体"/>
          <w:b/>
          <w:bCs/>
          <w:color w:val="auto"/>
          <w:sz w:val="36"/>
          <w:szCs w:val="36"/>
          <w:highlight w:val="none"/>
        </w:rPr>
      </w:pPr>
    </w:p>
    <w:p w14:paraId="61C88D21">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"1-2"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_Toc23362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 xml:space="preserve">第一章 </w:t>
      </w:r>
      <w:r>
        <w:rPr>
          <w:rFonts w:hint="eastAsia" w:ascii="宋体" w:hAnsi="宋体" w:eastAsia="宋体" w:cs="宋体"/>
          <w:color w:val="auto"/>
          <w:sz w:val="30"/>
          <w:szCs w:val="30"/>
          <w:highlight w:val="none"/>
        </w:rPr>
        <w:t>竞争性</w:t>
      </w:r>
      <w:r>
        <w:rPr>
          <w:rFonts w:hint="eastAsia" w:ascii="宋体" w:hAnsi="宋体" w:eastAsia="宋体" w:cs="宋体"/>
          <w:color w:val="auto"/>
          <w:sz w:val="30"/>
          <w:szCs w:val="30"/>
          <w:highlight w:val="none"/>
          <w:lang w:val="en-US" w:eastAsia="zh-CN"/>
        </w:rPr>
        <w:t>谈判公告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_Toc23362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826E7A5">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_Toc28863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_Toc28863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7B8928A">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_Toc20486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第三章 项目采购需求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_Toc20486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6139A622">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_Toc10757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第四章 评审方法及标准</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_Toc10757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9BEDCB3">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_Toc29904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 xml:space="preserve">第五章 </w:t>
      </w:r>
      <w:r>
        <w:rPr>
          <w:rFonts w:hint="eastAsia" w:ascii="宋体" w:hAnsi="宋体" w:eastAsia="宋体" w:cs="宋体"/>
          <w:bCs/>
          <w:color w:val="auto"/>
          <w:kern w:val="44"/>
          <w:sz w:val="30"/>
          <w:szCs w:val="30"/>
          <w:highlight w:val="none"/>
          <w:lang w:val="zh-CN" w:eastAsia="zh-CN" w:bidi="ar-SA"/>
        </w:rPr>
        <w:t>合同草案</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_Toc29904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8514B36">
      <w:pPr>
        <w:pStyle w:val="19"/>
        <w:keepNext w:val="0"/>
        <w:keepLines w:val="0"/>
        <w:pageBreakBefore w:val="0"/>
        <w:widowControl w:val="0"/>
        <w:tabs>
          <w:tab w:val="right" w:leader="dot" w:pos="8306"/>
        </w:tabs>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_Toc26172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kern w:val="44"/>
          <w:sz w:val="30"/>
          <w:szCs w:val="30"/>
          <w:highlight w:val="none"/>
          <w:lang w:val="en-US" w:eastAsia="zh-CN" w:bidi="ar-SA"/>
        </w:rPr>
        <w:t xml:space="preserve">第六章 </w:t>
      </w:r>
      <w:r>
        <w:rPr>
          <w:rFonts w:hint="eastAsia" w:ascii="宋体" w:hAnsi="宋体" w:eastAsia="宋体" w:cs="宋体"/>
          <w:color w:val="auto"/>
          <w:sz w:val="30"/>
          <w:szCs w:val="30"/>
          <w:highlight w:val="none"/>
        </w:rPr>
        <w:t>响应文件的格式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_Toc26172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66</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91DD8A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30"/>
          <w:szCs w:val="30"/>
          <w:highlight w:val="none"/>
        </w:rPr>
      </w:pPr>
    </w:p>
    <w:p w14:paraId="4D90D7D4">
      <w:pPr>
        <w:spacing w:line="360" w:lineRule="auto"/>
        <w:rPr>
          <w:rFonts w:ascii="黑体" w:hAnsi="黑体" w:eastAsia="黑体"/>
          <w:color w:val="auto"/>
          <w:sz w:val="32"/>
          <w:szCs w:val="32"/>
          <w:highlight w:val="none"/>
        </w:rPr>
      </w:pPr>
      <w:r>
        <w:rPr>
          <w:rFonts w:hint="eastAsia" w:ascii="宋体" w:hAnsi="宋体" w:eastAsia="宋体" w:cs="宋体"/>
          <w:color w:val="auto"/>
          <w:sz w:val="30"/>
          <w:szCs w:val="30"/>
          <w:highlight w:val="none"/>
        </w:rPr>
        <w:fldChar w:fldCharType="end"/>
      </w:r>
    </w:p>
    <w:p w14:paraId="63C53D3C">
      <w:pPr>
        <w:jc w:val="center"/>
        <w:rPr>
          <w:rFonts w:ascii="黑体" w:hAnsi="黑体" w:eastAsia="黑体"/>
          <w:color w:val="auto"/>
          <w:sz w:val="32"/>
          <w:szCs w:val="32"/>
          <w:highlight w:val="none"/>
        </w:rPr>
        <w:sectPr>
          <w:headerReference r:id="rId5" w:type="default"/>
          <w:pgSz w:w="11906" w:h="16838"/>
          <w:pgMar w:top="1440" w:right="1196" w:bottom="1440" w:left="1196" w:header="851" w:footer="1020" w:gutter="0"/>
          <w:pgNumType w:fmt="numberInDash"/>
          <w:cols w:space="425" w:num="1"/>
          <w:docGrid w:type="lines" w:linePitch="312" w:charSpace="0"/>
        </w:sectPr>
      </w:pPr>
    </w:p>
    <w:p w14:paraId="0DDCC6E5">
      <w:pPr>
        <w:pStyle w:val="2"/>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color w:val="auto"/>
          <w:highlight w:val="none"/>
        </w:rPr>
      </w:pPr>
      <w:bookmarkStart w:id="0" w:name="_Toc23362"/>
      <w:bookmarkStart w:id="1" w:name="_Toc27583"/>
      <w:r>
        <w:rPr>
          <w:rFonts w:hint="eastAsia" w:ascii="宋体" w:hAnsi="宋体" w:eastAsia="宋体" w:cs="宋体"/>
          <w:b/>
          <w:bCs/>
          <w:color w:val="auto"/>
          <w:kern w:val="44"/>
          <w:sz w:val="36"/>
          <w:szCs w:val="36"/>
          <w:highlight w:val="none"/>
          <w:lang w:val="en-US" w:eastAsia="zh-CN" w:bidi="ar-SA"/>
        </w:rPr>
        <w:t xml:space="preserve">第一章 </w:t>
      </w:r>
      <w:r>
        <w:rPr>
          <w:rFonts w:hint="eastAsia" w:ascii="宋体" w:hAnsi="宋体" w:eastAsia="宋体" w:cs="宋体"/>
          <w:color w:val="auto"/>
          <w:sz w:val="36"/>
          <w:szCs w:val="36"/>
          <w:highlight w:val="none"/>
        </w:rPr>
        <w:t>竞争性</w:t>
      </w:r>
      <w:r>
        <w:rPr>
          <w:rFonts w:hint="eastAsia" w:eastAsia="宋体" w:cs="宋体"/>
          <w:color w:val="auto"/>
          <w:sz w:val="36"/>
          <w:szCs w:val="36"/>
          <w:highlight w:val="none"/>
          <w:lang w:val="en-US" w:eastAsia="zh-CN"/>
        </w:rPr>
        <w:t>谈判</w:t>
      </w:r>
      <w:r>
        <w:rPr>
          <w:rFonts w:hint="eastAsia" w:ascii="宋体" w:hAnsi="宋体" w:eastAsia="宋体" w:cs="宋体"/>
          <w:color w:val="auto"/>
          <w:sz w:val="36"/>
          <w:szCs w:val="36"/>
          <w:highlight w:val="none"/>
          <w:lang w:val="en-US" w:eastAsia="zh-CN"/>
        </w:rPr>
        <w:t>公告</w:t>
      </w:r>
      <w:bookmarkEnd w:id="0"/>
      <w:bookmarkEnd w:id="1"/>
    </w:p>
    <w:tbl>
      <w:tblPr>
        <w:tblStyle w:val="29"/>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9720" w:type="dxa"/>
          </w:tcPr>
          <w:p w14:paraId="66770E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2" w:name="_Toc10432"/>
            <w:bookmarkStart w:id="3" w:name="_Toc23798"/>
            <w:bookmarkStart w:id="4" w:name="_Toc19242"/>
            <w:bookmarkStart w:id="5" w:name="_Toc44583628"/>
            <w:bookmarkStart w:id="6" w:name="_Toc109900248"/>
            <w:bookmarkStart w:id="7" w:name="_Toc163492812"/>
            <w:bookmarkStart w:id="8" w:name="_Toc109899829"/>
            <w:bookmarkStart w:id="9" w:name="_Toc155185860"/>
            <w:bookmarkStart w:id="10" w:name="_Toc28359089"/>
            <w:bookmarkStart w:id="11" w:name="_Toc28359012"/>
            <w:bookmarkStart w:id="12" w:name="_Toc35393798"/>
            <w:bookmarkStart w:id="13" w:name="_Toc35393629"/>
            <w:bookmarkStart w:id="14" w:name="_Toc109899410"/>
            <w:bookmarkStart w:id="15" w:name="_Toc140132745"/>
            <w:r>
              <w:rPr>
                <w:rFonts w:hint="eastAsia"/>
                <w:color w:val="auto"/>
                <w:sz w:val="24"/>
                <w:szCs w:val="24"/>
                <w:highlight w:val="none"/>
                <w:lang w:val="en-US" w:eastAsia="zh-CN"/>
              </w:rPr>
              <w:t>项目概况：</w:t>
            </w:r>
            <w:bookmarkEnd w:id="2"/>
            <w:bookmarkEnd w:id="3"/>
            <w:bookmarkEnd w:id="4"/>
          </w:p>
          <w:p w14:paraId="6E3F83A4">
            <w:pPr>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库尔勒上库高新技术产业开发区春季绿化-苗木采购项目（二次）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w:t>
            </w:r>
            <w:r>
              <w:rPr>
                <w:rFonts w:hint="eastAsia" w:ascii="仿宋" w:hAnsi="仿宋" w:eastAsia="仿宋" w:cs="仿宋"/>
                <w:spacing w:val="-11"/>
                <w:sz w:val="24"/>
                <w:szCs w:val="24"/>
                <w:u w:val="single" w:color="auto"/>
              </w:rPr>
              <w:t>新疆政府采购网（</w:t>
            </w:r>
            <w:r>
              <w:rPr>
                <w:rFonts w:hint="eastAsia" w:ascii="仿宋" w:hAnsi="仿宋" w:eastAsia="仿宋" w:cs="仿宋"/>
                <w:spacing w:val="-11"/>
                <w:sz w:val="24"/>
                <w:szCs w:val="24"/>
                <w:u w:val="single" w:color="auto"/>
              </w:rPr>
              <w:fldChar w:fldCharType="begin"/>
            </w:r>
            <w:r>
              <w:rPr>
                <w:rFonts w:hint="eastAsia" w:ascii="仿宋" w:hAnsi="仿宋" w:eastAsia="仿宋" w:cs="仿宋"/>
                <w:spacing w:val="-11"/>
                <w:sz w:val="24"/>
                <w:szCs w:val="24"/>
                <w:u w:val="single" w:color="auto"/>
              </w:rPr>
              <w:instrText xml:space="preserve"> HYPERLINK "http://www.ccgp-xinjiang.gov.cn/" </w:instrText>
            </w:r>
            <w:r>
              <w:rPr>
                <w:rFonts w:hint="eastAsia" w:ascii="仿宋" w:hAnsi="仿宋" w:eastAsia="仿宋" w:cs="仿宋"/>
                <w:spacing w:val="-11"/>
                <w:sz w:val="24"/>
                <w:szCs w:val="24"/>
                <w:u w:val="single" w:color="auto"/>
              </w:rPr>
              <w:fldChar w:fldCharType="separate"/>
            </w:r>
            <w:r>
              <w:rPr>
                <w:rFonts w:hint="eastAsia" w:ascii="仿宋" w:hAnsi="仿宋" w:eastAsia="仿宋" w:cs="仿宋"/>
                <w:spacing w:val="-11"/>
                <w:sz w:val="24"/>
                <w:szCs w:val="24"/>
                <w:u w:val="single" w:color="auto"/>
              </w:rPr>
              <w:t>http://www.ccgp-xinjiang.gov.cn/</w:t>
            </w:r>
            <w:r>
              <w:rPr>
                <w:rFonts w:hint="eastAsia" w:ascii="仿宋" w:hAnsi="仿宋" w:eastAsia="仿宋" w:cs="仿宋"/>
                <w:spacing w:val="-11"/>
                <w:sz w:val="24"/>
                <w:szCs w:val="24"/>
                <w:u w:val="single" w:color="auto"/>
              </w:rPr>
              <w:fldChar w:fldCharType="end"/>
            </w:r>
            <w:r>
              <w:rPr>
                <w:rFonts w:hint="default" w:ascii="宋体" w:hAnsi="宋体" w:eastAsia="宋体" w:cstheme="minorBidi"/>
                <w:i w:val="0"/>
                <w:iCs w:val="0"/>
                <w:color w:val="auto"/>
                <w:kern w:val="2"/>
                <w:sz w:val="24"/>
                <w:szCs w:val="22"/>
                <w:highlight w:val="none"/>
                <w:u w:val="single"/>
                <w:lang w:val="en-US" w:eastAsia="zh-CN" w:bidi="ar-SA"/>
              </w:rPr>
              <w:t>）</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5</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14</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16时30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rPr>
      </w:pPr>
      <w:bookmarkStart w:id="16" w:name="_Toc13827"/>
      <w:bookmarkStart w:id="17" w:name="_Toc7440"/>
      <w:bookmarkStart w:id="18" w:name="_Toc12894"/>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5E3A1EB6">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1.项目编号</w:t>
      </w:r>
      <w:r>
        <w:rPr>
          <w:rFonts w:hint="eastAsia" w:ascii="宋体" w:hAnsi="宋体" w:eastAsia="宋体" w:cs="宋体"/>
          <w:color w:val="auto"/>
          <w:sz w:val="24"/>
          <w:szCs w:val="24"/>
          <w:highlight w:val="none"/>
          <w:lang w:val="hr-HR" w:eastAsia="zh-CN"/>
        </w:rPr>
        <w:t>/包号</w:t>
      </w:r>
      <w:r>
        <w:rPr>
          <w:rFonts w:hint="eastAsia" w:ascii="宋体" w:hAnsi="宋体" w:eastAsia="宋体" w:cs="宋体"/>
          <w:color w:val="auto"/>
          <w:sz w:val="24"/>
          <w:szCs w:val="24"/>
          <w:highlight w:val="none"/>
          <w:lang w:val="hr-HR"/>
        </w:rPr>
        <w:t>：</w:t>
      </w:r>
      <w:r>
        <w:rPr>
          <w:rFonts w:hint="eastAsia" w:cs="宋体"/>
          <w:i w:val="0"/>
          <w:iCs w:val="0"/>
          <w:color w:val="auto"/>
          <w:sz w:val="24"/>
          <w:szCs w:val="24"/>
          <w:highlight w:val="none"/>
          <w:lang w:val="hr-HR" w:eastAsia="zh-CN"/>
        </w:rPr>
        <w:t>GTZB（ZC）2026-133-01</w:t>
      </w:r>
    </w:p>
    <w:p w14:paraId="68F63F10">
      <w:pPr>
        <w:pStyle w:val="35"/>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i w:val="0"/>
          <w:iCs w:val="0"/>
          <w:color w:val="auto"/>
          <w:sz w:val="24"/>
          <w:szCs w:val="24"/>
          <w:highlight w:val="none"/>
          <w:lang w:val="hr-HR" w:eastAsia="zh-CN"/>
        </w:rPr>
        <w:t>库尔勒上库高新技术产业开发区春季绿化-苗木采购项目（二次）</w:t>
      </w:r>
    </w:p>
    <w:p w14:paraId="3CE35A7E">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p>
    <w:p w14:paraId="78A90596">
      <w:pPr>
        <w:pStyle w:val="35"/>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none"/>
        </w:rPr>
        <w:t>191.951300</w:t>
      </w:r>
      <w:r>
        <w:rPr>
          <w:rFonts w:hint="eastAsia" w:cs="宋体"/>
          <w:color w:val="auto"/>
          <w:sz w:val="24"/>
          <w:szCs w:val="24"/>
          <w:highlight w:val="none"/>
          <w:u w:val="none"/>
          <w:lang w:val="en-US" w:eastAsia="zh-CN"/>
        </w:rPr>
        <w:t>万元</w:t>
      </w:r>
      <w:r>
        <w:rPr>
          <w:rFonts w:hint="eastAsia" w:ascii="宋体" w:hAnsi="宋体" w:eastAsia="宋体" w:cs="宋体"/>
          <w:color w:val="auto"/>
          <w:sz w:val="24"/>
          <w:szCs w:val="24"/>
          <w:highlight w:val="none"/>
          <w:u w:val="none"/>
        </w:rPr>
        <w:t xml:space="preserve">        </w:t>
      </w:r>
    </w:p>
    <w:p w14:paraId="7851BE2C">
      <w:pPr>
        <w:pStyle w:val="35"/>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none"/>
        </w:rPr>
        <w:t>191.951300</w:t>
      </w:r>
      <w:r>
        <w:rPr>
          <w:rFonts w:hint="eastAsia" w:cs="宋体"/>
          <w:color w:val="auto"/>
          <w:sz w:val="24"/>
          <w:szCs w:val="24"/>
          <w:highlight w:val="none"/>
          <w:u w:val="none"/>
          <w:lang w:val="en-US" w:eastAsia="zh-CN"/>
        </w:rPr>
        <w:t>万元</w:t>
      </w:r>
    </w:p>
    <w:p w14:paraId="601A9C8F">
      <w:pPr>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.采购需求：采购水蜡、金叶榆、法桐、丁香球、金叶榆球、马兰、蜀葵、马兰花、向日葵、紫穗槐、八宝景天、海棠、白杨、大叶、小叶白蜡、山楂、枣树、杨树等</w:t>
      </w:r>
      <w:r>
        <w:rPr>
          <w:rFonts w:hint="eastAsia" w:cs="宋体"/>
          <w:color w:val="auto"/>
          <w:sz w:val="24"/>
          <w:szCs w:val="24"/>
          <w:highlight w:val="none"/>
          <w:lang w:val="hr-HR" w:eastAsia="zh-CN"/>
        </w:rPr>
        <w:t>（</w:t>
      </w:r>
      <w:r>
        <w:rPr>
          <w:rFonts w:hint="eastAsia" w:cs="宋体"/>
          <w:color w:val="auto"/>
          <w:sz w:val="24"/>
          <w:szCs w:val="24"/>
          <w:highlight w:val="none"/>
          <w:lang w:val="en-US" w:eastAsia="zh-CN"/>
        </w:rPr>
        <w:t>具体详见谈判文件采购需求</w:t>
      </w:r>
      <w:r>
        <w:rPr>
          <w:rFonts w:hint="eastAsia" w:cs="宋体"/>
          <w:color w:val="auto"/>
          <w:sz w:val="24"/>
          <w:szCs w:val="24"/>
          <w:highlight w:val="none"/>
          <w:lang w:val="hr-HR" w:eastAsia="zh-CN"/>
        </w:rPr>
        <w:t>）</w:t>
      </w:r>
    </w:p>
    <w:p w14:paraId="56FBF6DA">
      <w:pPr>
        <w:pStyle w:val="35"/>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合同签订生效之日起12个月内</w:t>
      </w:r>
      <w:r>
        <w:rPr>
          <w:rFonts w:hint="eastAsia"/>
          <w:lang w:val="en-US" w:eastAsia="zh-CN"/>
        </w:rPr>
        <w:t>按采购人需求供货</w:t>
      </w:r>
      <w:r>
        <w:rPr>
          <w:rFonts w:hint="eastAsia" w:ascii="宋体" w:hAnsi="宋体" w:eastAsia="宋体" w:cs="宋体"/>
          <w:color w:val="auto"/>
          <w:sz w:val="24"/>
          <w:szCs w:val="24"/>
          <w:highlight w:val="none"/>
          <w:lang w:val="en-US" w:eastAsia="zh-CN"/>
        </w:rPr>
        <w:t>及种植</w:t>
      </w:r>
      <w:r>
        <w:rPr>
          <w:rFonts w:hint="eastAsia" w:cs="宋体"/>
          <w:color w:val="auto"/>
          <w:sz w:val="24"/>
          <w:szCs w:val="24"/>
          <w:highlight w:val="none"/>
          <w:u w:val="none"/>
          <w:lang w:val="en-US" w:eastAsia="zh-CN"/>
        </w:rPr>
        <w:t>。</w:t>
      </w:r>
    </w:p>
    <w:p w14:paraId="4B098642">
      <w:pPr>
        <w:pStyle w:val="35"/>
        <w:rPr>
          <w:rFonts w:hint="eastAsia" w:ascii="宋体" w:hAnsi="宋体" w:eastAsia="宋体" w:cs="宋体"/>
          <w:color w:val="auto"/>
          <w:sz w:val="24"/>
          <w:szCs w:val="24"/>
          <w:highlight w:val="none"/>
          <w:lang w:val="en-US" w:eastAsia="zh-CN"/>
        </w:rPr>
      </w:pPr>
      <w:bookmarkStart w:id="19" w:name="_Toc28359013"/>
      <w:bookmarkStart w:id="20" w:name="_Toc44583629"/>
      <w:bookmarkStart w:id="21" w:name="_Toc28359090"/>
      <w:bookmarkStart w:id="22" w:name="_Toc35393799"/>
      <w:bookmarkStart w:id="23" w:name="_Toc35393630"/>
      <w:r>
        <w:rPr>
          <w:rFonts w:hint="eastAsia" w:ascii="宋体" w:hAnsi="宋体" w:eastAsia="宋体" w:cs="宋体"/>
          <w:color w:val="auto"/>
          <w:sz w:val="24"/>
          <w:szCs w:val="24"/>
          <w:highlight w:val="none"/>
          <w:lang w:val="en-US" w:eastAsia="zh-CN"/>
        </w:rPr>
        <w:t>8.</w:t>
      </w:r>
      <w:bookmarkStart w:id="24" w:name="_Hlk162011358"/>
      <w:r>
        <w:rPr>
          <w:rFonts w:hint="eastAsia" w:ascii="宋体" w:hAnsi="宋体" w:eastAsia="宋体" w:cs="宋体"/>
          <w:color w:val="auto"/>
          <w:sz w:val="24"/>
          <w:szCs w:val="24"/>
          <w:highlight w:val="none"/>
          <w:lang w:val="en-US" w:eastAsia="zh-CN"/>
        </w:rPr>
        <w:t>本项目是否接受联合体：□是</w:t>
      </w:r>
      <w:bookmarkEnd w:id="24"/>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5" w:name="_Toc5661"/>
      <w:bookmarkStart w:id="26" w:name="_Toc21076"/>
      <w:bookmarkStart w:id="27" w:name="_Toc155185861"/>
      <w:bookmarkStart w:id="28" w:name="_Toc109899830"/>
      <w:bookmarkStart w:id="29" w:name="_Toc18424"/>
      <w:bookmarkStart w:id="30" w:name="_Toc109900249"/>
      <w:bookmarkStart w:id="31" w:name="_Toc140132746"/>
      <w:bookmarkStart w:id="32" w:name="_Toc163492813"/>
      <w:bookmarkStart w:id="33" w:name="_Toc109899411"/>
      <w:r>
        <w:rPr>
          <w:rFonts w:hint="eastAsia" w:ascii="宋体" w:hAnsi="宋体" w:eastAsia="宋体" w:cs="宋体"/>
          <w:b/>
          <w:bCs/>
          <w:color w:val="auto"/>
          <w:kern w:val="2"/>
          <w:sz w:val="24"/>
          <w:szCs w:val="24"/>
          <w:highlight w:val="none"/>
          <w:lang w:val="en-US" w:eastAsia="zh-CN" w:bidi="ar-SA"/>
        </w:rPr>
        <w:t>二、申请人的</w:t>
      </w:r>
      <w:r>
        <w:rPr>
          <w:rFonts w:hint="eastAsia" w:ascii="宋体" w:hAnsi="宋体" w:eastAsia="宋体" w:cs="宋体"/>
          <w:b/>
          <w:bCs/>
          <w:color w:val="auto"/>
          <w:kern w:val="2"/>
          <w:sz w:val="24"/>
          <w:szCs w:val="24"/>
          <w:highlight w:val="none"/>
          <w:lang w:val="hr-HR" w:eastAsia="zh-CN" w:bidi="ar-SA"/>
        </w:rPr>
        <w:t>资格要求</w:t>
      </w:r>
      <w:bookmarkEnd w:id="19"/>
      <w:bookmarkEnd w:id="20"/>
      <w:bookmarkEnd w:id="21"/>
      <w:bookmarkEnd w:id="22"/>
      <w:bookmarkEnd w:id="23"/>
      <w:bookmarkEnd w:id="25"/>
      <w:bookmarkEnd w:id="26"/>
      <w:bookmarkEnd w:id="27"/>
      <w:bookmarkEnd w:id="28"/>
      <w:bookmarkEnd w:id="29"/>
      <w:bookmarkEnd w:id="30"/>
      <w:bookmarkEnd w:id="31"/>
      <w:bookmarkEnd w:id="32"/>
      <w:bookmarkEnd w:id="33"/>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34" w:name="_Toc35393800"/>
      <w:bookmarkStart w:id="35" w:name="_Toc44583630"/>
      <w:bookmarkStart w:id="36" w:name="_Toc28359091"/>
      <w:bookmarkStart w:id="37" w:name="_Toc35393631"/>
      <w:bookmarkStart w:id="38" w:name="_Toc28359014"/>
      <w:r>
        <w:rPr>
          <w:rFonts w:hint="eastAsia" w:ascii="宋体" w:hAnsi="宋体" w:eastAsia="宋体" w:cs="宋体"/>
          <w:color w:val="auto"/>
          <w:sz w:val="24"/>
          <w:szCs w:val="24"/>
          <w:highlight w:val="none"/>
          <w:lang w:val="en-US" w:eastAsia="zh-CN"/>
        </w:rPr>
        <w:t>1. 满足《中华人民共和国政府采购法》第二十二条规定；</w:t>
      </w:r>
    </w:p>
    <w:p w14:paraId="07998FA8">
      <w:pPr>
        <w:ind w:firstLine="480" w:firstLineChars="200"/>
        <w:rPr>
          <w:rFonts w:hint="default" w:ascii="宋体" w:hAnsi="宋体" w:eastAsia="宋体" w:cs="宋体"/>
          <w:color w:val="auto"/>
          <w:sz w:val="24"/>
          <w:szCs w:val="24"/>
          <w:highlight w:val="none"/>
          <w:u w:val="none"/>
          <w:lang w:val="en-US" w:eastAsia="zh-CN"/>
        </w:rPr>
      </w:pPr>
      <w:bookmarkStart w:id="39"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.落实政府采购政策需满足的资格要求：本项目为专门面向中小微企业(含中型、小型、微型企业)采购</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rPr>
        <w:t>项目，供应商应提供中小企业声明函</w:t>
      </w:r>
      <w:r>
        <w:rPr>
          <w:rFonts w:hint="eastAsia" w:ascii="宋体" w:hAnsi="宋体" w:eastAsia="宋体" w:cs="宋体"/>
          <w:color w:val="auto"/>
          <w:sz w:val="24"/>
          <w:szCs w:val="24"/>
          <w:highlight w:val="none"/>
          <w:u w:val="none"/>
          <w:lang w:val="en-US" w:eastAsia="zh-CN"/>
        </w:rPr>
        <w:t>。</w:t>
      </w:r>
    </w:p>
    <w:p w14:paraId="6B3ECAEB">
      <w:pPr>
        <w:ind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3.本项目的特定资格要求：供应商应当具备有效的《林木种子生产经营许可证》</w:t>
      </w:r>
      <w:r>
        <w:rPr>
          <w:rFonts w:hint="eastAsia" w:cs="宋体"/>
          <w:color w:val="auto"/>
          <w:sz w:val="24"/>
          <w:szCs w:val="24"/>
          <w:highlight w:val="none"/>
          <w:u w:val="none"/>
          <w:lang w:val="en-US" w:eastAsia="zh-CN"/>
        </w:rPr>
        <w:t>或《</w:t>
      </w:r>
      <w:r>
        <w:rPr>
          <w:rFonts w:ascii="宋体" w:hAnsi="宋体" w:eastAsia="宋体" w:cs="宋体"/>
          <w:sz w:val="24"/>
          <w:szCs w:val="24"/>
        </w:rPr>
        <w:t>林草种子生产经营许可证</w:t>
      </w:r>
      <w:r>
        <w:rPr>
          <w:rFonts w:hint="eastAsia" w:cs="宋体"/>
          <w:color w:val="auto"/>
          <w:sz w:val="24"/>
          <w:szCs w:val="24"/>
          <w:highlight w:val="none"/>
          <w:u w:val="none"/>
          <w:lang w:val="en-US" w:eastAsia="zh-CN"/>
        </w:rPr>
        <w:t>》</w:t>
      </w:r>
      <w:r>
        <w:rPr>
          <w:rFonts w:hint="eastAsia" w:cs="宋体"/>
          <w:i w:val="0"/>
          <w:iCs w:val="0"/>
          <w:color w:val="auto"/>
          <w:sz w:val="24"/>
          <w:szCs w:val="24"/>
          <w:highlight w:val="none"/>
          <w:u w:val="none"/>
          <w:lang w:val="en-US" w:eastAsia="zh-CN"/>
        </w:rPr>
        <w:t>。</w:t>
      </w:r>
    </w:p>
    <w:p w14:paraId="69D2AB04">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040E7358">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68099EEC">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233A0AC8">
      <w:pPr>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szCs w:val="24"/>
          <w:highlight w:val="none"/>
          <w:lang w:val="hr-HR"/>
        </w:rPr>
        <w:t>其中之一。如有以上不良信用记录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hr-HR"/>
        </w:rPr>
        <w:t>。</w:t>
      </w:r>
    </w:p>
    <w:bookmarkEnd w:id="39"/>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0" w:name="_Toc17020"/>
      <w:bookmarkStart w:id="41" w:name="_Toc163492814"/>
      <w:bookmarkStart w:id="42" w:name="_Toc109900250"/>
      <w:bookmarkStart w:id="43" w:name="_Toc109899412"/>
      <w:bookmarkStart w:id="44" w:name="_Toc155185862"/>
      <w:bookmarkStart w:id="45" w:name="_Toc24875"/>
      <w:bookmarkStart w:id="46" w:name="_Toc109899831"/>
      <w:bookmarkStart w:id="47" w:name="_Toc293"/>
      <w:bookmarkStart w:id="48" w:name="_Toc140132747"/>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w:t>
      </w:r>
      <w:r>
        <w:rPr>
          <w:rFonts w:hint="eastAsia" w:ascii="宋体" w:hAnsi="宋体" w:eastAsia="宋体" w:cs="宋体"/>
          <w:b/>
          <w:bCs/>
          <w:color w:val="auto"/>
          <w:kern w:val="2"/>
          <w:sz w:val="24"/>
          <w:szCs w:val="24"/>
          <w:highlight w:val="none"/>
          <w:lang w:val="en-US" w:eastAsia="zh-CN" w:bidi="ar-SA"/>
        </w:rPr>
        <w:t>采购</w:t>
      </w:r>
      <w:r>
        <w:rPr>
          <w:rFonts w:hint="eastAsia" w:ascii="宋体" w:hAnsi="宋体" w:eastAsia="宋体" w:cs="宋体"/>
          <w:b/>
          <w:bCs/>
          <w:color w:val="auto"/>
          <w:kern w:val="2"/>
          <w:sz w:val="24"/>
          <w:szCs w:val="24"/>
          <w:highlight w:val="none"/>
          <w:lang w:val="hr-HR" w:eastAsia="zh-CN" w:bidi="ar-SA"/>
        </w:rPr>
        <w:t>文件</w:t>
      </w:r>
      <w:bookmarkEnd w:id="34"/>
      <w:bookmarkEnd w:id="35"/>
      <w:bookmarkEnd w:id="36"/>
      <w:bookmarkEnd w:id="37"/>
      <w:bookmarkEnd w:id="38"/>
      <w:bookmarkEnd w:id="40"/>
      <w:bookmarkEnd w:id="41"/>
      <w:bookmarkEnd w:id="42"/>
      <w:bookmarkEnd w:id="43"/>
      <w:bookmarkEnd w:id="44"/>
      <w:bookmarkEnd w:id="45"/>
      <w:bookmarkEnd w:id="46"/>
      <w:bookmarkEnd w:id="47"/>
      <w:bookmarkEnd w:id="48"/>
      <w:r>
        <w:rPr>
          <w:rFonts w:hint="eastAsia" w:ascii="宋体" w:hAnsi="宋体" w:eastAsia="宋体" w:cs="宋体"/>
          <w:b/>
          <w:bCs/>
          <w:color w:val="auto"/>
          <w:kern w:val="2"/>
          <w:sz w:val="24"/>
          <w:szCs w:val="24"/>
          <w:highlight w:val="none"/>
          <w:lang w:val="hr-HR" w:eastAsia="zh-CN" w:bidi="ar-SA"/>
        </w:rPr>
        <w:t xml:space="preserve"> </w:t>
      </w:r>
    </w:p>
    <w:p w14:paraId="7F0135DE">
      <w:pPr>
        <w:spacing w:line="360" w:lineRule="auto"/>
        <w:ind w:firstLine="540"/>
        <w:rPr>
          <w:rFonts w:hint="eastAsia" w:ascii="宋体" w:hAnsi="宋体" w:eastAsia="宋体" w:cs="宋体"/>
          <w:i w:val="0"/>
          <w:iCs w:val="0"/>
          <w:color w:val="auto"/>
          <w:sz w:val="24"/>
          <w:szCs w:val="24"/>
          <w:highlight w:val="none"/>
          <w:u w:val="none"/>
          <w:lang w:val="hr-HR" w:eastAsia="zh-CN"/>
        </w:rPr>
      </w:pPr>
      <w:bookmarkStart w:id="49" w:name="_Hlk130457234"/>
      <w:bookmarkStart w:id="50" w:name="_Toc28359015"/>
      <w:bookmarkStart w:id="51" w:name="_Hlk130457327"/>
      <w:bookmarkStart w:id="52" w:name="_Toc28359092"/>
      <w:bookmarkStart w:id="53" w:name="_Hlk130457261"/>
      <w:bookmarkStart w:id="54" w:name="_Toc35393632"/>
      <w:bookmarkStart w:id="55" w:name="_Toc35393801"/>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9</w:t>
      </w:r>
      <w:r>
        <w:rPr>
          <w:rFonts w:hint="eastAsia" w:ascii="宋体" w:hAnsi="宋体" w:eastAsia="宋体" w:cs="宋体"/>
          <w:i w:val="0"/>
          <w:iCs w:val="0"/>
          <w:color w:val="auto"/>
          <w:sz w:val="24"/>
          <w:szCs w:val="24"/>
          <w:highlight w:val="none"/>
          <w:u w:val="none"/>
        </w:rPr>
        <w:t>日至</w:t>
      </w:r>
      <w:r>
        <w:rPr>
          <w:rFonts w:hint="eastAsia" w:cs="宋体"/>
          <w:i w:val="0"/>
          <w:iCs w:val="0"/>
          <w:color w:val="auto"/>
          <w:sz w:val="24"/>
          <w:szCs w:val="24"/>
          <w:highlight w:val="none"/>
          <w:u w:val="none"/>
          <w:lang w:val="en-US" w:eastAsia="zh-CN"/>
        </w:rPr>
        <w:t>2026</w:t>
      </w:r>
      <w:r>
        <w:rPr>
          <w:rFonts w:hint="eastAsia" w:ascii="宋体" w:hAnsi="宋体" w:eastAsia="宋体" w:cs="宋体"/>
          <w:i w:val="0"/>
          <w:iCs w:val="0"/>
          <w:color w:val="auto"/>
          <w:sz w:val="24"/>
          <w:szCs w:val="24"/>
          <w:highlight w:val="none"/>
          <w:u w:val="none"/>
        </w:rPr>
        <w:t>年</w:t>
      </w:r>
      <w:r>
        <w:rPr>
          <w:rFonts w:hint="eastAsia" w:cs="宋体"/>
          <w:i w:val="0"/>
          <w:iCs w:val="0"/>
          <w:color w:val="auto"/>
          <w:sz w:val="24"/>
          <w:szCs w:val="24"/>
          <w:highlight w:val="none"/>
          <w:u w:val="none"/>
          <w:lang w:val="en-US" w:eastAsia="zh-CN"/>
        </w:rPr>
        <w:t>5</w:t>
      </w:r>
      <w:r>
        <w:rPr>
          <w:rFonts w:hint="eastAsia" w:ascii="宋体" w:hAnsi="宋体" w:eastAsia="宋体" w:cs="宋体"/>
          <w:i w:val="0"/>
          <w:iCs w:val="0"/>
          <w:color w:val="auto"/>
          <w:sz w:val="24"/>
          <w:szCs w:val="24"/>
          <w:highlight w:val="none"/>
          <w:u w:val="none"/>
        </w:rPr>
        <w:t>月</w:t>
      </w:r>
      <w:r>
        <w:rPr>
          <w:rFonts w:hint="eastAsia" w:cs="宋体"/>
          <w:i w:val="0"/>
          <w:iCs w:val="0"/>
          <w:color w:val="auto"/>
          <w:sz w:val="24"/>
          <w:szCs w:val="24"/>
          <w:highlight w:val="none"/>
          <w:u w:val="none"/>
          <w:lang w:val="en-US" w:eastAsia="zh-CN"/>
        </w:rPr>
        <w:t>12</w:t>
      </w:r>
      <w:r>
        <w:rPr>
          <w:rFonts w:hint="eastAsia" w:ascii="宋体" w:hAnsi="宋体" w:eastAsia="宋体" w:cs="宋体"/>
          <w:i w:val="0"/>
          <w:iCs w:val="0"/>
          <w:color w:val="auto"/>
          <w:sz w:val="24"/>
          <w:szCs w:val="24"/>
          <w:highlight w:val="none"/>
          <w:u w:val="none"/>
        </w:rPr>
        <w:t>日，每天上午</w:t>
      </w:r>
      <w:r>
        <w:rPr>
          <w:rFonts w:hint="eastAsia" w:cs="宋体"/>
          <w:i w:val="0"/>
          <w:iCs w:val="0"/>
          <w:color w:val="auto"/>
          <w:sz w:val="24"/>
          <w:szCs w:val="24"/>
          <w:highlight w:val="none"/>
          <w:u w:val="non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none"/>
          <w:lang w:val="en-US" w:eastAsia="zh-CN"/>
        </w:rPr>
        <w:t>14:00</w:t>
      </w:r>
      <w:r>
        <w:rPr>
          <w:rFonts w:hint="eastAsia" w:ascii="宋体" w:hAnsi="宋体" w:eastAsia="宋体" w:cs="宋体"/>
          <w:i w:val="0"/>
          <w:iCs w:val="0"/>
          <w:color w:val="auto"/>
          <w:sz w:val="24"/>
          <w:szCs w:val="24"/>
          <w:highlight w:val="none"/>
          <w:u w:val="none"/>
          <w:lang w:val="en-US" w:eastAsia="zh-CN"/>
        </w:rPr>
        <w:t xml:space="preserve"> </w:t>
      </w:r>
      <w:r>
        <w:rPr>
          <w:rFonts w:hint="eastAsia" w:ascii="宋体" w:hAnsi="宋体" w:eastAsia="宋体" w:cs="宋体"/>
          <w:i w:val="0"/>
          <w:iCs w:val="0"/>
          <w:color w:val="auto"/>
          <w:sz w:val="24"/>
          <w:szCs w:val="24"/>
          <w:highlight w:val="none"/>
          <w:u w:val="none"/>
        </w:rPr>
        <w:t>，下午</w:t>
      </w:r>
      <w:r>
        <w:rPr>
          <w:rFonts w:hint="eastAsia" w:cs="宋体"/>
          <w:i w:val="0"/>
          <w:iCs w:val="0"/>
          <w:color w:val="auto"/>
          <w:sz w:val="24"/>
          <w:szCs w:val="24"/>
          <w:highlight w:val="none"/>
          <w:u w:val="none"/>
          <w:lang w:val="en-US" w:eastAsia="zh-CN"/>
        </w:rPr>
        <w:t>14:00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none"/>
          <w:lang w:val="en-US" w:eastAsia="zh-CN"/>
        </w:rPr>
        <w:t>23:59</w:t>
      </w:r>
      <w:r>
        <w:rPr>
          <w:rFonts w:hint="eastAsia" w:ascii="宋体" w:hAnsi="宋体" w:eastAsia="宋体" w:cs="宋体"/>
          <w:i w:val="0"/>
          <w:iCs w:val="0"/>
          <w:color w:val="auto"/>
          <w:sz w:val="24"/>
          <w:szCs w:val="24"/>
          <w:highlight w:val="none"/>
          <w:u w:val="none"/>
        </w:rPr>
        <w:t>（北京时间）</w:t>
      </w:r>
      <w:r>
        <w:rPr>
          <w:rFonts w:hint="eastAsia" w:ascii="宋体" w:hAnsi="宋体" w:eastAsia="宋体" w:cs="宋体"/>
          <w:i w:val="0"/>
          <w:iCs w:val="0"/>
          <w:color w:val="auto"/>
          <w:sz w:val="24"/>
          <w:szCs w:val="24"/>
          <w:highlight w:val="none"/>
          <w:u w:val="none"/>
          <w:lang w:eastAsia="zh-CN"/>
        </w:rPr>
        <w:t>。</w:t>
      </w:r>
    </w:p>
    <w:bookmarkEnd w:id="49"/>
    <w:p w14:paraId="34FD69CE">
      <w:pPr>
        <w:pStyle w:val="11"/>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6" w:name="_Hlk89807779"/>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仿宋" w:hAnsi="仿宋" w:eastAsia="仿宋" w:cs="仿宋"/>
          <w:spacing w:val="-6"/>
          <w:sz w:val="24"/>
          <w:szCs w:val="24"/>
        </w:rPr>
        <w:t>（网址：</w:t>
      </w:r>
      <w:r>
        <w:rPr>
          <w:rFonts w:hint="eastAsia" w:ascii="仿宋" w:hAnsi="仿宋" w:eastAsia="仿宋" w:cs="仿宋"/>
          <w:spacing w:val="-6"/>
          <w:sz w:val="24"/>
          <w:szCs w:val="24"/>
          <w:lang w:eastAsia="zh-CN"/>
        </w:rPr>
        <w:t>http://www.ccgp-xinjiang.gov.cn//</w:t>
      </w:r>
      <w:r>
        <w:rPr>
          <w:rFonts w:hint="eastAsia" w:ascii="仿宋" w:hAnsi="仿宋" w:eastAsia="仿宋" w:cs="仿宋"/>
          <w:spacing w:val="-6"/>
          <w:sz w:val="24"/>
          <w:szCs w:val="24"/>
        </w:rPr>
        <w:t>）</w:t>
      </w:r>
      <w:r>
        <w:rPr>
          <w:rFonts w:hint="eastAsia" w:ascii="宋体" w:hAnsi="宋体" w:eastAsia="宋体" w:cs="宋体"/>
          <w:color w:val="auto"/>
          <w:sz w:val="24"/>
          <w:szCs w:val="24"/>
          <w:highlight w:val="none"/>
        </w:rPr>
        <w:t>。</w:t>
      </w:r>
      <w:bookmarkEnd w:id="56"/>
    </w:p>
    <w:p w14:paraId="42A40251">
      <w:pPr>
        <w:pStyle w:val="35"/>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供应商登录政采云平台</w:t>
      </w:r>
      <w:r>
        <w:rPr>
          <w:rFonts w:hint="eastAsia" w:ascii="仿宋" w:hAnsi="仿宋" w:eastAsia="仿宋" w:cs="仿宋"/>
          <w:spacing w:val="-6"/>
          <w:sz w:val="24"/>
          <w:szCs w:val="24"/>
          <w:lang w:eastAsia="zh-CN"/>
        </w:rPr>
        <w:t>http://www.ccgp-xinjiang.gov.cn//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hr-HR"/>
        </w:rPr>
        <w:t xml:space="preserve"> </w:t>
      </w:r>
    </w:p>
    <w:p w14:paraId="6565D40F">
      <w:pPr>
        <w:pStyle w:val="35"/>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售价：</w:t>
      </w:r>
      <w:r>
        <w:rPr>
          <w:rFonts w:hint="eastAsia" w:ascii="宋体" w:hAnsi="宋体" w:eastAsia="宋体" w:cs="宋体"/>
          <w:color w:val="auto"/>
          <w:sz w:val="24"/>
          <w:szCs w:val="24"/>
          <w:highlight w:val="none"/>
          <w:lang w:val="en-US" w:eastAsia="zh-CN"/>
        </w:rPr>
        <w:t>0元。</w:t>
      </w:r>
    </w:p>
    <w:bookmarkEnd w:id="50"/>
    <w:bookmarkEnd w:id="51"/>
    <w:bookmarkEnd w:id="52"/>
    <w:bookmarkEnd w:id="53"/>
    <w:bookmarkEnd w:id="54"/>
    <w:bookmarkEnd w:id="55"/>
    <w:p w14:paraId="66DADC5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7" w:name="_Toc155185863"/>
      <w:bookmarkStart w:id="58" w:name="_Toc109899413"/>
      <w:bookmarkStart w:id="59" w:name="_Toc109900251"/>
      <w:bookmarkStart w:id="60" w:name="_Toc109899832"/>
      <w:bookmarkStart w:id="61" w:name="_Toc163492815"/>
      <w:bookmarkStart w:id="62" w:name="_Toc140132748"/>
      <w:bookmarkStart w:id="63" w:name="_Toc15058"/>
      <w:bookmarkStart w:id="64" w:name="_Toc5645"/>
      <w:bookmarkStart w:id="65" w:name="_Toc26860"/>
      <w:r>
        <w:rPr>
          <w:rFonts w:hint="eastAsia" w:ascii="宋体" w:hAnsi="宋体" w:eastAsia="宋体" w:cs="宋体"/>
          <w:b/>
          <w:bCs/>
          <w:color w:val="auto"/>
          <w:kern w:val="2"/>
          <w:sz w:val="24"/>
          <w:szCs w:val="24"/>
          <w:highlight w:val="none"/>
          <w:lang w:val="en-US" w:eastAsia="zh-CN" w:bidi="ar-SA"/>
        </w:rPr>
        <w:t>四、</w:t>
      </w:r>
      <w:bookmarkEnd w:id="57"/>
      <w:bookmarkEnd w:id="58"/>
      <w:bookmarkEnd w:id="59"/>
      <w:bookmarkEnd w:id="60"/>
      <w:bookmarkEnd w:id="61"/>
      <w:bookmarkEnd w:id="62"/>
      <w:r>
        <w:rPr>
          <w:rFonts w:hint="eastAsia" w:ascii="宋体" w:hAnsi="宋体" w:eastAsia="宋体" w:cs="宋体"/>
          <w:b/>
          <w:bCs/>
          <w:color w:val="auto"/>
          <w:spacing w:val="-6"/>
          <w:kern w:val="2"/>
          <w:sz w:val="24"/>
          <w:szCs w:val="24"/>
          <w:highlight w:val="none"/>
          <w:lang w:val="hr-HR" w:eastAsia="zh-CN" w:bidi="ar-SA"/>
        </w:rPr>
        <w:t>响应文件提交</w:t>
      </w:r>
      <w:bookmarkEnd w:id="63"/>
      <w:bookmarkEnd w:id="64"/>
      <w:bookmarkEnd w:id="65"/>
    </w:p>
    <w:p w14:paraId="2D110B47">
      <w:pPr>
        <w:pStyle w:val="35"/>
        <w:rPr>
          <w:rFonts w:hint="eastAsia" w:ascii="宋体" w:hAnsi="宋体" w:eastAsia="宋体" w:cs="宋体"/>
          <w:color w:val="auto"/>
          <w:sz w:val="24"/>
          <w:szCs w:val="24"/>
          <w:highlight w:val="none"/>
        </w:rPr>
      </w:pPr>
      <w:bookmarkStart w:id="66" w:name="_Hlk130457395"/>
      <w:bookmarkStart w:id="67" w:name="_Toc35393803"/>
      <w:bookmarkStart w:id="68" w:name="_Toc28359017"/>
      <w:bookmarkStart w:id="69" w:name="_Toc35393634"/>
      <w:bookmarkStart w:id="70" w:name="_Toc44583633"/>
      <w:bookmarkStart w:id="71" w:name="_Toc28359094"/>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rPr>
        <w:t xml:space="preserve"> </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rPr>
        <w:t>时</w:t>
      </w:r>
      <w:r>
        <w:rPr>
          <w:rFonts w:hint="eastAsia"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rPr>
        <w:t>（北京时间）</w:t>
      </w:r>
    </w:p>
    <w:p w14:paraId="63FC81BC">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rPr>
        <w:t>政采云平台</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rPr>
        <w:t>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选择项目分包文件递交页面进行递交（上传）。</w:t>
      </w:r>
    </w:p>
    <w:bookmarkEnd w:id="66"/>
    <w:p w14:paraId="6BAC9797">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2" w:name="_Toc19249"/>
      <w:bookmarkStart w:id="73" w:name="_Toc1822"/>
      <w:bookmarkStart w:id="74" w:name="_Toc7125"/>
      <w:bookmarkStart w:id="75" w:name="_Toc163492816"/>
      <w:bookmarkStart w:id="76" w:name="_Toc155185864"/>
      <w:bookmarkStart w:id="77" w:name="_Toc109899414"/>
      <w:bookmarkStart w:id="78" w:name="_Toc109899833"/>
      <w:bookmarkStart w:id="79" w:name="_Toc140132749"/>
      <w:bookmarkStart w:id="80" w:name="_Toc109900252"/>
      <w:r>
        <w:rPr>
          <w:rFonts w:hint="eastAsia" w:ascii="宋体" w:hAnsi="宋体" w:eastAsia="宋体" w:cs="宋体"/>
          <w:b/>
          <w:bCs/>
          <w:color w:val="auto"/>
          <w:kern w:val="2"/>
          <w:sz w:val="24"/>
          <w:szCs w:val="24"/>
          <w:highlight w:val="none"/>
          <w:lang w:val="en-US" w:eastAsia="zh-CN" w:bidi="ar-SA"/>
        </w:rPr>
        <w:t>五、开启</w:t>
      </w:r>
      <w:bookmarkEnd w:id="72"/>
      <w:bookmarkEnd w:id="73"/>
      <w:bookmarkEnd w:id="74"/>
    </w:p>
    <w:p w14:paraId="508C6E16">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none"/>
          <w:lang w:val="en-US"/>
        </w:rPr>
        <w:t xml:space="preserve"> </w:t>
      </w:r>
      <w:r>
        <w:rPr>
          <w:rFonts w:hint="eastAsia"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rPr>
        <w:t>时</w:t>
      </w:r>
      <w:r>
        <w:rPr>
          <w:rFonts w:hint="eastAsia"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rPr>
        <w:t>分</w:t>
      </w:r>
      <w:r>
        <w:rPr>
          <w:rFonts w:hint="eastAsia" w:ascii="宋体" w:hAnsi="宋体" w:eastAsia="宋体" w:cs="宋体"/>
          <w:color w:val="auto"/>
          <w:sz w:val="24"/>
          <w:szCs w:val="24"/>
          <w:highlight w:val="none"/>
        </w:rPr>
        <w:t>（北京时间）。</w:t>
      </w:r>
    </w:p>
    <w:p w14:paraId="71EF07E7">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供应商登录政采云平台</w:t>
      </w:r>
      <w:r>
        <w:rPr>
          <w:rFonts w:hint="eastAsia"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lang w:val="en-US"/>
        </w:rPr>
        <w:t>，进入“项目采购-开评标管理-右边选择对应项目点击“进入项目”进入开标大厅</w:t>
      </w:r>
      <w:r>
        <w:rPr>
          <w:rFonts w:hint="eastAsia" w:ascii="宋体" w:hAnsi="宋体" w:eastAsia="宋体" w:cs="宋体"/>
          <w:color w:val="auto"/>
          <w:sz w:val="24"/>
          <w:szCs w:val="24"/>
          <w:highlight w:val="none"/>
        </w:rPr>
        <w:t>。</w:t>
      </w:r>
    </w:p>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1" w:name="_Toc6105"/>
      <w:bookmarkStart w:id="82" w:name="_Toc11928"/>
      <w:bookmarkStart w:id="83" w:name="_Toc4915"/>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公告期限</w:t>
      </w:r>
      <w:bookmarkEnd w:id="67"/>
      <w:bookmarkEnd w:id="68"/>
      <w:bookmarkEnd w:id="69"/>
      <w:bookmarkEnd w:id="70"/>
      <w:bookmarkEnd w:id="71"/>
      <w:bookmarkEnd w:id="75"/>
      <w:bookmarkEnd w:id="76"/>
      <w:bookmarkEnd w:id="77"/>
      <w:bookmarkEnd w:id="78"/>
      <w:bookmarkEnd w:id="79"/>
      <w:bookmarkEnd w:id="80"/>
      <w:bookmarkEnd w:id="81"/>
      <w:bookmarkEnd w:id="82"/>
      <w:bookmarkEnd w:id="83"/>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84" w:name="_Toc109899834"/>
      <w:bookmarkStart w:id="85" w:name="_Toc35393804"/>
      <w:bookmarkStart w:id="86" w:name="_Toc35393635"/>
      <w:bookmarkStart w:id="87" w:name="_Toc140132750"/>
      <w:bookmarkStart w:id="88" w:name="_Toc109900253"/>
      <w:bookmarkStart w:id="89" w:name="_Toc109899415"/>
      <w:bookmarkStart w:id="90" w:name="_Toc163492817"/>
      <w:bookmarkStart w:id="91" w:name="_Toc155185865"/>
      <w:bookmarkStart w:id="92" w:name="_Toc44583634"/>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val="0"/>
          <w:bCs w:val="0"/>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hr-HR" w:eastAsia="zh-CN" w:bidi="ar-SA"/>
        </w:rPr>
        <w:t>七、其他补充事宜</w:t>
      </w:r>
      <w:bookmarkEnd w:id="84"/>
      <w:bookmarkEnd w:id="85"/>
      <w:bookmarkEnd w:id="86"/>
      <w:bookmarkEnd w:id="87"/>
      <w:bookmarkEnd w:id="88"/>
      <w:bookmarkEnd w:id="89"/>
      <w:bookmarkEnd w:id="90"/>
      <w:bookmarkEnd w:id="91"/>
      <w:bookmarkEnd w:id="92"/>
    </w:p>
    <w:p w14:paraId="2043A8DF">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，采用电子响应文件。</w:t>
      </w:r>
    </w:p>
    <w:p w14:paraId="7DFC1A41">
      <w:pPr>
        <w:pStyle w:val="35"/>
        <w:rPr>
          <w:rFonts w:hint="eastAsia" w:ascii="宋体" w:hAnsi="宋体" w:eastAsia="宋体" w:cs="宋体"/>
          <w:color w:val="auto"/>
          <w:kern w:val="2"/>
          <w:sz w:val="24"/>
          <w:szCs w:val="24"/>
          <w:highlight w:val="none"/>
          <w:lang w:val="hr-HR" w:eastAsia="zh-CN" w:bidi="ar-SA"/>
        </w:rPr>
      </w:pPr>
      <w:r>
        <w:rPr>
          <w:rFonts w:hint="eastAsia" w:ascii="宋体" w:hAnsi="宋体" w:eastAsia="宋体" w:cs="宋体"/>
          <w:color w:val="auto"/>
          <w:sz w:val="24"/>
          <w:szCs w:val="24"/>
          <w:highlight w:val="none"/>
          <w:lang w:val="hr-HR" w:eastAsia="zh-CN"/>
        </w:rPr>
        <w:t>2、各供应商应在开标前应确保成为政采云平台供应商，并完成CA数字证书（符合国密标准）申领。因未注册入库、未办理CA数字证书等原因造成无法投标或投标失败等后果由供应商自行承担。有意向参与</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hr-HR" w:eastAsia="zh-CN"/>
        </w:rPr>
        <w:t>区域电子开评标的供应商，可访问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hr-HR" w:eastAsia="zh-CN"/>
        </w:rPr>
        <w:t>政府采购网-办事指南-操作指南-CA证书办理操作指南或</w:t>
      </w:r>
      <w:r>
        <w:rPr>
          <w:rFonts w:hint="eastAsia" w:ascii="宋体" w:hAnsi="宋体" w:eastAsia="宋体" w:cs="宋体"/>
          <w:color w:val="auto"/>
          <w:kern w:val="2"/>
          <w:sz w:val="24"/>
          <w:szCs w:val="24"/>
          <w:highlight w:val="none"/>
          <w:lang w:val="hr-HR" w:eastAsia="zh-CN" w:bidi="ar-SA"/>
        </w:rPr>
        <w:t>自行进行申领。</w:t>
      </w:r>
    </w:p>
    <w:p w14:paraId="4B02550E">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kern w:val="2"/>
          <w:sz w:val="24"/>
          <w:szCs w:val="24"/>
          <w:highlight w:val="none"/>
          <w:lang w:val="hr-HR" w:eastAsia="zh-CN" w:bidi="ar-SA"/>
        </w:rPr>
        <w:t>3、供应商将政采云电子</w:t>
      </w:r>
      <w:r>
        <w:rPr>
          <w:rFonts w:hint="eastAsia" w:ascii="宋体" w:hAnsi="宋体" w:eastAsia="宋体" w:cs="宋体"/>
          <w:color w:val="auto"/>
          <w:sz w:val="24"/>
          <w:szCs w:val="24"/>
          <w:highlight w:val="none"/>
          <w:lang w:val="hr-HR" w:eastAsia="zh-CN"/>
        </w:rPr>
        <w:t>交易客户端下载、安装完成后，可通过账号密码或CA登录客户端进行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文件的制作。在使用政采云投标客户端时，建议使用WIN7（64位）及以上操作系统。客户端请至</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hr-HR" w:eastAsia="zh-CN"/>
        </w:rPr>
        <w:t>政府采购网（</w:t>
      </w:r>
      <w:r>
        <w:rPr>
          <w:rFonts w:hint="eastAsia"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lang w:val="hr-HR" w:eastAsia="zh-CN"/>
        </w:rPr>
        <w:t>）下载专区查看，如有问题可拨打政采云客户服务热线95763进行咨询。如因供应商自身原因导致在规定时间内无法正常解密的（如：浏览器故障、未安装相关驱动、网络故障、加密CA与解密CA不一致等），代理机构不予异常处理，视为</w:t>
      </w:r>
      <w:r>
        <w:rPr>
          <w:rFonts w:hint="eastAsia" w:ascii="宋体" w:hAnsi="宋体" w:eastAsia="宋体" w:cs="宋体"/>
          <w:b/>
          <w:bCs/>
          <w:color w:val="auto"/>
          <w:sz w:val="24"/>
          <w:szCs w:val="24"/>
          <w:highlight w:val="none"/>
          <w:lang w:val="hr-HR" w:eastAsia="zh-CN"/>
        </w:rPr>
        <w:t>供应商自动弃标</w:t>
      </w:r>
      <w:r>
        <w:rPr>
          <w:rFonts w:hint="eastAsia" w:ascii="宋体" w:hAnsi="宋体" w:eastAsia="宋体" w:cs="宋体"/>
          <w:color w:val="auto"/>
          <w:sz w:val="24"/>
          <w:szCs w:val="24"/>
          <w:highlight w:val="none"/>
          <w:lang w:val="hr-HR" w:eastAsia="zh-CN"/>
        </w:rPr>
        <w:t>。</w:t>
      </w:r>
    </w:p>
    <w:p w14:paraId="692B7884">
      <w:pPr>
        <w:pStyle w:val="3"/>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color w:val="auto"/>
          <w:sz w:val="24"/>
          <w:szCs w:val="24"/>
          <w:highlight w:val="none"/>
          <w:lang w:val="hr-HR" w:eastAsia="zh-CN"/>
        </w:rPr>
      </w:pPr>
      <w:bookmarkStart w:id="93" w:name="_Toc16732"/>
      <w:bookmarkStart w:id="94" w:name="_Toc17723"/>
      <w:bookmarkStart w:id="95" w:name="_Toc3905"/>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93"/>
      <w:bookmarkEnd w:id="94"/>
      <w:bookmarkEnd w:id="95"/>
    </w:p>
    <w:p w14:paraId="3EEAC95D">
      <w:pPr>
        <w:pStyle w:val="35"/>
        <w:rPr>
          <w:rFonts w:hint="eastAsia" w:ascii="宋体" w:hAnsi="宋体" w:eastAsia="宋体" w:cs="宋体"/>
          <w:color w:val="auto"/>
          <w:sz w:val="24"/>
          <w:szCs w:val="24"/>
          <w:highlight w:val="none"/>
        </w:rPr>
      </w:pPr>
      <w:bookmarkStart w:id="96" w:name="_Toc35393637"/>
      <w:bookmarkStart w:id="97" w:name="_Toc35393806"/>
      <w:bookmarkStart w:id="98" w:name="_Toc28359096"/>
      <w:bookmarkStart w:id="99" w:name="_Toc28359019"/>
      <w:r>
        <w:rPr>
          <w:rFonts w:hint="eastAsia" w:ascii="宋体" w:hAnsi="宋体" w:eastAsia="宋体" w:cs="宋体"/>
          <w:color w:val="auto"/>
          <w:sz w:val="24"/>
          <w:szCs w:val="24"/>
          <w:highlight w:val="none"/>
        </w:rPr>
        <w:t>1.采购人信息</w:t>
      </w:r>
      <w:bookmarkEnd w:id="96"/>
      <w:bookmarkEnd w:id="97"/>
      <w:bookmarkEnd w:id="98"/>
      <w:bookmarkEnd w:id="99"/>
    </w:p>
    <w:p w14:paraId="78A2EFA3">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名称：库尔勒上库高新技术产业开发区管理委员会</w:t>
      </w:r>
    </w:p>
    <w:p w14:paraId="1DD202A8">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地址：库尔勒市苏中大道89号 </w:t>
      </w:r>
    </w:p>
    <w:p w14:paraId="676204EA">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00" w:name="_Hlk46775675"/>
      <w:r>
        <w:rPr>
          <w:rFonts w:hint="eastAsia" w:ascii="宋体" w:hAnsi="宋体" w:eastAsia="宋体" w:cs="宋体"/>
          <w:color w:val="auto"/>
          <w:sz w:val="24"/>
          <w:szCs w:val="24"/>
          <w:highlight w:val="none"/>
        </w:rPr>
        <w:t xml:space="preserve">177 6767 7893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bookmarkStart w:id="597" w:name="_GoBack"/>
      <w:bookmarkEnd w:id="597"/>
    </w:p>
    <w:bookmarkEnd w:id="100"/>
    <w:p w14:paraId="5C798AB6">
      <w:pPr>
        <w:pStyle w:val="35"/>
        <w:rPr>
          <w:rFonts w:hint="eastAsia" w:ascii="宋体" w:hAnsi="宋体" w:eastAsia="宋体" w:cs="宋体"/>
          <w:color w:val="auto"/>
          <w:sz w:val="24"/>
          <w:szCs w:val="24"/>
          <w:highlight w:val="none"/>
        </w:rPr>
      </w:pPr>
      <w:bookmarkStart w:id="101" w:name="_Toc28359097"/>
      <w:bookmarkStart w:id="102" w:name="_Toc28359020"/>
      <w:bookmarkStart w:id="103" w:name="_Toc35393807"/>
      <w:bookmarkStart w:id="104" w:name="_Toc35393638"/>
      <w:r>
        <w:rPr>
          <w:rFonts w:hint="eastAsia" w:ascii="宋体" w:hAnsi="宋体" w:eastAsia="宋体" w:cs="宋体"/>
          <w:color w:val="auto"/>
          <w:sz w:val="24"/>
          <w:szCs w:val="24"/>
          <w:highlight w:val="none"/>
        </w:rPr>
        <w:t>2.采购代理机构信息</w:t>
      </w:r>
      <w:bookmarkEnd w:id="101"/>
      <w:bookmarkEnd w:id="102"/>
      <w:bookmarkEnd w:id="103"/>
      <w:bookmarkEnd w:id="104"/>
    </w:p>
    <w:p w14:paraId="5E585559">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新疆国腾工程项目管理咨询有限公司</w:t>
      </w:r>
    </w:p>
    <w:p w14:paraId="5D2B3717">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库尔勒市永安大道观棠云邸18号楼一层</w:t>
      </w:r>
    </w:p>
    <w:p w14:paraId="1B352DAB">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18299829443（请在工作时间内联系）</w:t>
      </w:r>
    </w:p>
    <w:p w14:paraId="3E9AA1EB">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93E283B">
      <w:pPr>
        <w:pStyle w:val="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cs="宋体"/>
          <w:color w:val="auto"/>
          <w:sz w:val="24"/>
          <w:szCs w:val="24"/>
          <w:highlight w:val="none"/>
          <w:lang w:val="en-US" w:eastAsia="zh-CN"/>
        </w:rPr>
        <w:t>魏莉</w:t>
      </w:r>
    </w:p>
    <w:p w14:paraId="567D1B59">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val="en-US" w:eastAsia="zh-CN"/>
        </w:rPr>
        <w:t xml:space="preserve">18299829443（请在工作时间内联系） </w:t>
      </w:r>
    </w:p>
    <w:p w14:paraId="73A7F7BD">
      <w:pPr>
        <w:pStyle w:val="35"/>
        <w:rPr>
          <w:rFonts w:hint="eastAsia" w:ascii="宋体" w:hAnsi="宋体" w:eastAsia="宋体" w:cs="宋体"/>
          <w:color w:val="auto"/>
          <w:sz w:val="24"/>
          <w:szCs w:val="24"/>
          <w:highlight w:val="none"/>
        </w:rPr>
        <w:sectPr>
          <w:footerReference r:id="rId6" w:type="default"/>
          <w:pgSz w:w="11906" w:h="16838"/>
          <w:pgMar w:top="1440" w:right="1196" w:bottom="1440" w:left="1196" w:header="851" w:footer="1020" w:gutter="0"/>
          <w:pgBorders>
            <w:top w:val="none" w:sz="0" w:space="0"/>
            <w:left w:val="none" w:sz="0" w:space="0"/>
            <w:bottom w:val="none" w:sz="0" w:space="0"/>
            <w:right w:val="none" w:sz="0" w:space="0"/>
          </w:pgBorders>
          <w:pgNumType w:fmt="decimal" w:start="1"/>
          <w:cols w:space="425" w:num="1"/>
          <w:docGrid w:type="lines" w:linePitch="312" w:charSpace="0"/>
        </w:sectPr>
      </w:pPr>
    </w:p>
    <w:p w14:paraId="1E2C9AB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5" w:name="_Toc28863"/>
      <w:bookmarkStart w:id="106" w:name="_Toc16855"/>
      <w:r>
        <w:rPr>
          <w:rFonts w:hint="eastAsia" w:ascii="宋体" w:hAnsi="宋体" w:eastAsia="宋体" w:cs="宋体"/>
          <w:b/>
          <w:bCs/>
          <w:color w:val="auto"/>
          <w:kern w:val="44"/>
          <w:sz w:val="36"/>
          <w:szCs w:val="36"/>
          <w:highlight w:val="none"/>
          <w:lang w:val="en-US" w:eastAsia="zh-CN" w:bidi="ar-SA"/>
        </w:rPr>
        <w:t>第二章 供应商须知</w:t>
      </w:r>
      <w:bookmarkEnd w:id="105"/>
      <w:bookmarkEnd w:id="106"/>
    </w:p>
    <w:p w14:paraId="224924B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7" w:name="_Toc1792"/>
      <w:bookmarkStart w:id="108" w:name="_Toc7178"/>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107"/>
      <w:bookmarkEnd w:id="108"/>
    </w:p>
    <w:p w14:paraId="016068EF">
      <w:pPr>
        <w:pStyle w:val="35"/>
        <w:ind w:firstLine="480"/>
        <w:rPr>
          <w:color w:val="auto"/>
          <w:highlight w:val="none"/>
        </w:rPr>
      </w:pPr>
      <w:r>
        <w:rPr>
          <w:rFonts w:hint="eastAsia"/>
          <w:color w:val="auto"/>
          <w:highlight w:val="none"/>
          <w:lang w:val="en-US" w:eastAsia="zh-CN"/>
        </w:rPr>
        <w:t>谈判</w:t>
      </w:r>
      <w:r>
        <w:rPr>
          <w:rFonts w:hint="eastAsia"/>
          <w:color w:val="auto"/>
          <w:highlight w:val="none"/>
        </w:rPr>
        <w:t>供应商应仔细阅读本</w:t>
      </w:r>
      <w:r>
        <w:rPr>
          <w:rFonts w:hint="eastAsia"/>
          <w:color w:val="auto"/>
          <w:highlight w:val="none"/>
          <w:lang w:val="en-US" w:eastAsia="zh-CN"/>
        </w:rPr>
        <w:t>谈判</w:t>
      </w:r>
      <w:r>
        <w:rPr>
          <w:rFonts w:hint="eastAsia"/>
          <w:color w:val="auto"/>
          <w:highlight w:val="none"/>
        </w:rPr>
        <w:t>文件的第二章“供应商须知”，下面所列资料是对“供应商须知”的具体补充和说明。如有矛盾，应以本表为准。</w:t>
      </w:r>
      <w:r>
        <w:rPr>
          <w:rFonts w:hint="eastAsia"/>
          <w:color w:val="auto"/>
          <w:highlight w:val="none"/>
          <w:lang w:val="en-US" w:eastAsia="zh-CN"/>
        </w:rPr>
        <w:t>标记“</w:t>
      </w:r>
      <w:r>
        <w:rPr>
          <w:rFonts w:hint="eastAsia" w:ascii="宋体" w:hAnsi="宋体" w:eastAsia="宋体"/>
          <w:color w:val="auto"/>
          <w:highlight w:val="none"/>
          <w:lang w:val="en-US" w:eastAsia="zh-CN"/>
        </w:rPr>
        <w:t>☑”的选项意为适用于本项目，标记“</w:t>
      </w:r>
      <w:r>
        <w:rPr>
          <w:rFonts w:hint="eastAsia" w:cs="宋体"/>
          <w:color w:val="auto"/>
          <w:sz w:val="24"/>
          <w:szCs w:val="24"/>
          <w:highlight w:val="none"/>
        </w:rPr>
        <w:sym w:font="Wingdings" w:char="00A8"/>
      </w:r>
      <w:r>
        <w:rPr>
          <w:rFonts w:hint="eastAsia" w:ascii="宋体" w:hAnsi="宋体" w:eastAsia="宋体"/>
          <w:color w:val="auto"/>
          <w:highlight w:val="none"/>
          <w:lang w:val="en-US" w:eastAsia="zh-CN"/>
        </w:rPr>
        <w:t>”的选项意为不适用于本项目。</w:t>
      </w:r>
    </w:p>
    <w:tbl>
      <w:tblPr>
        <w:tblStyle w:val="28"/>
        <w:tblW w:w="950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761"/>
        <w:gridCol w:w="1930"/>
        <w:gridCol w:w="681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2" w:hRule="atLeast"/>
          <w:tblHeader/>
          <w:jc w:val="center"/>
        </w:trPr>
        <w:tc>
          <w:tcPr>
            <w:tcW w:w="76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6"/>
              <w:jc w:val="center"/>
              <w:rPr>
                <w:rFonts w:hint="eastAsia" w:ascii="宋体" w:hAnsi="宋体" w:eastAsia="宋体" w:cs="宋体"/>
                <w:b/>
                <w:bCs/>
                <w:color w:val="auto"/>
                <w:sz w:val="24"/>
                <w:szCs w:val="24"/>
                <w:highlight w:val="none"/>
              </w:rPr>
            </w:pPr>
            <w:bookmarkStart w:id="109" w:name="_Hlk161703381"/>
            <w:r>
              <w:rPr>
                <w:rFonts w:hint="eastAsia" w:cs="宋体"/>
                <w:b/>
                <w:bCs/>
                <w:color w:val="auto"/>
                <w:sz w:val="24"/>
                <w:szCs w:val="24"/>
                <w:highlight w:val="none"/>
                <w:lang w:val="en-US" w:eastAsia="zh-CN"/>
              </w:rPr>
              <w:t>序</w:t>
            </w:r>
            <w:r>
              <w:rPr>
                <w:rFonts w:hint="eastAsia" w:ascii="宋体" w:hAnsi="宋体" w:eastAsia="宋体" w:cs="宋体"/>
                <w:b/>
                <w:bCs/>
                <w:color w:val="auto"/>
                <w:sz w:val="24"/>
                <w:szCs w:val="24"/>
                <w:highlight w:val="none"/>
              </w:rPr>
              <w:t>号</w:t>
            </w:r>
          </w:p>
        </w:tc>
        <w:tc>
          <w:tcPr>
            <w:tcW w:w="193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81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6"/>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66D2FF53">
            <w:pPr>
              <w:pStyle w:val="46"/>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1930" w:type="dxa"/>
            <w:tcBorders>
              <w:top w:val="single" w:color="auto" w:sz="2" w:space="0"/>
              <w:left w:val="single" w:color="auto" w:sz="2" w:space="0"/>
              <w:bottom w:val="single" w:color="auto" w:sz="2" w:space="0"/>
              <w:right w:val="single" w:color="auto" w:sz="2" w:space="0"/>
            </w:tcBorders>
            <w:vAlign w:val="center"/>
          </w:tcPr>
          <w:p w14:paraId="551BCB83">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810" w:type="dxa"/>
            <w:tcBorders>
              <w:top w:val="single" w:color="auto" w:sz="2" w:space="0"/>
              <w:left w:val="single" w:color="auto" w:sz="2" w:space="0"/>
              <w:bottom w:val="single" w:color="auto" w:sz="2" w:space="0"/>
              <w:right w:val="single" w:color="auto" w:sz="2" w:space="0"/>
            </w:tcBorders>
            <w:vAlign w:val="center"/>
          </w:tcPr>
          <w:p w14:paraId="0A60E333">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本项目不适用。 </w:t>
            </w:r>
          </w:p>
          <w:p w14:paraId="603E08B8">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本项目单一产品采购项目。 </w:t>
            </w:r>
          </w:p>
          <w:p w14:paraId="61FC74A4">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本项目为非单一产品采购项目，其中核心产品为：</w:t>
            </w:r>
            <w:r>
              <w:rPr>
                <w:rFonts w:hint="eastAsia" w:cs="宋体"/>
                <w:color w:val="auto"/>
                <w:sz w:val="24"/>
                <w:szCs w:val="24"/>
                <w:highlight w:val="none"/>
                <w:u w:val="single"/>
                <w:lang w:val="en-US" w:eastAsia="zh-CN"/>
              </w:rPr>
              <w:t>小叶白蜡、大叶白蜡树种</w:t>
            </w:r>
            <w:r>
              <w:rPr>
                <w:rFonts w:hint="eastAsia" w:ascii="宋体" w:hAnsi="宋体" w:eastAsia="宋体" w:cs="宋体"/>
                <w:color w:val="auto"/>
                <w:sz w:val="24"/>
                <w:szCs w:val="24"/>
                <w:highlight w:val="none"/>
                <w:lang w:val="en-US" w:eastAsia="zh-CN"/>
              </w:rPr>
              <w:t>。</w:t>
            </w:r>
          </w:p>
        </w:tc>
      </w:tr>
      <w:tr w14:paraId="1D8B4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648EF93E">
            <w:pPr>
              <w:pStyle w:val="46"/>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p>
        </w:tc>
        <w:tc>
          <w:tcPr>
            <w:tcW w:w="1930" w:type="dxa"/>
            <w:tcBorders>
              <w:top w:val="single" w:color="auto" w:sz="2" w:space="0"/>
              <w:left w:val="single" w:color="auto" w:sz="2" w:space="0"/>
              <w:bottom w:val="single" w:color="auto" w:sz="2" w:space="0"/>
              <w:right w:val="single" w:color="auto" w:sz="2" w:space="0"/>
            </w:tcBorders>
            <w:vAlign w:val="center"/>
          </w:tcPr>
          <w:p w14:paraId="684D5D8B">
            <w:pPr>
              <w:keepNext w:val="0"/>
              <w:keepLines w:val="0"/>
              <w:widowControl/>
              <w:suppressLineNumbers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科研仪器设备</w:t>
            </w:r>
          </w:p>
        </w:tc>
        <w:tc>
          <w:tcPr>
            <w:tcW w:w="6810" w:type="dxa"/>
            <w:tcBorders>
              <w:top w:val="single" w:color="auto" w:sz="2" w:space="0"/>
              <w:left w:val="single" w:color="auto" w:sz="2" w:space="0"/>
              <w:bottom w:val="single" w:color="auto" w:sz="2" w:space="0"/>
              <w:right w:val="single" w:color="auto" w:sz="2" w:space="0"/>
            </w:tcBorders>
            <w:vAlign w:val="center"/>
          </w:tcPr>
          <w:p w14:paraId="19FDECD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341E7760">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2C80CB22">
            <w:pPr>
              <w:keepNext w:val="0"/>
              <w:keepLines w:val="0"/>
              <w:widowControl/>
              <w:suppressLineNumbers w:val="0"/>
              <w:spacing w:line="240" w:lineRule="auto"/>
              <w:jc w:val="left"/>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2AEE4073">
            <w:pPr>
              <w:pStyle w:val="46"/>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1930" w:type="dxa"/>
            <w:tcBorders>
              <w:top w:val="single" w:color="auto" w:sz="2" w:space="0"/>
              <w:left w:val="single" w:color="auto" w:sz="2" w:space="0"/>
              <w:bottom w:val="single" w:color="auto" w:sz="2" w:space="0"/>
              <w:right w:val="single" w:color="auto" w:sz="2" w:space="0"/>
            </w:tcBorders>
            <w:shd w:val="clear" w:color="auto" w:fill="auto"/>
            <w:vAlign w:val="center"/>
          </w:tcPr>
          <w:p w14:paraId="71CF8DC6">
            <w:pPr>
              <w:pStyle w:val="46"/>
              <w:jc w:val="center"/>
              <w:rPr>
                <w:rFonts w:hint="eastAsia" w:ascii="宋体" w:hAnsi="宋体" w:eastAsia="宋体" w:cs="宋体"/>
                <w:color w:val="auto"/>
                <w:sz w:val="24"/>
                <w:szCs w:val="24"/>
                <w:highlight w:val="none"/>
              </w:rPr>
            </w:pPr>
            <w:bookmarkStart w:id="110" w:name="_Hlk143529175"/>
            <w:r>
              <w:rPr>
                <w:rFonts w:hint="eastAsia" w:ascii="宋体" w:hAnsi="宋体" w:eastAsia="宋体" w:cs="宋体"/>
                <w:color w:val="auto"/>
                <w:sz w:val="24"/>
                <w:szCs w:val="24"/>
                <w:highlight w:val="none"/>
              </w:rPr>
              <w:t>现场考察</w:t>
            </w:r>
            <w:bookmarkEnd w:id="110"/>
          </w:p>
        </w:tc>
        <w:tc>
          <w:tcPr>
            <w:tcW w:w="6810" w:type="dxa"/>
            <w:tcBorders>
              <w:top w:val="single" w:color="auto" w:sz="2" w:space="0"/>
              <w:left w:val="single" w:color="auto" w:sz="2" w:space="0"/>
              <w:bottom w:val="single" w:color="auto" w:sz="2" w:space="0"/>
              <w:right w:val="single" w:color="auto" w:sz="2" w:space="0"/>
            </w:tcBorders>
            <w:shd w:val="clear" w:color="auto" w:fill="auto"/>
            <w:vAlign w:val="center"/>
          </w:tcPr>
          <w:p w14:paraId="5E2B3EE4">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不组织，供应商自行前往</w:t>
            </w:r>
            <w:r>
              <w:rPr>
                <w:rFonts w:hint="eastAsia" w:ascii="宋体" w:hAnsi="宋体" w:eastAsia="宋体" w:cs="宋体"/>
                <w:color w:val="auto"/>
                <w:sz w:val="24"/>
                <w:szCs w:val="24"/>
                <w:highlight w:val="none"/>
                <w:lang w:eastAsia="zh-CN"/>
              </w:rPr>
              <w:t>。</w:t>
            </w:r>
          </w:p>
          <w:p w14:paraId="2238EF6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7A7004">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20FC15">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B8528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3AA490D3">
            <w:pPr>
              <w:pStyle w:val="46"/>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w:t>
            </w:r>
          </w:p>
        </w:tc>
        <w:tc>
          <w:tcPr>
            <w:tcW w:w="1930" w:type="dxa"/>
            <w:tcBorders>
              <w:top w:val="single" w:color="auto" w:sz="2" w:space="0"/>
              <w:left w:val="single" w:color="auto" w:sz="2" w:space="0"/>
              <w:bottom w:val="single" w:color="auto" w:sz="2" w:space="0"/>
              <w:right w:val="single" w:color="auto" w:sz="2" w:space="0"/>
            </w:tcBorders>
            <w:shd w:val="clear" w:color="auto" w:fill="auto"/>
            <w:vAlign w:val="center"/>
          </w:tcPr>
          <w:p w14:paraId="06B687FF">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答疑会</w:t>
            </w:r>
          </w:p>
        </w:tc>
        <w:tc>
          <w:tcPr>
            <w:tcW w:w="6810" w:type="dxa"/>
            <w:tcBorders>
              <w:top w:val="single" w:color="auto" w:sz="2" w:space="0"/>
              <w:left w:val="single" w:color="auto" w:sz="2" w:space="0"/>
              <w:bottom w:val="single" w:color="auto" w:sz="2" w:space="0"/>
              <w:right w:val="single" w:color="auto" w:sz="2" w:space="0"/>
            </w:tcBorders>
            <w:shd w:val="clear" w:color="auto" w:fill="auto"/>
            <w:vAlign w:val="center"/>
          </w:tcPr>
          <w:p w14:paraId="2311FEB9">
            <w:pPr>
              <w:pStyle w:val="4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0460CD8F">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485F5E8">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51C6642">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697CBDA8">
            <w:pPr>
              <w:pStyle w:val="46"/>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p>
        </w:tc>
        <w:tc>
          <w:tcPr>
            <w:tcW w:w="1930" w:type="dxa"/>
            <w:tcBorders>
              <w:top w:val="single" w:color="auto" w:sz="2" w:space="0"/>
              <w:left w:val="single" w:color="auto" w:sz="2" w:space="0"/>
              <w:bottom w:val="single" w:color="auto" w:sz="2" w:space="0"/>
              <w:right w:val="single" w:color="auto" w:sz="2" w:space="0"/>
            </w:tcBorders>
            <w:vAlign w:val="center"/>
          </w:tcPr>
          <w:p w14:paraId="56E4A3E9">
            <w:pPr>
              <w:pStyle w:val="46"/>
              <w:jc w:val="center"/>
              <w:rPr>
                <w:rFonts w:hint="eastAsia" w:ascii="宋体" w:hAnsi="宋体" w:eastAsia="宋体" w:cs="宋体"/>
                <w:color w:val="auto"/>
                <w:sz w:val="24"/>
                <w:szCs w:val="24"/>
                <w:highlight w:val="none"/>
                <w:lang w:eastAsia="zh-CN"/>
              </w:rPr>
            </w:pPr>
            <w:r>
              <w:rPr>
                <w:rFonts w:hint="eastAsia" w:ascii="仿宋" w:hAnsi="仿宋" w:eastAsia="仿宋" w:cs="仿宋"/>
                <w:spacing w:val="-2"/>
                <w:sz w:val="24"/>
                <w:szCs w:val="24"/>
              </w:rPr>
              <w:t>☆</w:t>
            </w:r>
            <w:r>
              <w:rPr>
                <w:rFonts w:hint="eastAsia" w:ascii="宋体" w:hAnsi="宋体" w:eastAsia="宋体" w:cs="宋体"/>
                <w:color w:val="auto"/>
                <w:sz w:val="24"/>
                <w:szCs w:val="24"/>
                <w:highlight w:val="none"/>
                <w:lang w:eastAsia="zh-CN"/>
              </w:rPr>
              <w:t>响应文件有效期</w:t>
            </w:r>
          </w:p>
        </w:tc>
        <w:tc>
          <w:tcPr>
            <w:tcW w:w="6810" w:type="dxa"/>
            <w:tcBorders>
              <w:top w:val="single" w:color="auto" w:sz="2" w:space="0"/>
              <w:left w:val="single" w:color="auto" w:sz="2" w:space="0"/>
              <w:bottom w:val="single" w:color="auto" w:sz="2" w:space="0"/>
              <w:right w:val="single" w:color="auto" w:sz="2" w:space="0"/>
            </w:tcBorders>
            <w:vAlign w:val="center"/>
          </w:tcPr>
          <w:p w14:paraId="7A8404D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响应文件递交截止日期后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799"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26C48057">
            <w:pPr>
              <w:pStyle w:val="46"/>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p>
        </w:tc>
        <w:tc>
          <w:tcPr>
            <w:tcW w:w="1930" w:type="dxa"/>
            <w:tcBorders>
              <w:top w:val="single" w:color="auto" w:sz="2" w:space="0"/>
              <w:left w:val="single" w:color="auto" w:sz="2" w:space="0"/>
              <w:bottom w:val="single" w:color="auto" w:sz="2" w:space="0"/>
              <w:right w:val="single" w:color="auto" w:sz="2" w:space="0"/>
            </w:tcBorders>
            <w:vAlign w:val="center"/>
          </w:tcPr>
          <w:p w14:paraId="60D2F551">
            <w:pPr>
              <w:pStyle w:val="46"/>
              <w:jc w:val="center"/>
              <w:rPr>
                <w:rFonts w:hint="eastAsia" w:ascii="宋体" w:hAnsi="宋体" w:eastAsia="宋体" w:cs="宋体"/>
                <w:color w:val="auto"/>
                <w:sz w:val="24"/>
                <w:szCs w:val="24"/>
                <w:highlight w:val="none"/>
              </w:rPr>
            </w:pPr>
            <w:r>
              <w:rPr>
                <w:rFonts w:hint="eastAsia" w:ascii="仿宋" w:hAnsi="仿宋" w:eastAsia="仿宋" w:cs="仿宋"/>
                <w:spacing w:val="-2"/>
                <w:sz w:val="24"/>
                <w:szCs w:val="24"/>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w:t>
            </w:r>
          </w:p>
        </w:tc>
        <w:tc>
          <w:tcPr>
            <w:tcW w:w="6810" w:type="dxa"/>
            <w:tcBorders>
              <w:top w:val="single" w:color="auto" w:sz="2" w:space="0"/>
              <w:left w:val="single" w:color="auto" w:sz="2" w:space="0"/>
              <w:bottom w:val="single" w:color="auto" w:sz="2" w:space="0"/>
              <w:right w:val="single" w:color="auto" w:sz="2" w:space="0"/>
            </w:tcBorders>
            <w:vAlign w:val="center"/>
          </w:tcPr>
          <w:p w14:paraId="6A5BD78D">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1F705AC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033BC8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p>
          <w:p w14:paraId="31FDD90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38000</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lang w:eastAsia="zh-CN"/>
              </w:rPr>
              <w:t>。</w:t>
            </w:r>
          </w:p>
          <w:p w14:paraId="16772EB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.供应商自主选择以银行转账或者电子保函、纸质保函等非现金方式缴纳，以上两种方式投标人仅需选择其中一个即可。具体缴纳方式如下:</w:t>
            </w:r>
          </w:p>
          <w:p w14:paraId="18A4E93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电子保证金</w:t>
            </w:r>
          </w:p>
          <w:p w14:paraId="0D4C15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户信息:按系统自动生成的收款账号信息进行缴纳。具体操作在【保证金管理】页选择【电子保证金(在线获取账号)】，点击【新疆保证金平台】，自动从银行获取面，保证金的收款户名、收款账号、收款银行信息。供应商需将保证金转入获取到的收款账号。</w:t>
            </w:r>
          </w:p>
          <w:p w14:paraId="1F174AC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必须在2026年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日1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0时（北京时间）前将谈判保证金汇入指定账户。谈判保证金汇款凭证上用途栏应注明：（项目名称简称：</w:t>
            </w:r>
            <w:r>
              <w:rPr>
                <w:rFonts w:hint="eastAsia" w:ascii="宋体" w:hAnsi="宋体" w:cs="宋体"/>
                <w:color w:val="auto"/>
                <w:sz w:val="24"/>
                <w:szCs w:val="24"/>
                <w:highlight w:val="none"/>
                <w:lang w:val="en-US" w:eastAsia="zh-CN"/>
              </w:rPr>
              <w:t>上库</w:t>
            </w:r>
            <w:r>
              <w:rPr>
                <w:rFonts w:hint="eastAsia" w:ascii="宋体" w:hAnsi="宋体" w:eastAsia="宋体" w:cs="宋体"/>
                <w:color w:val="auto"/>
                <w:sz w:val="24"/>
                <w:szCs w:val="24"/>
                <w:highlight w:val="none"/>
                <w:lang w:val="en-US" w:eastAsia="zh-CN"/>
              </w:rPr>
              <w:t>绿化</w:t>
            </w:r>
            <w:r>
              <w:rPr>
                <w:rFonts w:hint="eastAsia" w:ascii="宋体" w:hAnsi="宋体" w:cs="宋体"/>
                <w:color w:val="auto"/>
                <w:sz w:val="24"/>
                <w:szCs w:val="24"/>
                <w:highlight w:val="none"/>
                <w:lang w:val="en-US" w:eastAsia="zh-CN"/>
              </w:rPr>
              <w:t>项目（二次）</w:t>
            </w:r>
            <w:r>
              <w:rPr>
                <w:rFonts w:hint="eastAsia" w:ascii="宋体" w:hAnsi="宋体" w:eastAsia="宋体" w:cs="宋体"/>
                <w:color w:val="auto"/>
                <w:sz w:val="24"/>
                <w:szCs w:val="24"/>
                <w:highlight w:val="none"/>
                <w:lang w:val="en-US" w:eastAsia="zh-CN"/>
              </w:rPr>
              <w:t>保证金）。未按以上要求递交谈判保证金及提供保证金交纳凭证的视为无效，采购人将拒绝其投标。</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7CEAD36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1E0176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53"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61BD2EB4">
            <w:pPr>
              <w:pStyle w:val="46"/>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7</w:t>
            </w:r>
          </w:p>
        </w:tc>
        <w:tc>
          <w:tcPr>
            <w:tcW w:w="1930" w:type="dxa"/>
            <w:tcBorders>
              <w:top w:val="single" w:color="auto" w:sz="2" w:space="0"/>
              <w:left w:val="single" w:color="auto" w:sz="2" w:space="0"/>
              <w:bottom w:val="single" w:color="auto" w:sz="2" w:space="0"/>
              <w:right w:val="single" w:color="auto" w:sz="2" w:space="0"/>
            </w:tcBorders>
            <w:vAlign w:val="center"/>
          </w:tcPr>
          <w:p w14:paraId="5DF09144">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810" w:type="dxa"/>
            <w:tcBorders>
              <w:top w:val="single" w:color="auto" w:sz="2" w:space="0"/>
              <w:left w:val="single" w:color="auto" w:sz="2" w:space="0"/>
              <w:bottom w:val="single" w:color="auto" w:sz="2" w:space="0"/>
              <w:right w:val="single" w:color="auto" w:sz="2" w:space="0"/>
            </w:tcBorders>
            <w:vAlign w:val="center"/>
          </w:tcPr>
          <w:p w14:paraId="1A755E2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样品递交： </w:t>
            </w:r>
          </w:p>
          <w:p w14:paraId="2DA6B3DD">
            <w:pPr>
              <w:pStyle w:val="46"/>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CF1D977">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057180A3">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3BD1F4B">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1C722A75">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12E9C11">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140A7E83">
            <w:pPr>
              <w:pStyle w:val="46"/>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163503B2">
            <w:pPr>
              <w:pStyle w:val="46"/>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405BE77E">
            <w:pPr>
              <w:pStyle w:val="46"/>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66E8902D">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1DDB2E5">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6985B4A7">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07"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733F5245">
            <w:pPr>
              <w:pStyle w:val="46"/>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8</w:t>
            </w:r>
          </w:p>
        </w:tc>
        <w:tc>
          <w:tcPr>
            <w:tcW w:w="1930" w:type="dxa"/>
            <w:tcBorders>
              <w:top w:val="single" w:color="auto" w:sz="2" w:space="0"/>
              <w:left w:val="single" w:color="auto" w:sz="2" w:space="0"/>
              <w:bottom w:val="single" w:color="auto" w:sz="2" w:space="0"/>
              <w:right w:val="single" w:color="auto" w:sz="2" w:space="0"/>
            </w:tcBorders>
            <w:vAlign w:val="center"/>
          </w:tcPr>
          <w:p w14:paraId="4ABD3E07">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810" w:type="dxa"/>
            <w:tcBorders>
              <w:top w:val="single" w:color="auto" w:sz="2" w:space="0"/>
              <w:left w:val="single" w:color="auto" w:sz="2" w:space="0"/>
              <w:bottom w:val="single" w:color="auto" w:sz="2" w:space="0"/>
              <w:right w:val="single" w:color="auto" w:sz="2" w:space="0"/>
            </w:tcBorders>
            <w:vAlign w:val="center"/>
          </w:tcPr>
          <w:p w14:paraId="2F12798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不进行</w:t>
            </w:r>
          </w:p>
          <w:p w14:paraId="3E1D547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78D358FD">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分钟。</w:t>
            </w:r>
          </w:p>
          <w:p w14:paraId="4FF9BE53">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727E4770">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19"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75DCCD86">
            <w:pPr>
              <w:pStyle w:val="46"/>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9</w:t>
            </w:r>
          </w:p>
        </w:tc>
        <w:tc>
          <w:tcPr>
            <w:tcW w:w="1930" w:type="dxa"/>
            <w:tcBorders>
              <w:top w:val="single" w:color="auto" w:sz="2" w:space="0"/>
              <w:left w:val="single" w:color="auto" w:sz="2" w:space="0"/>
              <w:bottom w:val="single" w:color="auto" w:sz="2" w:space="0"/>
              <w:right w:val="single" w:color="auto" w:sz="2" w:space="0"/>
            </w:tcBorders>
            <w:vAlign w:val="center"/>
          </w:tcPr>
          <w:p w14:paraId="747E8F82">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解密响应文件的时限</w:t>
            </w:r>
          </w:p>
        </w:tc>
        <w:tc>
          <w:tcPr>
            <w:tcW w:w="6810" w:type="dxa"/>
            <w:tcBorders>
              <w:top w:val="single" w:color="auto" w:sz="2" w:space="0"/>
              <w:left w:val="single" w:color="auto" w:sz="2" w:space="0"/>
              <w:bottom w:val="single" w:color="auto" w:sz="2" w:space="0"/>
              <w:right w:val="single" w:color="auto" w:sz="2" w:space="0"/>
            </w:tcBorders>
            <w:vAlign w:val="center"/>
          </w:tcPr>
          <w:p w14:paraId="023E614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none"/>
                <w:lang w:val="en-US" w:eastAsia="zh-CN"/>
              </w:rPr>
              <w:t>30</w:t>
            </w:r>
            <w:r>
              <w:rPr>
                <w:rFonts w:hint="eastAsia" w:ascii="宋体" w:hAnsi="宋体" w:eastAsia="宋体" w:cs="宋体"/>
                <w:color w:val="auto"/>
                <w:sz w:val="24"/>
                <w:szCs w:val="24"/>
                <w:highlight w:val="none"/>
              </w:rPr>
              <w:t>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08EF5D4">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color w:val="auto"/>
                <w:sz w:val="24"/>
                <w:szCs w:val="24"/>
                <w:highlight w:val="none"/>
                <w:lang w:eastAsia="zh-CN"/>
              </w:rPr>
              <w:t>。</w:t>
            </w:r>
          </w:p>
        </w:tc>
      </w:tr>
      <w:tr w14:paraId="550466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88" w:hRule="atLeast"/>
          <w:jc w:val="center"/>
        </w:trPr>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45CEBC2C">
            <w:pPr>
              <w:pStyle w:val="46"/>
              <w:jc w:val="center"/>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10</w:t>
            </w:r>
          </w:p>
        </w:tc>
        <w:tc>
          <w:tcPr>
            <w:tcW w:w="1930" w:type="dxa"/>
            <w:tcBorders>
              <w:top w:val="single" w:color="auto" w:sz="2" w:space="0"/>
              <w:left w:val="single" w:color="auto" w:sz="2" w:space="0"/>
              <w:bottom w:val="single" w:color="auto" w:sz="2" w:space="0"/>
              <w:right w:val="single" w:color="auto" w:sz="2" w:space="0"/>
            </w:tcBorders>
            <w:shd w:val="clear" w:color="auto" w:fill="auto"/>
            <w:vAlign w:val="center"/>
          </w:tcPr>
          <w:p w14:paraId="79CB7E8C">
            <w:pPr>
              <w:pStyle w:val="46"/>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谈判轮次及谈判顺序</w:t>
            </w:r>
          </w:p>
        </w:tc>
        <w:tc>
          <w:tcPr>
            <w:tcW w:w="6810" w:type="dxa"/>
            <w:tcBorders>
              <w:top w:val="single" w:color="auto" w:sz="2" w:space="0"/>
              <w:left w:val="single" w:color="auto" w:sz="2" w:space="0"/>
              <w:bottom w:val="single" w:color="auto" w:sz="2" w:space="0"/>
              <w:right w:val="single" w:color="auto" w:sz="2" w:space="0"/>
            </w:tcBorders>
            <w:shd w:val="clear" w:color="auto" w:fill="auto"/>
            <w:vAlign w:val="center"/>
          </w:tcPr>
          <w:p w14:paraId="2BBE5A5D">
            <w:pPr>
              <w:pStyle w:val="46"/>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谈判轮次：</w:t>
            </w:r>
          </w:p>
          <w:p w14:paraId="74F5ED1C">
            <w:pPr>
              <w:pStyle w:val="46"/>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轮谈判（不含最后报价）。</w:t>
            </w:r>
          </w:p>
          <w:p w14:paraId="204972B3">
            <w:pPr>
              <w:pStyle w:val="46"/>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5231539D">
            <w:pPr>
              <w:pStyle w:val="46"/>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谈判顺序：</w:t>
            </w:r>
            <w:r>
              <w:rPr>
                <w:rFonts w:hint="eastAsia" w:cs="宋体"/>
                <w:color w:val="auto"/>
                <w:sz w:val="24"/>
                <w:szCs w:val="24"/>
                <w:highlight w:val="none"/>
                <w:u w:val="single"/>
                <w:lang w:val="en-US" w:eastAsia="zh-CN"/>
              </w:rPr>
              <w:t xml:space="preserve">  随机抽取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0A512A01">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11</w:t>
            </w:r>
          </w:p>
        </w:tc>
        <w:tc>
          <w:tcPr>
            <w:tcW w:w="1930" w:type="dxa"/>
            <w:tcBorders>
              <w:top w:val="single" w:color="auto" w:sz="2" w:space="0"/>
              <w:left w:val="single" w:color="auto" w:sz="2" w:space="0"/>
              <w:bottom w:val="single" w:color="auto" w:sz="2" w:space="0"/>
              <w:right w:val="single" w:color="auto" w:sz="2" w:space="0"/>
            </w:tcBorders>
            <w:vAlign w:val="center"/>
          </w:tcPr>
          <w:p w14:paraId="3B1D8DC9">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推荐成交候选供应商</w:t>
            </w:r>
          </w:p>
        </w:tc>
        <w:tc>
          <w:tcPr>
            <w:tcW w:w="6810" w:type="dxa"/>
            <w:tcBorders>
              <w:top w:val="single" w:color="auto" w:sz="2" w:space="0"/>
              <w:left w:val="single" w:color="auto" w:sz="2" w:space="0"/>
              <w:bottom w:val="single" w:color="auto" w:sz="2" w:space="0"/>
              <w:right w:val="single" w:color="auto" w:sz="2" w:space="0"/>
            </w:tcBorders>
            <w:vAlign w:val="center"/>
          </w:tcPr>
          <w:p w14:paraId="67201373">
            <w:pPr>
              <w:pStyle w:val="46"/>
              <w:rPr>
                <w:rFonts w:hint="eastAsia"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推荐</w:t>
            </w:r>
            <w:r>
              <w:rPr>
                <w:rFonts w:hint="eastAsia" w:ascii="宋体" w:hAnsi="宋体" w:eastAsia="宋体" w:cs="宋体"/>
                <w:color w:val="auto"/>
                <w:sz w:val="24"/>
                <w:szCs w:val="24"/>
                <w:highlight w:val="none"/>
                <w:lang w:val="en-US" w:eastAsia="zh-CN"/>
              </w:rPr>
              <w:t>数量</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家</w:t>
            </w:r>
            <w:r>
              <w:rPr>
                <w:rFonts w:hint="eastAsia" w:cs="宋体"/>
                <w:color w:val="auto"/>
                <w:sz w:val="24"/>
                <w:szCs w:val="24"/>
                <w:highlight w:val="none"/>
                <w:u w:val="none"/>
                <w:lang w:val="en-US" w:eastAsia="zh-CN"/>
              </w:rPr>
              <w:t>。</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60"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37AC9C03">
            <w:pPr>
              <w:pStyle w:val="46"/>
              <w:jc w:val="center"/>
              <w:rPr>
                <w:rFonts w:hint="default" w:ascii="宋体" w:hAnsi="宋体" w:eastAsia="宋体" w:cs="宋体"/>
                <w:color w:val="auto"/>
                <w:sz w:val="24"/>
                <w:szCs w:val="24"/>
                <w:highlight w:val="none"/>
                <w:lang w:val="en-US"/>
              </w:rPr>
            </w:pPr>
            <w:r>
              <w:rPr>
                <w:rFonts w:hint="eastAsia" w:cs="宋体"/>
                <w:color w:val="auto"/>
                <w:sz w:val="24"/>
                <w:szCs w:val="24"/>
                <w:highlight w:val="none"/>
                <w:lang w:val="en-US" w:eastAsia="zh-CN"/>
              </w:rPr>
              <w:t>12</w:t>
            </w:r>
          </w:p>
        </w:tc>
        <w:tc>
          <w:tcPr>
            <w:tcW w:w="1930" w:type="dxa"/>
            <w:tcBorders>
              <w:top w:val="single" w:color="auto" w:sz="2" w:space="0"/>
              <w:left w:val="single" w:color="auto" w:sz="2" w:space="0"/>
              <w:bottom w:val="single" w:color="auto" w:sz="2" w:space="0"/>
              <w:right w:val="single" w:color="auto" w:sz="2" w:space="0"/>
            </w:tcBorders>
            <w:vAlign w:val="center"/>
          </w:tcPr>
          <w:p w14:paraId="7F76907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确定成交供应商</w:t>
            </w:r>
          </w:p>
        </w:tc>
        <w:tc>
          <w:tcPr>
            <w:tcW w:w="6810" w:type="dxa"/>
            <w:tcBorders>
              <w:top w:val="single" w:color="auto" w:sz="2" w:space="0"/>
              <w:left w:val="single" w:color="auto" w:sz="2" w:space="0"/>
              <w:bottom w:val="single" w:color="auto" w:sz="2" w:space="0"/>
              <w:right w:val="single" w:color="auto" w:sz="2" w:space="0"/>
            </w:tcBorders>
            <w:vAlign w:val="center"/>
          </w:tcPr>
          <w:p w14:paraId="77284D4E">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收到评审报告后5个工作日内，按评审报告中推荐的成交候选人排序确定成交供应商。</w:t>
            </w:r>
          </w:p>
          <w:p w14:paraId="20F6D23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采购人委托</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小组直接确定成交供应商。</w:t>
            </w:r>
          </w:p>
          <w:p w14:paraId="7CD921DD">
            <w:pPr>
              <w:pStyle w:val="46"/>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lang w:val="en-US" w:eastAsia="zh-CN"/>
              </w:rPr>
              <w:t>成交候选人并列的，按照以下方式确定成交供应商：</w:t>
            </w:r>
            <w:r>
              <w:rPr>
                <w:rFonts w:hint="eastAsia" w:cs="宋体"/>
                <w:color w:val="auto"/>
                <w:sz w:val="24"/>
                <w:szCs w:val="24"/>
                <w:highlight w:val="none"/>
                <w:u w:val="none"/>
                <w:lang w:val="en-US" w:eastAsia="zh-CN"/>
              </w:rPr>
              <w:t>采取随机抽取的方式确定。</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027ED33D">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w:t>
            </w:r>
          </w:p>
        </w:tc>
        <w:tc>
          <w:tcPr>
            <w:tcW w:w="1930" w:type="dxa"/>
            <w:tcBorders>
              <w:top w:val="single" w:color="auto" w:sz="2" w:space="0"/>
              <w:left w:val="single" w:color="auto" w:sz="2" w:space="0"/>
              <w:bottom w:val="single" w:color="auto" w:sz="2" w:space="0"/>
              <w:right w:val="single" w:color="auto" w:sz="2" w:space="0"/>
            </w:tcBorders>
            <w:vAlign w:val="center"/>
          </w:tcPr>
          <w:p w14:paraId="6AB44AED">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810" w:type="dxa"/>
            <w:tcBorders>
              <w:top w:val="single" w:color="auto" w:sz="2" w:space="0"/>
              <w:left w:val="single" w:color="auto" w:sz="2" w:space="0"/>
              <w:bottom w:val="single" w:color="auto" w:sz="2" w:space="0"/>
              <w:right w:val="single" w:color="auto" w:sz="2" w:space="0"/>
            </w:tcBorders>
            <w:vAlign w:val="center"/>
          </w:tcPr>
          <w:p w14:paraId="790E0B45">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31157547">
            <w:pPr>
              <w:pStyle w:val="46"/>
              <w:ind w:firstLine="240" w:firstLineChars="1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B5A19AA">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9B6D208">
            <w:pPr>
              <w:pStyle w:val="46"/>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w:t>
            </w:r>
            <w:r>
              <w:rPr>
                <w:rFonts w:hint="eastAsia" w:ascii="宋体" w:hAnsi="宋体" w:eastAsia="宋体" w:cs="宋体"/>
                <w:color w:val="auto"/>
                <w:sz w:val="24"/>
                <w:szCs w:val="24"/>
                <w:highlight w:val="none"/>
                <w:u w:val="single"/>
              </w:rPr>
              <w:t>人民币           元</w:t>
            </w:r>
          </w:p>
          <w:p w14:paraId="52DC4B4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63ACCF2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供应商可自主选择以支票、汇票、本票、电汇、转账、网银、保函等非现金形式缴纳或提交保证金。</w:t>
            </w:r>
          </w:p>
          <w:p w14:paraId="412117C6">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收取单位：                            </w:t>
            </w:r>
          </w:p>
          <w:p w14:paraId="2664878C">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color w:val="auto"/>
                <w:sz w:val="24"/>
                <w:szCs w:val="24"/>
                <w:highlight w:val="none"/>
              </w:rPr>
              <w:t xml:space="preserve">              </w:t>
            </w:r>
          </w:p>
          <w:p w14:paraId="22C7C956">
            <w:pPr>
              <w:pStyle w:val="46"/>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退还时间：              </w:t>
            </w:r>
          </w:p>
          <w:p w14:paraId="151176AB">
            <w:pPr>
              <w:pStyle w:val="4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64BE45E6">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8DC084A">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0861755C">
            <w:pPr>
              <w:pStyle w:val="46"/>
              <w:jc w:val="center"/>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14</w:t>
            </w:r>
          </w:p>
        </w:tc>
        <w:tc>
          <w:tcPr>
            <w:tcW w:w="1930" w:type="dxa"/>
            <w:tcBorders>
              <w:top w:val="single" w:color="auto" w:sz="2" w:space="0"/>
              <w:left w:val="single" w:color="auto" w:sz="2" w:space="0"/>
              <w:bottom w:val="single" w:color="auto" w:sz="2" w:space="0"/>
              <w:right w:val="single" w:color="auto" w:sz="2" w:space="0"/>
            </w:tcBorders>
            <w:vAlign w:val="center"/>
          </w:tcPr>
          <w:p w14:paraId="04D9510B">
            <w:pPr>
              <w:pStyle w:val="4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合同分包</w:t>
            </w:r>
          </w:p>
        </w:tc>
        <w:tc>
          <w:tcPr>
            <w:tcW w:w="6810" w:type="dxa"/>
            <w:tcBorders>
              <w:top w:val="single" w:color="auto" w:sz="2" w:space="0"/>
              <w:left w:val="single" w:color="auto" w:sz="2" w:space="0"/>
              <w:bottom w:val="single" w:color="auto" w:sz="2" w:space="0"/>
              <w:right w:val="single" w:color="auto" w:sz="2" w:space="0"/>
            </w:tcBorders>
            <w:vAlign w:val="center"/>
          </w:tcPr>
          <w:p w14:paraId="4344EC45">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46"/>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71BE067E">
            <w:pPr>
              <w:pStyle w:val="4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3628979B">
            <w:pPr>
              <w:pStyle w:val="46"/>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3.其他要求：</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1F3EF9C4">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15</w:t>
            </w:r>
          </w:p>
        </w:tc>
        <w:tc>
          <w:tcPr>
            <w:tcW w:w="1930" w:type="dxa"/>
            <w:tcBorders>
              <w:top w:val="single" w:color="auto" w:sz="2" w:space="0"/>
              <w:left w:val="single" w:color="auto" w:sz="2" w:space="0"/>
              <w:bottom w:val="single" w:color="auto" w:sz="2" w:space="0"/>
              <w:right w:val="single" w:color="auto" w:sz="2" w:space="0"/>
            </w:tcBorders>
            <w:vAlign w:val="center"/>
          </w:tcPr>
          <w:p w14:paraId="66EBB004">
            <w:pPr>
              <w:pStyle w:val="46"/>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质疑</w:t>
            </w:r>
          </w:p>
        </w:tc>
        <w:tc>
          <w:tcPr>
            <w:tcW w:w="6810" w:type="dxa"/>
            <w:tcBorders>
              <w:top w:val="single" w:color="auto" w:sz="2" w:space="0"/>
              <w:left w:val="single" w:color="auto" w:sz="2" w:space="0"/>
              <w:bottom w:val="single" w:color="auto" w:sz="2" w:space="0"/>
              <w:right w:val="single" w:color="auto" w:sz="2" w:space="0"/>
            </w:tcBorders>
            <w:vAlign w:val="center"/>
          </w:tcPr>
          <w:p w14:paraId="57AB3EEA">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递交方式：书面形式</w:t>
            </w:r>
            <w:r>
              <w:rPr>
                <w:rFonts w:hint="eastAsia" w:ascii="宋体" w:hAnsi="宋体" w:eastAsia="宋体" w:cs="宋体"/>
                <w:color w:val="auto"/>
                <w:kern w:val="2"/>
                <w:sz w:val="24"/>
                <w:szCs w:val="24"/>
                <w:highlight w:val="none"/>
                <w:lang w:val="zh-CN" w:eastAsia="zh-CN" w:bidi="ar-SA"/>
              </w:rPr>
              <w:tab/>
            </w:r>
          </w:p>
          <w:p w14:paraId="5F0E8F2E">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接收部门：新疆国腾工程项目管理咨询有限公司</w:t>
            </w:r>
            <w:r>
              <w:rPr>
                <w:rFonts w:hint="eastAsia" w:ascii="宋体" w:hAnsi="宋体" w:eastAsia="宋体" w:cs="宋体"/>
                <w:color w:val="auto"/>
                <w:kern w:val="2"/>
                <w:sz w:val="24"/>
                <w:szCs w:val="24"/>
                <w:highlight w:val="none"/>
                <w:lang w:val="zh-CN" w:eastAsia="zh-CN" w:bidi="ar-SA"/>
              </w:rPr>
              <w:tab/>
            </w:r>
          </w:p>
          <w:p w14:paraId="639F2458">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联系电话：18299829443</w:t>
            </w:r>
            <w:r>
              <w:rPr>
                <w:rFonts w:hint="eastAsia" w:ascii="宋体" w:hAnsi="宋体" w:eastAsia="宋体" w:cs="宋体"/>
                <w:color w:val="auto"/>
                <w:kern w:val="2"/>
                <w:sz w:val="24"/>
                <w:szCs w:val="24"/>
                <w:highlight w:val="none"/>
                <w:lang w:val="zh-CN" w:eastAsia="zh-CN" w:bidi="ar-SA"/>
              </w:rPr>
              <w:tab/>
            </w:r>
            <w:r>
              <w:rPr>
                <w:rFonts w:hint="eastAsia" w:ascii="宋体" w:hAnsi="宋体" w:eastAsia="宋体" w:cs="宋体"/>
                <w:color w:val="auto"/>
                <w:kern w:val="2"/>
                <w:sz w:val="24"/>
                <w:szCs w:val="24"/>
                <w:highlight w:val="none"/>
                <w:lang w:val="zh-CN" w:eastAsia="zh-CN" w:bidi="ar-SA"/>
              </w:rPr>
              <w:t xml:space="preserve"> </w:t>
            </w:r>
          </w:p>
          <w:p w14:paraId="52C316D3">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通讯地址：库尔勒市永安大道观棠云邸18号楼一层（电子版资料发送邮箱78303916@qq.com）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65"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0B4B8253">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16</w:t>
            </w:r>
          </w:p>
        </w:tc>
        <w:tc>
          <w:tcPr>
            <w:tcW w:w="1930" w:type="dxa"/>
            <w:tcBorders>
              <w:top w:val="single" w:color="auto" w:sz="2" w:space="0"/>
              <w:left w:val="single" w:color="auto" w:sz="2" w:space="0"/>
              <w:bottom w:val="single" w:color="auto" w:sz="2" w:space="0"/>
              <w:right w:val="single" w:color="auto" w:sz="2" w:space="0"/>
            </w:tcBorders>
            <w:vAlign w:val="center"/>
          </w:tcPr>
          <w:p w14:paraId="620FF725">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采购代理服务费收取方式和标准</w:t>
            </w:r>
          </w:p>
        </w:tc>
        <w:tc>
          <w:tcPr>
            <w:tcW w:w="6810" w:type="dxa"/>
            <w:tcBorders>
              <w:top w:val="single" w:color="auto" w:sz="2" w:space="0"/>
              <w:left w:val="single" w:color="auto" w:sz="2" w:space="0"/>
              <w:bottom w:val="single" w:color="auto" w:sz="2" w:space="0"/>
              <w:right w:val="single" w:color="auto" w:sz="2" w:space="0"/>
            </w:tcBorders>
            <w:vAlign w:val="center"/>
          </w:tcPr>
          <w:p w14:paraId="50481589">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 xml:space="preserve">人支付 </w:t>
            </w:r>
          </w:p>
          <w:p w14:paraId="32437533">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收费标准：参照发改价格〔2015〕299号文收取</w:t>
            </w:r>
          </w:p>
          <w:p w14:paraId="0D424C36">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en-US"/>
              </w:rPr>
              <w:t>收取时间：</w:t>
            </w:r>
            <w:r>
              <w:rPr>
                <w:rFonts w:hint="eastAsia" w:ascii="宋体" w:hAnsi="宋体" w:eastAsia="宋体" w:cs="宋体"/>
                <w:color w:val="auto"/>
                <w:sz w:val="24"/>
                <w:szCs w:val="24"/>
                <w:highlight w:val="none"/>
                <w:lang w:val="en-US" w:eastAsia="zh-CN"/>
              </w:rPr>
              <w:t>中标供应商向招标代理机构领取中标通知书前一次性缴纳。</w:t>
            </w:r>
          </w:p>
          <w:p w14:paraId="6A781A0B">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4.收取方式：</w:t>
            </w:r>
            <w:r>
              <w:rPr>
                <w:rFonts w:hint="eastAsia" w:ascii="宋体" w:hAnsi="宋体" w:eastAsia="宋体" w:cs="宋体"/>
                <w:color w:val="auto"/>
                <w:sz w:val="24"/>
                <w:szCs w:val="24"/>
                <w:highlight w:val="none"/>
                <w:lang w:val="en-US" w:eastAsia="zh-CN"/>
              </w:rPr>
              <w:t>转账</w:t>
            </w:r>
          </w:p>
        </w:tc>
      </w:tr>
      <w:tr w14:paraId="01ADAD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761" w:type="dxa"/>
            <w:tcBorders>
              <w:top w:val="single" w:color="auto" w:sz="2" w:space="0"/>
              <w:left w:val="single" w:color="auto" w:sz="2" w:space="0"/>
              <w:bottom w:val="single" w:color="auto" w:sz="2" w:space="0"/>
              <w:right w:val="single" w:color="auto" w:sz="2" w:space="0"/>
            </w:tcBorders>
            <w:shd w:val="clear" w:color="auto" w:fill="auto"/>
            <w:vAlign w:val="center"/>
          </w:tcPr>
          <w:p w14:paraId="4C62DB7D">
            <w:pPr>
              <w:pStyle w:val="46"/>
              <w:jc w:val="center"/>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17</w:t>
            </w:r>
          </w:p>
        </w:tc>
        <w:tc>
          <w:tcPr>
            <w:tcW w:w="1930" w:type="dxa"/>
            <w:tcBorders>
              <w:top w:val="single" w:color="auto" w:sz="2" w:space="0"/>
              <w:left w:val="single" w:color="auto" w:sz="2" w:space="0"/>
              <w:bottom w:val="single" w:color="auto" w:sz="2" w:space="0"/>
              <w:right w:val="single" w:color="auto" w:sz="2" w:space="0"/>
            </w:tcBorders>
            <w:shd w:val="clear" w:color="auto" w:fill="auto"/>
            <w:vAlign w:val="center"/>
          </w:tcPr>
          <w:p w14:paraId="246287AB">
            <w:pPr>
              <w:pStyle w:val="46"/>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810" w:type="dxa"/>
            <w:tcBorders>
              <w:top w:val="single" w:color="auto" w:sz="2" w:space="0"/>
              <w:left w:val="single" w:color="auto" w:sz="2" w:space="0"/>
              <w:bottom w:val="single" w:color="auto" w:sz="2" w:space="0"/>
              <w:right w:val="single" w:color="auto" w:sz="2" w:space="0"/>
            </w:tcBorders>
            <w:shd w:val="clear" w:color="auto" w:fill="auto"/>
            <w:vAlign w:val="center"/>
          </w:tcPr>
          <w:p w14:paraId="064293A1">
            <w:pPr>
              <w:pStyle w:val="59"/>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0A071A53">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18</w:t>
            </w:r>
          </w:p>
        </w:tc>
        <w:tc>
          <w:tcPr>
            <w:tcW w:w="1930" w:type="dxa"/>
            <w:tcBorders>
              <w:top w:val="single" w:color="auto" w:sz="2" w:space="0"/>
              <w:left w:val="single" w:color="auto" w:sz="2" w:space="0"/>
              <w:bottom w:val="single" w:color="auto" w:sz="2" w:space="0"/>
              <w:right w:val="single" w:color="auto" w:sz="2" w:space="0"/>
            </w:tcBorders>
            <w:vAlign w:val="center"/>
          </w:tcPr>
          <w:p w14:paraId="1785FF1B">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810" w:type="dxa"/>
            <w:tcBorders>
              <w:top w:val="single" w:color="auto" w:sz="2" w:space="0"/>
              <w:left w:val="single" w:color="auto" w:sz="2" w:space="0"/>
              <w:bottom w:val="single" w:color="auto" w:sz="2" w:space="0"/>
              <w:right w:val="single" w:color="auto" w:sz="2" w:space="0"/>
            </w:tcBorders>
            <w:vAlign w:val="center"/>
          </w:tcPr>
          <w:p w14:paraId="3B4D5E17">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77F5BFD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15EB639A">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19</w:t>
            </w:r>
          </w:p>
        </w:tc>
        <w:tc>
          <w:tcPr>
            <w:tcW w:w="1930" w:type="dxa"/>
            <w:tcBorders>
              <w:top w:val="single" w:color="auto" w:sz="2" w:space="0"/>
              <w:left w:val="single" w:color="auto" w:sz="2" w:space="0"/>
              <w:bottom w:val="single" w:color="auto" w:sz="2" w:space="0"/>
              <w:right w:val="single" w:color="auto" w:sz="2" w:space="0"/>
            </w:tcBorders>
            <w:vAlign w:val="center"/>
          </w:tcPr>
          <w:p w14:paraId="623E81DC">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p>
        </w:tc>
        <w:tc>
          <w:tcPr>
            <w:tcW w:w="6810" w:type="dxa"/>
            <w:tcBorders>
              <w:top w:val="single" w:color="auto" w:sz="2" w:space="0"/>
              <w:left w:val="single" w:color="auto" w:sz="2" w:space="0"/>
              <w:bottom w:val="single" w:color="auto" w:sz="2" w:space="0"/>
              <w:right w:val="single" w:color="auto" w:sz="2" w:space="0"/>
            </w:tcBorders>
            <w:vAlign w:val="center"/>
          </w:tcPr>
          <w:p w14:paraId="2329CCDC">
            <w:pPr>
              <w:pStyle w:val="59"/>
              <w:widowControl w:val="0"/>
              <w:spacing w:before="0" w:beforeAutospacing="0" w:after="0" w:afterAutospacing="0"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1.小型和微型企业价格扣除：</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 xml:space="preserve"> 。</w:t>
            </w:r>
          </w:p>
          <w:p w14:paraId="2E455F3E">
            <w:pPr>
              <w:pStyle w:val="59"/>
              <w:widowControl w:val="0"/>
              <w:spacing w:before="0" w:beforeAutospacing="0" w:after="0" w:afterAutospacing="0"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2.监狱企业价格扣除：同小型和微型企业。</w:t>
            </w:r>
          </w:p>
          <w:p w14:paraId="6ED3D7F2">
            <w:pPr>
              <w:pStyle w:val="59"/>
              <w:widowControl w:val="0"/>
              <w:spacing w:before="0" w:beforeAutospacing="0" w:after="0" w:afterAutospacing="0"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3.残疾人福利性单位价格扣除：同小型和微型企业。</w:t>
            </w:r>
          </w:p>
          <w:p w14:paraId="2039260B">
            <w:pPr>
              <w:pStyle w:val="59"/>
              <w:widowControl w:val="0"/>
              <w:spacing w:before="0" w:beforeAutospacing="0" w:after="0" w:afterAutospacing="0" w:line="24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4.符 合 条 件 的 向 小 微 企 业 分 包 的 大 中 型 企 业 价 格 扣 除：</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 xml:space="preserve">  。（允许大中型企业向小微企业分包的项目适用）</w:t>
            </w:r>
          </w:p>
          <w:p w14:paraId="021AB9D5">
            <w:pPr>
              <w:pStyle w:val="59"/>
              <w:widowControl w:val="0"/>
              <w:spacing w:before="0" w:beforeAutospacing="0" w:after="0" w:afterAutospacing="0" w:line="240" w:lineRule="auto"/>
              <w:jc w:val="both"/>
              <w:rPr>
                <w:rFonts w:hint="eastAsia" w:ascii="宋体" w:hAnsi="宋体" w:eastAsia="宋体" w:cs="宋体"/>
                <w:color w:val="auto"/>
                <w:sz w:val="24"/>
                <w:szCs w:val="24"/>
                <w:highlight w:val="none"/>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.专门面向中小企业、预留部分采购份额面向中小企业采购的项目或采购包，评审时不再进行价格扣除。</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790F1479">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20</w:t>
            </w:r>
          </w:p>
        </w:tc>
        <w:tc>
          <w:tcPr>
            <w:tcW w:w="1930" w:type="dxa"/>
            <w:tcBorders>
              <w:top w:val="single" w:color="auto" w:sz="2" w:space="0"/>
              <w:left w:val="single" w:color="auto" w:sz="2" w:space="0"/>
              <w:bottom w:val="single" w:color="auto" w:sz="2" w:space="0"/>
              <w:right w:val="single" w:color="auto" w:sz="2" w:space="0"/>
            </w:tcBorders>
            <w:vAlign w:val="center"/>
          </w:tcPr>
          <w:p w14:paraId="46C03D62">
            <w:pPr>
              <w:pStyle w:val="4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10DBCCB6">
            <w:pPr>
              <w:pStyle w:val="46"/>
              <w:rPr>
                <w:rFonts w:hint="eastAsia" w:ascii="宋体" w:hAnsi="宋体" w:eastAsia="宋体" w:cs="宋体"/>
                <w:color w:val="auto"/>
                <w:sz w:val="24"/>
                <w:szCs w:val="24"/>
                <w:highlight w:val="none"/>
              </w:rPr>
            </w:pPr>
          </w:p>
        </w:tc>
        <w:tc>
          <w:tcPr>
            <w:tcW w:w="681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hint="eastAsia" w:ascii="宋体" w:hAnsi="宋体" w:eastAsia="宋体" w:cs="宋体"/>
                <w:b/>
                <w:bCs/>
                <w:color w:val="auto"/>
                <w:kern w:val="0"/>
                <w:sz w:val="24"/>
                <w:szCs w:val="24"/>
                <w:highlight w:val="none"/>
                <w:lang w:val="en-US" w:eastAsia="zh-CN" w:bidi="ar"/>
              </w:rPr>
              <w:t xml:space="preserve">农、林、牧、渔业 </w:t>
            </w:r>
          </w:p>
          <w:p w14:paraId="21584A47">
            <w:pPr>
              <w:pStyle w:val="4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划型：</w:t>
            </w:r>
            <w:r>
              <w:rPr>
                <w:rFonts w:hint="eastAsia" w:ascii="宋体" w:hAnsi="宋体" w:eastAsia="宋体" w:cs="宋体"/>
                <w:color w:val="auto"/>
                <w:sz w:val="24"/>
                <w:szCs w:val="24"/>
                <w:highlight w:val="none"/>
              </w:rPr>
              <w:t>营业收入＜20000万元 即为中小企业；其中：</w:t>
            </w:r>
          </w:p>
          <w:p w14:paraId="427EF63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中型：5000万≤营收＜20000万</w:t>
            </w:r>
          </w:p>
          <w:p w14:paraId="261AAB4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小型：500万≤营收＜5000万</w:t>
            </w:r>
          </w:p>
          <w:p w14:paraId="4176FC14">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微型：营收＜500万</w:t>
            </w:r>
          </w:p>
        </w:tc>
      </w:tr>
      <w:tr w14:paraId="05BF2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jc w:val="center"/>
        </w:trPr>
        <w:tc>
          <w:tcPr>
            <w:tcW w:w="761" w:type="dxa"/>
            <w:tcBorders>
              <w:top w:val="single" w:color="auto" w:sz="2" w:space="0"/>
              <w:left w:val="single" w:color="auto" w:sz="2" w:space="0"/>
              <w:bottom w:val="single" w:color="auto" w:sz="2" w:space="0"/>
              <w:right w:val="single" w:color="auto" w:sz="2" w:space="0"/>
            </w:tcBorders>
            <w:vAlign w:val="center"/>
          </w:tcPr>
          <w:p w14:paraId="369A7B1B">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21</w:t>
            </w:r>
          </w:p>
        </w:tc>
        <w:tc>
          <w:tcPr>
            <w:tcW w:w="1930" w:type="dxa"/>
            <w:tcBorders>
              <w:top w:val="single" w:color="auto" w:sz="2" w:space="0"/>
              <w:left w:val="single" w:color="auto" w:sz="2" w:space="0"/>
              <w:bottom w:val="single" w:color="auto" w:sz="2" w:space="0"/>
              <w:right w:val="single" w:color="auto" w:sz="2" w:space="0"/>
            </w:tcBorders>
            <w:vAlign w:val="center"/>
          </w:tcPr>
          <w:p w14:paraId="7250B4B7">
            <w:pPr>
              <w:pStyle w:val="4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优先采购创新节能环保产品</w:t>
            </w:r>
          </w:p>
        </w:tc>
        <w:tc>
          <w:tcPr>
            <w:tcW w:w="6810" w:type="dxa"/>
            <w:tcBorders>
              <w:top w:val="single" w:color="auto" w:sz="2" w:space="0"/>
              <w:left w:val="single" w:color="auto" w:sz="2" w:space="0"/>
              <w:bottom w:val="single" w:color="auto" w:sz="2" w:space="0"/>
              <w:right w:val="single" w:color="auto" w:sz="2" w:space="0"/>
            </w:tcBorders>
            <w:vAlign w:val="center"/>
          </w:tcPr>
          <w:p w14:paraId="09930298">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cs="宋体"/>
                <w:color w:val="auto"/>
                <w:sz w:val="24"/>
                <w:szCs w:val="24"/>
                <w:highlight w:val="none"/>
                <w:u w:val="none"/>
                <w:lang w:val="en-US" w:eastAsia="zh-CN"/>
              </w:rPr>
              <w:t>3%</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42" w:hRule="atLeast"/>
          <w:jc w:val="center"/>
        </w:trPr>
        <w:tc>
          <w:tcPr>
            <w:tcW w:w="761" w:type="dxa"/>
            <w:tcBorders>
              <w:top w:val="single" w:color="auto" w:sz="2" w:space="0"/>
              <w:left w:val="single" w:color="auto" w:sz="2" w:space="0"/>
              <w:bottom w:val="single" w:color="auto" w:sz="2" w:space="0"/>
              <w:right w:val="single" w:color="auto" w:sz="4" w:space="0"/>
            </w:tcBorders>
            <w:vAlign w:val="center"/>
          </w:tcPr>
          <w:p w14:paraId="5D2608E6">
            <w:pPr>
              <w:pStyle w:val="46"/>
              <w:jc w:val="center"/>
              <w:rPr>
                <w:rFonts w:hint="eastAsia" w:cs="宋体"/>
                <w:color w:val="auto"/>
                <w:sz w:val="24"/>
                <w:szCs w:val="24"/>
                <w:highlight w:val="none"/>
                <w:lang w:val="en-US" w:eastAsia="zh-CN"/>
              </w:rPr>
            </w:pPr>
          </w:p>
          <w:p w14:paraId="422088E9">
            <w:pPr>
              <w:pStyle w:val="46"/>
              <w:jc w:val="center"/>
              <w:rPr>
                <w:rFonts w:hint="eastAsia" w:cs="宋体"/>
                <w:color w:val="auto"/>
                <w:sz w:val="24"/>
                <w:szCs w:val="24"/>
                <w:highlight w:val="none"/>
                <w:lang w:val="en-US" w:eastAsia="zh-CN"/>
              </w:rPr>
            </w:pPr>
          </w:p>
          <w:p w14:paraId="363A1631">
            <w:pPr>
              <w:pStyle w:val="46"/>
              <w:jc w:val="center"/>
              <w:rPr>
                <w:rFonts w:hint="eastAsia" w:cs="宋体"/>
                <w:color w:val="auto"/>
                <w:sz w:val="24"/>
                <w:szCs w:val="24"/>
                <w:highlight w:val="none"/>
                <w:lang w:val="en-US" w:eastAsia="zh-CN"/>
              </w:rPr>
            </w:pPr>
          </w:p>
          <w:p w14:paraId="5ED707D3">
            <w:pPr>
              <w:pStyle w:val="46"/>
              <w:jc w:val="center"/>
              <w:rPr>
                <w:rFonts w:hint="eastAsia" w:cs="宋体"/>
                <w:color w:val="auto"/>
                <w:sz w:val="24"/>
                <w:szCs w:val="24"/>
                <w:highlight w:val="none"/>
                <w:lang w:val="en-US" w:eastAsia="zh-CN"/>
              </w:rPr>
            </w:pPr>
          </w:p>
          <w:p w14:paraId="72378FE6">
            <w:pPr>
              <w:pStyle w:val="46"/>
              <w:jc w:val="center"/>
              <w:rPr>
                <w:rFonts w:hint="eastAsia" w:cs="宋体"/>
                <w:color w:val="auto"/>
                <w:sz w:val="24"/>
                <w:szCs w:val="24"/>
                <w:highlight w:val="none"/>
                <w:lang w:val="en-US" w:eastAsia="zh-CN"/>
              </w:rPr>
            </w:pPr>
          </w:p>
          <w:p w14:paraId="342D37A4">
            <w:pPr>
              <w:pStyle w:val="46"/>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1930" w:type="dxa"/>
            <w:tcBorders>
              <w:top w:val="single" w:color="auto" w:sz="2" w:space="0"/>
              <w:left w:val="single" w:color="auto" w:sz="2" w:space="0"/>
              <w:bottom w:val="single" w:color="auto" w:sz="2" w:space="0"/>
              <w:right w:val="single" w:color="auto" w:sz="4" w:space="0"/>
            </w:tcBorders>
            <w:vAlign w:val="top"/>
          </w:tcPr>
          <w:p w14:paraId="60C12288">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p>
          <w:p w14:paraId="57762700">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p>
          <w:p w14:paraId="6CFA0EC0">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p>
          <w:p w14:paraId="371502D3">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p>
          <w:p w14:paraId="1A912D1A">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p>
          <w:p w14:paraId="5A83715F">
            <w:pPr>
              <w:pStyle w:val="6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en-US" w:bidi="ar-SA"/>
              </w:rPr>
              <w:t>政府采购异常低价审查</w:t>
            </w:r>
          </w:p>
        </w:tc>
        <w:tc>
          <w:tcPr>
            <w:tcW w:w="6810" w:type="dxa"/>
            <w:tcBorders>
              <w:top w:val="single" w:color="auto" w:sz="2" w:space="0"/>
              <w:left w:val="single" w:color="auto" w:sz="4" w:space="0"/>
              <w:bottom w:val="single" w:color="auto" w:sz="2" w:space="0"/>
              <w:right w:val="single" w:color="auto" w:sz="2" w:space="0"/>
            </w:tcBorders>
            <w:vAlign w:val="top"/>
          </w:tcPr>
          <w:p w14:paraId="023BDFE2">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一、评审中出现下列情形之一的，评审委员会应当启动异常低价投标（响应）审查程序：</w:t>
            </w:r>
          </w:p>
          <w:p w14:paraId="3A137876">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1.投标（响应）报价低于全部通过符合性审查供应商投标（响应）报价平均值50%的，即投标（响应）报价〈全部通过符合性审查供应商投标（响应）报价平均值×50%；</w:t>
            </w:r>
          </w:p>
          <w:p w14:paraId="2221890A">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2.投标（响应）报价低于通过符合性审查的次低报价供应商投标（响应）报价50%的，即投标（响应）报价〈通过符合性审查的次低报价供应商投标（响应）报价×50%；</w:t>
            </w:r>
          </w:p>
          <w:p w14:paraId="5F2FB0E4">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3.投标（响应）报价低于采购项目最高限价45%的，即投标（响应）报价〈采购项目最高限价×45%；</w:t>
            </w:r>
          </w:p>
          <w:p w14:paraId="785BB234">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4.评审委员会基于专业判断，认为供应商报价过低，有可能影响产品质量或者不能诚信履约的其他情形。</w:t>
            </w:r>
          </w:p>
          <w:p w14:paraId="54BFBEB7">
            <w:pPr>
              <w:keepNext w:val="0"/>
              <w:keepLines w:val="0"/>
              <w:pageBreakBefore w:val="0"/>
              <w:kinsoku/>
              <w:wordWrap/>
              <w:topLinePunct w:val="0"/>
              <w:autoSpaceDE/>
              <w:autoSpaceDN/>
              <w:bidi w:val="0"/>
              <w:adjustRightInd/>
              <w:snapToGrid/>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501" w:type="dxa"/>
            <w:gridSpan w:val="3"/>
            <w:tcBorders>
              <w:top w:val="single" w:color="auto" w:sz="2" w:space="0"/>
              <w:left w:val="single" w:color="auto" w:sz="2" w:space="0"/>
              <w:bottom w:val="single" w:color="auto" w:sz="2" w:space="0"/>
              <w:right w:val="single" w:color="auto" w:sz="2" w:space="0"/>
            </w:tcBorders>
            <w:vAlign w:val="center"/>
          </w:tcPr>
          <w:p w14:paraId="45AC7FA3">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文件中出现的类似于“近三年”或“前三年”、“近五年”或“前五年”均指递交响应文件时间以前三年或前五年，以此类推。如：递交响应文件时间为</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27269E57">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本竞争性谈判文件所称的“以上”“以下”“内”“以内”，包括本数；所称的“不足”，不包括本数。</w:t>
            </w:r>
          </w:p>
          <w:p w14:paraId="1277CF78">
            <w:pPr>
              <w:pStyle w:val="4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 竞争性谈判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6347A217">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 竞争性谈判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采购人可拒绝与其签订合同。并将其列入政府采购黑名单库。</w:t>
            </w:r>
          </w:p>
        </w:tc>
      </w:tr>
      <w:bookmarkEnd w:id="109"/>
    </w:tbl>
    <w:p w14:paraId="2D86CF1B">
      <w:pPr>
        <w:rPr>
          <w:color w:val="auto"/>
          <w:highlight w:val="none"/>
        </w:rPr>
      </w:pPr>
    </w:p>
    <w:p w14:paraId="3C80B303">
      <w:pPr>
        <w:rPr>
          <w:rFonts w:hint="eastAsia" w:eastAsia="宋体" w:asciiTheme="majorHAnsi" w:hAnsiTheme="majorHAnsi" w:cstheme="majorBidi"/>
          <w:b/>
          <w:bCs/>
          <w:color w:val="auto"/>
          <w:kern w:val="2"/>
          <w:sz w:val="28"/>
          <w:szCs w:val="28"/>
          <w:highlight w:val="none"/>
          <w:lang w:val="en-US" w:eastAsia="zh-CN" w:bidi="ar-SA"/>
        </w:rPr>
      </w:pPr>
      <w:bookmarkStart w:id="111" w:name="_Toc20713"/>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2" w:name="_Toc30862"/>
      <w:r>
        <w:rPr>
          <w:rFonts w:hint="eastAsia" w:eastAsia="宋体" w:asciiTheme="majorHAnsi" w:hAnsiTheme="majorHAnsi" w:cstheme="majorBidi"/>
          <w:b/>
          <w:bCs/>
          <w:color w:val="auto"/>
          <w:kern w:val="2"/>
          <w:sz w:val="28"/>
          <w:szCs w:val="28"/>
          <w:highlight w:val="none"/>
          <w:lang w:val="en-US" w:eastAsia="zh-CN" w:bidi="ar-SA"/>
        </w:rPr>
        <w:t>二、供应商须知</w:t>
      </w:r>
      <w:bookmarkEnd w:id="111"/>
      <w:bookmarkEnd w:id="112"/>
    </w:p>
    <w:p w14:paraId="04978FC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3" w:name="_Toc46771638"/>
      <w:bookmarkStart w:id="114" w:name="_Toc163493611"/>
      <w:bookmarkStart w:id="115" w:name="_Toc109899532"/>
      <w:bookmarkStart w:id="116" w:name="_Toc109897433"/>
      <w:bookmarkStart w:id="117" w:name="_Toc109900370"/>
      <w:bookmarkStart w:id="118" w:name="_Toc8053"/>
      <w:bookmarkStart w:id="119" w:name="_Toc109899951"/>
      <w:bookmarkStart w:id="120" w:name="_Toc470172694"/>
      <w:r>
        <w:rPr>
          <w:rFonts w:hint="eastAsia" w:ascii="宋体" w:hAnsi="宋体" w:eastAsia="宋体" w:cs="宋体"/>
          <w:b/>
          <w:bCs/>
          <w:color w:val="auto"/>
          <w:kern w:val="2"/>
          <w:sz w:val="24"/>
          <w:szCs w:val="24"/>
          <w:highlight w:val="none"/>
          <w:lang w:val="en-US" w:eastAsia="zh-CN" w:bidi="ar-SA"/>
        </w:rPr>
        <w:t>（一）总则</w:t>
      </w:r>
      <w:bookmarkEnd w:id="113"/>
      <w:bookmarkEnd w:id="114"/>
      <w:bookmarkEnd w:id="115"/>
      <w:bookmarkEnd w:id="116"/>
      <w:bookmarkEnd w:id="117"/>
      <w:bookmarkEnd w:id="118"/>
      <w:bookmarkEnd w:id="119"/>
    </w:p>
    <w:p w14:paraId="18977FA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1" w:name="_Toc109899533"/>
      <w:bookmarkStart w:id="122" w:name="_Toc46771639"/>
      <w:bookmarkStart w:id="123" w:name="_Toc46772240"/>
      <w:bookmarkStart w:id="124" w:name="_Toc109899952"/>
      <w:bookmarkStart w:id="125" w:name="_Toc51674210"/>
      <w:bookmarkStart w:id="126" w:name="_Toc27243"/>
      <w:bookmarkStart w:id="127" w:name="_Toc470172664"/>
      <w:bookmarkStart w:id="128" w:name="_Toc52962726"/>
      <w:bookmarkStart w:id="129" w:name="_Toc109900371"/>
      <w:bookmarkStart w:id="130" w:name="_Toc48846108"/>
      <w:bookmarkStart w:id="131" w:name="_Toc48688788"/>
      <w:bookmarkStart w:id="132" w:name="_Toc52960552"/>
      <w:bookmarkStart w:id="133" w:name="_Toc109897434"/>
      <w:r>
        <w:rPr>
          <w:rFonts w:hint="eastAsia" w:ascii="宋体" w:hAnsi="宋体" w:eastAsia="宋体" w:cs="宋体"/>
          <w:b/>
          <w:bCs/>
          <w:color w:val="auto"/>
          <w:kern w:val="2"/>
          <w:sz w:val="24"/>
          <w:szCs w:val="24"/>
          <w:highlight w:val="none"/>
          <w:lang w:val="en-US" w:eastAsia="zh-CN" w:bidi="ar-SA"/>
        </w:rPr>
        <w:t>1.适用范围</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3FAC17D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文件（也称</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文件或采购文件）仅适用于本次竞争性</w:t>
      </w:r>
      <w:r>
        <w:rPr>
          <w:rFonts w:hint="eastAsia" w:cs="宋体"/>
          <w:snapToGrid w:val="0"/>
          <w:color w:val="auto"/>
          <w:sz w:val="24"/>
          <w:szCs w:val="24"/>
          <w:highlight w:val="none"/>
          <w:lang w:val="en-US" w:eastAsia="zh-CN"/>
        </w:rPr>
        <w:t>谈判</w:t>
      </w:r>
      <w:r>
        <w:rPr>
          <w:rFonts w:hint="eastAsia" w:ascii="宋体" w:hAnsi="宋体" w:eastAsia="宋体" w:cs="宋体"/>
          <w:snapToGrid w:val="0"/>
          <w:color w:val="auto"/>
          <w:sz w:val="24"/>
          <w:szCs w:val="24"/>
          <w:highlight w:val="none"/>
        </w:rPr>
        <w:t>中所述项目的采购活动。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163492824"/>
      <w:r>
        <w:rPr>
          <w:rFonts w:hint="eastAsia" w:ascii="宋体" w:hAnsi="宋体" w:eastAsia="宋体" w:cs="宋体"/>
          <w:b/>
          <w:bCs/>
          <w:color w:val="auto"/>
          <w:kern w:val="2"/>
          <w:sz w:val="24"/>
          <w:szCs w:val="24"/>
          <w:highlight w:val="none"/>
          <w:lang w:val="en-US" w:eastAsia="zh-CN" w:bidi="ar-SA"/>
        </w:rPr>
        <w:t>2.基本定义</w:t>
      </w:r>
      <w:bookmarkEnd w:id="134"/>
    </w:p>
    <w:p w14:paraId="768D70C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2.5核心产品见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57BF3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2.6是否属于</w:t>
      </w:r>
      <w:r>
        <w:rPr>
          <w:rFonts w:hint="eastAsia" w:ascii="宋体" w:hAnsi="宋体" w:eastAsia="宋体" w:cs="宋体"/>
          <w:color w:val="auto"/>
          <w:kern w:val="0"/>
          <w:sz w:val="24"/>
          <w:szCs w:val="24"/>
          <w:highlight w:val="none"/>
          <w:lang w:val="en-US" w:eastAsia="zh-CN" w:bidi="ar"/>
        </w:rPr>
        <w:t>科研仪器设备采购</w:t>
      </w:r>
      <w:r>
        <w:rPr>
          <w:rFonts w:hint="eastAsia" w:ascii="宋体" w:hAnsi="宋体" w:eastAsia="宋体" w:cs="宋体"/>
          <w:color w:val="auto"/>
          <w:sz w:val="24"/>
          <w:szCs w:val="24"/>
          <w:highlight w:val="none"/>
          <w:lang w:val="en-US" w:eastAsia="zh-CN"/>
        </w:rPr>
        <w:t>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w:t>
      </w:r>
    </w:p>
    <w:p w14:paraId="65E6A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2.7供应商（也称“申请人”）：指向采购人提供货物、工程或者服务的法人、其他组织或者自然人。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须满足以下条件：</w:t>
      </w:r>
    </w:p>
    <w:p w14:paraId="211E91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具备《中华人民共和国政府采购法》第二十二条规定的</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，遵守本项目采购人本级和上级财政部门政府采购的有关规定。</w:t>
      </w:r>
    </w:p>
    <w:p w14:paraId="323DC0B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公告中发布</w:t>
      </w:r>
      <w:r>
        <w:rPr>
          <w:rFonts w:hint="eastAsia" w:ascii="宋体" w:hAnsi="宋体" w:eastAsia="宋体" w:cs="宋体"/>
          <w:color w:val="auto"/>
          <w:sz w:val="24"/>
          <w:szCs w:val="24"/>
          <w:highlight w:val="none"/>
        </w:rPr>
        <w:t>的方式</w:t>
      </w:r>
      <w:r>
        <w:rPr>
          <w:rFonts w:hint="eastAsia" w:ascii="宋体" w:hAnsi="宋体" w:eastAsia="宋体" w:cs="宋体"/>
          <w:color w:val="auto"/>
          <w:sz w:val="24"/>
          <w:szCs w:val="24"/>
          <w:highlight w:val="none"/>
          <w:lang w:eastAsia="zh-CN"/>
        </w:rPr>
        <w:t>依法</w:t>
      </w:r>
      <w:r>
        <w:rPr>
          <w:rFonts w:hint="eastAsia" w:ascii="宋体" w:hAnsi="宋体" w:eastAsia="宋体" w:cs="宋体"/>
          <w:color w:val="auto"/>
          <w:sz w:val="24"/>
          <w:szCs w:val="24"/>
          <w:highlight w:val="none"/>
        </w:rPr>
        <w:t>获得了本项目的</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p>
    <w:p w14:paraId="07B83632">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文件规定并参加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的供应商。</w:t>
      </w:r>
    </w:p>
    <w:p w14:paraId="3098B7A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iCs/>
          <w:color w:val="auto"/>
          <w:sz w:val="24"/>
          <w:szCs w:val="24"/>
          <w:highlight w:val="none"/>
          <w:shd w:val="clear" w:color="auto" w:fill="FFFFFF" w:themeFill="background1"/>
        </w:rPr>
        <w:t>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文件规定的供应商</w:t>
      </w:r>
      <w:r>
        <w:rPr>
          <w:rFonts w:hint="eastAsia" w:ascii="宋体" w:hAnsi="宋体" w:eastAsia="宋体" w:cs="宋体"/>
          <w:color w:val="auto"/>
          <w:sz w:val="24"/>
          <w:szCs w:val="24"/>
          <w:highlight w:val="none"/>
        </w:rPr>
        <w:t>。</w:t>
      </w:r>
    </w:p>
    <w:p w14:paraId="4FFEB4B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5" w:name="_Toc52960555"/>
      <w:bookmarkStart w:id="136" w:name="_Toc109899536"/>
      <w:bookmarkStart w:id="137" w:name="_Toc470172667"/>
      <w:bookmarkStart w:id="138" w:name="_Toc109897437"/>
      <w:bookmarkStart w:id="139" w:name="_Toc109900374"/>
      <w:bookmarkStart w:id="140" w:name="_Toc48688791"/>
      <w:bookmarkStart w:id="141" w:name="_Toc52962729"/>
      <w:bookmarkStart w:id="142" w:name="_Toc48846111"/>
      <w:bookmarkStart w:id="143" w:name="_Toc51674213"/>
      <w:bookmarkStart w:id="144" w:name="_Toc9974"/>
      <w:bookmarkStart w:id="145" w:name="_Toc46771642"/>
      <w:bookmarkStart w:id="146" w:name="_Toc46772243"/>
      <w:bookmarkStart w:id="147" w:name="_Toc109899955"/>
      <w:r>
        <w:rPr>
          <w:rFonts w:hint="eastAsia" w:ascii="宋体" w:hAnsi="宋体" w:eastAsia="宋体" w:cs="宋体"/>
          <w:b/>
          <w:bCs/>
          <w:color w:val="auto"/>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6793A6A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5B4402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522AD9C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资格要求：见“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3B57853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lang w:val="zh-CN" w:eastAsia="zh-CN"/>
        </w:rPr>
        <w:t>”规定接受联合体</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的，还应遵守以下规定：</w:t>
      </w:r>
    </w:p>
    <w:p w14:paraId="512308F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7EFB49B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Cs/>
          <w:color w:val="auto"/>
          <w:kern w:val="2"/>
          <w:sz w:val="24"/>
          <w:szCs w:val="24"/>
          <w:highlight w:val="none"/>
          <w:shd w:val="clear" w:color="auto" w:fill="FFFFFF" w:themeFill="background1"/>
          <w:lang w:val="en-US" w:eastAsia="zh-CN" w:bidi="ar-SA"/>
        </w:rPr>
        <w:t>响应</w:t>
      </w:r>
      <w:r>
        <w:rPr>
          <w:rFonts w:hint="eastAsia" w:ascii="宋体" w:hAnsi="宋体" w:eastAsia="宋体" w:cs="宋体"/>
          <w:iCs/>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w:t>
      </w:r>
      <w:r>
        <w:rPr>
          <w:rFonts w:hint="eastAsia" w:ascii="宋体" w:hAnsi="宋体" w:eastAsia="宋体" w:cs="宋体"/>
          <w:iCs/>
          <w:color w:val="auto"/>
          <w:kern w:val="2"/>
          <w:sz w:val="24"/>
          <w:szCs w:val="24"/>
          <w:highlight w:val="none"/>
          <w:shd w:val="clear" w:color="auto" w:fill="FFFFFF" w:themeFill="background1"/>
          <w:lang w:val="en-US" w:eastAsia="zh-CN" w:bidi="ar-SA"/>
        </w:rPr>
        <w:t>成交的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Cs/>
          <w:color w:val="auto"/>
          <w:kern w:val="2"/>
          <w:sz w:val="24"/>
          <w:szCs w:val="24"/>
          <w:highlight w:val="none"/>
          <w:shd w:val="clear" w:color="auto" w:fill="FFFFFF" w:themeFill="background1"/>
          <w:lang w:val="en-US" w:eastAsia="zh-CN" w:bidi="ar-SA"/>
        </w:rPr>
        <w:t>第一章 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公告</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85F496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eastAsia="宋体" w:cs="宋体"/>
          <w:b/>
          <w:bCs/>
          <w:color w:val="auto"/>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5.1</w:t>
      </w:r>
      <w:r>
        <w:rPr>
          <w:rFonts w:hint="eastAsia" w:ascii="宋体" w:hAnsi="宋体" w:eastAsia="宋体" w:cs="宋体"/>
          <w:snapToGrid w:val="0"/>
          <w:color w:val="auto"/>
          <w:sz w:val="24"/>
          <w:szCs w:val="24"/>
          <w:highlight w:val="none"/>
          <w:lang w:val="zh-CN" w:eastAsia="zh-CN"/>
        </w:rPr>
        <w:t>不论</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的结果如何，</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eastAsia="zh-CN"/>
        </w:rPr>
        <w:t>应承担所有与准备和参加</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有关的费用。</w:t>
      </w:r>
    </w:p>
    <w:p w14:paraId="6DDD89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1600293"/>
      <w:bookmarkStart w:id="149" w:name="_Toc140132761"/>
      <w:r>
        <w:rPr>
          <w:rFonts w:hint="eastAsia" w:ascii="宋体" w:hAnsi="宋体" w:eastAsia="宋体" w:cs="宋体"/>
          <w:b/>
          <w:bCs/>
          <w:color w:val="auto"/>
          <w:kern w:val="2"/>
          <w:sz w:val="24"/>
          <w:szCs w:val="24"/>
          <w:highlight w:val="none"/>
          <w:lang w:val="en-US" w:eastAsia="zh-CN" w:bidi="ar-SA"/>
        </w:rPr>
        <w:t>6.保密</w:t>
      </w:r>
      <w:bookmarkEnd w:id="148"/>
      <w:bookmarkEnd w:id="149"/>
    </w:p>
    <w:p w14:paraId="1361C43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活动的各方应对竞争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文件和响应文件中的商业和技术等秘密保密，否则应承担相应的法律责任。</w:t>
      </w:r>
    </w:p>
    <w:p w14:paraId="0F8975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2 供应商</w:t>
      </w:r>
      <w:r>
        <w:rPr>
          <w:rFonts w:hint="eastAsia" w:ascii="宋体" w:hAnsi="宋体" w:eastAsia="宋体" w:cs="宋体"/>
          <w:color w:val="auto"/>
          <w:kern w:val="2"/>
          <w:sz w:val="24"/>
          <w:szCs w:val="24"/>
          <w:highlight w:val="none"/>
        </w:rPr>
        <w:t>自领取竞争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文件之日起，须承担本竞争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项目保密义务，不得将因本次竞争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获得的信息向第三人外传。由采购人向</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结束后，应采购人要求，</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应归还所有从采购人处获得的保密资料。</w:t>
      </w:r>
    </w:p>
    <w:p w14:paraId="67E49FD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提供的所有资料向有关政府部门或竞争</w:t>
      </w:r>
      <w:r>
        <w:rPr>
          <w:rFonts w:hint="eastAsia" w:ascii="宋体" w:hAnsi="宋体" w:eastAsia="宋体" w:cs="宋体"/>
          <w:color w:val="auto"/>
          <w:kern w:val="2"/>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的有关人员披露。</w:t>
      </w:r>
    </w:p>
    <w:p w14:paraId="232A1AD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r>
        <w:rPr>
          <w:rFonts w:hint="eastAsia" w:ascii="宋体" w:hAnsi="宋体" w:eastAsia="宋体" w:cs="宋体"/>
          <w:color w:val="auto"/>
          <w:sz w:val="24"/>
          <w:szCs w:val="24"/>
          <w:highlight w:val="none"/>
        </w:rPr>
        <w:t xml:space="preserve"> </w:t>
      </w:r>
    </w:p>
    <w:p w14:paraId="47EBAEF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40132762"/>
      <w:bookmarkStart w:id="151" w:name="_Toc161600294"/>
      <w:r>
        <w:rPr>
          <w:rFonts w:hint="eastAsia" w:ascii="宋体" w:hAnsi="宋体" w:eastAsia="宋体" w:cs="宋体"/>
          <w:b/>
          <w:bCs/>
          <w:color w:val="auto"/>
          <w:kern w:val="2"/>
          <w:sz w:val="24"/>
          <w:szCs w:val="24"/>
          <w:highlight w:val="none"/>
          <w:lang w:val="en-US" w:eastAsia="zh-CN" w:bidi="ar-SA"/>
        </w:rPr>
        <w:t>7.语言文字</w:t>
      </w:r>
      <w:bookmarkEnd w:id="150"/>
      <w:bookmarkEnd w:id="151"/>
    </w:p>
    <w:p w14:paraId="3121AAF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7.1竞争</w:t>
      </w:r>
      <w:r>
        <w:rPr>
          <w:rFonts w:hint="eastAsia" w:ascii="宋体" w:hAnsi="宋体" w:eastAsia="宋体" w:cs="宋体"/>
          <w:color w:val="auto"/>
          <w:sz w:val="24"/>
          <w:szCs w:val="24"/>
          <w:highlight w:val="none"/>
          <w:lang w:val="en-US" w:eastAsia="zh-CN"/>
        </w:rPr>
        <w:t>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文件及响应</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140132763"/>
      <w:bookmarkStart w:id="153" w:name="_Toc161600295"/>
      <w:r>
        <w:rPr>
          <w:rFonts w:hint="eastAsia" w:ascii="宋体" w:hAnsi="宋体" w:eastAsia="宋体" w:cs="宋体"/>
          <w:b/>
          <w:bCs/>
          <w:color w:val="auto"/>
          <w:kern w:val="2"/>
          <w:sz w:val="24"/>
          <w:szCs w:val="24"/>
          <w:highlight w:val="none"/>
          <w:lang w:val="en-US" w:eastAsia="zh-CN" w:bidi="ar-SA"/>
        </w:rPr>
        <w:t>8.计量单位</w:t>
      </w:r>
      <w:bookmarkEnd w:id="152"/>
      <w:bookmarkEnd w:id="153"/>
    </w:p>
    <w:p w14:paraId="0DC441D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37E10A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4" w:name="_Toc140132764"/>
      <w:bookmarkStart w:id="155" w:name="_Toc161600296"/>
      <w:r>
        <w:rPr>
          <w:rFonts w:hint="eastAsia" w:ascii="宋体" w:hAnsi="宋体" w:eastAsia="宋体" w:cs="宋体"/>
          <w:b/>
          <w:bCs/>
          <w:color w:val="auto"/>
          <w:kern w:val="2"/>
          <w:sz w:val="24"/>
          <w:szCs w:val="24"/>
          <w:highlight w:val="none"/>
          <w:lang w:val="en-US" w:eastAsia="zh-CN" w:bidi="ar-SA"/>
        </w:rPr>
        <w:t>9.现场考察和答疑会</w:t>
      </w:r>
      <w:bookmarkEnd w:id="154"/>
      <w:bookmarkEnd w:id="155"/>
    </w:p>
    <w:p w14:paraId="70E7733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156" w:name="_Hlk143529198"/>
      <w:r>
        <w:rPr>
          <w:rFonts w:hint="eastAsia" w:ascii="宋体" w:hAnsi="宋体" w:eastAsia="宋体" w:cs="宋体"/>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供应商现场考察发生的费用自理。</w:t>
      </w:r>
    </w:p>
    <w:p w14:paraId="417B1E0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由于未参加现场考察或未参加答疑会而导致对项目实际情况不了解，影响响应文件编制、</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报价准确性、综合因素响应不全面等问题的，由供应商自行承担不利评审后果。</w:t>
      </w:r>
    </w:p>
    <w:bookmarkEnd w:id="156"/>
    <w:p w14:paraId="020D8BF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textAlignment w:val="auto"/>
        <w:rPr>
          <w:rFonts w:hint="eastAsia" w:ascii="宋体" w:hAnsi="宋体" w:eastAsia="宋体" w:cs="宋体"/>
          <w:b/>
          <w:bCs/>
          <w:color w:val="auto"/>
          <w:kern w:val="2"/>
          <w:sz w:val="24"/>
          <w:szCs w:val="24"/>
          <w:highlight w:val="none"/>
          <w:lang w:val="en-US" w:eastAsia="zh-CN" w:bidi="ar-SA"/>
        </w:rPr>
      </w:pPr>
      <w:bookmarkStart w:id="157" w:name="_Toc155185858"/>
      <w:bookmarkStart w:id="158" w:name="_Toc161600298"/>
      <w:r>
        <w:rPr>
          <w:rFonts w:hint="eastAsia" w:ascii="宋体" w:hAnsi="宋体" w:eastAsia="宋体" w:cs="宋体"/>
          <w:b/>
          <w:bCs/>
          <w:color w:val="auto"/>
          <w:kern w:val="2"/>
          <w:sz w:val="24"/>
          <w:szCs w:val="24"/>
          <w:highlight w:val="none"/>
          <w:lang w:val="en-US" w:eastAsia="zh-CN" w:bidi="ar-SA"/>
        </w:rPr>
        <w:t>10.电子标说明</w:t>
      </w:r>
      <w:bookmarkEnd w:id="157"/>
      <w:bookmarkEnd w:id="158"/>
    </w:p>
    <w:p w14:paraId="111A156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 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政府采购电子交易云平台（网址：http://www.ccgp-xinjiang.gov.cn/）。供应商参与本项目电子交易活动前，</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失败等后果由供应商自行承担。供应商登录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政府采购网“供应商注册”—“新疆政府采购供应商入驻登记”—“立即登记”进行自助注册绑定。</w:t>
      </w:r>
    </w:p>
    <w:p w14:paraId="18ECC26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供应商将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政府采购网“下载专区”—“电子招投标客户端下载”下载相关客户端，如有问题可拨打政采云客户服务热线95763进行咨询。</w:t>
      </w:r>
    </w:p>
    <w:p w14:paraId="1E16A3EF">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53B2896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 供应商在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前须提前配置好电脑及浏览器，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时请使用制作加密电子响应文件的CA锁进行解密及报价确认。本项目响应文件解密时间详“供应商须知前附表”，如因自身原因导致无法正常解密，后果由供应商自行承担。</w:t>
      </w:r>
    </w:p>
    <w:p w14:paraId="469768F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 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en-US" w:eastAsia="zh-CN"/>
        </w:rPr>
        <w:t>政府采购电子交易云平台（网址：http://www.ccgp-xinjiang.gov.cn/）”电子交易规则调整，以最新要求为准。</w:t>
      </w:r>
    </w:p>
    <w:p w14:paraId="08AA0ABB">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电子交易系统咨询：供应商应当充分考虑到电子响应可能会发生的各种问题和风险，特别是响应文件签署、提交等问题，可按照“第一章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公告”的联系方式咨询相关人员。</w:t>
      </w:r>
    </w:p>
    <w:p w14:paraId="39CA103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方式，潜在供应商的名单将在递交响应文件截止时间后才会解密。因此，采购人或采购代理机构无法通过传统的传真或邮件方式，将竞争性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文件的澄清或修改内容逐一通知到每位已获取竞争性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9" w:name="_Toc109899537"/>
      <w:bookmarkStart w:id="160" w:name="_Toc1455"/>
      <w:bookmarkStart w:id="161" w:name="_Toc46771643"/>
      <w:bookmarkStart w:id="162" w:name="_Toc109897438"/>
      <w:bookmarkStart w:id="163" w:name="_Toc470172668"/>
      <w:bookmarkStart w:id="164" w:name="_Toc109900375"/>
      <w:bookmarkStart w:id="165" w:name="_Toc163493612"/>
      <w:bookmarkStart w:id="166" w:name="_Toc109899956"/>
      <w:r>
        <w:rPr>
          <w:rFonts w:hint="eastAsia" w:ascii="宋体" w:hAnsi="宋体" w:eastAsia="宋体" w:cs="宋体"/>
          <w:b/>
          <w:bCs/>
          <w:color w:val="auto"/>
          <w:kern w:val="2"/>
          <w:sz w:val="24"/>
          <w:szCs w:val="24"/>
          <w:highlight w:val="none"/>
          <w:lang w:val="en-US" w:eastAsia="zh-CN" w:bidi="ar-SA"/>
        </w:rPr>
        <w:t>（二）谈判文件</w:t>
      </w:r>
      <w:bookmarkEnd w:id="159"/>
      <w:bookmarkEnd w:id="160"/>
      <w:bookmarkEnd w:id="161"/>
      <w:bookmarkEnd w:id="162"/>
      <w:bookmarkEnd w:id="163"/>
      <w:bookmarkEnd w:id="164"/>
      <w:bookmarkEnd w:id="165"/>
      <w:bookmarkEnd w:id="166"/>
    </w:p>
    <w:p w14:paraId="02C7475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46771644"/>
      <w:bookmarkStart w:id="168" w:name="_Toc51674215"/>
      <w:bookmarkStart w:id="169" w:name="_Toc46772245"/>
      <w:bookmarkStart w:id="170" w:name="_Toc48688793"/>
      <w:bookmarkStart w:id="171" w:name="_Toc52962731"/>
      <w:bookmarkStart w:id="172" w:name="_Toc4547"/>
      <w:bookmarkStart w:id="173" w:name="_Toc109897439"/>
      <w:bookmarkStart w:id="174" w:name="_Toc48846113"/>
      <w:bookmarkStart w:id="175" w:name="_Toc52960557"/>
      <w:bookmarkStart w:id="176" w:name="_Toc109900376"/>
      <w:bookmarkStart w:id="177" w:name="_Toc109899538"/>
      <w:bookmarkStart w:id="178" w:name="_Toc109899957"/>
      <w:bookmarkStart w:id="179" w:name="_Toc470172669"/>
      <w:r>
        <w:rPr>
          <w:rFonts w:hint="eastAsia" w:ascii="宋体" w:hAnsi="宋体" w:eastAsia="宋体" w:cs="宋体"/>
          <w:b/>
          <w:bCs/>
          <w:color w:val="auto"/>
          <w:kern w:val="2"/>
          <w:sz w:val="24"/>
          <w:szCs w:val="24"/>
          <w:highlight w:val="none"/>
          <w:lang w:val="en-US" w:eastAsia="zh-CN" w:bidi="ar-SA"/>
        </w:rPr>
        <w:t>11.谈判文件的构成</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4909DE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lang w:eastAsia="zh-CN"/>
        </w:rPr>
      </w:pPr>
      <w:bookmarkStart w:id="180" w:name="_Toc46771645"/>
      <w:bookmarkStart w:id="181" w:name="_Toc51674216"/>
      <w:bookmarkStart w:id="182" w:name="_Toc109900377"/>
      <w:bookmarkStart w:id="183" w:name="_Toc109899539"/>
      <w:bookmarkStart w:id="184" w:name="_Toc48688794"/>
      <w:bookmarkStart w:id="185" w:name="_Toc46772246"/>
      <w:bookmarkStart w:id="186" w:name="_Toc48846114"/>
      <w:bookmarkStart w:id="187" w:name="_Toc109899958"/>
      <w:bookmarkStart w:id="188" w:name="_Toc52962732"/>
      <w:bookmarkStart w:id="189" w:name="_Toc52960558"/>
      <w:bookmarkStart w:id="190" w:name="_Toc478415174"/>
      <w:bookmarkStart w:id="191" w:name="_Toc109897440"/>
      <w:r>
        <w:rPr>
          <w:rFonts w:hint="eastAsia" w:ascii="宋体" w:hAnsi="宋体" w:eastAsia="宋体" w:cs="宋体"/>
          <w:color w:val="auto"/>
          <w:sz w:val="24"/>
          <w:szCs w:val="24"/>
          <w:highlight w:val="none"/>
        </w:rPr>
        <w:t>第一章 竞争性</w:t>
      </w:r>
      <w:r>
        <w:rPr>
          <w:rFonts w:hint="eastAsia" w:ascii="宋体" w:hAnsi="宋体" w:eastAsia="宋体" w:cs="宋体"/>
          <w:color w:val="auto"/>
          <w:sz w:val="24"/>
          <w:szCs w:val="24"/>
          <w:highlight w:val="none"/>
          <w:lang w:val="en-US" w:eastAsia="zh-CN"/>
        </w:rPr>
        <w:t>谈判公告</w:t>
      </w:r>
    </w:p>
    <w:p w14:paraId="7147E8B4">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响应文件的格式</w:t>
      </w:r>
    </w:p>
    <w:p w14:paraId="2FA3C6F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12.谈判文件的澄清或修改</w:t>
      </w:r>
      <w:bookmarkEnd w:id="180"/>
      <w:bookmarkEnd w:id="181"/>
      <w:bookmarkEnd w:id="182"/>
      <w:bookmarkEnd w:id="183"/>
      <w:bookmarkEnd w:id="184"/>
      <w:bookmarkEnd w:id="185"/>
      <w:bookmarkEnd w:id="186"/>
      <w:bookmarkEnd w:id="187"/>
      <w:bookmarkEnd w:id="188"/>
      <w:bookmarkEnd w:id="189"/>
      <w:bookmarkEnd w:id="190"/>
      <w:bookmarkEnd w:id="191"/>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3418D08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color w:val="auto"/>
          <w:sz w:val="24"/>
          <w:szCs w:val="24"/>
          <w:highlight w:val="none"/>
          <w:lang w:val="en-US" w:eastAsia="zh-CN"/>
        </w:rPr>
      </w:pPr>
      <w:r>
        <w:rPr>
          <w:rFonts w:hint="eastAsia" w:cs="仿宋_GB2312"/>
          <w:color w:val="auto"/>
          <w:sz w:val="24"/>
          <w:szCs w:val="24"/>
          <w:highlight w:val="none"/>
          <w:lang w:val="en-US" w:eastAsia="zh-CN"/>
        </w:rPr>
        <w:t xml:space="preserve">12.3 </w:t>
      </w:r>
      <w:r>
        <w:rPr>
          <w:rFonts w:hint="eastAsia" w:cs="仿宋_GB2312"/>
          <w:color w:val="auto"/>
          <w:sz w:val="24"/>
          <w:szCs w:val="24"/>
          <w:highlight w:val="none"/>
          <w:lang w:val="zh-CN" w:eastAsia="zh-CN"/>
        </w:rPr>
        <w:t>对</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文件澄清或者修改的内容可能影响响应文件编制的，采购人、采购代理机构或者</w:t>
      </w:r>
      <w:r>
        <w:rPr>
          <w:rFonts w:hint="eastAsia" w:cs="仿宋_GB2312"/>
          <w:color w:val="auto"/>
          <w:sz w:val="24"/>
          <w:szCs w:val="24"/>
          <w:highlight w:val="none"/>
          <w:lang w:val="en-US" w:eastAsia="zh-CN"/>
        </w:rPr>
        <w:t>谈判</w:t>
      </w:r>
      <w:r>
        <w:rPr>
          <w:rFonts w:hint="eastAsia" w:cs="仿宋_GB2312"/>
          <w:color w:val="auto"/>
          <w:sz w:val="24"/>
          <w:szCs w:val="24"/>
          <w:highlight w:val="none"/>
          <w:lang w:val="zh-CN" w:eastAsia="zh-CN"/>
        </w:rPr>
        <w:t>小组应当在提交首次响应文件截止之日</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日前，以书面形式通知所有接收</w:t>
      </w:r>
      <w:r>
        <w:rPr>
          <w:rFonts w:hint="eastAsia" w:cs="仿宋_GB2312"/>
          <w:color w:val="auto"/>
          <w:sz w:val="24"/>
          <w:szCs w:val="24"/>
          <w:highlight w:val="none"/>
          <w:lang w:val="en-US" w:eastAsia="zh-CN"/>
        </w:rPr>
        <w:t>竞争性谈判</w:t>
      </w:r>
      <w:r>
        <w:rPr>
          <w:rFonts w:hint="eastAsia" w:cs="仿宋_GB2312"/>
          <w:color w:val="auto"/>
          <w:sz w:val="24"/>
          <w:szCs w:val="24"/>
          <w:highlight w:val="none"/>
          <w:lang w:val="zh-CN" w:eastAsia="zh-CN"/>
        </w:rPr>
        <w:t>文件的供应商，不足</w:t>
      </w:r>
      <w:r>
        <w:rPr>
          <w:rFonts w:hint="eastAsia" w:cs="仿宋_GB2312"/>
          <w:color w:val="auto"/>
          <w:sz w:val="24"/>
          <w:szCs w:val="24"/>
          <w:highlight w:val="none"/>
          <w:lang w:val="en-US" w:eastAsia="zh-CN"/>
        </w:rPr>
        <w:t>3个工作</w:t>
      </w:r>
      <w:r>
        <w:rPr>
          <w:rFonts w:hint="eastAsia" w:cs="仿宋_GB2312"/>
          <w:color w:val="auto"/>
          <w:sz w:val="24"/>
          <w:szCs w:val="24"/>
          <w:highlight w:val="none"/>
          <w:lang w:val="zh-CN" w:eastAsia="zh-CN"/>
        </w:rPr>
        <w:t>日的，应当顺延提交首次响应文件</w:t>
      </w:r>
      <w:r>
        <w:rPr>
          <w:rFonts w:hint="eastAsia" w:cs="仿宋_GB2312"/>
          <w:color w:val="auto"/>
          <w:sz w:val="24"/>
          <w:szCs w:val="24"/>
          <w:highlight w:val="none"/>
          <w:lang w:val="en-US" w:eastAsia="zh-CN"/>
        </w:rPr>
        <w:t>的</w:t>
      </w:r>
      <w:r>
        <w:rPr>
          <w:rFonts w:hint="eastAsia" w:cs="仿宋_GB2312"/>
          <w:color w:val="auto"/>
          <w:sz w:val="24"/>
          <w:szCs w:val="24"/>
          <w:highlight w:val="none"/>
          <w:lang w:val="zh-CN" w:eastAsia="zh-CN"/>
        </w:rPr>
        <w:t>截止时间</w:t>
      </w:r>
      <w:r>
        <w:rPr>
          <w:rFonts w:hint="eastAsia" w:cs="仿宋_GB2312"/>
          <w:color w:val="auto"/>
          <w:sz w:val="24"/>
          <w:szCs w:val="24"/>
          <w:highlight w:val="none"/>
          <w:lang w:val="en-US" w:eastAsia="zh-CN"/>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谈判</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cs="仿宋_GB2312"/>
          <w:color w:val="auto"/>
          <w:sz w:val="24"/>
          <w:szCs w:val="24"/>
          <w:highlight w:val="none"/>
          <w:lang w:val="en-US" w:eastAsia="zh-CN"/>
        </w:rPr>
        <w:t>谈判</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571CE51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cs="仿宋_GB2312"/>
          <w:color w:val="auto"/>
          <w:sz w:val="24"/>
          <w:szCs w:val="24"/>
          <w:highlight w:val="none"/>
          <w:lang w:val="en-US" w:eastAsia="zh-CN"/>
        </w:rPr>
        <w:t>谈判</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2" w:name="_Toc109899960"/>
      <w:bookmarkStart w:id="193" w:name="_Toc470172672"/>
      <w:bookmarkStart w:id="194" w:name="_Toc46771647"/>
      <w:bookmarkStart w:id="195" w:name="_Toc6486"/>
      <w:bookmarkStart w:id="196" w:name="_Toc109900379"/>
      <w:bookmarkStart w:id="197" w:name="_Toc109899541"/>
      <w:bookmarkStart w:id="198" w:name="_Toc109897442"/>
      <w:bookmarkStart w:id="199" w:name="_Toc163493613"/>
      <w:r>
        <w:rPr>
          <w:rFonts w:hint="eastAsia" w:ascii="宋体" w:hAnsi="宋体" w:eastAsia="宋体" w:cs="宋体"/>
          <w:b/>
          <w:bCs/>
          <w:color w:val="auto"/>
          <w:kern w:val="2"/>
          <w:sz w:val="24"/>
          <w:szCs w:val="24"/>
          <w:highlight w:val="none"/>
          <w:lang w:val="en-US" w:eastAsia="zh-CN" w:bidi="ar-SA"/>
        </w:rPr>
        <w:t>（三）响应文件</w:t>
      </w:r>
      <w:bookmarkEnd w:id="192"/>
      <w:bookmarkEnd w:id="193"/>
      <w:bookmarkEnd w:id="194"/>
      <w:bookmarkEnd w:id="195"/>
      <w:bookmarkEnd w:id="196"/>
      <w:bookmarkEnd w:id="197"/>
      <w:bookmarkEnd w:id="198"/>
      <w:bookmarkEnd w:id="199"/>
    </w:p>
    <w:p w14:paraId="3A231C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0" w:name="_Toc48688798"/>
      <w:bookmarkStart w:id="201" w:name="_Toc109899962"/>
      <w:bookmarkStart w:id="202" w:name="_Toc46771649"/>
      <w:bookmarkStart w:id="203" w:name="_Toc46772250"/>
      <w:bookmarkStart w:id="204" w:name="_Toc109897444"/>
      <w:bookmarkStart w:id="205" w:name="_Toc109900381"/>
      <w:bookmarkStart w:id="206" w:name="_Toc52962736"/>
      <w:bookmarkStart w:id="207" w:name="_Toc32272"/>
      <w:bookmarkStart w:id="208" w:name="_Toc109899543"/>
      <w:bookmarkStart w:id="209" w:name="_Toc51674220"/>
      <w:bookmarkStart w:id="210" w:name="_Toc48846118"/>
      <w:bookmarkStart w:id="211" w:name="_Toc470172674"/>
      <w:bookmarkStart w:id="212" w:name="_Toc52960562"/>
      <w:r>
        <w:rPr>
          <w:rFonts w:hint="eastAsia" w:ascii="宋体" w:hAnsi="宋体" w:eastAsia="宋体" w:cs="宋体"/>
          <w:b/>
          <w:bCs/>
          <w:color w:val="auto"/>
          <w:kern w:val="2"/>
          <w:sz w:val="24"/>
          <w:szCs w:val="24"/>
          <w:highlight w:val="none"/>
          <w:lang w:val="en-US" w:eastAsia="zh-CN" w:bidi="ar-SA"/>
        </w:rPr>
        <w:t>13.响应文件的</w:t>
      </w:r>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宋体" w:hAnsi="宋体" w:eastAsia="宋体" w:cs="宋体"/>
          <w:b/>
          <w:bCs/>
          <w:color w:val="auto"/>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应完整地按竞争性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文件提供的</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文件格式及要求编写</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第六章 响应</w:t>
      </w:r>
      <w:r>
        <w:rPr>
          <w:rFonts w:hint="eastAsia" w:ascii="宋体" w:hAnsi="宋体" w:eastAsia="宋体" w:cs="宋体"/>
          <w:color w:val="auto"/>
          <w:kern w:val="2"/>
          <w:sz w:val="24"/>
          <w:szCs w:val="24"/>
          <w:highlight w:val="none"/>
        </w:rPr>
        <w:t>文件</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13.2供应商</w:t>
      </w:r>
      <w:r>
        <w:rPr>
          <w:rFonts w:hint="eastAsia" w:ascii="宋体" w:hAnsi="宋体" w:eastAsia="宋体" w:cs="宋体"/>
          <w:color w:val="auto"/>
          <w:kern w:val="2"/>
          <w:sz w:val="24"/>
          <w:szCs w:val="24"/>
          <w:highlight w:val="none"/>
        </w:rPr>
        <w:t>应提交竞争性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文件要求的证明文件，证明其</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内容符合竞争性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213" w:name="_Hlk11703583"/>
      <w:r>
        <w:rPr>
          <w:rFonts w:hint="eastAsia" w:ascii="宋体" w:hAnsi="宋体" w:eastAsia="宋体" w:cs="宋体"/>
          <w:color w:val="auto"/>
          <w:kern w:val="2"/>
          <w:sz w:val="24"/>
          <w:szCs w:val="24"/>
          <w:highlight w:val="none"/>
          <w:lang w:val="en-US" w:eastAsia="zh-CN"/>
        </w:rPr>
        <w:t>等。</w:t>
      </w:r>
    </w:p>
    <w:bookmarkEnd w:id="213"/>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w:t>
      </w:r>
      <w:r>
        <w:rPr>
          <w:rFonts w:hint="eastAsia" w:ascii="宋体" w:hAnsi="宋体" w:eastAsia="宋体" w:cs="宋体"/>
          <w:color w:val="auto"/>
          <w:kern w:val="2"/>
          <w:sz w:val="24"/>
          <w:szCs w:val="24"/>
          <w:highlight w:val="none"/>
        </w:rPr>
        <w:t>另有规定或说明，</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对同一项目</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时，不得同时提供备选</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方案。</w:t>
      </w:r>
    </w:p>
    <w:p w14:paraId="5C8E7CA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470172676"/>
      <w:bookmarkStart w:id="215" w:name="_Toc24544"/>
      <w:bookmarkStart w:id="216" w:name="_Toc109897446"/>
      <w:bookmarkStart w:id="217" w:name="_Toc46772252"/>
      <w:bookmarkStart w:id="218" w:name="_Toc52962738"/>
      <w:bookmarkStart w:id="219" w:name="_Toc52960564"/>
      <w:bookmarkStart w:id="220" w:name="_Toc109899545"/>
      <w:bookmarkStart w:id="221" w:name="_Toc109900383"/>
      <w:bookmarkStart w:id="222" w:name="_Toc109899964"/>
      <w:bookmarkStart w:id="223" w:name="_Toc51674222"/>
      <w:bookmarkStart w:id="224" w:name="_Toc48846120"/>
      <w:bookmarkStart w:id="225" w:name="_Toc46771651"/>
      <w:bookmarkStart w:id="226" w:name="_Toc48688800"/>
      <w:bookmarkStart w:id="227" w:name="_Toc46771650"/>
      <w:bookmarkStart w:id="228" w:name="_Toc46772251"/>
      <w:bookmarkStart w:id="229" w:name="_Toc109900382"/>
      <w:bookmarkStart w:id="230" w:name="_Toc52962737"/>
      <w:bookmarkStart w:id="231" w:name="_Toc25217"/>
      <w:bookmarkStart w:id="232" w:name="_Toc52960563"/>
      <w:bookmarkStart w:id="233" w:name="_Toc51674221"/>
      <w:bookmarkStart w:id="234" w:name="_Toc48846119"/>
      <w:bookmarkStart w:id="235" w:name="_Toc109897445"/>
      <w:bookmarkStart w:id="236" w:name="_Toc109899544"/>
      <w:bookmarkStart w:id="237" w:name="_Toc470172675"/>
      <w:bookmarkStart w:id="238" w:name="_Toc48688799"/>
      <w:bookmarkStart w:id="239" w:name="_Toc109899963"/>
      <w:r>
        <w:rPr>
          <w:rFonts w:hint="eastAsia" w:ascii="宋体" w:hAnsi="宋体" w:eastAsia="宋体" w:cs="宋体"/>
          <w:b/>
          <w:bCs/>
          <w:color w:val="auto"/>
          <w:kern w:val="2"/>
          <w:sz w:val="24"/>
          <w:szCs w:val="24"/>
          <w:highlight w:val="none"/>
          <w:lang w:val="en-US" w:eastAsia="zh-CN" w:bidi="ar-SA"/>
        </w:rPr>
        <w:t>14.谈判报价</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0640D6E7">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供应商的报价均应以人民币报价。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报价包括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供应商在首次提交的响应文件中的报价、</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过程中的报价和最后报价，</w:t>
      </w:r>
      <w:r>
        <w:rPr>
          <w:rFonts w:hint="eastAsia" w:ascii="宋体" w:hAnsi="宋体" w:eastAsia="宋体" w:cs="宋体"/>
          <w:snapToGrid w:val="0"/>
          <w:color w:val="auto"/>
          <w:sz w:val="24"/>
          <w:szCs w:val="24"/>
          <w:highlight w:val="none"/>
          <w:lang w:val="en-US" w:eastAsia="zh-CN"/>
        </w:rPr>
        <w:t>且均</w:t>
      </w:r>
      <w:r>
        <w:rPr>
          <w:rFonts w:hint="eastAsia" w:ascii="宋体" w:hAnsi="宋体" w:eastAsia="宋体" w:cs="宋体"/>
          <w:color w:val="auto"/>
          <w:sz w:val="24"/>
          <w:szCs w:val="24"/>
          <w:highlight w:val="none"/>
        </w:rPr>
        <w:t>不得超过</w:t>
      </w:r>
      <w:bookmarkStart w:id="240" w:name="_Hlk16170367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”中规定</w:t>
      </w:r>
      <w:bookmarkEnd w:id="240"/>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否则其响应文件将被视为</w:t>
      </w:r>
      <w:r>
        <w:rPr>
          <w:rFonts w:hint="eastAsia" w:ascii="宋体" w:hAnsi="宋体" w:eastAsia="宋体" w:cs="宋体"/>
          <w:b/>
          <w:bCs/>
          <w:snapToGrid w:val="0"/>
          <w:color w:val="auto"/>
          <w:sz w:val="24"/>
          <w:szCs w:val="24"/>
          <w:highlight w:val="none"/>
          <w:lang w:val="zh-CN"/>
        </w:rPr>
        <w:t>无效文件</w:t>
      </w:r>
      <w:r>
        <w:rPr>
          <w:rFonts w:hint="eastAsia" w:ascii="宋体" w:hAnsi="宋体" w:eastAsia="宋体" w:cs="宋体"/>
          <w:snapToGrid w:val="0"/>
          <w:color w:val="auto"/>
          <w:sz w:val="24"/>
          <w:szCs w:val="24"/>
          <w:highlight w:val="none"/>
          <w:lang w:val="zh-CN"/>
        </w:rPr>
        <w:t>。</w:t>
      </w:r>
    </w:p>
    <w:p w14:paraId="300639D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.2供应商应按照本</w:t>
      </w:r>
      <w:r>
        <w:rPr>
          <w:rFonts w:hint="eastAsia" w:ascii="宋体" w:hAnsi="宋体" w:eastAsia="宋体" w:cs="宋体"/>
          <w:snapToGrid w:val="0"/>
          <w:color w:val="auto"/>
          <w:sz w:val="24"/>
          <w:szCs w:val="24"/>
          <w:highlight w:val="none"/>
          <w:lang w:val="zh-CN" w:eastAsia="zh-CN"/>
        </w:rPr>
        <w:t>谈判</w:t>
      </w:r>
      <w:r>
        <w:rPr>
          <w:rFonts w:hint="eastAsia" w:ascii="宋体" w:hAnsi="宋体" w:eastAsia="宋体" w:cs="宋体"/>
          <w:snapToGrid w:val="0"/>
          <w:color w:val="auto"/>
          <w:sz w:val="24"/>
          <w:szCs w:val="24"/>
          <w:highlight w:val="none"/>
          <w:lang w:val="zh-CN"/>
        </w:rPr>
        <w:t>文件</w:t>
      </w:r>
      <w:r>
        <w:rPr>
          <w:rFonts w:hint="eastAsia" w:cs="宋体"/>
          <w:snapToGrid w:val="0"/>
          <w:color w:val="auto"/>
          <w:sz w:val="24"/>
          <w:szCs w:val="24"/>
          <w:highlight w:val="none"/>
          <w:lang w:val="en-US" w:eastAsia="zh-CN"/>
        </w:rPr>
        <w:t>所载明</w:t>
      </w:r>
      <w:r>
        <w:rPr>
          <w:rFonts w:hint="eastAsia" w:ascii="宋体" w:hAnsi="宋体" w:eastAsia="宋体" w:cs="宋体"/>
          <w:snapToGrid w:val="0"/>
          <w:color w:val="auto"/>
          <w:sz w:val="24"/>
          <w:szCs w:val="24"/>
          <w:highlight w:val="none"/>
          <w:lang w:val="zh-CN"/>
        </w:rPr>
        <w:t>的采购需求及合同条款进行报价，并按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文件确定的格式报</w:t>
      </w:r>
      <w:r>
        <w:rPr>
          <w:rFonts w:hint="eastAsia" w:cs="宋体"/>
          <w:snapToGrid w:val="0"/>
          <w:color w:val="auto"/>
          <w:sz w:val="24"/>
          <w:szCs w:val="24"/>
          <w:highlight w:val="none"/>
          <w:lang w:val="en-US" w:eastAsia="zh-CN"/>
        </w:rPr>
        <w:t>价</w:t>
      </w:r>
      <w:r>
        <w:rPr>
          <w:rFonts w:hint="eastAsia" w:ascii="宋体" w:hAnsi="宋体" w:eastAsia="宋体" w:cs="宋体"/>
          <w:snapToGrid w:val="0"/>
          <w:color w:val="auto"/>
          <w:sz w:val="24"/>
          <w:szCs w:val="24"/>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color w:val="auto"/>
          <w:kern w:val="2"/>
          <w:sz w:val="24"/>
          <w:szCs w:val="24"/>
          <w:highlight w:val="none"/>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rPr>
        <w:t>自行承担。</w:t>
      </w:r>
    </w:p>
    <w:p w14:paraId="009FDB1D">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kern w:val="2"/>
          <w:sz w:val="24"/>
          <w:szCs w:val="24"/>
          <w:highlight w:val="none"/>
          <w:lang w:val="en-US" w:eastAsia="zh-CN"/>
        </w:rPr>
        <w:t xml:space="preserve">的报价应包括但不限于下列内容： </w:t>
      </w:r>
    </w:p>
    <w:p w14:paraId="058AFCD3">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谈判货物及标准附件、备品备件、专用工具等的出厂价（包括已在中国国内的进口货物完税后的仓库交货价、展室交货价或货架交货价）和运至最终</w:t>
      </w:r>
      <w:r>
        <w:rPr>
          <w:rFonts w:hint="eastAsia" w:ascii="宋体" w:hAnsi="宋体" w:eastAsia="宋体" w:cs="宋体"/>
          <w:color w:val="auto"/>
          <w:kern w:val="2"/>
          <w:sz w:val="24"/>
          <w:szCs w:val="24"/>
          <w:highlight w:val="none"/>
          <w:lang w:val="en-US" w:eastAsia="zh-CN"/>
        </w:rPr>
        <w:t xml:space="preserve">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rPr>
        <w:t>14.2.2 按照</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lang w:val="en-US" w:eastAsia="zh-CN"/>
        </w:rPr>
        <w:t>文件要求完成本项目的全部相关费用。</w:t>
      </w:r>
    </w:p>
    <w:p w14:paraId="11C9B78F">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lang w:val="zh-CN"/>
        </w:rPr>
        <w:t>须严格按照报价明细表规定的内容填写货物单价以及其他事项。供应商应根据本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文件的规定和要求、市场价格水平及其走势、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供应商的管理水平、</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供应商的方案和由这些因素决定的</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供应商之于本项目的成本水平等提出自己的报价。报价应合理，并包含完成本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w:t>
      </w:r>
      <w:r>
        <w:rPr>
          <w:rFonts w:hint="eastAsia" w:ascii="宋体" w:hAnsi="宋体" w:eastAsia="宋体" w:cs="宋体"/>
          <w:snapToGrid w:val="0"/>
          <w:color w:val="auto"/>
          <w:sz w:val="24"/>
          <w:szCs w:val="24"/>
          <w:highlight w:val="none"/>
          <w:lang w:val="en-US" w:eastAsia="zh-CN"/>
        </w:rPr>
        <w:t>项目</w:t>
      </w:r>
      <w:r>
        <w:rPr>
          <w:rFonts w:hint="eastAsia" w:ascii="宋体" w:hAnsi="宋体" w:eastAsia="宋体" w:cs="宋体"/>
          <w:snapToGrid w:val="0"/>
          <w:color w:val="auto"/>
          <w:sz w:val="24"/>
          <w:szCs w:val="24"/>
          <w:highlight w:val="none"/>
          <w:lang w:val="zh-CN"/>
        </w:rPr>
        <w:t>采购需求全部内容的所有费用，所有根据本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文件或其它原因应由</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供应商支付的税款和其他应交纳的费用都应包括在报价中。</w:t>
      </w:r>
    </w:p>
    <w:p w14:paraId="3DB7F19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.4供应商在响应文件中注明免费的项目将视为包含在报价中。</w:t>
      </w:r>
    </w:p>
    <w:p w14:paraId="2D8474D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5 </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en-US" w:eastAsia="zh-CN"/>
        </w:rPr>
        <w:t>对</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报价若有说明应在</w:t>
      </w:r>
      <w:r>
        <w:rPr>
          <w:rFonts w:hint="eastAsia" w:ascii="宋体" w:hAnsi="宋体" w:eastAsia="宋体" w:cs="宋体"/>
          <w:color w:val="auto"/>
          <w:kern w:val="2"/>
          <w:sz w:val="24"/>
          <w:szCs w:val="24"/>
          <w:highlight w:val="none"/>
          <w:lang w:val="en-US" w:eastAsia="zh-CN"/>
        </w:rPr>
        <w:t>响应</w:t>
      </w:r>
      <w:r>
        <w:rPr>
          <w:rFonts w:hint="eastAsia" w:ascii="宋体" w:hAnsi="宋体" w:eastAsia="宋体" w:cs="宋体"/>
          <w:color w:val="auto"/>
          <w:kern w:val="2"/>
          <w:sz w:val="24"/>
          <w:szCs w:val="24"/>
          <w:highlight w:val="none"/>
        </w:rPr>
        <w:t>文件中显著处注明。</w:t>
      </w:r>
    </w:p>
    <w:p w14:paraId="1719007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所报价格在合同实施期间不因市场变化因素而变动。</w:t>
      </w:r>
    </w:p>
    <w:p w14:paraId="749D37C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6 </w:t>
      </w:r>
      <w:r>
        <w:rPr>
          <w:rFonts w:hint="eastAsia" w:ascii="宋体" w:hAnsi="宋体" w:eastAsia="宋体" w:cs="宋体"/>
          <w:color w:val="auto"/>
          <w:kern w:val="2"/>
          <w:sz w:val="24"/>
          <w:szCs w:val="24"/>
          <w:highlight w:val="none"/>
        </w:rPr>
        <w:t>对于有配件、耗材、选件、备件和特殊工具的货物，还应填报</w:t>
      </w:r>
      <w:r>
        <w:rPr>
          <w:rFonts w:hint="eastAsia" w:cs="宋体"/>
          <w:color w:val="auto"/>
          <w:sz w:val="24"/>
          <w:szCs w:val="24"/>
          <w:highlight w:val="none"/>
          <w:lang w:val="en-US" w:eastAsia="zh-CN"/>
        </w:rPr>
        <w:t>谈判</w:t>
      </w:r>
      <w:r>
        <w:rPr>
          <w:rFonts w:hint="eastAsia" w:ascii="宋体" w:hAnsi="宋体" w:eastAsia="宋体" w:cs="宋体"/>
          <w:color w:val="auto"/>
          <w:kern w:val="2"/>
          <w:sz w:val="24"/>
          <w:szCs w:val="24"/>
          <w:highlight w:val="none"/>
        </w:rPr>
        <w:t>货物配件、耗材、选件表和备件及特殊工具清单，注明品牌、型号、产地、功能、单价、批量折扣等内容，该表格格式由</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自行设计。</w:t>
      </w:r>
      <w:r>
        <w:rPr>
          <w:rFonts w:hint="eastAsia" w:ascii="宋体" w:hAnsi="宋体" w:eastAsia="宋体" w:cs="宋体"/>
          <w:color w:val="auto"/>
          <w:kern w:val="2"/>
          <w:sz w:val="24"/>
          <w:szCs w:val="24"/>
          <w:highlight w:val="none"/>
          <w:lang w:val="zh-CN"/>
        </w:rPr>
        <w:t>供应商</w:t>
      </w:r>
      <w:r>
        <w:rPr>
          <w:rFonts w:hint="eastAsia" w:ascii="宋体" w:hAnsi="宋体" w:eastAsia="宋体" w:cs="宋体"/>
          <w:color w:val="auto"/>
          <w:kern w:val="2"/>
          <w:sz w:val="24"/>
          <w:szCs w:val="24"/>
          <w:highlight w:val="none"/>
        </w:rPr>
        <w:t>按照上述要求分类报价，其目的是便于评</w:t>
      </w:r>
      <w:r>
        <w:rPr>
          <w:rFonts w:hint="eastAsia" w:ascii="宋体" w:hAnsi="宋体" w:eastAsia="宋体" w:cs="宋体"/>
          <w:color w:val="auto"/>
          <w:kern w:val="2"/>
          <w:sz w:val="24"/>
          <w:szCs w:val="24"/>
          <w:highlight w:val="none"/>
          <w:lang w:val="en-US" w:eastAsia="zh-CN"/>
        </w:rPr>
        <w:t>审</w:t>
      </w:r>
      <w:r>
        <w:rPr>
          <w:rFonts w:hint="eastAsia" w:ascii="宋体" w:hAnsi="宋体" w:eastAsia="宋体" w:cs="宋体"/>
          <w:color w:val="auto"/>
          <w:kern w:val="2"/>
          <w:sz w:val="24"/>
          <w:szCs w:val="24"/>
          <w:highlight w:val="none"/>
        </w:rPr>
        <w:t>，但在任何情况下并不限制采购人以其他条款签订合同的权利。</w:t>
      </w:r>
    </w:p>
    <w:p w14:paraId="2AA144B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2"/>
          <w:sz w:val="24"/>
          <w:szCs w:val="24"/>
          <w:highlight w:val="none"/>
          <w:lang w:val="en-US" w:eastAsia="zh-CN"/>
        </w:rPr>
        <w:t>14.</w:t>
      </w:r>
      <w:r>
        <w:rPr>
          <w:rFonts w:hint="eastAsia" w:cs="宋体"/>
          <w:color w:val="auto"/>
          <w:kern w:val="2"/>
          <w:sz w:val="24"/>
          <w:szCs w:val="24"/>
          <w:highlight w:val="none"/>
          <w:lang w:val="en-US" w:eastAsia="zh-CN"/>
        </w:rPr>
        <w:t>7</w:t>
      </w:r>
      <w:r>
        <w:rPr>
          <w:rFonts w:hint="eastAsia" w:ascii="宋体" w:hAnsi="宋体" w:eastAsia="宋体" w:cs="宋体"/>
          <w:color w:val="auto"/>
          <w:kern w:val="0"/>
          <w:sz w:val="24"/>
          <w:szCs w:val="24"/>
          <w:highlight w:val="none"/>
          <w:lang w:val="en-US" w:eastAsia="zh-CN" w:bidi="ar"/>
        </w:rPr>
        <w:t>采购人不得向供应商索要或者接受其给予的赠品、回扣或者与采购无关的其他商品、服务。</w:t>
      </w:r>
    </w:p>
    <w:p w14:paraId="4E58D7F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供应商不能提供任何有选择性或可调整的报价（</w:t>
      </w:r>
      <w:r>
        <w:rPr>
          <w:rFonts w:hint="eastAsia" w:cs="宋体"/>
          <w:color w:val="auto"/>
          <w:sz w:val="24"/>
          <w:szCs w:val="24"/>
          <w:highlight w:val="none"/>
          <w:lang w:val="en-US" w:eastAsia="zh-CN"/>
        </w:rPr>
        <w:t>谈判</w:t>
      </w:r>
      <w:r>
        <w:rPr>
          <w:rFonts w:hint="eastAsia" w:ascii="宋体" w:hAnsi="宋体" w:eastAsia="宋体" w:cs="宋体"/>
          <w:color w:val="auto"/>
          <w:kern w:val="0"/>
          <w:sz w:val="24"/>
          <w:szCs w:val="24"/>
          <w:highlight w:val="none"/>
          <w:lang w:val="en-US" w:eastAsia="zh-CN" w:bidi="ar"/>
        </w:rPr>
        <w:t>文件另有规定的除外），否则其</w:t>
      </w:r>
      <w:r>
        <w:rPr>
          <w:rFonts w:hint="eastAsia" w:ascii="宋体" w:hAnsi="宋体" w:eastAsia="宋体" w:cs="宋体"/>
          <w:b/>
          <w:bCs/>
          <w:color w:val="auto"/>
          <w:kern w:val="0"/>
          <w:sz w:val="24"/>
          <w:szCs w:val="24"/>
          <w:highlight w:val="none"/>
          <w:lang w:val="en-US" w:eastAsia="zh-CN" w:bidi="ar"/>
        </w:rPr>
        <w:t>响应无效</w:t>
      </w:r>
      <w:r>
        <w:rPr>
          <w:rFonts w:hint="eastAsia" w:ascii="宋体" w:hAnsi="宋体" w:eastAsia="宋体" w:cs="宋体"/>
          <w:color w:val="auto"/>
          <w:kern w:val="0"/>
          <w:sz w:val="24"/>
          <w:szCs w:val="24"/>
          <w:highlight w:val="none"/>
          <w:lang w:val="en-US" w:eastAsia="zh-CN" w:bidi="ar"/>
        </w:rPr>
        <w:t>。</w:t>
      </w:r>
    </w:p>
    <w:p w14:paraId="0CD8AEF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5668"/>
      <w:bookmarkStart w:id="242" w:name="_Toc109900388"/>
      <w:bookmarkStart w:id="243" w:name="_Toc46771657"/>
      <w:bookmarkStart w:id="244" w:name="_Toc52960570"/>
      <w:bookmarkStart w:id="245" w:name="_Toc109899969"/>
      <w:bookmarkStart w:id="246" w:name="_Toc470172682"/>
      <w:bookmarkStart w:id="247" w:name="_Toc52962744"/>
      <w:bookmarkStart w:id="248" w:name="_Toc51674228"/>
      <w:bookmarkStart w:id="249" w:name="_Toc109897451"/>
      <w:bookmarkStart w:id="250" w:name="_Toc109899550"/>
      <w:bookmarkStart w:id="251" w:name="_Toc46772258"/>
      <w:bookmarkStart w:id="252" w:name="_Toc48688806"/>
      <w:bookmarkStart w:id="253" w:name="_Toc48846126"/>
      <w:bookmarkStart w:id="254" w:name="_Toc48846122"/>
      <w:bookmarkStart w:id="255" w:name="_Toc3324"/>
      <w:bookmarkStart w:id="256" w:name="_Toc46772254"/>
      <w:bookmarkStart w:id="257" w:name="_Toc51674224"/>
      <w:bookmarkStart w:id="258" w:name="_Toc46771653"/>
      <w:bookmarkStart w:id="259" w:name="_Toc52960566"/>
      <w:bookmarkStart w:id="260" w:name="_Toc109897448"/>
      <w:bookmarkStart w:id="261" w:name="_Toc52962740"/>
      <w:bookmarkStart w:id="262" w:name="_Toc109899547"/>
      <w:bookmarkStart w:id="263" w:name="_Toc109900385"/>
      <w:bookmarkStart w:id="264" w:name="_Toc48688802"/>
      <w:bookmarkStart w:id="265" w:name="_Toc470172678"/>
      <w:bookmarkStart w:id="266" w:name="_Toc109899966"/>
      <w:r>
        <w:rPr>
          <w:rFonts w:hint="eastAsia" w:ascii="宋体" w:hAnsi="宋体" w:eastAsia="宋体" w:cs="宋体"/>
          <w:b/>
          <w:bCs/>
          <w:color w:val="auto"/>
          <w:kern w:val="2"/>
          <w:sz w:val="24"/>
          <w:szCs w:val="24"/>
          <w:highlight w:val="none"/>
          <w:lang w:val="en-US" w:eastAsia="zh-CN" w:bidi="ar-SA"/>
        </w:rPr>
        <w:t>15.响应文件有效期</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C3E470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供应商提交的</w:t>
      </w:r>
      <w:r>
        <w:rPr>
          <w:rFonts w:hint="eastAsia" w:ascii="宋体" w:hAnsi="宋体" w:eastAsia="宋体" w:cs="宋体"/>
          <w:snapToGrid w:val="0"/>
          <w:color w:val="auto"/>
          <w:sz w:val="24"/>
          <w:szCs w:val="24"/>
          <w:highlight w:val="none"/>
          <w:lang w:val="zh-CN"/>
        </w:rPr>
        <w:t>响应文件有效期见“供应商须知前附表”，</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供应商承诺的响应文件</w:t>
      </w:r>
      <w:r>
        <w:rPr>
          <w:rFonts w:hint="eastAsia" w:ascii="宋体" w:hAnsi="宋体" w:eastAsia="宋体" w:cs="宋体"/>
          <w:snapToGrid w:val="0"/>
          <w:color w:val="auto"/>
          <w:sz w:val="24"/>
          <w:szCs w:val="24"/>
          <w:highlight w:val="none"/>
          <w:lang w:val="zh-CN" w:eastAsia="zh-CN"/>
        </w:rPr>
        <w:t>有效期少于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响应</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15.2 响应文件有效期从递交响应文件的截止之日起算。响应文件中承诺的有效期应当不少于竞争性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文件中载明的响应文件有效期。响应文件有效期内供应商撤销响应文件的，采购人或者采购代理机构可以不退还</w:t>
      </w:r>
      <w:r>
        <w:rPr>
          <w:rFonts w:hint="eastAsia" w:cs="宋体"/>
          <w:color w:val="auto"/>
          <w:sz w:val="24"/>
          <w:szCs w:val="24"/>
          <w:highlight w:val="none"/>
          <w:lang w:val="en-US" w:eastAsia="zh-CN"/>
        </w:rPr>
        <w:t>谈判</w:t>
      </w:r>
      <w:r>
        <w:rPr>
          <w:rFonts w:hint="eastAsia" w:ascii="宋体" w:hAnsi="宋体" w:eastAsia="宋体" w:cs="宋体"/>
          <w:snapToGrid w:val="0"/>
          <w:color w:val="auto"/>
          <w:kern w:val="2"/>
          <w:sz w:val="24"/>
          <w:szCs w:val="24"/>
          <w:highlight w:val="none"/>
          <w:lang w:val="en-US" w:eastAsia="zh-CN" w:bidi="ar-SA"/>
        </w:rPr>
        <w:t>保证金。</w:t>
      </w:r>
    </w:p>
    <w:p w14:paraId="414B33F5">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kern w:val="2"/>
          <w:sz w:val="24"/>
          <w:szCs w:val="24"/>
          <w:highlight w:val="none"/>
          <w:lang w:val="zh-CN" w:eastAsia="zh-CN" w:bidi="ar-SA"/>
        </w:rPr>
        <w:t>1</w:t>
      </w:r>
      <w:r>
        <w:rPr>
          <w:rFonts w:hint="eastAsia" w:ascii="宋体" w:hAnsi="宋体" w:eastAsia="宋体" w:cs="宋体"/>
          <w:snapToGrid w:val="0"/>
          <w:color w:val="auto"/>
          <w:kern w:val="2"/>
          <w:sz w:val="24"/>
          <w:szCs w:val="24"/>
          <w:highlight w:val="none"/>
          <w:lang w:val="en-US" w:eastAsia="zh-CN" w:bidi="ar-SA"/>
        </w:rPr>
        <w:t>5</w:t>
      </w:r>
      <w:r>
        <w:rPr>
          <w:rFonts w:hint="eastAsia" w:ascii="宋体" w:hAnsi="宋体" w:eastAsia="宋体" w:cs="宋体"/>
          <w:snapToGrid w:val="0"/>
          <w:color w:val="auto"/>
          <w:kern w:val="2"/>
          <w:sz w:val="24"/>
          <w:szCs w:val="24"/>
          <w:highlight w:val="none"/>
          <w:lang w:val="zh-CN" w:eastAsia="zh-CN" w:bidi="ar-SA"/>
        </w:rPr>
        <w:t>.</w:t>
      </w:r>
      <w:r>
        <w:rPr>
          <w:rFonts w:hint="eastAsia" w:ascii="宋体" w:hAnsi="宋体" w:eastAsia="宋体" w:cs="宋体"/>
          <w:snapToGrid w:val="0"/>
          <w:color w:val="auto"/>
          <w:kern w:val="2"/>
          <w:sz w:val="24"/>
          <w:szCs w:val="24"/>
          <w:highlight w:val="none"/>
          <w:lang w:val="en-US" w:eastAsia="zh-CN" w:bidi="ar-SA"/>
        </w:rPr>
        <w:t>3</w:t>
      </w:r>
      <w:r>
        <w:rPr>
          <w:rFonts w:hint="eastAsia" w:ascii="宋体" w:hAnsi="宋体" w:eastAsia="宋体" w:cs="宋体"/>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snapToGrid w:val="0"/>
          <w:color w:val="auto"/>
          <w:sz w:val="24"/>
          <w:szCs w:val="24"/>
          <w:highlight w:val="none"/>
          <w:lang w:val="zh-CN"/>
        </w:rPr>
        <w:t>可要求供应商延长响应文件有效期。需要延长响应文件有效期时，采购代理机构或采购人将以书面形式通知所有</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供应商同意延长的，</w:t>
      </w:r>
      <w:r>
        <w:rPr>
          <w:rFonts w:hint="eastAsia" w:ascii="宋体" w:hAnsi="宋体" w:eastAsia="宋体" w:cs="宋体"/>
          <w:snapToGrid w:val="0"/>
          <w:color w:val="auto"/>
          <w:sz w:val="24"/>
          <w:szCs w:val="24"/>
          <w:highlight w:val="none"/>
          <w:lang w:val="en-US" w:eastAsia="zh-CN"/>
        </w:rPr>
        <w:t>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保证金的有效期也相应延长</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r>
        <w:rPr>
          <w:rFonts w:hint="eastAsia" w:ascii="宋体" w:hAnsi="宋体" w:eastAsia="宋体" w:cs="宋体"/>
          <w:snapToGrid w:val="0"/>
          <w:color w:val="auto"/>
          <w:sz w:val="24"/>
          <w:szCs w:val="24"/>
          <w:highlight w:val="none"/>
          <w:lang w:val="zh-CN"/>
        </w:rPr>
        <w:t>。</w:t>
      </w:r>
    </w:p>
    <w:bookmarkEnd w:id="254"/>
    <w:bookmarkEnd w:id="255"/>
    <w:bookmarkEnd w:id="256"/>
    <w:bookmarkEnd w:id="257"/>
    <w:bookmarkEnd w:id="258"/>
    <w:bookmarkEnd w:id="259"/>
    <w:bookmarkEnd w:id="260"/>
    <w:bookmarkEnd w:id="261"/>
    <w:bookmarkEnd w:id="262"/>
    <w:bookmarkEnd w:id="263"/>
    <w:bookmarkEnd w:id="264"/>
    <w:bookmarkEnd w:id="265"/>
    <w:bookmarkEnd w:id="266"/>
    <w:p w14:paraId="26D695E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6FD5FFC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文件的要求对要求加盖印章的部分逐一进行签章。</w:t>
      </w:r>
    </w:p>
    <w:p w14:paraId="4BB9824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3供应商</w:t>
      </w:r>
      <w:r>
        <w:rPr>
          <w:rFonts w:hint="eastAsia" w:ascii="宋体" w:hAnsi="宋体" w:eastAsia="宋体" w:cs="宋体"/>
          <w:color w:val="auto"/>
          <w:sz w:val="24"/>
          <w:szCs w:val="24"/>
          <w:highlight w:val="none"/>
        </w:rPr>
        <w:t>应详细阅读</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文件须对</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文件中的内容作出实质性和完整的响应，如果</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文件填报的内容不详，或没有提供</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文件中所要求的全部资料及数据，</w:t>
      </w:r>
      <w:r>
        <w:rPr>
          <w:rFonts w:hint="eastAsia" w:ascii="宋体" w:hAnsi="宋体" w:eastAsia="宋体" w:cs="宋体"/>
          <w:b w:val="0"/>
          <w:bCs w:val="0"/>
          <w:color w:val="auto"/>
          <w:sz w:val="24"/>
          <w:szCs w:val="24"/>
          <w:highlight w:val="none"/>
        </w:rPr>
        <w:t>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2D3AC26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4响应</w:t>
      </w:r>
      <w:r>
        <w:rPr>
          <w:rFonts w:hint="eastAsia" w:ascii="宋体" w:hAnsi="宋体" w:eastAsia="宋体" w:cs="宋体"/>
          <w:color w:val="auto"/>
          <w:sz w:val="24"/>
          <w:szCs w:val="24"/>
          <w:highlight w:val="none"/>
        </w:rPr>
        <w:t>文件须严格按照</w:t>
      </w:r>
      <w:r>
        <w:rPr>
          <w:rFonts w:hint="eastAsia" w:ascii="宋体" w:hAnsi="宋体" w:eastAsia="宋体" w:cs="宋体"/>
          <w:color w:val="auto"/>
          <w:sz w:val="24"/>
          <w:szCs w:val="24"/>
          <w:highlight w:val="none"/>
          <w:lang w:val="en-US" w:eastAsia="zh-CN"/>
        </w:rPr>
        <w:t>本竞争性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六章</w:t>
      </w:r>
      <w:r>
        <w:rPr>
          <w:rFonts w:hint="eastAsia" w:ascii="宋体" w:hAnsi="宋体" w:eastAsia="宋体" w:cs="宋体"/>
          <w:color w:val="auto"/>
          <w:sz w:val="24"/>
          <w:szCs w:val="24"/>
          <w:highlight w:val="none"/>
        </w:rPr>
        <w:t>规定的格式提交，并按规定的统一格式逐项填写，不准有空项；无相应内容可填</w:t>
      </w:r>
      <w:r>
        <w:rPr>
          <w:rFonts w:hint="eastAsia" w:ascii="宋体" w:hAnsi="宋体" w:eastAsia="宋体" w:cs="宋体"/>
          <w:color w:val="auto"/>
          <w:sz w:val="24"/>
          <w:szCs w:val="24"/>
          <w:highlight w:val="none"/>
          <w:lang w:eastAsia="zh-CN"/>
        </w:rPr>
        <w:t>写的部分</w:t>
      </w:r>
      <w:r>
        <w:rPr>
          <w:rFonts w:hint="eastAsia" w:ascii="宋体" w:hAnsi="宋体" w:eastAsia="宋体" w:cs="宋体"/>
          <w:color w:val="auto"/>
          <w:sz w:val="24"/>
          <w:szCs w:val="24"/>
          <w:highlight w:val="none"/>
        </w:rPr>
        <w:t>，应填写“无”、“未测试”、“没有相应指标”等明确的文字回答。由于编排混乱导致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文件被误读或查找不到，其责任由</w:t>
      </w:r>
      <w:r>
        <w:rPr>
          <w:rFonts w:hint="eastAsia" w:ascii="宋体" w:hAnsi="宋体" w:eastAsia="宋体" w:cs="宋体"/>
          <w:color w:val="auto"/>
          <w:sz w:val="24"/>
          <w:szCs w:val="24"/>
          <w:highlight w:val="none"/>
          <w:lang w:val="en-US" w:eastAsia="zh-CN"/>
        </w:rPr>
        <w:t>供应商自行</w:t>
      </w:r>
      <w:r>
        <w:rPr>
          <w:rFonts w:hint="eastAsia" w:ascii="宋体" w:hAnsi="宋体" w:eastAsia="宋体" w:cs="宋体"/>
          <w:color w:val="auto"/>
          <w:sz w:val="24"/>
          <w:szCs w:val="24"/>
          <w:highlight w:val="none"/>
        </w:rPr>
        <w:t>承担。</w:t>
      </w:r>
    </w:p>
    <w:p w14:paraId="0AB47C8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须注意：为合理节约政府采购评审成本，提倡诚实信用的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行为，特别要求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应本着诚信精神，在本次</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文件的偏离表中，均以审慎的态度明确、清楚地披露各项偏离。若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没有在偏离表中明确、清楚地披露的事项，包括可能属于被</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在偏离表中遗漏披露的事项，一旦在评审中被发现存在偏离或被认定为属于偏离，则评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委员会有权视具体情形评审时予以处理，</w:t>
      </w:r>
      <w:r>
        <w:rPr>
          <w:rFonts w:hint="eastAsia" w:ascii="宋体" w:hAnsi="宋体" w:eastAsia="宋体" w:cs="宋体"/>
          <w:b/>
          <w:bCs/>
          <w:color w:val="auto"/>
          <w:sz w:val="24"/>
          <w:szCs w:val="24"/>
          <w:highlight w:val="none"/>
        </w:rPr>
        <w:t>将可能导致</w:t>
      </w:r>
      <w:r>
        <w:rPr>
          <w:rFonts w:hint="eastAsia" w:ascii="宋体" w:hAnsi="宋体" w:eastAsia="宋体" w:cs="宋体"/>
          <w:b/>
          <w:bCs/>
          <w:color w:val="auto"/>
          <w:sz w:val="24"/>
          <w:szCs w:val="24"/>
          <w:highlight w:val="none"/>
          <w:lang w:eastAsia="zh-CN"/>
        </w:rPr>
        <w:t>响应</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4FCBEF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rPr>
        <w:t>必须保证</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文件所提供的全部资料</w:t>
      </w:r>
      <w:r>
        <w:rPr>
          <w:rFonts w:hint="eastAsia" w:ascii="宋体" w:hAnsi="宋体" w:eastAsia="宋体" w:cs="宋体"/>
          <w:color w:val="auto"/>
          <w:sz w:val="24"/>
          <w:szCs w:val="24"/>
          <w:highlight w:val="none"/>
          <w:lang w:eastAsia="zh-CN"/>
        </w:rPr>
        <w:t>合法、</w:t>
      </w:r>
      <w:r>
        <w:rPr>
          <w:rFonts w:hint="eastAsia" w:ascii="宋体" w:hAnsi="宋体" w:eastAsia="宋体" w:cs="宋体"/>
          <w:color w:val="auto"/>
          <w:sz w:val="24"/>
          <w:szCs w:val="24"/>
          <w:highlight w:val="none"/>
        </w:rPr>
        <w:t>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委员会对其中任何资料进一步审查的要求。</w:t>
      </w:r>
    </w:p>
    <w:p w14:paraId="7064EC3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color w:val="auto"/>
          <w:sz w:val="24"/>
          <w:szCs w:val="24"/>
          <w:highlight w:val="none"/>
        </w:rPr>
        <w:t>处理。</w:t>
      </w:r>
    </w:p>
    <w:p w14:paraId="4071B6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16.8电子响应文件的编制</w:t>
      </w:r>
    </w:p>
    <w:p w14:paraId="4A87E24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16.8.1电子响应文件需按竞争性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文件要求进行制作编制。响应文件制作时，不同内容按标签提示制作导入，按照竞争性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16.8.2电子</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文件及响应文件具有法律效力，与其他形式的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文件及响应文件在内容和格式上等同，若响应文件与竞争性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文件要求不一致，其内容影响成交结果时，责任由供应商自行承担。供应商递交的电子响应文件因供应商自身原因而导致无法导入电子辅助评标系统，该响应文件被视为无效响应文件，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b/>
          <w:bCs/>
          <w:color w:val="auto"/>
          <w:sz w:val="24"/>
          <w:szCs w:val="24"/>
          <w:highlight w:val="none"/>
        </w:rPr>
        <w:t>。</w:t>
      </w:r>
    </w:p>
    <w:p w14:paraId="7285275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109900390"/>
      <w:bookmarkStart w:id="268" w:name="_Toc46771659"/>
      <w:bookmarkStart w:id="269" w:name="_Toc109897453"/>
      <w:bookmarkStart w:id="270" w:name="_Toc109899552"/>
      <w:bookmarkStart w:id="271" w:name="_Toc470172684"/>
      <w:bookmarkStart w:id="272" w:name="_Toc109899971"/>
      <w:bookmarkStart w:id="273" w:name="_Toc163493614"/>
      <w:bookmarkStart w:id="274" w:name="_Toc6033"/>
      <w:r>
        <w:rPr>
          <w:rFonts w:hint="eastAsia" w:ascii="宋体" w:hAnsi="宋体" w:eastAsia="宋体" w:cs="宋体"/>
          <w:b/>
          <w:bCs/>
          <w:color w:val="auto"/>
          <w:kern w:val="2"/>
          <w:sz w:val="24"/>
          <w:szCs w:val="24"/>
          <w:highlight w:val="none"/>
          <w:lang w:val="en-US" w:eastAsia="zh-CN" w:bidi="ar-SA"/>
        </w:rPr>
        <w:t>（四）响应文件的</w:t>
      </w:r>
      <w:bookmarkEnd w:id="267"/>
      <w:bookmarkEnd w:id="268"/>
      <w:bookmarkEnd w:id="269"/>
      <w:bookmarkEnd w:id="270"/>
      <w:bookmarkEnd w:id="271"/>
      <w:bookmarkEnd w:id="272"/>
      <w:r>
        <w:rPr>
          <w:rFonts w:hint="eastAsia" w:ascii="宋体" w:hAnsi="宋体" w:eastAsia="宋体" w:cs="宋体"/>
          <w:b/>
          <w:bCs/>
          <w:color w:val="auto"/>
          <w:kern w:val="2"/>
          <w:sz w:val="24"/>
          <w:szCs w:val="24"/>
          <w:highlight w:val="none"/>
          <w:lang w:val="en-US" w:eastAsia="zh-CN" w:bidi="ar-SA"/>
        </w:rPr>
        <w:t>递交</w:t>
      </w:r>
      <w:bookmarkEnd w:id="273"/>
      <w:bookmarkEnd w:id="274"/>
    </w:p>
    <w:p w14:paraId="0181012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5" w:name="_Toc109897552"/>
      <w:bookmarkStart w:id="276" w:name="_Toc109900489"/>
      <w:bookmarkStart w:id="277" w:name="_Toc109899651"/>
      <w:bookmarkStart w:id="278" w:name="_Toc109900070"/>
      <w:bookmarkStart w:id="279" w:name="_Toc155095707"/>
      <w:bookmarkStart w:id="280" w:name="_Toc156490296"/>
      <w:bookmarkStart w:id="281" w:name="_Toc109899652"/>
      <w:bookmarkStart w:id="282" w:name="_Toc109900071"/>
      <w:bookmarkStart w:id="283" w:name="_Toc109900490"/>
      <w:bookmarkStart w:id="284" w:name="_Toc109897553"/>
      <w:bookmarkStart w:id="285" w:name="_Toc156490297"/>
      <w:bookmarkStart w:id="286" w:name="_Toc155095708"/>
      <w:r>
        <w:rPr>
          <w:rFonts w:hint="eastAsia" w:ascii="宋体" w:hAnsi="宋体" w:eastAsia="宋体" w:cs="宋体"/>
          <w:b/>
          <w:bCs/>
          <w:color w:val="auto"/>
          <w:kern w:val="2"/>
          <w:sz w:val="24"/>
          <w:szCs w:val="24"/>
          <w:highlight w:val="none"/>
          <w:lang w:val="en-US" w:eastAsia="zh-CN" w:bidi="ar-SA"/>
        </w:rPr>
        <w:t>17.谈判保证金</w:t>
      </w:r>
    </w:p>
    <w:p w14:paraId="4DEF946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17.1供应商应按照竞争性</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文件“供应商须知前附表”规定的金额及要求交纳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保证金。供应商自愿超额缴纳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保证金可采用的形式：政府采购法律法规接受的支票、汇票、本票、网上银行支付或者金融机构、担保机构出具的保函等非现金形式。未按</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文件要求提交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响应无效。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保证金有效期同响应文件有效期。</w:t>
      </w:r>
    </w:p>
    <w:p w14:paraId="0C3CACC6">
      <w:pPr>
        <w:pStyle w:val="7"/>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17.3</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保证金到账（保函提交）截止时间同响应文件递交截止时间。以支票、汇票、本票、网上银行支付等形式提交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保证金的，应在响应文件递交截止时间前到账；以金融机构、担保机构出具的保函等形式提交</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保证金的，应在响应文件递交截止时间前将</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宋体"/>
          <w:b w:val="0"/>
          <w:bCs w:val="0"/>
          <w:iCs/>
          <w:color w:val="auto"/>
          <w:kern w:val="2"/>
          <w:sz w:val="24"/>
          <w:szCs w:val="24"/>
          <w:highlight w:val="none"/>
          <w:shd w:val="clear" w:color="auto" w:fill="FFFFFF" w:themeFill="background1"/>
          <w:lang w:val="en-US" w:eastAsia="zh-CN" w:bidi="ar-SA"/>
        </w:rPr>
        <w:t>，</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17.4 供应商为联合体的，可以由联合体中的一方或者多方共同交纳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保证金，其交纳的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保证金对联合体各方均具有约束力。</w:t>
      </w:r>
    </w:p>
    <w:p w14:paraId="1E93F9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17.5采购人或者采购代理机构应当在采购活动结束后及时退还供应商的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保证金，采用银行保函、担保机构担保函等形式递交的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保证金，经供应商同意后采购人、采购代理机构可以不再退还，但因供应商自身原因导致无法及时退还的除外。未成交供应商的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保证金应当自成交通知书发出之日起 5 个工作日内退还，成交供应商的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保证金，但因供应商自身原因导致无法及时退还的除外。 </w:t>
      </w:r>
    </w:p>
    <w:p w14:paraId="6C0BF0B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的项目已经收取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保证金的，自终止采购活动后5个工作日内退还已收取的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保证金及其在银行产生的孳息。</w:t>
      </w:r>
    </w:p>
    <w:p w14:paraId="59CC77A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17.8有下列情形之一的，</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保证金不予退还,</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55B83B7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0A09910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17.8.2供应商在响应文件中提供虚假材料的； </w:t>
      </w:r>
    </w:p>
    <w:p w14:paraId="4188981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17.8.3除因不可抗力或</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文件认可的情形以外，成交供应商不与采购人签订合同的； </w:t>
      </w:r>
    </w:p>
    <w:p w14:paraId="19A2B85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40CCB19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17.8.5</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文件规定的其他情形。</w:t>
      </w:r>
    </w:p>
    <w:p w14:paraId="2A9B7E6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17.9如开启时供应商对本单位</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保证金缴纳情况有疑义，供应商应在开启结束前向采购人提交书面申请核实保证金缴纳情况。由银行或保险公司核实后出具书面材料予以答复。</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w:t>
      </w:r>
      <w:r>
        <w:rPr>
          <w:rFonts w:hint="eastAsia" w:cs="宋体"/>
          <w:color w:val="auto"/>
          <w:sz w:val="24"/>
          <w:szCs w:val="24"/>
          <w:highlight w:val="none"/>
          <w:lang w:val="en-US" w:eastAsia="zh-CN"/>
        </w:rPr>
        <w:t>谈判</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金融服务支撑热线：95763     </w:t>
      </w:r>
    </w:p>
    <w:p w14:paraId="784B78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75"/>
      <w:bookmarkEnd w:id="276"/>
      <w:bookmarkEnd w:id="277"/>
      <w:bookmarkEnd w:id="278"/>
      <w:r>
        <w:rPr>
          <w:rFonts w:hint="eastAsia" w:ascii="宋体" w:hAnsi="宋体" w:eastAsia="宋体" w:cs="宋体"/>
          <w:b/>
          <w:bCs/>
          <w:color w:val="auto"/>
          <w:kern w:val="2"/>
          <w:sz w:val="24"/>
          <w:szCs w:val="24"/>
          <w:highlight w:val="none"/>
          <w:lang w:val="en-US" w:eastAsia="zh-CN" w:bidi="ar-SA"/>
        </w:rPr>
        <w:t>加密</w:t>
      </w:r>
      <w:bookmarkEnd w:id="279"/>
      <w:bookmarkEnd w:id="280"/>
    </w:p>
    <w:p w14:paraId="105C769D">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中对响应文件进行加密。</w:t>
      </w:r>
    </w:p>
    <w:p w14:paraId="0AE412D5">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政府采购网（http://www.ccgp-xinjiang.gov.cn/）的”政采云登录入口”登录后，将加密电子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认为有必要提交的其他资料请于</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文件，采购代理机构有权予以拒绝，并退回</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4A4931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方式，无需提供电子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文件U盘。</w:t>
      </w:r>
    </w:p>
    <w:p w14:paraId="0EEE0E8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81"/>
      <w:bookmarkEnd w:id="282"/>
      <w:bookmarkEnd w:id="283"/>
      <w:bookmarkEnd w:id="284"/>
      <w:r>
        <w:rPr>
          <w:rFonts w:hint="eastAsia" w:ascii="宋体" w:hAnsi="宋体" w:eastAsia="宋体" w:cs="宋体"/>
          <w:b/>
          <w:bCs/>
          <w:color w:val="auto"/>
          <w:kern w:val="2"/>
          <w:sz w:val="24"/>
          <w:szCs w:val="24"/>
          <w:highlight w:val="none"/>
          <w:lang w:val="en-US" w:eastAsia="zh-CN" w:bidi="ar-SA"/>
        </w:rPr>
        <w:t>递交</w:t>
      </w:r>
      <w:bookmarkEnd w:id="285"/>
      <w:bookmarkEnd w:id="286"/>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供应商应在“</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供应商递交（上传）响应文件的地点见“</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19.5供应商所递交的响应文件不予退还。</w:t>
      </w:r>
    </w:p>
    <w:p w14:paraId="03DDA0A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55095709"/>
      <w:bookmarkStart w:id="288" w:name="_Toc156490298"/>
      <w:r>
        <w:rPr>
          <w:rFonts w:hint="eastAsia" w:ascii="宋体" w:hAnsi="宋体" w:eastAsia="宋体" w:cs="宋体"/>
          <w:b/>
          <w:bCs/>
          <w:color w:val="auto"/>
          <w:kern w:val="2"/>
          <w:sz w:val="24"/>
          <w:szCs w:val="24"/>
          <w:highlight w:val="none"/>
          <w:lang w:val="en-US" w:eastAsia="zh-CN" w:bidi="ar-SA"/>
        </w:rPr>
        <w:t>20.拒收</w:t>
      </w:r>
      <w:bookmarkEnd w:id="287"/>
      <w:bookmarkEnd w:id="288"/>
    </w:p>
    <w:p w14:paraId="6764A5C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20.1超过递交响应文件的截止时间或者不按照本章要求加密的响应文件，交易系统应当拒收。</w:t>
      </w:r>
    </w:p>
    <w:p w14:paraId="03C096F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9" w:name="_Toc109897555"/>
      <w:bookmarkStart w:id="290" w:name="_Toc109899654"/>
      <w:bookmarkStart w:id="291" w:name="_Toc109900492"/>
      <w:bookmarkStart w:id="292" w:name="_Toc155095710"/>
      <w:bookmarkStart w:id="293" w:name="_Toc109900073"/>
      <w:bookmarkStart w:id="294" w:name="_Toc156490299"/>
      <w:r>
        <w:rPr>
          <w:rFonts w:hint="eastAsia" w:ascii="宋体" w:hAnsi="宋体" w:eastAsia="宋体" w:cs="宋体"/>
          <w:b/>
          <w:bCs/>
          <w:color w:val="auto"/>
          <w:kern w:val="2"/>
          <w:sz w:val="24"/>
          <w:szCs w:val="24"/>
          <w:highlight w:val="none"/>
          <w:lang w:val="en-US" w:eastAsia="zh-CN" w:bidi="ar-SA"/>
        </w:rPr>
        <w:t>21.响应文件的修改与撤回</w:t>
      </w:r>
      <w:bookmarkEnd w:id="289"/>
      <w:bookmarkEnd w:id="290"/>
      <w:bookmarkEnd w:id="291"/>
      <w:bookmarkEnd w:id="292"/>
      <w:bookmarkEnd w:id="293"/>
      <w:bookmarkEnd w:id="294"/>
    </w:p>
    <w:p w14:paraId="059E1BF2">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zh-CN" w:eastAsia="zh-CN"/>
        </w:rPr>
        <w:t>1</w:t>
      </w:r>
      <w:r>
        <w:rPr>
          <w:rFonts w:hint="eastAsia" w:ascii="宋体" w:hAnsi="宋体" w:eastAsia="宋体" w:cs="宋体"/>
          <w:snapToGrid w:val="0"/>
          <w:color w:val="auto"/>
          <w:sz w:val="24"/>
          <w:szCs w:val="24"/>
          <w:highlight w:val="none"/>
          <w:lang w:val="zh-CN"/>
        </w:rPr>
        <w:t>.1</w:t>
      </w:r>
      <w:bookmarkStart w:id="295" w:name="_Hlk143532466"/>
      <w:r>
        <w:rPr>
          <w:rFonts w:hint="eastAsia" w:ascii="宋体" w:hAnsi="宋体" w:eastAsia="宋体" w:cs="宋体"/>
          <w:snapToGrid w:val="0"/>
          <w:color w:val="auto"/>
          <w:sz w:val="24"/>
          <w:szCs w:val="24"/>
          <w:highlight w:val="none"/>
          <w:lang w:val="zh-CN" w:eastAsia="zh-CN"/>
        </w:rPr>
        <w:t>供应商</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snapToGrid w:val="0"/>
          <w:color w:val="auto"/>
          <w:sz w:val="24"/>
          <w:szCs w:val="24"/>
          <w:highlight w:val="none"/>
          <w:lang w:val="zh-CN" w:eastAsia="zh-CN"/>
        </w:rPr>
        <w:t>”</w:t>
      </w:r>
      <w:r>
        <w:rPr>
          <w:rFonts w:hint="eastAsia" w:ascii="宋体" w:hAnsi="宋体" w:eastAsia="宋体" w:cs="宋体"/>
          <w:snapToGrid w:val="0"/>
          <w:color w:val="auto"/>
          <w:sz w:val="24"/>
          <w:szCs w:val="24"/>
          <w:highlight w:val="none"/>
          <w:lang w:val="zh-CN"/>
        </w:rPr>
        <w:t>规定的</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递交截止时间之前，可在</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政府采购电子交易云平台上随时撤回已上传的电子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，将修改好的电子</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在</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lang w:val="zh-CN" w:eastAsia="zh-CN"/>
        </w:rPr>
        <w:t>文件</w:t>
      </w:r>
      <w:r>
        <w:rPr>
          <w:rFonts w:hint="eastAsia" w:ascii="宋体" w:hAnsi="宋体" w:eastAsia="宋体" w:cs="宋体"/>
          <w:snapToGrid w:val="0"/>
          <w:color w:val="auto"/>
          <w:sz w:val="24"/>
          <w:szCs w:val="24"/>
          <w:highlight w:val="none"/>
          <w:lang w:val="zh-CN"/>
        </w:rPr>
        <w:t>递交截止时间前重新上传到</w:t>
      </w:r>
      <w:r>
        <w:rPr>
          <w:rFonts w:hint="eastAsia" w:cs="宋体"/>
          <w:snapToGrid w:val="0"/>
          <w:color w:val="auto"/>
          <w:sz w:val="24"/>
          <w:szCs w:val="24"/>
          <w:highlight w:val="none"/>
          <w:lang w:val="en-US" w:eastAsia="zh-CN"/>
        </w:rPr>
        <w:t>新疆</w:t>
      </w:r>
      <w:r>
        <w:rPr>
          <w:rFonts w:hint="eastAsia" w:ascii="宋体" w:hAnsi="宋体" w:eastAsia="宋体" w:cs="宋体"/>
          <w:snapToGrid w:val="0"/>
          <w:color w:val="auto"/>
          <w:sz w:val="24"/>
          <w:szCs w:val="24"/>
          <w:highlight w:val="none"/>
          <w:lang w:val="zh-CN"/>
        </w:rPr>
        <w:t>政府采购电子交易云平台的</w:t>
      </w:r>
      <w:r>
        <w:rPr>
          <w:rFonts w:hint="eastAsia" w:ascii="宋体" w:hAnsi="宋体" w:eastAsia="宋体" w:cs="宋体"/>
          <w:snapToGrid w:val="0"/>
          <w:color w:val="auto"/>
          <w:sz w:val="24"/>
          <w:szCs w:val="24"/>
          <w:highlight w:val="none"/>
          <w:lang w:val="zh-CN" w:eastAsia="zh-CN"/>
        </w:rPr>
        <w:t>指</w:t>
      </w:r>
      <w:r>
        <w:rPr>
          <w:rFonts w:hint="eastAsia" w:ascii="宋体" w:hAnsi="宋体" w:eastAsia="宋体" w:cs="宋体"/>
          <w:snapToGrid w:val="0"/>
          <w:color w:val="auto"/>
          <w:sz w:val="24"/>
          <w:szCs w:val="24"/>
          <w:highlight w:val="none"/>
          <w:lang w:val="zh-CN"/>
        </w:rPr>
        <w:t>定位置。</w:t>
      </w:r>
    </w:p>
    <w:bookmarkEnd w:id="295"/>
    <w:p w14:paraId="4F9C167F">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6" w:name="_Toc155185973"/>
      <w:bookmarkStart w:id="297" w:name="_Toc158888664"/>
      <w:bookmarkStart w:id="298" w:name="_Toc155185874"/>
      <w:r>
        <w:rPr>
          <w:rFonts w:hint="eastAsia" w:ascii="宋体" w:hAnsi="宋体" w:eastAsia="宋体" w:cs="宋体"/>
          <w:b/>
          <w:bCs/>
          <w:color w:val="auto"/>
          <w:kern w:val="2"/>
          <w:sz w:val="24"/>
          <w:szCs w:val="24"/>
          <w:highlight w:val="none"/>
          <w:lang w:val="en-US" w:eastAsia="zh-CN" w:bidi="ar-SA"/>
        </w:rPr>
        <w:t>22.实物样品</w:t>
      </w:r>
      <w:bookmarkEnd w:id="296"/>
      <w:bookmarkEnd w:id="297"/>
      <w:bookmarkEnd w:id="298"/>
    </w:p>
    <w:p w14:paraId="3015EA9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22.1“供应商须知前附表”要求提供样品的，样品的具体要求及评审详见“第三章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3F84A5">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22.2样品退还：未成交的供应商应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自行联系采购人取回递交样品；成交供应商的样品由采购人进行保管、封存，并作为履约验收的参考（竞争性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文件另有规定的从其规定）。</w:t>
      </w:r>
    </w:p>
    <w:p w14:paraId="56366B4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58888665"/>
      <w:bookmarkStart w:id="300" w:name="_Toc155185875"/>
      <w:bookmarkStart w:id="301" w:name="_Toc155185974"/>
      <w:r>
        <w:rPr>
          <w:rFonts w:hint="eastAsia" w:ascii="宋体" w:hAnsi="宋体" w:eastAsia="宋体" w:cs="宋体"/>
          <w:b/>
          <w:bCs/>
          <w:color w:val="auto"/>
          <w:kern w:val="2"/>
          <w:sz w:val="24"/>
          <w:szCs w:val="24"/>
          <w:highlight w:val="none"/>
          <w:lang w:val="en-US" w:eastAsia="zh-CN" w:bidi="ar-SA"/>
        </w:rPr>
        <w:t>23.项目演示</w:t>
      </w:r>
      <w:bookmarkEnd w:id="299"/>
      <w:bookmarkEnd w:id="300"/>
      <w:bookmarkEnd w:id="301"/>
    </w:p>
    <w:p w14:paraId="3C48391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23.1要求供应商进行演示的，演示要求详见“供应商须知前附表”。</w:t>
      </w:r>
    </w:p>
    <w:p w14:paraId="22102C81">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23.2演示的评审详见“第三章 </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采购需求”和“第四章 评审</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6B46A24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2" w:name="_Toc163493615"/>
      <w:bookmarkStart w:id="303" w:name="_Toc3263"/>
      <w:bookmarkStart w:id="304" w:name="_Toc109899976"/>
      <w:bookmarkStart w:id="305" w:name="_Toc470172689"/>
      <w:bookmarkStart w:id="306" w:name="_Toc109899557"/>
      <w:bookmarkStart w:id="307" w:name="_Toc109900395"/>
      <w:bookmarkStart w:id="308" w:name="_Toc109897458"/>
      <w:bookmarkStart w:id="309" w:name="_Toc46771664"/>
      <w:r>
        <w:rPr>
          <w:rFonts w:hint="eastAsia" w:ascii="宋体" w:hAnsi="宋体" w:eastAsia="宋体" w:cs="宋体"/>
          <w:b/>
          <w:bCs/>
          <w:color w:val="auto"/>
          <w:kern w:val="2"/>
          <w:sz w:val="24"/>
          <w:szCs w:val="24"/>
          <w:highlight w:val="none"/>
          <w:lang w:val="en-US" w:eastAsia="zh-CN" w:bidi="ar-SA"/>
        </w:rPr>
        <w:t>（五）</w:t>
      </w:r>
      <w:bookmarkEnd w:id="302"/>
      <w:r>
        <w:rPr>
          <w:rFonts w:hint="eastAsia" w:ascii="宋体" w:hAnsi="宋体" w:eastAsia="宋体" w:cs="宋体"/>
          <w:b/>
          <w:bCs/>
          <w:color w:val="auto"/>
          <w:kern w:val="2"/>
          <w:sz w:val="24"/>
          <w:szCs w:val="24"/>
          <w:highlight w:val="none"/>
          <w:lang w:val="en-US" w:eastAsia="zh-CN" w:bidi="ar-SA"/>
        </w:rPr>
        <w:t>响应文件开启</w:t>
      </w:r>
      <w:bookmarkEnd w:id="303"/>
    </w:p>
    <w:p w14:paraId="750D725B">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Hlk161704700"/>
      <w:r>
        <w:rPr>
          <w:rFonts w:hint="eastAsia" w:ascii="宋体" w:hAnsi="宋体" w:eastAsia="宋体" w:cs="宋体"/>
          <w:b/>
          <w:bCs/>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bCs/>
          <w:color w:val="auto"/>
          <w:sz w:val="24"/>
          <w:szCs w:val="24"/>
          <w:highlight w:val="none"/>
        </w:rPr>
      </w:pPr>
      <w:bookmarkStart w:id="311" w:name="_Toc140132781"/>
      <w:r>
        <w:rPr>
          <w:rFonts w:hint="eastAsia" w:ascii="宋体" w:hAnsi="宋体" w:eastAsia="宋体" w:cs="宋体"/>
          <w:color w:val="auto"/>
          <w:sz w:val="24"/>
          <w:szCs w:val="24"/>
          <w:highlight w:val="none"/>
        </w:rPr>
        <w:t>24.1供应商应按照“</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”中的要求参与开启。</w:t>
      </w:r>
      <w:bookmarkEnd w:id="311"/>
    </w:p>
    <w:p w14:paraId="44C062A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161600316"/>
      <w:bookmarkStart w:id="313" w:name="_Toc140132782"/>
      <w:r>
        <w:rPr>
          <w:rFonts w:hint="eastAsia" w:ascii="宋体" w:hAnsi="宋体" w:eastAsia="宋体" w:cs="宋体"/>
          <w:b/>
          <w:bCs/>
          <w:color w:val="auto"/>
          <w:kern w:val="2"/>
          <w:sz w:val="24"/>
          <w:szCs w:val="24"/>
          <w:highlight w:val="none"/>
          <w:lang w:val="en-US" w:eastAsia="zh-CN" w:bidi="ar-SA"/>
        </w:rPr>
        <w:t>25.开启时间和地点</w:t>
      </w:r>
      <w:bookmarkEnd w:id="312"/>
      <w:bookmarkEnd w:id="313"/>
    </w:p>
    <w:p w14:paraId="19FC62D6">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规</w:t>
      </w:r>
      <w:r>
        <w:rPr>
          <w:rFonts w:hint="eastAsia" w:ascii="宋体" w:hAnsi="宋体" w:eastAsia="宋体" w:cs="宋体"/>
          <w:color w:val="auto"/>
          <w:sz w:val="24"/>
          <w:szCs w:val="24"/>
          <w:highlight w:val="none"/>
          <w:lang w:val="zh-CN"/>
        </w:rPr>
        <w:t>定的</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lang w:val="zh-CN"/>
        </w:rPr>
        <w:t>响应文件截止时间、开启时间及地点，采购代理机构通过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kern w:val="2"/>
          <w:sz w:val="24"/>
          <w:szCs w:val="24"/>
          <w:highlight w:val="none"/>
        </w:rPr>
        <w:t>的“政采云远程开标大厅”</w:t>
      </w:r>
      <w:r>
        <w:rPr>
          <w:rFonts w:hint="eastAsia" w:ascii="宋体" w:hAnsi="宋体" w:eastAsia="宋体" w:cs="宋体"/>
          <w:color w:val="auto"/>
          <w:sz w:val="24"/>
          <w:szCs w:val="24"/>
          <w:highlight w:val="none"/>
          <w:lang w:val="zh-CN"/>
        </w:rPr>
        <w:t>组织响应文件开启工作。</w:t>
      </w:r>
    </w:p>
    <w:p w14:paraId="66534CB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25.2响应文件开启：</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25.3规定的时间内，非因</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zh-CN" w:eastAsia="zh-CN"/>
        </w:rPr>
        <w:t>政府采购电子交易云平台</w:t>
      </w:r>
      <w:r>
        <w:rPr>
          <w:rFonts w:hint="eastAsia" w:ascii="宋体" w:hAnsi="宋体" w:eastAsia="宋体" w:cs="宋体"/>
          <w:color w:val="auto"/>
          <w:sz w:val="24"/>
          <w:szCs w:val="24"/>
          <w:highlight w:val="none"/>
        </w:rPr>
        <w:t>原因造成响应文件未解密的，视为供应商撤回响应文件。</w:t>
      </w:r>
      <w:r>
        <w:rPr>
          <w:rFonts w:hint="eastAsia" w:ascii="宋体" w:hAnsi="宋体" w:eastAsia="宋体" w:cs="宋体"/>
          <w:color w:val="auto"/>
          <w:sz w:val="24"/>
          <w:szCs w:val="24"/>
          <w:highlight w:val="none"/>
          <w:lang w:val="en-US" w:eastAsia="zh-CN"/>
        </w:rPr>
        <w:t>供应商不足3家的，不予解密；</w:t>
      </w:r>
      <w:r>
        <w:rPr>
          <w:rFonts w:hint="eastAsia" w:ascii="宋体" w:hAnsi="宋体" w:eastAsia="宋体" w:cs="宋体"/>
          <w:color w:val="auto"/>
          <w:sz w:val="24"/>
          <w:szCs w:val="24"/>
          <w:highlight w:val="none"/>
        </w:rPr>
        <w:t>停止解密后，已解密开启的响应文件不足3家的，应当终止采购活动。公开招标的货物和服务项目，招标过程中提交投标文件或者经评审实质性响应招标文件要求的供应商只有2家时，经本级财政部门批准后采用竞争性谈判方式采购的可以为2家</w:t>
      </w:r>
      <w:r>
        <w:rPr>
          <w:rFonts w:hint="eastAsia" w:cs="宋体"/>
          <w:color w:val="auto"/>
          <w:sz w:val="24"/>
          <w:szCs w:val="24"/>
          <w:highlight w:val="none"/>
          <w:lang w:eastAsia="zh-CN"/>
        </w:rPr>
        <w:t>。</w:t>
      </w:r>
    </w:p>
    <w:p w14:paraId="4607536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会议中提出询问或者回避申请。采购人、采购代理机构对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授权代表提出的询问或者回避申请应当及时处理。</w:t>
      </w:r>
    </w:p>
    <w:p w14:paraId="0486AA5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lang w:val="en-US" w:eastAsia="zh-CN"/>
        </w:rPr>
        <w:t>5供应商</w:t>
      </w:r>
      <w:r>
        <w:rPr>
          <w:rFonts w:hint="eastAsia" w:ascii="宋体" w:hAnsi="宋体" w:eastAsia="宋体" w:cs="宋体"/>
          <w:color w:val="auto"/>
          <w:sz w:val="24"/>
          <w:szCs w:val="24"/>
          <w:highlight w:val="none"/>
        </w:rPr>
        <w:t>未参加开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的，视同认可开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结果。</w:t>
      </w:r>
    </w:p>
    <w:bookmarkEnd w:id="304"/>
    <w:bookmarkEnd w:id="305"/>
    <w:bookmarkEnd w:id="306"/>
    <w:bookmarkEnd w:id="307"/>
    <w:bookmarkEnd w:id="308"/>
    <w:bookmarkEnd w:id="309"/>
    <w:bookmarkEnd w:id="310"/>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4" w:name="_Toc19270"/>
      <w:bookmarkStart w:id="315" w:name="_Toc140132785"/>
      <w:bookmarkStart w:id="316" w:name="_Toc155185877"/>
      <w:bookmarkStart w:id="317" w:name="_Toc163492854"/>
      <w:r>
        <w:rPr>
          <w:rFonts w:hint="eastAsia" w:ascii="宋体" w:hAnsi="宋体" w:eastAsia="宋体" w:cs="宋体"/>
          <w:b/>
          <w:bCs/>
          <w:color w:val="auto"/>
          <w:kern w:val="2"/>
          <w:sz w:val="24"/>
          <w:szCs w:val="24"/>
          <w:highlight w:val="none"/>
          <w:lang w:val="en-US" w:eastAsia="zh-CN" w:bidi="ar-SA"/>
        </w:rPr>
        <w:t>（六）资格审查</w:t>
      </w:r>
      <w:bookmarkEnd w:id="314"/>
      <w:bookmarkEnd w:id="315"/>
      <w:bookmarkEnd w:id="316"/>
      <w:bookmarkEnd w:id="317"/>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8" w:name="_Toc163492855"/>
      <w:r>
        <w:rPr>
          <w:rFonts w:hint="eastAsia" w:ascii="宋体" w:hAnsi="宋体" w:eastAsia="宋体" w:cs="宋体"/>
          <w:b/>
          <w:bCs/>
          <w:color w:val="auto"/>
          <w:kern w:val="2"/>
          <w:sz w:val="24"/>
          <w:szCs w:val="24"/>
          <w:highlight w:val="none"/>
          <w:lang w:val="en-US" w:eastAsia="zh-CN" w:bidi="ar-SA"/>
        </w:rPr>
        <w:t>26.资格审查及审查主体</w:t>
      </w:r>
      <w:bookmarkEnd w:id="318"/>
    </w:p>
    <w:p w14:paraId="3F6E8AD4">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19"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依据法律法规和本</w:t>
      </w:r>
      <w:r>
        <w:rPr>
          <w:rFonts w:hint="eastAsia" w:ascii="宋体" w:hAnsi="宋体" w:eastAsia="宋体" w:cs="宋体"/>
          <w:color w:val="auto"/>
          <w:sz w:val="24"/>
          <w:szCs w:val="24"/>
          <w:highlight w:val="none"/>
          <w:lang w:val="en-US" w:eastAsia="zh-CN"/>
        </w:rPr>
        <w:t>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文件的规定，依法对</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资格进行审查，以确定</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是否具备</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资格。</w:t>
      </w:r>
      <w:bookmarkEnd w:id="319"/>
    </w:p>
    <w:p w14:paraId="6F7626D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20"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val="zh-CN"/>
        </w:rPr>
        <w:t>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r>
        <w:rPr>
          <w:rFonts w:hint="eastAsia" w:ascii="宋体" w:hAnsi="宋体" w:eastAsia="宋体" w:cs="宋体"/>
          <w:color w:val="auto"/>
          <w:sz w:val="24"/>
          <w:szCs w:val="24"/>
          <w:highlight w:val="none"/>
        </w:rPr>
        <w:t>”的规定进行。</w:t>
      </w:r>
      <w:bookmarkEnd w:id="320"/>
    </w:p>
    <w:p w14:paraId="44D43B82">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bookmarkStart w:id="321"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321"/>
    </w:p>
    <w:p w14:paraId="272F167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资格审查合格</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不足3家的，不得评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2" w:name="_Toc155185878"/>
      <w:bookmarkStart w:id="323" w:name="_Toc140132789"/>
      <w:bookmarkStart w:id="324" w:name="_Toc163492856"/>
      <w:bookmarkStart w:id="325" w:name="_Toc11374"/>
      <w:r>
        <w:rPr>
          <w:rFonts w:hint="eastAsia" w:ascii="宋体" w:hAnsi="宋体" w:eastAsia="宋体" w:cs="宋体"/>
          <w:b/>
          <w:bCs/>
          <w:color w:val="auto"/>
          <w:kern w:val="2"/>
          <w:sz w:val="24"/>
          <w:szCs w:val="24"/>
          <w:highlight w:val="none"/>
          <w:lang w:val="en-US" w:eastAsia="zh-CN" w:bidi="ar-SA"/>
        </w:rPr>
        <w:t>（七）项目评</w:t>
      </w:r>
      <w:bookmarkEnd w:id="322"/>
      <w:bookmarkEnd w:id="323"/>
      <w:bookmarkEnd w:id="324"/>
      <w:r>
        <w:rPr>
          <w:rFonts w:hint="eastAsia" w:ascii="宋体" w:hAnsi="宋体" w:eastAsia="宋体" w:cs="宋体"/>
          <w:b/>
          <w:bCs/>
          <w:color w:val="auto"/>
          <w:kern w:val="2"/>
          <w:sz w:val="24"/>
          <w:szCs w:val="24"/>
          <w:highlight w:val="none"/>
          <w:lang w:val="en-US" w:eastAsia="zh-CN" w:bidi="ar-SA"/>
        </w:rPr>
        <w:t>审</w:t>
      </w:r>
      <w:bookmarkEnd w:id="325"/>
    </w:p>
    <w:p w14:paraId="4C04D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w:t>
      </w:r>
      <w:r>
        <w:rPr>
          <w:rFonts w:hint="eastAsia" w:ascii="宋体" w:hAnsi="宋体" w:eastAsia="宋体" w:cs="宋体"/>
          <w:snapToGrid w:val="0"/>
          <w:color w:val="auto"/>
          <w:sz w:val="24"/>
          <w:szCs w:val="24"/>
          <w:highlight w:val="none"/>
          <w:lang w:val="en-US" w:eastAsia="zh-CN"/>
        </w:rPr>
        <w:t>评审方法：谈判小组与符合资格条件的供应商就采购货物、工程和服务事宜进行谈判，供应商按照谈判文件的要求提交响应文件和最后报价，采购人从谈判小组提出的成交候选人中确定成交供应商。</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本</w:t>
      </w:r>
      <w:r>
        <w:rPr>
          <w:rFonts w:hint="eastAsia" w:ascii="宋体" w:hAnsi="宋体" w:eastAsia="宋体" w:cs="宋体"/>
          <w:snapToGrid w:val="0"/>
          <w:color w:val="auto"/>
          <w:sz w:val="24"/>
          <w:szCs w:val="24"/>
          <w:highlight w:val="none"/>
          <w:lang w:val="zh-CN"/>
        </w:rPr>
        <w:t>项目评审方法、程序及标准详见“第</w:t>
      </w:r>
      <w:r>
        <w:rPr>
          <w:rFonts w:hint="eastAsia" w:ascii="宋体" w:hAnsi="宋体" w:eastAsia="宋体" w:cs="宋体"/>
          <w:snapToGrid w:val="0"/>
          <w:color w:val="auto"/>
          <w:sz w:val="24"/>
          <w:szCs w:val="24"/>
          <w:highlight w:val="none"/>
          <w:lang w:val="en-US" w:eastAsia="zh-CN"/>
        </w:rPr>
        <w:t>四</w:t>
      </w:r>
      <w:r>
        <w:rPr>
          <w:rFonts w:hint="eastAsia" w:ascii="宋体" w:hAnsi="宋体" w:eastAsia="宋体" w:cs="宋体"/>
          <w:snapToGrid w:val="0"/>
          <w:color w:val="auto"/>
          <w:sz w:val="24"/>
          <w:szCs w:val="24"/>
          <w:highlight w:val="none"/>
          <w:lang w:val="zh-CN"/>
        </w:rPr>
        <w:t>章 评审</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2</w:t>
      </w:r>
      <w:r>
        <w:rPr>
          <w:rFonts w:hint="eastAsia" w:ascii="宋体" w:hAnsi="宋体" w:eastAsia="宋体"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准备：供应商应当按照“</w:t>
      </w:r>
      <w:r>
        <w:rPr>
          <w:rFonts w:hint="eastAsia" w:ascii="宋体" w:hAnsi="宋体" w:eastAsia="宋体" w:cs="宋体"/>
          <w:snapToGrid w:val="0"/>
          <w:color w:val="auto"/>
          <w:sz w:val="24"/>
          <w:szCs w:val="24"/>
          <w:highlight w:val="none"/>
          <w:lang w:val="zh-CN" w:eastAsia="zh-CN"/>
        </w:rPr>
        <w:t>第</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lang w:val="zh-CN" w:eastAsia="zh-CN"/>
        </w:rPr>
        <w:t xml:space="preserve">章 </w:t>
      </w:r>
      <w:r>
        <w:rPr>
          <w:rFonts w:hint="eastAsia" w:ascii="宋体" w:hAnsi="宋体" w:eastAsia="宋体" w:cs="宋体"/>
          <w:snapToGrid w:val="0"/>
          <w:color w:val="auto"/>
          <w:sz w:val="24"/>
          <w:szCs w:val="24"/>
          <w:highlight w:val="none"/>
          <w:lang w:val="en-US" w:eastAsia="zh-CN"/>
        </w:rPr>
        <w:t>供应商须知</w:t>
      </w:r>
      <w:r>
        <w:rPr>
          <w:rFonts w:hint="eastAsia" w:ascii="宋体" w:hAnsi="宋体" w:eastAsia="宋体" w:cs="宋体"/>
          <w:snapToGrid w:val="0"/>
          <w:color w:val="auto"/>
          <w:sz w:val="24"/>
          <w:szCs w:val="24"/>
          <w:highlight w:val="none"/>
          <w:lang w:val="zh-CN"/>
        </w:rPr>
        <w:t>”</w:t>
      </w:r>
      <w:r>
        <w:rPr>
          <w:rFonts w:hint="eastAsia" w:ascii="宋体" w:hAnsi="宋体" w:eastAsia="宋体" w:cs="宋体"/>
          <w:snapToGrid w:val="0"/>
          <w:color w:val="auto"/>
          <w:sz w:val="24"/>
          <w:szCs w:val="24"/>
          <w:highlight w:val="none"/>
          <w:lang w:val="en-US" w:eastAsia="zh-CN"/>
        </w:rPr>
        <w:t>的</w:t>
      </w:r>
      <w:r>
        <w:rPr>
          <w:rFonts w:hint="eastAsia" w:ascii="宋体" w:hAnsi="宋体" w:eastAsia="宋体" w:cs="宋体"/>
          <w:snapToGrid w:val="0"/>
          <w:color w:val="auto"/>
          <w:sz w:val="24"/>
          <w:szCs w:val="24"/>
          <w:highlight w:val="none"/>
          <w:lang w:val="zh-CN"/>
        </w:rPr>
        <w:t>要求提前准备好</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所需的设备，确保设备稳定可靠、互联网畅通。</w:t>
      </w:r>
      <w:r>
        <w:rPr>
          <w:rFonts w:hint="eastAsia" w:ascii="宋体" w:hAnsi="宋体" w:eastAsia="宋体" w:cs="宋体"/>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snapToGrid w:val="0"/>
          <w:color w:val="auto"/>
          <w:sz w:val="24"/>
          <w:szCs w:val="24"/>
          <w:highlight w:val="none"/>
          <w:lang w:val="zh-CN"/>
        </w:rPr>
        <w:t>进入交易系统“</w:t>
      </w:r>
      <w:r>
        <w:rPr>
          <w:rFonts w:hint="eastAsia" w:ascii="宋体" w:hAnsi="宋体" w:eastAsia="宋体" w:cs="宋体"/>
          <w:snapToGrid w:val="0"/>
          <w:color w:val="auto"/>
          <w:sz w:val="24"/>
          <w:szCs w:val="24"/>
          <w:highlight w:val="none"/>
          <w:lang w:val="en-US" w:eastAsia="zh-CN"/>
        </w:rPr>
        <w:t>开</w:t>
      </w:r>
      <w:r>
        <w:rPr>
          <w:rFonts w:hint="eastAsia" w:ascii="宋体" w:hAnsi="宋体" w:eastAsia="宋体" w:cs="宋体"/>
          <w:snapToGrid w:val="0"/>
          <w:color w:val="auto"/>
          <w:sz w:val="24"/>
          <w:szCs w:val="24"/>
          <w:highlight w:val="none"/>
          <w:lang w:val="zh-CN"/>
        </w:rPr>
        <w:t>标大厅”，准时参加在线</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，按照工作人员提示进行相关操作。未按上述要求进行的，导致的后果由供应商自行承担。</w:t>
      </w:r>
    </w:p>
    <w:p w14:paraId="21D93F4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6" w:name="_Toc140132790"/>
      <w:bookmarkStart w:id="327" w:name="_Toc163492857"/>
      <w:r>
        <w:rPr>
          <w:rFonts w:hint="eastAsia" w:ascii="宋体" w:hAnsi="宋体" w:eastAsia="宋体" w:cs="宋体"/>
          <w:b/>
          <w:bCs/>
          <w:color w:val="auto"/>
          <w:kern w:val="2"/>
          <w:sz w:val="24"/>
          <w:szCs w:val="24"/>
          <w:highlight w:val="none"/>
          <w:lang w:val="en-US" w:eastAsia="zh-CN" w:bidi="ar-SA"/>
        </w:rPr>
        <w:t>28.</w:t>
      </w:r>
      <w:bookmarkEnd w:id="326"/>
      <w:bookmarkEnd w:id="327"/>
      <w:r>
        <w:rPr>
          <w:rFonts w:hint="eastAsia" w:ascii="宋体" w:hAnsi="宋体" w:eastAsia="宋体" w:cs="宋体"/>
          <w:b/>
          <w:bCs/>
          <w:color w:val="auto"/>
          <w:kern w:val="2"/>
          <w:sz w:val="24"/>
          <w:szCs w:val="24"/>
          <w:highlight w:val="none"/>
          <w:lang w:val="en-US" w:eastAsia="zh-CN" w:bidi="ar-SA"/>
        </w:rPr>
        <w:t>谈判小组</w:t>
      </w:r>
    </w:p>
    <w:p w14:paraId="6C1089B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.1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小组由采购人代表和评审专家共3人以上单数组成，其中评审专家人数不得少于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小组成员总数的2/3。采购人代表不得以评审专家身份参加本部门或本单位采购项目的评审。采购代理机构人员不得参加本机构代理的采购项目的评审。</w:t>
      </w:r>
    </w:p>
    <w:p w14:paraId="301CAD8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小组成员有下列情形之一的，应当回避：</w:t>
      </w:r>
    </w:p>
    <w:p w14:paraId="0656AC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存在劳动关系；</w:t>
      </w:r>
    </w:p>
    <w:p w14:paraId="55B6A1B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w:t>
      </w:r>
      <w:r>
        <w:rPr>
          <w:rFonts w:hint="eastAsia" w:ascii="宋体" w:hAnsi="宋体" w:eastAsia="宋体" w:cs="宋体"/>
          <w:color w:val="auto"/>
          <w:sz w:val="24"/>
          <w:szCs w:val="24"/>
          <w:highlight w:val="none"/>
          <w:lang w:val="en-US" w:eastAsia="zh-CN"/>
        </w:rPr>
        <w:t>谈判供应商</w:t>
      </w:r>
      <w:r>
        <w:rPr>
          <w:rFonts w:hint="eastAsia" w:ascii="宋体" w:hAnsi="宋体" w:eastAsia="宋体" w:cs="宋体"/>
          <w:color w:val="auto"/>
          <w:sz w:val="24"/>
          <w:szCs w:val="24"/>
          <w:highlight w:val="none"/>
        </w:rPr>
        <w:t>的董事、监事；</w:t>
      </w:r>
    </w:p>
    <w:p w14:paraId="61A1D2B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的控股股东或者实际控制人；</w:t>
      </w:r>
    </w:p>
    <w:p w14:paraId="2961D58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8" w:name="_Toc140132791"/>
      <w:bookmarkStart w:id="329" w:name="_Toc163492858"/>
      <w:r>
        <w:rPr>
          <w:rFonts w:hint="eastAsia" w:ascii="宋体" w:hAnsi="宋体" w:eastAsia="宋体" w:cs="宋体"/>
          <w:b/>
          <w:bCs/>
          <w:color w:val="auto"/>
          <w:kern w:val="2"/>
          <w:sz w:val="24"/>
          <w:szCs w:val="24"/>
          <w:highlight w:val="none"/>
          <w:lang w:val="en-US" w:eastAsia="zh-CN" w:bidi="ar-SA"/>
        </w:rPr>
        <w:t>29.</w:t>
      </w:r>
      <w:bookmarkEnd w:id="328"/>
      <w:bookmarkEnd w:id="329"/>
      <w:r>
        <w:rPr>
          <w:rFonts w:hint="eastAsia" w:ascii="宋体" w:hAnsi="宋体" w:eastAsia="宋体" w:cs="宋体"/>
          <w:b/>
          <w:bCs/>
          <w:color w:val="auto"/>
          <w:kern w:val="2"/>
          <w:sz w:val="24"/>
          <w:szCs w:val="24"/>
          <w:highlight w:val="none"/>
          <w:lang w:val="en-US" w:eastAsia="zh-CN" w:bidi="ar-SA"/>
        </w:rPr>
        <w:t>评审</w:t>
      </w:r>
    </w:p>
    <w:p w14:paraId="418DE4C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 谈判</w:t>
      </w:r>
      <w:r>
        <w:rPr>
          <w:rFonts w:hint="eastAsia" w:ascii="宋体" w:hAnsi="宋体" w:eastAsia="宋体" w:cs="宋体"/>
          <w:color w:val="auto"/>
          <w:sz w:val="24"/>
          <w:szCs w:val="24"/>
          <w:highlight w:val="none"/>
        </w:rPr>
        <w:t>小组按照“第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文件进行评审。“第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方法及标准”没有规定的方法、评审因素和标准，不作为评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依据。</w:t>
      </w:r>
      <w:r>
        <w:rPr>
          <w:rFonts w:hint="eastAsia" w:cs="宋体"/>
          <w:color w:val="auto"/>
          <w:sz w:val="24"/>
          <w:szCs w:val="24"/>
          <w:highlight w:val="none"/>
          <w:lang w:val="en-US" w:eastAsia="zh-CN"/>
        </w:rPr>
        <w:t>本项目谈判轮次及谈判顺序详“供应商须知前附表”。</w:t>
      </w:r>
    </w:p>
    <w:p w14:paraId="1A9007D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须知前附表”规定的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候选人数量在评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报告中向采购人推荐</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1E63454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 开启之后，直到签订合同止，凡是属于审查、澄清、评价和比较</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的有关资料以及确定成交意向等，均不得向供应商或者其他与评审无关的人员透露。</w:t>
      </w:r>
    </w:p>
    <w:p w14:paraId="57927CB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在确定成交人之前，供应商试图在响应文件审查、澄清、比较和评审时对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w:t>
      </w:r>
      <w:r>
        <w:rPr>
          <w:rFonts w:hint="eastAsia" w:ascii="宋体" w:hAnsi="宋体" w:eastAsia="宋体" w:cs="宋体"/>
          <w:color w:val="auto"/>
          <w:sz w:val="24"/>
          <w:szCs w:val="24"/>
          <w:highlight w:val="none"/>
          <w:lang w:val="en-US" w:eastAsia="zh-CN"/>
        </w:rPr>
        <w:t>、采购人和采购代理机构施加任何影响都可能导致其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en-US" w:eastAsia="zh-CN"/>
        </w:rPr>
        <w:t>。</w:t>
      </w:r>
    </w:p>
    <w:p w14:paraId="32A3200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电子招投标的应急措施</w:t>
      </w:r>
    </w:p>
    <w:p w14:paraId="52525CD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29.5.1电子开启、评审如出现下列原因，导致系统无法正常运行或无法正常评审时，应采取应急措施。</w:t>
      </w:r>
    </w:p>
    <w:p w14:paraId="3D99F56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供应商瑕疵滞后发现的处理规则</w:t>
      </w:r>
    </w:p>
    <w:p w14:paraId="11E85EA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0" w:name="_Toc109899563"/>
      <w:bookmarkStart w:id="331" w:name="_Toc109900401"/>
      <w:bookmarkStart w:id="332" w:name="_Toc470172692"/>
      <w:bookmarkStart w:id="333" w:name="_Toc163493616"/>
      <w:bookmarkStart w:id="334" w:name="_Toc46771670"/>
      <w:bookmarkStart w:id="335" w:name="_Toc109897464"/>
      <w:bookmarkStart w:id="336" w:name="_Toc3567"/>
      <w:bookmarkStart w:id="337" w:name="_Toc109899982"/>
      <w:r>
        <w:rPr>
          <w:rFonts w:hint="eastAsia" w:ascii="宋体" w:hAnsi="宋体" w:eastAsia="宋体" w:cs="宋体"/>
          <w:b/>
          <w:bCs/>
          <w:color w:val="auto"/>
          <w:kern w:val="2"/>
          <w:sz w:val="24"/>
          <w:szCs w:val="24"/>
          <w:highlight w:val="none"/>
          <w:lang w:val="en-US" w:eastAsia="zh-CN" w:bidi="ar-SA"/>
        </w:rPr>
        <w:t>（八）成交</w:t>
      </w:r>
      <w:bookmarkEnd w:id="330"/>
      <w:bookmarkEnd w:id="331"/>
      <w:bookmarkEnd w:id="332"/>
      <w:bookmarkEnd w:id="333"/>
      <w:bookmarkEnd w:id="334"/>
      <w:bookmarkEnd w:id="335"/>
      <w:bookmarkEnd w:id="336"/>
      <w:bookmarkEnd w:id="337"/>
    </w:p>
    <w:p w14:paraId="59C81E92">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8" w:name="_Toc109899564"/>
      <w:bookmarkStart w:id="339" w:name="_Toc109900402"/>
      <w:bookmarkStart w:id="340" w:name="_Toc46771671"/>
      <w:bookmarkStart w:id="341" w:name="_Toc109899983"/>
      <w:bookmarkStart w:id="342" w:name="_Toc46772272"/>
      <w:bookmarkStart w:id="343" w:name="_Toc109897465"/>
      <w:bookmarkStart w:id="344" w:name="_Toc48688820"/>
      <w:bookmarkStart w:id="345" w:name="_Toc52960584"/>
      <w:bookmarkStart w:id="346" w:name="_Toc52962758"/>
      <w:bookmarkStart w:id="347" w:name="_Toc48846140"/>
      <w:bookmarkStart w:id="348" w:name="_Toc51674242"/>
      <w:bookmarkStart w:id="349" w:name="_Hlk143533953"/>
      <w:r>
        <w:rPr>
          <w:rFonts w:hint="eastAsia" w:ascii="宋体" w:hAnsi="宋体" w:eastAsia="宋体" w:cs="宋体"/>
          <w:b/>
          <w:bCs/>
          <w:color w:val="auto"/>
          <w:kern w:val="2"/>
          <w:sz w:val="24"/>
          <w:szCs w:val="24"/>
          <w:highlight w:val="none"/>
          <w:lang w:val="en-US" w:eastAsia="zh-CN" w:bidi="ar-SA"/>
        </w:rPr>
        <w:t>30.确定成交供应商</w:t>
      </w:r>
      <w:bookmarkEnd w:id="338"/>
      <w:bookmarkEnd w:id="339"/>
      <w:bookmarkEnd w:id="340"/>
      <w:bookmarkEnd w:id="341"/>
      <w:bookmarkEnd w:id="342"/>
      <w:bookmarkEnd w:id="343"/>
      <w:bookmarkEnd w:id="344"/>
      <w:bookmarkEnd w:id="345"/>
      <w:bookmarkEnd w:id="346"/>
      <w:bookmarkEnd w:id="347"/>
      <w:bookmarkEnd w:id="34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.1确定成交供应商详见“供应商须知前附表”。</w:t>
      </w:r>
      <w:r>
        <w:rPr>
          <w:rFonts w:hint="eastAsia" w:cs="宋体"/>
          <w:snapToGrid w:val="0"/>
          <w:color w:val="auto"/>
          <w:sz w:val="24"/>
          <w:szCs w:val="24"/>
          <w:highlight w:val="none"/>
          <w:lang w:val="en-US" w:eastAsia="zh-CN"/>
        </w:rPr>
        <w:t>成交候选人并列的，按照</w:t>
      </w:r>
      <w:r>
        <w:rPr>
          <w:rFonts w:hint="eastAsia" w:ascii="宋体" w:hAnsi="宋体" w:eastAsia="宋体" w:cs="宋体"/>
          <w:snapToGrid w:val="0"/>
          <w:color w:val="auto"/>
          <w:sz w:val="24"/>
          <w:szCs w:val="24"/>
          <w:highlight w:val="none"/>
          <w:lang w:val="zh-CN"/>
        </w:rPr>
        <w:t>“供应商须知前附表”</w:t>
      </w:r>
      <w:r>
        <w:rPr>
          <w:rFonts w:hint="eastAsia" w:cs="宋体"/>
          <w:snapToGrid w:val="0"/>
          <w:color w:val="auto"/>
          <w:sz w:val="24"/>
          <w:szCs w:val="24"/>
          <w:highlight w:val="none"/>
          <w:lang w:val="en-US" w:eastAsia="zh-CN"/>
        </w:rPr>
        <w:t>要求确定成交供应商。</w:t>
      </w:r>
    </w:p>
    <w:p w14:paraId="4B64349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31.成交结果公告</w:t>
      </w:r>
    </w:p>
    <w:p w14:paraId="32E98E3A">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bidi="ar"/>
        </w:rPr>
      </w:pPr>
      <w:r>
        <w:rPr>
          <w:rFonts w:hint="eastAsia" w:ascii="宋体" w:hAnsi="宋体" w:eastAsia="宋体" w:cs="宋体"/>
          <w:snapToGrid w:val="0"/>
          <w:color w:val="auto"/>
          <w:sz w:val="24"/>
          <w:szCs w:val="24"/>
          <w:highlight w:val="none"/>
          <w:lang w:val="en-US" w:eastAsia="zh-CN"/>
        </w:rPr>
        <w:t>31</w:t>
      </w:r>
      <w:r>
        <w:rPr>
          <w:rFonts w:hint="eastAsia" w:ascii="宋体" w:hAnsi="宋体" w:eastAsia="宋体" w:cs="宋体"/>
          <w:snapToGrid w:val="0"/>
          <w:color w:val="auto"/>
          <w:sz w:val="24"/>
          <w:szCs w:val="24"/>
          <w:highlight w:val="none"/>
          <w:lang w:val="zh-CN"/>
        </w:rPr>
        <w:t>.1</w:t>
      </w:r>
      <w:r>
        <w:rPr>
          <w:rFonts w:hint="eastAsia" w:ascii="宋体" w:hAnsi="宋体" w:eastAsia="宋体" w:cs="宋体"/>
          <w:color w:val="auto"/>
          <w:sz w:val="24"/>
          <w:szCs w:val="24"/>
          <w:highlight w:val="none"/>
          <w:lang w:bidi="ar"/>
        </w:rPr>
        <w:t>采购人或者采购代理机构应当在成交供应商确定后2个工作日内，在省级以上财政部门指定的政府采购信息发布媒体上公告成交结果，</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bidi="ar"/>
        </w:rPr>
        <w:t>文件</w:t>
      </w:r>
      <w:r>
        <w:rPr>
          <w:rFonts w:hint="eastAsia" w:ascii="宋体" w:hAnsi="宋体" w:eastAsia="宋体" w:cs="宋体"/>
          <w:color w:val="auto"/>
          <w:sz w:val="24"/>
          <w:szCs w:val="24"/>
          <w:highlight w:val="none"/>
          <w:lang w:eastAsia="zh-CN" w:bidi="ar"/>
        </w:rPr>
        <w:t>、</w:t>
      </w:r>
      <w:r>
        <w:rPr>
          <w:rFonts w:hint="eastAsia" w:ascii="宋体" w:hAnsi="宋体" w:eastAsia="宋体" w:cs="宋体"/>
          <w:bCs/>
          <w:color w:val="auto"/>
          <w:sz w:val="24"/>
          <w:szCs w:val="24"/>
          <w:highlight w:val="none"/>
          <w:lang w:val="en-US" w:eastAsia="zh-CN"/>
        </w:rPr>
        <w:t>因落实政府采购政策等原因进行价格扣除后成交供应商的评审报价</w:t>
      </w:r>
      <w:r>
        <w:rPr>
          <w:rFonts w:hint="eastAsia" w:ascii="宋体" w:hAnsi="宋体" w:eastAsia="宋体" w:cs="宋体"/>
          <w:color w:val="auto"/>
          <w:sz w:val="24"/>
          <w:szCs w:val="24"/>
          <w:highlight w:val="none"/>
          <w:lang w:bidi="ar"/>
        </w:rPr>
        <w:t>随成交结果同时公告。</w:t>
      </w:r>
    </w:p>
    <w:p w14:paraId="5352A1F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，其“中小企业声明函”随成交结果同时公告。成交</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lang w:eastAsia="zh-CN"/>
        </w:rPr>
        <w:t>为残疾人福利性单位的，其“残疾人福利性单位声明函”随成交结果同时公告。</w:t>
      </w:r>
    </w:p>
    <w:p w14:paraId="4CB6B36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32.成交通知书</w:t>
      </w:r>
    </w:p>
    <w:p w14:paraId="3F3AC502">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en-US" w:eastAsia="zh-CN"/>
        </w:rPr>
        <w:t>32</w:t>
      </w:r>
      <w:r>
        <w:rPr>
          <w:rFonts w:hint="eastAsia" w:ascii="宋体" w:hAnsi="宋体" w:eastAsia="宋体" w:cs="宋体"/>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0" w:name="_Toc2288"/>
      <w:bookmarkStart w:id="351" w:name="_Toc163493617"/>
      <w:r>
        <w:rPr>
          <w:rFonts w:hint="eastAsia" w:ascii="宋体" w:hAnsi="宋体" w:eastAsia="宋体" w:cs="宋体"/>
          <w:b/>
          <w:bCs/>
          <w:color w:val="auto"/>
          <w:kern w:val="2"/>
          <w:sz w:val="24"/>
          <w:szCs w:val="24"/>
          <w:highlight w:val="none"/>
          <w:lang w:val="en-US" w:eastAsia="zh-CN" w:bidi="ar-SA"/>
        </w:rPr>
        <w:t>（九）签订合同</w:t>
      </w:r>
      <w:bookmarkEnd w:id="350"/>
      <w:bookmarkEnd w:id="351"/>
    </w:p>
    <w:p w14:paraId="6F871425">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2" w:name="_Toc48688821"/>
      <w:bookmarkStart w:id="353" w:name="_Toc52962759"/>
      <w:bookmarkStart w:id="354" w:name="_Toc109900403"/>
      <w:bookmarkStart w:id="355" w:name="_Toc46771672"/>
      <w:bookmarkStart w:id="356" w:name="_Toc109899984"/>
      <w:bookmarkStart w:id="357" w:name="_Toc109899565"/>
      <w:bookmarkStart w:id="358" w:name="_Toc48846141"/>
      <w:bookmarkStart w:id="359" w:name="_Toc52960585"/>
      <w:bookmarkStart w:id="360" w:name="_Toc46772273"/>
      <w:bookmarkStart w:id="361" w:name="_Toc51674243"/>
      <w:bookmarkStart w:id="362" w:name="_Toc109897466"/>
      <w:r>
        <w:rPr>
          <w:rFonts w:hint="eastAsia" w:ascii="宋体" w:hAnsi="宋体" w:eastAsia="宋体" w:cs="宋体"/>
          <w:b/>
          <w:bCs/>
          <w:color w:val="auto"/>
          <w:kern w:val="2"/>
          <w:sz w:val="24"/>
          <w:szCs w:val="24"/>
          <w:highlight w:val="none"/>
          <w:lang w:val="en-US" w:eastAsia="zh-CN" w:bidi="ar-SA"/>
        </w:rPr>
        <w:t>33.履约保证金</w:t>
      </w:r>
    </w:p>
    <w:p w14:paraId="2934878C">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.1在签订合同前，成交供应商应按“供应商须知前附表”规定的金额、担保形式和采购人认可的履约担保格式向采购人提交履约保证金。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.2成交供应商不能按本章第3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.1项要求提交履约担保的，视为放弃成交，给采购人造成损失的，成交供应商还应当承担民事责任。</w:t>
      </w:r>
    </w:p>
    <w:p w14:paraId="2B0382D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34.签订合同</w:t>
      </w:r>
      <w:bookmarkEnd w:id="352"/>
      <w:bookmarkEnd w:id="353"/>
      <w:bookmarkEnd w:id="354"/>
      <w:bookmarkEnd w:id="355"/>
      <w:bookmarkEnd w:id="356"/>
      <w:bookmarkEnd w:id="357"/>
      <w:bookmarkEnd w:id="358"/>
      <w:bookmarkEnd w:id="359"/>
      <w:bookmarkEnd w:id="360"/>
      <w:bookmarkEnd w:id="361"/>
      <w:bookmarkEnd w:id="362"/>
    </w:p>
    <w:p w14:paraId="343B0C1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zh-CN"/>
        </w:rPr>
        <w:t>3</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zh-CN"/>
        </w:rPr>
        <w:t>.1采购人与成交供应商应当在成交通知书发出之日起</w:t>
      </w:r>
      <w:r>
        <w:rPr>
          <w:rFonts w:hint="eastAsia" w:cs="宋体"/>
          <w:snapToGrid w:val="0"/>
          <w:color w:val="auto"/>
          <w:sz w:val="24"/>
          <w:szCs w:val="24"/>
          <w:highlight w:val="none"/>
          <w:lang w:val="en-US" w:eastAsia="zh-CN"/>
        </w:rPr>
        <w:t>30</w:t>
      </w:r>
      <w:r>
        <w:rPr>
          <w:rFonts w:hint="eastAsia" w:ascii="宋体" w:hAnsi="宋体" w:eastAsia="宋体" w:cs="宋体"/>
          <w:snapToGrid w:val="0"/>
          <w:color w:val="auto"/>
          <w:sz w:val="24"/>
          <w:szCs w:val="24"/>
          <w:highlight w:val="none"/>
          <w:lang w:val="zh-CN"/>
        </w:rPr>
        <w:t>日内，按照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val="zh-CN"/>
        </w:rPr>
        <w:t>文件确定的合同文本以及采购标的、规格型号、采购金额、采购数量、技术和服务要求等事项签订政府采购合同。</w:t>
      </w:r>
      <w:r>
        <w:rPr>
          <w:rFonts w:hint="eastAsia" w:ascii="宋体" w:hAnsi="宋体" w:eastAsia="宋体" w:cs="宋体"/>
          <w:color w:val="auto"/>
          <w:sz w:val="24"/>
          <w:szCs w:val="24"/>
          <w:highlight w:val="none"/>
        </w:rPr>
        <w:t>采购人因不可抗力原因迟延签订合同的，应当自不可抗力事由消除之日起7日内完成合同签订事宜。所签订的合同不得对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ascii="宋体" w:hAnsi="宋体" w:eastAsia="宋体" w:cs="宋体"/>
          <w:color w:val="auto"/>
          <w:sz w:val="24"/>
          <w:szCs w:val="24"/>
          <w:highlight w:val="none"/>
          <w:lang w:val="en-US" w:eastAsia="zh-CN"/>
        </w:rPr>
        <w:t>成交供应商响应</w:t>
      </w:r>
      <w:r>
        <w:rPr>
          <w:rFonts w:hint="eastAsia" w:ascii="宋体" w:hAnsi="宋体" w:eastAsia="宋体" w:cs="宋体"/>
          <w:color w:val="auto"/>
          <w:sz w:val="24"/>
          <w:szCs w:val="24"/>
          <w:highlight w:val="none"/>
        </w:rPr>
        <w:t>文件作实质性修改。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人无正当理由拒签合同，给采购人造成损失的，</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人还应当承担民事责任。</w:t>
      </w:r>
    </w:p>
    <w:p w14:paraId="1C3196D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成交供应商拒绝签订政府采购合同的，采购人可以</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lang w:val="zh-CN"/>
        </w:rPr>
        <w:t>《政府采购</w:t>
      </w:r>
      <w:r>
        <w:rPr>
          <w:rFonts w:hint="eastAsia" w:cs="宋体"/>
          <w:color w:val="auto"/>
          <w:sz w:val="24"/>
          <w:szCs w:val="24"/>
          <w:highlight w:val="none"/>
          <w:lang w:val="en-US" w:eastAsia="zh-CN"/>
        </w:rPr>
        <w:t>非招标采购方式</w:t>
      </w:r>
      <w:r>
        <w:rPr>
          <w:rFonts w:hint="eastAsia" w:ascii="宋体" w:hAnsi="宋体" w:eastAsia="宋体" w:cs="宋体"/>
          <w:color w:val="auto"/>
          <w:sz w:val="24"/>
          <w:szCs w:val="24"/>
          <w:highlight w:val="none"/>
          <w:lang w:val="zh-CN"/>
        </w:rPr>
        <w:t>管理办法》（</w:t>
      </w:r>
      <w:r>
        <w:rPr>
          <w:rFonts w:hint="eastAsia" w:cs="宋体"/>
          <w:color w:val="auto"/>
          <w:sz w:val="24"/>
          <w:szCs w:val="24"/>
          <w:highlight w:val="none"/>
          <w:lang w:val="en-US" w:eastAsia="zh-CN"/>
        </w:rPr>
        <w:t>财政部令7</w:t>
      </w:r>
      <w:r>
        <w:rPr>
          <w:rFonts w:hint="eastAsia" w:ascii="宋体" w:hAnsi="宋体" w:eastAsia="宋体" w:cs="宋体"/>
          <w:color w:val="auto"/>
          <w:sz w:val="24"/>
          <w:szCs w:val="24"/>
          <w:highlight w:val="none"/>
          <w:lang w:val="zh-CN"/>
        </w:rPr>
        <w:t>4号）第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十</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zh-CN"/>
        </w:rPr>
        <w:t>条</w:t>
      </w:r>
      <w:r>
        <w:rPr>
          <w:rFonts w:hint="eastAsia" w:cs="宋体"/>
          <w:color w:val="auto"/>
          <w:sz w:val="24"/>
          <w:szCs w:val="24"/>
          <w:highlight w:val="none"/>
          <w:lang w:val="en-US" w:eastAsia="zh-CN"/>
        </w:rPr>
        <w:t>第二款</w:t>
      </w:r>
      <w:r>
        <w:rPr>
          <w:rFonts w:hint="eastAsia" w:ascii="宋体" w:hAnsi="宋体" w:eastAsia="宋体" w:cs="宋体"/>
          <w:color w:val="auto"/>
          <w:sz w:val="24"/>
          <w:szCs w:val="24"/>
          <w:highlight w:val="none"/>
          <w:lang w:val="zh-CN"/>
        </w:rPr>
        <w:t>的规定确定其他供应商作为成交供应商并签订政府采购合同，也可以重新开展采购活动。拒绝签订政府采购合同的成交供应商不得参加对该项目重新开展的采购活动。</w:t>
      </w:r>
    </w:p>
    <w:p w14:paraId="28320F9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.3</w:t>
      </w:r>
      <w:r>
        <w:rPr>
          <w:rFonts w:hint="eastAsia" w:ascii="宋体" w:hAnsi="宋体" w:eastAsia="宋体" w:cs="宋体"/>
          <w:color w:val="auto"/>
          <w:sz w:val="24"/>
          <w:szCs w:val="24"/>
          <w:highlight w:val="none"/>
        </w:rPr>
        <w:t>采购人和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供应商不得向对方提出任何不合理的要求，作为签订合同的条件，双方不得私下订立背离合同实质性内容的协议。</w:t>
      </w:r>
    </w:p>
    <w:p w14:paraId="26D222D9">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34.4联合体成交的，联合体各方应当共同与采购人签订合同，就采购合同约定的事项向采购人承担连带责任。</w:t>
      </w:r>
    </w:p>
    <w:p w14:paraId="7F760399">
      <w:pPr>
        <w:pStyle w:val="35"/>
        <w:keepNext w:val="0"/>
        <w:keepLines w:val="0"/>
        <w:pageBreakBefore w:val="0"/>
        <w:widowControl w:val="0"/>
        <w:kinsoku/>
        <w:overflowPunct/>
        <w:topLinePunct w:val="0"/>
        <w:bidi w:val="0"/>
        <w:ind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34.5本项目的非主体、非关键性工作是否允许分包，见“供应商须知前附表”。</w:t>
      </w:r>
      <w:r>
        <w:rPr>
          <w:rFonts w:hint="eastAsia" w:ascii="宋体" w:hAnsi="宋体" w:eastAsia="宋体" w:cs="宋体"/>
          <w:color w:val="auto"/>
          <w:sz w:val="24"/>
          <w:szCs w:val="24"/>
          <w:highlight w:val="none"/>
        </w:rPr>
        <w:t>供应商未遵守竞争性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文件分包规定的，其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成交无效</w:t>
      </w:r>
      <w:r>
        <w:rPr>
          <w:rFonts w:hint="eastAsia" w:ascii="宋体" w:hAnsi="宋体" w:eastAsia="宋体" w:cs="宋体"/>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0ABFD586">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34.7采购人应于签订合同之日起2个工作日内在政采云平台备案公示。</w:t>
      </w:r>
    </w:p>
    <w:bookmarkEnd w:id="349"/>
    <w:p w14:paraId="4252B45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3" w:name="_Toc109899985"/>
      <w:bookmarkStart w:id="364" w:name="_Toc163493618"/>
      <w:bookmarkStart w:id="365" w:name="_Toc109900404"/>
      <w:bookmarkStart w:id="366" w:name="_Toc109899566"/>
      <w:bookmarkStart w:id="367" w:name="_Toc109897467"/>
      <w:bookmarkStart w:id="368" w:name="_Toc46771673"/>
      <w:bookmarkStart w:id="369" w:name="_Toc28173"/>
      <w:bookmarkStart w:id="370" w:name="_Toc470172693"/>
      <w:r>
        <w:rPr>
          <w:rFonts w:hint="eastAsia" w:ascii="宋体" w:hAnsi="宋体" w:eastAsia="宋体" w:cs="宋体"/>
          <w:b/>
          <w:bCs/>
          <w:color w:val="auto"/>
          <w:kern w:val="2"/>
          <w:sz w:val="24"/>
          <w:szCs w:val="24"/>
          <w:highlight w:val="none"/>
          <w:lang w:val="en-US" w:eastAsia="zh-CN" w:bidi="ar-SA"/>
        </w:rPr>
        <w:t>（十）质疑和投诉</w:t>
      </w:r>
      <w:bookmarkEnd w:id="363"/>
      <w:bookmarkEnd w:id="364"/>
      <w:bookmarkEnd w:id="365"/>
      <w:bookmarkEnd w:id="366"/>
      <w:bookmarkEnd w:id="367"/>
      <w:bookmarkEnd w:id="368"/>
      <w:bookmarkEnd w:id="369"/>
    </w:p>
    <w:p w14:paraId="000ACFE7">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1" w:name="_Toc109899567"/>
      <w:bookmarkStart w:id="372" w:name="_Toc51674245"/>
      <w:bookmarkStart w:id="373" w:name="_Toc52962761"/>
      <w:bookmarkStart w:id="374" w:name="_Toc48688823"/>
      <w:bookmarkStart w:id="375" w:name="_Toc46771674"/>
      <w:bookmarkStart w:id="376" w:name="_Toc52960587"/>
      <w:bookmarkStart w:id="377" w:name="_Toc109899986"/>
      <w:bookmarkStart w:id="378" w:name="_Toc109900405"/>
      <w:bookmarkStart w:id="379" w:name="_Toc109897468"/>
      <w:bookmarkStart w:id="380" w:name="_Toc46772275"/>
      <w:bookmarkStart w:id="381" w:name="_Toc48846143"/>
      <w:r>
        <w:rPr>
          <w:rFonts w:hint="eastAsia" w:ascii="宋体" w:hAnsi="宋体" w:eastAsia="宋体" w:cs="宋体"/>
          <w:b/>
          <w:bCs/>
          <w:color w:val="auto"/>
          <w:kern w:val="2"/>
          <w:sz w:val="24"/>
          <w:szCs w:val="24"/>
          <w:highlight w:val="none"/>
          <w:lang w:val="en-US" w:eastAsia="zh-CN" w:bidi="ar-SA"/>
        </w:rPr>
        <w:t>35.质疑</w:t>
      </w:r>
      <w:bookmarkEnd w:id="371"/>
      <w:bookmarkEnd w:id="372"/>
      <w:bookmarkEnd w:id="373"/>
      <w:bookmarkEnd w:id="374"/>
      <w:bookmarkEnd w:id="375"/>
      <w:bookmarkEnd w:id="376"/>
      <w:bookmarkEnd w:id="377"/>
      <w:bookmarkEnd w:id="378"/>
      <w:bookmarkEnd w:id="379"/>
      <w:bookmarkEnd w:id="380"/>
      <w:bookmarkEnd w:id="381"/>
    </w:p>
    <w:p w14:paraId="097AA16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bookmarkStart w:id="382" w:name="_Toc46771675"/>
      <w:bookmarkStart w:id="383" w:name="_Toc51674246"/>
      <w:bookmarkStart w:id="384" w:name="_Toc48688824"/>
      <w:bookmarkStart w:id="385" w:name="_Toc109897469"/>
      <w:bookmarkStart w:id="386" w:name="_Toc109899987"/>
      <w:bookmarkStart w:id="387" w:name="_Toc109900406"/>
      <w:bookmarkStart w:id="388" w:name="_Toc46772276"/>
      <w:bookmarkStart w:id="389" w:name="_Toc109899568"/>
      <w:bookmarkStart w:id="390" w:name="_Toc48846144"/>
      <w:bookmarkStart w:id="391" w:name="_Toc52962762"/>
      <w:bookmarkStart w:id="392" w:name="_Toc52960588"/>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.1供应商认为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详见“供应商须知前附表”</w:t>
      </w:r>
      <w:r>
        <w:rPr>
          <w:rFonts w:hint="eastAsia" w:ascii="宋体" w:hAnsi="宋体" w:eastAsia="宋体" w:cs="宋体"/>
          <w:color w:val="auto"/>
          <w:sz w:val="24"/>
          <w:szCs w:val="24"/>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文件的，可以对该文件提出质疑。对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文件提出质疑的，应当在获取</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1AA8BB7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D032AB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C41C03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1154411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35.5 质疑内容不得含有虚假、恶意成分。依据谁主张谁举证的原则，质疑者提供的质疑书应当明确具体的质疑事项、事实依据，同时提交相关确凿的证明材料和注明证据的确切来源、证据来源必须合法，采购代理机构有权将质疑函转发质疑事项各关联方，请其作出解释说明。对捏造事实、滥用维权扰乱采购秩序的恶意质疑者，将上报采购监督管理部门依法处理。</w:t>
      </w:r>
    </w:p>
    <w:p w14:paraId="5F1352A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en-US" w:eastAsia="zh-CN"/>
        </w:rPr>
        <w:t>供应商</w:t>
      </w:r>
      <w:r>
        <w:rPr>
          <w:rFonts w:hint="eastAsia" w:ascii="宋体" w:hAnsi="宋体" w:eastAsia="宋体" w:cs="宋体"/>
          <w:snapToGrid w:val="0"/>
          <w:color w:val="auto"/>
          <w:sz w:val="24"/>
          <w:szCs w:val="24"/>
          <w:highlight w:val="none"/>
        </w:rPr>
        <w:t>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w:t>
      </w:r>
      <w:r>
        <w:rPr>
          <w:rFonts w:hint="eastAsia" w:cs="宋体"/>
          <w:snapToGrid w:val="0"/>
          <w:color w:val="auto"/>
          <w:sz w:val="24"/>
          <w:szCs w:val="24"/>
          <w:highlight w:val="none"/>
          <w:lang w:val="en-US" w:eastAsia="zh-CN"/>
        </w:rPr>
        <w:t>8</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007DBE4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36.质疑答复</w:t>
      </w:r>
      <w:bookmarkEnd w:id="382"/>
      <w:bookmarkEnd w:id="383"/>
      <w:bookmarkEnd w:id="384"/>
      <w:bookmarkEnd w:id="385"/>
      <w:bookmarkEnd w:id="386"/>
      <w:bookmarkEnd w:id="387"/>
      <w:bookmarkEnd w:id="388"/>
      <w:bookmarkEnd w:id="389"/>
      <w:bookmarkEnd w:id="390"/>
      <w:bookmarkEnd w:id="391"/>
      <w:bookmarkEnd w:id="392"/>
    </w:p>
    <w:p w14:paraId="43D7F91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393" w:name="_Toc109900407"/>
      <w:bookmarkStart w:id="394" w:name="_Toc109897470"/>
      <w:bookmarkStart w:id="395" w:name="_Toc51674247"/>
      <w:bookmarkStart w:id="396" w:name="_Toc46771676"/>
      <w:bookmarkStart w:id="397" w:name="_Toc109899569"/>
      <w:bookmarkStart w:id="398" w:name="_Toc52962763"/>
      <w:bookmarkStart w:id="399" w:name="_Toc52960589"/>
      <w:bookmarkStart w:id="400" w:name="_Toc48846145"/>
      <w:bookmarkStart w:id="401" w:name="_Toc109899988"/>
      <w:bookmarkStart w:id="402" w:name="_Toc48688825"/>
      <w:bookmarkStart w:id="403" w:name="_Toc46772277"/>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36.2供应商对评审过程、成交结果提出质疑的，采购人、采购代理机构可以组织原竞争性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小组协助答复质疑。</w:t>
      </w:r>
    </w:p>
    <w:p w14:paraId="14E02A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编号/包号；</w:t>
      </w:r>
    </w:p>
    <w:p w14:paraId="18D7215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val="zh-CN" w:eastAsia="zh-CN"/>
        </w:rPr>
        <w:t>质疑答复的内容不得涉及商业秘密。</w:t>
      </w:r>
    </w:p>
    <w:p w14:paraId="6100606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37.投诉</w:t>
      </w:r>
      <w:bookmarkEnd w:id="393"/>
      <w:bookmarkEnd w:id="394"/>
      <w:bookmarkEnd w:id="395"/>
      <w:bookmarkEnd w:id="396"/>
      <w:bookmarkEnd w:id="397"/>
      <w:bookmarkEnd w:id="398"/>
      <w:bookmarkEnd w:id="399"/>
      <w:bookmarkEnd w:id="400"/>
      <w:bookmarkEnd w:id="401"/>
      <w:bookmarkEnd w:id="402"/>
      <w:bookmarkEnd w:id="403"/>
    </w:p>
    <w:bookmarkEnd w:id="120"/>
    <w:bookmarkEnd w:id="370"/>
    <w:p w14:paraId="34C5EAA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404" w:name="_Toc163493619"/>
      <w:bookmarkStart w:id="405" w:name="_Toc109899989"/>
      <w:bookmarkStart w:id="406" w:name="_Toc109899570"/>
      <w:bookmarkStart w:id="407" w:name="_Toc109900408"/>
      <w:bookmarkStart w:id="408" w:name="_Toc109897471"/>
      <w:bookmarkStart w:id="409" w:name="_Hlk60570485"/>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4A2CC2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2EB10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0" w:name="_Toc24137"/>
      <w:r>
        <w:rPr>
          <w:rFonts w:hint="eastAsia" w:ascii="宋体" w:hAnsi="宋体" w:eastAsia="宋体" w:cs="宋体"/>
          <w:b/>
          <w:bCs/>
          <w:color w:val="auto"/>
          <w:kern w:val="2"/>
          <w:sz w:val="24"/>
          <w:szCs w:val="24"/>
          <w:highlight w:val="none"/>
          <w:lang w:val="en-US" w:eastAsia="zh-CN" w:bidi="ar-SA"/>
        </w:rPr>
        <w:t>（十一）采购代理服务费</w:t>
      </w:r>
      <w:bookmarkEnd w:id="404"/>
      <w:bookmarkEnd w:id="410"/>
    </w:p>
    <w:p w14:paraId="3283230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38.收取方式和标准</w:t>
      </w:r>
    </w:p>
    <w:p w14:paraId="0F0CA96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.1采购代理机构按“供应商须知前附表”规定的方式和标准收取采购代理服务费。</w:t>
      </w:r>
    </w:p>
    <w:p w14:paraId="5E6F961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1" w:name="_Toc2322"/>
      <w:bookmarkStart w:id="412"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411"/>
      <w:bookmarkEnd w:id="412"/>
    </w:p>
    <w:p w14:paraId="02780A3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3" w:name="_Toc140132806"/>
      <w:bookmarkStart w:id="414" w:name="_Toc161600338"/>
      <w:r>
        <w:rPr>
          <w:rFonts w:hint="eastAsia" w:ascii="宋体" w:hAnsi="宋体" w:eastAsia="宋体" w:cs="宋体"/>
          <w:b/>
          <w:bCs/>
          <w:color w:val="auto"/>
          <w:kern w:val="2"/>
          <w:sz w:val="24"/>
          <w:szCs w:val="24"/>
          <w:highlight w:val="none"/>
          <w:lang w:val="en-US" w:eastAsia="zh-CN" w:bidi="ar-SA"/>
        </w:rPr>
        <w:t>39.无效</w:t>
      </w:r>
      <w:bookmarkEnd w:id="413"/>
      <w:bookmarkEnd w:id="414"/>
      <w:r>
        <w:rPr>
          <w:rFonts w:hint="eastAsia" w:ascii="宋体" w:hAnsi="宋体" w:eastAsia="宋体" w:cs="宋体"/>
          <w:b/>
          <w:bCs/>
          <w:color w:val="auto"/>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.1响应文件存在“第四章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评审方法及标准”规定的</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情形的，做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631C56D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40.终止采购活动</w:t>
      </w:r>
    </w:p>
    <w:p w14:paraId="65CAB1F7">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.1出现下列情形之一的，应当终止竞争性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采购活动，发布项目终止公告并说明原因，重新开展采购活动：</w:t>
      </w:r>
    </w:p>
    <w:p w14:paraId="3F03AB9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采购方式适用情形的；</w:t>
      </w:r>
    </w:p>
    <w:p w14:paraId="34F0BDE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EDE2978">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18EA97F2">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40.2在采购活动中因重大变故，采购任务取消的，采购人或者采购代理机构应当终止采购活动，通知所有参加采购活动的供应商</w:t>
      </w:r>
      <w:r>
        <w:rPr>
          <w:rFonts w:hint="eastAsia" w:cs="宋体"/>
          <w:color w:val="auto"/>
          <w:sz w:val="24"/>
          <w:szCs w:val="24"/>
          <w:highlight w:val="none"/>
          <w:lang w:val="en-US" w:eastAsia="zh-CN"/>
        </w:rPr>
        <w:t>并告知终止理由</w:t>
      </w:r>
      <w:r>
        <w:rPr>
          <w:rFonts w:hint="eastAsia" w:ascii="宋体" w:hAnsi="宋体" w:eastAsia="宋体" w:cs="宋体"/>
          <w:color w:val="auto"/>
          <w:sz w:val="24"/>
          <w:szCs w:val="24"/>
          <w:highlight w:val="none"/>
          <w:lang w:val="en-US" w:eastAsia="zh-CN"/>
        </w:rPr>
        <w:t>，并将项目实施情况和采购任务取消原因报送本级财政部门。</w:t>
      </w:r>
    </w:p>
    <w:p w14:paraId="56C7680B">
      <w:pPr>
        <w:keepNext w:val="0"/>
        <w:keepLines w:val="0"/>
        <w:widowControl/>
        <w:suppressLineNumbers w:val="0"/>
        <w:jc w:val="left"/>
        <w:rPr>
          <w:rFonts w:hint="eastAsia" w:ascii="宋体" w:hAnsi="宋体" w:eastAsia="宋体" w:cs="宋体"/>
          <w:color w:val="auto"/>
          <w:sz w:val="24"/>
          <w:szCs w:val="24"/>
          <w:highlight w:val="none"/>
        </w:rPr>
      </w:pPr>
      <w:bookmarkStart w:id="415" w:name="_Toc163493621"/>
      <w:bookmarkStart w:id="416" w:name="_Toc140132766"/>
      <w:bookmarkStart w:id="417" w:name="_Toc161600340"/>
      <w:r>
        <w:rPr>
          <w:rFonts w:hint="eastAsia" w:ascii="宋体" w:hAnsi="宋体" w:eastAsia="宋体" w:cs="宋体"/>
          <w:b/>
          <w:bCs/>
          <w:color w:val="auto"/>
          <w:kern w:val="2"/>
          <w:sz w:val="24"/>
          <w:szCs w:val="24"/>
          <w:highlight w:val="none"/>
          <w:lang w:val="en-US" w:eastAsia="zh-CN" w:bidi="ar-SA"/>
        </w:rPr>
        <w:t>（十三）落实政府采购政策</w:t>
      </w:r>
      <w:bookmarkEnd w:id="415"/>
      <w:bookmarkEnd w:id="416"/>
      <w:bookmarkEnd w:id="417"/>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418"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418"/>
    </w:p>
    <w:p w14:paraId="59F3A450">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5"/>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76CA72A3">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0%的价格扣除，用扣除后的价格参与评审。</w:t>
      </w:r>
    </w:p>
    <w:p w14:paraId="3BB43BBF">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F1C4F81">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41.1.8对于仅有本国产品参与竞争的政府采购项目，本国产品不享受价格扣除评审优惠。</w:t>
      </w:r>
    </w:p>
    <w:p w14:paraId="2B40C7E8">
      <w:pPr>
        <w:pStyle w:val="35"/>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2进口产品指通过中国海关报关验放进入中国境内且产自关境外的产品，包括已经进入中国境内的进口产品。</w:t>
      </w:r>
    </w:p>
    <w:p w14:paraId="0C404CE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3若采购需求中写明允许采购进口产品，供应商应保证所响应产品可履行合法报通关手续进入中国关境内。</w:t>
      </w:r>
    </w:p>
    <w:p w14:paraId="25B118D0">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w:t>
      </w:r>
    </w:p>
    <w:p w14:paraId="1F7E8604">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19" w:name="_Toc161600342"/>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419"/>
    </w:p>
    <w:p w14:paraId="6CF3C24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小组将依据</w:t>
      </w:r>
      <w:r>
        <w:rPr>
          <w:rFonts w:hint="eastAsia" w:ascii="宋体" w:hAnsi="宋体" w:eastAsia="宋体" w:cs="宋体"/>
          <w:snapToGrid w:val="0"/>
          <w:color w:val="auto"/>
          <w:sz w:val="24"/>
          <w:szCs w:val="24"/>
          <w:highlight w:val="none"/>
          <w:lang w:eastAsia="zh-CN"/>
        </w:rPr>
        <w:t>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须按本</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14:paraId="5BE3F99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42.3供应商提供的货物、工程或者服务符合下列情形的，享受中小企业扶持政策： </w:t>
      </w:r>
    </w:p>
    <w:p w14:paraId="7C4E60D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9BB74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42.3.2在工程采购项目中，工程由中小企业承建，即工程施工单位为中小企业； </w:t>
      </w:r>
    </w:p>
    <w:p w14:paraId="194B49D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09AD49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3EA2BE1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w:t>
      </w:r>
    </w:p>
    <w:p w14:paraId="6B88E28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023C32E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34DA9DC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安置的残疾人占本单位在职职工人数的比例不低于25% （含25%），并且安置的残疾人人数不少于10人（含10人）； </w:t>
      </w:r>
    </w:p>
    <w:p w14:paraId="7828A46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33AEDD4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07E8110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50FF700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15268A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 </w:t>
      </w:r>
    </w:p>
    <w:p w14:paraId="36313DD1">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42.8 本项目是否专门面向中小企业预留采购份额见“第一章 竞争性</w:t>
      </w:r>
      <w:r>
        <w:rPr>
          <w:rFonts w:hint="eastAsia" w:cs="宋体"/>
          <w:color w:val="auto"/>
          <w:sz w:val="24"/>
          <w:szCs w:val="24"/>
          <w:highlight w:val="none"/>
          <w:lang w:val="en-US" w:eastAsia="zh-CN"/>
        </w:rPr>
        <w:t>谈判</w:t>
      </w:r>
      <w:r>
        <w:rPr>
          <w:rFonts w:hint="eastAsia" w:cs="宋体"/>
          <w:snapToGrid w:val="0"/>
          <w:color w:val="auto"/>
          <w:sz w:val="24"/>
          <w:szCs w:val="24"/>
          <w:highlight w:val="none"/>
          <w:lang w:val="en-US" w:eastAsia="zh-CN"/>
        </w:rPr>
        <w:t>公告</w:t>
      </w:r>
      <w:r>
        <w:rPr>
          <w:rFonts w:hint="eastAsia" w:ascii="宋体" w:hAnsi="宋体" w:eastAsia="宋体" w:cs="宋体"/>
          <w:snapToGrid w:val="0"/>
          <w:color w:val="auto"/>
          <w:sz w:val="24"/>
          <w:szCs w:val="24"/>
          <w:highlight w:val="none"/>
          <w:lang w:val="en-US" w:eastAsia="zh-CN"/>
        </w:rPr>
        <w:t>”。</w:t>
      </w:r>
    </w:p>
    <w:p w14:paraId="354012DA">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42.9 采购标的对应的中小企业划分标准所属行业见“供应商须知前附表”。    </w:t>
      </w:r>
    </w:p>
    <w:p w14:paraId="5A70CB6C">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42.10小微企业价格评审优惠的政策调整：见“第四章 评审方法及标准”。</w:t>
      </w:r>
    </w:p>
    <w:p w14:paraId="76C0345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0" w:name="_Toc161600343"/>
      <w:r>
        <w:rPr>
          <w:rFonts w:hint="eastAsia" w:ascii="宋体" w:hAnsi="宋体" w:eastAsia="宋体" w:cs="宋体"/>
          <w:b/>
          <w:bCs/>
          <w:color w:val="auto"/>
          <w:kern w:val="2"/>
          <w:sz w:val="24"/>
          <w:szCs w:val="24"/>
          <w:highlight w:val="none"/>
          <w:lang w:val="en-US" w:eastAsia="zh-CN" w:bidi="ar-SA"/>
        </w:rPr>
        <w:t>43.政府采购节能产品、环境标志产品</w:t>
      </w:r>
      <w:bookmarkEnd w:id="420"/>
    </w:p>
    <w:p w14:paraId="0A420FD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号）、《关于印发环境标志产品政府采购品目清单的通知》（财库〔2019〕18号）、《关于印发节能产品政府采购品目清单的通知》（财库〔2019〕19号）的规定。</w:t>
      </w:r>
    </w:p>
    <w:p w14:paraId="017FF1A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强制采购或优先采购。 </w:t>
      </w:r>
    </w:p>
    <w:p w14:paraId="1379730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响应无效。</w:t>
      </w:r>
      <w:r>
        <w:rPr>
          <w:rFonts w:hint="eastAsia" w:ascii="宋体" w:hAnsi="宋体" w:eastAsia="宋体" w:cs="宋体"/>
          <w:snapToGrid w:val="0"/>
          <w:color w:val="auto"/>
          <w:sz w:val="24"/>
          <w:szCs w:val="24"/>
          <w:highlight w:val="none"/>
          <w:lang w:val="en-US" w:eastAsia="zh-CN"/>
        </w:rPr>
        <w:t xml:space="preserve"> </w:t>
      </w:r>
    </w:p>
    <w:p w14:paraId="57389A7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4911AC78">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43.5 供应商</w:t>
      </w:r>
      <w:r>
        <w:rPr>
          <w:rFonts w:hint="eastAsia" w:ascii="宋体" w:hAnsi="宋体" w:eastAsia="宋体" w:cs="宋体"/>
          <w:snapToGrid w:val="0"/>
          <w:color w:val="auto"/>
          <w:sz w:val="24"/>
          <w:szCs w:val="24"/>
          <w:highlight w:val="none"/>
        </w:rPr>
        <w:t>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snapToGrid w:val="0"/>
          <w:color w:val="auto"/>
          <w:sz w:val="24"/>
          <w:szCs w:val="24"/>
          <w:highlight w:val="none"/>
          <w:lang w:val="en-US" w:eastAsia="zh-CN"/>
        </w:rPr>
        <w:t>报</w:t>
      </w:r>
      <w:r>
        <w:rPr>
          <w:rFonts w:hint="eastAsia" w:ascii="宋体" w:hAnsi="宋体" w:eastAsia="宋体" w:cs="宋体"/>
          <w:snapToGrid w:val="0"/>
          <w:color w:val="auto"/>
          <w:sz w:val="24"/>
          <w:szCs w:val="24"/>
          <w:highlight w:val="none"/>
        </w:rPr>
        <w:t>产品不一致的，视为未提供。属于政府强制采购产品的，已作为</w:t>
      </w:r>
      <w:r>
        <w:rPr>
          <w:rFonts w:hint="eastAsia" w:ascii="宋体" w:hAnsi="宋体" w:eastAsia="宋体" w:cs="宋体"/>
          <w:snapToGrid w:val="0"/>
          <w:color w:val="auto"/>
          <w:sz w:val="24"/>
          <w:szCs w:val="24"/>
          <w:highlight w:val="none"/>
          <w:lang w:val="en-US" w:eastAsia="zh-CN"/>
        </w:rPr>
        <w:t>响应</w:t>
      </w:r>
      <w:r>
        <w:rPr>
          <w:rFonts w:hint="eastAsia" w:ascii="宋体" w:hAnsi="宋体" w:eastAsia="宋体" w:cs="宋体"/>
          <w:snapToGrid w:val="0"/>
          <w:color w:val="auto"/>
          <w:sz w:val="24"/>
          <w:szCs w:val="24"/>
          <w:highlight w:val="none"/>
        </w:rPr>
        <w:t>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rPr>
        <w:t>无效响应</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snapToGrid w:val="0"/>
          <w:color w:val="auto"/>
          <w:sz w:val="24"/>
          <w:szCs w:val="24"/>
          <w:highlight w:val="none"/>
          <w:lang w:val="en-US" w:eastAsia="zh-CN"/>
        </w:rPr>
        <w:t>第四章 评审方法及标准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在评审时给予优惠，具体详见</w:t>
      </w:r>
      <w:r>
        <w:rPr>
          <w:rFonts w:hint="eastAsia" w:ascii="宋体" w:hAnsi="宋体" w:eastAsia="宋体" w:cs="宋体"/>
          <w:snapToGrid w:val="0"/>
          <w:color w:val="auto"/>
          <w:sz w:val="24"/>
          <w:szCs w:val="24"/>
          <w:highlight w:val="none"/>
          <w:lang w:val="en-US" w:eastAsia="zh-CN"/>
        </w:rPr>
        <w:t>“供应商须知前附表”及</w:t>
      </w:r>
      <w:r>
        <w:rPr>
          <w:rFonts w:hint="eastAsia" w:ascii="宋体" w:hAnsi="宋体" w:eastAsia="宋体" w:cs="宋体"/>
          <w:color w:val="auto"/>
          <w:sz w:val="24"/>
          <w:szCs w:val="24"/>
          <w:highlight w:val="none"/>
          <w:lang w:val="en-US" w:eastAsia="zh-CN"/>
        </w:rPr>
        <w:t>“第四章 评审方法及标准”</w:t>
      </w:r>
      <w:r>
        <w:rPr>
          <w:rFonts w:hint="eastAsia" w:ascii="宋体" w:hAnsi="宋体" w:eastAsia="宋体" w:cs="宋体"/>
          <w:color w:val="auto"/>
          <w:sz w:val="24"/>
          <w:szCs w:val="24"/>
          <w:highlight w:val="none"/>
        </w:rPr>
        <w:t>。</w:t>
      </w:r>
    </w:p>
    <w:p w14:paraId="05D0648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 xml:space="preserve">.采购需求标准 </w:t>
      </w:r>
    </w:p>
    <w:bookmarkEnd w:id="405"/>
    <w:bookmarkEnd w:id="406"/>
    <w:bookmarkEnd w:id="407"/>
    <w:bookmarkEnd w:id="408"/>
    <w:bookmarkEnd w:id="409"/>
    <w:p w14:paraId="1251808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bookmarkStart w:id="421" w:name="_Toc109899574"/>
      <w:bookmarkStart w:id="422" w:name="_Toc163493622"/>
      <w:bookmarkStart w:id="423" w:name="_Toc109900412"/>
      <w:bookmarkStart w:id="424" w:name="_Toc109899993"/>
      <w:bookmarkStart w:id="425" w:name="_Toc109897475"/>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lang w:val="en-US" w:eastAsia="zh-CN"/>
        </w:rPr>
        <w:t xml:space="preserve">.1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cs="宋体"/>
          <w:snapToGrid w:val="0"/>
          <w:color w:val="auto"/>
          <w:sz w:val="24"/>
          <w:szCs w:val="24"/>
          <w:highlight w:val="none"/>
          <w:lang w:val="en-US" w:eastAsia="zh-CN"/>
        </w:rPr>
        <w:t>44</w:t>
      </w:r>
      <w:r>
        <w:rPr>
          <w:rFonts w:hint="eastAsia" w:ascii="宋体" w:hAnsi="宋体" w:eastAsia="宋体" w:cs="宋体"/>
          <w:snapToGrid w:val="0"/>
          <w:color w:val="auto"/>
          <w:sz w:val="24"/>
          <w:szCs w:val="24"/>
          <w:highlight w:val="none"/>
          <w:lang w:val="en-US" w:eastAsia="zh-CN"/>
        </w:rPr>
        <w:t xml:space="preserve">.2 绿色数据中心政府采购需求标准（试行） </w:t>
      </w:r>
    </w:p>
    <w:p w14:paraId="2BAD254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为加快数据中心绿色转型，根据财政部生态环境部工业和信息化部关于印发《绿色数据中心政府采购需求标准（试行）》的通知（财库〔2023〕7号），本项目如涉及绿色数据中心，则具体要求见“第三章 项目采购需求”。 </w:t>
      </w:r>
    </w:p>
    <w:p w14:paraId="38AF6858">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6" w:name="_Toc18350"/>
      <w:r>
        <w:rPr>
          <w:rFonts w:hint="eastAsia" w:ascii="宋体" w:hAnsi="宋体" w:eastAsia="宋体" w:cs="宋体"/>
          <w:b/>
          <w:bCs/>
          <w:color w:val="auto"/>
          <w:kern w:val="2"/>
          <w:sz w:val="24"/>
          <w:szCs w:val="24"/>
          <w:highlight w:val="none"/>
          <w:lang w:val="en-US" w:eastAsia="zh-CN" w:bidi="ar-SA"/>
        </w:rPr>
        <w:t>（十四）政府采购合同融资政策</w:t>
      </w:r>
      <w:bookmarkEnd w:id="421"/>
      <w:bookmarkEnd w:id="422"/>
      <w:bookmarkEnd w:id="423"/>
      <w:bookmarkEnd w:id="424"/>
      <w:bookmarkEnd w:id="425"/>
      <w:bookmarkEnd w:id="426"/>
    </w:p>
    <w:p w14:paraId="78CE466D">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7" w:name="_Toc161600345"/>
      <w:bookmarkStart w:id="428" w:name="_Toc109897476"/>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.政府采购合同融资政策</w:t>
      </w:r>
      <w:bookmarkEnd w:id="427"/>
    </w:p>
    <w:p w14:paraId="59269D30">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.1政府采购合同融资政策：见供应商须知前附表。</w:t>
      </w:r>
    </w:p>
    <w:p w14:paraId="032E5A3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9" w:name="_Toc31397"/>
      <w:bookmarkStart w:id="430" w:name="_Toc109899994"/>
      <w:bookmarkStart w:id="431" w:name="_Toc109900413"/>
      <w:bookmarkStart w:id="432" w:name="_Toc163493623"/>
      <w:bookmarkStart w:id="433" w:name="_Toc109899575"/>
      <w:r>
        <w:rPr>
          <w:rFonts w:hint="eastAsia" w:ascii="宋体" w:hAnsi="宋体" w:eastAsia="宋体" w:cs="宋体"/>
          <w:b/>
          <w:bCs/>
          <w:color w:val="auto"/>
          <w:kern w:val="2"/>
          <w:sz w:val="24"/>
          <w:szCs w:val="24"/>
          <w:highlight w:val="none"/>
          <w:lang w:val="en-US" w:eastAsia="zh-CN" w:bidi="ar-SA"/>
        </w:rPr>
        <w:t>（十五）其他</w:t>
      </w:r>
      <w:bookmarkEnd w:id="428"/>
      <w:bookmarkEnd w:id="429"/>
      <w:bookmarkEnd w:id="430"/>
      <w:bookmarkEnd w:id="431"/>
      <w:bookmarkEnd w:id="432"/>
      <w:bookmarkEnd w:id="433"/>
    </w:p>
    <w:p w14:paraId="0C2C4C1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4" w:name="_Toc161600347"/>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6</w:t>
      </w:r>
      <w:r>
        <w:rPr>
          <w:rFonts w:hint="eastAsia" w:ascii="宋体" w:hAnsi="宋体" w:eastAsia="宋体" w:cs="宋体"/>
          <w:b/>
          <w:bCs/>
          <w:color w:val="auto"/>
          <w:kern w:val="2"/>
          <w:sz w:val="24"/>
          <w:szCs w:val="24"/>
          <w:highlight w:val="none"/>
          <w:lang w:val="en-US" w:eastAsia="zh-CN" w:bidi="ar-SA"/>
        </w:rPr>
        <w:t>.需要补充的其他内容</w:t>
      </w:r>
      <w:bookmarkEnd w:id="434"/>
    </w:p>
    <w:p w14:paraId="3957C993">
      <w:pPr>
        <w:pStyle w:val="35"/>
        <w:keepNext w:val="0"/>
        <w:keepLines w:val="0"/>
        <w:pageBreakBefore w:val="0"/>
        <w:widowControl w:val="0"/>
        <w:kinsoku/>
        <w:overflowPunct/>
        <w:topLinePunct w:val="0"/>
        <w:bidi w:val="0"/>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.1需要补充的其他内容：见供应商须知前附表。</w:t>
      </w:r>
    </w:p>
    <w:p w14:paraId="740594B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5" w:name="_Toc109899995"/>
      <w:bookmarkStart w:id="436" w:name="_Toc109900414"/>
      <w:bookmarkStart w:id="437" w:name="_Toc109897477"/>
      <w:bookmarkStart w:id="438" w:name="_Toc109899576"/>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.适用法律</w:t>
      </w:r>
      <w:bookmarkEnd w:id="435"/>
      <w:bookmarkEnd w:id="436"/>
      <w:bookmarkEnd w:id="437"/>
      <w:bookmarkEnd w:id="438"/>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.1采购人、采购代理机构及供应商的一切采购活动均适用《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政府采购法实施条例》</w:t>
      </w:r>
      <w:r>
        <w:rPr>
          <w:rFonts w:hint="eastAsia" w:ascii="宋体" w:hAnsi="宋体" w:eastAsia="宋体" w:cs="宋体"/>
          <w:color w:val="auto"/>
          <w:sz w:val="24"/>
          <w:szCs w:val="24"/>
          <w:highlight w:val="none"/>
        </w:rPr>
        <w:t>《政府采购</w:t>
      </w:r>
      <w:r>
        <w:rPr>
          <w:rFonts w:hint="eastAsia" w:cs="宋体"/>
          <w:color w:val="auto"/>
          <w:sz w:val="24"/>
          <w:szCs w:val="24"/>
          <w:highlight w:val="none"/>
          <w:lang w:val="en-US" w:eastAsia="zh-CN"/>
        </w:rPr>
        <w:t>非招标采购方式管理</w:t>
      </w:r>
      <w:r>
        <w:rPr>
          <w:rFonts w:hint="eastAsia" w:ascii="宋体" w:hAnsi="宋体" w:eastAsia="宋体" w:cs="宋体"/>
          <w:color w:val="auto"/>
          <w:sz w:val="24"/>
          <w:szCs w:val="24"/>
          <w:highlight w:val="none"/>
        </w:rPr>
        <w:t>办法》（财</w:t>
      </w:r>
      <w:r>
        <w:rPr>
          <w:rFonts w:hint="eastAsia" w:cs="宋体"/>
          <w:color w:val="auto"/>
          <w:sz w:val="24"/>
          <w:szCs w:val="24"/>
          <w:highlight w:val="none"/>
          <w:lang w:val="en-US" w:eastAsia="zh-CN"/>
        </w:rPr>
        <w:t>政部令第7</w:t>
      </w:r>
      <w:r>
        <w:rPr>
          <w:rFonts w:hint="eastAsia" w:ascii="宋体" w:hAnsi="宋体" w:eastAsia="宋体" w:cs="宋体"/>
          <w:color w:val="auto"/>
          <w:sz w:val="24"/>
          <w:szCs w:val="24"/>
          <w:highlight w:val="none"/>
        </w:rPr>
        <w:t>4号）</w:t>
      </w:r>
      <w:r>
        <w:rPr>
          <w:rFonts w:hint="eastAsia" w:ascii="宋体" w:hAnsi="宋体" w:eastAsia="宋体" w:cs="宋体"/>
          <w:snapToGrid w:val="0"/>
          <w:color w:val="auto"/>
          <w:sz w:val="24"/>
          <w:szCs w:val="24"/>
          <w:highlight w:val="none"/>
          <w:lang w:val="zh-CN"/>
        </w:rPr>
        <w:t>及相关法律法规。</w:t>
      </w:r>
    </w:p>
    <w:p w14:paraId="7EF83039">
      <w:pPr>
        <w:pStyle w:val="35"/>
        <w:keepNext w:val="0"/>
        <w:keepLines w:val="0"/>
        <w:pageBreakBefore w:val="0"/>
        <w:widowControl w:val="0"/>
        <w:kinsoku/>
        <w:overflowPunct/>
        <w:topLinePunct w:val="0"/>
        <w:bidi w:val="0"/>
        <w:ind w:firstLine="48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lang w:val="zh-CN"/>
        </w:rPr>
        <w:t>4</w:t>
      </w:r>
      <w:r>
        <w:rPr>
          <w:rFonts w:hint="eastAsia" w:cs="宋体"/>
          <w:snapToGrid w:val="0"/>
          <w:color w:val="auto"/>
          <w:sz w:val="24"/>
          <w:szCs w:val="24"/>
          <w:highlight w:val="none"/>
          <w:lang w:val="en-US" w:eastAsia="zh-CN"/>
        </w:rPr>
        <w:t>7</w:t>
      </w:r>
      <w:r>
        <w:rPr>
          <w:rFonts w:hint="eastAsia" w:ascii="宋体" w:hAnsi="宋体" w:eastAsia="宋体" w:cs="宋体"/>
          <w:snapToGrid w:val="0"/>
          <w:color w:val="auto"/>
          <w:sz w:val="24"/>
          <w:szCs w:val="24"/>
          <w:highlight w:val="none"/>
          <w:lang w:val="zh-CN"/>
        </w:rPr>
        <w:t>.2政府采购合同的履行、违约责任和解决争议的方法等适用《</w:t>
      </w:r>
      <w:r>
        <w:rPr>
          <w:rFonts w:hint="eastAsia" w:ascii="宋体" w:hAnsi="宋体" w:eastAsia="宋体" w:cs="宋体"/>
          <w:snapToGrid w:val="0"/>
          <w:color w:val="auto"/>
          <w:sz w:val="24"/>
          <w:szCs w:val="24"/>
          <w:highlight w:val="none"/>
        </w:rPr>
        <w:t>中华人民共和国</w:t>
      </w:r>
      <w:r>
        <w:rPr>
          <w:rFonts w:hint="eastAsia" w:ascii="宋体" w:hAnsi="宋体" w:eastAsia="宋体" w:cs="宋体"/>
          <w:snapToGrid w:val="0"/>
          <w:color w:val="auto"/>
          <w:sz w:val="24"/>
          <w:szCs w:val="24"/>
          <w:highlight w:val="none"/>
          <w:lang w:val="zh-CN"/>
        </w:rPr>
        <w:t>民法典》。</w:t>
      </w:r>
    </w:p>
    <w:p w14:paraId="5A91431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9" w:name="_Toc155185887"/>
      <w:bookmarkStart w:id="440" w:name="_Toc161600349"/>
      <w:r>
        <w:rPr>
          <w:rFonts w:hint="eastAsia" w:ascii="宋体" w:hAnsi="宋体" w:cs="宋体"/>
          <w:b/>
          <w:bCs/>
          <w:color w:val="auto"/>
          <w:kern w:val="2"/>
          <w:sz w:val="24"/>
          <w:szCs w:val="24"/>
          <w:highlight w:val="none"/>
          <w:lang w:val="en-US" w:eastAsia="zh-CN" w:bidi="ar-SA"/>
        </w:rPr>
        <w:t>48</w:t>
      </w:r>
      <w:r>
        <w:rPr>
          <w:rFonts w:hint="eastAsia" w:ascii="宋体" w:hAnsi="宋体" w:eastAsia="宋体" w:cs="宋体"/>
          <w:b/>
          <w:bCs/>
          <w:color w:val="auto"/>
          <w:kern w:val="2"/>
          <w:sz w:val="24"/>
          <w:szCs w:val="24"/>
          <w:highlight w:val="none"/>
          <w:lang w:val="en-US" w:eastAsia="zh-CN" w:bidi="ar-SA"/>
        </w:rPr>
        <w:t>.解释权</w:t>
      </w:r>
      <w:bookmarkEnd w:id="439"/>
      <w:bookmarkEnd w:id="440"/>
    </w:p>
    <w:p w14:paraId="5C6D27F8">
      <w:pPr>
        <w:pStyle w:val="3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cs="宋体"/>
          <w:snapToGrid w:val="0"/>
          <w:color w:val="auto"/>
          <w:sz w:val="24"/>
          <w:szCs w:val="24"/>
          <w:highlight w:val="none"/>
          <w:lang w:val="en-US" w:eastAsia="zh-CN"/>
        </w:rPr>
        <w:t>48</w:t>
      </w:r>
      <w:r>
        <w:rPr>
          <w:rFonts w:hint="eastAsia" w:ascii="宋体" w:hAnsi="宋体" w:eastAsia="宋体" w:cs="宋体"/>
          <w:snapToGrid w:val="0"/>
          <w:color w:val="auto"/>
          <w:sz w:val="24"/>
          <w:szCs w:val="24"/>
          <w:highlight w:val="none"/>
        </w:rPr>
        <w:t>.1本竞争性</w:t>
      </w:r>
      <w:r>
        <w:rPr>
          <w:rFonts w:hint="eastAsia" w:cs="宋体"/>
          <w:color w:val="auto"/>
          <w:sz w:val="24"/>
          <w:szCs w:val="24"/>
          <w:highlight w:val="none"/>
          <w:lang w:val="en-US" w:eastAsia="zh-CN"/>
        </w:rPr>
        <w:t>谈判</w:t>
      </w:r>
      <w:r>
        <w:rPr>
          <w:rFonts w:hint="eastAsia" w:ascii="宋体" w:hAnsi="宋体" w:eastAsia="宋体" w:cs="宋体"/>
          <w:snapToGrid w:val="0"/>
          <w:color w:val="auto"/>
          <w:sz w:val="24"/>
          <w:szCs w:val="24"/>
          <w:highlight w:val="none"/>
        </w:rPr>
        <w:t>文件最终解释权归采购人</w:t>
      </w:r>
      <w:r>
        <w:rPr>
          <w:rFonts w:hint="eastAsia" w:eastAsia="宋体"/>
          <w:snapToGrid w:val="0"/>
          <w:color w:val="auto"/>
          <w:sz w:val="24"/>
          <w:highlight w:val="none"/>
        </w:rPr>
        <w:t>或采购代理机构所有。</w:t>
      </w:r>
    </w:p>
    <w:p w14:paraId="0F169FC7">
      <w:pPr>
        <w:pStyle w:val="3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p>
    <w:p w14:paraId="39B2275E">
      <w:pPr>
        <w:pStyle w:val="2"/>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41" w:name="_Toc20486"/>
      <w:r>
        <w:rPr>
          <w:rFonts w:hint="eastAsia" w:ascii="宋体" w:hAnsi="宋体" w:eastAsia="宋体" w:cs="宋体"/>
          <w:b/>
          <w:bCs/>
          <w:color w:val="auto"/>
          <w:kern w:val="44"/>
          <w:sz w:val="36"/>
          <w:szCs w:val="36"/>
          <w:highlight w:val="none"/>
          <w:lang w:val="en-US" w:eastAsia="zh-CN" w:bidi="ar-SA"/>
        </w:rPr>
        <w:t>第三章 采购需求</w:t>
      </w:r>
      <w:bookmarkEnd w:id="441"/>
    </w:p>
    <w:tbl>
      <w:tblPr>
        <w:tblStyle w:val="28"/>
        <w:tblW w:w="9960"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920"/>
        <w:gridCol w:w="1120"/>
        <w:gridCol w:w="1170"/>
        <w:gridCol w:w="960"/>
        <w:gridCol w:w="940"/>
        <w:gridCol w:w="980"/>
        <w:gridCol w:w="3220"/>
      </w:tblGrid>
      <w:tr w14:paraId="4B6C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99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E8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bookmarkStart w:id="442" w:name="_Toc163492886"/>
            <w:bookmarkStart w:id="443" w:name="_Toc155185889"/>
            <w:bookmarkStart w:id="444" w:name="_Toc140132812"/>
            <w:r>
              <w:rPr>
                <w:rFonts w:hint="eastAsia" w:ascii="宋体" w:hAnsi="宋体" w:eastAsia="宋体" w:cs="宋体"/>
                <w:b/>
                <w:bCs/>
                <w:i w:val="0"/>
                <w:iCs w:val="0"/>
                <w:color w:val="000000"/>
                <w:kern w:val="0"/>
                <w:sz w:val="32"/>
                <w:szCs w:val="32"/>
                <w:u w:val="none"/>
                <w:lang w:val="en-US" w:eastAsia="zh-CN" w:bidi="ar"/>
              </w:rPr>
              <w:t>上库高新区种植</w:t>
            </w:r>
          </w:p>
        </w:tc>
      </w:tr>
      <w:tr w14:paraId="4548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9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F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种植种类</w:t>
            </w:r>
          </w:p>
        </w:tc>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7A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3A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5D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770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r>
      <w:tr w14:paraId="644B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CAF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9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D3E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C2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胸径 cm</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8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冠幅 cm</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E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高度 m</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9E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DBD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3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F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02AE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3A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D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白杨</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78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AF1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3-5分支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91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5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4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603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C1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92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海棠</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8A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2D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3-5分支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1C2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4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A4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F8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6F76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14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54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小叶白蜡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0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1E0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3-5分支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51A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E3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2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土球100公分 含：树木绑扎+加运输+卸车+技术指导</w:t>
            </w:r>
          </w:p>
        </w:tc>
      </w:tr>
      <w:tr w14:paraId="60E7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F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AC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大叶白蜡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79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D0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3-5分支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9A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C2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E8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0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7B96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7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3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小叶白蜡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A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44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3-5分支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6E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C5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FE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C0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56E1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F5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67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高接金叶榆球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C0B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9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C8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34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3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79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土球40公分 含：树木绑扎+加运输+卸车+技术指导</w:t>
            </w:r>
          </w:p>
        </w:tc>
      </w:tr>
      <w:tr w14:paraId="2839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2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3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丁香球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F61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46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3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3C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F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9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土球40公分 含：树木绑扎+加运输+卸车+技术指导</w:t>
            </w:r>
          </w:p>
        </w:tc>
      </w:tr>
      <w:tr w14:paraId="22CC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09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0C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金叶榆球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6F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8C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C0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B5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F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土球40公分 含：树木绑扎+加运输+卸车+技术指导</w:t>
            </w:r>
          </w:p>
        </w:tc>
      </w:tr>
      <w:tr w14:paraId="2EF1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2F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cs="宋体"/>
                <w:i w:val="0"/>
                <w:iCs w:val="0"/>
                <w:color w:val="000000"/>
                <w:kern w:val="0"/>
                <w:sz w:val="24"/>
                <w:szCs w:val="24"/>
                <w:u w:val="none"/>
                <w:lang w:val="en-US" w:eastAsia="zh-CN" w:bidi="ar"/>
              </w:rPr>
              <w:t>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28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榆叶梅改榆叶梅球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E46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77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9E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89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15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53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土球40公分 含：树木绑扎+加运输+卸车+技术指导</w:t>
            </w:r>
          </w:p>
        </w:tc>
      </w:tr>
      <w:tr w14:paraId="4262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DD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1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6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82C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88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9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5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32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土球140公分 含：树木绑扎+加运输+卸车+技术指导</w:t>
            </w:r>
          </w:p>
        </w:tc>
      </w:tr>
      <w:tr w14:paraId="791C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8E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C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榆叶梅</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971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74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69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7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E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土球40公分 含：树木绑扎+加运输+卸车+技术指导</w:t>
            </w:r>
          </w:p>
        </w:tc>
      </w:tr>
      <w:tr w14:paraId="209A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CD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1A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枣树</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FC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EE0B">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4E0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C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E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C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5F67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56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13</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9A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杨树</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E0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CE1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4E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F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4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棵</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D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土球50公分 含：树木绑扎+加运输+卸车+技术指导</w:t>
            </w:r>
          </w:p>
        </w:tc>
      </w:tr>
      <w:tr w14:paraId="202D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5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F1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金叶榆</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5A5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419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A1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DA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2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7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应按每m²/38株或最少每m²/24，为营养钵苗</w:t>
            </w:r>
          </w:p>
        </w:tc>
      </w:tr>
      <w:tr w14:paraId="0E6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FE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15</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FC5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水蜡</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F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CF6C">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C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BC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F9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7E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应按每m²/38株或最少每m²/24，为营养钵苗</w:t>
            </w:r>
          </w:p>
        </w:tc>
      </w:tr>
      <w:tr w14:paraId="06EB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B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16</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1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紫穗槐</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4BB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71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D9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F1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6C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F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应按每m²/24株或最少每m²/16，为营养钵苗</w:t>
            </w:r>
          </w:p>
        </w:tc>
      </w:tr>
      <w:tr w14:paraId="0EC6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174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17</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84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八宝景天</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919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FD8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B2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7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建议平方米/36营养杯苗</w:t>
            </w:r>
          </w:p>
        </w:tc>
      </w:tr>
      <w:tr w14:paraId="60C6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2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1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蜀葵+马兰花+向日葵</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9B2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7438">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3CF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2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0C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B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按种植种子的公斤来计算</w:t>
            </w:r>
          </w:p>
        </w:tc>
      </w:tr>
      <w:tr w14:paraId="67C1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87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19</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6B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cs="宋体"/>
                <w:i w:val="0"/>
                <w:iCs w:val="0"/>
                <w:color w:val="000000"/>
                <w:kern w:val="0"/>
                <w:sz w:val="24"/>
                <w:szCs w:val="24"/>
                <w:highlight w:val="none"/>
                <w:u w:val="none"/>
                <w:lang w:val="en-US" w:eastAsia="zh-CN" w:bidi="ar"/>
              </w:rPr>
              <w:t>胶东</w:t>
            </w:r>
            <w:r>
              <w:rPr>
                <w:rFonts w:hint="eastAsia" w:ascii="宋体" w:hAnsi="宋体" w:eastAsia="宋体" w:cs="宋体"/>
                <w:i w:val="0"/>
                <w:iCs w:val="0"/>
                <w:color w:val="000000"/>
                <w:kern w:val="0"/>
                <w:sz w:val="24"/>
                <w:szCs w:val="24"/>
                <w:highlight w:val="none"/>
                <w:u w:val="none"/>
                <w:lang w:val="en-US" w:eastAsia="zh-CN" w:bidi="ar"/>
              </w:rPr>
              <w:t>卫矛球</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973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C6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B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B83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DB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C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应按每m²/38株或最少每m²/24，为营养钵苗</w:t>
            </w:r>
          </w:p>
        </w:tc>
      </w:tr>
      <w:tr w14:paraId="7571C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rPr>
            </w:pPr>
            <w:r>
              <w:rPr>
                <w:rFonts w:hint="eastAsia" w:cs="宋体"/>
                <w:i w:val="0"/>
                <w:iCs w:val="0"/>
                <w:color w:val="000000"/>
                <w:kern w:val="0"/>
                <w:sz w:val="24"/>
                <w:szCs w:val="24"/>
                <w:u w:val="none"/>
                <w:lang w:val="en-US" w:eastAsia="zh-CN" w:bidi="ar"/>
              </w:rPr>
              <w:t>20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A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金叶榆绿篱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220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9FD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DC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AF8">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7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25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Style w:val="66"/>
                <w:rFonts w:hint="eastAsia" w:ascii="宋体" w:hAnsi="宋体" w:eastAsia="宋体" w:cs="宋体"/>
                <w:sz w:val="24"/>
                <w:szCs w:val="24"/>
                <w:lang w:val="en-US" w:eastAsia="zh-CN" w:bidi="ar"/>
              </w:rPr>
              <w:t>应按每m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/38株或最少每m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/24，为营养钵苗</w:t>
            </w:r>
          </w:p>
        </w:tc>
      </w:tr>
      <w:tr w14:paraId="3E42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04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21</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11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密枝红叶李绿篱</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43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B4B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F7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5CEB">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C9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7B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Style w:val="66"/>
                <w:rFonts w:hint="eastAsia" w:ascii="宋体" w:hAnsi="宋体" w:eastAsia="宋体" w:cs="宋体"/>
                <w:sz w:val="24"/>
                <w:szCs w:val="24"/>
                <w:lang w:val="en-US" w:eastAsia="zh-CN" w:bidi="ar"/>
              </w:rPr>
              <w:t>应按每m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/38株或最少每m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/24，为营养钵苗</w:t>
            </w:r>
          </w:p>
        </w:tc>
      </w:tr>
      <w:tr w14:paraId="2E64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6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22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8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马兰</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92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2F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9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2年生</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3DD0">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1E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3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D4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Style w:val="66"/>
                <w:rFonts w:hint="eastAsia" w:ascii="宋体" w:hAnsi="宋体" w:eastAsia="宋体" w:cs="宋体"/>
                <w:sz w:val="24"/>
                <w:szCs w:val="24"/>
                <w:lang w:val="en-US" w:eastAsia="zh-CN" w:bidi="ar"/>
              </w:rPr>
              <w:t>应按每m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/38株或最少每m</w:t>
            </w:r>
            <w:r>
              <w:rPr>
                <w:rStyle w:val="67"/>
                <w:rFonts w:hint="eastAsia" w:ascii="宋体" w:hAnsi="宋体" w:eastAsia="宋体" w:cs="宋体"/>
                <w:sz w:val="24"/>
                <w:szCs w:val="24"/>
                <w:lang w:val="en-US" w:eastAsia="zh-CN" w:bidi="ar"/>
              </w:rPr>
              <w:t>²</w:t>
            </w:r>
            <w:r>
              <w:rPr>
                <w:rStyle w:val="66"/>
                <w:rFonts w:hint="eastAsia" w:ascii="宋体" w:hAnsi="宋体" w:eastAsia="宋体" w:cs="宋体"/>
                <w:sz w:val="24"/>
                <w:szCs w:val="24"/>
                <w:lang w:val="en-US" w:eastAsia="zh-CN" w:bidi="ar"/>
              </w:rPr>
              <w:t>/24，为营养钵苗</w:t>
            </w:r>
          </w:p>
        </w:tc>
      </w:tr>
    </w:tbl>
    <w:p w14:paraId="1611B4AC">
      <w:pPr>
        <w:pStyle w:val="35"/>
        <w:keepNext w:val="0"/>
        <w:keepLines w:val="0"/>
        <w:pageBreakBefore w:val="0"/>
        <w:widowControl w:val="0"/>
        <w:kinsoku/>
        <w:overflowPunct/>
        <w:topLinePunct w:val="0"/>
        <w:autoSpaceDE/>
        <w:autoSpaceDN/>
        <w:bidi w:val="0"/>
        <w:adjustRightInd/>
        <w:ind w:left="0" w:leftChars="0" w:firstLine="0" w:firstLineChars="0"/>
        <w:textAlignment w:val="auto"/>
        <w:rPr>
          <w:rFonts w:hint="default"/>
          <w:snapToGrid w:val="0"/>
          <w:color w:val="auto"/>
          <w:sz w:val="24"/>
          <w:szCs w:val="24"/>
          <w:highlight w:val="red"/>
          <w:lang w:val="en-US" w:eastAsia="zh-CN"/>
        </w:rPr>
      </w:pPr>
    </w:p>
    <w:p w14:paraId="460DDF3F">
      <w:pPr>
        <w:pStyle w:val="35"/>
        <w:keepNext w:val="0"/>
        <w:keepLines w:val="0"/>
        <w:pageBreakBefore w:val="0"/>
        <w:widowControl w:val="0"/>
        <w:numPr>
          <w:ilvl w:val="0"/>
          <w:numId w:val="0"/>
        </w:numPr>
        <w:kinsoku/>
        <w:overflowPunct/>
        <w:topLinePunct w:val="0"/>
        <w:autoSpaceDE/>
        <w:autoSpaceDN/>
        <w:bidi w:val="0"/>
        <w:adjustRightInd/>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一、项目背景</w:t>
      </w:r>
      <w:r>
        <w:rPr>
          <w:rFonts w:hint="default"/>
          <w:b/>
          <w:bCs/>
          <w:snapToGrid w:val="0"/>
          <w:color w:val="auto"/>
          <w:sz w:val="24"/>
          <w:szCs w:val="24"/>
          <w:highlight w:val="none"/>
          <w:lang w:val="en-US" w:eastAsia="zh-CN"/>
        </w:rPr>
        <w:t>/</w:t>
      </w:r>
      <w:r>
        <w:rPr>
          <w:rFonts w:hint="eastAsia"/>
          <w:b/>
          <w:bCs/>
          <w:snapToGrid w:val="0"/>
          <w:color w:val="auto"/>
          <w:sz w:val="24"/>
          <w:szCs w:val="24"/>
          <w:highlight w:val="none"/>
          <w:lang w:val="en-US" w:eastAsia="zh-CN"/>
        </w:rPr>
        <w:t>项目概述</w:t>
      </w:r>
    </w:p>
    <w:p w14:paraId="6B5830A8">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为进一步提升上库高新区生态环境质量，改善园区人居与营商环境，打造绿色、生态、宜居、宜业的园区风貌，补齐绿化短板，巩固绿化成果，助力高新区高质量发展，经研究，计划开展开发区春季绿化工作。现将有关事项请示如下：</w:t>
      </w:r>
    </w:p>
    <w:p w14:paraId="697F340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1.上库高新区绿化基本情况</w:t>
      </w:r>
    </w:p>
    <w:p w14:paraId="118C856F">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上库高新区现有绿化面积3700亩。其中，石化园绿化种植面积1800亩，全部为行道树，品种有白蜡、榆树、胡杨、银白杨、山楂、海棠。综合园绿化种植面积1900亩，其中，防风林1000亩，品种为胡杨；行道树500亩，品种为白蜡、榆树、海棠、紫穗槐；片林400亩，品种为白蜡和海棠。</w:t>
      </w:r>
    </w:p>
    <w:p w14:paraId="108D581A">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2.绿化种植范围</w:t>
      </w:r>
    </w:p>
    <w:p w14:paraId="335ADB57">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次春季绿化聚焦高新区主次干道、公共绿地、企业周边等区域，通过补植补种、新栽绿化、整形修剪、病虫害防治等措施，进一步提升绿化覆盖率，优化绿化景观层次，完善绿化管护机制，确保春季绿化种植成活率达到90%以上，增强园区吸引力和竞争力。经现场勘察，此次绿化范围涉及科创中心、鑫源公寓、西域大道、开元路等，具体包括苗木种植采购，施工劳务，绿化土换填，绿化滴灌管线铺设等内容。</w:t>
      </w:r>
    </w:p>
    <w:p w14:paraId="2B3B0DAB">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3.实施计划</w:t>
      </w:r>
    </w:p>
    <w:p w14:paraId="654C521D">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抢抓春季种植黄金期，完成树木种植与支撑固定，同步开展土壤改良与灌溉系统铺设。实施灌木与地被植物种植，完成整体绿化布局，及时开展浇水、覆土等后期养护。</w:t>
      </w:r>
    </w:p>
    <w:p w14:paraId="700BA3D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7月中旬完成项目竣工初验，核查苗木成活率、种植规范度及景观效果。全年开展常态化养护，包括浇水、施肥、修剪、病虫害防治等工作，其中夏季每月浇水2-3次，全年开展2次全覆盖病虫害防治，园林专家定期巡检指导。</w:t>
      </w:r>
    </w:p>
    <w:p w14:paraId="1CB13187">
      <w:pPr>
        <w:pStyle w:val="35"/>
        <w:keepNext w:val="0"/>
        <w:keepLines w:val="0"/>
        <w:pageBreakBefore w:val="0"/>
        <w:widowControl w:val="0"/>
        <w:numPr>
          <w:ilvl w:val="0"/>
          <w:numId w:val="0"/>
        </w:numPr>
        <w:kinsoku/>
        <w:overflowPunct/>
        <w:topLinePunct w:val="0"/>
        <w:autoSpaceDE/>
        <w:autoSpaceDN/>
        <w:bidi w:val="0"/>
        <w:adjustRightInd/>
        <w:textAlignment w:val="auto"/>
        <w:rPr>
          <w:rFonts w:hint="eastAsia" w:ascii="宋体" w:hAnsi="宋体" w:eastAsia="宋体"/>
          <w:b/>
          <w:bCs/>
          <w:snapToGrid w:val="0"/>
          <w:color w:val="auto"/>
          <w:sz w:val="24"/>
          <w:szCs w:val="24"/>
          <w:highlight w:val="none"/>
          <w:lang w:val="en-US" w:eastAsia="zh-CN"/>
        </w:rPr>
      </w:pPr>
      <w:r>
        <w:rPr>
          <w:rFonts w:hint="eastAsia" w:ascii="宋体" w:hAnsi="宋体" w:eastAsia="宋体"/>
          <w:b/>
          <w:bCs/>
          <w:snapToGrid w:val="0"/>
          <w:color w:val="auto"/>
          <w:sz w:val="24"/>
          <w:szCs w:val="24"/>
          <w:highlight w:val="none"/>
          <w:lang w:val="en-US" w:eastAsia="zh-CN"/>
        </w:rPr>
        <w:t>二、质量要求：</w:t>
      </w:r>
    </w:p>
    <w:p w14:paraId="1C1B5D64">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为规范本次苗木采购质量，明确所采购苗木（水蜡、金叶榆、法桐、丁香球、金叶榆球、马兰、蜀葵、马兰花、向日葵、紫穗槐、八宝景天、海棠、白杨、大叶白蜡、小叶白蜡、山楂、枣树、杨树等）的质量标准，保障采购苗木的成活率、观赏价值及使用效果，特制定本质量要求，供方所供苗木需全面符合本要求，若存在不符合项，采购方有权拒收、退换货并追究相关责任。</w:t>
      </w:r>
    </w:p>
    <w:p w14:paraId="23808BB6">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（一）乔木类（金叶榆、白杨、大叶白蜡、小叶白蜡、海棠、山楂、枣树、杨树）</w:t>
      </w:r>
    </w:p>
    <w:p w14:paraId="743466A7">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树形：树干通直挺拔，无明显弯曲、歪斜，分枝点高度统一且符合约定，树形饱满规整，无偏冠、缺枝、断主枝等情况，分枝均匀，长势旺盛。</w:t>
      </w:r>
    </w:p>
    <w:p w14:paraId="2BC76E7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规格：胸径、地径、高度、冠幅等指标符合约定，胸径/地径测量位置、冠幅测量标准需严格按照行业规范执行，误差不超过±5%；树干无明显粗细不均、鼓包等畸形情况。</w:t>
      </w:r>
    </w:p>
    <w:p w14:paraId="75205F3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根系与土球：带土球苗木的土球直径需符合行业规范（一般为胸径的6-8倍），土球紧实、完整，无松散、破损、散坨现象，土球包裹牢固；裸根苗木根系发达、完整，主根明显，须根丰富，无脱水、干枯、腐烂。</w:t>
      </w:r>
    </w:p>
    <w:p w14:paraId="38A396DB">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其他：树皮完整，无大面积剥落、机械损伤，无明显虫孔、蛀干害虫痕迹；叶片繁茂，色泽鲜亮，无明显病虫害症状，整体长势健壮，无老化、衰弱现象。</w:t>
      </w:r>
    </w:p>
    <w:p w14:paraId="6DDF21F5">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（二）灌木及球类（水蜡、丁香球、金叶榆球、紫穗槐）</w:t>
      </w:r>
    </w:p>
    <w:p w14:paraId="2DFE9D9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球类苗木（丁香球、金叶榆球）</w:t>
      </w:r>
    </w:p>
    <w:p w14:paraId="1DEC4F06">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冠形：冠形圆整饱满，无偏冠、脱脚、空心、缺冠等情况，冠幅均匀，分枝密集，枝条健壮，无大面积枯枝、病枝，整体形态规整，符合观赏要求。</w:t>
      </w:r>
    </w:p>
    <w:p w14:paraId="3CB066C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规格：冠幅、蓬径、高度符合约定，误差不超过±5%，冠形密实度达标，无明显空隙，枝条分布均匀，无徒长枝、细弱枝。</w:t>
      </w:r>
    </w:p>
    <w:p w14:paraId="5BC3CB06">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根系：土球完整无松散，土球大小与冠幅匹配，根系发达，无腐烂、干枯，移栽后易成活；枝条无明显机械损伤、虫蛀、病斑。</w:t>
      </w:r>
    </w:p>
    <w:p w14:paraId="323DF059">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2. 灌木苗木（水蜡、紫穗槐）</w:t>
      </w:r>
    </w:p>
    <w:p w14:paraId="4FB2377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株型：株型饱满紧凑，枝条健壮，无明显徒长、倒伏，分枝均匀，无缺枝、断枝，整体长势旺盛。</w:t>
      </w:r>
    </w:p>
    <w:p w14:paraId="1F1216D4">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规格：高度、冠幅、地径符合约定，误差不超过±5%，枝条数量达标，无细弱枝、病枝、枯枝。</w:t>
      </w:r>
    </w:p>
    <w:p w14:paraId="5D5FC22E">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根系：土球完整，根系发达，无腐烂、干枯，须根丰富，移栽成活率高；无明显病虫害，叶片色泽正常，无大面积黄叶、病斑。</w:t>
      </w:r>
    </w:p>
    <w:p w14:paraId="4023120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（三）地被、草花及宿根类（</w:t>
      </w:r>
      <w:r>
        <w:rPr>
          <w:rFonts w:hint="default"/>
          <w:snapToGrid w:val="0"/>
          <w:color w:val="auto"/>
          <w:sz w:val="24"/>
          <w:szCs w:val="24"/>
          <w:highlight w:val="none"/>
          <w:lang w:val="en-US" w:eastAsia="zh-CN"/>
        </w:rPr>
        <w:t>马兰、</w:t>
      </w:r>
      <w:r>
        <w:rPr>
          <w:rFonts w:hint="eastAsia"/>
          <w:snapToGrid w:val="0"/>
          <w:color w:val="auto"/>
          <w:sz w:val="24"/>
          <w:szCs w:val="24"/>
          <w:highlight w:val="none"/>
          <w:lang w:val="en-US" w:eastAsia="zh-CN"/>
        </w:rPr>
        <w:t>马兰花、蜀葵、向日葵、八宝景天）</w:t>
      </w:r>
    </w:p>
    <w:p w14:paraId="78B5E2F9">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植株状态：植株健壮，无徒长、瘦弱、倒伏现象，株高均匀一致，无大小苗混杂情况，整体长势整齐。</w:t>
      </w:r>
    </w:p>
    <w:p w14:paraId="4A8C1108">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叶片与花朵：叶片鲜亮，无病斑、虫眼、药害、枯叶，色泽正常；草花类（蜀葵、向日葵）尽量带蕾或花期一致，花朵饱满，无残花、败蕾；宿根类（</w:t>
      </w:r>
      <w:r>
        <w:rPr>
          <w:rFonts w:hint="default"/>
          <w:snapToGrid w:val="0"/>
          <w:color w:val="auto"/>
          <w:sz w:val="24"/>
          <w:szCs w:val="24"/>
          <w:highlight w:val="none"/>
          <w:lang w:val="en-US" w:eastAsia="zh-CN"/>
        </w:rPr>
        <w:t>马兰、</w:t>
      </w:r>
      <w:r>
        <w:rPr>
          <w:rFonts w:hint="eastAsia"/>
          <w:snapToGrid w:val="0"/>
          <w:color w:val="auto"/>
          <w:sz w:val="24"/>
          <w:szCs w:val="24"/>
          <w:highlight w:val="none"/>
          <w:lang w:val="en-US" w:eastAsia="zh-CN"/>
        </w:rPr>
        <w:t>马兰花、八宝景天）根系发达，萌芽能力强。</w:t>
      </w:r>
    </w:p>
    <w:p w14:paraId="0E16165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根系：带原土坨，根系完整，无窝根、烂根、脱水现象，须根丰富，移栽后易成活；无明显病虫害，无杂草混杂。</w:t>
      </w:r>
    </w:p>
    <w:p w14:paraId="590C7BB9">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b/>
          <w:bCs/>
          <w:snapToGrid w:val="0"/>
          <w:color w:val="auto"/>
          <w:sz w:val="24"/>
          <w:szCs w:val="24"/>
          <w:highlight w:val="none"/>
          <w:lang w:val="en-US" w:eastAsia="zh-CN"/>
        </w:rPr>
      </w:pPr>
      <w:r>
        <w:rPr>
          <w:rFonts w:hint="eastAsia"/>
          <w:snapToGrid w:val="0"/>
          <w:color w:val="auto"/>
          <w:sz w:val="24"/>
          <w:szCs w:val="24"/>
          <w:highlight w:val="none"/>
          <w:lang w:val="en-US" w:eastAsia="zh-CN"/>
        </w:rPr>
        <w:t>规格：株高、冠幅、分蘖数符合约定，误差不超过±5%，无畸形、病弱植株，整体观赏效果良好。</w:t>
      </w:r>
    </w:p>
    <w:p w14:paraId="433FC3DE">
      <w:pPr>
        <w:pStyle w:val="35"/>
        <w:keepNext w:val="0"/>
        <w:keepLines w:val="0"/>
        <w:pageBreakBefore w:val="0"/>
        <w:widowControl w:val="0"/>
        <w:numPr>
          <w:ilvl w:val="0"/>
          <w:numId w:val="0"/>
        </w:numPr>
        <w:kinsoku/>
        <w:overflowPunct/>
        <w:topLinePunct w:val="0"/>
        <w:autoSpaceDE/>
        <w:autoSpaceDN/>
        <w:bidi w:val="0"/>
        <w:adjustRightInd/>
        <w:textAlignment w:val="auto"/>
        <w:rPr>
          <w:rFonts w:hint="eastAsia" w:ascii="宋体" w:hAnsi="宋体" w:eastAsia="宋体"/>
          <w:b/>
          <w:bCs/>
          <w:snapToGrid w:val="0"/>
          <w:color w:val="auto"/>
          <w:sz w:val="24"/>
          <w:szCs w:val="24"/>
          <w:highlight w:val="none"/>
          <w:lang w:val="en-US" w:eastAsia="zh-CN"/>
        </w:rPr>
      </w:pPr>
      <w:r>
        <w:rPr>
          <w:rFonts w:hint="eastAsia" w:ascii="宋体" w:hAnsi="宋体" w:eastAsia="宋体"/>
          <w:b/>
          <w:bCs/>
          <w:snapToGrid w:val="0"/>
          <w:color w:val="auto"/>
          <w:sz w:val="24"/>
          <w:szCs w:val="24"/>
          <w:highlight w:val="none"/>
          <w:lang w:val="en-US" w:eastAsia="zh-CN"/>
        </w:rPr>
        <w:t>三、</w:t>
      </w:r>
      <w:r>
        <w:rPr>
          <w:rFonts w:hint="default" w:ascii="宋体" w:hAnsi="宋体" w:eastAsia="宋体"/>
          <w:b/>
          <w:bCs/>
          <w:snapToGrid w:val="0"/>
          <w:color w:val="auto"/>
          <w:sz w:val="24"/>
          <w:szCs w:val="24"/>
          <w:highlight w:val="none"/>
          <w:lang w:val="en-US" w:eastAsia="zh-CN"/>
        </w:rPr>
        <w:t xml:space="preserve"> </w:t>
      </w:r>
      <w:r>
        <w:rPr>
          <w:rFonts w:hint="eastAsia" w:ascii="宋体" w:hAnsi="宋体" w:eastAsia="宋体"/>
          <w:b/>
          <w:bCs/>
          <w:snapToGrid w:val="0"/>
          <w:color w:val="auto"/>
          <w:sz w:val="24"/>
          <w:szCs w:val="24"/>
          <w:highlight w:val="none"/>
          <w:lang w:val="en-US" w:eastAsia="zh-CN"/>
        </w:rPr>
        <w:t>售后</w:t>
      </w:r>
      <w:r>
        <w:rPr>
          <w:rFonts w:hint="default" w:ascii="宋体" w:hAnsi="宋体" w:eastAsia="宋体"/>
          <w:b/>
          <w:bCs/>
          <w:snapToGrid w:val="0"/>
          <w:color w:val="auto"/>
          <w:sz w:val="24"/>
          <w:szCs w:val="24"/>
          <w:highlight w:val="none"/>
          <w:lang w:val="en-US" w:eastAsia="zh-CN"/>
        </w:rPr>
        <w:t>要求</w:t>
      </w:r>
      <w:r>
        <w:rPr>
          <w:rFonts w:hint="eastAsia" w:ascii="宋体" w:hAnsi="宋体" w:eastAsia="宋体"/>
          <w:b/>
          <w:bCs/>
          <w:snapToGrid w:val="0"/>
          <w:color w:val="auto"/>
          <w:sz w:val="24"/>
          <w:szCs w:val="24"/>
          <w:highlight w:val="none"/>
          <w:lang w:val="en-US" w:eastAsia="zh-CN"/>
        </w:rPr>
        <w:t>：</w:t>
      </w:r>
    </w:p>
    <w:p w14:paraId="0A3A0974">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为保障采购苗木（水蜡、金叶榆、法桐、丁香球、金叶榆球、马兰、蜀葵、马兰花、向日葵、紫穗槐、八宝景天、海棠、白杨、大叶白蜡、小叶白蜡、山楂、枣树、杨树等）的质量与存活，明确供需双方售后责任，特制定本售后要求，供方需严格遵照执行。</w:t>
      </w:r>
    </w:p>
    <w:p w14:paraId="3AF29715">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1.</w:t>
      </w:r>
      <w:r>
        <w:rPr>
          <w:rFonts w:hint="default"/>
          <w:snapToGrid w:val="0"/>
          <w:color w:val="auto"/>
          <w:sz w:val="24"/>
          <w:szCs w:val="24"/>
          <w:highlight w:val="none"/>
          <w:lang w:val="en-US" w:eastAsia="zh-CN"/>
        </w:rPr>
        <w:t>存活保障售后要求</w:t>
      </w:r>
    </w:p>
    <w:p w14:paraId="1510BB7B">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本条款适用于所有采购苗木，供方需承诺苗木栽种后的存活质量，具体要求如下：</w:t>
      </w:r>
    </w:p>
    <w:p w14:paraId="7C83BC50">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存活期限：供方承诺所有苗木栽种后，正常养护条件下（符合苗木生长习性的浇水、施肥、修剪、防寒等养护措施），存活期不少于1年。其中，一年生草本苗木（马兰、蜀葵、马兰花、向日葵）存活期不少于当期生长周期（自栽种成活至花期结束/枯萎期，确保正常开花结实）。</w:t>
      </w:r>
    </w:p>
    <w:p w14:paraId="3264E8D7">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存活标准：苗木栽种后7-15天内扎根成活，叶片无大面积枯萎、脱落，枝干无腐烂、干枯，根系正常生长；球类苗木（丁香球、金叶榆球）冠形完整，无大面积断枝、秃枝；乔木类（法桐、白杨、大叶白蜡、小叶白蜡、山楂、枣树、杨树、金叶榆）树干通直，无明显病虫害，分枝均匀。</w:t>
      </w:r>
    </w:p>
    <w:p w14:paraId="342C9D33">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补植责任：存活期内，若苗木出现枯萎、死亡、长势异常（非采购方养护不当导致），供方需在采购方通知后</w:t>
      </w:r>
      <w:r>
        <w:rPr>
          <w:rFonts w:hint="eastAsia"/>
          <w:snapToGrid w:val="0"/>
          <w:color w:val="auto"/>
          <w:sz w:val="24"/>
          <w:szCs w:val="24"/>
          <w:highlight w:val="none"/>
          <w:lang w:val="en-US" w:eastAsia="zh-CN"/>
        </w:rPr>
        <w:t>3</w:t>
      </w:r>
      <w:r>
        <w:rPr>
          <w:rFonts w:hint="default"/>
          <w:snapToGrid w:val="0"/>
          <w:color w:val="auto"/>
          <w:sz w:val="24"/>
          <w:szCs w:val="24"/>
          <w:highlight w:val="none"/>
          <w:lang w:val="en-US" w:eastAsia="zh-CN"/>
        </w:rPr>
        <w:t>个工作日内，免费提供同等规格、同等质量的苗木进行补植，且承担补植过程中的所有人工、运输、栽种费用。补植后的苗木，存活期重新计算，仍需符合本条款要求。</w:t>
      </w:r>
    </w:p>
    <w:p w14:paraId="6FA78DEC">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养护指导：供方需提供免费的苗木养护指导服务，包括栽种方法、浇水频次、施肥用量、修剪时机、病虫害防治等，确保采购方能够按照正确方法养护苗木，保障苗木存活。</w:t>
      </w:r>
    </w:p>
    <w:p w14:paraId="7C3B7F1D">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2.</w:t>
      </w:r>
      <w:r>
        <w:rPr>
          <w:rFonts w:hint="default"/>
          <w:snapToGrid w:val="0"/>
          <w:color w:val="auto"/>
          <w:sz w:val="24"/>
          <w:szCs w:val="24"/>
          <w:highlight w:val="none"/>
          <w:lang w:val="en-US" w:eastAsia="zh-CN"/>
        </w:rPr>
        <w:t>质量不符售后要求</w:t>
      </w:r>
    </w:p>
    <w:p w14:paraId="73CA3ADA">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供方需保证所供苗木符合约定的规格、质量标准，若出现以下质量不符情况，采购方有权提出退换货或索赔，供方需无条件配合：</w:t>
      </w:r>
    </w:p>
    <w:p w14:paraId="0E0E806F">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规格不符：苗木的高度、地径、冠幅、蓬径、根系长度等指标，不符合约定，误差超过±5%（特殊约定除外）；球类苗木冠形不规整、分枝稀疏，不符合约定标准；草本苗木长势瘦弱、无花苞（约定带花苞采购的）。</w:t>
      </w:r>
    </w:p>
    <w:p w14:paraId="569F5D30">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质量缺陷：苗木存在病虫害（叶片斑点、枝干虫蛀、根系腐烂等）、机械损伤（断枝、折干、根系断裂超过1/3）、形态畸形（树干弯曲、冠形歪斜）等问题，影响苗木存活或观赏价值。</w:t>
      </w:r>
    </w:p>
    <w:p w14:paraId="4F502A16">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品种不符：所供苗木品种与约定不符（如用普通白蜡冒充大叶白蜡、用其他球类冒充丁香球等），无论存活与否，供方需无条件退换货，并承担由此给采购方造成的全部损失（包括人工、运输、栽种等费用）。</w:t>
      </w:r>
    </w:p>
    <w:p w14:paraId="6E6A3355">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处理时限：采购方在苗木接收后，可对苗木质量进行检验，发现质量不符问题，需及时书面或口头通知供方；供方在接到通知后3个工作日内到场核实，核实无误后，</w:t>
      </w:r>
      <w:r>
        <w:rPr>
          <w:rFonts w:hint="eastAsia"/>
          <w:snapToGrid w:val="0"/>
          <w:color w:val="auto"/>
          <w:sz w:val="24"/>
          <w:szCs w:val="24"/>
          <w:highlight w:val="none"/>
          <w:lang w:val="en-US" w:eastAsia="zh-CN"/>
        </w:rPr>
        <w:t>3</w:t>
      </w:r>
      <w:r>
        <w:rPr>
          <w:rFonts w:hint="default"/>
          <w:snapToGrid w:val="0"/>
          <w:color w:val="auto"/>
          <w:sz w:val="24"/>
          <w:szCs w:val="24"/>
          <w:highlight w:val="none"/>
          <w:lang w:val="en-US" w:eastAsia="zh-CN"/>
        </w:rPr>
        <w:t>个工作日内完成退换货或补植，逾期未处理的，采购方有权扣除相应货款或追究违约责任。</w:t>
      </w:r>
    </w:p>
    <w:p w14:paraId="5D105843">
      <w:pPr>
        <w:pStyle w:val="35"/>
        <w:keepNext w:val="0"/>
        <w:keepLines w:val="0"/>
        <w:pageBreakBefore w:val="0"/>
        <w:widowControl w:val="0"/>
        <w:numPr>
          <w:ilvl w:val="0"/>
          <w:numId w:val="0"/>
        </w:numPr>
        <w:kinsoku/>
        <w:overflowPunct/>
        <w:topLinePunct w:val="0"/>
        <w:autoSpaceDE/>
        <w:autoSpaceDN/>
        <w:bidi w:val="0"/>
        <w:adjustRightInd/>
        <w:ind w:left="480" w:left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 补充要求</w:t>
      </w:r>
    </w:p>
    <w:p w14:paraId="2611D11E">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供方需承诺所供苗木均为新鲜、健壮、无老化、无二次移栽的优质苗木，严禁提供假苗、弱苗、病苗、老化苗、徒长苗。</w:t>
      </w:r>
    </w:p>
    <w:p w14:paraId="21C54CBF">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苗木运输过程中，供方需采取防护措施，避免苗木受到机械损伤、脱水、冻害（冬季采购）、灼伤（夏季采购）等影响，若因运输不当导致苗木质量下降，由供方承担全部责任。</w:t>
      </w:r>
    </w:p>
    <w:p w14:paraId="4E53FCD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本质量要求未尽事宜，按照国家及行业相关苗木质量标准执行；若双方对苗木质量有争议，可委托第三方专业机构进行检测，检测费用由责任方承担。</w:t>
      </w:r>
    </w:p>
    <w:p w14:paraId="66990830">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3.</w:t>
      </w:r>
      <w:r>
        <w:rPr>
          <w:rFonts w:hint="default" w:ascii="宋体" w:hAnsi="宋体" w:eastAsia="宋体"/>
          <w:snapToGrid w:val="0"/>
          <w:color w:val="auto"/>
          <w:sz w:val="24"/>
          <w:szCs w:val="24"/>
          <w:highlight w:val="none"/>
          <w:lang w:val="en-US" w:eastAsia="zh-CN"/>
        </w:rPr>
        <w:t>运输及栽种相关售后要求</w:t>
      </w:r>
    </w:p>
    <w:p w14:paraId="27F7619B">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运输保障：供方负责苗木的运输，运输过程中需采取合理的保鲜、保湿、防损伤措施（如根部包裹、枝叶喷水、固定苗木等），避免苗木脱水、断枝、根系受损。若因运输不当导致苗木质量下降、无法存活，供方需承担全部责任，免费更换苗木或退还对应货款。</w:t>
      </w:r>
    </w:p>
    <w:p w14:paraId="2B0B9FE7">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栽种配合：供方需配合采购方完成苗木栽种工作，提供专业的栽种技术指导，确保栽种方法正确，避免因栽种不当导致苗木死亡。若因供方栽种指导失误导致苗木存活问题，供方需承担补植责任。</w:t>
      </w:r>
    </w:p>
    <w:p w14:paraId="6F5F52F7">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苗木损耗：运输及栽种过程中，苗木正常损耗（如少量叶片脱落、细小枝条折断）不超过5%，超过部分由供方承担，需免费补充对应数量的苗木。</w:t>
      </w:r>
    </w:p>
    <w:p w14:paraId="47041FFC">
      <w:pPr>
        <w:pStyle w:val="35"/>
        <w:keepNext w:val="0"/>
        <w:keepLines w:val="0"/>
        <w:pageBreakBefore w:val="0"/>
        <w:widowControl w:val="0"/>
        <w:kinsoku/>
        <w:overflowPunct/>
        <w:topLinePunct w:val="0"/>
        <w:autoSpaceDE/>
        <w:autoSpaceDN/>
        <w:bidi w:val="0"/>
        <w:adjustRightInd/>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4.</w:t>
      </w:r>
      <w:r>
        <w:rPr>
          <w:rFonts w:hint="default" w:ascii="宋体" w:hAnsi="宋体" w:eastAsia="宋体"/>
          <w:snapToGrid w:val="0"/>
          <w:color w:val="auto"/>
          <w:sz w:val="24"/>
          <w:szCs w:val="24"/>
          <w:highlight w:val="none"/>
          <w:lang w:val="en-US" w:eastAsia="zh-CN"/>
        </w:rPr>
        <w:t>病虫害售后要求</w:t>
      </w:r>
    </w:p>
    <w:p w14:paraId="0E5B3E5D">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供方承诺所供苗木无明显病虫害，且在存活期内，若苗木出现突发性、大面积病虫害（非采购方养护不当或外界环境突变导致），供方需在接到采购方通知后3个工作日内到场处理，提供免费的病虫害防治方案及药剂，指导采购方进行防治；若防治无效导致苗木死亡，供方需按照本要求第一条第三款规定进行补植。</w:t>
      </w:r>
    </w:p>
    <w:p w14:paraId="39AA3C7B">
      <w:pPr>
        <w:pStyle w:val="35"/>
        <w:keepNext w:val="0"/>
        <w:keepLines w:val="0"/>
        <w:pageBreakBefore w:val="0"/>
        <w:widowControl w:val="0"/>
        <w:kinsoku/>
        <w:overflowPunct/>
        <w:topLinePunct w:val="0"/>
        <w:autoSpaceDE/>
        <w:autoSpaceDN/>
        <w:bidi w:val="0"/>
        <w:adjustRightInd/>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5.</w:t>
      </w:r>
      <w:r>
        <w:rPr>
          <w:rFonts w:hint="default" w:ascii="宋体" w:hAnsi="宋体" w:eastAsia="宋体"/>
          <w:snapToGrid w:val="0"/>
          <w:color w:val="auto"/>
          <w:sz w:val="24"/>
          <w:szCs w:val="24"/>
          <w:highlight w:val="none"/>
          <w:lang w:val="en-US" w:eastAsia="zh-CN"/>
        </w:rPr>
        <w:t>售后响应及责任界定</w:t>
      </w:r>
    </w:p>
    <w:p w14:paraId="71DC6C94">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响应时限：供方需在</w:t>
      </w:r>
      <w:r>
        <w:rPr>
          <w:rFonts w:hint="eastAsia"/>
          <w:snapToGrid w:val="0"/>
          <w:color w:val="auto"/>
          <w:sz w:val="24"/>
          <w:szCs w:val="24"/>
          <w:highlight w:val="none"/>
          <w:lang w:val="en-US" w:eastAsia="zh-CN"/>
        </w:rPr>
        <w:t>7*</w:t>
      </w:r>
      <w:r>
        <w:rPr>
          <w:rFonts w:hint="default"/>
          <w:snapToGrid w:val="0"/>
          <w:color w:val="auto"/>
          <w:sz w:val="24"/>
          <w:szCs w:val="24"/>
          <w:highlight w:val="none"/>
          <w:lang w:val="en-US" w:eastAsia="zh-CN"/>
        </w:rPr>
        <w:t>24小时响应，明确处理方案及时间节点。</w:t>
      </w:r>
    </w:p>
    <w:p w14:paraId="00BA07AB">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责任界定：因供方苗木质量、运输不当、技术指导失误导致的苗木死亡、质量问题，由供方承担全部责任；因采购方未按照供方指导进行养护（如浇水过多/过少、施肥不当、未及时防治病虫害等）导致的苗木问题，由采购方自行承担责任。</w:t>
      </w:r>
    </w:p>
    <w:p w14:paraId="133014B9">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售后期限：本售后要求自苗木栽种成活之日起计算，乔木、灌木、球类苗木售后期限为1年，草本苗木售后期限为当期生长周期，逾期供方不再承担售后责任（特殊约定除外）。</w:t>
      </w:r>
    </w:p>
    <w:p w14:paraId="3355D892">
      <w:pPr>
        <w:pStyle w:val="35"/>
        <w:keepNext w:val="0"/>
        <w:keepLines w:val="0"/>
        <w:pageBreakBefore w:val="0"/>
        <w:widowControl w:val="0"/>
        <w:numPr>
          <w:ilvl w:val="0"/>
          <w:numId w:val="0"/>
        </w:numPr>
        <w:kinsoku/>
        <w:overflowPunct/>
        <w:topLinePunct w:val="0"/>
        <w:autoSpaceDE/>
        <w:autoSpaceDN/>
        <w:bidi w:val="0"/>
        <w:adjustRightInd/>
        <w:textAlignment w:val="auto"/>
        <w:rPr>
          <w:rFonts w:hint="default" w:ascii="宋体" w:hAnsi="宋体" w:eastAsia="宋体"/>
          <w:b/>
          <w:bCs/>
          <w:snapToGrid w:val="0"/>
          <w:color w:val="auto"/>
          <w:sz w:val="24"/>
          <w:szCs w:val="24"/>
          <w:highlight w:val="none"/>
          <w:lang w:val="en-US" w:eastAsia="zh-CN"/>
        </w:rPr>
      </w:pPr>
      <w:r>
        <w:rPr>
          <w:rFonts w:hint="eastAsia" w:ascii="宋体" w:hAnsi="宋体" w:eastAsia="宋体"/>
          <w:b/>
          <w:bCs/>
          <w:snapToGrid w:val="0"/>
          <w:color w:val="auto"/>
          <w:sz w:val="24"/>
          <w:szCs w:val="24"/>
          <w:highlight w:val="none"/>
          <w:lang w:val="en-US" w:eastAsia="zh-CN"/>
        </w:rPr>
        <w:t>四</w:t>
      </w:r>
      <w:r>
        <w:rPr>
          <w:rFonts w:hint="default" w:ascii="宋体" w:hAnsi="宋体" w:eastAsia="宋体"/>
          <w:b/>
          <w:bCs/>
          <w:snapToGrid w:val="0"/>
          <w:color w:val="auto"/>
          <w:sz w:val="24"/>
          <w:szCs w:val="24"/>
          <w:highlight w:val="none"/>
          <w:lang w:val="en-US" w:eastAsia="zh-CN"/>
        </w:rPr>
        <w:t>、其他补充要求</w:t>
      </w:r>
    </w:p>
    <w:p w14:paraId="532C70F8">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供方需提供苗木的相关检疫证明、质量合格证明，确保苗木符合国家及地方相关苗木种植标准，无检疫性病虫害。</w:t>
      </w:r>
    </w:p>
    <w:p w14:paraId="74EA0B1A">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若采购方有特殊售后需求（如提前养护培训、定期上门巡检等），供方需积极配合，协商确定具体服务内容及方式。</w:t>
      </w:r>
    </w:p>
    <w:p w14:paraId="0A7213FE">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黑体" w:cstheme="minorBidi"/>
          <w:b/>
          <w:bCs/>
          <w:color w:val="auto"/>
          <w:kern w:val="44"/>
          <w:sz w:val="44"/>
          <w:szCs w:val="44"/>
          <w:highlight w:val="none"/>
          <w:lang w:val="en-US" w:eastAsia="zh-CN" w:bidi="ar-SA"/>
        </w:rPr>
      </w:pPr>
      <w:r>
        <w:rPr>
          <w:rFonts w:hint="default"/>
          <w:snapToGrid w:val="0"/>
          <w:color w:val="auto"/>
          <w:sz w:val="24"/>
          <w:szCs w:val="24"/>
          <w:highlight w:val="none"/>
          <w:lang w:val="en-US" w:eastAsia="zh-CN"/>
        </w:rPr>
        <w:t>供方需严格履行以上所有条款，确保采购方合法权益。</w:t>
      </w:r>
      <w:bookmarkEnd w:id="442"/>
      <w:bookmarkEnd w:id="443"/>
      <w:bookmarkEnd w:id="444"/>
    </w:p>
    <w:p w14:paraId="127855AE">
      <w:pPr>
        <w:pStyle w:val="35"/>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ind w:left="0" w:leftChars="0" w:firstLine="0" w:firstLineChars="0"/>
        <w:textAlignment w:val="auto"/>
        <w:rPr>
          <w:rFonts w:hint="eastAsia"/>
          <w:b/>
          <w:bCs/>
          <w:i w:val="0"/>
          <w:iCs w:val="0"/>
          <w:snapToGrid w:val="0"/>
          <w:color w:val="auto"/>
          <w:sz w:val="24"/>
          <w:szCs w:val="24"/>
          <w:highlight w:val="none"/>
          <w:lang w:val="en-US" w:eastAsia="zh-CN"/>
        </w:rPr>
      </w:pPr>
      <w:r>
        <w:rPr>
          <w:rFonts w:hint="eastAsia" w:cstheme="minorBidi"/>
          <w:b/>
          <w:bCs/>
          <w:i w:val="0"/>
          <w:iCs w:val="0"/>
          <w:snapToGrid w:val="0"/>
          <w:color w:val="auto"/>
          <w:kern w:val="2"/>
          <w:sz w:val="24"/>
          <w:szCs w:val="24"/>
          <w:lang w:val="en-US" w:eastAsia="zh-CN" w:bidi="ar-SA"/>
        </w:rPr>
        <w:t>五</w:t>
      </w:r>
      <w:r>
        <w:rPr>
          <w:rFonts w:hint="eastAsia" w:ascii="宋体" w:hAnsi="宋体" w:eastAsia="宋体" w:cstheme="minorBidi"/>
          <w:b/>
          <w:bCs/>
          <w:i w:val="0"/>
          <w:iCs w:val="0"/>
          <w:snapToGrid w:val="0"/>
          <w:color w:val="auto"/>
          <w:kern w:val="2"/>
          <w:sz w:val="24"/>
          <w:szCs w:val="24"/>
          <w:lang w:val="en-US" w:eastAsia="zh-CN" w:bidi="ar-SA"/>
        </w:rPr>
        <w:t>、</w:t>
      </w:r>
      <w:r>
        <w:rPr>
          <w:rFonts w:hint="eastAsia" w:ascii="宋体" w:hAnsi="宋体" w:eastAsia="宋体"/>
          <w:b/>
          <w:bCs/>
          <w:i w:val="0"/>
          <w:iCs w:val="0"/>
          <w:snapToGrid w:val="0"/>
          <w:color w:val="auto"/>
          <w:sz w:val="24"/>
          <w:szCs w:val="24"/>
          <w:highlight w:val="none"/>
          <w:lang w:val="en-US" w:eastAsia="zh-CN"/>
        </w:rPr>
        <w:t>其他要求</w:t>
      </w:r>
      <w:r>
        <w:rPr>
          <w:rFonts w:hint="eastAsia"/>
          <w:b/>
          <w:bCs/>
          <w:i w:val="0"/>
          <w:iCs w:val="0"/>
          <w:snapToGrid w:val="0"/>
          <w:color w:val="auto"/>
          <w:sz w:val="24"/>
          <w:szCs w:val="24"/>
          <w:highlight w:val="none"/>
          <w:lang w:val="en-US" w:eastAsia="zh-CN"/>
        </w:rPr>
        <w:t>:</w:t>
      </w:r>
    </w:p>
    <w:p w14:paraId="000404A0">
      <w:pPr>
        <w:pStyle w:val="35"/>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ind w:leftChars="0" w:firstLine="480" w:firstLineChars="200"/>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w:t>
      </w:r>
    </w:p>
    <w:p w14:paraId="782243DC">
      <w:pPr>
        <w:pStyle w:val="35"/>
        <w:keepNext w:val="0"/>
        <w:keepLines w:val="0"/>
        <w:pageBreakBefore w:val="0"/>
        <w:widowControl w:val="0"/>
        <w:kinsoku/>
        <w:overflowPunct/>
        <w:topLinePunct w:val="0"/>
        <w:autoSpaceDE/>
        <w:autoSpaceDN/>
        <w:bidi w:val="0"/>
        <w:adjustRightInd/>
        <w:textAlignment w:val="auto"/>
        <w:rPr>
          <w:rFonts w:hint="default" w:ascii="宋体" w:hAnsi="宋体" w:eastAsia="宋体"/>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1.1交付（实施）的时间：合同签订生效之日起12个月内按采购人需求供货及种植。</w:t>
      </w:r>
    </w:p>
    <w:p w14:paraId="2C3AD0DA">
      <w:pPr>
        <w:pStyle w:val="35"/>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ascii="宋体" w:hAnsi="宋体" w:eastAsia="宋体"/>
          <w:snapToGrid w:val="0"/>
          <w:color w:val="auto"/>
          <w:sz w:val="24"/>
          <w:szCs w:val="24"/>
          <w:highlight w:val="none"/>
          <w:lang w:val="en-US" w:eastAsia="zh-CN"/>
        </w:rPr>
        <w:t>1.2地点（范围）：采购指定地点。</w:t>
      </w:r>
    </w:p>
    <w:p w14:paraId="47FD1D38">
      <w:pPr>
        <w:pStyle w:val="35"/>
        <w:keepNext w:val="0"/>
        <w:keepLines w:val="0"/>
        <w:pageBreakBefore w:val="0"/>
        <w:widowControl w:val="0"/>
        <w:numPr>
          <w:ilvl w:val="0"/>
          <w:numId w:val="1"/>
        </w:numPr>
        <w:kinsoku/>
        <w:overflowPunct/>
        <w:topLinePunct w:val="0"/>
        <w:autoSpaceDE/>
        <w:autoSpaceDN/>
        <w:bidi w:val="0"/>
        <w:adjustRightInd/>
        <w:ind w:left="280" w:leftChars="0" w:firstLine="200"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 xml:space="preserve">付款条件（进度和方式）：货物到达指定地点的15日内支付合同总价款的50%。验收合格之后15日内支付剩余50%。 </w:t>
      </w:r>
    </w:p>
    <w:p w14:paraId="59F69B68">
      <w:pPr>
        <w:pStyle w:val="35"/>
        <w:keepNext w:val="0"/>
        <w:keepLines w:val="0"/>
        <w:pageBreakBefore w:val="0"/>
        <w:widowControl w:val="0"/>
        <w:numPr>
          <w:ilvl w:val="0"/>
          <w:numId w:val="1"/>
        </w:numPr>
        <w:kinsoku/>
        <w:overflowPunct/>
        <w:topLinePunct w:val="0"/>
        <w:autoSpaceDE/>
        <w:autoSpaceDN/>
        <w:bidi w:val="0"/>
        <w:adjustRightInd/>
        <w:ind w:left="280" w:leftChars="0" w:firstLine="200" w:firstLineChars="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质量验收要求</w:t>
      </w:r>
    </w:p>
    <w:p w14:paraId="7BC56318">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3.1验收时间：苗木到场后，采购方将依据《新疆主要造林树种苗木质量分级》（DB65/T 2201-2014）在24小时内组织验收，供方需到场配合，共同核对苗木品种、规格、质量及相关证明文件。</w:t>
      </w:r>
    </w:p>
    <w:p w14:paraId="5B6CDE7F">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3.2验收标准：严格按照本质量要求及采购合同约定执行，逐批、逐株核对，重点检查品种、规格、病虫害、土球完整性等关键指标。不合格苗木（如规格不符、病虫害、土球松散）需24小时内更换。</w:t>
      </w:r>
    </w:p>
    <w:p w14:paraId="0FC21D0C">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3.3不合格处理：验收过程中发现苗木不符合本要求或合同约定（如品种不符、规格超标、病虫害、土球破损等），采购方有权当场拒收，供方需在约定时间内无条件更换合格苗木，或退还对应货款；若更换后仍不符合要求，采购方有权解除合同，并追究供方违约责任。</w:t>
      </w:r>
    </w:p>
    <w:p w14:paraId="2E666573">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3.4验收留存：验收合格后，双方共同签署验收单，作为苗木质量合格的凭证；验收过程中可对苗木进行拍照留底，便于后期追溯。</w:t>
      </w:r>
    </w:p>
    <w:p w14:paraId="2E41D113">
      <w:pPr>
        <w:rPr>
          <w:rFonts w:hint="eastAsia" w:ascii="宋体" w:hAnsi="宋体" w:eastAsia="宋体" w:cs="宋体"/>
          <w:b/>
          <w:bCs/>
          <w:color w:val="auto"/>
          <w:kern w:val="44"/>
          <w:sz w:val="36"/>
          <w:szCs w:val="36"/>
          <w:highlight w:val="none"/>
          <w:lang w:val="en-US" w:eastAsia="zh-CN" w:bidi="ar-SA"/>
        </w:rPr>
      </w:pPr>
      <w:bookmarkStart w:id="445" w:name="_Toc716"/>
      <w:bookmarkStart w:id="446" w:name="_Toc10757"/>
      <w:r>
        <w:rPr>
          <w:rFonts w:hint="eastAsia" w:ascii="宋体" w:hAnsi="宋体" w:eastAsia="宋体" w:cs="宋体"/>
          <w:b/>
          <w:bCs/>
          <w:color w:val="auto"/>
          <w:kern w:val="44"/>
          <w:sz w:val="36"/>
          <w:szCs w:val="36"/>
          <w:highlight w:val="none"/>
          <w:lang w:val="en-US" w:eastAsia="zh-CN" w:bidi="ar-SA"/>
        </w:rPr>
        <w:br w:type="page"/>
      </w:r>
    </w:p>
    <w:p w14:paraId="28FA2165">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评审方法及标准</w:t>
      </w:r>
      <w:bookmarkEnd w:id="445"/>
      <w:bookmarkEnd w:id="446"/>
    </w:p>
    <w:p w14:paraId="3C2D8384">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47" w:name="_Toc17539"/>
      <w:bookmarkStart w:id="448" w:name="_Toc28495"/>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47"/>
      <w:bookmarkEnd w:id="448"/>
    </w:p>
    <w:p w14:paraId="53640E9C">
      <w:pPr>
        <w:pStyle w:val="35"/>
        <w:keepNext w:val="0"/>
        <w:keepLines w:val="0"/>
        <w:pageBreakBefore w:val="0"/>
        <w:widowControl w:val="0"/>
        <w:kinsoku/>
        <w:wordWrap w:val="0"/>
        <w:overflowPunct/>
        <w:topLinePunct w:val="0"/>
        <w:autoSpaceDE/>
        <w:autoSpaceDN/>
        <w:bidi w:val="0"/>
        <w:adjustRightInd/>
        <w:snapToGrid/>
        <w:spacing w:line="420" w:lineRule="exact"/>
        <w:ind w:firstLine="480"/>
        <w:textAlignment w:val="auto"/>
        <w:rPr>
          <w:rFonts w:hint="eastAsia" w:ascii="宋体" w:hAnsi="宋体" w:eastAsia="宋体" w:cs="宋体"/>
          <w:color w:val="auto"/>
          <w:highlight w:val="none"/>
        </w:rPr>
      </w:pPr>
      <w:r>
        <w:rPr>
          <w:rFonts w:hint="eastAsia" w:cs="宋体"/>
          <w:color w:val="auto"/>
          <w:highlight w:val="none"/>
          <w:lang w:val="en-US" w:eastAsia="zh-CN"/>
        </w:rPr>
        <w:t>评审方法：</w:t>
      </w:r>
      <w:r>
        <w:rPr>
          <w:rFonts w:hint="eastAsia" w:ascii="宋体" w:hAnsi="宋体" w:eastAsia="宋体" w:cs="宋体"/>
          <w:color w:val="auto"/>
          <w:highlight w:val="none"/>
          <w:lang w:val="en-US" w:eastAsia="zh-CN"/>
        </w:rPr>
        <w:t>谈判小组与符合资格条件的供应商就采购货物、工程和服务事宜进行谈判，供应商按照谈判文件的要求提交响应文件和最后报价</w:t>
      </w:r>
      <w:r>
        <w:rPr>
          <w:rFonts w:hint="eastAsia" w:ascii="宋体" w:hAnsi="宋体" w:eastAsia="宋体" w:cs="宋体"/>
          <w:b/>
          <w:bCs/>
          <w:color w:val="auto"/>
          <w:szCs w:val="24"/>
          <w:highlight w:val="none"/>
          <w:lang w:val="zh-CN"/>
        </w:rPr>
        <w:t>（因落实政府采购政策进行价格调整的，以调整后的价格计算）</w:t>
      </w:r>
      <w:r>
        <w:rPr>
          <w:rFonts w:hint="eastAsia" w:ascii="宋体" w:hAnsi="宋体" w:eastAsia="宋体" w:cs="宋体"/>
          <w:color w:val="auto"/>
          <w:highlight w:val="none"/>
          <w:lang w:val="en-US" w:eastAsia="zh-CN"/>
        </w:rPr>
        <w:t>，采购人从谈判小组提出的成交候选人中确定成交供应商</w:t>
      </w:r>
      <w:r>
        <w:rPr>
          <w:rFonts w:hint="eastAsia" w:ascii="宋体" w:hAnsi="宋体" w:eastAsia="宋体" w:cs="宋体"/>
          <w:color w:val="auto"/>
          <w:highlight w:val="none"/>
        </w:rPr>
        <w:t>。</w:t>
      </w:r>
    </w:p>
    <w:p w14:paraId="2E5B7BB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49" w:name="_Toc24199"/>
      <w:bookmarkStart w:id="450" w:name="_Toc662"/>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49"/>
      <w:bookmarkEnd w:id="450"/>
    </w:p>
    <w:p w14:paraId="2541236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1" w:name="_Toc1596"/>
      <w:bookmarkStart w:id="452"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51"/>
      <w:bookmarkEnd w:id="452"/>
    </w:p>
    <w:p w14:paraId="6C7F2EBF">
      <w:pPr>
        <w:keepNext w:val="0"/>
        <w:keepLines w:val="0"/>
        <w:pageBreakBefore w:val="0"/>
        <w:widowControl w:val="0"/>
        <w:tabs>
          <w:tab w:val="left" w:pos="312"/>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文件规定的供应商资格条件、评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成交的标准等事项，对供应商的响应文件进行评审。资格审查和符合性审查不符合</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文件要求的响应文件，按</w:t>
      </w:r>
      <w:r>
        <w:rPr>
          <w:rFonts w:hint="eastAsia" w:ascii="宋体" w:hAnsi="宋体" w:eastAsia="宋体" w:cs="宋体"/>
          <w:b/>
          <w:bCs/>
          <w:color w:val="auto"/>
          <w:sz w:val="24"/>
          <w:szCs w:val="24"/>
          <w:highlight w:val="none"/>
        </w:rPr>
        <w:t>无效文件</w:t>
      </w:r>
      <w:r>
        <w:rPr>
          <w:rFonts w:hint="eastAsia" w:ascii="宋体" w:hAnsi="宋体" w:eastAsia="宋体" w:cs="宋体"/>
          <w:color w:val="auto"/>
          <w:sz w:val="24"/>
          <w:szCs w:val="24"/>
          <w:highlight w:val="none"/>
        </w:rPr>
        <w:t>处理，不进入</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，并告知有关供应商</w:t>
      </w:r>
      <w:r>
        <w:rPr>
          <w:rFonts w:hint="eastAsia" w:ascii="宋体" w:hAnsi="宋体" w:eastAsia="宋体" w:cs="宋体"/>
          <w:color w:val="auto"/>
          <w:sz w:val="24"/>
          <w:szCs w:val="24"/>
          <w:highlight w:val="none"/>
          <w:lang w:val="zh-CN"/>
        </w:rPr>
        <w:t>。</w:t>
      </w:r>
    </w:p>
    <w:p w14:paraId="1C382249">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2.同品牌检查：</w:t>
      </w:r>
    </w:p>
    <w:p w14:paraId="30880557">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2.1单一产品采购（或非单一产品采购中的核心产品），提供相同品牌产品且通过资格审查、符合性审查的不同供应商参加同一合同项下谈判的，按一家供应商计算。</w:t>
      </w:r>
    </w:p>
    <w:p w14:paraId="6D41A4A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52208256">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2.3有效品牌不足3家的应按废标处理</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2480155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53" w:name="_Toc163493635"/>
      <w:bookmarkStart w:id="454" w:name="_Toc11015"/>
      <w:bookmarkStart w:id="455" w:name="_Hlk158124046"/>
      <w:bookmarkStart w:id="456" w:name="_Toc102116178"/>
      <w:bookmarkStart w:id="457" w:name="_Toc102116048"/>
      <w:bookmarkStart w:id="458" w:name="_Toc102056244"/>
      <w:bookmarkStart w:id="459" w:name="_Toc102119879"/>
      <w:bookmarkStart w:id="460" w:name="_Toc102114946"/>
      <w:bookmarkStart w:id="461" w:name="_Toc102057744"/>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53"/>
      <w:bookmarkEnd w:id="454"/>
    </w:p>
    <w:p w14:paraId="4E589A4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1.评审期间，</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在对响应文件的有效性、完整性和响应程度进行审查时，可以要求供应商对响应文件中含义不明确、同类问题表述不一致或者有明显文字和计算错误的内容等作出必要的澄清、说明或者更正。供应商应按照谈判小组要求在规定时间内作出澄清、说明或者补正，澄清、说明或者补正不得超出响应文件的范围或者改变响应文件的实质性内容。</w:t>
      </w:r>
    </w:p>
    <w:p w14:paraId="7D6F80BE">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2.谈判小组应当以书面形式要求供应商作出澄清、说明或者更正响应文件。供应商的澄清、说明或者更正</w:t>
      </w:r>
      <w:r>
        <w:rPr>
          <w:rFonts w:hint="eastAsia" w:ascii="宋体" w:hAnsi="宋体" w:eastAsia="宋体" w:cs="宋体"/>
          <w:color w:val="auto"/>
          <w:sz w:val="24"/>
          <w:szCs w:val="24"/>
          <w:highlight w:val="none"/>
        </w:rPr>
        <w:t>是其响应文件的有效组成部分，澄清、说明或者补正应当以书面的方式</w:t>
      </w:r>
      <w:r>
        <w:rPr>
          <w:rFonts w:hint="eastAsia" w:ascii="宋体" w:hAnsi="宋体" w:eastAsia="宋体" w:cs="宋体"/>
          <w:color w:val="auto"/>
          <w:sz w:val="24"/>
          <w:szCs w:val="24"/>
          <w:highlight w:val="none"/>
          <w:lang w:val="en-US" w:eastAsia="zh-CN"/>
        </w:rPr>
        <w:t>由法定代表人或其授权代表签字或者加盖公章（</w:t>
      </w:r>
      <w:r>
        <w:rPr>
          <w:rFonts w:hint="eastAsia" w:ascii="宋体" w:hAnsi="宋体" w:eastAsia="宋体" w:cs="宋体"/>
          <w:color w:val="auto"/>
          <w:sz w:val="24"/>
          <w:szCs w:val="24"/>
          <w:highlight w:val="none"/>
        </w:rPr>
        <w:t>电子印章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后提交</w:t>
      </w:r>
      <w:r>
        <w:rPr>
          <w:rFonts w:hint="eastAsia" w:ascii="宋体" w:hAnsi="宋体" w:eastAsia="宋体" w:cs="宋体"/>
          <w:color w:val="auto"/>
          <w:sz w:val="24"/>
          <w:szCs w:val="24"/>
          <w:highlight w:val="none"/>
          <w:lang w:val="en-US" w:eastAsia="zh-CN"/>
        </w:rPr>
        <w:t>。由授权代表签字的，应当附法定代表人授权书。供应商为自然人的，应当由本人签字并附身份证明。</w:t>
      </w:r>
    </w:p>
    <w:bookmarkEnd w:id="455"/>
    <w:p w14:paraId="27E4E05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62" w:name="_Toc13539"/>
      <w:bookmarkStart w:id="463"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谈判程序</w:t>
      </w:r>
      <w:bookmarkEnd w:id="462"/>
      <w:bookmarkEnd w:id="463"/>
    </w:p>
    <w:p w14:paraId="3B21DF86">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小组应当依据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文件规定的程序、评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成交的标准等事项与</w:t>
      </w:r>
      <w:r>
        <w:rPr>
          <w:rFonts w:hint="eastAsia" w:ascii="宋体" w:hAnsi="宋体" w:eastAsia="宋体" w:cs="宋体"/>
          <w:color w:val="auto"/>
          <w:sz w:val="24"/>
          <w:szCs w:val="24"/>
          <w:highlight w:val="none"/>
          <w:lang w:val="zh-CN"/>
        </w:rPr>
        <w:t>实质性</w:t>
      </w:r>
      <w:r>
        <w:rPr>
          <w:rFonts w:hint="eastAsia" w:ascii="宋体" w:hAnsi="宋体" w:eastAsia="宋体" w:cs="宋体"/>
          <w:color w:val="auto"/>
          <w:sz w:val="24"/>
          <w:szCs w:val="24"/>
          <w:highlight w:val="none"/>
        </w:rPr>
        <w:t>响应</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文件要求的供应商进行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410355B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1.第一轮谈判</w:t>
      </w:r>
    </w:p>
    <w:p w14:paraId="0B92300B">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小组将按照系统随机的顺序决定供应商的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顺序，并集中与单一供应商分别进行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7F6A6EA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小组所有成员应当对照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文件和响应文件就采购需求、质量和服务等内容集中与单一供应商分别进行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，并给予所有参加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的供应商平等的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机会。在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的任何一方不得透露与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有关的其他供应商的技术资料、价格和其他信息。</w:t>
      </w:r>
    </w:p>
    <w:p w14:paraId="1BC6C917">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过程中，</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文件中的其他内容。实质性变动的内容，须经采购人代表确认。</w:t>
      </w:r>
    </w:p>
    <w:p w14:paraId="26C7DC2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文件作出的实质性变动的内容是</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文件的有效组成部分。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小组应将</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文件的变动情况以书面</w:t>
      </w:r>
      <w:r>
        <w:rPr>
          <w:rFonts w:hint="eastAsia" w:ascii="宋体" w:hAnsi="宋体" w:eastAsia="宋体" w:cs="宋体"/>
          <w:color w:val="auto"/>
          <w:sz w:val="24"/>
          <w:szCs w:val="24"/>
          <w:highlight w:val="none"/>
          <w:lang w:val="en-US" w:eastAsia="zh-CN"/>
        </w:rPr>
        <w:t>形</w:t>
      </w:r>
      <w:r>
        <w:rPr>
          <w:rFonts w:hint="eastAsia" w:ascii="宋体" w:hAnsi="宋体" w:eastAsia="宋体" w:cs="宋体"/>
          <w:color w:val="auto"/>
          <w:sz w:val="24"/>
          <w:szCs w:val="24"/>
          <w:highlight w:val="none"/>
        </w:rPr>
        <w:t>式通知所有参加</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w:t>
      </w:r>
    </w:p>
    <w:p w14:paraId="708F2F98">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1.5供应商应当按照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文件的变动情况和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的要求在规定的时间内重新提交响应文件，并由其法定代表人或授权代表签字或者加盖公章。由授权代表签字的，应当附法定代表人授权书。供应商为自然人的，应当由本人签字并附身份证明。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296A5BF1">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2.多轮谈判</w:t>
      </w:r>
    </w:p>
    <w:p w14:paraId="07D8F4C4">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由供应商提供最终设计方案或解决方案的项目，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小组可以根据采购人对采购需求的确认情况，进行多轮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，直到采购人代表最终确认采购需求为止。</w:t>
      </w:r>
    </w:p>
    <w:p w14:paraId="7990D9D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程序同第一轮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0F051FC6">
      <w:pPr>
        <w:pStyle w:val="35"/>
        <w:keepNext w:val="0"/>
        <w:keepLines w:val="0"/>
        <w:pageBreakBefore w:val="0"/>
        <w:widowControl w:val="0"/>
        <w:kinsoku/>
        <w:overflowPunct/>
        <w:topLinePunct w:val="0"/>
        <w:autoSpaceDE/>
        <w:autoSpaceDN/>
        <w:bidi w:val="0"/>
        <w:spacing w:line="420" w:lineRule="exact"/>
        <w:ind w:firstLine="48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2.4如谈判</w:t>
      </w:r>
      <w:r>
        <w:rPr>
          <w:rFonts w:hint="eastAsia" w:ascii="宋体" w:hAnsi="宋体" w:eastAsia="宋体" w:cs="宋体"/>
          <w:color w:val="auto"/>
          <w:sz w:val="24"/>
          <w:szCs w:val="24"/>
          <w:highlight w:val="none"/>
        </w:rPr>
        <w:t>小组根据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文件和</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情况</w:t>
      </w:r>
      <w:r>
        <w:rPr>
          <w:rFonts w:hint="eastAsia" w:cs="宋体"/>
          <w:color w:val="auto"/>
          <w:sz w:val="24"/>
          <w:szCs w:val="24"/>
          <w:highlight w:val="none"/>
          <w:lang w:val="en-US" w:eastAsia="zh-CN"/>
        </w:rPr>
        <w:t>未</w:t>
      </w:r>
      <w:r>
        <w:rPr>
          <w:rFonts w:hint="eastAsia" w:ascii="宋体" w:hAnsi="宋体" w:eastAsia="宋体" w:cs="宋体"/>
          <w:color w:val="auto"/>
          <w:sz w:val="24"/>
          <w:szCs w:val="24"/>
          <w:highlight w:val="none"/>
        </w:rPr>
        <w:t>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文件作出实质性变动</w:t>
      </w:r>
      <w:r>
        <w:rPr>
          <w:rFonts w:hint="eastAsia" w:cs="宋体"/>
          <w:color w:val="auto"/>
          <w:sz w:val="24"/>
          <w:szCs w:val="24"/>
          <w:highlight w:val="none"/>
          <w:lang w:val="en-US" w:eastAsia="zh-CN"/>
        </w:rPr>
        <w:t>增加新的需求，则供应商后一轮报价不得高于前一轮报价。本项目谈判轮次及谈判顺序详“供应商须知前附表”。</w:t>
      </w:r>
    </w:p>
    <w:p w14:paraId="47413248">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3FE2B13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文件中能够详细列明采购标的的技术、服务要求的，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小组应当要求所有</w:t>
      </w:r>
      <w:r>
        <w:rPr>
          <w:rFonts w:hint="eastAsia" w:ascii="宋体" w:hAnsi="宋体" w:eastAsia="宋体" w:cs="宋体"/>
          <w:color w:val="auto"/>
          <w:sz w:val="24"/>
          <w:szCs w:val="24"/>
          <w:highlight w:val="none"/>
          <w:lang w:val="en-US" w:eastAsia="zh-CN"/>
        </w:rPr>
        <w:t>实质性响应</w:t>
      </w:r>
      <w:r>
        <w:rPr>
          <w:rFonts w:hint="eastAsia" w:ascii="宋体" w:hAnsi="宋体" w:eastAsia="宋体" w:cs="宋体"/>
          <w:color w:val="auto"/>
          <w:sz w:val="24"/>
          <w:szCs w:val="24"/>
          <w:highlight w:val="none"/>
        </w:rPr>
        <w:t>的供应商，在规定时间内，以书面的方式经</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rPr>
        <w:t>授权代表签字（或加盖公章）后提交最后报价，提交最后报价的供应商不得少于3家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市场竞争不充分的科研项目，以及需要扶持的科技成果转化项目可以为2家，</w:t>
      </w:r>
      <w:r>
        <w:rPr>
          <w:rFonts w:hint="eastAsia" w:ascii="宋体" w:hAnsi="宋体" w:eastAsia="宋体" w:cs="宋体"/>
          <w:snapToGrid w:val="0"/>
          <w:color w:val="auto"/>
          <w:sz w:val="24"/>
          <w:szCs w:val="24"/>
          <w:highlight w:val="none"/>
        </w:rPr>
        <w:t>政府购买服务项目[含政府和社会资本合作项目]，在采购过程中符合要求的供应商[社会资本]只有2家的</w:t>
      </w:r>
      <w:r>
        <w:rPr>
          <w:rFonts w:hint="eastAsia" w:ascii="宋体" w:hAnsi="宋体" w:eastAsia="宋体" w:cs="宋体"/>
          <w:color w:val="auto"/>
          <w:sz w:val="24"/>
          <w:szCs w:val="24"/>
          <w:highlight w:val="none"/>
        </w:rPr>
        <w:t>可以为2家</w:t>
      </w:r>
      <w:r>
        <w:rPr>
          <w:rFonts w:hint="eastAsia" w:cs="宋体"/>
          <w:color w:val="auto"/>
          <w:sz w:val="24"/>
          <w:szCs w:val="24"/>
          <w:highlight w:val="none"/>
          <w:lang w:val="en-US" w:eastAsia="zh-CN"/>
        </w:rPr>
        <w:t>；公开招标的货物和服务项目，招标过程中提交投标文件或者经评审实质性响应招标文件要求的供应商只有2家时，经本级财政部门批准后采用竞争性谈判方式采购的可以为2家</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14:paraId="45C3849D">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文件中不能详细列明采购标的的技术、服务要求，需经</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由供应商提供最</w:t>
      </w:r>
      <w:r>
        <w:rPr>
          <w:rFonts w:hint="eastAsia" w:ascii="宋体" w:hAnsi="宋体" w:eastAsia="宋体" w:cs="宋体"/>
          <w:color w:val="auto"/>
          <w:sz w:val="24"/>
          <w:szCs w:val="24"/>
          <w:highlight w:val="none"/>
          <w:lang w:val="en-US" w:eastAsia="zh-CN"/>
        </w:rPr>
        <w:t>终</w:t>
      </w:r>
      <w:r>
        <w:rPr>
          <w:rFonts w:hint="eastAsia" w:ascii="宋体" w:hAnsi="宋体" w:eastAsia="宋体" w:cs="宋体"/>
          <w:color w:val="auto"/>
          <w:sz w:val="24"/>
          <w:szCs w:val="24"/>
          <w:highlight w:val="none"/>
        </w:rPr>
        <w:t>设计方案或解决方案的，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结束后，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小组应当按照少数服从多数的原则投票推荐3家以上（公开招标的货物和服务项目，招标过程中提交投标文件或者经评审实质性响应招标文件要求的供应商只有2家时，经本级财政部门批准后采用竞争性谈判方式采购的可以为2家）供应商的设计方案或者解决方案，并要求其在规定时间内提交最后报价。</w:t>
      </w:r>
    </w:p>
    <w:p w14:paraId="6A85ACA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最后报价是供应商响应文件的有效组成部分。逾时不提交的，视同退出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rPr>
        <w:t>。</w:t>
      </w:r>
    </w:p>
    <w:p w14:paraId="6331671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最后报价出现前后不一致的，按照下列规定修正：</w:t>
      </w:r>
    </w:p>
    <w:p w14:paraId="41A8A1D4">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（1）大写金额和小写金额不一致的，以大写金额为准；</w:t>
      </w:r>
    </w:p>
    <w:p w14:paraId="79A2142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（2）单价金额</w:t>
      </w:r>
      <w:r>
        <w:rPr>
          <w:rFonts w:hint="eastAsia" w:ascii="宋体" w:hAnsi="宋体" w:eastAsia="宋体" w:cs="宋体"/>
          <w:color w:val="auto"/>
          <w:sz w:val="24"/>
          <w:szCs w:val="24"/>
          <w:highlight w:val="none"/>
        </w:rPr>
        <w:t>小数点</w:t>
      </w:r>
      <w:r>
        <w:rPr>
          <w:rFonts w:hint="eastAsia" w:ascii="宋体" w:hAnsi="宋体" w:eastAsia="宋体" w:cs="宋体"/>
          <w:color w:val="auto"/>
          <w:sz w:val="24"/>
          <w:szCs w:val="24"/>
          <w:highlight w:val="none"/>
          <w:lang w:val="zh-CN"/>
        </w:rPr>
        <w:t>或百分比有明显错位的，以最后报价表的总价为准，并修改单价；</w:t>
      </w:r>
    </w:p>
    <w:p w14:paraId="53C9A12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（3）总价金额与按单价汇总金额不一致的，以单价金额计算结果为准；</w:t>
      </w:r>
    </w:p>
    <w:p w14:paraId="62F02C6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（4）同时出现</w:t>
      </w:r>
      <w:r>
        <w:rPr>
          <w:rFonts w:hint="eastAsia" w:ascii="宋体" w:hAnsi="宋体" w:eastAsia="宋体" w:cs="宋体"/>
          <w:color w:val="auto"/>
          <w:sz w:val="24"/>
          <w:szCs w:val="24"/>
          <w:highlight w:val="none"/>
        </w:rPr>
        <w:t>两种</w:t>
      </w:r>
      <w:r>
        <w:rPr>
          <w:rFonts w:hint="eastAsia" w:ascii="宋体" w:hAnsi="宋体" w:eastAsia="宋体" w:cs="宋体"/>
          <w:color w:val="auto"/>
          <w:sz w:val="24"/>
          <w:szCs w:val="24"/>
          <w:highlight w:val="none"/>
          <w:lang w:val="zh-CN"/>
        </w:rPr>
        <w:t>以上不一致的，按照前款规定的顺序修正；</w:t>
      </w:r>
    </w:p>
    <w:p w14:paraId="492B1BC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修正后的报价应通过书面方式通知供应商，由供应商</w:t>
      </w:r>
      <w:r>
        <w:rPr>
          <w:rFonts w:hint="eastAsia" w:cs="宋体"/>
          <w:color w:val="auto"/>
          <w:sz w:val="24"/>
          <w:szCs w:val="24"/>
          <w:highlight w:val="none"/>
          <w:lang w:val="en-US" w:eastAsia="zh-CN"/>
        </w:rPr>
        <w:t>法定代表人或</w:t>
      </w:r>
      <w:r>
        <w:rPr>
          <w:rFonts w:hint="eastAsia" w:ascii="宋体" w:hAnsi="宋体" w:eastAsia="宋体" w:cs="宋体"/>
          <w:color w:val="auto"/>
          <w:sz w:val="24"/>
          <w:szCs w:val="24"/>
          <w:highlight w:val="none"/>
          <w:lang w:val="zh-CN"/>
        </w:rPr>
        <w:t>授权代表签字（或加盖公章）确认后产生约束力，供应商不确认的，按照</w:t>
      </w:r>
      <w:r>
        <w:rPr>
          <w:rFonts w:hint="eastAsia" w:ascii="宋体" w:hAnsi="宋体" w:eastAsia="宋体" w:cs="宋体"/>
          <w:b/>
          <w:bCs/>
          <w:color w:val="auto"/>
          <w:sz w:val="24"/>
          <w:szCs w:val="24"/>
          <w:highlight w:val="none"/>
          <w:lang w:val="zh-CN"/>
        </w:rPr>
        <w:t>无效响应</w:t>
      </w:r>
      <w:r>
        <w:rPr>
          <w:rFonts w:hint="eastAsia" w:ascii="宋体" w:hAnsi="宋体" w:eastAsia="宋体" w:cs="宋体"/>
          <w:color w:val="auto"/>
          <w:sz w:val="24"/>
          <w:szCs w:val="24"/>
          <w:highlight w:val="none"/>
          <w:lang w:val="zh-CN"/>
        </w:rPr>
        <w:t>处理。</w:t>
      </w:r>
    </w:p>
    <w:p w14:paraId="040E7FCB">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bookmarkStart w:id="464" w:name="_Toc102116049"/>
      <w:bookmarkStart w:id="465" w:name="_Toc102114947"/>
      <w:bookmarkStart w:id="466" w:name="_Toc102057745"/>
      <w:bookmarkStart w:id="467" w:name="_Toc102119880"/>
      <w:bookmarkStart w:id="468" w:name="_Toc102116179"/>
      <w:bookmarkStart w:id="469" w:name="_Toc102056245"/>
      <w:r>
        <w:rPr>
          <w:rFonts w:hint="eastAsia" w:ascii="宋体" w:hAnsi="宋体" w:eastAsia="宋体" w:cs="宋体"/>
          <w:color w:val="auto"/>
          <w:sz w:val="24"/>
          <w:szCs w:val="24"/>
          <w:highlight w:val="none"/>
          <w:lang w:val="en-US" w:eastAsia="zh-CN"/>
        </w:rPr>
        <w:t>3.4已提交响应文件的供应商，在提交最后报价之前，可以根据</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情况退出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，退出</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供应商的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保证金可予以退还。</w:t>
      </w:r>
    </w:p>
    <w:p w14:paraId="37D01FAF">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4.商务技术评审</w:t>
      </w:r>
    </w:p>
    <w:p w14:paraId="2D2ED263">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w:t>
      </w:r>
      <w:r>
        <w:rPr>
          <w:rFonts w:hint="eastAsia" w:cs="宋体"/>
          <w:color w:val="auto"/>
          <w:sz w:val="24"/>
          <w:szCs w:val="24"/>
          <w:highlight w:val="none"/>
          <w:lang w:val="en-US" w:eastAsia="zh-CN"/>
        </w:rPr>
        <w:t>谈判小组根据本章的评审标准以及谈判文件实质性变动的内容，按谈判文件要求对修正后的响应文件进行商务技术评审，未实质性响应谈判文件要求的响应文件按</w:t>
      </w:r>
      <w:r>
        <w:rPr>
          <w:rFonts w:hint="eastAsia" w:cs="宋体"/>
          <w:b/>
          <w:bCs/>
          <w:color w:val="auto"/>
          <w:sz w:val="24"/>
          <w:szCs w:val="24"/>
          <w:highlight w:val="none"/>
          <w:lang w:val="en-US" w:eastAsia="zh-CN"/>
        </w:rPr>
        <w:t>无效响应</w:t>
      </w:r>
      <w:r>
        <w:rPr>
          <w:rFonts w:hint="eastAsia" w:cs="宋体"/>
          <w:color w:val="auto"/>
          <w:sz w:val="24"/>
          <w:szCs w:val="24"/>
          <w:highlight w:val="none"/>
          <w:lang w:val="en-US" w:eastAsia="zh-CN"/>
        </w:rPr>
        <w:t>处理</w:t>
      </w:r>
      <w:r>
        <w:rPr>
          <w:rFonts w:hint="eastAsia" w:ascii="宋体" w:hAnsi="宋体" w:eastAsia="宋体" w:cs="宋体"/>
          <w:color w:val="auto"/>
          <w:sz w:val="24"/>
          <w:szCs w:val="24"/>
          <w:highlight w:val="none"/>
          <w:lang w:val="zh-CN"/>
        </w:rPr>
        <w:t>。</w:t>
      </w:r>
    </w:p>
    <w:bookmarkEnd w:id="456"/>
    <w:bookmarkEnd w:id="457"/>
    <w:bookmarkEnd w:id="458"/>
    <w:bookmarkEnd w:id="459"/>
    <w:bookmarkEnd w:id="460"/>
    <w:bookmarkEnd w:id="461"/>
    <w:bookmarkEnd w:id="464"/>
    <w:bookmarkEnd w:id="465"/>
    <w:bookmarkEnd w:id="466"/>
    <w:bookmarkEnd w:id="467"/>
    <w:bookmarkEnd w:id="468"/>
    <w:bookmarkEnd w:id="469"/>
    <w:p w14:paraId="11B2A59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0" w:name="_Toc102116051"/>
      <w:bookmarkStart w:id="471" w:name="_Toc102114949"/>
      <w:bookmarkStart w:id="472" w:name="_Toc102057747"/>
      <w:bookmarkStart w:id="473" w:name="_Toc102119882"/>
      <w:bookmarkStart w:id="474" w:name="_Toc102056247"/>
      <w:bookmarkStart w:id="475" w:name="_Toc102116181"/>
      <w:r>
        <w:rPr>
          <w:rFonts w:hint="eastAsia" w:ascii="宋体" w:hAnsi="宋体" w:eastAsia="宋体" w:cs="宋体"/>
          <w:b/>
          <w:bCs/>
          <w:color w:val="auto"/>
          <w:kern w:val="2"/>
          <w:sz w:val="24"/>
          <w:szCs w:val="24"/>
          <w:highlight w:val="none"/>
          <w:lang w:val="en-US" w:eastAsia="zh-CN" w:bidi="ar-SA"/>
        </w:rPr>
        <w:t>5.报价评</w:t>
      </w:r>
      <w:bookmarkEnd w:id="470"/>
      <w:bookmarkEnd w:id="471"/>
      <w:bookmarkEnd w:id="472"/>
      <w:bookmarkEnd w:id="473"/>
      <w:bookmarkEnd w:id="474"/>
      <w:bookmarkEnd w:id="475"/>
      <w:r>
        <w:rPr>
          <w:rFonts w:hint="eastAsia" w:ascii="宋体" w:hAnsi="宋体" w:eastAsia="宋体" w:cs="宋体"/>
          <w:b/>
          <w:bCs/>
          <w:color w:val="auto"/>
          <w:kern w:val="2"/>
          <w:sz w:val="24"/>
          <w:szCs w:val="24"/>
          <w:highlight w:val="none"/>
          <w:lang w:val="en-US" w:eastAsia="zh-CN" w:bidi="ar-SA"/>
        </w:rPr>
        <w:t>审</w:t>
      </w:r>
    </w:p>
    <w:p w14:paraId="4F87D81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5.1报价合理性说明：</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小组认为供应商的最后报价明显低于其他供应商最后报价，有可能影响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val="zh-CN"/>
        </w:rPr>
        <w:t>质量或者不能诚信履约的，应当要求其在合理的时间内提供说明，必要时提交相关证明材料；供应商不能证明其最后报价合理性的，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小组应当将其作</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zh-CN"/>
        </w:rPr>
        <w:t>。</w:t>
      </w:r>
    </w:p>
    <w:p w14:paraId="1B3E8B52">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5.1.1供应商应根据答疑内容在规定的时间内提供说明和成本清单等相关证明材料，</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小组认定相关证明材料对此报价的说明或者证明材料可以佐证此报价的货物质量和具有诚信履约能力，予以通过审查；</w:t>
      </w:r>
    </w:p>
    <w:p w14:paraId="61371D00">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5.1.3供应商不能合理说明或者不能提供相关证明材料的，由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小组认定该供应商以低于成本报价竞标，有可能影响货物质量或者不能诚信履约，应当</w:t>
      </w:r>
      <w:r>
        <w:rPr>
          <w:rFonts w:hint="eastAsia" w:ascii="宋体" w:hAnsi="宋体" w:eastAsia="宋体" w:cs="宋体"/>
          <w:color w:val="auto"/>
          <w:sz w:val="24"/>
          <w:szCs w:val="24"/>
          <w:highlight w:val="none"/>
          <w:lang w:val="zh-CN"/>
        </w:rPr>
        <w:t>将其作为</w:t>
      </w:r>
      <w:r>
        <w:rPr>
          <w:rFonts w:hint="eastAsia" w:ascii="宋体" w:hAnsi="宋体" w:eastAsia="宋体" w:cs="宋体"/>
          <w:b/>
          <w:color w:val="auto"/>
          <w:sz w:val="24"/>
          <w:szCs w:val="24"/>
          <w:highlight w:val="none"/>
          <w:lang w:val="zh-CN"/>
        </w:rPr>
        <w:t>无效响应处理</w:t>
      </w:r>
      <w:r>
        <w:rPr>
          <w:rFonts w:hint="eastAsia" w:ascii="宋体" w:hAnsi="宋体" w:eastAsia="宋体" w:cs="宋体"/>
          <w:color w:val="auto"/>
          <w:sz w:val="24"/>
          <w:szCs w:val="24"/>
          <w:highlight w:val="none"/>
          <w:lang w:val="en-US" w:eastAsia="zh-CN"/>
        </w:rPr>
        <w:t>；</w:t>
      </w:r>
    </w:p>
    <w:p w14:paraId="071B5B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5.1.4供应商也可以有预见性地准备好上述要求的书面说明和相关证明材料并加盖公章。</w:t>
      </w:r>
    </w:p>
    <w:p w14:paraId="048C375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color w:val="auto"/>
          <w:sz w:val="24"/>
          <w:szCs w:val="24"/>
          <w:highlight w:val="none"/>
          <w:lang w:val="en-US" w:eastAsia="zh-CN"/>
        </w:rPr>
      </w:pPr>
      <w:r>
        <w:rPr>
          <w:rFonts w:hint="eastAsia" w:ascii="宋体" w:hAnsi="宋体" w:eastAsia="宋体" w:cs="宋体"/>
          <w:b/>
          <w:bCs/>
          <w:color w:val="auto"/>
          <w:sz w:val="24"/>
          <w:szCs w:val="24"/>
          <w:highlight w:val="none"/>
          <w:lang w:val="zh-CN"/>
        </w:rPr>
        <w:t>5.2</w:t>
      </w:r>
      <w:r>
        <w:rPr>
          <w:rFonts w:hint="eastAsia"/>
          <w:b/>
          <w:bCs/>
          <w:color w:val="auto"/>
          <w:sz w:val="24"/>
          <w:szCs w:val="24"/>
          <w:highlight w:val="none"/>
          <w:lang w:val="en-US" w:eastAsia="zh-CN"/>
        </w:rPr>
        <w:t>.</w:t>
      </w:r>
      <w:r>
        <w:rPr>
          <w:rFonts w:hint="eastAsia"/>
          <w:b/>
          <w:bCs/>
          <w:color w:val="auto"/>
          <w:sz w:val="24"/>
          <w:szCs w:val="24"/>
          <w:highlight w:val="none"/>
        </w:rPr>
        <w:t>政府采购异常低价审查</w:t>
      </w:r>
    </w:p>
    <w:p w14:paraId="6A7A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5625AA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6D739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465D4A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78081D5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08143A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9FD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5.</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价格扣除：</w:t>
      </w:r>
      <w:r>
        <w:rPr>
          <w:rFonts w:hint="eastAsia" w:ascii="宋体" w:hAnsi="宋体" w:eastAsia="宋体" w:cs="宋体"/>
          <w:color w:val="auto"/>
          <w:sz w:val="24"/>
          <w:szCs w:val="24"/>
          <w:highlight w:val="none"/>
          <w:lang w:val="zh-CN"/>
        </w:rPr>
        <w:t xml:space="preserve"> </w:t>
      </w:r>
    </w:p>
    <w:p w14:paraId="1F4B5526">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5.3.1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的报价按照本竞争性谈判文件“供应商须知前附表”中的规定扣除，用扣除后的价格参与评审，采购产品纳入创新产品应用示范推荐目录内企业、采购产品获得节能产品或环境标志产品认证证书的供应商按照本竞争性谈判文件“供应商须知前附表”中的规定给予评审优惠。</w:t>
      </w:r>
    </w:p>
    <w:p w14:paraId="72014FEF">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5.3.3组成联合体或者接受分包的小微企业与联合体内其他企业、分包企业之间存在直接控股、管理关系的，不享受价格扣除优惠政策。</w:t>
      </w:r>
    </w:p>
    <w:p w14:paraId="60984AA9">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5.3.4价格扣除比例对小型企业和微型企业同等对待，不作区分。</w:t>
      </w:r>
    </w:p>
    <w:p w14:paraId="19B743D0">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5.3.5专门面向中小企业、预留部分采购份额面向中小企业采购的项目或采购包，评审时不再进行价格扣除。</w:t>
      </w:r>
    </w:p>
    <w:p w14:paraId="57E1355E">
      <w:pPr>
        <w:pStyle w:val="35"/>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5.3.6</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5435DD2">
      <w:pPr>
        <w:pStyle w:val="35"/>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5.4</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04F976C3">
      <w:pPr>
        <w:pStyle w:val="35"/>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E40AAE6">
      <w:pPr>
        <w:pStyle w:val="35"/>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5.5</w:t>
      </w:r>
      <w:r>
        <w:rPr>
          <w:rFonts w:hint="eastAsia" w:eastAsia="宋体"/>
          <w:snapToGrid w:val="0"/>
          <w:color w:val="auto"/>
          <w:sz w:val="24"/>
          <w:highlight w:val="none"/>
          <w:lang w:val="en-US" w:eastAsia="zh-CN"/>
        </w:rPr>
        <w:t>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65C3AFB4">
      <w:pPr>
        <w:pStyle w:val="35"/>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5.6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7F32BCC9">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对于仅有本国产品参与竞争的政府采购项目，本国产品不享受价格扣除评审优惠</w:t>
      </w:r>
    </w:p>
    <w:p w14:paraId="2D3F2273">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393D35F">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E5FD8B2">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6.相同品牌处理原则</w:t>
      </w:r>
    </w:p>
    <w:p w14:paraId="4D6606A2">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5E195C1A">
      <w:pPr>
        <w:pStyle w:val="35"/>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p>
    <w:p w14:paraId="6D6DB070">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7.确定成交候选供应商</w:t>
      </w:r>
    </w:p>
    <w:p w14:paraId="0A48BCB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7.1谈判小组按照谈判文件确定的评审方法、程序及标准，对响应文件进行评审。评审结果按最后报价（因落实政府采购政策进行价格扣除的，以扣除后的价格计算）由低到高顺序排列。报价相同并列的按照“供应商须知前附表”的规定排序。响应文件全部实质性满足谈判文件要求且报价最低的供应商为排名第一的成交候选供应商。</w:t>
      </w:r>
    </w:p>
    <w:p w14:paraId="5C7A17A0">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7.2除资格性审查认定错误和价格计算错误外，采购人或者采购代理机构不得以任何理由组织重新评审。采购人、采购代理机构发现谈判小组未按照采购文件规定的评定成交的标准进行评审的，应当重新开展采购活动，并同时书面报告本级财政部门。</w:t>
      </w:r>
    </w:p>
    <w:p w14:paraId="4D6D309B">
      <w:pPr>
        <w:pStyle w:val="35"/>
        <w:pageBreakBefore w:val="0"/>
        <w:kinsoku/>
        <w:overflowPunct/>
        <w:topLinePunct w:val="0"/>
        <w:autoSpaceDE/>
        <w:autoSpaceDN/>
        <w:bidi w:val="0"/>
        <w:spacing w:line="440" w:lineRule="exact"/>
        <w:ind w:firstLine="480"/>
        <w:textAlignment w:val="auto"/>
        <w:rPr>
          <w:rFonts w:hint="eastAsia"/>
          <w:i w:val="0"/>
          <w:iCs w:val="0"/>
          <w:color w:val="auto"/>
          <w:highlight w:val="none"/>
          <w:lang w:val="en-US" w:eastAsia="zh-CN"/>
        </w:rPr>
      </w:pPr>
      <w:r>
        <w:rPr>
          <w:rFonts w:hint="eastAsia"/>
          <w:i w:val="0"/>
          <w:iCs w:val="0"/>
          <w:color w:val="auto"/>
          <w:highlight w:val="none"/>
          <w:lang w:val="en-US" w:eastAsia="zh-CN"/>
        </w:rPr>
        <w:t>7.3采购人或者采购代理机构不得通过对样品进行检测、对供应商进行考察等方式改变评审结果。</w:t>
      </w:r>
    </w:p>
    <w:p w14:paraId="1F8EBB86">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76" w:name="_Toc102056250"/>
      <w:bookmarkStart w:id="477" w:name="_Toc102116184"/>
      <w:bookmarkStart w:id="478" w:name="_Toc102116054"/>
      <w:bookmarkStart w:id="479" w:name="_Toc102114952"/>
      <w:bookmarkStart w:id="480" w:name="_Toc102057750"/>
      <w:bookmarkStart w:id="481" w:name="_Toc102119885"/>
      <w:r>
        <w:rPr>
          <w:rFonts w:hint="eastAsia" w:ascii="宋体" w:hAnsi="宋体" w:eastAsia="宋体" w:cs="宋体"/>
          <w:b/>
          <w:bCs/>
          <w:color w:val="auto"/>
          <w:kern w:val="2"/>
          <w:sz w:val="24"/>
          <w:szCs w:val="24"/>
          <w:highlight w:val="none"/>
          <w:lang w:val="en-US" w:eastAsia="zh-CN" w:bidi="ar-SA"/>
        </w:rPr>
        <w:t>8.评审报告</w:t>
      </w:r>
      <w:bookmarkEnd w:id="476"/>
      <w:bookmarkEnd w:id="477"/>
      <w:bookmarkEnd w:id="478"/>
      <w:bookmarkEnd w:id="479"/>
      <w:bookmarkEnd w:id="480"/>
      <w:bookmarkEnd w:id="481"/>
    </w:p>
    <w:p w14:paraId="1836027C">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8.1</w:t>
      </w:r>
      <w:r>
        <w:rPr>
          <w:rFonts w:hint="eastAsia" w:cs="宋体"/>
          <w:color w:val="auto"/>
          <w:sz w:val="24"/>
          <w:szCs w:val="24"/>
          <w:highlight w:val="none"/>
          <w:lang w:val="en-US" w:eastAsia="zh-CN"/>
        </w:rPr>
        <w:t>谈判小组依据评审结果，从质量和服务均能满足采购文件实质性响应要求的供应商中，按照最后报价（因落实政府采购政策进行价格扣除的，以扣除后的价格计算）由低到高的顺序向采购人推荐3家（公开招标的货物和服务项目，招标过程中提交投标文件或者经评审实质性响应招标文件要求的供应商只有2家时，经本级财政部门批准后采用竞争性谈判方式采购的可以为2家）以上成交候选供应商，并根据评审记录和评审结果编写评审报告</w:t>
      </w:r>
      <w:r>
        <w:rPr>
          <w:rFonts w:hint="eastAsia" w:ascii="宋体" w:hAnsi="宋体" w:eastAsia="宋体" w:cs="宋体"/>
          <w:color w:val="auto"/>
          <w:sz w:val="24"/>
          <w:szCs w:val="24"/>
          <w:highlight w:val="none"/>
          <w:lang w:eastAsia="zh-CN"/>
        </w:rPr>
        <w:t>。</w:t>
      </w:r>
    </w:p>
    <w:p w14:paraId="541E582F">
      <w:pPr>
        <w:pStyle w:val="35"/>
        <w:keepNext w:val="0"/>
        <w:keepLines w:val="0"/>
        <w:pageBreakBefore w:val="0"/>
        <w:widowControl w:val="0"/>
        <w:kinsoku/>
        <w:overflowPunct/>
        <w:topLinePunct w:val="0"/>
        <w:autoSpaceDE/>
        <w:autoSpaceDN/>
        <w:bidi w:val="0"/>
        <w:spacing w:line="420" w:lineRule="exact"/>
        <w:ind w:firstLine="48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8.</w:t>
      </w:r>
      <w:bookmarkStart w:id="482" w:name="_Toc102057717"/>
      <w:bookmarkStart w:id="483" w:name="_Toc102056217"/>
      <w:bookmarkStart w:id="484" w:name="_Toc102116151"/>
      <w:bookmarkStart w:id="485" w:name="_Toc102116021"/>
      <w:bookmarkStart w:id="486" w:name="_Toc102114919"/>
      <w:bookmarkStart w:id="487" w:name="_Toc102119852"/>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评审报告应当由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小组全体人员签字认可</w:t>
      </w:r>
      <w:r>
        <w:rPr>
          <w:rFonts w:hint="eastAsia" w:cs="Helvetica"/>
          <w:color w:val="auto"/>
          <w:szCs w:val="24"/>
          <w:highlight w:val="none"/>
          <w:lang w:val="zh-CN"/>
        </w:rPr>
        <w:t>，对自己的评审意见依法承担相应责任</w:t>
      </w:r>
      <w:r>
        <w:rPr>
          <w:rFonts w:hint="eastAsia" w:ascii="宋体" w:hAnsi="宋体" w:eastAsia="宋体" w:cs="宋体"/>
          <w:color w:val="auto"/>
          <w:sz w:val="24"/>
          <w:szCs w:val="24"/>
          <w:highlight w:val="none"/>
          <w:lang w:val="zh-CN" w:eastAsia="zh-CN"/>
        </w:rPr>
        <w:t>。</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小组按照少数服从多数的原则推荐成交候选供应商，采购程序继续进行。对评审报告有异议的</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小组成员，应当在报告上签署不同意见并说明理由，由</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小组书面记录相关情况。</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eastAsia="zh-CN"/>
        </w:rPr>
        <w:t>小组成员拒绝在报告上签字又不书面说明其不同意见和理由的，视为同意评审报告。</w:t>
      </w:r>
    </w:p>
    <w:p w14:paraId="25913F09">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88" w:name="_Toc102119853"/>
      <w:bookmarkStart w:id="489" w:name="_Toc102116022"/>
      <w:bookmarkStart w:id="490" w:name="_Toc102056218"/>
      <w:bookmarkStart w:id="491" w:name="_Toc102116152"/>
      <w:bookmarkStart w:id="492" w:name="_Toc102114920"/>
      <w:bookmarkStart w:id="493" w:name="_Toc102057718"/>
      <w:r>
        <w:rPr>
          <w:rFonts w:hint="eastAsia" w:ascii="宋体" w:hAnsi="宋体" w:eastAsia="宋体" w:cs="宋体"/>
          <w:b/>
          <w:bCs/>
          <w:color w:val="auto"/>
          <w:kern w:val="2"/>
          <w:sz w:val="24"/>
          <w:szCs w:val="24"/>
          <w:highlight w:val="none"/>
          <w:lang w:val="en-US" w:eastAsia="zh-CN" w:bidi="ar-SA"/>
        </w:rPr>
        <w:t>9.响应无效的情形</w:t>
      </w:r>
    </w:p>
    <w:p w14:paraId="21B88F58">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w:t>
      </w:r>
      <w:r>
        <w:rPr>
          <w:rFonts w:hint="eastAsia" w:ascii="宋体" w:hAnsi="宋体" w:eastAsia="宋体" w:cs="宋体"/>
          <w:b w:val="0"/>
          <w:bCs w:val="0"/>
          <w:color w:val="auto"/>
          <w:sz w:val="24"/>
          <w:szCs w:val="24"/>
          <w:highlight w:val="none"/>
        </w:rPr>
        <w:t>供应商存在下列情况之一的，</w:t>
      </w:r>
      <w:r>
        <w:rPr>
          <w:rFonts w:hint="eastAsia" w:ascii="宋体" w:hAnsi="宋体" w:eastAsia="宋体" w:cs="宋体"/>
          <w:b w:val="0"/>
          <w:bCs w:val="0"/>
          <w:color w:val="auto"/>
          <w:sz w:val="24"/>
          <w:szCs w:val="24"/>
          <w:highlight w:val="none"/>
          <w:lang w:val="en-US" w:eastAsia="zh-CN"/>
        </w:rPr>
        <w:t>其</w:t>
      </w:r>
      <w:r>
        <w:rPr>
          <w:rFonts w:hint="eastAsia" w:ascii="宋体" w:hAnsi="宋体" w:eastAsia="宋体" w:cs="宋体"/>
          <w:b/>
          <w:bCs/>
          <w:color w:val="auto"/>
          <w:sz w:val="24"/>
          <w:szCs w:val="24"/>
          <w:highlight w:val="none"/>
          <w:lang w:val="en-US" w:eastAsia="zh-CN"/>
        </w:rPr>
        <w:t>响应</w:t>
      </w:r>
      <w:r>
        <w:rPr>
          <w:rFonts w:hint="eastAsia" w:ascii="宋体" w:hAnsi="宋体" w:eastAsia="宋体" w:cs="宋体"/>
          <w:b/>
          <w:bCs/>
          <w:color w:val="auto"/>
          <w:sz w:val="24"/>
          <w:szCs w:val="24"/>
          <w:highlight w:val="none"/>
        </w:rPr>
        <w:t>无效</w:t>
      </w:r>
      <w:r>
        <w:rPr>
          <w:rFonts w:hint="eastAsia" w:ascii="宋体" w:hAnsi="宋体" w:eastAsia="宋体" w:cs="宋体"/>
          <w:b w:val="0"/>
          <w:bCs w:val="0"/>
          <w:color w:val="auto"/>
          <w:sz w:val="24"/>
          <w:szCs w:val="24"/>
          <w:highlight w:val="none"/>
        </w:rPr>
        <w:t>：</w:t>
      </w:r>
    </w:p>
    <w:p w14:paraId="702D1A6A">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不同供应商的响应文件由同一单位或者个人编制；</w:t>
      </w:r>
    </w:p>
    <w:p w14:paraId="2B2A7ABE">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不同供应商委托同一单位或者个人办理</w:t>
      </w:r>
      <w:r>
        <w:rPr>
          <w:rFonts w:hint="eastAsia" w:ascii="宋体" w:hAnsi="宋体" w:eastAsia="宋体" w:cs="宋体"/>
          <w:b w:val="0"/>
          <w:bCs w:val="0"/>
          <w:color w:val="auto"/>
          <w:sz w:val="24"/>
          <w:szCs w:val="24"/>
          <w:highlight w:val="none"/>
          <w:lang w:val="en-US" w:eastAsia="zh-CN"/>
        </w:rPr>
        <w:t>谈判响应</w:t>
      </w:r>
      <w:r>
        <w:rPr>
          <w:rFonts w:hint="eastAsia" w:ascii="宋体" w:hAnsi="宋体" w:eastAsia="宋体" w:cs="宋体"/>
          <w:b w:val="0"/>
          <w:bCs w:val="0"/>
          <w:color w:val="auto"/>
          <w:sz w:val="24"/>
          <w:szCs w:val="24"/>
          <w:highlight w:val="none"/>
        </w:rPr>
        <w:t>事宜；</w:t>
      </w:r>
    </w:p>
    <w:p w14:paraId="4EE2FB0A">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不同供应商的响应文件载明的项目管理成员或者联系人员为同一人；</w:t>
      </w:r>
    </w:p>
    <w:p w14:paraId="53A78381">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不同供应商的响应文件异常一致或者</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报价呈规律性差异；</w:t>
      </w:r>
    </w:p>
    <w:p w14:paraId="60D5A539">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不同供应商的响应文件相互混装；</w:t>
      </w:r>
    </w:p>
    <w:p w14:paraId="2FF50D83">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不同供应商的</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保证金从同一单位或者个人的账户转出</w:t>
      </w:r>
      <w:r>
        <w:rPr>
          <w:rFonts w:hint="eastAsia" w:ascii="宋体" w:hAnsi="宋体" w:eastAsia="宋体" w:cs="宋体"/>
          <w:b w:val="0"/>
          <w:bCs w:val="0"/>
          <w:color w:val="auto"/>
          <w:sz w:val="24"/>
          <w:szCs w:val="24"/>
          <w:highlight w:val="none"/>
          <w:lang w:val="en-US" w:eastAsia="zh-CN"/>
        </w:rPr>
        <w:t>；</w:t>
      </w:r>
    </w:p>
    <w:p w14:paraId="29DA958A">
      <w:pPr>
        <w:pStyle w:val="35"/>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（7）法律、法规、规章和竞争性</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en-US" w:eastAsia="zh-CN"/>
        </w:rPr>
        <w:t>文件规定的其他响应无效的情形。</w:t>
      </w:r>
    </w:p>
    <w:p w14:paraId="51CFEB2F">
      <w:pPr>
        <w:pStyle w:val="57"/>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小组应当审查</w:t>
      </w:r>
      <w:r>
        <w:rPr>
          <w:rFonts w:hint="eastAsia" w:ascii="宋体" w:hAnsi="宋体" w:eastAsia="宋体" w:cs="宋体"/>
          <w:b w:val="0"/>
          <w:bCs w:val="0"/>
          <w:color w:val="auto"/>
          <w:sz w:val="24"/>
          <w:szCs w:val="24"/>
          <w:highlight w:val="none"/>
          <w:lang w:val="en-US" w:eastAsia="zh-CN"/>
        </w:rPr>
        <w:t>所有供应商的</w:t>
      </w:r>
      <w:r>
        <w:rPr>
          <w:rFonts w:hint="eastAsia" w:ascii="宋体" w:hAnsi="宋体" w:eastAsia="宋体" w:cs="宋体"/>
          <w:b w:val="0"/>
          <w:bCs w:val="0"/>
          <w:color w:val="auto"/>
          <w:sz w:val="24"/>
          <w:szCs w:val="24"/>
          <w:highlight w:val="none"/>
        </w:rPr>
        <w:t>响应文件是否对竞争性</w:t>
      </w:r>
      <w:r>
        <w:rPr>
          <w:rFonts w:hint="eastAsia" w:ascii="宋体" w:hAnsi="宋体" w:eastAsia="宋体"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rPr>
        <w:t>文件提出的所有实质性要求和条件做出响应。未能实质</w:t>
      </w:r>
      <w:r>
        <w:rPr>
          <w:rFonts w:hint="eastAsia" w:ascii="宋体" w:hAnsi="宋体" w:eastAsia="宋体" w:cs="宋体"/>
          <w:b w:val="0"/>
          <w:bCs w:val="0"/>
          <w:color w:val="auto"/>
          <w:sz w:val="24"/>
          <w:szCs w:val="24"/>
          <w:highlight w:val="none"/>
          <w:lang w:val="en-US" w:eastAsia="zh-CN"/>
        </w:rPr>
        <w:t>性</w:t>
      </w:r>
      <w:r>
        <w:rPr>
          <w:rFonts w:hint="eastAsia" w:ascii="宋体" w:hAnsi="宋体" w:eastAsia="宋体" w:cs="宋体"/>
          <w:b w:val="0"/>
          <w:bCs w:val="0"/>
          <w:color w:val="auto"/>
          <w:sz w:val="24"/>
          <w:szCs w:val="24"/>
          <w:highlight w:val="none"/>
        </w:rPr>
        <w:t>响应的</w:t>
      </w: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76ED559">
      <w:pPr>
        <w:keepNext w:val="0"/>
        <w:keepLines w:val="0"/>
        <w:pageBreakBefore w:val="0"/>
        <w:widowControl/>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供应商不得误导、干扰</w:t>
      </w:r>
      <w:r>
        <w:rPr>
          <w:rFonts w:hint="eastAsia" w:cs="宋体"/>
          <w:b w:val="0"/>
          <w:bCs w:val="0"/>
          <w:color w:val="auto"/>
          <w:sz w:val="24"/>
          <w:szCs w:val="24"/>
          <w:highlight w:val="none"/>
          <w:lang w:val="en-US" w:eastAsia="zh-CN"/>
        </w:rPr>
        <w:t>谈判</w:t>
      </w:r>
      <w:r>
        <w:rPr>
          <w:rFonts w:hint="eastAsia" w:ascii="宋体" w:hAnsi="宋体" w:eastAsia="宋体" w:cs="宋体"/>
          <w:b w:val="0"/>
          <w:bCs w:val="0"/>
          <w:color w:val="auto"/>
          <w:sz w:val="24"/>
          <w:szCs w:val="24"/>
          <w:highlight w:val="none"/>
          <w:lang w:val="en-US" w:eastAsia="zh-CN"/>
        </w:rPr>
        <w:t>小组</w:t>
      </w:r>
      <w:r>
        <w:rPr>
          <w:rFonts w:hint="eastAsia" w:ascii="宋体" w:hAnsi="宋体" w:eastAsia="宋体" w:cs="宋体"/>
          <w:b w:val="0"/>
          <w:bCs w:val="0"/>
          <w:color w:val="auto"/>
          <w:sz w:val="24"/>
          <w:szCs w:val="24"/>
          <w:highlight w:val="none"/>
        </w:rPr>
        <w:t>的评审活动，否则其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b w:val="0"/>
          <w:bCs w:val="0"/>
          <w:color w:val="auto"/>
          <w:sz w:val="24"/>
          <w:szCs w:val="24"/>
          <w:highlight w:val="none"/>
        </w:rPr>
        <w:t>。</w:t>
      </w:r>
    </w:p>
    <w:p w14:paraId="054A61A3">
      <w:pPr>
        <w:pStyle w:val="5"/>
        <w:keepNext w:val="0"/>
        <w:keepLines w:val="0"/>
        <w:pageBreakBefore w:val="0"/>
        <w:widowControl w:val="0"/>
        <w:numPr>
          <w:ilvl w:val="0"/>
          <w:numId w:val="0"/>
        </w:numPr>
        <w:kinsoku/>
        <w:wordWrap/>
        <w:overflowPunct/>
        <w:topLinePunct w:val="0"/>
        <w:autoSpaceDE/>
        <w:autoSpaceDN/>
        <w:bidi w:val="0"/>
        <w:adjustRightInd/>
        <w:snapToGrid/>
        <w:spacing w:before="60" w:after="60" w:line="42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10.停止评审的情形</w:t>
      </w:r>
      <w:bookmarkEnd w:id="488"/>
      <w:bookmarkEnd w:id="489"/>
      <w:bookmarkEnd w:id="490"/>
      <w:bookmarkEnd w:id="491"/>
      <w:bookmarkEnd w:id="492"/>
      <w:bookmarkEnd w:id="493"/>
    </w:p>
    <w:p w14:paraId="58A3D9D5">
      <w:pPr>
        <w:keepNext w:val="0"/>
        <w:keepLines w:val="0"/>
        <w:pageBreakBefore w:val="0"/>
        <w:widowControl w:val="0"/>
        <w:suppressLineNumbers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.1</w:t>
      </w:r>
      <w:r>
        <w:rPr>
          <w:rFonts w:hint="eastAsia" w:cs="宋体"/>
          <w:color w:val="auto"/>
          <w:kern w:val="2"/>
          <w:sz w:val="24"/>
          <w:szCs w:val="24"/>
          <w:highlight w:val="none"/>
          <w:lang w:val="en-US" w:eastAsia="zh-CN" w:bidi="ar-SA"/>
        </w:rPr>
        <w:t>谈判</w:t>
      </w:r>
      <w:r>
        <w:rPr>
          <w:rFonts w:hint="eastAsia" w:ascii="宋体" w:hAnsi="宋体" w:eastAsia="宋体" w:cs="宋体"/>
          <w:color w:val="auto"/>
          <w:kern w:val="2"/>
          <w:sz w:val="24"/>
          <w:szCs w:val="24"/>
          <w:highlight w:val="none"/>
          <w:lang w:val="en-US" w:eastAsia="zh-CN" w:bidi="ar-SA"/>
        </w:rPr>
        <w:t>小组在评审过程中发现供应商有行贿、提供虚假材料或者串通等违法行为的，应当及时向财政部门报告。</w:t>
      </w:r>
    </w:p>
    <w:p w14:paraId="47788DEC">
      <w:pPr>
        <w:pStyle w:val="35"/>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10.2</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小组发现</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文件存在歧义、重大缺陷导致评审工作无法进行，或者</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文件内容违反国家有关强制性规定的，应当停止评审工作，与采购人或者采购代理机构沟通并作书面记录。采购人或者采购代理机构确认后，应当修改</w:t>
      </w:r>
      <w:r>
        <w:rPr>
          <w:rFonts w:hint="eastAsia"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文件，重新组织采购活动。</w:t>
      </w:r>
    </w:p>
    <w:bookmarkEnd w:id="482"/>
    <w:bookmarkEnd w:id="483"/>
    <w:bookmarkEnd w:id="484"/>
    <w:bookmarkEnd w:id="485"/>
    <w:bookmarkEnd w:id="486"/>
    <w:bookmarkEnd w:id="487"/>
    <w:p w14:paraId="59A57D92">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bookmarkStart w:id="494" w:name="_Toc12134"/>
      <w:bookmarkStart w:id="495" w:name="_Toc28211"/>
    </w:p>
    <w:p w14:paraId="0CF7C81E">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p>
    <w:p w14:paraId="61F6B635">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p>
    <w:p w14:paraId="7883DB10">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p>
    <w:p w14:paraId="1327FF7B">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ascii="宋体" w:hAnsi="宋体" w:eastAsia="宋体" w:cs="宋体"/>
          <w:color w:val="auto"/>
          <w:sz w:val="28"/>
          <w:szCs w:val="28"/>
          <w:highlight w:val="none"/>
          <w:lang w:val="en-US" w:eastAsia="zh-CN"/>
        </w:rPr>
      </w:pPr>
    </w:p>
    <w:p w14:paraId="65074F9F">
      <w:pPr>
        <w:pStyle w:val="3"/>
        <w:keepNext w:val="0"/>
        <w:keepLines w:val="0"/>
        <w:pageBreakBefore w:val="0"/>
        <w:widowControl w:val="0"/>
        <w:numPr>
          <w:ilvl w:val="0"/>
          <w:numId w:val="0"/>
        </w:numPr>
        <w:kinsoku/>
        <w:wordWrap/>
        <w:overflowPunct/>
        <w:topLinePunct w:val="0"/>
        <w:autoSpaceDE/>
        <w:autoSpaceDN/>
        <w:bidi w:val="0"/>
        <w:adjustRightInd/>
        <w:snapToGrid/>
        <w:spacing w:before="140" w:after="140" w:line="480" w:lineRule="exact"/>
        <w:ind w:left="420" w:leftChars="0" w:hanging="420" w:firstLineChars="0"/>
        <w:textAlignment w:val="auto"/>
        <w:rPr>
          <w:rFonts w:hint="eastAsia"/>
          <w:color w:val="auto"/>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94"/>
      <w:bookmarkEnd w:id="495"/>
    </w:p>
    <w:p w14:paraId="50D957C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6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6" w:name="_Toc9052"/>
      <w:bookmarkStart w:id="497"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96"/>
      <w:bookmarkEnd w:id="497"/>
    </w:p>
    <w:p w14:paraId="468FCB62">
      <w:pPr>
        <w:rPr>
          <w:rFonts w:hint="eastAsia" w:ascii="宋体" w:hAnsi="宋体" w:eastAsia="宋体" w:cs="宋体"/>
          <w:b/>
          <w:bCs/>
          <w:color w:val="auto"/>
          <w:kern w:val="2"/>
          <w:sz w:val="24"/>
          <w:szCs w:val="24"/>
          <w:highlight w:val="none"/>
          <w:lang w:val="zh-CN" w:eastAsia="zh-CN" w:bidi="ar-SA"/>
        </w:rPr>
      </w:pPr>
    </w:p>
    <w:tbl>
      <w:tblPr>
        <w:tblStyle w:val="28"/>
        <w:tblW w:w="52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06"/>
        <w:gridCol w:w="1959"/>
        <w:gridCol w:w="5581"/>
        <w:gridCol w:w="1906"/>
      </w:tblGrid>
      <w:tr w14:paraId="3820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0" w:hRule="atLeast"/>
          <w:jc w:val="center"/>
        </w:trPr>
        <w:tc>
          <w:tcPr>
            <w:tcW w:w="393" w:type="pct"/>
            <w:shd w:val="clear" w:color="auto" w:fill="D8D8D8" w:themeFill="background1" w:themeFillShade="D9"/>
            <w:vAlign w:val="center"/>
          </w:tcPr>
          <w:p w14:paraId="01EAF759">
            <w:pPr>
              <w:pStyle w:val="46"/>
              <w:spacing w:line="240" w:lineRule="auto"/>
              <w:jc w:val="center"/>
              <w:rPr>
                <w:rFonts w:hint="eastAsia" w:ascii="宋体" w:hAnsi="宋体" w:eastAsia="宋体" w:cs="宋体"/>
                <w:b/>
                <w:bCs/>
                <w:color w:val="auto"/>
                <w:sz w:val="21"/>
                <w:szCs w:val="21"/>
                <w:highlight w:val="none"/>
              </w:rPr>
            </w:pPr>
            <w:bookmarkStart w:id="498" w:name="_Toc156490348"/>
            <w:r>
              <w:rPr>
                <w:rFonts w:hint="eastAsia" w:ascii="宋体" w:hAnsi="宋体" w:eastAsia="宋体" w:cs="宋体"/>
                <w:b/>
                <w:bCs/>
                <w:color w:val="auto"/>
                <w:sz w:val="21"/>
                <w:szCs w:val="21"/>
                <w:highlight w:val="none"/>
              </w:rPr>
              <w:t>序号</w:t>
            </w:r>
          </w:p>
        </w:tc>
        <w:tc>
          <w:tcPr>
            <w:tcW w:w="955" w:type="pct"/>
            <w:shd w:val="clear" w:color="auto" w:fill="D8D8D8" w:themeFill="background1" w:themeFillShade="D9"/>
            <w:vAlign w:val="center"/>
          </w:tcPr>
          <w:p w14:paraId="3D378484">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审查因素</w:t>
            </w:r>
          </w:p>
        </w:tc>
        <w:tc>
          <w:tcPr>
            <w:tcW w:w="2721" w:type="pct"/>
            <w:shd w:val="clear" w:color="auto" w:fill="D8D8D8" w:themeFill="background1" w:themeFillShade="D9"/>
            <w:vAlign w:val="center"/>
          </w:tcPr>
          <w:p w14:paraId="371C8F58">
            <w:pPr>
              <w:pStyle w:val="46"/>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c>
          <w:tcPr>
            <w:tcW w:w="929" w:type="pct"/>
            <w:shd w:val="clear" w:color="auto" w:fill="D8D8D8" w:themeFill="background1" w:themeFillShade="D9"/>
            <w:vAlign w:val="center"/>
          </w:tcPr>
          <w:p w14:paraId="7919DF36">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格式要求</w:t>
            </w:r>
          </w:p>
        </w:tc>
      </w:tr>
      <w:tr w14:paraId="6BEA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8" w:hRule="atLeast"/>
          <w:jc w:val="center"/>
        </w:trPr>
        <w:tc>
          <w:tcPr>
            <w:tcW w:w="393" w:type="pct"/>
            <w:shd w:val="clear" w:color="auto" w:fill="FFFFFF" w:themeFill="background1"/>
            <w:vAlign w:val="center"/>
          </w:tcPr>
          <w:p w14:paraId="67660E99">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955" w:type="pct"/>
            <w:shd w:val="clear" w:color="auto" w:fill="FFFFFF" w:themeFill="background1"/>
            <w:vAlign w:val="center"/>
          </w:tcPr>
          <w:p w14:paraId="3AA250A6">
            <w:pPr>
              <w:pStyle w:val="4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满足《政府采购法》第二十二条规定</w:t>
            </w:r>
          </w:p>
        </w:tc>
        <w:tc>
          <w:tcPr>
            <w:tcW w:w="2721" w:type="pct"/>
            <w:shd w:val="clear" w:color="auto" w:fill="FFFFFF" w:themeFill="background1"/>
            <w:vAlign w:val="center"/>
          </w:tcPr>
          <w:p w14:paraId="502E0E33">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满足《政府采购法》第二十二条规定</w:t>
            </w:r>
          </w:p>
        </w:tc>
        <w:tc>
          <w:tcPr>
            <w:tcW w:w="929" w:type="pct"/>
            <w:shd w:val="clear" w:color="auto" w:fill="FFFFFF" w:themeFill="background1"/>
            <w:vAlign w:val="center"/>
          </w:tcPr>
          <w:p w14:paraId="4AD69B19">
            <w:pPr>
              <w:pStyle w:val="46"/>
              <w:spacing w:line="24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提供承诺书加盖公章</w:t>
            </w:r>
          </w:p>
        </w:tc>
      </w:tr>
      <w:tr w14:paraId="46A3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20" w:hRule="atLeast"/>
          <w:jc w:val="center"/>
        </w:trPr>
        <w:tc>
          <w:tcPr>
            <w:tcW w:w="393" w:type="pct"/>
            <w:shd w:val="clear" w:color="auto" w:fill="FFFFFF" w:themeFill="background1"/>
            <w:vAlign w:val="center"/>
          </w:tcPr>
          <w:p w14:paraId="2FC50E41">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2</w:t>
            </w:r>
          </w:p>
        </w:tc>
        <w:tc>
          <w:tcPr>
            <w:tcW w:w="955" w:type="pct"/>
            <w:shd w:val="clear" w:color="auto" w:fill="FFFFFF" w:themeFill="background1"/>
            <w:vAlign w:val="center"/>
          </w:tcPr>
          <w:p w14:paraId="37D7A6E3">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营业执照等证明文件</w:t>
            </w:r>
          </w:p>
        </w:tc>
        <w:tc>
          <w:tcPr>
            <w:tcW w:w="2721" w:type="pct"/>
            <w:shd w:val="clear" w:color="auto" w:fill="FFFFFF" w:themeFill="background1"/>
            <w:vAlign w:val="center"/>
          </w:tcPr>
          <w:p w14:paraId="4600EC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i w:val="0"/>
                <w:iCs w:val="0"/>
                <w:color w:val="auto"/>
                <w:spacing w:val="-6"/>
                <w:kern w:val="0"/>
                <w:sz w:val="21"/>
                <w:szCs w:val="21"/>
                <w:highlight w:val="none"/>
                <w:lang w:val="en-US" w:eastAsia="zh-CN" w:bidi="ar"/>
              </w:rPr>
              <w:t>供应商提供有效的“营业执照</w:t>
            </w:r>
            <w:r>
              <w:rPr>
                <w:rFonts w:hint="eastAsia" w:cs="宋体"/>
                <w:i w:val="0"/>
                <w:iCs w:val="0"/>
                <w:color w:val="auto"/>
                <w:spacing w:val="-6"/>
                <w:kern w:val="0"/>
                <w:sz w:val="21"/>
                <w:szCs w:val="21"/>
                <w:highlight w:val="none"/>
                <w:lang w:val="en-US" w:eastAsia="zh-CN" w:bidi="ar"/>
              </w:rPr>
              <w:t>”或</w:t>
            </w:r>
            <w:r>
              <w:rPr>
                <w:rFonts w:hint="eastAsia" w:ascii="宋体" w:hAnsi="宋体" w:eastAsia="宋体" w:cs="宋体"/>
                <w:i w:val="0"/>
                <w:iCs w:val="0"/>
                <w:color w:val="auto"/>
                <w:spacing w:val="-6"/>
                <w:kern w:val="0"/>
                <w:sz w:val="21"/>
                <w:szCs w:val="21"/>
                <w:highlight w:val="none"/>
                <w:lang w:val="en-US" w:eastAsia="zh-CN" w:bidi="ar"/>
              </w:rPr>
              <w:t>有效的“事业单位法人证书</w:t>
            </w:r>
            <w:r>
              <w:rPr>
                <w:rFonts w:hint="eastAsia" w:cs="宋体"/>
                <w:i w:val="0"/>
                <w:iCs w:val="0"/>
                <w:color w:val="auto"/>
                <w:spacing w:val="-6"/>
                <w:kern w:val="0"/>
                <w:sz w:val="21"/>
                <w:szCs w:val="21"/>
                <w:highlight w:val="none"/>
                <w:lang w:val="en-US" w:eastAsia="zh-CN" w:bidi="ar"/>
              </w:rPr>
              <w:t>”或</w:t>
            </w:r>
            <w:r>
              <w:rPr>
                <w:rFonts w:hint="eastAsia" w:ascii="宋体" w:hAnsi="宋体" w:eastAsia="宋体" w:cs="宋体"/>
                <w:i w:val="0"/>
                <w:iCs w:val="0"/>
                <w:color w:val="auto"/>
                <w:spacing w:val="-6"/>
                <w:kern w:val="0"/>
                <w:sz w:val="21"/>
                <w:szCs w:val="21"/>
                <w:highlight w:val="none"/>
                <w:lang w:val="en-US" w:eastAsia="zh-CN" w:bidi="ar"/>
              </w:rPr>
              <w:t>有效的“执业许可证”“登记证书”等证明文件</w:t>
            </w:r>
            <w:r>
              <w:rPr>
                <w:rFonts w:hint="eastAsia" w:cs="宋体"/>
                <w:i w:val="0"/>
                <w:iCs w:val="0"/>
                <w:color w:val="auto"/>
                <w:spacing w:val="-6"/>
                <w:kern w:val="0"/>
                <w:sz w:val="21"/>
                <w:szCs w:val="21"/>
                <w:highlight w:val="none"/>
                <w:lang w:val="en-US" w:eastAsia="zh-CN" w:bidi="ar"/>
              </w:rPr>
              <w:t>或</w:t>
            </w:r>
            <w:r>
              <w:rPr>
                <w:rFonts w:hint="eastAsia" w:ascii="宋体" w:hAnsi="宋体" w:eastAsia="宋体" w:cs="宋体"/>
                <w:i w:val="0"/>
                <w:iCs w:val="0"/>
                <w:color w:val="auto"/>
                <w:spacing w:val="-6"/>
                <w:kern w:val="0"/>
                <w:sz w:val="21"/>
                <w:szCs w:val="21"/>
                <w:highlight w:val="none"/>
                <w:lang w:val="en-US" w:eastAsia="zh-CN" w:bidi="ar"/>
              </w:rPr>
              <w:t>有效的“个体工商户营业执照”</w:t>
            </w:r>
            <w:r>
              <w:rPr>
                <w:rFonts w:hint="eastAsia" w:cs="宋体"/>
                <w:i w:val="0"/>
                <w:iCs w:val="0"/>
                <w:color w:val="auto"/>
                <w:spacing w:val="-6"/>
                <w:kern w:val="0"/>
                <w:sz w:val="21"/>
                <w:szCs w:val="21"/>
                <w:highlight w:val="none"/>
                <w:lang w:val="en-US" w:eastAsia="zh-CN" w:bidi="ar"/>
              </w:rPr>
              <w:t>=或</w:t>
            </w:r>
            <w:r>
              <w:rPr>
                <w:rFonts w:hint="eastAsia" w:ascii="宋体" w:hAnsi="宋体" w:eastAsia="宋体" w:cs="宋体"/>
                <w:i w:val="0"/>
                <w:iCs w:val="0"/>
                <w:color w:val="auto"/>
                <w:spacing w:val="-11"/>
                <w:kern w:val="0"/>
                <w:sz w:val="21"/>
                <w:szCs w:val="21"/>
                <w:highlight w:val="none"/>
                <w:lang w:val="en-US" w:eastAsia="zh-CN" w:bidi="ar"/>
              </w:rPr>
              <w:t>有效的自然人身份证明。</w:t>
            </w:r>
          </w:p>
        </w:tc>
        <w:tc>
          <w:tcPr>
            <w:tcW w:w="929" w:type="pct"/>
            <w:shd w:val="clear" w:color="auto" w:fill="FFFFFF" w:themeFill="background1"/>
            <w:vAlign w:val="center"/>
          </w:tcPr>
          <w:p w14:paraId="059E0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提供证明文件的电子件或电子证照加盖公章</w:t>
            </w:r>
          </w:p>
        </w:tc>
      </w:tr>
      <w:tr w14:paraId="0883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4" w:hRule="atLeast"/>
          <w:jc w:val="center"/>
        </w:trPr>
        <w:tc>
          <w:tcPr>
            <w:tcW w:w="393" w:type="pct"/>
            <w:shd w:val="clear" w:color="auto" w:fill="FFFFFF" w:themeFill="background1"/>
            <w:vAlign w:val="center"/>
          </w:tcPr>
          <w:p w14:paraId="65F7D7D4">
            <w:pPr>
              <w:pStyle w:val="46"/>
              <w:spacing w:line="240" w:lineRule="auto"/>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3</w:t>
            </w:r>
          </w:p>
        </w:tc>
        <w:tc>
          <w:tcPr>
            <w:tcW w:w="955" w:type="pct"/>
            <w:shd w:val="clear" w:color="auto" w:fill="FFFFFF" w:themeFill="background1"/>
            <w:vAlign w:val="center"/>
          </w:tcPr>
          <w:p w14:paraId="3F369769">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kern w:val="0"/>
                <w:sz w:val="21"/>
                <w:szCs w:val="21"/>
                <w:highlight w:val="none"/>
                <w:lang w:val="en-US" w:eastAsia="zh-CN" w:bidi="ar"/>
              </w:rPr>
              <w:t>供应商</w:t>
            </w:r>
            <w:r>
              <w:rPr>
                <w:rFonts w:hint="eastAsia" w:ascii="宋体" w:hAnsi="宋体" w:eastAsia="宋体" w:cs="宋体"/>
                <w:color w:val="auto"/>
                <w:sz w:val="21"/>
                <w:szCs w:val="21"/>
                <w:highlight w:val="none"/>
                <w:lang w:val="en-US" w:eastAsia="zh-CN"/>
              </w:rPr>
              <w:t>信用承诺</w:t>
            </w:r>
          </w:p>
        </w:tc>
        <w:tc>
          <w:tcPr>
            <w:tcW w:w="2721" w:type="pct"/>
            <w:shd w:val="clear" w:color="auto" w:fill="FFFFFF" w:themeFill="background1"/>
            <w:vAlign w:val="center"/>
          </w:tcPr>
          <w:p w14:paraId="0A495102">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提供符合竞争性谈判文件要求的《政府采购供应商信用承诺函》。</w:t>
            </w:r>
          </w:p>
        </w:tc>
        <w:tc>
          <w:tcPr>
            <w:tcW w:w="929" w:type="pct"/>
            <w:shd w:val="clear" w:color="auto" w:fill="FFFFFF" w:themeFill="background1"/>
            <w:vAlign w:val="center"/>
          </w:tcPr>
          <w:p w14:paraId="6C3E21E7">
            <w:pPr>
              <w:pStyle w:val="46"/>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提供承诺</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kern w:val="0"/>
                <w:sz w:val="21"/>
                <w:szCs w:val="21"/>
                <w:highlight w:val="none"/>
                <w:lang w:val="en-US" w:eastAsia="zh-CN" w:bidi="ar"/>
              </w:rPr>
              <w:t>加盖公章</w:t>
            </w:r>
            <w:r>
              <w:rPr>
                <w:rFonts w:hint="eastAsia" w:cs="宋体"/>
                <w:color w:val="auto"/>
                <w:kern w:val="0"/>
                <w:sz w:val="21"/>
                <w:szCs w:val="21"/>
                <w:highlight w:val="none"/>
                <w:lang w:val="en-US" w:eastAsia="zh-CN" w:bidi="ar"/>
              </w:rPr>
              <w:t>，</w:t>
            </w:r>
            <w:r>
              <w:rPr>
                <w:rFonts w:hint="eastAsia" w:ascii="宋体" w:hAnsi="宋体" w:eastAsia="宋体" w:cs="宋体"/>
                <w:color w:val="auto"/>
                <w:sz w:val="21"/>
                <w:szCs w:val="21"/>
                <w:highlight w:val="none"/>
                <w:lang w:val="en-US" w:eastAsia="zh-CN"/>
              </w:rPr>
              <w:t>格式见《第六章 响应文件格式》</w:t>
            </w:r>
          </w:p>
        </w:tc>
      </w:tr>
      <w:tr w14:paraId="6E67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64" w:hRule="atLeast"/>
          <w:jc w:val="center"/>
        </w:trPr>
        <w:tc>
          <w:tcPr>
            <w:tcW w:w="393" w:type="pct"/>
            <w:shd w:val="clear" w:color="auto" w:fill="FFFFFF" w:themeFill="background1"/>
            <w:vAlign w:val="center"/>
          </w:tcPr>
          <w:p w14:paraId="6020E885">
            <w:pPr>
              <w:pStyle w:val="46"/>
              <w:spacing w:line="240" w:lineRule="auto"/>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4</w:t>
            </w:r>
          </w:p>
        </w:tc>
        <w:tc>
          <w:tcPr>
            <w:tcW w:w="955" w:type="pct"/>
            <w:shd w:val="clear" w:color="auto" w:fill="FFFFFF" w:themeFill="background1"/>
            <w:vAlign w:val="center"/>
          </w:tcPr>
          <w:p w14:paraId="69681D10">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kern w:val="0"/>
                <w:sz w:val="21"/>
                <w:szCs w:val="21"/>
                <w:highlight w:val="none"/>
                <w:lang w:val="en-US" w:eastAsia="zh-CN" w:bidi="ar"/>
              </w:rPr>
              <w:t>供应商</w:t>
            </w:r>
            <w:r>
              <w:rPr>
                <w:rFonts w:hint="eastAsia" w:ascii="宋体" w:hAnsi="宋体" w:eastAsia="宋体" w:cs="宋体"/>
                <w:color w:val="auto"/>
                <w:sz w:val="21"/>
                <w:szCs w:val="21"/>
                <w:highlight w:val="none"/>
                <w:lang w:val="en-US" w:eastAsia="zh-CN"/>
              </w:rPr>
              <w:t>信用记录查询</w:t>
            </w:r>
          </w:p>
        </w:tc>
        <w:tc>
          <w:tcPr>
            <w:tcW w:w="2721" w:type="pct"/>
            <w:shd w:val="clear" w:color="auto" w:fill="FFFFFF" w:themeFill="background1"/>
            <w:vAlign w:val="center"/>
          </w:tcPr>
          <w:p w14:paraId="3640903D">
            <w:pPr>
              <w:pStyle w:val="46"/>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lang w:val="en-US" w:eastAsia="zh-CN"/>
              </w:rPr>
              <w:t>查询渠道：信用中国网站和中国政府采购网（ www.creditchina.gov.cn 、www.ccgp.gov.cn）；</w:t>
            </w:r>
          </w:p>
          <w:p w14:paraId="270FA147">
            <w:pPr>
              <w:pStyle w:val="46"/>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截止时间：递交响应文件截止时间以后、资格审查阶段对供应商信用记录的实际查询时间；</w:t>
            </w:r>
          </w:p>
          <w:p w14:paraId="23E5D1AC">
            <w:pPr>
              <w:pStyle w:val="46"/>
              <w:keepNext w:val="0"/>
              <w:keepLines w:val="0"/>
              <w:pageBreakBefore w:val="0"/>
              <w:widowControl w:val="0"/>
              <w:kinsoku/>
              <w:overflowPunct/>
              <w:topLinePunct w:val="0"/>
              <w:autoSpaceDE/>
              <w:autoSpaceDN/>
              <w:bidi w:val="0"/>
              <w:adjustRightInd/>
              <w:snapToGrid/>
              <w:spacing w:line="3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lang w:val="en-US" w:eastAsia="zh-CN"/>
              </w:rPr>
              <w:t>信用记录的使用原</w:t>
            </w:r>
            <w:r>
              <w:rPr>
                <w:rFonts w:hint="eastAsia" w:ascii="宋体" w:hAnsi="宋体" w:eastAsia="宋体" w:cs="宋体"/>
                <w:color w:val="auto"/>
                <w:spacing w:val="-6"/>
                <w:sz w:val="21"/>
                <w:szCs w:val="21"/>
                <w:highlight w:val="none"/>
                <w:shd w:val="clear"/>
                <w:lang w:val="en-US" w:eastAsia="zh-CN"/>
              </w:rPr>
              <w:t>则：经认定被列入失信被执行人、重大税收违法失信主体、政府采购严重违法失信行为记录名单的</w:t>
            </w:r>
            <w:r>
              <w:rPr>
                <w:rFonts w:hint="eastAsia" w:ascii="宋体" w:hAnsi="宋体" w:eastAsia="宋体" w:cs="宋体"/>
                <w:color w:val="auto"/>
                <w:spacing w:val="-6"/>
                <w:kern w:val="0"/>
                <w:sz w:val="21"/>
                <w:szCs w:val="21"/>
                <w:highlight w:val="none"/>
                <w:shd w:val="clear"/>
                <w:lang w:val="en-US" w:eastAsia="zh-CN" w:bidi="ar"/>
              </w:rPr>
              <w:t>供应商</w:t>
            </w:r>
            <w:r>
              <w:rPr>
                <w:rFonts w:hint="eastAsia" w:ascii="宋体" w:hAnsi="宋体" w:eastAsia="宋体" w:cs="宋体"/>
                <w:color w:val="auto"/>
                <w:spacing w:val="-6"/>
                <w:sz w:val="21"/>
                <w:szCs w:val="21"/>
                <w:highlight w:val="none"/>
                <w:shd w:val="clear"/>
                <w:lang w:val="en-US" w:eastAsia="zh-CN"/>
              </w:rPr>
              <w:t>，</w:t>
            </w:r>
            <w:r>
              <w:rPr>
                <w:rFonts w:hint="eastAsia" w:ascii="宋体" w:hAnsi="宋体" w:eastAsia="宋体" w:cs="宋体"/>
                <w:b/>
                <w:bCs/>
                <w:color w:val="auto"/>
                <w:spacing w:val="-6"/>
                <w:sz w:val="21"/>
                <w:szCs w:val="21"/>
                <w:highlight w:val="none"/>
                <w:shd w:val="clear"/>
                <w:lang w:val="en-US" w:eastAsia="zh-CN"/>
              </w:rPr>
              <w:t>其谈判响应无效</w:t>
            </w:r>
            <w:r>
              <w:rPr>
                <w:rFonts w:hint="eastAsia" w:ascii="宋体" w:hAnsi="宋体" w:eastAsia="宋体" w:cs="宋体"/>
                <w:color w:val="auto"/>
                <w:spacing w:val="-6"/>
                <w:sz w:val="21"/>
                <w:szCs w:val="21"/>
                <w:highlight w:val="none"/>
                <w:shd w:val="clear"/>
                <w:lang w:val="en-US" w:eastAsia="zh-CN"/>
              </w:rPr>
              <w:t>。联合体形式响应的，联合体成员存在不良信用记录，视同联合体存</w:t>
            </w:r>
            <w:r>
              <w:rPr>
                <w:rFonts w:hint="eastAsia" w:ascii="宋体" w:hAnsi="宋体" w:eastAsia="宋体" w:cs="宋体"/>
                <w:color w:val="auto"/>
                <w:spacing w:val="-6"/>
                <w:sz w:val="21"/>
                <w:szCs w:val="21"/>
                <w:highlight w:val="none"/>
                <w:lang w:val="en-US" w:eastAsia="zh-CN"/>
              </w:rPr>
              <w:t>在不良信用记录。</w:t>
            </w:r>
          </w:p>
        </w:tc>
        <w:tc>
          <w:tcPr>
            <w:tcW w:w="929" w:type="pct"/>
            <w:shd w:val="clear" w:color="auto" w:fill="FFFFFF" w:themeFill="background1"/>
            <w:vAlign w:val="center"/>
          </w:tcPr>
          <w:p w14:paraId="7BC2D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无须</w:t>
            </w:r>
            <w:r>
              <w:rPr>
                <w:rFonts w:hint="eastAsia" w:ascii="宋体" w:hAnsi="宋体" w:eastAsia="宋体" w:cs="宋体"/>
                <w:color w:val="auto"/>
                <w:spacing w:val="-6"/>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提供，由采购人或采购代理机构查询。</w:t>
            </w:r>
          </w:p>
          <w:p w14:paraId="5E098C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p>
        </w:tc>
      </w:tr>
      <w:tr w14:paraId="45AD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2" w:hRule="atLeast"/>
          <w:jc w:val="center"/>
        </w:trPr>
        <w:tc>
          <w:tcPr>
            <w:tcW w:w="393" w:type="pct"/>
            <w:shd w:val="clear" w:color="auto" w:fill="FFFFFF" w:themeFill="background1"/>
            <w:vAlign w:val="center"/>
          </w:tcPr>
          <w:p w14:paraId="59D1182A">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5</w:t>
            </w:r>
          </w:p>
        </w:tc>
        <w:tc>
          <w:tcPr>
            <w:tcW w:w="955" w:type="pct"/>
            <w:shd w:val="clear" w:color="auto" w:fill="FFFFFF" w:themeFill="background1"/>
            <w:vAlign w:val="center"/>
          </w:tcPr>
          <w:p w14:paraId="627BF512">
            <w:pPr>
              <w:pStyle w:val="46"/>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中小企业证明文件</w:t>
            </w:r>
          </w:p>
        </w:tc>
        <w:tc>
          <w:tcPr>
            <w:tcW w:w="2721" w:type="pct"/>
            <w:shd w:val="clear" w:color="auto" w:fill="FFFFFF" w:themeFill="background1"/>
            <w:vAlign w:val="center"/>
          </w:tcPr>
          <w:p w14:paraId="728811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提供“中小企业声明函”或“残疾人福利性单位声明函”或由省级以上监狱管理局、戒毒管理局（含新疆生产建设兵团）出具的属于监狱企业的证明文件。</w:t>
            </w:r>
          </w:p>
        </w:tc>
        <w:tc>
          <w:tcPr>
            <w:tcW w:w="929" w:type="pct"/>
            <w:shd w:val="clear" w:color="auto" w:fill="FFFFFF" w:themeFill="background1"/>
            <w:vAlign w:val="center"/>
          </w:tcPr>
          <w:p w14:paraId="5FF764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提供声明函加盖公章</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格式见《第六章 响应文件格式》</w:t>
            </w:r>
          </w:p>
        </w:tc>
      </w:tr>
      <w:tr w14:paraId="4D5F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94" w:hRule="atLeast"/>
          <w:jc w:val="center"/>
        </w:trPr>
        <w:tc>
          <w:tcPr>
            <w:tcW w:w="393" w:type="pct"/>
            <w:shd w:val="clear" w:color="auto" w:fill="FFFFFF" w:themeFill="background1"/>
            <w:vAlign w:val="center"/>
          </w:tcPr>
          <w:p w14:paraId="127F32A0">
            <w:pPr>
              <w:pStyle w:val="46"/>
              <w:spacing w:line="240" w:lineRule="auto"/>
              <w:jc w:val="center"/>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6</w:t>
            </w:r>
          </w:p>
        </w:tc>
        <w:tc>
          <w:tcPr>
            <w:tcW w:w="955" w:type="pct"/>
            <w:shd w:val="clear" w:color="auto" w:fill="FFFFFF" w:themeFill="background1"/>
            <w:vAlign w:val="center"/>
          </w:tcPr>
          <w:p w14:paraId="74CDC7CB">
            <w:pPr>
              <w:pStyle w:val="46"/>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其他资格要求</w:t>
            </w:r>
          </w:p>
        </w:tc>
        <w:tc>
          <w:tcPr>
            <w:tcW w:w="2721" w:type="pct"/>
            <w:shd w:val="clear" w:color="auto" w:fill="FFFFFF" w:themeFill="background1"/>
            <w:vAlign w:val="center"/>
          </w:tcPr>
          <w:p w14:paraId="38277847">
            <w:pPr>
              <w:pStyle w:val="4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（1）法定代表人或单位负责人为同一人或者存在直接控股、管理关系的不同供应商，不得参加同一合同项下的政府采购活动。</w:t>
            </w:r>
          </w:p>
          <w:p w14:paraId="05454A92">
            <w:pPr>
              <w:pStyle w:val="4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（2）除单一来源采购项目外，为采购项目提供整体设计、规范编制或者项目管理、监理、检测等服务的供应商，不得再参加该采购项目的其他采购活动。</w:t>
            </w:r>
          </w:p>
        </w:tc>
        <w:tc>
          <w:tcPr>
            <w:tcW w:w="929" w:type="pct"/>
            <w:shd w:val="clear" w:color="auto" w:fill="FFFFFF" w:themeFill="background1"/>
            <w:vAlign w:val="center"/>
          </w:tcPr>
          <w:p w14:paraId="6997A46F">
            <w:pPr>
              <w:pStyle w:val="46"/>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提供承诺书加盖公章</w:t>
            </w:r>
          </w:p>
        </w:tc>
      </w:tr>
      <w:tr w14:paraId="0124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4" w:hRule="atLeast"/>
          <w:jc w:val="center"/>
        </w:trPr>
        <w:tc>
          <w:tcPr>
            <w:tcW w:w="393" w:type="pct"/>
            <w:shd w:val="clear" w:color="auto" w:fill="FFFFFF" w:themeFill="background1"/>
            <w:vAlign w:val="center"/>
          </w:tcPr>
          <w:p w14:paraId="61DC6A8C">
            <w:pPr>
              <w:pStyle w:val="46"/>
              <w:spacing w:line="240" w:lineRule="auto"/>
              <w:jc w:val="center"/>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7</w:t>
            </w:r>
          </w:p>
        </w:tc>
        <w:tc>
          <w:tcPr>
            <w:tcW w:w="955" w:type="pct"/>
            <w:shd w:val="clear" w:color="auto" w:fill="FFFFFF" w:themeFill="background1"/>
            <w:vAlign w:val="center"/>
          </w:tcPr>
          <w:p w14:paraId="5FD4996F">
            <w:pPr>
              <w:pStyle w:val="46"/>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本项目的特定资格要求</w:t>
            </w:r>
          </w:p>
        </w:tc>
        <w:tc>
          <w:tcPr>
            <w:tcW w:w="2721" w:type="pct"/>
            <w:shd w:val="clear" w:color="auto" w:fill="FFFFFF" w:themeFill="background1"/>
            <w:vAlign w:val="center"/>
          </w:tcPr>
          <w:p w14:paraId="557C1AC6">
            <w:pPr>
              <w:pStyle w:val="4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cs="宋体"/>
                <w:color w:val="auto"/>
                <w:sz w:val="24"/>
                <w:szCs w:val="24"/>
                <w:highlight w:val="none"/>
                <w:u w:val="none"/>
                <w:lang w:val="en-US" w:eastAsia="zh-CN"/>
              </w:rPr>
              <w:t>提供</w:t>
            </w:r>
            <w:r>
              <w:rPr>
                <w:rFonts w:hint="eastAsia" w:ascii="宋体" w:hAnsi="宋体" w:eastAsia="宋体" w:cs="宋体"/>
                <w:color w:val="auto"/>
                <w:sz w:val="24"/>
                <w:szCs w:val="24"/>
                <w:highlight w:val="none"/>
                <w:u w:val="none"/>
                <w:lang w:val="en-US" w:eastAsia="zh-CN"/>
              </w:rPr>
              <w:t>有效的《林木种子生产经营许可证》</w:t>
            </w:r>
          </w:p>
        </w:tc>
        <w:tc>
          <w:tcPr>
            <w:tcW w:w="929" w:type="pct"/>
            <w:shd w:val="clear" w:color="auto" w:fill="FFFFFF" w:themeFill="background1"/>
            <w:vAlign w:val="center"/>
          </w:tcPr>
          <w:p w14:paraId="45489CC4">
            <w:pPr>
              <w:pStyle w:val="46"/>
              <w:spacing w:line="240" w:lineRule="auto"/>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提供证明文件的电子件或电子证照加盖公章</w:t>
            </w:r>
          </w:p>
        </w:tc>
      </w:tr>
    </w:tbl>
    <w:p w14:paraId="1C79E11B">
      <w:pPr>
        <w:rPr>
          <w:b/>
          <w:bCs/>
          <w:color w:val="auto"/>
          <w:sz w:val="21"/>
          <w:szCs w:val="21"/>
          <w:highlight w:val="none"/>
        </w:rPr>
      </w:pPr>
      <w:r>
        <w:rPr>
          <w:rFonts w:hint="eastAsia"/>
          <w:b/>
          <w:bCs/>
          <w:color w:val="auto"/>
          <w:sz w:val="21"/>
          <w:szCs w:val="21"/>
          <w:highlight w:val="none"/>
        </w:rPr>
        <w:t>备注：</w:t>
      </w:r>
    </w:p>
    <w:p w14:paraId="509818B3">
      <w:pPr>
        <w:pStyle w:val="39"/>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6B3A690E">
      <w:pPr>
        <w:pStyle w:val="39"/>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2.</w:t>
      </w:r>
      <w:r>
        <w:rPr>
          <w:rFonts w:hint="eastAsia" w:ascii="宋体" w:hAnsi="宋体" w:eastAsia="宋体" w:cs="宋体"/>
          <w:color w:val="auto"/>
          <w:spacing w:val="-6"/>
          <w:kern w:val="0"/>
          <w:sz w:val="21"/>
          <w:szCs w:val="21"/>
          <w:highlight w:val="none"/>
          <w:lang w:val="zh-CN" w:eastAsia="zh-CN" w:bidi="ar"/>
        </w:rPr>
        <w:t>信用信息核</w:t>
      </w:r>
      <w:r>
        <w:rPr>
          <w:rFonts w:hint="eastAsia" w:ascii="宋体" w:hAnsi="宋体" w:eastAsia="宋体" w:cs="宋体"/>
          <w:color w:val="auto"/>
          <w:spacing w:val="-6"/>
          <w:kern w:val="0"/>
          <w:sz w:val="21"/>
          <w:szCs w:val="21"/>
          <w:highlight w:val="none"/>
          <w:lang w:val="en-US" w:eastAsia="zh-CN" w:bidi="ar"/>
        </w:rPr>
        <w:t>查</w:t>
      </w:r>
    </w:p>
    <w:p w14:paraId="693A48C3">
      <w:pPr>
        <w:pStyle w:val="35"/>
        <w:keepNext w:val="0"/>
        <w:keepLines w:val="0"/>
        <w:pageBreakBefore w:val="0"/>
        <w:widowControl w:val="0"/>
        <w:kinsoku/>
        <w:overflowPunct/>
        <w:topLinePunct w:val="0"/>
        <w:autoSpaceDE/>
        <w:autoSpaceDN/>
        <w:bidi w:val="0"/>
        <w:adjustRightInd/>
        <w:snapToGrid/>
        <w:spacing w:line="360" w:lineRule="exact"/>
        <w:ind w:firstLine="48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2.1资格审查阶段应当核查供应商信用记录，供应商被列入失信被执行人、重大税收违法失信主体、政府采购严重违法失信行为记录名单的，采购人拒绝其参与政府采购活动。</w:t>
      </w:r>
    </w:p>
    <w:p w14:paraId="5E74E935">
      <w:pPr>
        <w:pStyle w:val="39"/>
        <w:keepNext w:val="0"/>
        <w:keepLines w:val="0"/>
        <w:pageBreakBefore w:val="0"/>
        <w:widowControl w:val="0"/>
        <w:numPr>
          <w:ilvl w:val="0"/>
          <w:numId w:val="0"/>
        </w:numPr>
        <w:kinsoku/>
        <w:overflowPunct/>
        <w:topLinePunct w:val="0"/>
        <w:autoSpaceDE/>
        <w:autoSpaceDN/>
        <w:bidi w:val="0"/>
        <w:adjustRightInd/>
        <w:snapToGrid/>
        <w:spacing w:line="360" w:lineRule="exact"/>
        <w:ind w:firstLine="396" w:firstLineChars="200"/>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3.对于响应文件中有任意一条不满足上表要求的，将导致其</w:t>
      </w:r>
      <w:r>
        <w:rPr>
          <w:rFonts w:hint="eastAsia" w:ascii="宋体" w:hAnsi="宋体" w:eastAsia="宋体" w:cs="宋体"/>
          <w:b/>
          <w:bCs/>
          <w:color w:val="auto"/>
          <w:spacing w:val="-6"/>
          <w:kern w:val="0"/>
          <w:sz w:val="21"/>
          <w:szCs w:val="21"/>
          <w:highlight w:val="none"/>
          <w:lang w:val="en-US" w:eastAsia="zh-CN" w:bidi="ar"/>
        </w:rPr>
        <w:t>响应无效</w:t>
      </w:r>
      <w:r>
        <w:rPr>
          <w:rFonts w:hint="eastAsia" w:ascii="宋体" w:hAnsi="宋体" w:eastAsia="宋体" w:cs="宋体"/>
          <w:color w:val="auto"/>
          <w:spacing w:val="-6"/>
          <w:kern w:val="0"/>
          <w:sz w:val="21"/>
          <w:szCs w:val="21"/>
          <w:highlight w:val="none"/>
          <w:lang w:val="en-US" w:eastAsia="zh-CN" w:bidi="ar"/>
        </w:rPr>
        <w:t>，不得进入下一项评审。</w:t>
      </w:r>
    </w:p>
    <w:p w14:paraId="55110B7F">
      <w:pPr>
        <w:rPr>
          <w:rFonts w:hint="eastAsia"/>
          <w:color w:val="auto"/>
          <w:highlight w:val="none"/>
        </w:rPr>
      </w:pPr>
      <w:r>
        <w:rPr>
          <w:rFonts w:hint="eastAsia"/>
          <w:color w:val="auto"/>
          <w:highlight w:val="none"/>
        </w:rPr>
        <w:br w:type="page"/>
      </w:r>
    </w:p>
    <w:p w14:paraId="613615C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99" w:name="_Toc163493639"/>
      <w:bookmarkStart w:id="500" w:name="_Toc31092"/>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98"/>
      <w:bookmarkEnd w:id="499"/>
      <w:bookmarkEnd w:id="500"/>
    </w:p>
    <w:tbl>
      <w:tblPr>
        <w:tblStyle w:val="28"/>
        <w:tblW w:w="52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9"/>
        <w:gridCol w:w="1759"/>
        <w:gridCol w:w="6167"/>
        <w:gridCol w:w="683"/>
        <w:gridCol w:w="863"/>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325" w:type="pct"/>
            <w:vMerge w:val="restart"/>
            <w:shd w:val="clear" w:color="auto" w:fill="D8D8D8" w:themeFill="background1" w:themeFillShade="D9"/>
            <w:vAlign w:val="center"/>
          </w:tcPr>
          <w:p w14:paraId="3B188FC3">
            <w:pPr>
              <w:pStyle w:val="46"/>
              <w:jc w:val="center"/>
              <w:rPr>
                <w:rFonts w:hint="eastAsia" w:ascii="宋体" w:hAnsi="宋体" w:eastAsia="宋体" w:cs="宋体"/>
                <w:b/>
                <w:bCs/>
                <w:color w:val="auto"/>
                <w:sz w:val="21"/>
                <w:szCs w:val="21"/>
                <w:highlight w:val="none"/>
                <w:lang w:val="zh-CN"/>
              </w:rPr>
            </w:pPr>
            <w:bookmarkStart w:id="501" w:name="_Toc163493640"/>
            <w:r>
              <w:rPr>
                <w:rFonts w:hint="eastAsia" w:ascii="宋体" w:hAnsi="宋体" w:eastAsia="宋体" w:cs="宋体"/>
                <w:b/>
                <w:bCs/>
                <w:color w:val="auto"/>
                <w:sz w:val="21"/>
                <w:szCs w:val="21"/>
                <w:highlight w:val="none"/>
                <w:lang w:val="zh-CN"/>
              </w:rPr>
              <w:t>序号</w:t>
            </w:r>
          </w:p>
        </w:tc>
        <w:tc>
          <w:tcPr>
            <w:tcW w:w="868" w:type="pct"/>
            <w:vMerge w:val="restart"/>
            <w:shd w:val="clear" w:color="auto" w:fill="D8D8D8" w:themeFill="background1" w:themeFillShade="D9"/>
            <w:vAlign w:val="center"/>
          </w:tcPr>
          <w:p w14:paraId="316B5F87">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43" w:type="pct"/>
            <w:vMerge w:val="restart"/>
            <w:shd w:val="clear" w:color="auto" w:fill="D8D8D8" w:themeFill="background1" w:themeFillShade="D9"/>
            <w:vAlign w:val="center"/>
          </w:tcPr>
          <w:p w14:paraId="44B32FDC">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763" w:type="pct"/>
            <w:gridSpan w:val="2"/>
            <w:shd w:val="clear" w:color="auto" w:fill="D8D8D8" w:themeFill="background1" w:themeFillShade="D9"/>
            <w:vAlign w:val="center"/>
          </w:tcPr>
          <w:p w14:paraId="2724C461">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 w:hRule="atLeast"/>
          <w:jc w:val="center"/>
        </w:trPr>
        <w:tc>
          <w:tcPr>
            <w:tcW w:w="325" w:type="pct"/>
            <w:vMerge w:val="continue"/>
            <w:shd w:val="clear" w:color="auto" w:fill="D8D8D8" w:themeFill="background1" w:themeFillShade="D9"/>
            <w:vAlign w:val="center"/>
          </w:tcPr>
          <w:p w14:paraId="1859AA86">
            <w:pPr>
              <w:pStyle w:val="46"/>
              <w:jc w:val="center"/>
              <w:rPr>
                <w:rFonts w:hint="eastAsia" w:ascii="宋体" w:hAnsi="宋体" w:eastAsia="宋体" w:cs="宋体"/>
                <w:b/>
                <w:bCs/>
                <w:color w:val="auto"/>
                <w:sz w:val="21"/>
                <w:szCs w:val="21"/>
                <w:highlight w:val="none"/>
                <w:lang w:val="zh-CN"/>
              </w:rPr>
            </w:pPr>
          </w:p>
        </w:tc>
        <w:tc>
          <w:tcPr>
            <w:tcW w:w="868" w:type="pct"/>
            <w:vMerge w:val="continue"/>
            <w:shd w:val="clear" w:color="auto" w:fill="D8D8D8" w:themeFill="background1" w:themeFillShade="D9"/>
            <w:vAlign w:val="center"/>
          </w:tcPr>
          <w:p w14:paraId="51EF0565">
            <w:pPr>
              <w:pStyle w:val="46"/>
              <w:jc w:val="center"/>
              <w:rPr>
                <w:rFonts w:hint="eastAsia" w:ascii="宋体" w:hAnsi="宋体" w:eastAsia="宋体" w:cs="宋体"/>
                <w:b/>
                <w:bCs/>
                <w:color w:val="auto"/>
                <w:sz w:val="21"/>
                <w:szCs w:val="21"/>
                <w:highlight w:val="none"/>
                <w:lang w:val="zh-CN"/>
              </w:rPr>
            </w:pPr>
          </w:p>
        </w:tc>
        <w:tc>
          <w:tcPr>
            <w:tcW w:w="3043" w:type="pct"/>
            <w:vMerge w:val="continue"/>
            <w:shd w:val="clear" w:color="auto" w:fill="D8D8D8" w:themeFill="background1" w:themeFillShade="D9"/>
            <w:vAlign w:val="center"/>
          </w:tcPr>
          <w:p w14:paraId="2128C077">
            <w:pPr>
              <w:pStyle w:val="46"/>
              <w:jc w:val="center"/>
              <w:rPr>
                <w:rFonts w:hint="eastAsia" w:ascii="宋体" w:hAnsi="宋体" w:eastAsia="宋体" w:cs="宋体"/>
                <w:b/>
                <w:bCs/>
                <w:color w:val="auto"/>
                <w:sz w:val="21"/>
                <w:szCs w:val="21"/>
                <w:highlight w:val="none"/>
                <w:lang w:val="zh-CN"/>
              </w:rPr>
            </w:pPr>
          </w:p>
        </w:tc>
        <w:tc>
          <w:tcPr>
            <w:tcW w:w="337" w:type="pct"/>
            <w:shd w:val="clear" w:color="auto" w:fill="D8D8D8" w:themeFill="background1" w:themeFillShade="D9"/>
            <w:vAlign w:val="center"/>
          </w:tcPr>
          <w:p w14:paraId="0CAA21D7">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25" w:type="pct"/>
            <w:shd w:val="clear" w:color="auto" w:fill="D8D8D8" w:themeFill="background1" w:themeFillShade="D9"/>
            <w:vAlign w:val="center"/>
          </w:tcPr>
          <w:p w14:paraId="15D1F439">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25" w:type="pct"/>
            <w:shd w:val="clear" w:color="auto" w:fill="auto"/>
            <w:vAlign w:val="center"/>
          </w:tcPr>
          <w:p w14:paraId="4A515C07">
            <w:pPr>
              <w:pStyle w:val="46"/>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68" w:type="pct"/>
            <w:vAlign w:val="center"/>
          </w:tcPr>
          <w:p w14:paraId="5E0E3062">
            <w:pPr>
              <w:pStyle w:val="46"/>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3043" w:type="pct"/>
            <w:shd w:val="clear" w:color="auto" w:fill="auto"/>
            <w:vAlign w:val="center"/>
          </w:tcPr>
          <w:p w14:paraId="0FA4ED80">
            <w:pPr>
              <w:pStyle w:val="46"/>
              <w:jc w:val="center"/>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文件要求签署、盖章的</w:t>
            </w:r>
          </w:p>
        </w:tc>
        <w:tc>
          <w:tcPr>
            <w:tcW w:w="337" w:type="pct"/>
            <w:shd w:val="clear" w:color="auto" w:fill="auto"/>
            <w:vAlign w:val="center"/>
          </w:tcPr>
          <w:p w14:paraId="1E1F1EB1">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35325BAA">
            <w:pPr>
              <w:pStyle w:val="46"/>
              <w:rPr>
                <w:rFonts w:hint="eastAsia" w:ascii="宋体" w:hAnsi="宋体" w:eastAsia="宋体" w:cs="宋体"/>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325" w:type="pct"/>
            <w:shd w:val="clear" w:color="auto" w:fill="auto"/>
            <w:vAlign w:val="center"/>
          </w:tcPr>
          <w:p w14:paraId="70154C2F">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68" w:type="pct"/>
            <w:shd w:val="clear" w:color="auto" w:fill="auto"/>
            <w:vAlign w:val="center"/>
          </w:tcPr>
          <w:p w14:paraId="1B390AF0">
            <w:pPr>
              <w:pStyle w:val="46"/>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43" w:type="pct"/>
            <w:shd w:val="clear" w:color="auto" w:fill="auto"/>
            <w:vAlign w:val="center"/>
          </w:tcPr>
          <w:p w14:paraId="6D95F485">
            <w:pPr>
              <w:pStyle w:val="46"/>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文件中标注“☆”号的实质性条款要求</w:t>
            </w:r>
            <w:r>
              <w:rPr>
                <w:rFonts w:hint="eastAsia" w:cs="宋体"/>
                <w:color w:val="auto"/>
                <w:sz w:val="21"/>
                <w:szCs w:val="21"/>
                <w:highlight w:val="none"/>
                <w:lang w:val="en-US" w:eastAsia="zh-CN"/>
              </w:rPr>
              <w:t>和</w:t>
            </w:r>
          </w:p>
          <w:p w14:paraId="473B90CB">
            <w:pPr>
              <w:pStyle w:val="46"/>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商务技术评审</w:t>
            </w:r>
            <w:r>
              <w:rPr>
                <w:rFonts w:hint="eastAsia" w:ascii="宋体" w:hAnsi="宋体" w:eastAsia="宋体" w:cs="宋体"/>
                <w:color w:val="auto"/>
                <w:sz w:val="21"/>
                <w:szCs w:val="21"/>
                <w:highlight w:val="none"/>
                <w:lang w:val="zh-CN" w:eastAsia="zh-CN"/>
              </w:rPr>
              <w:t>要求</w:t>
            </w:r>
            <w:r>
              <w:rPr>
                <w:rFonts w:hint="eastAsia" w:cs="宋体"/>
                <w:color w:val="auto"/>
                <w:sz w:val="21"/>
                <w:szCs w:val="21"/>
                <w:highlight w:val="none"/>
                <w:lang w:val="en-US" w:eastAsia="zh-CN"/>
              </w:rPr>
              <w:t>的</w:t>
            </w:r>
          </w:p>
        </w:tc>
        <w:tc>
          <w:tcPr>
            <w:tcW w:w="337" w:type="pct"/>
            <w:shd w:val="clear" w:color="auto" w:fill="auto"/>
            <w:vAlign w:val="center"/>
          </w:tcPr>
          <w:p w14:paraId="4C63B966">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5A615EFE">
            <w:pPr>
              <w:pStyle w:val="46"/>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25" w:type="pct"/>
            <w:shd w:val="clear" w:color="auto" w:fill="auto"/>
            <w:vAlign w:val="center"/>
          </w:tcPr>
          <w:p w14:paraId="48860C47">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68" w:type="pct"/>
            <w:vAlign w:val="center"/>
          </w:tcPr>
          <w:p w14:paraId="31EA832C">
            <w:pPr>
              <w:pStyle w:val="46"/>
              <w:jc w:val="center"/>
              <w:rPr>
                <w:rFonts w:hint="eastAsia" w:ascii="宋体" w:hAnsi="宋体" w:eastAsia="宋体" w:cs="宋体"/>
                <w:color w:val="auto"/>
                <w:sz w:val="21"/>
                <w:szCs w:val="21"/>
                <w:highlight w:val="none"/>
                <w:lang w:val="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rPr>
              <w:t>响应性报价</w:t>
            </w:r>
          </w:p>
        </w:tc>
        <w:tc>
          <w:tcPr>
            <w:tcW w:w="3043" w:type="pct"/>
            <w:shd w:val="clear" w:color="auto" w:fill="auto"/>
            <w:vAlign w:val="center"/>
          </w:tcPr>
          <w:p w14:paraId="02D97709">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供应商报价未超过</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文件中规定的最高限价或者预算金额的</w:t>
            </w:r>
          </w:p>
        </w:tc>
        <w:tc>
          <w:tcPr>
            <w:tcW w:w="337" w:type="pct"/>
            <w:shd w:val="clear" w:color="auto" w:fill="auto"/>
            <w:vAlign w:val="center"/>
          </w:tcPr>
          <w:p w14:paraId="18835E98">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32826E79">
            <w:pPr>
              <w:pStyle w:val="46"/>
              <w:rPr>
                <w:rFonts w:hint="eastAsia" w:ascii="宋体" w:hAnsi="宋体" w:eastAsia="宋体" w:cs="宋体"/>
                <w:color w:val="auto"/>
                <w:sz w:val="21"/>
                <w:szCs w:val="21"/>
                <w:highlight w:val="none"/>
                <w:lang w:val="zh-CN"/>
              </w:rPr>
            </w:pPr>
          </w:p>
        </w:tc>
      </w:tr>
      <w:tr w14:paraId="46AFA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325" w:type="pct"/>
            <w:shd w:val="clear" w:color="auto" w:fill="auto"/>
            <w:vAlign w:val="center"/>
          </w:tcPr>
          <w:p w14:paraId="1C93F977">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868" w:type="pct"/>
            <w:vAlign w:val="center"/>
          </w:tcPr>
          <w:p w14:paraId="1A6A25FC">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异常低价审查</w:t>
            </w:r>
          </w:p>
        </w:tc>
        <w:tc>
          <w:tcPr>
            <w:tcW w:w="3043" w:type="pct"/>
            <w:shd w:val="clear" w:color="auto" w:fill="auto"/>
            <w:vAlign w:val="center"/>
          </w:tcPr>
          <w:p w14:paraId="7C72D51B">
            <w:pPr>
              <w:pStyle w:val="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供应商报价是否存在异常低价。</w:t>
            </w:r>
          </w:p>
        </w:tc>
        <w:tc>
          <w:tcPr>
            <w:tcW w:w="337" w:type="pct"/>
            <w:shd w:val="clear" w:color="auto" w:fill="auto"/>
            <w:vAlign w:val="center"/>
          </w:tcPr>
          <w:p w14:paraId="18C62BBD">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4450E88F">
            <w:pPr>
              <w:pStyle w:val="46"/>
              <w:rPr>
                <w:rFonts w:hint="eastAsia" w:ascii="宋体" w:hAnsi="宋体" w:eastAsia="宋体" w:cs="宋体"/>
                <w:color w:val="auto"/>
                <w:sz w:val="21"/>
                <w:szCs w:val="21"/>
                <w:highlight w:val="none"/>
                <w:lang w:val="zh-CN"/>
              </w:rPr>
            </w:pPr>
          </w:p>
        </w:tc>
      </w:tr>
      <w:tr w14:paraId="0759F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325" w:type="pct"/>
            <w:shd w:val="clear" w:color="auto" w:fill="auto"/>
            <w:vAlign w:val="center"/>
          </w:tcPr>
          <w:p w14:paraId="55C41672">
            <w:pPr>
              <w:pStyle w:val="46"/>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868" w:type="pct"/>
            <w:shd w:val="clear" w:color="auto" w:fill="auto"/>
            <w:vAlign w:val="center"/>
          </w:tcPr>
          <w:p w14:paraId="165805AD">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采购清单</w:t>
            </w:r>
          </w:p>
        </w:tc>
        <w:tc>
          <w:tcPr>
            <w:tcW w:w="3043" w:type="pct"/>
            <w:shd w:val="clear" w:color="auto" w:fill="auto"/>
            <w:vAlign w:val="center"/>
          </w:tcPr>
          <w:p w14:paraId="64323A44">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w:t>
            </w:r>
            <w:r>
              <w:rPr>
                <w:rFonts w:hint="eastAsia" w:cs="宋体"/>
                <w:color w:val="auto"/>
                <w:kern w:val="2"/>
                <w:sz w:val="21"/>
                <w:szCs w:val="21"/>
                <w:highlight w:val="none"/>
                <w:lang w:val="en-US" w:eastAsia="zh-CN" w:bidi="ar-SA"/>
              </w:rPr>
              <w:t>谈判</w:t>
            </w:r>
            <w:r>
              <w:rPr>
                <w:rFonts w:hint="eastAsia" w:ascii="宋体" w:hAnsi="宋体" w:eastAsia="宋体" w:cs="宋体"/>
                <w:color w:val="auto"/>
                <w:kern w:val="2"/>
                <w:sz w:val="21"/>
                <w:szCs w:val="21"/>
                <w:highlight w:val="none"/>
                <w:lang w:val="en-US" w:eastAsia="zh-CN" w:bidi="ar-SA"/>
              </w:rPr>
              <w:t>文件提供的采购</w:t>
            </w:r>
            <w:r>
              <w:rPr>
                <w:rFonts w:hint="eastAsia" w:cs="宋体"/>
                <w:color w:val="auto"/>
                <w:kern w:val="2"/>
                <w:sz w:val="21"/>
                <w:szCs w:val="21"/>
                <w:highlight w:val="none"/>
                <w:lang w:val="en-US" w:eastAsia="zh-CN" w:bidi="ar-SA"/>
              </w:rPr>
              <w:t>标的</w:t>
            </w:r>
            <w:r>
              <w:rPr>
                <w:rFonts w:hint="eastAsia" w:ascii="宋体" w:hAnsi="宋体" w:eastAsia="宋体" w:cs="宋体"/>
                <w:color w:val="auto"/>
                <w:kern w:val="2"/>
                <w:sz w:val="21"/>
                <w:szCs w:val="21"/>
                <w:highlight w:val="none"/>
                <w:lang w:val="en-US" w:eastAsia="zh-CN" w:bidi="ar-SA"/>
              </w:rPr>
              <w:t>清单</w:t>
            </w:r>
            <w:r>
              <w:rPr>
                <w:rFonts w:hint="eastAsia" w:cs="宋体"/>
                <w:color w:val="auto"/>
                <w:kern w:val="2"/>
                <w:sz w:val="21"/>
                <w:szCs w:val="21"/>
                <w:highlight w:val="none"/>
                <w:lang w:val="en-US" w:eastAsia="zh-CN" w:bidi="ar-SA"/>
              </w:rPr>
              <w:t>数量</w:t>
            </w:r>
            <w:r>
              <w:rPr>
                <w:rFonts w:hint="eastAsia" w:ascii="宋体" w:hAnsi="宋体" w:eastAsia="宋体" w:cs="宋体"/>
                <w:color w:val="auto"/>
                <w:kern w:val="2"/>
                <w:sz w:val="21"/>
                <w:szCs w:val="21"/>
                <w:highlight w:val="none"/>
                <w:lang w:val="en-US" w:eastAsia="zh-CN" w:bidi="ar-SA"/>
              </w:rPr>
              <w:t>的</w:t>
            </w:r>
          </w:p>
        </w:tc>
        <w:tc>
          <w:tcPr>
            <w:tcW w:w="337" w:type="pct"/>
            <w:shd w:val="clear" w:color="auto" w:fill="auto"/>
            <w:vAlign w:val="center"/>
          </w:tcPr>
          <w:p w14:paraId="61407A1E">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0B05B99E">
            <w:pPr>
              <w:pStyle w:val="46"/>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325" w:type="pct"/>
            <w:shd w:val="clear" w:color="auto" w:fill="auto"/>
            <w:vAlign w:val="center"/>
          </w:tcPr>
          <w:p w14:paraId="0D25BA5B">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6</w:t>
            </w:r>
          </w:p>
        </w:tc>
        <w:tc>
          <w:tcPr>
            <w:tcW w:w="868" w:type="pct"/>
            <w:vAlign w:val="center"/>
          </w:tcPr>
          <w:p w14:paraId="6B53D7DD">
            <w:pPr>
              <w:pStyle w:val="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43" w:type="pct"/>
            <w:shd w:val="clear" w:color="auto" w:fill="auto"/>
            <w:vAlign w:val="center"/>
          </w:tcPr>
          <w:p w14:paraId="3C241A91">
            <w:pPr>
              <w:pStyle w:val="46"/>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37" w:type="pct"/>
            <w:shd w:val="clear" w:color="auto" w:fill="auto"/>
            <w:vAlign w:val="center"/>
          </w:tcPr>
          <w:p w14:paraId="4B513014">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48AFA180">
            <w:pPr>
              <w:pStyle w:val="46"/>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 w:hRule="atLeast"/>
          <w:jc w:val="center"/>
        </w:trPr>
        <w:tc>
          <w:tcPr>
            <w:tcW w:w="325" w:type="pct"/>
            <w:shd w:val="clear" w:color="auto" w:fill="auto"/>
            <w:vAlign w:val="center"/>
          </w:tcPr>
          <w:p w14:paraId="31C12A1B">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7</w:t>
            </w:r>
          </w:p>
        </w:tc>
        <w:tc>
          <w:tcPr>
            <w:tcW w:w="868" w:type="pct"/>
            <w:vAlign w:val="center"/>
          </w:tcPr>
          <w:p w14:paraId="55194F4F">
            <w:pPr>
              <w:pStyle w:val="46"/>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w:t>
            </w:r>
          </w:p>
        </w:tc>
        <w:tc>
          <w:tcPr>
            <w:tcW w:w="3043" w:type="pct"/>
            <w:shd w:val="clear" w:color="auto" w:fill="auto"/>
            <w:vAlign w:val="center"/>
          </w:tcPr>
          <w:p w14:paraId="4803457A">
            <w:pPr>
              <w:pStyle w:val="46"/>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供应商按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文件的规定缴纳</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保证金的</w:t>
            </w:r>
          </w:p>
        </w:tc>
        <w:tc>
          <w:tcPr>
            <w:tcW w:w="337" w:type="pct"/>
            <w:shd w:val="clear" w:color="auto" w:fill="auto"/>
            <w:vAlign w:val="center"/>
          </w:tcPr>
          <w:p w14:paraId="194FF3C2">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2372B823">
            <w:pPr>
              <w:pStyle w:val="46"/>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325" w:type="pct"/>
            <w:shd w:val="clear" w:color="auto" w:fill="auto"/>
            <w:vAlign w:val="center"/>
          </w:tcPr>
          <w:p w14:paraId="6C002E13">
            <w:pPr>
              <w:pStyle w:val="46"/>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8</w:t>
            </w:r>
          </w:p>
        </w:tc>
        <w:tc>
          <w:tcPr>
            <w:tcW w:w="868" w:type="pct"/>
            <w:vAlign w:val="center"/>
          </w:tcPr>
          <w:p w14:paraId="5C91A4A7">
            <w:pPr>
              <w:pStyle w:val="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3043" w:type="pct"/>
            <w:shd w:val="clear" w:color="auto" w:fill="auto"/>
            <w:vAlign w:val="center"/>
          </w:tcPr>
          <w:p w14:paraId="3E6052BB">
            <w:pPr>
              <w:pStyle w:val="46"/>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lang w:val="zh-CN" w:eastAsia="zh-CN"/>
              </w:rPr>
              <w:t>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337" w:type="pct"/>
            <w:shd w:val="clear" w:color="auto" w:fill="auto"/>
            <w:vAlign w:val="center"/>
          </w:tcPr>
          <w:p w14:paraId="1EA81190">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2394B23D">
            <w:pPr>
              <w:pStyle w:val="46"/>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325" w:type="pct"/>
            <w:shd w:val="clear" w:color="auto" w:fill="auto"/>
            <w:vAlign w:val="center"/>
          </w:tcPr>
          <w:p w14:paraId="332BD4A6">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868" w:type="pct"/>
            <w:vAlign w:val="center"/>
          </w:tcPr>
          <w:p w14:paraId="56EEFE7E">
            <w:pPr>
              <w:pStyle w:val="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43" w:type="pct"/>
            <w:shd w:val="clear" w:color="auto" w:fill="auto"/>
            <w:vAlign w:val="center"/>
          </w:tcPr>
          <w:p w14:paraId="618DB2FB">
            <w:pPr>
              <w:pStyle w:val="46"/>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337" w:type="pct"/>
            <w:shd w:val="clear" w:color="auto" w:fill="auto"/>
            <w:vAlign w:val="center"/>
          </w:tcPr>
          <w:p w14:paraId="36C2A679">
            <w:pPr>
              <w:pStyle w:val="46"/>
              <w:rPr>
                <w:rFonts w:hint="eastAsia" w:ascii="宋体" w:hAnsi="宋体" w:eastAsia="宋体" w:cs="宋体"/>
                <w:color w:val="auto"/>
                <w:sz w:val="21"/>
                <w:szCs w:val="21"/>
                <w:highlight w:val="none"/>
                <w:lang w:val="zh-CN"/>
              </w:rPr>
            </w:pPr>
          </w:p>
        </w:tc>
        <w:tc>
          <w:tcPr>
            <w:tcW w:w="425" w:type="pct"/>
            <w:shd w:val="clear" w:color="auto" w:fill="auto"/>
            <w:vAlign w:val="center"/>
          </w:tcPr>
          <w:p w14:paraId="73E4201A">
            <w:pPr>
              <w:pStyle w:val="46"/>
              <w:rPr>
                <w:rFonts w:hint="eastAsia" w:ascii="宋体" w:hAnsi="宋体" w:eastAsia="宋体" w:cs="宋体"/>
                <w:color w:val="auto"/>
                <w:sz w:val="21"/>
                <w:szCs w:val="21"/>
                <w:highlight w:val="none"/>
                <w:lang w:val="zh-CN"/>
              </w:rPr>
            </w:pPr>
          </w:p>
        </w:tc>
      </w:tr>
    </w:tbl>
    <w:p w14:paraId="7E1CE7D6">
      <w:pPr>
        <w:rPr>
          <w:rFonts w:hint="eastAsia"/>
          <w:color w:val="auto"/>
          <w:highlight w:val="none"/>
          <w:lang w:val="en-US" w:eastAsia="zh-CN"/>
        </w:rPr>
      </w:pPr>
      <w:r>
        <w:rPr>
          <w:rFonts w:hint="eastAsia" w:ascii="宋体" w:hAnsi="宋体" w:eastAsia="宋体" w:cs="宋体"/>
          <w:b/>
          <w:bCs/>
          <w:color w:val="auto"/>
          <w:kern w:val="2"/>
          <w:sz w:val="24"/>
          <w:szCs w:val="24"/>
          <w:highlight w:val="none"/>
          <w:lang w:val="zh-CN" w:eastAsia="zh-CN" w:bidi="ar-SA"/>
        </w:rPr>
        <w:br w:type="page"/>
      </w:r>
    </w:p>
    <w:p w14:paraId="3D42002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502" w:name="_Toc7219"/>
      <w:r>
        <w:rPr>
          <w:rFonts w:hint="eastAsia" w:ascii="宋体" w:hAnsi="宋体" w:eastAsia="宋体" w:cs="宋体"/>
          <w:b/>
          <w:bCs/>
          <w:color w:val="auto"/>
          <w:kern w:val="2"/>
          <w:sz w:val="24"/>
          <w:szCs w:val="24"/>
          <w:highlight w:val="none"/>
          <w:lang w:val="en-US" w:eastAsia="zh-CN" w:bidi="ar-SA"/>
        </w:rPr>
        <w:t>（三）</w:t>
      </w:r>
      <w:r>
        <w:rPr>
          <w:rFonts w:hint="eastAsia" w:cs="宋体"/>
          <w:b/>
          <w:bCs/>
          <w:color w:val="auto"/>
          <w:kern w:val="2"/>
          <w:sz w:val="24"/>
          <w:szCs w:val="24"/>
          <w:highlight w:val="none"/>
          <w:lang w:val="en-US" w:eastAsia="zh-CN" w:bidi="ar-SA"/>
        </w:rPr>
        <w:t>商务技术</w:t>
      </w:r>
      <w:r>
        <w:rPr>
          <w:rFonts w:hint="eastAsia" w:ascii="宋体" w:hAnsi="宋体" w:eastAsia="宋体" w:cs="宋体"/>
          <w:b/>
          <w:bCs/>
          <w:color w:val="auto"/>
          <w:kern w:val="2"/>
          <w:sz w:val="24"/>
          <w:szCs w:val="24"/>
          <w:highlight w:val="none"/>
          <w:lang w:val="zh-CN" w:eastAsia="zh-CN" w:bidi="ar-SA"/>
        </w:rPr>
        <w:t>评</w:t>
      </w:r>
      <w:r>
        <w:rPr>
          <w:rFonts w:hint="eastAsia" w:cs="宋体"/>
          <w:b/>
          <w:bCs/>
          <w:color w:val="auto"/>
          <w:kern w:val="2"/>
          <w:sz w:val="24"/>
          <w:szCs w:val="24"/>
          <w:highlight w:val="none"/>
          <w:lang w:val="en-US" w:eastAsia="zh-CN" w:bidi="ar-SA"/>
        </w:rPr>
        <w:t>审</w:t>
      </w:r>
      <w:bookmarkEnd w:id="501"/>
      <w:bookmarkEnd w:id="502"/>
    </w:p>
    <w:p w14:paraId="756FB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谈判小组根据本章的商务技术评审标准，进行商务技术评审，未实质性响应谈判文件要求的响应文件按无效响应处理。</w:t>
      </w:r>
    </w:p>
    <w:tbl>
      <w:tblPr>
        <w:tblStyle w:val="28"/>
        <w:tblpPr w:leftFromText="180" w:rightFromText="180" w:vertAnchor="page" w:horzAnchor="page" w:tblpXSpec="center" w:tblpY="3153"/>
        <w:tblOverlap w:val="never"/>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080"/>
        <w:gridCol w:w="840"/>
        <w:gridCol w:w="853"/>
      </w:tblGrid>
      <w:tr w14:paraId="28EF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jc w:val="center"/>
        </w:trPr>
        <w:tc>
          <w:tcPr>
            <w:tcW w:w="1008" w:type="pct"/>
            <w:vMerge w:val="restart"/>
            <w:shd w:val="clear" w:color="auto" w:fill="D8D8D8" w:themeFill="background1" w:themeFillShade="D9"/>
            <w:vAlign w:val="center"/>
          </w:tcPr>
          <w:p w14:paraId="3CC6188B">
            <w:pPr>
              <w:pStyle w:val="4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w:t>
            </w:r>
            <w:r>
              <w:rPr>
                <w:rFonts w:hint="eastAsia" w:cs="宋体"/>
                <w:b/>
                <w:bCs/>
                <w:color w:val="auto"/>
                <w:sz w:val="21"/>
                <w:szCs w:val="21"/>
                <w:highlight w:val="none"/>
                <w:lang w:val="en-US" w:eastAsia="zh-CN"/>
              </w:rPr>
              <w:t>审</w:t>
            </w:r>
            <w:r>
              <w:rPr>
                <w:rFonts w:hint="eastAsia" w:ascii="宋体" w:hAnsi="宋体" w:eastAsia="宋体" w:cs="宋体"/>
                <w:b/>
                <w:bCs/>
                <w:color w:val="auto"/>
                <w:sz w:val="21"/>
                <w:szCs w:val="21"/>
                <w:highlight w:val="none"/>
              </w:rPr>
              <w:t>分项</w:t>
            </w:r>
          </w:p>
        </w:tc>
        <w:tc>
          <w:tcPr>
            <w:tcW w:w="3121" w:type="pct"/>
            <w:vMerge w:val="restart"/>
            <w:shd w:val="clear" w:color="auto" w:fill="D8D8D8" w:themeFill="background1" w:themeFillShade="D9"/>
            <w:vAlign w:val="center"/>
          </w:tcPr>
          <w:p w14:paraId="09AA5C31">
            <w:pPr>
              <w:pStyle w:val="46"/>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评审标准及要求</w:t>
            </w:r>
          </w:p>
        </w:tc>
        <w:tc>
          <w:tcPr>
            <w:tcW w:w="869" w:type="pct"/>
            <w:gridSpan w:val="2"/>
            <w:shd w:val="clear" w:color="auto" w:fill="D8D8D8" w:themeFill="background1" w:themeFillShade="D9"/>
            <w:vAlign w:val="center"/>
          </w:tcPr>
          <w:p w14:paraId="4DF85E4A">
            <w:pPr>
              <w:pStyle w:val="46"/>
              <w:jc w:val="center"/>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是否符合</w:t>
            </w:r>
          </w:p>
        </w:tc>
      </w:tr>
      <w:tr w14:paraId="07F2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blHeader/>
          <w:jc w:val="center"/>
        </w:trPr>
        <w:tc>
          <w:tcPr>
            <w:tcW w:w="1008" w:type="pct"/>
            <w:vMerge w:val="continue"/>
            <w:shd w:val="clear" w:color="auto" w:fill="D8D8D8" w:themeFill="background1" w:themeFillShade="D9"/>
            <w:vAlign w:val="center"/>
          </w:tcPr>
          <w:p w14:paraId="77371A78">
            <w:pPr>
              <w:pStyle w:val="46"/>
              <w:jc w:val="center"/>
              <w:rPr>
                <w:rFonts w:hint="eastAsia" w:ascii="宋体" w:hAnsi="宋体" w:eastAsia="宋体" w:cs="宋体"/>
                <w:b/>
                <w:bCs/>
                <w:color w:val="auto"/>
                <w:sz w:val="21"/>
                <w:szCs w:val="21"/>
                <w:highlight w:val="none"/>
              </w:rPr>
            </w:pPr>
          </w:p>
        </w:tc>
        <w:tc>
          <w:tcPr>
            <w:tcW w:w="3121" w:type="pct"/>
            <w:vMerge w:val="continue"/>
            <w:shd w:val="clear" w:color="auto" w:fill="D8D8D8" w:themeFill="background1" w:themeFillShade="D9"/>
            <w:vAlign w:val="center"/>
          </w:tcPr>
          <w:p w14:paraId="18F8A724">
            <w:pPr>
              <w:pStyle w:val="46"/>
              <w:jc w:val="center"/>
              <w:rPr>
                <w:rFonts w:hint="eastAsia" w:cs="宋体"/>
                <w:b/>
                <w:bCs/>
                <w:color w:val="auto"/>
                <w:sz w:val="21"/>
                <w:szCs w:val="21"/>
                <w:highlight w:val="none"/>
                <w:lang w:val="en-US" w:eastAsia="zh-CN"/>
              </w:rPr>
            </w:pPr>
          </w:p>
        </w:tc>
        <w:tc>
          <w:tcPr>
            <w:tcW w:w="431" w:type="pct"/>
            <w:shd w:val="clear" w:color="auto" w:fill="D8D8D8" w:themeFill="background1" w:themeFillShade="D9"/>
            <w:vAlign w:val="center"/>
          </w:tcPr>
          <w:p w14:paraId="3D37CA05">
            <w:pPr>
              <w:pStyle w:val="46"/>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符合</w:t>
            </w:r>
          </w:p>
        </w:tc>
        <w:tc>
          <w:tcPr>
            <w:tcW w:w="437" w:type="pct"/>
            <w:shd w:val="clear" w:color="auto" w:fill="D8D8D8" w:themeFill="background1" w:themeFillShade="D9"/>
            <w:vAlign w:val="center"/>
          </w:tcPr>
          <w:p w14:paraId="329C6AF4">
            <w:pPr>
              <w:pStyle w:val="46"/>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不符合</w:t>
            </w:r>
          </w:p>
        </w:tc>
      </w:tr>
      <w:tr w14:paraId="39EA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08" w:type="pct"/>
            <w:tcBorders>
              <w:top w:val="single" w:color="auto" w:sz="4" w:space="0"/>
            </w:tcBorders>
            <w:vAlign w:val="center"/>
          </w:tcPr>
          <w:p w14:paraId="1092825D">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项目实施方案</w:t>
            </w:r>
          </w:p>
        </w:tc>
        <w:tc>
          <w:tcPr>
            <w:tcW w:w="3121" w:type="pct"/>
            <w:vAlign w:val="center"/>
          </w:tcPr>
          <w:p w14:paraId="70D930DB">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投标供应商本项目情况提供项目实施方案（包含但不限于项目实施的步骤及规划、项目进度计划）加盖公章</w:t>
            </w:r>
          </w:p>
        </w:tc>
        <w:tc>
          <w:tcPr>
            <w:tcW w:w="431" w:type="pct"/>
            <w:vAlign w:val="center"/>
          </w:tcPr>
          <w:p w14:paraId="7DF98786">
            <w:pPr>
              <w:pStyle w:val="46"/>
              <w:rPr>
                <w:rFonts w:hint="eastAsia" w:ascii="宋体" w:hAnsi="宋体" w:eastAsia="宋体" w:cs="宋体"/>
                <w:color w:val="auto"/>
                <w:sz w:val="21"/>
                <w:szCs w:val="21"/>
                <w:highlight w:val="none"/>
              </w:rPr>
            </w:pPr>
          </w:p>
        </w:tc>
        <w:tc>
          <w:tcPr>
            <w:tcW w:w="437" w:type="pct"/>
            <w:vAlign w:val="center"/>
          </w:tcPr>
          <w:p w14:paraId="1A38471F">
            <w:pPr>
              <w:pStyle w:val="46"/>
              <w:rPr>
                <w:rFonts w:hint="eastAsia" w:ascii="宋体" w:hAnsi="宋体" w:eastAsia="宋体" w:cs="宋体"/>
                <w:color w:val="auto"/>
                <w:sz w:val="21"/>
                <w:szCs w:val="21"/>
                <w:highlight w:val="none"/>
              </w:rPr>
            </w:pPr>
          </w:p>
        </w:tc>
      </w:tr>
      <w:tr w14:paraId="1608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008" w:type="pct"/>
            <w:tcBorders>
              <w:top w:val="single" w:color="auto" w:sz="4" w:space="0"/>
            </w:tcBorders>
            <w:vAlign w:val="center"/>
          </w:tcPr>
          <w:p w14:paraId="2C4ACB4F">
            <w:pPr>
              <w:pStyle w:val="46"/>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项目质量保证措施</w:t>
            </w:r>
          </w:p>
        </w:tc>
        <w:tc>
          <w:tcPr>
            <w:tcW w:w="3121" w:type="pct"/>
            <w:vAlign w:val="center"/>
          </w:tcPr>
          <w:p w14:paraId="24E860B2">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按照谈判文件第三章采购需求 二、质量要求，投标供应商提供</w:t>
            </w:r>
            <w:r>
              <w:rPr>
                <w:rFonts w:hint="eastAsia" w:ascii="宋体" w:hAnsi="宋体" w:eastAsia="宋体" w:cs="宋体"/>
                <w:color w:val="auto"/>
                <w:sz w:val="21"/>
                <w:szCs w:val="21"/>
                <w:highlight w:val="none"/>
                <w:lang w:val="en-US" w:eastAsia="zh-CN"/>
              </w:rPr>
              <w:t>项目质量保证措施（包含但不限于：质量保证标准、遵循的依据、产品的质量检查措施、针对产品质量的跟踪及不合格产品的处理措施）</w:t>
            </w:r>
            <w:r>
              <w:rPr>
                <w:rFonts w:hint="eastAsia" w:cs="宋体"/>
                <w:color w:val="auto"/>
                <w:sz w:val="21"/>
                <w:szCs w:val="21"/>
                <w:highlight w:val="none"/>
                <w:lang w:val="en-US" w:eastAsia="zh-CN"/>
              </w:rPr>
              <w:t>加盖公章</w:t>
            </w:r>
          </w:p>
        </w:tc>
        <w:tc>
          <w:tcPr>
            <w:tcW w:w="431" w:type="pct"/>
            <w:vAlign w:val="center"/>
          </w:tcPr>
          <w:p w14:paraId="4F7D3E58">
            <w:pPr>
              <w:pStyle w:val="46"/>
              <w:rPr>
                <w:rFonts w:hint="eastAsia" w:ascii="宋体" w:hAnsi="宋体" w:eastAsia="宋体" w:cs="宋体"/>
                <w:color w:val="auto"/>
                <w:sz w:val="21"/>
                <w:szCs w:val="21"/>
                <w:highlight w:val="none"/>
              </w:rPr>
            </w:pPr>
          </w:p>
        </w:tc>
        <w:tc>
          <w:tcPr>
            <w:tcW w:w="437" w:type="pct"/>
            <w:vAlign w:val="center"/>
          </w:tcPr>
          <w:p w14:paraId="79B0BDAB">
            <w:pPr>
              <w:pStyle w:val="46"/>
              <w:rPr>
                <w:rFonts w:hint="eastAsia" w:ascii="宋体" w:hAnsi="宋体" w:eastAsia="宋体" w:cs="宋体"/>
                <w:color w:val="auto"/>
                <w:sz w:val="21"/>
                <w:szCs w:val="21"/>
                <w:highlight w:val="none"/>
              </w:rPr>
            </w:pPr>
          </w:p>
        </w:tc>
      </w:tr>
      <w:tr w14:paraId="3096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008" w:type="pct"/>
            <w:tcBorders>
              <w:top w:val="single" w:color="auto" w:sz="4" w:space="0"/>
            </w:tcBorders>
            <w:vAlign w:val="center"/>
          </w:tcPr>
          <w:p w14:paraId="5225BDD8">
            <w:pPr>
              <w:pStyle w:val="46"/>
              <w:tabs>
                <w:tab w:val="left" w:pos="584"/>
              </w:tabs>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lang w:eastAsia="zh-CN"/>
              </w:rPr>
              <w:t>项目</w:t>
            </w:r>
            <w:r>
              <w:rPr>
                <w:rFonts w:hint="eastAsia" w:ascii="宋体" w:hAnsi="宋体" w:eastAsia="宋体" w:cs="宋体"/>
                <w:kern w:val="0"/>
                <w:sz w:val="21"/>
                <w:szCs w:val="21"/>
                <w:lang w:val="en-US" w:eastAsia="zh-CN"/>
              </w:rPr>
              <w:t>配送方案</w:t>
            </w:r>
          </w:p>
        </w:tc>
        <w:tc>
          <w:tcPr>
            <w:tcW w:w="3121" w:type="pct"/>
            <w:vAlign w:val="center"/>
          </w:tcPr>
          <w:p w14:paraId="2072F093">
            <w:pPr>
              <w:pStyle w:val="46"/>
              <w:jc w:val="center"/>
              <w:rPr>
                <w:rFonts w:hint="eastAsia" w:cs="宋体"/>
                <w:color w:val="auto"/>
                <w:sz w:val="21"/>
                <w:szCs w:val="21"/>
                <w:highlight w:val="none"/>
                <w:lang w:val="en-US" w:eastAsia="zh-CN"/>
              </w:rPr>
            </w:pPr>
            <w:r>
              <w:rPr>
                <w:rFonts w:hint="eastAsia" w:ascii="宋体" w:hAnsi="宋体" w:eastAsia="宋体" w:cs="宋体"/>
                <w:kern w:val="0"/>
                <w:sz w:val="21"/>
                <w:szCs w:val="21"/>
                <w:lang w:eastAsia="zh-CN"/>
              </w:rPr>
              <w:t>投标</w:t>
            </w:r>
            <w:r>
              <w:rPr>
                <w:rFonts w:hint="eastAsia" w:cs="宋体"/>
                <w:color w:val="auto"/>
                <w:sz w:val="21"/>
                <w:szCs w:val="21"/>
                <w:highlight w:val="none"/>
                <w:lang w:val="en-US" w:eastAsia="zh-CN"/>
              </w:rPr>
              <w:t>供应商</w:t>
            </w:r>
            <w:r>
              <w:rPr>
                <w:rFonts w:hint="eastAsia" w:ascii="宋体" w:hAnsi="宋体" w:eastAsia="宋体" w:cs="宋体"/>
                <w:kern w:val="0"/>
                <w:sz w:val="21"/>
                <w:szCs w:val="21"/>
                <w:lang w:eastAsia="zh-CN"/>
              </w:rPr>
              <w:t>针对本项目编制详细的项目</w:t>
            </w:r>
            <w:r>
              <w:rPr>
                <w:rFonts w:hint="eastAsia" w:ascii="宋体" w:hAnsi="宋体" w:eastAsia="宋体" w:cs="宋体"/>
                <w:kern w:val="0"/>
                <w:sz w:val="21"/>
                <w:szCs w:val="21"/>
                <w:lang w:val="en-US" w:eastAsia="zh-CN"/>
              </w:rPr>
              <w:t>配送方案（</w:t>
            </w:r>
            <w:r>
              <w:rPr>
                <w:rFonts w:hint="eastAsia" w:ascii="宋体" w:hAnsi="宋体" w:eastAsia="宋体" w:cs="宋体"/>
                <w:color w:val="000000"/>
                <w:sz w:val="21"/>
                <w:szCs w:val="21"/>
                <w:lang w:val="en-US" w:eastAsia="zh-CN"/>
              </w:rPr>
              <w:t>配送方案需包含：①配送人员、车辆安排(提供清单)；②货物包装、装卸货措施；③路途人员安全保障措施及安全教育培训、运途紧急情况应对措施；签收流程</w:t>
            </w:r>
            <w:r>
              <w:rPr>
                <w:rFonts w:hint="eastAsia" w:ascii="宋体" w:hAnsi="宋体" w:eastAsia="宋体" w:cs="宋体"/>
                <w:kern w:val="0"/>
                <w:sz w:val="21"/>
                <w:szCs w:val="21"/>
                <w:lang w:val="en-US" w:eastAsia="zh-CN"/>
              </w:rPr>
              <w:t>）</w:t>
            </w:r>
            <w:r>
              <w:rPr>
                <w:rFonts w:hint="eastAsia" w:cs="宋体"/>
                <w:color w:val="auto"/>
                <w:sz w:val="21"/>
                <w:szCs w:val="21"/>
                <w:highlight w:val="none"/>
                <w:lang w:val="en-US" w:eastAsia="zh-CN"/>
              </w:rPr>
              <w:t>加盖公章</w:t>
            </w:r>
          </w:p>
        </w:tc>
        <w:tc>
          <w:tcPr>
            <w:tcW w:w="431" w:type="pct"/>
            <w:vAlign w:val="center"/>
          </w:tcPr>
          <w:p w14:paraId="513CCC0A">
            <w:pPr>
              <w:pStyle w:val="46"/>
              <w:rPr>
                <w:rFonts w:hint="eastAsia" w:ascii="宋体" w:hAnsi="宋体" w:eastAsia="宋体" w:cs="宋体"/>
                <w:color w:val="auto"/>
                <w:sz w:val="21"/>
                <w:szCs w:val="21"/>
                <w:highlight w:val="none"/>
              </w:rPr>
            </w:pPr>
          </w:p>
        </w:tc>
        <w:tc>
          <w:tcPr>
            <w:tcW w:w="437" w:type="pct"/>
            <w:vAlign w:val="center"/>
          </w:tcPr>
          <w:p w14:paraId="22E6BE38">
            <w:pPr>
              <w:pStyle w:val="46"/>
              <w:rPr>
                <w:rFonts w:hint="eastAsia" w:ascii="宋体" w:hAnsi="宋体" w:eastAsia="宋体" w:cs="宋体"/>
                <w:color w:val="auto"/>
                <w:sz w:val="21"/>
                <w:szCs w:val="21"/>
                <w:highlight w:val="none"/>
              </w:rPr>
            </w:pPr>
          </w:p>
        </w:tc>
      </w:tr>
      <w:tr w14:paraId="57D0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8" w:type="pct"/>
            <w:tcBorders>
              <w:top w:val="single" w:color="auto" w:sz="4" w:space="0"/>
            </w:tcBorders>
            <w:vAlign w:val="center"/>
          </w:tcPr>
          <w:p w14:paraId="4965A3DD">
            <w:pPr>
              <w:pStyle w:val="46"/>
              <w:jc w:val="center"/>
              <w:rPr>
                <w:rFonts w:hint="eastAsia" w:ascii="宋体" w:hAnsi="宋体" w:eastAsia="宋体" w:cs="宋体"/>
                <w:kern w:val="0"/>
                <w:sz w:val="21"/>
                <w:szCs w:val="21"/>
                <w:lang w:eastAsia="zh-CN"/>
              </w:rPr>
            </w:pPr>
            <w:r>
              <w:rPr>
                <w:rFonts w:hint="eastAsia" w:ascii="宋体" w:hAnsi="宋体" w:eastAsia="宋体" w:cs="宋体"/>
                <w:color w:val="000000"/>
                <w:sz w:val="21"/>
                <w:szCs w:val="21"/>
                <w:lang w:val="en-US" w:eastAsia="zh-CN"/>
              </w:rPr>
              <w:t>交货验收方案</w:t>
            </w:r>
          </w:p>
        </w:tc>
        <w:tc>
          <w:tcPr>
            <w:tcW w:w="3121" w:type="pct"/>
            <w:vAlign w:val="center"/>
          </w:tcPr>
          <w:p w14:paraId="1582577F">
            <w:pPr>
              <w:pStyle w:val="46"/>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投标</w:t>
            </w:r>
            <w:r>
              <w:rPr>
                <w:rFonts w:hint="eastAsia" w:cs="宋体"/>
                <w:color w:val="auto"/>
                <w:sz w:val="21"/>
                <w:szCs w:val="21"/>
                <w:highlight w:val="none"/>
                <w:lang w:val="en-US" w:eastAsia="zh-CN"/>
              </w:rPr>
              <w:t>供应商</w:t>
            </w:r>
            <w:r>
              <w:rPr>
                <w:rFonts w:hint="eastAsia" w:ascii="宋体" w:hAnsi="宋体" w:eastAsia="宋体" w:cs="宋体"/>
                <w:kern w:val="0"/>
                <w:sz w:val="21"/>
                <w:szCs w:val="21"/>
                <w:lang w:eastAsia="zh-CN"/>
              </w:rPr>
              <w:t>需针对本项目编制详细的</w:t>
            </w:r>
            <w:r>
              <w:rPr>
                <w:rFonts w:hint="eastAsia" w:ascii="宋体" w:hAnsi="宋体" w:eastAsia="宋体" w:cs="宋体"/>
                <w:color w:val="000000"/>
                <w:sz w:val="21"/>
                <w:szCs w:val="21"/>
                <w:lang w:val="en-US" w:eastAsia="zh-CN"/>
              </w:rPr>
              <w:t>交货验收方案</w:t>
            </w:r>
            <w:r>
              <w:rPr>
                <w:rFonts w:hint="eastAsia" w:cs="宋体"/>
                <w:color w:val="auto"/>
                <w:sz w:val="21"/>
                <w:szCs w:val="21"/>
                <w:highlight w:val="none"/>
                <w:lang w:val="en-US" w:eastAsia="zh-CN"/>
              </w:rPr>
              <w:t>加盖公章</w:t>
            </w:r>
          </w:p>
        </w:tc>
        <w:tc>
          <w:tcPr>
            <w:tcW w:w="431" w:type="pct"/>
            <w:vAlign w:val="center"/>
          </w:tcPr>
          <w:p w14:paraId="473706A0">
            <w:pPr>
              <w:pStyle w:val="46"/>
              <w:rPr>
                <w:rFonts w:hint="eastAsia" w:ascii="宋体" w:hAnsi="宋体" w:eastAsia="宋体" w:cs="宋体"/>
                <w:color w:val="auto"/>
                <w:sz w:val="21"/>
                <w:szCs w:val="21"/>
                <w:highlight w:val="none"/>
              </w:rPr>
            </w:pPr>
          </w:p>
        </w:tc>
        <w:tc>
          <w:tcPr>
            <w:tcW w:w="437" w:type="pct"/>
            <w:vAlign w:val="center"/>
          </w:tcPr>
          <w:p w14:paraId="57D66F5E">
            <w:pPr>
              <w:pStyle w:val="46"/>
              <w:rPr>
                <w:rFonts w:hint="eastAsia" w:ascii="宋体" w:hAnsi="宋体" w:eastAsia="宋体" w:cs="宋体"/>
                <w:color w:val="auto"/>
                <w:sz w:val="21"/>
                <w:szCs w:val="21"/>
                <w:highlight w:val="none"/>
              </w:rPr>
            </w:pPr>
          </w:p>
        </w:tc>
      </w:tr>
      <w:tr w14:paraId="7EAC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008" w:type="pct"/>
            <w:tcBorders>
              <w:top w:val="single" w:color="auto" w:sz="4" w:space="0"/>
              <w:bottom w:val="single" w:color="auto" w:sz="4" w:space="0"/>
            </w:tcBorders>
            <w:vAlign w:val="center"/>
          </w:tcPr>
          <w:p w14:paraId="3C8691DB">
            <w:pPr>
              <w:pStyle w:val="46"/>
              <w:jc w:val="center"/>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p>
        </w:tc>
        <w:tc>
          <w:tcPr>
            <w:tcW w:w="3121" w:type="pct"/>
            <w:vAlign w:val="center"/>
          </w:tcPr>
          <w:p w14:paraId="30F07177">
            <w:pPr>
              <w:pStyle w:val="46"/>
              <w:jc w:val="center"/>
              <w:rPr>
                <w:rFonts w:hint="eastAsia" w:cs="宋体"/>
                <w:b/>
                <w:bCs/>
                <w:color w:val="auto"/>
                <w:sz w:val="21"/>
                <w:szCs w:val="21"/>
                <w:highlight w:val="none"/>
                <w:lang w:val="en-US" w:eastAsia="zh-CN"/>
              </w:rPr>
            </w:pPr>
            <w:r>
              <w:rPr>
                <w:rFonts w:hint="eastAsia" w:cs="宋体"/>
                <w:color w:val="auto"/>
                <w:sz w:val="21"/>
                <w:szCs w:val="21"/>
                <w:highlight w:val="none"/>
                <w:lang w:val="en-US" w:eastAsia="zh-CN"/>
              </w:rPr>
              <w:t>按照谈判文件第三章采购需求 三、售后要求，投标供应商提供</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方案</w:t>
            </w:r>
            <w:r>
              <w:rPr>
                <w:rFonts w:hint="eastAsia" w:cs="宋体"/>
                <w:color w:val="auto"/>
                <w:sz w:val="21"/>
                <w:szCs w:val="21"/>
                <w:highlight w:val="none"/>
                <w:lang w:val="en-US" w:eastAsia="zh-CN"/>
              </w:rPr>
              <w:t>（包括但不限于：</w:t>
            </w:r>
            <w:r>
              <w:rPr>
                <w:rFonts w:hint="eastAsia" w:ascii="宋体" w:hAnsi="宋体" w:eastAsia="宋体" w:cs="宋体"/>
                <w:color w:val="000000"/>
                <w:szCs w:val="21"/>
                <w:lang w:val="en-US" w:eastAsia="zh-CN"/>
              </w:rPr>
              <w:t>售后服务期限、售后服务范围、售后人员配备、调换货方案</w:t>
            </w:r>
            <w:r>
              <w:rPr>
                <w:rFonts w:hint="eastAsia" w:cs="宋体"/>
                <w:color w:val="auto"/>
                <w:sz w:val="21"/>
                <w:szCs w:val="21"/>
                <w:highlight w:val="none"/>
                <w:lang w:val="en-US" w:eastAsia="zh-CN"/>
              </w:rPr>
              <w:t>）加盖公章</w:t>
            </w:r>
          </w:p>
        </w:tc>
        <w:tc>
          <w:tcPr>
            <w:tcW w:w="431" w:type="pct"/>
            <w:vAlign w:val="center"/>
          </w:tcPr>
          <w:p w14:paraId="035B2AF5">
            <w:pPr>
              <w:pStyle w:val="46"/>
              <w:rPr>
                <w:rFonts w:hint="eastAsia" w:ascii="宋体" w:hAnsi="宋体" w:eastAsia="宋体" w:cs="宋体"/>
                <w:color w:val="auto"/>
                <w:sz w:val="21"/>
                <w:szCs w:val="21"/>
                <w:highlight w:val="none"/>
              </w:rPr>
            </w:pPr>
          </w:p>
        </w:tc>
        <w:tc>
          <w:tcPr>
            <w:tcW w:w="437" w:type="pct"/>
            <w:vAlign w:val="center"/>
          </w:tcPr>
          <w:p w14:paraId="45D05292">
            <w:pPr>
              <w:pStyle w:val="46"/>
              <w:rPr>
                <w:rFonts w:hint="eastAsia" w:ascii="宋体" w:hAnsi="宋体" w:eastAsia="宋体" w:cs="宋体"/>
                <w:color w:val="auto"/>
                <w:sz w:val="21"/>
                <w:szCs w:val="21"/>
                <w:highlight w:val="none"/>
              </w:rPr>
            </w:pPr>
          </w:p>
        </w:tc>
      </w:tr>
      <w:tr w14:paraId="6205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08" w:type="pct"/>
            <w:tcBorders>
              <w:top w:val="single" w:color="auto" w:sz="4" w:space="0"/>
              <w:bottom w:val="single" w:color="auto" w:sz="4" w:space="0"/>
            </w:tcBorders>
            <w:vAlign w:val="center"/>
          </w:tcPr>
          <w:p w14:paraId="6BD60CC8">
            <w:pPr>
              <w:pStyle w:val="46"/>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类似业绩</w:t>
            </w:r>
          </w:p>
        </w:tc>
        <w:tc>
          <w:tcPr>
            <w:tcW w:w="3121" w:type="pct"/>
            <w:vAlign w:val="center"/>
          </w:tcPr>
          <w:p w14:paraId="132069DA">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投标供应商提供本单位近三年类似业绩不少于3个（含3个），附清晰可辩的中标（成交）通知书或合同。</w:t>
            </w:r>
          </w:p>
        </w:tc>
        <w:tc>
          <w:tcPr>
            <w:tcW w:w="431" w:type="pct"/>
            <w:vAlign w:val="center"/>
          </w:tcPr>
          <w:p w14:paraId="07778150">
            <w:pPr>
              <w:pStyle w:val="46"/>
              <w:rPr>
                <w:rFonts w:hint="eastAsia" w:ascii="宋体" w:hAnsi="宋体" w:eastAsia="宋体" w:cs="宋体"/>
                <w:color w:val="auto"/>
                <w:sz w:val="21"/>
                <w:szCs w:val="21"/>
                <w:highlight w:val="none"/>
              </w:rPr>
            </w:pPr>
          </w:p>
        </w:tc>
        <w:tc>
          <w:tcPr>
            <w:tcW w:w="437" w:type="pct"/>
            <w:vAlign w:val="center"/>
          </w:tcPr>
          <w:p w14:paraId="0A749C10">
            <w:pPr>
              <w:pStyle w:val="46"/>
              <w:rPr>
                <w:rFonts w:hint="eastAsia" w:ascii="宋体" w:hAnsi="宋体" w:eastAsia="宋体" w:cs="宋体"/>
                <w:color w:val="auto"/>
                <w:sz w:val="21"/>
                <w:szCs w:val="21"/>
                <w:highlight w:val="none"/>
              </w:rPr>
            </w:pPr>
          </w:p>
        </w:tc>
      </w:tr>
      <w:tr w14:paraId="47C6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65" w:type="dxa"/>
            <w:tcBorders>
              <w:top w:val="single" w:color="auto" w:sz="4" w:space="0"/>
            </w:tcBorders>
            <w:vAlign w:val="center"/>
          </w:tcPr>
          <w:p w14:paraId="5057C37C">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项目参与人员</w:t>
            </w:r>
          </w:p>
        </w:tc>
        <w:tc>
          <w:tcPr>
            <w:tcW w:w="6080" w:type="dxa"/>
            <w:vAlign w:val="center"/>
          </w:tcPr>
          <w:p w14:paraId="638F7BBC">
            <w:pPr>
              <w:pStyle w:val="46"/>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投标供应商提供2名园林或园艺相关专业技术人员的证书及在本单位缴纳3个月社保证明文件</w:t>
            </w:r>
          </w:p>
        </w:tc>
        <w:tc>
          <w:tcPr>
            <w:tcW w:w="431" w:type="pct"/>
            <w:vAlign w:val="center"/>
          </w:tcPr>
          <w:p w14:paraId="5F8960BF">
            <w:pPr>
              <w:pStyle w:val="46"/>
              <w:rPr>
                <w:rFonts w:hint="eastAsia" w:ascii="宋体" w:hAnsi="宋体" w:eastAsia="宋体" w:cs="宋体"/>
                <w:color w:val="auto"/>
                <w:sz w:val="21"/>
                <w:szCs w:val="21"/>
                <w:highlight w:val="none"/>
              </w:rPr>
            </w:pPr>
          </w:p>
        </w:tc>
        <w:tc>
          <w:tcPr>
            <w:tcW w:w="437" w:type="pct"/>
            <w:vAlign w:val="center"/>
          </w:tcPr>
          <w:p w14:paraId="346EC7E3">
            <w:pPr>
              <w:pStyle w:val="46"/>
              <w:rPr>
                <w:rFonts w:hint="eastAsia" w:ascii="宋体" w:hAnsi="宋体" w:eastAsia="宋体" w:cs="宋体"/>
                <w:color w:val="auto"/>
                <w:sz w:val="21"/>
                <w:szCs w:val="21"/>
                <w:highlight w:val="none"/>
              </w:rPr>
            </w:pPr>
          </w:p>
        </w:tc>
      </w:tr>
    </w:tbl>
    <w:p w14:paraId="395CECF9">
      <w:pPr>
        <w:spacing w:line="240" w:lineRule="auto"/>
        <w:jc w:val="left"/>
        <w:rPr>
          <w:rFonts w:hint="default"/>
          <w:color w:val="auto"/>
          <w:sz w:val="21"/>
          <w:szCs w:val="21"/>
          <w:highlight w:val="none"/>
          <w:lang w:val="en-US" w:eastAsia="zh-CN"/>
        </w:rPr>
      </w:pPr>
    </w:p>
    <w:p w14:paraId="1D7BDAF5">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textAlignment w:val="auto"/>
        <w:rPr>
          <w:rFonts w:hint="eastAsia" w:ascii="宋体" w:hAnsi="宋体" w:eastAsia="宋体" w:cs="宋体"/>
          <w:b/>
          <w:bCs/>
          <w:color w:val="auto"/>
          <w:kern w:val="2"/>
          <w:sz w:val="24"/>
          <w:szCs w:val="24"/>
          <w:highlight w:val="none"/>
          <w:lang w:val="en-US" w:eastAsia="zh-CN" w:bidi="ar-SA"/>
        </w:rPr>
      </w:pPr>
    </w:p>
    <w:p w14:paraId="12B23B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w:t>
      </w:r>
      <w:r>
        <w:rPr>
          <w:rFonts w:hint="eastAsia" w:cs="宋体"/>
          <w:b/>
          <w:bCs/>
          <w:color w:val="auto"/>
          <w:kern w:val="2"/>
          <w:sz w:val="24"/>
          <w:szCs w:val="24"/>
          <w:highlight w:val="none"/>
          <w:lang w:val="en-US" w:eastAsia="zh-CN" w:bidi="ar-SA"/>
        </w:rPr>
        <w:t>报价评审</w:t>
      </w:r>
    </w:p>
    <w:tbl>
      <w:tblPr>
        <w:tblStyle w:val="28"/>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1326"/>
        <w:gridCol w:w="6921"/>
      </w:tblGrid>
      <w:tr w14:paraId="4294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397" w:type="pct"/>
            <w:gridSpan w:val="2"/>
            <w:shd w:val="clear" w:color="auto" w:fill="auto"/>
            <w:vAlign w:val="center"/>
          </w:tcPr>
          <w:p w14:paraId="461B3465">
            <w:pPr>
              <w:pStyle w:val="46"/>
              <w:jc w:val="center"/>
              <w:rPr>
                <w:rFonts w:hint="default"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评审项目</w:t>
            </w:r>
          </w:p>
        </w:tc>
        <w:tc>
          <w:tcPr>
            <w:tcW w:w="3602" w:type="pct"/>
            <w:shd w:val="clear" w:color="auto" w:fill="auto"/>
            <w:vAlign w:val="center"/>
          </w:tcPr>
          <w:p w14:paraId="7189BDF0">
            <w:pPr>
              <w:pStyle w:val="46"/>
              <w:jc w:val="center"/>
              <w:rPr>
                <w:rFonts w:hint="eastAsia" w:ascii="宋体" w:hAnsi="宋体" w:eastAsia="宋体" w:cs="宋体"/>
                <w:color w:val="auto"/>
                <w:kern w:val="2"/>
                <w:sz w:val="21"/>
                <w:szCs w:val="21"/>
                <w:highlight w:val="none"/>
                <w:lang w:val="en-US" w:eastAsia="zh-CN" w:bidi="ar-SA"/>
              </w:rPr>
            </w:pPr>
            <w:r>
              <w:rPr>
                <w:rFonts w:hint="eastAsia" w:cs="宋体"/>
                <w:b/>
                <w:bCs/>
                <w:color w:val="auto"/>
                <w:sz w:val="21"/>
                <w:szCs w:val="21"/>
                <w:highlight w:val="none"/>
                <w:lang w:val="en-US" w:eastAsia="zh-CN"/>
              </w:rPr>
              <w:t>评审标准及要求</w:t>
            </w:r>
          </w:p>
        </w:tc>
      </w:tr>
      <w:tr w14:paraId="374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07" w:type="pct"/>
            <w:shd w:val="clear" w:color="auto" w:fill="auto"/>
            <w:vAlign w:val="center"/>
          </w:tcPr>
          <w:p w14:paraId="0163FD9C">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价格</w:t>
            </w:r>
            <w:r>
              <w:rPr>
                <w:rFonts w:hint="eastAsia" w:cs="宋体"/>
                <w:color w:val="auto"/>
                <w:sz w:val="21"/>
                <w:szCs w:val="21"/>
                <w:highlight w:val="none"/>
                <w:lang w:val="en-US" w:eastAsia="zh-CN"/>
              </w:rPr>
              <w:t>评审</w:t>
            </w:r>
          </w:p>
        </w:tc>
        <w:tc>
          <w:tcPr>
            <w:tcW w:w="689" w:type="pct"/>
            <w:tcBorders>
              <w:top w:val="single" w:color="auto" w:sz="4" w:space="0"/>
            </w:tcBorders>
            <w:shd w:val="clear" w:color="auto" w:fill="auto"/>
            <w:vAlign w:val="center"/>
          </w:tcPr>
          <w:p w14:paraId="42B70C88">
            <w:pPr>
              <w:pStyle w:val="46"/>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3602" w:type="pct"/>
            <w:shd w:val="clear" w:color="auto" w:fill="auto"/>
            <w:vAlign w:val="center"/>
          </w:tcPr>
          <w:p w14:paraId="29CEECA4">
            <w:pPr>
              <w:pStyle w:val="4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w:t>
            </w:r>
            <w:r>
              <w:rPr>
                <w:rFonts w:hint="eastAsia"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val="en-US" w:eastAsia="zh-CN"/>
              </w:rPr>
              <w:t>的供应商按</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val="zh-CN"/>
              </w:rPr>
              <w:t>由低到高顺序排列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报价相同</w:t>
            </w:r>
            <w:r>
              <w:rPr>
                <w:rFonts w:hint="eastAsia" w:cs="宋体"/>
                <w:color w:val="auto"/>
                <w:sz w:val="21"/>
                <w:szCs w:val="21"/>
                <w:highlight w:val="none"/>
                <w:lang w:val="en-US" w:eastAsia="zh-CN"/>
              </w:rPr>
              <w:t>并列的</w:t>
            </w:r>
            <w:r>
              <w:rPr>
                <w:rFonts w:hint="eastAsia" w:ascii="宋体" w:hAnsi="宋体" w:eastAsia="宋体" w:cs="宋体"/>
                <w:color w:val="auto"/>
                <w:sz w:val="21"/>
                <w:szCs w:val="21"/>
                <w:highlight w:val="none"/>
                <w:lang w:val="en-US" w:eastAsia="zh-CN"/>
              </w:rPr>
              <w:t>按照“供应商须知前附表”的规定排序。</w:t>
            </w:r>
          </w:p>
          <w:p w14:paraId="24BC5FEC">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备注：符合供应商须知中价格扣除规定的，在评审时予以价格扣除，用扣除后的</w:t>
            </w:r>
            <w:r>
              <w:rPr>
                <w:rFonts w:hint="eastAsia" w:ascii="宋体" w:hAnsi="宋体" w:eastAsia="宋体" w:cs="宋体"/>
                <w:color w:val="auto"/>
                <w:sz w:val="21"/>
                <w:szCs w:val="21"/>
                <w:highlight w:val="none"/>
                <w:lang w:val="en-US" w:eastAsia="zh-CN"/>
              </w:rPr>
              <w:t>最后报价</w:t>
            </w:r>
            <w:r>
              <w:rPr>
                <w:rFonts w:hint="eastAsia" w:ascii="宋体" w:hAnsi="宋体" w:eastAsia="宋体" w:cs="宋体"/>
                <w:color w:val="auto"/>
                <w:sz w:val="21"/>
                <w:szCs w:val="21"/>
                <w:highlight w:val="none"/>
              </w:rPr>
              <w:t>参与评审。</w:t>
            </w:r>
          </w:p>
        </w:tc>
      </w:tr>
    </w:tbl>
    <w:p w14:paraId="59EC86DB">
      <w:pPr>
        <w:rPr>
          <w:rFonts w:hint="eastAsia"/>
          <w:color w:val="auto"/>
          <w:highlight w:val="none"/>
          <w:lang w:val="en-US" w:eastAsia="zh-CN"/>
        </w:rPr>
      </w:pPr>
    </w:p>
    <w:p w14:paraId="2419524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jc w:val="center"/>
        <w:textAlignment w:val="auto"/>
        <w:rPr>
          <w:rFonts w:hint="eastAsia" w:ascii="宋体" w:hAnsi="宋体" w:eastAsia="宋体" w:cs="宋体"/>
          <w:b/>
          <w:bCs/>
          <w:color w:val="auto"/>
          <w:kern w:val="44"/>
          <w:sz w:val="36"/>
          <w:szCs w:val="36"/>
          <w:highlight w:val="none"/>
          <w:lang w:val="zh-CN" w:eastAsia="zh-CN" w:bidi="ar-SA"/>
        </w:rPr>
      </w:pPr>
      <w:bookmarkStart w:id="503" w:name="_Toc6370"/>
      <w:bookmarkStart w:id="504" w:name="_Toc29904"/>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503"/>
      <w:bookmarkEnd w:id="504"/>
    </w:p>
    <w:p w14:paraId="0F73DEB3">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51E629DD">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53FD5DE">
      <w:pPr>
        <w:pStyle w:val="11"/>
        <w:spacing w:after="0"/>
        <w:jc w:val="center"/>
        <w:rPr>
          <w:rFonts w:ascii="宋体" w:hAnsi="宋体" w:cs="宋体"/>
          <w:b/>
          <w:bCs/>
          <w:color w:val="auto"/>
          <w:spacing w:val="-20"/>
          <w:kern w:val="44"/>
          <w:sz w:val="48"/>
          <w:szCs w:val="48"/>
          <w:highlight w:val="none"/>
        </w:rPr>
      </w:pPr>
      <w:bookmarkStart w:id="505" w:name="_Toc3995"/>
    </w:p>
    <w:p w14:paraId="4DD54709">
      <w:pPr>
        <w:pStyle w:val="11"/>
        <w:spacing w:after="0"/>
        <w:jc w:val="center"/>
        <w:rPr>
          <w:rFonts w:ascii="宋体" w:hAnsi="宋体" w:cs="宋体"/>
          <w:b/>
          <w:bCs/>
          <w:color w:val="auto"/>
          <w:spacing w:val="-20"/>
          <w:kern w:val="44"/>
          <w:sz w:val="48"/>
          <w:szCs w:val="48"/>
          <w:highlight w:val="none"/>
        </w:rPr>
      </w:pPr>
    </w:p>
    <w:p w14:paraId="1471AFF4">
      <w:pPr>
        <w:pStyle w:val="11"/>
        <w:spacing w:after="0"/>
        <w:jc w:val="center"/>
        <w:rPr>
          <w:rFonts w:ascii="宋体" w:hAnsi="宋体" w:cs="宋体"/>
          <w:b/>
          <w:bCs/>
          <w:color w:val="auto"/>
          <w:spacing w:val="-20"/>
          <w:kern w:val="44"/>
          <w:sz w:val="48"/>
          <w:szCs w:val="48"/>
          <w:highlight w:val="none"/>
        </w:rPr>
      </w:pPr>
    </w:p>
    <w:p w14:paraId="71BEC943">
      <w:pPr>
        <w:pStyle w:val="11"/>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2D8DEEA6">
      <w:pPr>
        <w:pStyle w:val="11"/>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894012D">
      <w:pPr>
        <w:rPr>
          <w:rFonts w:ascii="宋体" w:hAnsi="宋体" w:cs="宋体"/>
          <w:b/>
          <w:bCs/>
          <w:color w:val="auto"/>
          <w:spacing w:val="-20"/>
          <w:kern w:val="44"/>
          <w:sz w:val="40"/>
          <w:szCs w:val="40"/>
          <w:highlight w:val="none"/>
        </w:rPr>
      </w:pPr>
    </w:p>
    <w:p w14:paraId="1F202B9E">
      <w:pPr>
        <w:rPr>
          <w:rFonts w:ascii="宋体" w:hAnsi="宋体" w:cs="宋体"/>
          <w:b/>
          <w:bCs/>
          <w:color w:val="auto"/>
          <w:spacing w:val="-20"/>
          <w:kern w:val="44"/>
          <w:sz w:val="40"/>
          <w:szCs w:val="40"/>
          <w:highlight w:val="none"/>
        </w:rPr>
      </w:pPr>
    </w:p>
    <w:p w14:paraId="081AFCCE">
      <w:pPr>
        <w:rPr>
          <w:rFonts w:ascii="宋体" w:hAnsi="宋体" w:cs="宋体"/>
          <w:b/>
          <w:bCs/>
          <w:color w:val="auto"/>
          <w:spacing w:val="-20"/>
          <w:kern w:val="44"/>
          <w:sz w:val="40"/>
          <w:szCs w:val="40"/>
          <w:highlight w:val="none"/>
        </w:rPr>
      </w:pPr>
    </w:p>
    <w:p w14:paraId="098EC355">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23CADBAB">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75ED7ACB">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773FB2EF">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2CBA5AAC">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32D9847D">
      <w:pPr>
        <w:rPr>
          <w:color w:val="auto"/>
          <w:highlight w:val="none"/>
        </w:rPr>
      </w:pPr>
    </w:p>
    <w:p w14:paraId="6DC7E545">
      <w:pPr>
        <w:rPr>
          <w:rFonts w:eastAsia="黑体"/>
          <w:color w:val="auto"/>
          <w:sz w:val="44"/>
          <w:szCs w:val="44"/>
          <w:highlight w:val="none"/>
        </w:rPr>
      </w:pPr>
      <w:r>
        <w:rPr>
          <w:rFonts w:eastAsia="黑体"/>
          <w:color w:val="auto"/>
          <w:sz w:val="44"/>
          <w:szCs w:val="44"/>
          <w:highlight w:val="none"/>
        </w:rPr>
        <w:br w:type="page"/>
      </w:r>
    </w:p>
    <w:p w14:paraId="248E6903">
      <w:pPr>
        <w:spacing w:line="240" w:lineRule="auto"/>
        <w:rPr>
          <w:rFonts w:eastAsia="黑体"/>
          <w:color w:val="auto"/>
          <w:sz w:val="22"/>
          <w:szCs w:val="22"/>
          <w:highlight w:val="none"/>
        </w:rPr>
      </w:pPr>
    </w:p>
    <w:p w14:paraId="4A7C638C">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6B592E2F">
      <w:pPr>
        <w:ind w:firstLine="640" w:firstLineChars="200"/>
        <w:rPr>
          <w:rFonts w:hint="eastAsia" w:ascii="仿宋_GB2312" w:hAnsi="仿宋_GB2312" w:eastAsia="仿宋_GB2312" w:cs="仿宋_GB2312"/>
          <w:color w:val="auto"/>
          <w:sz w:val="32"/>
          <w:szCs w:val="32"/>
          <w:highlight w:val="none"/>
          <w:lang w:val="en-US" w:eastAsia="zh-CN"/>
        </w:rPr>
      </w:pPr>
    </w:p>
    <w:p w14:paraId="3CAECAF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2627C031">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2.本合同标准文本为政府采购货物买卖合同编制提供参考，可以结合采购项目具体情况，对文本作必要的调整修订后使用。</w:t>
      </w:r>
    </w:p>
    <w:p w14:paraId="1C280F5C">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442942D8">
      <w:pPr>
        <w:ind w:firstLine="560" w:firstLineChars="200"/>
        <w:rPr>
          <w:rFonts w:hint="eastAsia" w:ascii="宋体" w:hAnsi="宋体" w:eastAsia="宋体" w:cs="宋体"/>
          <w:color w:val="auto"/>
          <w:sz w:val="28"/>
          <w:szCs w:val="28"/>
          <w:highlight w:val="none"/>
          <w:lang w:val="en-US" w:eastAsia="zh-CN"/>
        </w:rPr>
        <w:sectPr>
          <w:headerReference r:id="rId7" w:type="default"/>
          <w:footerReference r:id="rId8" w:type="default"/>
          <w:pgSz w:w="11906" w:h="16838"/>
          <w:pgMar w:top="1440" w:right="1196" w:bottom="1440" w:left="1196" w:header="851" w:footer="1020" w:gutter="0"/>
          <w:pgBorders>
            <w:top w:val="none" w:sz="0" w:space="0"/>
            <w:left w:val="none" w:sz="0" w:space="0"/>
            <w:bottom w:val="none" w:sz="0" w:space="0"/>
            <w:right w:val="none" w:sz="0" w:space="0"/>
          </w:pgBorders>
          <w:pgNumType w:fmt="decimal"/>
          <w:cols w:space="425" w:num="1"/>
          <w:docGrid w:type="lines" w:linePitch="312" w:charSpace="0"/>
        </w:sectPr>
      </w:pPr>
    </w:p>
    <w:bookmarkEnd w:id="505"/>
    <w:p w14:paraId="3276BAC0">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506" w:name="_Toc22823"/>
      <w:bookmarkStart w:id="507" w:name="_Toc22209"/>
      <w:bookmarkStart w:id="508" w:name="_Toc19596"/>
      <w:bookmarkStart w:id="509" w:name="_Toc15507"/>
      <w:r>
        <w:rPr>
          <w:rFonts w:hint="eastAsia" w:ascii="宋体" w:hAnsi="宋体" w:eastAsia="宋体" w:cs="宋体"/>
          <w:b/>
          <w:bCs/>
          <w:color w:val="auto"/>
          <w:sz w:val="36"/>
          <w:szCs w:val="36"/>
          <w:highlight w:val="none"/>
        </w:rPr>
        <w:t>第一节 政府采购合同协议书</w:t>
      </w:r>
      <w:bookmarkEnd w:id="506"/>
      <w:bookmarkEnd w:id="507"/>
      <w:bookmarkEnd w:id="508"/>
      <w:bookmarkEnd w:id="509"/>
    </w:p>
    <w:p w14:paraId="65911421">
      <w:pPr>
        <w:pStyle w:val="3"/>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7749E471">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5F8C6ADE">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294172C4">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5F8DC28B">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7295A8B9">
      <w:pPr>
        <w:spacing w:beforeLines="0" w:line="400" w:lineRule="exact"/>
        <w:rPr>
          <w:rFonts w:hint="eastAsia" w:ascii="宋体" w:hAnsi="宋体" w:eastAsia="宋体" w:cs="宋体"/>
          <w:color w:val="auto"/>
          <w:sz w:val="21"/>
          <w:szCs w:val="21"/>
          <w:highlight w:val="none"/>
          <w:lang w:val="en-US" w:eastAsia="zh-CN"/>
        </w:rPr>
      </w:pPr>
    </w:p>
    <w:p w14:paraId="73AFFB38">
      <w:pPr>
        <w:pStyle w:val="12"/>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w:t>
      </w:r>
      <w:r>
        <w:rPr>
          <w:rFonts w:hint="eastAsia"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2B03533E">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60DDE6F7">
      <w:pPr>
        <w:pStyle w:val="12"/>
        <w:numPr>
          <w:ilvl w:val="0"/>
          <w:numId w:val="3"/>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1185B53">
      <w:pPr>
        <w:pStyle w:val="12"/>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采购项目编号</w:t>
      </w:r>
      <w:r>
        <w:rPr>
          <w:rFonts w:hint="eastAsia" w:eastAsia="宋体" w:cs="宋体"/>
          <w:color w:val="auto"/>
          <w:sz w:val="21"/>
          <w:szCs w:val="21"/>
          <w:highlight w:val="none"/>
          <w:u w:val="none"/>
          <w:lang w:val="en-US" w:eastAsia="zh-CN"/>
        </w:rPr>
        <w:t>/包号</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single"/>
        </w:rPr>
        <w:t xml:space="preserve">                                          </w:t>
      </w:r>
    </w:p>
    <w:p w14:paraId="29C2DF94">
      <w:pPr>
        <w:pStyle w:val="12"/>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1F9161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19BD6A2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253C95">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0A19BCBE">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1EE9A6F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105F1076">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36CCB7D0">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7FD83092">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0349841B">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35222B95">
      <w:pPr>
        <w:pStyle w:val="5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535AD96">
      <w:pPr>
        <w:pStyle w:val="53"/>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27BCD974">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58C18C71">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3301B3DD">
      <w:pPr>
        <w:pStyle w:val="53"/>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51033CAD">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7B1D1C5B">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556B6728">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1636898B">
      <w:pPr>
        <w:pStyle w:val="53"/>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61FB4A07">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36EFF63">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29E43A75">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B497E98">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3BCD1D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C603DBA">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2AEBBC">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7FA5EA47">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1F1D2B04">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180ED0E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18BF3496">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7F2E0B02">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4ADA4F13">
      <w:pPr>
        <w:pStyle w:val="53"/>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3678F9F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158ED47C">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3333668C">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2F868BE1">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29B3041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17BB281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49DC4FC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165AD9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614F1EF5">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09E05CB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22F082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26D9199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76BB6FA7">
      <w:pPr>
        <w:pStyle w:val="53"/>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1965CB32">
      <w:pPr>
        <w:pStyle w:val="53"/>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01D2B2B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57F0C3BA">
      <w:pPr>
        <w:pStyle w:val="53"/>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469A8CCD">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31637B1F">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3F1BC9E3">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3AE20D2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CD6FDFA">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466BEAA">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0C7CE46D">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F7459D6">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CD632B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1CCE239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0F51C916">
      <w:pPr>
        <w:pStyle w:val="60"/>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684DBB0F">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7D32B87">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0A1A7CCC">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70461483">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6A27CDEB">
      <w:pPr>
        <w:numPr>
          <w:ilvl w:val="0"/>
          <w:numId w:val="2"/>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7BB86A0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E8AF94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037687B">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2F96A3FA">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5CCFFC">
      <w:pPr>
        <w:pStyle w:val="53"/>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54E6FED6">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1D28DC4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7696B2E">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08A769C1">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06898485">
      <w:pPr>
        <w:numPr>
          <w:ilvl w:val="0"/>
          <w:numId w:val="4"/>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12679905">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0E278AF1">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B8CF6D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3FE791D">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312F90D6">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11CB732">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451EC1E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6F575199">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13A691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34F035F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7AAAB0F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30E481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5FED00E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1036A9B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004A39AB">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09FF201C">
      <w:pPr>
        <w:pStyle w:val="53"/>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B31070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12D12B78">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64351A2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68D487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44E38EF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E1D83E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7FF12C1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7A560505">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04975BDA">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7372A0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712BEBD">
      <w:pPr>
        <w:pStyle w:val="53"/>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6F77EB9">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488CA610">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15F85FF4">
      <w:pPr>
        <w:numPr>
          <w:ilvl w:val="0"/>
          <w:numId w:val="2"/>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8997E3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0629D40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DF0FD0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7CA5673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0D129071">
      <w:pPr>
        <w:pStyle w:val="60"/>
        <w:rPr>
          <w:rFonts w:hint="eastAsia" w:ascii="宋体" w:hAnsi="宋体" w:eastAsia="宋体" w:cs="宋体"/>
          <w:color w:val="auto"/>
          <w:sz w:val="21"/>
          <w:szCs w:val="21"/>
          <w:highlight w:val="none"/>
        </w:rPr>
      </w:pPr>
    </w:p>
    <w:p w14:paraId="5CEC79C0">
      <w:pPr>
        <w:pStyle w:val="60"/>
        <w:rPr>
          <w:rFonts w:hint="eastAsia" w:ascii="宋体" w:hAnsi="宋体" w:eastAsia="宋体" w:cs="宋体"/>
          <w:color w:val="auto"/>
          <w:sz w:val="21"/>
          <w:szCs w:val="21"/>
          <w:highlight w:val="none"/>
        </w:rPr>
      </w:pPr>
    </w:p>
    <w:p w14:paraId="4FAD25FD">
      <w:pPr>
        <w:pStyle w:val="60"/>
        <w:rPr>
          <w:rFonts w:hint="eastAsia" w:ascii="宋体" w:hAnsi="宋体" w:eastAsia="宋体" w:cs="宋体"/>
          <w:color w:val="auto"/>
          <w:sz w:val="21"/>
          <w:szCs w:val="21"/>
          <w:highlight w:val="none"/>
        </w:rPr>
      </w:pPr>
    </w:p>
    <w:p w14:paraId="10A85BCA">
      <w:pPr>
        <w:pStyle w:val="60"/>
        <w:rPr>
          <w:rFonts w:hint="eastAsia" w:ascii="宋体" w:hAnsi="宋体" w:eastAsia="宋体" w:cs="宋体"/>
          <w:color w:val="auto"/>
          <w:sz w:val="21"/>
          <w:szCs w:val="21"/>
          <w:highlight w:val="none"/>
        </w:rPr>
      </w:pPr>
    </w:p>
    <w:p w14:paraId="75233267">
      <w:pPr>
        <w:pStyle w:val="60"/>
        <w:rPr>
          <w:rFonts w:hint="eastAsia" w:ascii="宋体" w:hAnsi="宋体" w:eastAsia="宋体" w:cs="宋体"/>
          <w:color w:val="auto"/>
          <w:sz w:val="21"/>
          <w:szCs w:val="21"/>
          <w:highlight w:val="none"/>
        </w:rPr>
      </w:pPr>
    </w:p>
    <w:p w14:paraId="5409D989">
      <w:pPr>
        <w:pStyle w:val="60"/>
        <w:rPr>
          <w:rFonts w:hint="eastAsia" w:ascii="宋体" w:hAnsi="宋体" w:eastAsia="宋体" w:cs="宋体"/>
          <w:color w:val="auto"/>
          <w:sz w:val="21"/>
          <w:szCs w:val="21"/>
          <w:highlight w:val="none"/>
        </w:rPr>
      </w:pPr>
    </w:p>
    <w:p w14:paraId="15B355E6">
      <w:pPr>
        <w:pStyle w:val="60"/>
        <w:rPr>
          <w:rFonts w:hint="eastAsia" w:ascii="宋体" w:hAnsi="宋体" w:eastAsia="宋体" w:cs="宋体"/>
          <w:color w:val="auto"/>
          <w:sz w:val="21"/>
          <w:szCs w:val="21"/>
          <w:highlight w:val="none"/>
        </w:rPr>
      </w:pPr>
    </w:p>
    <w:p w14:paraId="1287727F">
      <w:pPr>
        <w:pStyle w:val="60"/>
        <w:rPr>
          <w:rFonts w:hint="eastAsia" w:ascii="宋体" w:hAnsi="宋体" w:eastAsia="宋体" w:cs="宋体"/>
          <w:color w:val="auto"/>
          <w:sz w:val="21"/>
          <w:szCs w:val="21"/>
          <w:highlight w:val="none"/>
        </w:rPr>
      </w:pPr>
    </w:p>
    <w:tbl>
      <w:tblPr>
        <w:tblStyle w:val="28"/>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450"/>
        <w:gridCol w:w="2344"/>
        <w:gridCol w:w="2258"/>
        <w:gridCol w:w="2421"/>
      </w:tblGrid>
      <w:tr w14:paraId="30EEA2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90" w:hRule="atLeast"/>
        </w:trPr>
        <w:tc>
          <w:tcPr>
            <w:tcW w:w="2530" w:type="pct"/>
            <w:gridSpan w:val="2"/>
            <w:tcBorders>
              <w:bottom w:val="single" w:color="auto" w:sz="2" w:space="0"/>
              <w:right w:val="single" w:color="auto" w:sz="2" w:space="0"/>
            </w:tcBorders>
            <w:vAlign w:val="center"/>
          </w:tcPr>
          <w:p w14:paraId="122EEEC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1ADB66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73D34E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2893D5B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55E33E36">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D156F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33BA369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F345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36476D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3B8614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1898CF89">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5838F6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DCF066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28DBBD99">
            <w:pPr>
              <w:adjustRightInd w:val="0"/>
              <w:snapToGrid w:val="0"/>
              <w:spacing w:line="300" w:lineRule="exact"/>
              <w:jc w:val="center"/>
              <w:rPr>
                <w:rFonts w:hint="eastAsia" w:ascii="宋体" w:hAnsi="宋体" w:eastAsia="宋体" w:cs="宋体"/>
                <w:color w:val="auto"/>
                <w:sz w:val="21"/>
                <w:szCs w:val="21"/>
                <w:highlight w:val="none"/>
              </w:rPr>
            </w:pPr>
          </w:p>
        </w:tc>
      </w:tr>
      <w:tr w14:paraId="73DF2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79741DED">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109C252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999D7D6">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4D49D8D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6DB70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C781B4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2944E6E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286588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099028D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4298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BF37A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21E566C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D2D0DC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D856A8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E098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024CB895">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4C49800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B4134D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701C890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179D0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410AC1E">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4A52DBD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161E99B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7733D88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8397F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59FB79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94C6A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0FEBFA1">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70981218">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50E39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437B108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1C96C6AF">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5B991C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0DC85DC3">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271A5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F3AE2A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179974F2">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EBD6FBE">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3663A1A2">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1E31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33AB1682">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04563A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E23BC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6E184549">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F5912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EDA1AFE">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ABB2AC7">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35806D8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740EC35E">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7429C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8178CC3">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5607259C">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B30708">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48E686BC">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94FCC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3BA60FE">
            <w:pPr>
              <w:pStyle w:val="12"/>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4938941A">
      <w:pPr>
        <w:pStyle w:val="3"/>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510" w:name="_Toc7196"/>
      <w:bookmarkStart w:id="511" w:name="_Toc29562"/>
      <w:bookmarkStart w:id="512" w:name="_Toc20660"/>
      <w:bookmarkStart w:id="513" w:name="_Toc27624"/>
      <w:r>
        <w:rPr>
          <w:rFonts w:hint="eastAsia" w:ascii="宋体" w:hAnsi="宋体" w:eastAsia="宋体" w:cs="宋体"/>
          <w:b/>
          <w:bCs/>
          <w:color w:val="auto"/>
          <w:sz w:val="36"/>
          <w:szCs w:val="36"/>
          <w:highlight w:val="none"/>
        </w:rPr>
        <w:t>第二节 政府采购合同通用条款</w:t>
      </w:r>
      <w:bookmarkEnd w:id="510"/>
      <w:bookmarkEnd w:id="511"/>
      <w:bookmarkEnd w:id="512"/>
      <w:bookmarkEnd w:id="513"/>
    </w:p>
    <w:p w14:paraId="0405930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1EA126D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1B278E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A104EE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4087E70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DBF17D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7A7C9AB5">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6E703C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09C60E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1874910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60403AB0">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287798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100463E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671A925">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518EE40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B81678">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41F3C04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2BA5AAC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36A5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272562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0A7B80A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436C60C">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5BD30BF8">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00EFC6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5FF83E7D">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40807E9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994D8F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DEB80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508BC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2D4D98A1">
      <w:pPr>
        <w:numPr>
          <w:ilvl w:val="0"/>
          <w:numId w:val="6"/>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888F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3443A7A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6FDCDA6B">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64BDD4A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00DED015">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EA7B5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648BE1C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4515374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0444A18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34E309D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7B1679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673852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08D66C60">
      <w:pPr>
        <w:pStyle w:val="15"/>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960FA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7D7DF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7CE2FA5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38428A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1C3269A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0034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709257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7BD646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3ABE3F3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AF250E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3EF7082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523ED87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0B2C94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6BEBA9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514"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514"/>
      <w:r>
        <w:rPr>
          <w:rFonts w:hint="eastAsia" w:ascii="宋体" w:hAnsi="宋体" w:eastAsia="宋体" w:cs="宋体"/>
          <w:color w:val="auto"/>
          <w:sz w:val="21"/>
          <w:szCs w:val="21"/>
          <w:highlight w:val="none"/>
        </w:rPr>
        <w:t>。</w:t>
      </w:r>
    </w:p>
    <w:p w14:paraId="285A4656">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4983E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4357F417">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5F0D06E6">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10A930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75F87D91">
      <w:pPr>
        <w:pStyle w:val="11"/>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7A856DB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0AC21C2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3E3A5073">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5C52840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0DBFA9B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2A34A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4D1AC4A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F66AE2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3C583C4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3C45C3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45129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E62DA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49E78840">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1BB91689">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5E147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3B3A2F81">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4D6C303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90DD4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3E573C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3ED807C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7371855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152936FF">
      <w:pPr>
        <w:numPr>
          <w:ilvl w:val="0"/>
          <w:numId w:val="7"/>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28C474DB">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019E61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23532E8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6730C3F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706E46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5CD80FD9">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3BCAED40">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56F1AC42">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3848BA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2AF06312">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3F0ADFC8">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15580053">
      <w:pPr>
        <w:pStyle w:val="53"/>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5C2AA675">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4EF8423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19F9856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E9E40F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3A0D10E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7334AEE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5B43D4C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1ACB016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4268DE9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414115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04A2EB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1EE4C3A5">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5E7E62B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078691A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15F6DE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DDDC0EC">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77D8A65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0781C6D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D96B473">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02B583B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22171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6F20297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4579FC6E">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4A5EC7F9">
      <w:pPr>
        <w:numPr>
          <w:ilvl w:val="0"/>
          <w:numId w:val="8"/>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1776E49F">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32543E9">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515" w:name="_Toc20313"/>
    </w:p>
    <w:p w14:paraId="7C5346BC">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F5074B6">
      <w:pPr>
        <w:pStyle w:val="3"/>
        <w:adjustRightInd w:val="0"/>
        <w:snapToGrid w:val="0"/>
        <w:spacing w:beforeLines="0" w:line="400" w:lineRule="exact"/>
        <w:jc w:val="center"/>
        <w:rPr>
          <w:rFonts w:hint="eastAsia" w:ascii="宋体" w:hAnsi="宋体" w:eastAsia="宋体" w:cs="宋体"/>
          <w:b/>
          <w:bCs/>
          <w:color w:val="auto"/>
          <w:sz w:val="36"/>
          <w:szCs w:val="36"/>
          <w:highlight w:val="none"/>
        </w:rPr>
      </w:pPr>
      <w:bookmarkStart w:id="516" w:name="_Toc30388"/>
      <w:bookmarkStart w:id="517" w:name="_Toc25072"/>
      <w:bookmarkStart w:id="518" w:name="_Toc24995"/>
      <w:r>
        <w:rPr>
          <w:rFonts w:hint="eastAsia" w:ascii="宋体" w:hAnsi="宋体" w:eastAsia="宋体" w:cs="宋体"/>
          <w:b/>
          <w:bCs/>
          <w:color w:val="auto"/>
          <w:sz w:val="36"/>
          <w:szCs w:val="36"/>
          <w:highlight w:val="none"/>
        </w:rPr>
        <w:t>第三节 政府采购合同专用条款</w:t>
      </w:r>
      <w:bookmarkEnd w:id="515"/>
      <w:bookmarkEnd w:id="516"/>
      <w:bookmarkEnd w:id="517"/>
      <w:bookmarkEnd w:id="518"/>
    </w:p>
    <w:tbl>
      <w:tblPr>
        <w:tblStyle w:val="28"/>
        <w:tblW w:w="9814" w:type="dxa"/>
        <w:tblInd w:w="-1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23"/>
        <w:gridCol w:w="2881"/>
        <w:gridCol w:w="5010"/>
      </w:tblGrid>
      <w:tr w14:paraId="267507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2DB7081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EADDA0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881" w:type="dxa"/>
            <w:vAlign w:val="center"/>
          </w:tcPr>
          <w:p w14:paraId="5FE396F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010" w:type="dxa"/>
            <w:vAlign w:val="center"/>
          </w:tcPr>
          <w:p w14:paraId="0CAEE7E4">
            <w:pPr>
              <w:adjustRightInd w:val="0"/>
              <w:snapToGrid w:val="0"/>
              <w:jc w:val="left"/>
              <w:rPr>
                <w:rFonts w:ascii="宋体" w:hAnsi="宋体"/>
                <w:color w:val="auto"/>
                <w:szCs w:val="21"/>
                <w:highlight w:val="none"/>
              </w:rPr>
            </w:pPr>
          </w:p>
        </w:tc>
      </w:tr>
      <w:tr w14:paraId="02A6B4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923" w:type="dxa"/>
            <w:vAlign w:val="center"/>
          </w:tcPr>
          <w:p w14:paraId="173F44F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09860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881" w:type="dxa"/>
            <w:vAlign w:val="center"/>
          </w:tcPr>
          <w:p w14:paraId="2ECD481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010" w:type="dxa"/>
            <w:vAlign w:val="center"/>
          </w:tcPr>
          <w:p w14:paraId="0BD8D8FD">
            <w:pPr>
              <w:adjustRightInd w:val="0"/>
              <w:snapToGrid w:val="0"/>
              <w:jc w:val="left"/>
              <w:rPr>
                <w:rFonts w:ascii="宋体" w:hAnsi="宋体" w:eastAsia="宋体" w:cs="Times New Roman"/>
                <w:color w:val="auto"/>
                <w:kern w:val="2"/>
                <w:sz w:val="21"/>
                <w:szCs w:val="21"/>
                <w:highlight w:val="none"/>
                <w:lang w:val="en-US" w:eastAsia="zh-CN" w:bidi="ar-SA"/>
              </w:rPr>
            </w:pPr>
          </w:p>
        </w:tc>
      </w:tr>
      <w:tr w14:paraId="2FFA1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53AB415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E31FC3E">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881" w:type="dxa"/>
            <w:vAlign w:val="center"/>
          </w:tcPr>
          <w:p w14:paraId="4F86094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010" w:type="dxa"/>
            <w:vAlign w:val="center"/>
          </w:tcPr>
          <w:p w14:paraId="237B690C">
            <w:pPr>
              <w:adjustRightInd w:val="0"/>
              <w:snapToGrid w:val="0"/>
              <w:jc w:val="left"/>
              <w:rPr>
                <w:rFonts w:ascii="宋体" w:hAnsi="宋体" w:eastAsia="宋体" w:cs="Times New Roman"/>
                <w:color w:val="auto"/>
                <w:kern w:val="2"/>
                <w:sz w:val="21"/>
                <w:szCs w:val="21"/>
                <w:highlight w:val="none"/>
                <w:lang w:val="en-US" w:eastAsia="zh-CN" w:bidi="ar-SA"/>
              </w:rPr>
            </w:pPr>
          </w:p>
        </w:tc>
      </w:tr>
      <w:tr w14:paraId="632152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7A9DB47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75BCC22">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881" w:type="dxa"/>
            <w:vAlign w:val="center"/>
          </w:tcPr>
          <w:p w14:paraId="5DF6184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010" w:type="dxa"/>
            <w:vAlign w:val="center"/>
          </w:tcPr>
          <w:p w14:paraId="5B558C36">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E922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1FC7872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599EE97">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881" w:type="dxa"/>
            <w:vAlign w:val="center"/>
          </w:tcPr>
          <w:p w14:paraId="4D94B5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010" w:type="dxa"/>
            <w:vAlign w:val="center"/>
          </w:tcPr>
          <w:p w14:paraId="1EEA1A78">
            <w:pPr>
              <w:adjustRightInd w:val="0"/>
              <w:snapToGrid w:val="0"/>
              <w:jc w:val="left"/>
              <w:rPr>
                <w:rFonts w:ascii="宋体" w:hAnsi="宋体" w:eastAsia="宋体" w:cs="Times New Roman"/>
                <w:color w:val="auto"/>
                <w:kern w:val="2"/>
                <w:sz w:val="21"/>
                <w:szCs w:val="21"/>
                <w:highlight w:val="none"/>
                <w:lang w:val="en-US" w:eastAsia="zh-CN" w:bidi="ar-SA"/>
              </w:rPr>
            </w:pPr>
          </w:p>
        </w:tc>
      </w:tr>
      <w:tr w14:paraId="2B538E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532FAE6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17183B86">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881" w:type="dxa"/>
            <w:vAlign w:val="center"/>
          </w:tcPr>
          <w:p w14:paraId="62601F39">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010" w:type="dxa"/>
            <w:vAlign w:val="center"/>
          </w:tcPr>
          <w:p w14:paraId="7410CCA4">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A4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3" w:type="dxa"/>
            <w:vMerge w:val="restart"/>
            <w:vAlign w:val="center"/>
          </w:tcPr>
          <w:p w14:paraId="15DF615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881C52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881" w:type="dxa"/>
            <w:vAlign w:val="center"/>
          </w:tcPr>
          <w:p w14:paraId="00425EE9">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010" w:type="dxa"/>
            <w:vAlign w:val="center"/>
          </w:tcPr>
          <w:p w14:paraId="3694B338">
            <w:pPr>
              <w:rPr>
                <w:color w:val="auto"/>
                <w:highlight w:val="none"/>
              </w:rPr>
            </w:pPr>
          </w:p>
        </w:tc>
      </w:tr>
      <w:tr w14:paraId="6A47A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3" w:type="dxa"/>
            <w:vMerge w:val="continue"/>
            <w:vAlign w:val="center"/>
          </w:tcPr>
          <w:p w14:paraId="7896138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881" w:type="dxa"/>
            <w:vAlign w:val="center"/>
          </w:tcPr>
          <w:p w14:paraId="20626CAF">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010" w:type="dxa"/>
            <w:vAlign w:val="center"/>
          </w:tcPr>
          <w:p w14:paraId="19BEE7A3">
            <w:pPr>
              <w:rPr>
                <w:rFonts w:hint="eastAsia"/>
                <w:color w:val="auto"/>
                <w:highlight w:val="none"/>
              </w:rPr>
            </w:pPr>
          </w:p>
        </w:tc>
      </w:tr>
      <w:tr w14:paraId="5A3F9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923" w:type="dxa"/>
            <w:vAlign w:val="center"/>
          </w:tcPr>
          <w:p w14:paraId="065C74F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690E34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881" w:type="dxa"/>
            <w:vAlign w:val="center"/>
          </w:tcPr>
          <w:p w14:paraId="0414183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010" w:type="dxa"/>
            <w:vAlign w:val="center"/>
          </w:tcPr>
          <w:p w14:paraId="353A3E17">
            <w:pPr>
              <w:rPr>
                <w:rFonts w:hint="eastAsia"/>
                <w:color w:val="auto"/>
                <w:highlight w:val="none"/>
              </w:rPr>
            </w:pPr>
          </w:p>
        </w:tc>
      </w:tr>
      <w:tr w14:paraId="2CF651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923" w:type="dxa"/>
            <w:vAlign w:val="center"/>
          </w:tcPr>
          <w:p w14:paraId="42E89B4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D65CF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881" w:type="dxa"/>
            <w:vAlign w:val="center"/>
          </w:tcPr>
          <w:p w14:paraId="75CDC4EC">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010" w:type="dxa"/>
            <w:vAlign w:val="center"/>
          </w:tcPr>
          <w:p w14:paraId="0E9BEF29">
            <w:pPr>
              <w:rPr>
                <w:rFonts w:hint="eastAsia"/>
                <w:color w:val="auto"/>
                <w:highlight w:val="none"/>
              </w:rPr>
            </w:pPr>
          </w:p>
        </w:tc>
      </w:tr>
      <w:tr w14:paraId="1FBE24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0764B232">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A61154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881" w:type="dxa"/>
            <w:vAlign w:val="center"/>
          </w:tcPr>
          <w:p w14:paraId="3392AF8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5010" w:type="dxa"/>
            <w:vAlign w:val="center"/>
          </w:tcPr>
          <w:p w14:paraId="74113B72">
            <w:pPr>
              <w:autoSpaceDE w:val="0"/>
              <w:autoSpaceDN w:val="0"/>
              <w:adjustRightInd w:val="0"/>
              <w:snapToGrid w:val="0"/>
              <w:ind w:firstLine="480" w:firstLineChars="200"/>
              <w:jc w:val="left"/>
              <w:rPr>
                <w:rFonts w:ascii="宋体" w:hAnsi="宋体"/>
                <w:color w:val="auto"/>
                <w:szCs w:val="21"/>
                <w:highlight w:val="none"/>
              </w:rPr>
            </w:pPr>
          </w:p>
        </w:tc>
      </w:tr>
      <w:tr w14:paraId="4A7F9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4CD74A7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106422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881" w:type="dxa"/>
            <w:vAlign w:val="center"/>
          </w:tcPr>
          <w:p w14:paraId="1EC14C95">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货物质量缺陷</w:t>
            </w:r>
            <w:r>
              <w:rPr>
                <w:rFonts w:hint="eastAsia" w:ascii="宋体" w:hAnsi="宋体"/>
                <w:color w:val="auto"/>
                <w:szCs w:val="21"/>
                <w:highlight w:val="none"/>
              </w:rPr>
              <w:t>响应时间</w:t>
            </w:r>
          </w:p>
        </w:tc>
        <w:tc>
          <w:tcPr>
            <w:tcW w:w="5010" w:type="dxa"/>
            <w:vAlign w:val="center"/>
          </w:tcPr>
          <w:p w14:paraId="2A52495B">
            <w:pPr>
              <w:adjustRightInd w:val="0"/>
              <w:snapToGrid w:val="0"/>
              <w:jc w:val="left"/>
              <w:rPr>
                <w:rFonts w:ascii="宋体" w:hAnsi="宋体"/>
                <w:color w:val="auto"/>
                <w:szCs w:val="21"/>
                <w:highlight w:val="none"/>
              </w:rPr>
            </w:pPr>
          </w:p>
        </w:tc>
      </w:tr>
      <w:tr w14:paraId="59FF9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35EA8AE2">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668B64F8">
            <w:pPr>
              <w:pStyle w:val="53"/>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881" w:type="dxa"/>
            <w:vAlign w:val="center"/>
          </w:tcPr>
          <w:p w14:paraId="21EDE87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010" w:type="dxa"/>
            <w:vAlign w:val="center"/>
          </w:tcPr>
          <w:p w14:paraId="78E7A6D8">
            <w:pPr>
              <w:adjustRightInd w:val="0"/>
              <w:snapToGrid w:val="0"/>
              <w:jc w:val="left"/>
              <w:rPr>
                <w:rFonts w:ascii="宋体" w:hAnsi="宋体"/>
                <w:color w:val="auto"/>
                <w:szCs w:val="21"/>
                <w:highlight w:val="none"/>
              </w:rPr>
            </w:pPr>
          </w:p>
        </w:tc>
      </w:tr>
      <w:tr w14:paraId="3C1B3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923" w:type="dxa"/>
            <w:vAlign w:val="center"/>
          </w:tcPr>
          <w:p w14:paraId="45EAA1D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ED786D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881" w:type="dxa"/>
            <w:vAlign w:val="center"/>
          </w:tcPr>
          <w:p w14:paraId="64A177C1">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010" w:type="dxa"/>
            <w:vAlign w:val="center"/>
          </w:tcPr>
          <w:p w14:paraId="19ACE1AC">
            <w:pPr>
              <w:adjustRightInd w:val="0"/>
              <w:snapToGrid w:val="0"/>
              <w:jc w:val="left"/>
              <w:rPr>
                <w:rFonts w:ascii="宋体" w:hAnsi="宋体"/>
                <w:color w:val="auto"/>
                <w:szCs w:val="21"/>
                <w:highlight w:val="none"/>
              </w:rPr>
            </w:pPr>
          </w:p>
        </w:tc>
      </w:tr>
      <w:tr w14:paraId="7F085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923" w:type="dxa"/>
            <w:vAlign w:val="center"/>
          </w:tcPr>
          <w:p w14:paraId="7E532211">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57A60EC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881" w:type="dxa"/>
            <w:vAlign w:val="center"/>
          </w:tcPr>
          <w:p w14:paraId="55BFCEBB">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010" w:type="dxa"/>
            <w:vAlign w:val="center"/>
          </w:tcPr>
          <w:p w14:paraId="3B059075">
            <w:pPr>
              <w:adjustRightInd w:val="0"/>
              <w:snapToGrid w:val="0"/>
              <w:jc w:val="left"/>
              <w:rPr>
                <w:rFonts w:ascii="宋体" w:hAnsi="宋体"/>
                <w:color w:val="auto"/>
                <w:szCs w:val="21"/>
                <w:highlight w:val="none"/>
              </w:rPr>
            </w:pPr>
          </w:p>
        </w:tc>
      </w:tr>
      <w:tr w14:paraId="2B3DC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387699E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4B032476">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881" w:type="dxa"/>
            <w:vAlign w:val="center"/>
          </w:tcPr>
          <w:p w14:paraId="54040FA1">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010" w:type="dxa"/>
            <w:vAlign w:val="center"/>
          </w:tcPr>
          <w:p w14:paraId="347592D5">
            <w:pPr>
              <w:adjustRightInd w:val="0"/>
              <w:snapToGrid w:val="0"/>
              <w:jc w:val="left"/>
              <w:rPr>
                <w:rFonts w:ascii="宋体" w:hAnsi="宋体"/>
                <w:color w:val="auto"/>
                <w:szCs w:val="21"/>
                <w:highlight w:val="none"/>
              </w:rPr>
            </w:pPr>
          </w:p>
        </w:tc>
      </w:tr>
      <w:tr w14:paraId="5AAB9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923" w:type="dxa"/>
            <w:vAlign w:val="center"/>
          </w:tcPr>
          <w:p w14:paraId="72BEAD9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1C710B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881" w:type="dxa"/>
            <w:vAlign w:val="center"/>
          </w:tcPr>
          <w:p w14:paraId="6DA2DA8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010" w:type="dxa"/>
            <w:vAlign w:val="center"/>
          </w:tcPr>
          <w:p w14:paraId="50D906D6">
            <w:pPr>
              <w:adjustRightInd w:val="0"/>
              <w:snapToGrid w:val="0"/>
              <w:jc w:val="left"/>
              <w:rPr>
                <w:rFonts w:ascii="宋体" w:hAnsi="宋体"/>
                <w:color w:val="auto"/>
                <w:szCs w:val="21"/>
                <w:highlight w:val="none"/>
              </w:rPr>
            </w:pPr>
          </w:p>
        </w:tc>
      </w:tr>
      <w:tr w14:paraId="552EA0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923" w:type="dxa"/>
            <w:vAlign w:val="center"/>
          </w:tcPr>
          <w:p w14:paraId="3E35BD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F30CB9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881" w:type="dxa"/>
            <w:vAlign w:val="center"/>
          </w:tcPr>
          <w:p w14:paraId="3B13D05A">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010" w:type="dxa"/>
            <w:vAlign w:val="center"/>
          </w:tcPr>
          <w:p w14:paraId="3F6BFC2D">
            <w:pPr>
              <w:adjustRightInd w:val="0"/>
              <w:snapToGrid w:val="0"/>
              <w:jc w:val="left"/>
              <w:rPr>
                <w:rFonts w:ascii="宋体" w:hAnsi="宋体"/>
                <w:color w:val="auto"/>
                <w:szCs w:val="21"/>
                <w:highlight w:val="none"/>
              </w:rPr>
            </w:pPr>
          </w:p>
        </w:tc>
      </w:tr>
      <w:tr w14:paraId="7599E6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41B304A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0C862B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881" w:type="dxa"/>
            <w:vAlign w:val="center"/>
          </w:tcPr>
          <w:p w14:paraId="408D4E8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5010" w:type="dxa"/>
            <w:vAlign w:val="center"/>
          </w:tcPr>
          <w:p w14:paraId="2C32E2AE">
            <w:pPr>
              <w:adjustRightInd w:val="0"/>
              <w:snapToGrid w:val="0"/>
              <w:jc w:val="left"/>
              <w:rPr>
                <w:rFonts w:ascii="宋体" w:hAnsi="宋体"/>
                <w:color w:val="auto"/>
                <w:szCs w:val="21"/>
                <w:highlight w:val="none"/>
              </w:rPr>
            </w:pPr>
          </w:p>
        </w:tc>
      </w:tr>
      <w:tr w14:paraId="690BE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399DC6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B2E605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881" w:type="dxa"/>
            <w:vAlign w:val="center"/>
          </w:tcPr>
          <w:p w14:paraId="1C5461E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010" w:type="dxa"/>
            <w:vAlign w:val="center"/>
          </w:tcPr>
          <w:p w14:paraId="27D2F587">
            <w:pPr>
              <w:adjustRightInd w:val="0"/>
              <w:snapToGrid w:val="0"/>
              <w:jc w:val="left"/>
              <w:rPr>
                <w:rFonts w:ascii="宋体" w:hAnsi="宋体"/>
                <w:color w:val="auto"/>
                <w:szCs w:val="21"/>
                <w:highlight w:val="none"/>
              </w:rPr>
            </w:pPr>
          </w:p>
        </w:tc>
      </w:tr>
      <w:tr w14:paraId="5A779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67EA198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FAA4F0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881" w:type="dxa"/>
            <w:vAlign w:val="center"/>
          </w:tcPr>
          <w:p w14:paraId="6CCB9C34">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5010" w:type="dxa"/>
            <w:vAlign w:val="center"/>
          </w:tcPr>
          <w:p w14:paraId="70280E71">
            <w:pPr>
              <w:adjustRightInd w:val="0"/>
              <w:snapToGrid w:val="0"/>
              <w:jc w:val="left"/>
              <w:rPr>
                <w:rFonts w:ascii="宋体" w:hAnsi="宋体"/>
                <w:color w:val="auto"/>
                <w:szCs w:val="21"/>
                <w:highlight w:val="none"/>
                <w:u w:val="single"/>
              </w:rPr>
            </w:pPr>
          </w:p>
        </w:tc>
      </w:tr>
      <w:tr w14:paraId="4A64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923" w:type="dxa"/>
            <w:vAlign w:val="center"/>
          </w:tcPr>
          <w:p w14:paraId="724A673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534525C">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881" w:type="dxa"/>
            <w:vAlign w:val="center"/>
          </w:tcPr>
          <w:p w14:paraId="2C233818">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5010" w:type="dxa"/>
            <w:vAlign w:val="center"/>
          </w:tcPr>
          <w:p w14:paraId="3A0C3F19">
            <w:pPr>
              <w:adjustRightInd w:val="0"/>
              <w:snapToGrid w:val="0"/>
              <w:jc w:val="left"/>
              <w:rPr>
                <w:rFonts w:ascii="宋体" w:hAnsi="宋体"/>
                <w:color w:val="auto"/>
                <w:szCs w:val="21"/>
                <w:highlight w:val="none"/>
                <w:u w:val="single"/>
              </w:rPr>
            </w:pPr>
          </w:p>
        </w:tc>
      </w:tr>
      <w:tr w14:paraId="348216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923" w:type="dxa"/>
            <w:tcBorders>
              <w:bottom w:val="single" w:color="auto" w:sz="2" w:space="0"/>
              <w:right w:val="single" w:color="auto" w:sz="2" w:space="0"/>
            </w:tcBorders>
            <w:vAlign w:val="center"/>
          </w:tcPr>
          <w:p w14:paraId="45AA05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D78F5E5">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881" w:type="dxa"/>
            <w:tcBorders>
              <w:left w:val="single" w:color="auto" w:sz="2" w:space="0"/>
              <w:bottom w:val="single" w:color="auto" w:sz="2" w:space="0"/>
              <w:right w:val="single" w:color="auto" w:sz="2" w:space="0"/>
            </w:tcBorders>
            <w:vAlign w:val="center"/>
          </w:tcPr>
          <w:p w14:paraId="1138734C">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5010" w:type="dxa"/>
            <w:tcBorders>
              <w:left w:val="single" w:color="auto" w:sz="2" w:space="0"/>
              <w:bottom w:val="single" w:color="auto" w:sz="2" w:space="0"/>
            </w:tcBorders>
            <w:vAlign w:val="center"/>
          </w:tcPr>
          <w:p w14:paraId="219760E1">
            <w:pPr>
              <w:adjustRightInd w:val="0"/>
              <w:snapToGrid w:val="0"/>
              <w:jc w:val="left"/>
              <w:rPr>
                <w:rFonts w:ascii="宋体" w:hAnsi="宋体"/>
                <w:color w:val="auto"/>
                <w:szCs w:val="21"/>
                <w:highlight w:val="none"/>
                <w:u w:val="single"/>
              </w:rPr>
            </w:pPr>
          </w:p>
        </w:tc>
      </w:tr>
      <w:tr w14:paraId="0A209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23" w:type="dxa"/>
            <w:tcBorders>
              <w:top w:val="single" w:color="auto" w:sz="2" w:space="0"/>
              <w:right w:val="single" w:color="auto" w:sz="2" w:space="0"/>
            </w:tcBorders>
            <w:vAlign w:val="center"/>
          </w:tcPr>
          <w:p w14:paraId="177F4FB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CFE04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881" w:type="dxa"/>
            <w:tcBorders>
              <w:top w:val="single" w:color="auto" w:sz="2" w:space="0"/>
              <w:left w:val="single" w:color="auto" w:sz="2" w:space="0"/>
              <w:right w:val="single" w:color="auto" w:sz="2" w:space="0"/>
            </w:tcBorders>
            <w:vAlign w:val="center"/>
          </w:tcPr>
          <w:p w14:paraId="5351737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010" w:type="dxa"/>
            <w:tcBorders>
              <w:top w:val="single" w:color="auto" w:sz="2" w:space="0"/>
              <w:left w:val="single" w:color="auto" w:sz="2" w:space="0"/>
            </w:tcBorders>
            <w:vAlign w:val="center"/>
          </w:tcPr>
          <w:p w14:paraId="0812CAF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6960E2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2A1D3AA7">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5C29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923" w:type="dxa"/>
            <w:vAlign w:val="center"/>
          </w:tcPr>
          <w:p w14:paraId="464253B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F24106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881" w:type="dxa"/>
            <w:vAlign w:val="center"/>
          </w:tcPr>
          <w:p w14:paraId="6180F86D">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010" w:type="dxa"/>
            <w:vAlign w:val="center"/>
          </w:tcPr>
          <w:p w14:paraId="08227F34">
            <w:pPr>
              <w:adjustRightInd w:val="0"/>
              <w:snapToGrid w:val="0"/>
              <w:jc w:val="left"/>
              <w:rPr>
                <w:rFonts w:hint="default" w:ascii="宋体" w:hAnsi="宋体" w:eastAsia="宋体"/>
                <w:color w:val="auto"/>
                <w:szCs w:val="21"/>
                <w:highlight w:val="none"/>
                <w:lang w:val="en-US" w:eastAsia="zh-CN"/>
              </w:rPr>
            </w:pPr>
          </w:p>
        </w:tc>
      </w:tr>
    </w:tbl>
    <w:p w14:paraId="273AC562">
      <w:pPr>
        <w:rPr>
          <w:color w:val="auto"/>
          <w:highlight w:val="none"/>
        </w:rPr>
      </w:pPr>
    </w:p>
    <w:p w14:paraId="7360A251">
      <w:pPr>
        <w:rPr>
          <w:color w:val="auto"/>
          <w:highlight w:val="none"/>
        </w:rPr>
      </w:pPr>
    </w:p>
    <w:p w14:paraId="59C8CB5D">
      <w:pPr>
        <w:rPr>
          <w:color w:val="auto"/>
          <w:highlight w:val="none"/>
          <w:lang w:val="zh-CN"/>
        </w:rPr>
      </w:pPr>
    </w:p>
    <w:p w14:paraId="086D45F7">
      <w:pPr>
        <w:rPr>
          <w:rFonts w:hint="eastAsia"/>
          <w:color w:val="auto"/>
          <w:highlight w:val="none"/>
        </w:rPr>
      </w:pPr>
    </w:p>
    <w:p w14:paraId="428C386B">
      <w:pPr>
        <w:rPr>
          <w:rFonts w:hint="eastAsia"/>
          <w:color w:val="auto"/>
          <w:highlight w:val="none"/>
        </w:rPr>
      </w:pPr>
    </w:p>
    <w:p w14:paraId="0C5CAFE0">
      <w:pPr>
        <w:rPr>
          <w:color w:val="auto"/>
          <w:highlight w:val="none"/>
        </w:rPr>
        <w:sectPr>
          <w:pgSz w:w="11906" w:h="16838"/>
          <w:pgMar w:top="1440" w:right="1196" w:bottom="1440" w:left="1196" w:header="851" w:footer="1020" w:gutter="0"/>
          <w:pgNumType w:fmt="decimal"/>
          <w:cols w:space="425" w:num="1"/>
          <w:docGrid w:type="lines" w:linePitch="312" w:charSpace="0"/>
        </w:sectPr>
      </w:pPr>
    </w:p>
    <w:p w14:paraId="25528327">
      <w:pPr>
        <w:pStyle w:val="2"/>
        <w:numPr>
          <w:ilvl w:val="0"/>
          <w:numId w:val="0"/>
        </w:numPr>
        <w:jc w:val="center"/>
        <w:rPr>
          <w:rFonts w:hint="eastAsia" w:cs="仿宋_GB2312"/>
          <w:color w:val="auto"/>
          <w:highlight w:val="none"/>
          <w:lang w:val="zh-CN"/>
        </w:rPr>
      </w:pPr>
      <w:bookmarkStart w:id="519" w:name="_Toc26172"/>
      <w:bookmarkStart w:id="520" w:name="_Toc12356"/>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519"/>
      <w:bookmarkEnd w:id="520"/>
    </w:p>
    <w:p w14:paraId="6DC90E3C">
      <w:pPr>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2"/>
        <w:bidi w:val="0"/>
        <w:rPr>
          <w:color w:val="auto"/>
          <w:sz w:val="72"/>
          <w:szCs w:val="72"/>
          <w:highlight w:val="none"/>
        </w:rPr>
      </w:pPr>
      <w:bookmarkStart w:id="521" w:name="_Toc5152"/>
      <w:r>
        <w:rPr>
          <w:rFonts w:hint="eastAsia"/>
          <w:color w:val="auto"/>
          <w:sz w:val="72"/>
          <w:szCs w:val="72"/>
          <w:highlight w:val="none"/>
          <w:lang w:val="en-US" w:eastAsia="zh-CN"/>
        </w:rPr>
        <w:t>响</w:t>
      </w:r>
      <w:r>
        <w:rPr>
          <w:rFonts w:hint="eastAsia"/>
          <w:color w:val="auto"/>
          <w:sz w:val="72"/>
          <w:szCs w:val="72"/>
          <w:highlight w:val="none"/>
        </w:rPr>
        <w:t xml:space="preserve"> </w:t>
      </w:r>
      <w:r>
        <w:rPr>
          <w:rFonts w:hint="eastAsia"/>
          <w:color w:val="auto"/>
          <w:sz w:val="72"/>
          <w:szCs w:val="72"/>
          <w:highlight w:val="none"/>
          <w:lang w:val="en-US" w:eastAsia="zh-CN"/>
        </w:rPr>
        <w:t>应</w:t>
      </w:r>
      <w:r>
        <w:rPr>
          <w:rFonts w:hint="eastAsia"/>
          <w:color w:val="auto"/>
          <w:sz w:val="72"/>
          <w:szCs w:val="72"/>
          <w:highlight w:val="none"/>
        </w:rPr>
        <w:t xml:space="preserve"> 文 件</w:t>
      </w:r>
      <w:bookmarkEnd w:id="521"/>
    </w:p>
    <w:p w14:paraId="7053976A">
      <w:pPr>
        <w:pStyle w:val="2"/>
        <w:bidi w:val="0"/>
        <w:rPr>
          <w:color w:val="auto"/>
          <w:sz w:val="72"/>
          <w:szCs w:val="72"/>
          <w:highlight w:val="none"/>
        </w:rPr>
      </w:pPr>
      <w:bookmarkStart w:id="522" w:name="_Toc7318"/>
      <w:r>
        <w:rPr>
          <w:rFonts w:hint="eastAsia"/>
          <w:color w:val="auto"/>
          <w:sz w:val="72"/>
          <w:szCs w:val="72"/>
          <w:highlight w:val="none"/>
        </w:rPr>
        <w:t>资格证明文件</w:t>
      </w:r>
      <w:bookmarkEnd w:id="522"/>
    </w:p>
    <w:p w14:paraId="11B2218D">
      <w:pPr>
        <w:autoSpaceDE w:val="0"/>
        <w:autoSpaceDN w:val="0"/>
        <w:adjustRightInd w:val="0"/>
        <w:rPr>
          <w:b/>
          <w:bCs/>
          <w:color w:val="auto"/>
          <w:sz w:val="22"/>
          <w:highlight w:val="none"/>
        </w:rPr>
      </w:pPr>
    </w:p>
    <w:p w14:paraId="06BBF80E">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DE7CD9">
      <w:pPr>
        <w:autoSpaceDE w:val="0"/>
        <w:autoSpaceDN w:val="0"/>
        <w:adjustRightInd w:val="0"/>
        <w:rPr>
          <w:color w:val="auto"/>
          <w:sz w:val="21"/>
          <w:szCs w:val="21"/>
          <w:highlight w:val="none"/>
        </w:rPr>
      </w:pPr>
    </w:p>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44B4D6D4">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color w:val="auto"/>
          <w:sz w:val="28"/>
          <w:szCs w:val="28"/>
          <w:highlight w:val="none"/>
        </w:rPr>
      </w:pPr>
      <w:r>
        <w:rPr>
          <w:b/>
          <w:bCs/>
          <w:color w:val="auto"/>
          <w:sz w:val="28"/>
          <w:szCs w:val="28"/>
          <w:highlight w:val="none"/>
        </w:rPr>
        <w:br w:type="page"/>
      </w:r>
    </w:p>
    <w:p w14:paraId="1582779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eastAsia="宋体" w:asciiTheme="majorHAnsi" w:hAnsiTheme="majorHAnsi" w:cstheme="majorBidi"/>
          <w:b/>
          <w:bCs/>
          <w:color w:val="auto"/>
          <w:kern w:val="2"/>
          <w:sz w:val="28"/>
          <w:szCs w:val="28"/>
          <w:highlight w:val="none"/>
          <w:lang w:val="en-US" w:eastAsia="zh-CN" w:bidi="ar-SA"/>
        </w:rPr>
      </w:pPr>
      <w:bookmarkStart w:id="523" w:name="_Toc30712"/>
      <w:bookmarkStart w:id="524" w:name="_Toc15682"/>
      <w:bookmarkStart w:id="525" w:name="_Toc155185927"/>
      <w:bookmarkStart w:id="526" w:name="_Toc155185928"/>
      <w:bookmarkStart w:id="527" w:name="_Toc163492922"/>
      <w:bookmarkStart w:id="528" w:name="_Toc163493643"/>
      <w:r>
        <w:rPr>
          <w:rFonts w:hint="eastAsia" w:eastAsia="宋体" w:asciiTheme="majorHAnsi" w:hAnsiTheme="majorHAnsi" w:cstheme="majorBidi"/>
          <w:b/>
          <w:bCs/>
          <w:color w:val="auto"/>
          <w:kern w:val="2"/>
          <w:sz w:val="28"/>
          <w:szCs w:val="28"/>
          <w:highlight w:val="none"/>
          <w:lang w:val="en-US" w:eastAsia="zh-CN" w:bidi="ar-SA"/>
        </w:rPr>
        <w:t>满足《中华人民共和国政府采购法》第二十二条规定</w:t>
      </w:r>
      <w:bookmarkEnd w:id="523"/>
      <w:bookmarkEnd w:id="524"/>
    </w:p>
    <w:bookmarkEnd w:id="525"/>
    <w:p w14:paraId="6B7B06FF">
      <w:pPr>
        <w:pStyle w:val="4"/>
        <w:bidi w:val="0"/>
        <w:rPr>
          <w:rFonts w:hint="eastAsia"/>
          <w:color w:val="auto"/>
          <w:sz w:val="28"/>
          <w:szCs w:val="28"/>
          <w:highlight w:val="none"/>
          <w:lang w:val="en-US" w:eastAsia="zh-CN"/>
        </w:rPr>
      </w:pPr>
      <w:r>
        <w:rPr>
          <w:rFonts w:hint="eastAsia"/>
          <w:color w:val="auto"/>
          <w:sz w:val="28"/>
          <w:szCs w:val="28"/>
          <w:highlight w:val="none"/>
          <w:lang w:val="en-US" w:eastAsia="zh-CN"/>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1、供应商</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2、供应商</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3、供应商</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4、供应商</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5、供应商</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526"/>
    <w:bookmarkEnd w:id="527"/>
    <w:p w14:paraId="69A95AD2">
      <w:pPr>
        <w:pStyle w:val="4"/>
        <w:bidi w:val="0"/>
        <w:jc w:val="center"/>
        <w:rPr>
          <w:rFonts w:hint="eastAsia"/>
          <w:color w:val="auto"/>
          <w:sz w:val="28"/>
          <w:szCs w:val="28"/>
          <w:highlight w:val="none"/>
          <w:lang w:val="en-US" w:eastAsia="zh-CN"/>
        </w:rPr>
      </w:pPr>
      <w:bookmarkStart w:id="529" w:name="_Toc4705"/>
      <w:bookmarkStart w:id="530" w:name="_Toc4110"/>
      <w:r>
        <w:rPr>
          <w:rFonts w:hint="eastAsia"/>
          <w:color w:val="auto"/>
          <w:sz w:val="28"/>
          <w:szCs w:val="28"/>
          <w:highlight w:val="none"/>
          <w:lang w:val="en-US" w:eastAsia="zh-CN"/>
        </w:rPr>
        <w:t>政府采购供应商信用承诺函</w:t>
      </w:r>
      <w:bookmarkEnd w:id="529"/>
      <w:bookmarkEnd w:id="530"/>
    </w:p>
    <w:p w14:paraId="149786FB">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FFA3C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DA4A26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565F5FE">
      <w:pPr>
        <w:spacing w:line="560" w:lineRule="exact"/>
        <w:ind w:firstLine="480" w:firstLineChars="200"/>
        <w:rPr>
          <w:rFonts w:hint="eastAsia" w:ascii="宋体" w:hAnsi="宋体" w:eastAsia="宋体" w:cs="宋体"/>
          <w:color w:val="auto"/>
          <w:kern w:val="0"/>
          <w:sz w:val="24"/>
          <w:szCs w:val="24"/>
          <w:highlight w:val="none"/>
        </w:rPr>
      </w:pPr>
    </w:p>
    <w:p w14:paraId="39CDD6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3218A3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036C60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32BE91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5C988B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64311F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09591A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1BA808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、重大税收违法案件当事人名单、政府采购严重违法失信行为记录名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70127B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32445A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883D10C">
      <w:pPr>
        <w:spacing w:line="560" w:lineRule="exact"/>
        <w:rPr>
          <w:rFonts w:hint="eastAsia" w:ascii="宋体" w:hAnsi="宋体" w:eastAsia="宋体" w:cs="宋体"/>
          <w:color w:val="auto"/>
          <w:kern w:val="0"/>
          <w:sz w:val="24"/>
          <w:szCs w:val="24"/>
          <w:highlight w:val="none"/>
        </w:rPr>
      </w:pPr>
    </w:p>
    <w:p w14:paraId="02066849">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FCFFDCC">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10A1256">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color w:val="auto"/>
          <w:kern w:val="0"/>
          <w:sz w:val="24"/>
          <w:szCs w:val="24"/>
          <w:highlight w:val="none"/>
        </w:rPr>
      </w:pPr>
    </w:p>
    <w:p w14:paraId="5775F461">
      <w:pPr>
        <w:rPr>
          <w:color w:val="auto"/>
          <w:highlight w:val="none"/>
        </w:rPr>
      </w:pPr>
      <w:r>
        <w:rPr>
          <w:rFonts w:cs="Courier New"/>
          <w:color w:val="auto"/>
          <w:szCs w:val="24"/>
          <w:highlight w:val="none"/>
        </w:rPr>
        <w:br w:type="page"/>
      </w:r>
    </w:p>
    <w:p w14:paraId="27442EE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28"/>
          <w:szCs w:val="28"/>
          <w:highlight w:val="none"/>
          <w:lang w:val="en-US" w:eastAsia="zh-CN" w:bidi="ar-SA"/>
        </w:rPr>
      </w:pPr>
      <w:bookmarkStart w:id="531" w:name="_Toc21866"/>
      <w:bookmarkStart w:id="532" w:name="_Toc18930"/>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531"/>
      <w:bookmarkEnd w:id="532"/>
    </w:p>
    <w:p w14:paraId="0BDCE4AB">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33" w:name="_Toc2471"/>
      <w:bookmarkStart w:id="534"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533"/>
      <w:bookmarkEnd w:id="534"/>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6"/>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6"/>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6"/>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6"/>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6"/>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6"/>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6"/>
              <w:jc w:val="center"/>
              <w:rPr>
                <w:color w:val="auto"/>
                <w:sz w:val="21"/>
                <w:szCs w:val="21"/>
                <w:highlight w:val="none"/>
              </w:rPr>
            </w:pPr>
            <w:r>
              <w:rPr>
                <w:rFonts w:hint="eastAsia"/>
                <w:color w:val="auto"/>
                <w:sz w:val="21"/>
                <w:szCs w:val="21"/>
                <w:highlight w:val="none"/>
              </w:rPr>
              <w:t>单价</w:t>
            </w:r>
          </w:p>
          <w:p w14:paraId="4D8AC9C4">
            <w:pPr>
              <w:pStyle w:val="46"/>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6"/>
              <w:jc w:val="center"/>
              <w:rPr>
                <w:color w:val="auto"/>
                <w:sz w:val="21"/>
                <w:szCs w:val="21"/>
                <w:highlight w:val="none"/>
              </w:rPr>
            </w:pPr>
            <w:r>
              <w:rPr>
                <w:rFonts w:hint="eastAsia"/>
                <w:color w:val="auto"/>
                <w:sz w:val="21"/>
                <w:szCs w:val="21"/>
                <w:highlight w:val="none"/>
              </w:rPr>
              <w:t>总价</w:t>
            </w:r>
          </w:p>
          <w:p w14:paraId="4637FB3E">
            <w:pPr>
              <w:pStyle w:val="46"/>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6"/>
              <w:jc w:val="center"/>
              <w:rPr>
                <w:color w:val="auto"/>
                <w:sz w:val="21"/>
                <w:szCs w:val="21"/>
                <w:highlight w:val="none"/>
              </w:rPr>
            </w:pPr>
            <w:r>
              <w:rPr>
                <w:rFonts w:hint="eastAsia"/>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6"/>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6"/>
              <w:jc w:val="center"/>
              <w:rPr>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6"/>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6"/>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6"/>
              <w:jc w:val="center"/>
              <w:rPr>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6"/>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6"/>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6"/>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6"/>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6"/>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6"/>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6"/>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6"/>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6"/>
              <w:jc w:val="center"/>
              <w:rPr>
                <w:color w:val="auto"/>
                <w:sz w:val="21"/>
                <w:szCs w:val="21"/>
                <w:highlight w:val="none"/>
              </w:rPr>
            </w:pPr>
          </w:p>
        </w:tc>
      </w:tr>
    </w:tbl>
    <w:p w14:paraId="2831E0BE">
      <w:pPr>
        <w:spacing w:line="300" w:lineRule="auto"/>
        <w:rPr>
          <w:rFonts w:ascii="Arial" w:hAnsi="Arial" w:cs="Arial"/>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6"/>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6"/>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6"/>
              <w:jc w:val="center"/>
              <w:rPr>
                <w:color w:val="auto"/>
                <w:sz w:val="21"/>
                <w:szCs w:val="21"/>
                <w:highlight w:val="none"/>
              </w:rPr>
            </w:pPr>
            <w:r>
              <w:rPr>
                <w:rFonts w:hint="eastAsia"/>
                <w:color w:val="auto"/>
                <w:sz w:val="21"/>
                <w:szCs w:val="21"/>
                <w:highlight w:val="none"/>
              </w:rPr>
              <w:t>制造商</w:t>
            </w:r>
          </w:p>
          <w:p w14:paraId="6871D586">
            <w:pPr>
              <w:pStyle w:val="46"/>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6"/>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6"/>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6"/>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6"/>
              <w:jc w:val="center"/>
              <w:rPr>
                <w:color w:val="auto"/>
                <w:sz w:val="21"/>
                <w:szCs w:val="21"/>
                <w:highlight w:val="none"/>
              </w:rPr>
            </w:pPr>
            <w:r>
              <w:rPr>
                <w:rFonts w:hint="eastAsia"/>
                <w:color w:val="auto"/>
                <w:sz w:val="21"/>
                <w:szCs w:val="21"/>
                <w:highlight w:val="none"/>
              </w:rPr>
              <w:t>单价</w:t>
            </w:r>
          </w:p>
          <w:p w14:paraId="09FBCB92">
            <w:pPr>
              <w:pStyle w:val="46"/>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6"/>
              <w:jc w:val="center"/>
              <w:rPr>
                <w:color w:val="auto"/>
                <w:sz w:val="21"/>
                <w:szCs w:val="21"/>
                <w:highlight w:val="none"/>
              </w:rPr>
            </w:pPr>
            <w:r>
              <w:rPr>
                <w:rFonts w:hint="eastAsia"/>
                <w:color w:val="auto"/>
                <w:sz w:val="21"/>
                <w:szCs w:val="21"/>
                <w:highlight w:val="none"/>
              </w:rPr>
              <w:t>总价</w:t>
            </w:r>
          </w:p>
          <w:p w14:paraId="33CDE01B">
            <w:pPr>
              <w:pStyle w:val="46"/>
              <w:jc w:val="center"/>
              <w:rPr>
                <w:color w:val="auto"/>
                <w:sz w:val="21"/>
                <w:szCs w:val="21"/>
                <w:highlight w:val="none"/>
              </w:rPr>
            </w:pPr>
            <w:r>
              <w:rPr>
                <w:rFonts w:hint="eastAsia"/>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6"/>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6"/>
              <w:jc w:val="center"/>
              <w:rPr>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6"/>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6"/>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6"/>
              <w:jc w:val="center"/>
              <w:rPr>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6"/>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6"/>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6"/>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6"/>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6"/>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6"/>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6"/>
              <w:jc w:val="center"/>
              <w:rPr>
                <w:color w:val="auto"/>
                <w:sz w:val="21"/>
                <w:szCs w:val="21"/>
                <w:highlight w:val="none"/>
              </w:rPr>
            </w:pPr>
          </w:p>
        </w:tc>
      </w:tr>
    </w:tbl>
    <w:p w14:paraId="141E07B3">
      <w:pPr>
        <w:spacing w:line="300" w:lineRule="auto"/>
        <w:rPr>
          <w:rFonts w:ascii="Arial" w:hAnsi="Arial" w:cs="Arial"/>
          <w:color w:val="auto"/>
          <w:szCs w:val="21"/>
          <w:highlight w:val="none"/>
        </w:rPr>
      </w:pPr>
    </w:p>
    <w:p w14:paraId="606E5A08">
      <w:pPr>
        <w:rPr>
          <w:rFonts w:ascii="Arial" w:hAnsi="Arial" w:cs="Arial"/>
          <w:b/>
          <w:color w:val="auto"/>
          <w:sz w:val="21"/>
          <w:szCs w:val="21"/>
          <w:highlight w:val="none"/>
        </w:rPr>
      </w:pPr>
      <w:r>
        <w:rPr>
          <w:rFonts w:hint="eastAsia" w:ascii="Arial" w:hAnsi="Arial" w:cs="Arial"/>
          <w:b/>
          <w:color w:val="auto"/>
          <w:sz w:val="21"/>
          <w:szCs w:val="21"/>
          <w:highlight w:val="none"/>
        </w:rPr>
        <w:t>特别说明：</w:t>
      </w:r>
      <w:r>
        <w:rPr>
          <w:rFonts w:hint="eastAsia" w:ascii="Arial" w:hAnsi="Arial" w:cs="Arial"/>
          <w:b/>
          <w:color w:val="auto"/>
          <w:sz w:val="21"/>
          <w:szCs w:val="21"/>
          <w:highlight w:val="none"/>
          <w:lang w:val="en-US" w:eastAsia="zh-CN"/>
        </w:rPr>
        <w:t>供应商</w:t>
      </w:r>
      <w:r>
        <w:rPr>
          <w:rFonts w:hint="eastAsia" w:ascii="Arial" w:hAnsi="Arial" w:cs="Arial"/>
          <w:b/>
          <w:color w:val="auto"/>
          <w:sz w:val="21"/>
          <w:szCs w:val="21"/>
          <w:highlight w:val="none"/>
        </w:rPr>
        <w:t>应将所投产品中节能、环保产品分别列入上表中，并按本</w:t>
      </w:r>
      <w:r>
        <w:rPr>
          <w:rFonts w:hint="eastAsia" w:ascii="Arial" w:hAnsi="Arial" w:cs="Arial"/>
          <w:b/>
          <w:color w:val="auto"/>
          <w:sz w:val="21"/>
          <w:szCs w:val="21"/>
          <w:highlight w:val="none"/>
          <w:lang w:val="en-US" w:eastAsia="zh-CN"/>
        </w:rPr>
        <w:t>竞争性谈判</w:t>
      </w:r>
      <w:r>
        <w:rPr>
          <w:rFonts w:hint="eastAsia" w:ascii="Arial" w:hAnsi="Arial" w:cs="Arial"/>
          <w:b/>
          <w:color w:val="auto"/>
          <w:sz w:val="21"/>
          <w:szCs w:val="21"/>
          <w:highlight w:val="none"/>
        </w:rPr>
        <w:t>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供应商须知”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675C9164">
      <w:pPr>
        <w:spacing w:line="300" w:lineRule="auto"/>
        <w:rPr>
          <w:rFonts w:ascii="Arial" w:hAnsi="Arial" w:cs="Arial"/>
          <w:color w:val="auto"/>
          <w:szCs w:val="21"/>
          <w:highlight w:val="none"/>
        </w:rPr>
      </w:pPr>
    </w:p>
    <w:p w14:paraId="0BA1A982">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lang w:val="en-US" w:eastAsia="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3068A70D">
      <w:pPr>
        <w:ind w:firstLine="5520" w:firstLineChars="2300"/>
        <w:rPr>
          <w:rFonts w:ascii="Arial" w:hAnsi="Arial" w:cs="Arial"/>
          <w:color w:val="auto"/>
          <w:szCs w:val="21"/>
          <w:highlight w:val="none"/>
        </w:rPr>
      </w:pPr>
      <w:r>
        <w:rPr>
          <w:rFonts w:ascii="Arial" w:hAnsi="Arial" w:cs="Arial"/>
          <w:color w:val="auto"/>
          <w:szCs w:val="21"/>
          <w:highlight w:val="none"/>
        </w:rPr>
        <w:t>日期：</w:t>
      </w:r>
    </w:p>
    <w:p w14:paraId="70617D68">
      <w:pPr>
        <w:rPr>
          <w:rFonts w:ascii="Arial" w:hAnsi="Arial" w:cs="Arial"/>
          <w:color w:val="auto"/>
          <w:szCs w:val="21"/>
          <w:highlight w:val="none"/>
        </w:rPr>
      </w:pPr>
      <w:r>
        <w:rPr>
          <w:rFonts w:ascii="Arial" w:hAnsi="Arial" w:cs="Arial"/>
          <w:color w:val="auto"/>
          <w:szCs w:val="21"/>
          <w:highlight w:val="none"/>
        </w:rPr>
        <w:br w:type="page"/>
      </w:r>
    </w:p>
    <w:p w14:paraId="711C0C58">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535" w:name="_Toc8309"/>
      <w:bookmarkStart w:id="536" w:name="_Toc163492939"/>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535"/>
      <w:bookmarkEnd w:id="536"/>
    </w:p>
    <w:p w14:paraId="17DF8322">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31EF7E02">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w:t>
      </w:r>
      <w:r>
        <w:rPr>
          <w:rFonts w:hint="eastAsia" w:cs="宋体"/>
          <w:color w:val="auto"/>
          <w:spacing w:val="6"/>
          <w:szCs w:val="24"/>
          <w:highlight w:val="none"/>
          <w:lang w:val="en-US" w:eastAsia="zh-CN"/>
        </w:rPr>
        <w:t>书</w:t>
      </w:r>
      <w:r>
        <w:rPr>
          <w:rFonts w:hint="eastAsia" w:cs="宋体"/>
          <w:color w:val="auto"/>
          <w:spacing w:val="6"/>
          <w:szCs w:val="24"/>
          <w:highlight w:val="none"/>
        </w:rPr>
        <w:t>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080" w:firstLineChars="1700"/>
        <w:rPr>
          <w:rFonts w:cs="宋体"/>
          <w:color w:val="auto"/>
          <w:spacing w:val="6"/>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ADE189F">
      <w:pPr>
        <w:rPr>
          <w:rFonts w:hint="eastAsia" w:cs="宋体"/>
          <w:color w:val="auto"/>
          <w:spacing w:val="6"/>
          <w:sz w:val="24"/>
          <w:szCs w:val="24"/>
          <w:highlight w:val="none"/>
        </w:rPr>
      </w:pPr>
    </w:p>
    <w:p w14:paraId="4C098FFB">
      <w:pPr>
        <w:rPr>
          <w:rFonts w:hint="eastAsia" w:cs="宋体"/>
          <w:color w:val="auto"/>
          <w:spacing w:val="6"/>
          <w:sz w:val="24"/>
          <w:szCs w:val="24"/>
          <w:highlight w:val="none"/>
        </w:rPr>
      </w:pPr>
    </w:p>
    <w:p w14:paraId="3C73BF63">
      <w:pPr>
        <w:rPr>
          <w:rFonts w:hint="eastAsia" w:cs="宋体"/>
          <w:color w:val="auto"/>
          <w:spacing w:val="6"/>
          <w:sz w:val="24"/>
          <w:szCs w:val="24"/>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C3FAE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0A0B18BB">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color w:val="auto"/>
          <w:kern w:val="0"/>
          <w:sz w:val="28"/>
          <w:szCs w:val="28"/>
          <w:highlight w:val="none"/>
          <w:lang w:val="en-US" w:eastAsia="zh-CN" w:bidi="ar"/>
        </w:rPr>
      </w:pPr>
      <w:r>
        <w:rPr>
          <w:rFonts w:hint="eastAsia"/>
          <w:b/>
          <w:bCs/>
          <w:color w:val="auto"/>
          <w:highlight w:val="none"/>
          <w:lang w:val="en-US" w:eastAsia="zh-CN"/>
        </w:rPr>
        <w:t xml:space="preserve">附件1 </w:t>
      </w:r>
    </w:p>
    <w:p w14:paraId="65EA448B">
      <w:pPr>
        <w:keepNext w:val="0"/>
        <w:keepLines w:val="0"/>
        <w:widowControl/>
        <w:suppressLineNumbers w:val="0"/>
        <w:ind w:firstLine="482" w:firstLineChars="200"/>
        <w:jc w:val="left"/>
        <w:rPr>
          <w:rStyle w:val="31"/>
          <w:rFonts w:hint="eastAsia" w:ascii="宋体" w:hAnsi="宋体" w:eastAsia="宋体" w:cs="宋体"/>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A812C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E224C04">
      <w:pPr>
        <w:rPr>
          <w:rFonts w:cs="宋体"/>
          <w:color w:val="auto"/>
          <w:spacing w:val="6"/>
          <w:sz w:val="21"/>
          <w:szCs w:val="21"/>
          <w:highlight w:val="none"/>
        </w:rPr>
      </w:pPr>
    </w:p>
    <w:p w14:paraId="20B4770A">
      <w:pPr>
        <w:rPr>
          <w:rFonts w:cs="宋体"/>
          <w:color w:val="auto"/>
          <w:spacing w:val="6"/>
          <w:sz w:val="21"/>
          <w:szCs w:val="21"/>
          <w:highlight w:val="none"/>
        </w:rPr>
      </w:pPr>
      <w:bookmarkStart w:id="537" w:name="_Toc163492940"/>
    </w:p>
    <w:p w14:paraId="5D4F19F2">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38" w:name="_Toc31594"/>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537"/>
      <w:bookmarkEnd w:id="538"/>
    </w:p>
    <w:p w14:paraId="744F56E2">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5"/>
        <w:spacing w:line="360" w:lineRule="auto"/>
        <w:jc w:val="center"/>
        <w:rPr>
          <w:rFonts w:hint="eastAsia" w:ascii="宋体" w:hAnsi="宋体" w:eastAsia="宋体" w:cs="宋体"/>
          <w:b/>
          <w:bCs w:val="0"/>
          <w:color w:val="auto"/>
          <w:sz w:val="32"/>
          <w:szCs w:val="32"/>
          <w:highlight w:val="none"/>
        </w:rPr>
      </w:pPr>
    </w:p>
    <w:p w14:paraId="3EAA5E2A">
      <w:pPr>
        <w:pStyle w:val="15"/>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080" w:firstLineChars="1700"/>
        <w:rPr>
          <w:rFonts w:hint="eastAsia" w:ascii="宋体" w:hAnsi="宋体" w:eastAsia="宋体" w:cs="宋体"/>
          <w:color w:val="auto"/>
          <w:spacing w:val="6"/>
          <w:sz w:val="24"/>
          <w:szCs w:val="24"/>
          <w:highlight w:val="none"/>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供应商</w:t>
      </w:r>
      <w:r>
        <w:rPr>
          <w:rFonts w:hint="eastAsia" w:ascii="宋体" w:hAnsi="宋体" w:cs="宋体"/>
          <w:color w:val="auto"/>
          <w:kern w:val="0"/>
          <w:sz w:val="24"/>
          <w:highlight w:val="none"/>
          <w:lang w:val="zh-CN"/>
        </w:rPr>
        <w:t>名称(</w:t>
      </w:r>
      <w:r>
        <w:rPr>
          <w:rFonts w:hint="eastAsia" w:cs="宋体"/>
          <w:color w:val="auto"/>
          <w:kern w:val="0"/>
          <w:sz w:val="24"/>
          <w:highlight w:val="none"/>
          <w:lang w:val="zh-CN"/>
        </w:rPr>
        <w:t>公章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AA0844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539" w:name="_Toc163492941"/>
    </w:p>
    <w:p w14:paraId="69ACD5D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textAlignment w:val="auto"/>
        <w:rPr>
          <w:rFonts w:hint="eastAsia" w:ascii="宋体" w:hAnsi="宋体" w:eastAsia="宋体" w:cstheme="minorBidi"/>
          <w:b/>
          <w:bCs/>
          <w:color w:val="auto"/>
          <w:kern w:val="2"/>
          <w:sz w:val="24"/>
          <w:szCs w:val="24"/>
          <w:highlight w:val="none"/>
          <w:lang w:val="en-US" w:eastAsia="zh-CN" w:bidi="ar-SA"/>
        </w:rPr>
      </w:pPr>
      <w:bookmarkStart w:id="540" w:name="_Toc7838"/>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539"/>
      <w:bookmarkEnd w:id="540"/>
    </w:p>
    <w:p w14:paraId="57F303A4">
      <w:pPr>
        <w:pStyle w:val="39"/>
        <w:numPr>
          <w:ilvl w:val="0"/>
          <w:numId w:val="0"/>
        </w:numPr>
        <w:ind w:left="420" w:leftChars="0" w:hanging="420" w:firstLineChars="0"/>
        <w:jc w:val="center"/>
        <w:rPr>
          <w:rFonts w:hint="eastAsia"/>
          <w:b/>
          <w:bCs/>
          <w:color w:val="auto"/>
          <w:sz w:val="32"/>
          <w:szCs w:val="32"/>
          <w:highlight w:val="none"/>
        </w:rPr>
      </w:pPr>
    </w:p>
    <w:p w14:paraId="6049E14B">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E988B10">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w:t>
      </w:r>
      <w:r>
        <w:rPr>
          <w:rFonts w:hint="eastAsia"/>
          <w:bCs/>
          <w:color w:val="auto"/>
          <w:szCs w:val="21"/>
          <w:highlight w:val="none"/>
          <w:lang w:val="en-US" w:eastAsia="zh-CN"/>
        </w:rPr>
        <w:t>供应商</w:t>
      </w:r>
      <w:r>
        <w:rPr>
          <w:rFonts w:hint="eastAsia"/>
          <w:bCs/>
          <w:color w:val="auto"/>
          <w:szCs w:val="21"/>
          <w:highlight w:val="none"/>
          <w:lang w:val="zh-CN"/>
        </w:rPr>
        <w:t>无关）；应当严格按上述格式及内容进行填写（应当明确每个</w:t>
      </w:r>
      <w:r>
        <w:rPr>
          <w:rFonts w:hint="eastAsia"/>
          <w:bCs/>
          <w:color w:val="auto"/>
          <w:szCs w:val="21"/>
          <w:highlight w:val="none"/>
          <w:lang w:val="en-US" w:eastAsia="zh-CN"/>
        </w:rPr>
        <w:t>包</w:t>
      </w:r>
      <w:r>
        <w:rPr>
          <w:rFonts w:hint="eastAsia"/>
          <w:bCs/>
          <w:color w:val="auto"/>
          <w:szCs w:val="21"/>
          <w:highlight w:val="none"/>
          <w:lang w:val="zh-CN"/>
        </w:rPr>
        <w:t>的的生产企业类型及相关数据），否则导致的后果由</w:t>
      </w:r>
      <w:r>
        <w:rPr>
          <w:rFonts w:hint="eastAsia"/>
          <w:bCs/>
          <w:color w:val="auto"/>
          <w:szCs w:val="21"/>
          <w:highlight w:val="none"/>
          <w:lang w:val="en-US" w:eastAsia="zh-CN"/>
        </w:rPr>
        <w:t>供应商</w:t>
      </w:r>
      <w:r>
        <w:rPr>
          <w:rFonts w:hint="eastAsia"/>
          <w:bCs/>
          <w:color w:val="auto"/>
          <w:szCs w:val="21"/>
          <w:highlight w:val="none"/>
          <w:lang w:val="zh-CN"/>
        </w:rPr>
        <w:t>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en-US" w:eastAsia="zh-CN"/>
        </w:rPr>
        <w:t>供应商名称（公章）</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146896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cstheme="majorBidi"/>
          <w:b/>
          <w:bCs/>
          <w:color w:val="auto"/>
          <w:kern w:val="2"/>
          <w:sz w:val="28"/>
          <w:szCs w:val="28"/>
          <w:highlight w:val="none"/>
          <w:lang w:val="en-US" w:eastAsia="zh-CN" w:bidi="ar-SA"/>
        </w:rPr>
      </w:pPr>
      <w:bookmarkStart w:id="541" w:name="_Toc8760"/>
      <w:bookmarkStart w:id="542" w:name="_Toc3073"/>
      <w:r>
        <w:rPr>
          <w:rFonts w:hint="eastAsia" w:cstheme="majorBidi"/>
          <w:b/>
          <w:bCs/>
          <w:color w:val="auto"/>
          <w:kern w:val="2"/>
          <w:sz w:val="28"/>
          <w:szCs w:val="28"/>
          <w:highlight w:val="none"/>
          <w:lang w:val="en-US" w:eastAsia="zh-CN" w:bidi="ar-SA"/>
        </w:rPr>
        <w:t>不参与围标串标承诺书</w:t>
      </w:r>
      <w:bookmarkEnd w:id="541"/>
      <w:bookmarkEnd w:id="542"/>
    </w:p>
    <w:p w14:paraId="415F309A">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1FE71F6D">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2DC5E9C8">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本人作为经授权的供应商代表,清楚知晓我单位参与本项目竞争性谈判活动,对以下事项作出承诺：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二、我单位和我本人在本项目政府采购竞争性谈判活动中,未参与围标串标。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三、我单位如被查实在本项目政府采购竞争性谈判活动中存在围标串标的，递交响应文件行为作为实施串通投标违法行为的关键环节,由我单位及法定代表人承担相应的法律责任，接受相应行政处罚和失信惩戒。</w:t>
      </w:r>
    </w:p>
    <w:p w14:paraId="29E3C848">
      <w:pPr>
        <w:pStyle w:val="11"/>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CCE383A">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签字或印章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92B3277">
      <w:pPr>
        <w:spacing w:line="56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1"/>
        <w:rPr>
          <w:rFonts w:hint="eastAsia"/>
          <w:color w:val="auto"/>
          <w:highlight w:val="none"/>
          <w:lang w:val="en-US" w:eastAsia="zh-CN"/>
        </w:rPr>
      </w:pPr>
    </w:p>
    <w:p w14:paraId="6FC519D1">
      <w:pPr>
        <w:pStyle w:val="11"/>
        <w:rPr>
          <w:rFonts w:hint="eastAsia"/>
          <w:color w:val="auto"/>
          <w:highlight w:val="none"/>
          <w:lang w:val="en-US" w:eastAsia="zh-CN"/>
        </w:rPr>
      </w:pPr>
    </w:p>
    <w:p w14:paraId="7500053D">
      <w:pPr>
        <w:pStyle w:val="11"/>
        <w:rPr>
          <w:rFonts w:hint="eastAsia"/>
          <w:color w:val="auto"/>
          <w:highlight w:val="none"/>
          <w:lang w:val="en-US" w:eastAsia="zh-CN"/>
        </w:rPr>
      </w:pPr>
    </w:p>
    <w:p w14:paraId="5BF64493">
      <w:pPr>
        <w:pStyle w:val="11"/>
        <w:rPr>
          <w:rFonts w:hint="eastAsia"/>
          <w:color w:val="auto"/>
          <w:highlight w:val="none"/>
          <w:lang w:val="en-US" w:eastAsia="zh-CN"/>
        </w:rPr>
      </w:pPr>
    </w:p>
    <w:p w14:paraId="5CA01A8B">
      <w:pPr>
        <w:pStyle w:val="11"/>
        <w:rPr>
          <w:rFonts w:hint="eastAsia"/>
          <w:color w:val="auto"/>
          <w:highlight w:val="none"/>
          <w:lang w:val="en-US" w:eastAsia="zh-CN"/>
        </w:rPr>
      </w:pPr>
    </w:p>
    <w:p w14:paraId="029F743D">
      <w:pPr>
        <w:pStyle w:val="11"/>
        <w:rPr>
          <w:rFonts w:hint="eastAsia"/>
          <w:color w:val="auto"/>
          <w:highlight w:val="none"/>
          <w:lang w:val="en-US" w:eastAsia="zh-CN"/>
        </w:rPr>
      </w:pPr>
    </w:p>
    <w:p w14:paraId="41587146">
      <w:pPr>
        <w:pStyle w:val="11"/>
        <w:rPr>
          <w:rFonts w:hint="eastAsia"/>
          <w:color w:val="auto"/>
          <w:highlight w:val="none"/>
          <w:lang w:val="en-US" w:eastAsia="zh-CN"/>
        </w:rPr>
      </w:pPr>
    </w:p>
    <w:p w14:paraId="34406338">
      <w:pPr>
        <w:widowControl/>
        <w:spacing w:before="100" w:beforeAutospacing="1" w:after="100" w:afterAutospacing="1"/>
        <w:rPr>
          <w:rFonts w:hint="eastAsia" w:ascii="Arial" w:hAnsi="Arial" w:cs="Arial"/>
          <w:color w:val="auto"/>
          <w:sz w:val="21"/>
          <w:szCs w:val="21"/>
          <w:highlight w:val="none"/>
          <w:lang w:val="en-US" w:eastAsia="zh-CN"/>
        </w:rPr>
      </w:pPr>
    </w:p>
    <w:p w14:paraId="7A1B48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cstheme="majorBidi"/>
          <w:b/>
          <w:bCs/>
          <w:color w:val="auto"/>
          <w:kern w:val="2"/>
          <w:sz w:val="28"/>
          <w:szCs w:val="28"/>
          <w:highlight w:val="none"/>
          <w:lang w:val="zh-CN" w:eastAsia="zh-CN" w:bidi="ar-SA"/>
        </w:rPr>
      </w:pPr>
      <w:bookmarkStart w:id="543" w:name="_Toc29561"/>
      <w:bookmarkStart w:id="544" w:name="_Toc9438"/>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543"/>
      <w:bookmarkEnd w:id="544"/>
    </w:p>
    <w:p w14:paraId="0C24F0AE">
      <w:pPr>
        <w:pStyle w:val="35"/>
        <w:rPr>
          <w:rFonts w:hint="eastAsia"/>
          <w:color w:val="auto"/>
          <w:highlight w:val="none"/>
        </w:rPr>
      </w:pPr>
      <w:r>
        <w:rPr>
          <w:rFonts w:hint="eastAsia" w:cs="Courier New"/>
          <w:color w:val="auto"/>
          <w:szCs w:val="24"/>
          <w:highlight w:val="none"/>
          <w:lang w:val="en-US" w:eastAsia="zh-CN"/>
        </w:rPr>
        <w:t>供应商</w:t>
      </w:r>
      <w:r>
        <w:rPr>
          <w:rFonts w:hint="eastAsia" w:cs="Courier New"/>
          <w:color w:val="auto"/>
          <w:szCs w:val="24"/>
          <w:highlight w:val="none"/>
        </w:rPr>
        <w:t>认为需提供的其它相关资格证明材料</w:t>
      </w:r>
    </w:p>
    <w:p w14:paraId="7C2C3E83">
      <w:pPr>
        <w:pStyle w:val="35"/>
        <w:rPr>
          <w:rFonts w:hint="eastAsia"/>
          <w:color w:val="auto"/>
          <w:highlight w:val="none"/>
        </w:rPr>
      </w:pPr>
    </w:p>
    <w:p w14:paraId="58A36194">
      <w:pPr>
        <w:pStyle w:val="35"/>
        <w:rPr>
          <w:rFonts w:hint="eastAsia"/>
          <w:color w:val="auto"/>
          <w:highlight w:val="none"/>
        </w:rPr>
      </w:pPr>
    </w:p>
    <w:p w14:paraId="3553B395">
      <w:pPr>
        <w:pStyle w:val="35"/>
        <w:rPr>
          <w:rFonts w:hint="eastAsia"/>
          <w:color w:val="auto"/>
          <w:highlight w:val="none"/>
        </w:rPr>
      </w:pPr>
    </w:p>
    <w:p w14:paraId="49D404FC">
      <w:pPr>
        <w:pStyle w:val="35"/>
        <w:rPr>
          <w:rFonts w:hint="eastAsia"/>
          <w:color w:val="auto"/>
          <w:highlight w:val="none"/>
        </w:rPr>
      </w:pPr>
    </w:p>
    <w:p w14:paraId="4B98E4B6">
      <w:pPr>
        <w:pStyle w:val="35"/>
        <w:rPr>
          <w:rFonts w:hint="eastAsia"/>
          <w:color w:val="auto"/>
          <w:highlight w:val="none"/>
        </w:rPr>
      </w:pPr>
    </w:p>
    <w:p w14:paraId="737FEDD3">
      <w:pPr>
        <w:pStyle w:val="35"/>
        <w:rPr>
          <w:rFonts w:hint="eastAsia"/>
          <w:color w:val="auto"/>
          <w:highlight w:val="none"/>
        </w:rPr>
      </w:pPr>
    </w:p>
    <w:p w14:paraId="1C876135">
      <w:pPr>
        <w:pStyle w:val="35"/>
        <w:rPr>
          <w:rFonts w:hint="eastAsia"/>
          <w:color w:val="auto"/>
          <w:highlight w:val="none"/>
        </w:rPr>
      </w:pPr>
    </w:p>
    <w:p w14:paraId="7E85C842">
      <w:pPr>
        <w:pStyle w:val="35"/>
        <w:rPr>
          <w:rFonts w:hint="eastAsia"/>
          <w:color w:val="auto"/>
          <w:highlight w:val="none"/>
        </w:rPr>
      </w:pPr>
    </w:p>
    <w:p w14:paraId="4CBE3B0D">
      <w:pPr>
        <w:pStyle w:val="35"/>
        <w:rPr>
          <w:rFonts w:hint="eastAsia"/>
          <w:color w:val="auto"/>
          <w:highlight w:val="none"/>
        </w:rPr>
      </w:pPr>
    </w:p>
    <w:p w14:paraId="2E6E451F">
      <w:pPr>
        <w:pStyle w:val="35"/>
        <w:rPr>
          <w:rFonts w:hint="eastAsia"/>
          <w:color w:val="auto"/>
          <w:highlight w:val="none"/>
        </w:rPr>
      </w:pPr>
    </w:p>
    <w:p w14:paraId="38DC2C55">
      <w:pPr>
        <w:pStyle w:val="35"/>
        <w:rPr>
          <w:rFonts w:hint="eastAsia"/>
          <w:color w:val="auto"/>
          <w:highlight w:val="none"/>
        </w:rPr>
      </w:pPr>
    </w:p>
    <w:p w14:paraId="04DAFD3C">
      <w:pPr>
        <w:pStyle w:val="35"/>
        <w:rPr>
          <w:rFonts w:hint="eastAsia"/>
          <w:color w:val="auto"/>
          <w:highlight w:val="none"/>
        </w:rPr>
      </w:pPr>
    </w:p>
    <w:p w14:paraId="51E24CDC">
      <w:pPr>
        <w:pStyle w:val="35"/>
        <w:rPr>
          <w:rFonts w:hint="eastAsia"/>
          <w:color w:val="auto"/>
          <w:highlight w:val="none"/>
        </w:rPr>
      </w:pPr>
    </w:p>
    <w:p w14:paraId="1AC1942E">
      <w:pPr>
        <w:pStyle w:val="35"/>
        <w:rPr>
          <w:rFonts w:hint="eastAsia"/>
          <w:color w:val="auto"/>
          <w:highlight w:val="none"/>
        </w:rPr>
      </w:pPr>
    </w:p>
    <w:p w14:paraId="4722E259">
      <w:pPr>
        <w:pStyle w:val="35"/>
        <w:rPr>
          <w:rFonts w:hint="eastAsia"/>
          <w:color w:val="auto"/>
          <w:highlight w:val="none"/>
        </w:rPr>
      </w:pPr>
    </w:p>
    <w:p w14:paraId="07033BD3">
      <w:pPr>
        <w:pStyle w:val="35"/>
        <w:rPr>
          <w:rFonts w:hint="eastAsia"/>
          <w:color w:val="auto"/>
          <w:highlight w:val="none"/>
        </w:rPr>
      </w:pPr>
    </w:p>
    <w:p w14:paraId="6E1D094D">
      <w:pPr>
        <w:pStyle w:val="35"/>
        <w:rPr>
          <w:rFonts w:hint="eastAsia"/>
          <w:color w:val="auto"/>
          <w:highlight w:val="none"/>
        </w:rPr>
      </w:pPr>
    </w:p>
    <w:p w14:paraId="23B0DB54">
      <w:pPr>
        <w:pStyle w:val="35"/>
        <w:rPr>
          <w:rFonts w:hint="eastAsia"/>
          <w:color w:val="auto"/>
          <w:highlight w:val="none"/>
        </w:rPr>
      </w:pPr>
    </w:p>
    <w:p w14:paraId="07159DF6">
      <w:pPr>
        <w:pStyle w:val="35"/>
        <w:rPr>
          <w:rFonts w:hint="eastAsia"/>
          <w:color w:val="auto"/>
          <w:highlight w:val="none"/>
        </w:rPr>
      </w:pPr>
    </w:p>
    <w:p w14:paraId="44B3A5AA">
      <w:pPr>
        <w:pStyle w:val="35"/>
        <w:rPr>
          <w:rFonts w:hint="eastAsia"/>
          <w:color w:val="auto"/>
          <w:highlight w:val="none"/>
        </w:rPr>
      </w:pPr>
    </w:p>
    <w:p w14:paraId="05BB178A">
      <w:pPr>
        <w:pStyle w:val="35"/>
        <w:rPr>
          <w:rFonts w:hint="eastAsia"/>
          <w:color w:val="auto"/>
          <w:highlight w:val="none"/>
        </w:rPr>
      </w:pPr>
    </w:p>
    <w:p w14:paraId="0E7980AB">
      <w:pPr>
        <w:pStyle w:val="35"/>
        <w:rPr>
          <w:rFonts w:hint="eastAsia"/>
          <w:color w:val="auto"/>
          <w:highlight w:val="none"/>
        </w:rPr>
      </w:pPr>
    </w:p>
    <w:p w14:paraId="5A09B930">
      <w:pPr>
        <w:pStyle w:val="35"/>
        <w:rPr>
          <w:rFonts w:hint="eastAsia"/>
          <w:color w:val="auto"/>
          <w:highlight w:val="none"/>
        </w:rPr>
      </w:pPr>
    </w:p>
    <w:p w14:paraId="3FB1F62E">
      <w:pPr>
        <w:pStyle w:val="35"/>
        <w:rPr>
          <w:rFonts w:hint="eastAsia"/>
          <w:color w:val="auto"/>
          <w:highlight w:val="none"/>
        </w:rPr>
      </w:pPr>
    </w:p>
    <w:p w14:paraId="43B020C2">
      <w:pPr>
        <w:pStyle w:val="35"/>
        <w:rPr>
          <w:rFonts w:hint="eastAsia"/>
          <w:color w:val="auto"/>
          <w:highlight w:val="none"/>
        </w:rPr>
      </w:pPr>
    </w:p>
    <w:p w14:paraId="04384634">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47D3EE">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79E32CA">
      <w:pPr>
        <w:autoSpaceDE w:val="0"/>
        <w:autoSpaceDN w:val="0"/>
        <w:adjustRightInd w:val="0"/>
        <w:rPr>
          <w:color w:val="auto"/>
          <w:sz w:val="21"/>
          <w:szCs w:val="24"/>
          <w:highlight w:val="none"/>
        </w:rPr>
      </w:pPr>
    </w:p>
    <w:p w14:paraId="2CC27B4B">
      <w:pPr>
        <w:autoSpaceDE w:val="0"/>
        <w:autoSpaceDN w:val="0"/>
        <w:adjustRightInd w:val="0"/>
        <w:rPr>
          <w:color w:val="auto"/>
          <w:sz w:val="21"/>
          <w:szCs w:val="24"/>
          <w:highlight w:val="none"/>
        </w:rPr>
      </w:pPr>
    </w:p>
    <w:p w14:paraId="63CA31F9">
      <w:pPr>
        <w:autoSpaceDE w:val="0"/>
        <w:autoSpaceDN w:val="0"/>
        <w:adjustRightInd w:val="0"/>
        <w:jc w:val="center"/>
        <w:rPr>
          <w:color w:val="auto"/>
          <w:sz w:val="21"/>
          <w:szCs w:val="24"/>
          <w:highlight w:val="none"/>
        </w:rPr>
      </w:pPr>
    </w:p>
    <w:p w14:paraId="0F2A8793">
      <w:pPr>
        <w:pStyle w:val="2"/>
        <w:bidi w:val="0"/>
        <w:spacing w:line="360" w:lineRule="auto"/>
        <w:rPr>
          <w:rFonts w:hint="eastAsia" w:ascii="黑体" w:hAnsi="黑体" w:eastAsia="黑体" w:cs="黑体"/>
          <w:color w:val="auto"/>
          <w:sz w:val="72"/>
          <w:szCs w:val="72"/>
          <w:highlight w:val="none"/>
        </w:rPr>
      </w:pPr>
      <w:bookmarkStart w:id="545" w:name="_Toc2518"/>
      <w:r>
        <w:rPr>
          <w:rFonts w:hint="eastAsia" w:ascii="黑体" w:hAnsi="黑体" w:eastAsia="黑体" w:cs="黑体"/>
          <w:color w:val="auto"/>
          <w:sz w:val="72"/>
          <w:szCs w:val="72"/>
          <w:highlight w:val="none"/>
          <w:lang w:val="en-US" w:eastAsia="zh-CN"/>
        </w:rPr>
        <w:t>响 应</w:t>
      </w:r>
      <w:r>
        <w:rPr>
          <w:rFonts w:hint="eastAsia" w:ascii="黑体" w:hAnsi="黑体" w:eastAsia="黑体" w:cs="黑体"/>
          <w:color w:val="auto"/>
          <w:sz w:val="72"/>
          <w:szCs w:val="72"/>
          <w:highlight w:val="none"/>
        </w:rPr>
        <w:t xml:space="preserve"> 文 件</w:t>
      </w:r>
      <w:bookmarkEnd w:id="545"/>
    </w:p>
    <w:p w14:paraId="383861DE">
      <w:pPr>
        <w:pStyle w:val="2"/>
        <w:bidi w:val="0"/>
        <w:spacing w:line="360" w:lineRule="auto"/>
        <w:rPr>
          <w:rFonts w:hint="eastAsia" w:ascii="黑体" w:hAnsi="黑体" w:eastAsia="黑体" w:cs="黑体"/>
          <w:color w:val="auto"/>
          <w:sz w:val="72"/>
          <w:szCs w:val="72"/>
          <w:highlight w:val="none"/>
          <w:lang w:val="en-US" w:eastAsia="zh-CN"/>
        </w:rPr>
      </w:pPr>
      <w:bookmarkStart w:id="546" w:name="_Toc9782"/>
      <w:r>
        <w:rPr>
          <w:rFonts w:hint="eastAsia" w:ascii="黑体" w:hAnsi="黑体" w:eastAsia="黑体" w:cs="黑体"/>
          <w:color w:val="auto"/>
          <w:sz w:val="72"/>
          <w:szCs w:val="72"/>
          <w:highlight w:val="none"/>
          <w:lang w:val="en-US" w:eastAsia="zh-CN"/>
        </w:rPr>
        <w:t>报价文件</w:t>
      </w:r>
      <w:bookmarkEnd w:id="546"/>
    </w:p>
    <w:p w14:paraId="213DD66C">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98A956E">
      <w:pPr>
        <w:pStyle w:val="3"/>
        <w:rPr>
          <w:color w:val="auto"/>
          <w:sz w:val="21"/>
          <w:szCs w:val="21"/>
          <w:highlight w:val="none"/>
        </w:rPr>
      </w:pPr>
    </w:p>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6C0FD82C">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 xml:space="preserve">年  </w:t>
      </w:r>
      <w:r>
        <w:rPr>
          <w:rFonts w:hint="eastAsia"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 xml:space="preserve"> 月    日</w:t>
      </w:r>
    </w:p>
    <w:p w14:paraId="2B025C97">
      <w:pPr>
        <w:rPr>
          <w:color w:val="auto"/>
          <w:highlight w:val="none"/>
          <w:lang w:val="zh-CN"/>
        </w:rPr>
      </w:pPr>
      <w:r>
        <w:rPr>
          <w:color w:val="auto"/>
          <w:highlight w:val="none"/>
          <w:lang w:val="zh-CN"/>
        </w:rPr>
        <w:br w:type="page"/>
      </w:r>
    </w:p>
    <w:p w14:paraId="73E6382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cstheme="majorBidi"/>
          <w:b/>
          <w:bCs/>
          <w:color w:val="auto"/>
          <w:kern w:val="2"/>
          <w:sz w:val="21"/>
          <w:szCs w:val="21"/>
          <w:highlight w:val="none"/>
          <w:lang w:val="en-US" w:eastAsia="zh-CN" w:bidi="ar-SA"/>
        </w:rPr>
      </w:pPr>
      <w:bookmarkStart w:id="547" w:name="_Toc8562"/>
      <w:bookmarkStart w:id="548" w:name="_Toc16501"/>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报价一览表</w:t>
      </w:r>
      <w:bookmarkEnd w:id="547"/>
      <w:bookmarkEnd w:id="548"/>
    </w:p>
    <w:p w14:paraId="2AB3D72A">
      <w:pPr>
        <w:spacing w:line="300" w:lineRule="auto"/>
        <w:rPr>
          <w:rFonts w:cs="仿宋_GB2312"/>
          <w:color w:val="auto"/>
          <w:szCs w:val="24"/>
          <w:highlight w:val="none"/>
        </w:rPr>
      </w:pPr>
    </w:p>
    <w:p w14:paraId="2E702B28">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D117C7C">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p w14:paraId="2B3A4DC5">
      <w:pPr>
        <w:rPr>
          <w:rFonts w:hint="eastAsia"/>
          <w:b w:val="0"/>
          <w:bCs/>
          <w:color w:val="auto"/>
          <w:szCs w:val="21"/>
          <w:highlight w:val="none"/>
          <w:u w:val="single"/>
          <w:lang w:val="zh-CN"/>
        </w:rPr>
      </w:pPr>
    </w:p>
    <w:tbl>
      <w:tblPr>
        <w:tblStyle w:val="28"/>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2581"/>
        <w:gridCol w:w="2372"/>
        <w:gridCol w:w="2866"/>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540" w:type="dxa"/>
            <w:vAlign w:val="center"/>
          </w:tcPr>
          <w:p w14:paraId="68B46E6E">
            <w:pPr>
              <w:widowControl/>
              <w:autoSpaceDE w:val="0"/>
              <w:autoSpaceDN w:val="0"/>
              <w:jc w:val="center"/>
              <w:textAlignment w:val="bottom"/>
              <w:rPr>
                <w:color w:val="auto"/>
                <w:szCs w:val="21"/>
                <w:highlight w:val="none"/>
              </w:rPr>
            </w:pPr>
            <w:r>
              <w:rPr>
                <w:rFonts w:hint="eastAsia"/>
                <w:color w:val="auto"/>
                <w:szCs w:val="21"/>
                <w:highlight w:val="none"/>
              </w:rPr>
              <w:t>序号</w:t>
            </w:r>
          </w:p>
        </w:tc>
        <w:tc>
          <w:tcPr>
            <w:tcW w:w="2581" w:type="dxa"/>
            <w:vAlign w:val="center"/>
          </w:tcPr>
          <w:p w14:paraId="5D10FF2E">
            <w:pPr>
              <w:widowControl/>
              <w:autoSpaceDE w:val="0"/>
              <w:autoSpaceDN w:val="0"/>
              <w:ind w:left="851" w:hanging="851"/>
              <w:jc w:val="center"/>
              <w:textAlignment w:val="bottom"/>
              <w:rPr>
                <w:color w:val="auto"/>
                <w:szCs w:val="21"/>
                <w:highlight w:val="none"/>
              </w:rPr>
            </w:pPr>
            <w:r>
              <w:rPr>
                <w:rFonts w:hint="eastAsia"/>
                <w:color w:val="auto"/>
                <w:szCs w:val="21"/>
                <w:highlight w:val="none"/>
                <w:lang w:val="en-US" w:eastAsia="zh-CN"/>
              </w:rPr>
              <w:t>谈判</w:t>
            </w:r>
            <w:r>
              <w:rPr>
                <w:rFonts w:hint="eastAsia"/>
                <w:color w:val="auto"/>
                <w:szCs w:val="21"/>
                <w:highlight w:val="none"/>
              </w:rPr>
              <w:t>报价</w:t>
            </w:r>
          </w:p>
        </w:tc>
        <w:tc>
          <w:tcPr>
            <w:tcW w:w="2372" w:type="dxa"/>
            <w:vAlign w:val="center"/>
          </w:tcPr>
          <w:p w14:paraId="48CC1886">
            <w:pPr>
              <w:widowControl/>
              <w:autoSpaceDE w:val="0"/>
              <w:autoSpaceDN w:val="0"/>
              <w:ind w:left="851" w:hanging="851"/>
              <w:jc w:val="center"/>
              <w:textAlignment w:val="bottom"/>
              <w:rPr>
                <w:color w:val="auto"/>
                <w:szCs w:val="21"/>
                <w:highlight w:val="none"/>
              </w:rPr>
            </w:pPr>
            <w:r>
              <w:rPr>
                <w:rFonts w:hint="eastAsia"/>
                <w:color w:val="auto"/>
                <w:szCs w:val="21"/>
                <w:highlight w:val="none"/>
              </w:rPr>
              <w:t>交货期限</w:t>
            </w:r>
          </w:p>
        </w:tc>
        <w:tc>
          <w:tcPr>
            <w:tcW w:w="2866" w:type="dxa"/>
            <w:vAlign w:val="center"/>
          </w:tcPr>
          <w:p w14:paraId="620875ED">
            <w:pPr>
              <w:widowControl/>
              <w:autoSpaceDE w:val="0"/>
              <w:autoSpaceDN w:val="0"/>
              <w:jc w:val="center"/>
              <w:textAlignment w:val="bottom"/>
              <w:rPr>
                <w:color w:val="auto"/>
                <w:szCs w:val="21"/>
                <w:highlight w:val="none"/>
              </w:rPr>
            </w:pPr>
            <w:r>
              <w:rPr>
                <w:rFonts w:hint="eastAsia"/>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540" w:type="dxa"/>
            <w:vAlign w:val="center"/>
          </w:tcPr>
          <w:p w14:paraId="73431128">
            <w:pPr>
              <w:jc w:val="center"/>
              <w:rPr>
                <w:color w:val="auto"/>
                <w:sz w:val="28"/>
                <w:highlight w:val="none"/>
              </w:rPr>
            </w:pPr>
          </w:p>
        </w:tc>
        <w:tc>
          <w:tcPr>
            <w:tcW w:w="2581" w:type="dxa"/>
            <w:vAlign w:val="center"/>
          </w:tcPr>
          <w:p w14:paraId="45A40F19">
            <w:pPr>
              <w:widowControl/>
              <w:autoSpaceDE w:val="0"/>
              <w:autoSpaceDN w:val="0"/>
              <w:spacing w:line="240" w:lineRule="auto"/>
              <w:ind w:left="851" w:hanging="851"/>
              <w:jc w:val="left"/>
              <w:textAlignment w:val="bottom"/>
              <w:rPr>
                <w:rFonts w:hint="eastAsia"/>
                <w:color w:val="auto"/>
                <w:szCs w:val="21"/>
                <w:highlight w:val="none"/>
                <w:lang w:val="en-US" w:eastAsia="zh-CN"/>
              </w:rPr>
            </w:pPr>
            <w:r>
              <w:rPr>
                <w:rFonts w:hint="eastAsia"/>
                <w:color w:val="auto"/>
                <w:szCs w:val="21"/>
                <w:highlight w:val="none"/>
                <w:lang w:val="en-US" w:eastAsia="zh-CN"/>
              </w:rPr>
              <w:t>小写：</w:t>
            </w:r>
          </w:p>
          <w:p w14:paraId="131FC705">
            <w:pPr>
              <w:jc w:val="left"/>
              <w:rPr>
                <w:color w:val="auto"/>
                <w:sz w:val="28"/>
                <w:highlight w:val="none"/>
              </w:rPr>
            </w:pPr>
            <w:r>
              <w:rPr>
                <w:rFonts w:hint="eastAsia"/>
                <w:color w:val="auto"/>
                <w:szCs w:val="21"/>
                <w:highlight w:val="none"/>
                <w:lang w:val="en-US" w:eastAsia="zh-CN"/>
              </w:rPr>
              <w:t>大写：</w:t>
            </w:r>
          </w:p>
        </w:tc>
        <w:tc>
          <w:tcPr>
            <w:tcW w:w="2372" w:type="dxa"/>
            <w:vAlign w:val="center"/>
          </w:tcPr>
          <w:p w14:paraId="3409D243">
            <w:pPr>
              <w:jc w:val="center"/>
              <w:rPr>
                <w:color w:val="auto"/>
                <w:sz w:val="28"/>
                <w:highlight w:val="none"/>
              </w:rPr>
            </w:pPr>
          </w:p>
        </w:tc>
        <w:tc>
          <w:tcPr>
            <w:tcW w:w="2866" w:type="dxa"/>
            <w:vAlign w:val="center"/>
          </w:tcPr>
          <w:p w14:paraId="35602B49">
            <w:pPr>
              <w:jc w:val="center"/>
              <w:rPr>
                <w:color w:val="auto"/>
                <w:sz w:val="28"/>
                <w:highlight w:val="none"/>
              </w:rPr>
            </w:pPr>
          </w:p>
        </w:tc>
      </w:tr>
    </w:tbl>
    <w:p w14:paraId="486E37D7">
      <w:pPr>
        <w:spacing w:line="300" w:lineRule="auto"/>
        <w:rPr>
          <w:rFonts w:ascii="Arial" w:hAnsi="Arial" w:cs="Arial"/>
          <w:color w:val="auto"/>
          <w:szCs w:val="21"/>
          <w:highlight w:val="none"/>
          <w:u w:val="single"/>
        </w:rPr>
      </w:pPr>
    </w:p>
    <w:p w14:paraId="2F515AB7">
      <w:pPr>
        <w:spacing w:line="300" w:lineRule="auto"/>
        <w:jc w:val="right"/>
        <w:rPr>
          <w:rFonts w:hint="eastAsia" w:ascii="Arial" w:hAnsi="Arial" w:cs="Arial"/>
          <w:color w:val="auto"/>
          <w:szCs w:val="21"/>
          <w:highlight w:val="none"/>
          <w:lang w:val="en-US" w:eastAsia="zh-CN"/>
        </w:rPr>
      </w:pPr>
    </w:p>
    <w:p w14:paraId="0270EFB4">
      <w:pPr>
        <w:spacing w:line="300" w:lineRule="auto"/>
        <w:jc w:val="right"/>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1"/>
        <w:rPr>
          <w:rFonts w:cs="Arial"/>
          <w:color w:val="auto"/>
          <w:szCs w:val="24"/>
          <w:highlight w:val="none"/>
        </w:rPr>
      </w:pPr>
    </w:p>
    <w:p w14:paraId="4C551945">
      <w:pPr>
        <w:pStyle w:val="11"/>
        <w:rPr>
          <w:rFonts w:cs="Arial"/>
          <w:color w:val="auto"/>
          <w:szCs w:val="24"/>
          <w:highlight w:val="none"/>
        </w:rPr>
      </w:pPr>
    </w:p>
    <w:p w14:paraId="09ACCEBB">
      <w:pPr>
        <w:pStyle w:val="11"/>
        <w:rPr>
          <w:rFonts w:cs="Arial"/>
          <w:color w:val="auto"/>
          <w:szCs w:val="24"/>
          <w:highlight w:val="none"/>
        </w:rPr>
      </w:pPr>
    </w:p>
    <w:p w14:paraId="54CAC625">
      <w:pPr>
        <w:pStyle w:val="11"/>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1266F1C5">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1.上述</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报价内容根据</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文件要求包括了货物及其配套的设计、采购、制造、检测、试验、运输、保险、仓储、税费以及现场落地、安装及安装耗损、调试、培训、技术服务（包括技术资料、图纸的提供）质保期内的售后服务保障等所有费用。</w:t>
      </w:r>
    </w:p>
    <w:p w14:paraId="26C7BD91">
      <w:pPr>
        <w:pStyle w:val="11"/>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2.特殊事项在备注中注明。</w:t>
      </w:r>
    </w:p>
    <w:p w14:paraId="56ADDAE7">
      <w:pPr>
        <w:pStyle w:val="1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3.表中大写与小写不一致的，以大写为准</w:t>
      </w:r>
      <w:r>
        <w:rPr>
          <w:rFonts w:hint="eastAsia" w:ascii="宋体" w:hAnsi="宋体" w:eastAsia="宋体" w:cs="宋体"/>
          <w:color w:val="auto"/>
          <w:sz w:val="21"/>
          <w:szCs w:val="21"/>
          <w:highlight w:val="none"/>
        </w:rPr>
        <w:t>。</w:t>
      </w:r>
    </w:p>
    <w:p w14:paraId="5C45EAC1">
      <w:pPr>
        <w:pStyle w:val="11"/>
        <w:ind w:firstLine="480" w:firstLineChars="200"/>
        <w:rPr>
          <w:rFonts w:hint="eastAsia" w:ascii="宋体" w:hAnsi="宋体" w:eastAsia="宋体" w:cs="宋体"/>
          <w:color w:val="auto"/>
          <w:sz w:val="24"/>
          <w:szCs w:val="24"/>
          <w:highlight w:val="none"/>
        </w:rPr>
      </w:pPr>
    </w:p>
    <w:p w14:paraId="584BFACD">
      <w:pPr>
        <w:pStyle w:val="11"/>
        <w:ind w:firstLine="480" w:firstLineChars="200"/>
        <w:rPr>
          <w:rFonts w:hint="eastAsia" w:ascii="宋体" w:hAnsi="宋体" w:eastAsia="宋体" w:cs="宋体"/>
          <w:color w:val="auto"/>
          <w:sz w:val="24"/>
          <w:szCs w:val="24"/>
          <w:highlight w:val="none"/>
        </w:rPr>
      </w:pPr>
    </w:p>
    <w:p w14:paraId="3426CDB6">
      <w:pPr>
        <w:pStyle w:val="11"/>
        <w:ind w:firstLine="480" w:firstLineChars="200"/>
        <w:rPr>
          <w:rFonts w:hint="eastAsia" w:ascii="宋体" w:hAnsi="宋体" w:eastAsia="宋体" w:cs="宋体"/>
          <w:color w:val="auto"/>
          <w:sz w:val="24"/>
          <w:szCs w:val="24"/>
          <w:highlight w:val="none"/>
        </w:rPr>
      </w:pPr>
    </w:p>
    <w:p w14:paraId="39260C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pgSz w:w="11906" w:h="16838"/>
          <w:pgMar w:top="1440" w:right="1196" w:bottom="1440" w:left="1196" w:header="851" w:footer="992" w:gutter="0"/>
          <w:pgNumType w:fmt="decimal"/>
          <w:cols w:space="425" w:num="1"/>
          <w:docGrid w:type="lines" w:linePitch="312" w:charSpace="0"/>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549" w:name="_Toc26650"/>
      <w:bookmarkStart w:id="550" w:name="_Toc22648"/>
      <w:r>
        <w:rPr>
          <w:rFonts w:hint="eastAsia" w:cstheme="majorBidi"/>
          <w:b/>
          <w:bCs/>
          <w:color w:val="auto"/>
          <w:kern w:val="2"/>
          <w:sz w:val="32"/>
          <w:szCs w:val="32"/>
          <w:highlight w:val="none"/>
          <w:lang w:val="en-US" w:eastAsia="zh-CN" w:bidi="ar-SA"/>
        </w:rPr>
        <w:t>分项报价表</w:t>
      </w:r>
      <w:bookmarkEnd w:id="549"/>
      <w:bookmarkEnd w:id="550"/>
    </w:p>
    <w:p w14:paraId="36B2988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48D45A94">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73E258D">
      <w:pPr>
        <w:rPr>
          <w:rFonts w:hint="eastAsia"/>
          <w:b w:val="0"/>
          <w:bCs/>
          <w:color w:val="auto"/>
          <w:szCs w:val="21"/>
          <w:highlight w:val="none"/>
          <w:u w:val="single"/>
          <w:lang w:val="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256"/>
        <w:gridCol w:w="1418"/>
        <w:gridCol w:w="1530"/>
        <w:gridCol w:w="1480"/>
        <w:gridCol w:w="1150"/>
        <w:gridCol w:w="1496"/>
      </w:tblGrid>
      <w:tr w14:paraId="3310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87" w:type="dxa"/>
            <w:vAlign w:val="center"/>
          </w:tcPr>
          <w:p w14:paraId="2D51E3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kern w:val="2"/>
                <w:sz w:val="24"/>
                <w:szCs w:val="24"/>
                <w:highlight w:val="none"/>
              </w:rPr>
              <w:t>序号</w:t>
            </w:r>
          </w:p>
        </w:tc>
        <w:tc>
          <w:tcPr>
            <w:tcW w:w="1256" w:type="dxa"/>
            <w:vAlign w:val="center"/>
          </w:tcPr>
          <w:p w14:paraId="31DAB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cs="宋体"/>
                <w:b w:val="0"/>
                <w:bCs/>
                <w:color w:val="auto"/>
                <w:sz w:val="24"/>
                <w:szCs w:val="24"/>
                <w:highlight w:val="none"/>
                <w:lang w:val="en-US" w:eastAsia="zh-CN"/>
              </w:rPr>
              <w:t>分项</w:t>
            </w:r>
            <w:r>
              <w:rPr>
                <w:rFonts w:hint="eastAsia" w:ascii="宋体" w:hAnsi="宋体" w:eastAsia="宋体" w:cs="宋体"/>
                <w:b w:val="0"/>
                <w:bCs/>
                <w:color w:val="auto"/>
                <w:sz w:val="24"/>
                <w:szCs w:val="24"/>
                <w:highlight w:val="none"/>
              </w:rPr>
              <w:t>名称</w:t>
            </w:r>
          </w:p>
        </w:tc>
        <w:tc>
          <w:tcPr>
            <w:tcW w:w="1418" w:type="dxa"/>
            <w:vAlign w:val="center"/>
          </w:tcPr>
          <w:p w14:paraId="264DE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cs="宋体"/>
                <w:b w:val="0"/>
                <w:bCs/>
                <w:color w:val="auto"/>
                <w:sz w:val="24"/>
                <w:szCs w:val="24"/>
                <w:highlight w:val="none"/>
                <w:lang w:val="en-US" w:eastAsia="zh-CN"/>
              </w:rPr>
              <w:t>产地/国别</w:t>
            </w:r>
          </w:p>
        </w:tc>
        <w:tc>
          <w:tcPr>
            <w:tcW w:w="1530" w:type="dxa"/>
            <w:vAlign w:val="center"/>
          </w:tcPr>
          <w:p w14:paraId="6B3AF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lang w:val="en-US" w:eastAsia="zh-CN"/>
              </w:rPr>
              <w:t>规格</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型号</w:t>
            </w:r>
          </w:p>
        </w:tc>
        <w:tc>
          <w:tcPr>
            <w:tcW w:w="1480" w:type="dxa"/>
            <w:vAlign w:val="center"/>
          </w:tcPr>
          <w:p w14:paraId="45014B84">
            <w:pPr>
              <w:spacing w:line="24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单价</w:t>
            </w:r>
          </w:p>
          <w:p w14:paraId="145DF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（元）</w:t>
            </w:r>
          </w:p>
        </w:tc>
        <w:tc>
          <w:tcPr>
            <w:tcW w:w="1150" w:type="dxa"/>
            <w:vAlign w:val="center"/>
          </w:tcPr>
          <w:p w14:paraId="3BCED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数量</w:t>
            </w:r>
          </w:p>
        </w:tc>
        <w:tc>
          <w:tcPr>
            <w:tcW w:w="1496" w:type="dxa"/>
            <w:vAlign w:val="center"/>
          </w:tcPr>
          <w:p w14:paraId="577D0E39">
            <w:pPr>
              <w:spacing w:line="240" w:lineRule="auto"/>
              <w:jc w:val="center"/>
              <w:rPr>
                <w:rFonts w:hint="default" w:ascii="宋体" w:hAnsi="宋体" w:eastAsia="宋体" w:cs="宋体"/>
                <w:b w:val="0"/>
                <w:bCs/>
                <w:color w:val="auto"/>
                <w:sz w:val="24"/>
                <w:szCs w:val="24"/>
                <w:highlight w:val="none"/>
                <w:lang w:val="en-US" w:eastAsia="zh-CN"/>
              </w:rPr>
            </w:pPr>
            <w:r>
              <w:rPr>
                <w:rFonts w:hint="eastAsia" w:cs="宋体"/>
                <w:b w:val="0"/>
                <w:bCs/>
                <w:color w:val="auto"/>
                <w:sz w:val="24"/>
                <w:szCs w:val="24"/>
                <w:highlight w:val="none"/>
                <w:lang w:val="en-US" w:eastAsia="zh-CN"/>
              </w:rPr>
              <w:t>合价</w:t>
            </w:r>
          </w:p>
          <w:p w14:paraId="2EC37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color w:val="auto"/>
                <w:szCs w:val="21"/>
                <w:highlight w:val="none"/>
                <w:u w:val="none"/>
                <w:vertAlign w:val="baseline"/>
                <w:lang w:val="zh-CN"/>
              </w:rPr>
            </w:pPr>
            <w:r>
              <w:rPr>
                <w:rFonts w:hint="eastAsia" w:ascii="宋体" w:hAnsi="宋体" w:eastAsia="宋体" w:cs="宋体"/>
                <w:b w:val="0"/>
                <w:bCs/>
                <w:color w:val="auto"/>
                <w:sz w:val="24"/>
                <w:szCs w:val="24"/>
                <w:highlight w:val="none"/>
              </w:rPr>
              <w:t>（元）</w:t>
            </w:r>
          </w:p>
        </w:tc>
      </w:tr>
      <w:tr w14:paraId="3DD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76007496">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1</w:t>
            </w:r>
          </w:p>
        </w:tc>
        <w:tc>
          <w:tcPr>
            <w:tcW w:w="1256" w:type="dxa"/>
            <w:vAlign w:val="center"/>
          </w:tcPr>
          <w:p w14:paraId="5185A0F8">
            <w:pPr>
              <w:jc w:val="center"/>
              <w:rPr>
                <w:rFonts w:hint="eastAsia"/>
                <w:b w:val="0"/>
                <w:bCs/>
                <w:color w:val="auto"/>
                <w:szCs w:val="21"/>
                <w:highlight w:val="none"/>
                <w:u w:val="none"/>
                <w:vertAlign w:val="baseline"/>
                <w:lang w:val="zh-CN"/>
              </w:rPr>
            </w:pPr>
          </w:p>
        </w:tc>
        <w:tc>
          <w:tcPr>
            <w:tcW w:w="1418" w:type="dxa"/>
            <w:vAlign w:val="center"/>
          </w:tcPr>
          <w:p w14:paraId="2042EBA7">
            <w:pPr>
              <w:jc w:val="center"/>
              <w:rPr>
                <w:rFonts w:hint="eastAsia"/>
                <w:b w:val="0"/>
                <w:bCs/>
                <w:color w:val="auto"/>
                <w:szCs w:val="21"/>
                <w:highlight w:val="none"/>
                <w:u w:val="none"/>
                <w:vertAlign w:val="baseline"/>
                <w:lang w:val="zh-CN"/>
              </w:rPr>
            </w:pPr>
          </w:p>
        </w:tc>
        <w:tc>
          <w:tcPr>
            <w:tcW w:w="1530" w:type="dxa"/>
            <w:vAlign w:val="center"/>
          </w:tcPr>
          <w:p w14:paraId="38890D30">
            <w:pPr>
              <w:jc w:val="center"/>
              <w:rPr>
                <w:rFonts w:hint="eastAsia"/>
                <w:b w:val="0"/>
                <w:bCs/>
                <w:color w:val="auto"/>
                <w:szCs w:val="21"/>
                <w:highlight w:val="none"/>
                <w:u w:val="none"/>
                <w:vertAlign w:val="baseline"/>
                <w:lang w:val="zh-CN"/>
              </w:rPr>
            </w:pPr>
          </w:p>
        </w:tc>
        <w:tc>
          <w:tcPr>
            <w:tcW w:w="1480" w:type="dxa"/>
            <w:vAlign w:val="center"/>
          </w:tcPr>
          <w:p w14:paraId="50753003">
            <w:pPr>
              <w:jc w:val="center"/>
              <w:rPr>
                <w:rFonts w:hint="eastAsia"/>
                <w:b w:val="0"/>
                <w:bCs/>
                <w:color w:val="auto"/>
                <w:szCs w:val="21"/>
                <w:highlight w:val="none"/>
                <w:u w:val="none"/>
                <w:vertAlign w:val="baseline"/>
                <w:lang w:val="zh-CN"/>
              </w:rPr>
            </w:pPr>
          </w:p>
        </w:tc>
        <w:tc>
          <w:tcPr>
            <w:tcW w:w="1150" w:type="dxa"/>
            <w:vAlign w:val="center"/>
          </w:tcPr>
          <w:p w14:paraId="722E72FF">
            <w:pPr>
              <w:jc w:val="center"/>
              <w:rPr>
                <w:rFonts w:hint="eastAsia"/>
                <w:b w:val="0"/>
                <w:bCs/>
                <w:color w:val="auto"/>
                <w:szCs w:val="21"/>
                <w:highlight w:val="none"/>
                <w:u w:val="none"/>
                <w:vertAlign w:val="baseline"/>
                <w:lang w:val="zh-CN"/>
              </w:rPr>
            </w:pPr>
          </w:p>
        </w:tc>
        <w:tc>
          <w:tcPr>
            <w:tcW w:w="1496" w:type="dxa"/>
            <w:vAlign w:val="center"/>
          </w:tcPr>
          <w:p w14:paraId="1F020DC5">
            <w:pPr>
              <w:jc w:val="center"/>
              <w:rPr>
                <w:rFonts w:hint="eastAsia"/>
                <w:b w:val="0"/>
                <w:bCs/>
                <w:color w:val="auto"/>
                <w:szCs w:val="21"/>
                <w:highlight w:val="none"/>
                <w:u w:val="none"/>
                <w:vertAlign w:val="baseline"/>
                <w:lang w:val="zh-CN"/>
              </w:rPr>
            </w:pPr>
          </w:p>
        </w:tc>
      </w:tr>
      <w:tr w14:paraId="327B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2DA2FC9F">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2</w:t>
            </w:r>
          </w:p>
        </w:tc>
        <w:tc>
          <w:tcPr>
            <w:tcW w:w="1256" w:type="dxa"/>
            <w:vAlign w:val="center"/>
          </w:tcPr>
          <w:p w14:paraId="022E3F12">
            <w:pPr>
              <w:jc w:val="center"/>
              <w:rPr>
                <w:rFonts w:hint="eastAsia"/>
                <w:b w:val="0"/>
                <w:bCs/>
                <w:color w:val="auto"/>
                <w:szCs w:val="21"/>
                <w:highlight w:val="none"/>
                <w:u w:val="none"/>
                <w:vertAlign w:val="baseline"/>
                <w:lang w:val="zh-CN"/>
              </w:rPr>
            </w:pPr>
          </w:p>
        </w:tc>
        <w:tc>
          <w:tcPr>
            <w:tcW w:w="1418" w:type="dxa"/>
            <w:vAlign w:val="center"/>
          </w:tcPr>
          <w:p w14:paraId="0C93B94B">
            <w:pPr>
              <w:jc w:val="center"/>
              <w:rPr>
                <w:rFonts w:hint="eastAsia"/>
                <w:b w:val="0"/>
                <w:bCs/>
                <w:color w:val="auto"/>
                <w:szCs w:val="21"/>
                <w:highlight w:val="none"/>
                <w:u w:val="none"/>
                <w:vertAlign w:val="baseline"/>
                <w:lang w:val="zh-CN"/>
              </w:rPr>
            </w:pPr>
          </w:p>
        </w:tc>
        <w:tc>
          <w:tcPr>
            <w:tcW w:w="1530" w:type="dxa"/>
            <w:vAlign w:val="center"/>
          </w:tcPr>
          <w:p w14:paraId="62DDA3C2">
            <w:pPr>
              <w:jc w:val="center"/>
              <w:rPr>
                <w:rFonts w:hint="eastAsia"/>
                <w:b w:val="0"/>
                <w:bCs/>
                <w:color w:val="auto"/>
                <w:szCs w:val="21"/>
                <w:highlight w:val="none"/>
                <w:u w:val="none"/>
                <w:vertAlign w:val="baseline"/>
                <w:lang w:val="zh-CN"/>
              </w:rPr>
            </w:pPr>
          </w:p>
        </w:tc>
        <w:tc>
          <w:tcPr>
            <w:tcW w:w="1480" w:type="dxa"/>
            <w:vAlign w:val="center"/>
          </w:tcPr>
          <w:p w14:paraId="703F39B0">
            <w:pPr>
              <w:jc w:val="center"/>
              <w:rPr>
                <w:rFonts w:hint="eastAsia"/>
                <w:b w:val="0"/>
                <w:bCs/>
                <w:color w:val="auto"/>
                <w:szCs w:val="21"/>
                <w:highlight w:val="none"/>
                <w:u w:val="none"/>
                <w:vertAlign w:val="baseline"/>
                <w:lang w:val="zh-CN"/>
              </w:rPr>
            </w:pPr>
          </w:p>
        </w:tc>
        <w:tc>
          <w:tcPr>
            <w:tcW w:w="1150" w:type="dxa"/>
            <w:vAlign w:val="center"/>
          </w:tcPr>
          <w:p w14:paraId="454AC89A">
            <w:pPr>
              <w:jc w:val="center"/>
              <w:rPr>
                <w:rFonts w:hint="eastAsia"/>
                <w:b w:val="0"/>
                <w:bCs/>
                <w:color w:val="auto"/>
                <w:szCs w:val="21"/>
                <w:highlight w:val="none"/>
                <w:u w:val="none"/>
                <w:vertAlign w:val="baseline"/>
                <w:lang w:val="zh-CN"/>
              </w:rPr>
            </w:pPr>
          </w:p>
        </w:tc>
        <w:tc>
          <w:tcPr>
            <w:tcW w:w="1496" w:type="dxa"/>
            <w:vAlign w:val="center"/>
          </w:tcPr>
          <w:p w14:paraId="3DE3EDC9">
            <w:pPr>
              <w:jc w:val="center"/>
              <w:rPr>
                <w:rFonts w:hint="eastAsia"/>
                <w:b w:val="0"/>
                <w:bCs/>
                <w:color w:val="auto"/>
                <w:szCs w:val="21"/>
                <w:highlight w:val="none"/>
                <w:u w:val="none"/>
                <w:vertAlign w:val="baseline"/>
                <w:lang w:val="zh-CN"/>
              </w:rPr>
            </w:pPr>
          </w:p>
        </w:tc>
      </w:tr>
      <w:tr w14:paraId="338F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288DC270">
            <w:pPr>
              <w:jc w:val="center"/>
              <w:rPr>
                <w:rFonts w:hint="eastAsia" w:eastAsia="宋体"/>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3</w:t>
            </w:r>
          </w:p>
        </w:tc>
        <w:tc>
          <w:tcPr>
            <w:tcW w:w="1256" w:type="dxa"/>
            <w:vAlign w:val="center"/>
          </w:tcPr>
          <w:p w14:paraId="296B3553">
            <w:pPr>
              <w:jc w:val="center"/>
              <w:rPr>
                <w:rFonts w:hint="eastAsia"/>
                <w:b w:val="0"/>
                <w:bCs/>
                <w:color w:val="auto"/>
                <w:szCs w:val="21"/>
                <w:highlight w:val="none"/>
                <w:u w:val="none"/>
                <w:vertAlign w:val="baseline"/>
                <w:lang w:val="zh-CN"/>
              </w:rPr>
            </w:pPr>
          </w:p>
        </w:tc>
        <w:tc>
          <w:tcPr>
            <w:tcW w:w="1418" w:type="dxa"/>
            <w:vAlign w:val="center"/>
          </w:tcPr>
          <w:p w14:paraId="6D34AAEE">
            <w:pPr>
              <w:jc w:val="center"/>
              <w:rPr>
                <w:rFonts w:hint="eastAsia"/>
                <w:b w:val="0"/>
                <w:bCs/>
                <w:color w:val="auto"/>
                <w:szCs w:val="21"/>
                <w:highlight w:val="none"/>
                <w:u w:val="none"/>
                <w:vertAlign w:val="baseline"/>
                <w:lang w:val="zh-CN"/>
              </w:rPr>
            </w:pPr>
          </w:p>
        </w:tc>
        <w:tc>
          <w:tcPr>
            <w:tcW w:w="1530" w:type="dxa"/>
            <w:vAlign w:val="center"/>
          </w:tcPr>
          <w:p w14:paraId="1030805C">
            <w:pPr>
              <w:jc w:val="center"/>
              <w:rPr>
                <w:rFonts w:hint="eastAsia"/>
                <w:b w:val="0"/>
                <w:bCs/>
                <w:color w:val="auto"/>
                <w:szCs w:val="21"/>
                <w:highlight w:val="none"/>
                <w:u w:val="none"/>
                <w:vertAlign w:val="baseline"/>
                <w:lang w:val="zh-CN"/>
              </w:rPr>
            </w:pPr>
          </w:p>
        </w:tc>
        <w:tc>
          <w:tcPr>
            <w:tcW w:w="1480" w:type="dxa"/>
            <w:vAlign w:val="center"/>
          </w:tcPr>
          <w:p w14:paraId="03FD13FA">
            <w:pPr>
              <w:jc w:val="center"/>
              <w:rPr>
                <w:rFonts w:hint="eastAsia"/>
                <w:b w:val="0"/>
                <w:bCs/>
                <w:color w:val="auto"/>
                <w:szCs w:val="21"/>
                <w:highlight w:val="none"/>
                <w:u w:val="none"/>
                <w:vertAlign w:val="baseline"/>
                <w:lang w:val="zh-CN"/>
              </w:rPr>
            </w:pPr>
          </w:p>
        </w:tc>
        <w:tc>
          <w:tcPr>
            <w:tcW w:w="1150" w:type="dxa"/>
            <w:vAlign w:val="center"/>
          </w:tcPr>
          <w:p w14:paraId="16B2BB13">
            <w:pPr>
              <w:jc w:val="center"/>
              <w:rPr>
                <w:rFonts w:hint="eastAsia"/>
                <w:b w:val="0"/>
                <w:bCs/>
                <w:color w:val="auto"/>
                <w:szCs w:val="21"/>
                <w:highlight w:val="none"/>
                <w:u w:val="none"/>
                <w:vertAlign w:val="baseline"/>
                <w:lang w:val="zh-CN"/>
              </w:rPr>
            </w:pPr>
          </w:p>
        </w:tc>
        <w:tc>
          <w:tcPr>
            <w:tcW w:w="1496" w:type="dxa"/>
            <w:vAlign w:val="center"/>
          </w:tcPr>
          <w:p w14:paraId="568E139E">
            <w:pPr>
              <w:jc w:val="center"/>
              <w:rPr>
                <w:rFonts w:hint="eastAsia"/>
                <w:b w:val="0"/>
                <w:bCs/>
                <w:color w:val="auto"/>
                <w:szCs w:val="21"/>
                <w:highlight w:val="none"/>
                <w:u w:val="none"/>
                <w:vertAlign w:val="baseline"/>
                <w:lang w:val="zh-CN"/>
              </w:rPr>
            </w:pPr>
          </w:p>
        </w:tc>
      </w:tr>
      <w:tr w14:paraId="42C3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0C125950">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4</w:t>
            </w:r>
          </w:p>
        </w:tc>
        <w:tc>
          <w:tcPr>
            <w:tcW w:w="1256" w:type="dxa"/>
            <w:vAlign w:val="center"/>
          </w:tcPr>
          <w:p w14:paraId="15DAFE63">
            <w:pPr>
              <w:jc w:val="center"/>
              <w:rPr>
                <w:rFonts w:hint="eastAsia"/>
                <w:b w:val="0"/>
                <w:bCs/>
                <w:color w:val="auto"/>
                <w:szCs w:val="21"/>
                <w:highlight w:val="none"/>
                <w:u w:val="none"/>
                <w:vertAlign w:val="baseline"/>
                <w:lang w:val="zh-CN"/>
              </w:rPr>
            </w:pPr>
          </w:p>
        </w:tc>
        <w:tc>
          <w:tcPr>
            <w:tcW w:w="1418" w:type="dxa"/>
            <w:vAlign w:val="center"/>
          </w:tcPr>
          <w:p w14:paraId="4CDA23AB">
            <w:pPr>
              <w:jc w:val="center"/>
              <w:rPr>
                <w:rFonts w:hint="eastAsia"/>
                <w:b w:val="0"/>
                <w:bCs/>
                <w:color w:val="auto"/>
                <w:szCs w:val="21"/>
                <w:highlight w:val="none"/>
                <w:u w:val="none"/>
                <w:vertAlign w:val="baseline"/>
                <w:lang w:val="zh-CN"/>
              </w:rPr>
            </w:pPr>
          </w:p>
        </w:tc>
        <w:tc>
          <w:tcPr>
            <w:tcW w:w="1530" w:type="dxa"/>
            <w:vAlign w:val="center"/>
          </w:tcPr>
          <w:p w14:paraId="16246DFE">
            <w:pPr>
              <w:jc w:val="center"/>
              <w:rPr>
                <w:rFonts w:hint="eastAsia"/>
                <w:b w:val="0"/>
                <w:bCs/>
                <w:color w:val="auto"/>
                <w:szCs w:val="21"/>
                <w:highlight w:val="none"/>
                <w:u w:val="none"/>
                <w:vertAlign w:val="baseline"/>
                <w:lang w:val="zh-CN"/>
              </w:rPr>
            </w:pPr>
          </w:p>
        </w:tc>
        <w:tc>
          <w:tcPr>
            <w:tcW w:w="1480" w:type="dxa"/>
            <w:vAlign w:val="center"/>
          </w:tcPr>
          <w:p w14:paraId="667E660E">
            <w:pPr>
              <w:jc w:val="center"/>
              <w:rPr>
                <w:rFonts w:hint="eastAsia"/>
                <w:b w:val="0"/>
                <w:bCs/>
                <w:color w:val="auto"/>
                <w:szCs w:val="21"/>
                <w:highlight w:val="none"/>
                <w:u w:val="none"/>
                <w:vertAlign w:val="baseline"/>
                <w:lang w:val="zh-CN"/>
              </w:rPr>
            </w:pPr>
          </w:p>
        </w:tc>
        <w:tc>
          <w:tcPr>
            <w:tcW w:w="1150" w:type="dxa"/>
            <w:vAlign w:val="center"/>
          </w:tcPr>
          <w:p w14:paraId="0AB67270">
            <w:pPr>
              <w:jc w:val="center"/>
              <w:rPr>
                <w:rFonts w:hint="eastAsia"/>
                <w:b w:val="0"/>
                <w:bCs/>
                <w:color w:val="auto"/>
                <w:szCs w:val="21"/>
                <w:highlight w:val="none"/>
                <w:u w:val="none"/>
                <w:vertAlign w:val="baseline"/>
                <w:lang w:val="zh-CN"/>
              </w:rPr>
            </w:pPr>
          </w:p>
        </w:tc>
        <w:tc>
          <w:tcPr>
            <w:tcW w:w="1496" w:type="dxa"/>
            <w:vAlign w:val="center"/>
          </w:tcPr>
          <w:p w14:paraId="2CD8830B">
            <w:pPr>
              <w:jc w:val="center"/>
              <w:rPr>
                <w:rFonts w:hint="eastAsia"/>
                <w:b w:val="0"/>
                <w:bCs/>
                <w:color w:val="auto"/>
                <w:szCs w:val="21"/>
                <w:highlight w:val="none"/>
                <w:u w:val="none"/>
                <w:vertAlign w:val="baseline"/>
                <w:lang w:val="zh-CN"/>
              </w:rPr>
            </w:pPr>
          </w:p>
        </w:tc>
      </w:tr>
      <w:tr w14:paraId="5D11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6CAC30B4">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5</w:t>
            </w:r>
          </w:p>
        </w:tc>
        <w:tc>
          <w:tcPr>
            <w:tcW w:w="1256" w:type="dxa"/>
            <w:vAlign w:val="center"/>
          </w:tcPr>
          <w:p w14:paraId="3FB10D43">
            <w:pPr>
              <w:jc w:val="center"/>
              <w:rPr>
                <w:rFonts w:hint="eastAsia"/>
                <w:b w:val="0"/>
                <w:bCs/>
                <w:color w:val="auto"/>
                <w:szCs w:val="21"/>
                <w:highlight w:val="none"/>
                <w:u w:val="none"/>
                <w:vertAlign w:val="baseline"/>
                <w:lang w:val="zh-CN"/>
              </w:rPr>
            </w:pPr>
          </w:p>
        </w:tc>
        <w:tc>
          <w:tcPr>
            <w:tcW w:w="1418" w:type="dxa"/>
            <w:vAlign w:val="center"/>
          </w:tcPr>
          <w:p w14:paraId="0DB29551">
            <w:pPr>
              <w:jc w:val="center"/>
              <w:rPr>
                <w:rFonts w:hint="eastAsia"/>
                <w:b w:val="0"/>
                <w:bCs/>
                <w:color w:val="auto"/>
                <w:szCs w:val="21"/>
                <w:highlight w:val="none"/>
                <w:u w:val="none"/>
                <w:vertAlign w:val="baseline"/>
                <w:lang w:val="zh-CN"/>
              </w:rPr>
            </w:pPr>
          </w:p>
        </w:tc>
        <w:tc>
          <w:tcPr>
            <w:tcW w:w="1530" w:type="dxa"/>
            <w:vAlign w:val="center"/>
          </w:tcPr>
          <w:p w14:paraId="2C65F4A3">
            <w:pPr>
              <w:jc w:val="center"/>
              <w:rPr>
                <w:rFonts w:hint="eastAsia"/>
                <w:b w:val="0"/>
                <w:bCs/>
                <w:color w:val="auto"/>
                <w:szCs w:val="21"/>
                <w:highlight w:val="none"/>
                <w:u w:val="none"/>
                <w:vertAlign w:val="baseline"/>
                <w:lang w:val="zh-CN"/>
              </w:rPr>
            </w:pPr>
          </w:p>
        </w:tc>
        <w:tc>
          <w:tcPr>
            <w:tcW w:w="1480" w:type="dxa"/>
            <w:vAlign w:val="center"/>
          </w:tcPr>
          <w:p w14:paraId="26EF7EA0">
            <w:pPr>
              <w:jc w:val="center"/>
              <w:rPr>
                <w:rFonts w:hint="eastAsia"/>
                <w:b w:val="0"/>
                <w:bCs/>
                <w:color w:val="auto"/>
                <w:szCs w:val="21"/>
                <w:highlight w:val="none"/>
                <w:u w:val="none"/>
                <w:vertAlign w:val="baseline"/>
                <w:lang w:val="zh-CN"/>
              </w:rPr>
            </w:pPr>
          </w:p>
        </w:tc>
        <w:tc>
          <w:tcPr>
            <w:tcW w:w="1150" w:type="dxa"/>
            <w:vAlign w:val="center"/>
          </w:tcPr>
          <w:p w14:paraId="00B89591">
            <w:pPr>
              <w:jc w:val="center"/>
              <w:rPr>
                <w:rFonts w:hint="eastAsia"/>
                <w:b w:val="0"/>
                <w:bCs/>
                <w:color w:val="auto"/>
                <w:szCs w:val="21"/>
                <w:highlight w:val="none"/>
                <w:u w:val="none"/>
                <w:vertAlign w:val="baseline"/>
                <w:lang w:val="zh-CN"/>
              </w:rPr>
            </w:pPr>
          </w:p>
        </w:tc>
        <w:tc>
          <w:tcPr>
            <w:tcW w:w="1496" w:type="dxa"/>
            <w:vAlign w:val="center"/>
          </w:tcPr>
          <w:p w14:paraId="54182B1F">
            <w:pPr>
              <w:jc w:val="center"/>
              <w:rPr>
                <w:rFonts w:hint="eastAsia"/>
                <w:b w:val="0"/>
                <w:bCs/>
                <w:color w:val="auto"/>
                <w:szCs w:val="21"/>
                <w:highlight w:val="none"/>
                <w:u w:val="none"/>
                <w:vertAlign w:val="baseline"/>
                <w:lang w:val="zh-CN"/>
              </w:rPr>
            </w:pPr>
          </w:p>
        </w:tc>
      </w:tr>
      <w:tr w14:paraId="301D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7EA94A24">
            <w:pPr>
              <w:jc w:val="center"/>
              <w:rPr>
                <w:rFonts w:hint="default"/>
                <w:b w:val="0"/>
                <w:bCs/>
                <w:color w:val="auto"/>
                <w:szCs w:val="21"/>
                <w:highlight w:val="none"/>
                <w:u w:val="none"/>
                <w:vertAlign w:val="baseline"/>
                <w:lang w:val="en-US" w:eastAsia="zh-CN"/>
              </w:rPr>
            </w:pPr>
            <w:r>
              <w:rPr>
                <w:rFonts w:hint="eastAsia"/>
                <w:b w:val="0"/>
                <w:bCs/>
                <w:color w:val="auto"/>
                <w:szCs w:val="21"/>
                <w:highlight w:val="none"/>
                <w:u w:val="none"/>
                <w:vertAlign w:val="baseline"/>
                <w:lang w:val="en-US" w:eastAsia="zh-CN"/>
              </w:rPr>
              <w:t>6</w:t>
            </w:r>
          </w:p>
        </w:tc>
        <w:tc>
          <w:tcPr>
            <w:tcW w:w="1256" w:type="dxa"/>
            <w:vAlign w:val="center"/>
          </w:tcPr>
          <w:p w14:paraId="3B5CDE55">
            <w:pPr>
              <w:jc w:val="center"/>
              <w:rPr>
                <w:rFonts w:hint="eastAsia"/>
                <w:b w:val="0"/>
                <w:bCs/>
                <w:color w:val="auto"/>
                <w:szCs w:val="21"/>
                <w:highlight w:val="none"/>
                <w:u w:val="none"/>
                <w:vertAlign w:val="baseline"/>
                <w:lang w:val="zh-CN"/>
              </w:rPr>
            </w:pPr>
          </w:p>
        </w:tc>
        <w:tc>
          <w:tcPr>
            <w:tcW w:w="1418" w:type="dxa"/>
            <w:vAlign w:val="center"/>
          </w:tcPr>
          <w:p w14:paraId="2F301FFC">
            <w:pPr>
              <w:jc w:val="center"/>
              <w:rPr>
                <w:rFonts w:hint="eastAsia"/>
                <w:b w:val="0"/>
                <w:bCs/>
                <w:color w:val="auto"/>
                <w:szCs w:val="21"/>
                <w:highlight w:val="none"/>
                <w:u w:val="none"/>
                <w:vertAlign w:val="baseline"/>
                <w:lang w:val="zh-CN"/>
              </w:rPr>
            </w:pPr>
          </w:p>
        </w:tc>
        <w:tc>
          <w:tcPr>
            <w:tcW w:w="1530" w:type="dxa"/>
            <w:vAlign w:val="center"/>
          </w:tcPr>
          <w:p w14:paraId="0734D7CF">
            <w:pPr>
              <w:jc w:val="center"/>
              <w:rPr>
                <w:rFonts w:hint="eastAsia"/>
                <w:b w:val="0"/>
                <w:bCs/>
                <w:color w:val="auto"/>
                <w:szCs w:val="21"/>
                <w:highlight w:val="none"/>
                <w:u w:val="none"/>
                <w:vertAlign w:val="baseline"/>
                <w:lang w:val="zh-CN"/>
              </w:rPr>
            </w:pPr>
          </w:p>
        </w:tc>
        <w:tc>
          <w:tcPr>
            <w:tcW w:w="1480" w:type="dxa"/>
            <w:vAlign w:val="center"/>
          </w:tcPr>
          <w:p w14:paraId="6B88051D">
            <w:pPr>
              <w:jc w:val="center"/>
              <w:rPr>
                <w:rFonts w:hint="eastAsia"/>
                <w:b w:val="0"/>
                <w:bCs/>
                <w:color w:val="auto"/>
                <w:szCs w:val="21"/>
                <w:highlight w:val="none"/>
                <w:u w:val="none"/>
                <w:vertAlign w:val="baseline"/>
                <w:lang w:val="zh-CN"/>
              </w:rPr>
            </w:pPr>
          </w:p>
        </w:tc>
        <w:tc>
          <w:tcPr>
            <w:tcW w:w="1150" w:type="dxa"/>
            <w:vAlign w:val="center"/>
          </w:tcPr>
          <w:p w14:paraId="4D587CF2">
            <w:pPr>
              <w:jc w:val="center"/>
              <w:rPr>
                <w:rFonts w:hint="eastAsia"/>
                <w:b w:val="0"/>
                <w:bCs/>
                <w:color w:val="auto"/>
                <w:szCs w:val="21"/>
                <w:highlight w:val="none"/>
                <w:u w:val="none"/>
                <w:vertAlign w:val="baseline"/>
                <w:lang w:val="zh-CN"/>
              </w:rPr>
            </w:pPr>
          </w:p>
        </w:tc>
        <w:tc>
          <w:tcPr>
            <w:tcW w:w="1496" w:type="dxa"/>
            <w:vAlign w:val="center"/>
          </w:tcPr>
          <w:p w14:paraId="3808F91F">
            <w:pPr>
              <w:jc w:val="center"/>
              <w:rPr>
                <w:rFonts w:hint="eastAsia"/>
                <w:b w:val="0"/>
                <w:bCs/>
                <w:color w:val="auto"/>
                <w:szCs w:val="21"/>
                <w:highlight w:val="none"/>
                <w:u w:val="none"/>
                <w:vertAlign w:val="baseline"/>
                <w:lang w:val="zh-CN"/>
              </w:rPr>
            </w:pPr>
          </w:p>
        </w:tc>
      </w:tr>
      <w:tr w14:paraId="24D4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87" w:type="dxa"/>
            <w:vAlign w:val="center"/>
          </w:tcPr>
          <w:p w14:paraId="0CA1058F">
            <w:pPr>
              <w:jc w:val="center"/>
              <w:rPr>
                <w:rFonts w:hint="eastAsia"/>
                <w:b w:val="0"/>
                <w:bCs/>
                <w:color w:val="auto"/>
                <w:szCs w:val="21"/>
                <w:highlight w:val="none"/>
                <w:u w:val="none"/>
                <w:vertAlign w:val="baseline"/>
                <w:lang w:val="zh-CN"/>
              </w:rPr>
            </w:pPr>
            <w:r>
              <w:rPr>
                <w:rFonts w:hint="default" w:ascii="Arial" w:hAnsi="Arial" w:cs="Arial"/>
                <w:b w:val="0"/>
                <w:bCs/>
                <w:color w:val="auto"/>
                <w:szCs w:val="21"/>
                <w:highlight w:val="none"/>
                <w:u w:val="none"/>
                <w:vertAlign w:val="baseline"/>
                <w:lang w:val="zh-CN"/>
              </w:rPr>
              <w:t>…</w:t>
            </w:r>
          </w:p>
        </w:tc>
        <w:tc>
          <w:tcPr>
            <w:tcW w:w="1256" w:type="dxa"/>
            <w:vAlign w:val="center"/>
          </w:tcPr>
          <w:p w14:paraId="07D6C3C7">
            <w:pPr>
              <w:jc w:val="center"/>
              <w:rPr>
                <w:rFonts w:hint="eastAsia"/>
                <w:b w:val="0"/>
                <w:bCs/>
                <w:color w:val="auto"/>
                <w:szCs w:val="21"/>
                <w:highlight w:val="none"/>
                <w:u w:val="none"/>
                <w:vertAlign w:val="baseline"/>
                <w:lang w:val="zh-CN"/>
              </w:rPr>
            </w:pPr>
          </w:p>
        </w:tc>
        <w:tc>
          <w:tcPr>
            <w:tcW w:w="1418" w:type="dxa"/>
            <w:vAlign w:val="center"/>
          </w:tcPr>
          <w:p w14:paraId="6008D212">
            <w:pPr>
              <w:jc w:val="center"/>
              <w:rPr>
                <w:rFonts w:hint="eastAsia"/>
                <w:b w:val="0"/>
                <w:bCs/>
                <w:color w:val="auto"/>
                <w:szCs w:val="21"/>
                <w:highlight w:val="none"/>
                <w:u w:val="none"/>
                <w:vertAlign w:val="baseline"/>
                <w:lang w:val="zh-CN"/>
              </w:rPr>
            </w:pPr>
          </w:p>
        </w:tc>
        <w:tc>
          <w:tcPr>
            <w:tcW w:w="1530" w:type="dxa"/>
            <w:vAlign w:val="center"/>
          </w:tcPr>
          <w:p w14:paraId="77514C69">
            <w:pPr>
              <w:jc w:val="center"/>
              <w:rPr>
                <w:rFonts w:hint="eastAsia"/>
                <w:b w:val="0"/>
                <w:bCs/>
                <w:color w:val="auto"/>
                <w:szCs w:val="21"/>
                <w:highlight w:val="none"/>
                <w:u w:val="none"/>
                <w:vertAlign w:val="baseline"/>
                <w:lang w:val="zh-CN"/>
              </w:rPr>
            </w:pPr>
          </w:p>
        </w:tc>
        <w:tc>
          <w:tcPr>
            <w:tcW w:w="1480" w:type="dxa"/>
            <w:vAlign w:val="center"/>
          </w:tcPr>
          <w:p w14:paraId="3C51E7DE">
            <w:pPr>
              <w:jc w:val="center"/>
              <w:rPr>
                <w:rFonts w:hint="eastAsia"/>
                <w:b w:val="0"/>
                <w:bCs/>
                <w:color w:val="auto"/>
                <w:szCs w:val="21"/>
                <w:highlight w:val="none"/>
                <w:u w:val="none"/>
                <w:vertAlign w:val="baseline"/>
                <w:lang w:val="zh-CN"/>
              </w:rPr>
            </w:pPr>
          </w:p>
        </w:tc>
        <w:tc>
          <w:tcPr>
            <w:tcW w:w="1150" w:type="dxa"/>
            <w:vAlign w:val="center"/>
          </w:tcPr>
          <w:p w14:paraId="1C3D14DE">
            <w:pPr>
              <w:jc w:val="center"/>
              <w:rPr>
                <w:rFonts w:hint="eastAsia"/>
                <w:b w:val="0"/>
                <w:bCs/>
                <w:color w:val="auto"/>
                <w:szCs w:val="21"/>
                <w:highlight w:val="none"/>
                <w:u w:val="none"/>
                <w:vertAlign w:val="baseline"/>
                <w:lang w:val="zh-CN"/>
              </w:rPr>
            </w:pPr>
          </w:p>
        </w:tc>
        <w:tc>
          <w:tcPr>
            <w:tcW w:w="1496" w:type="dxa"/>
            <w:vAlign w:val="center"/>
          </w:tcPr>
          <w:p w14:paraId="7C3AA4BD">
            <w:pPr>
              <w:jc w:val="center"/>
              <w:rPr>
                <w:rFonts w:hint="eastAsia"/>
                <w:b w:val="0"/>
                <w:bCs/>
                <w:color w:val="auto"/>
                <w:szCs w:val="21"/>
                <w:highlight w:val="none"/>
                <w:u w:val="none"/>
                <w:vertAlign w:val="baseline"/>
                <w:lang w:val="zh-CN"/>
              </w:rPr>
            </w:pPr>
          </w:p>
        </w:tc>
      </w:tr>
    </w:tbl>
    <w:p w14:paraId="111A8E1A">
      <w:pPr>
        <w:spacing w:line="300" w:lineRule="auto"/>
        <w:rPr>
          <w:rFonts w:ascii="Arial" w:hAnsi="Arial" w:cs="Arial"/>
          <w:color w:val="auto"/>
          <w:szCs w:val="21"/>
          <w:highlight w:val="none"/>
        </w:rPr>
      </w:pPr>
    </w:p>
    <w:p w14:paraId="51101AF7">
      <w:pPr>
        <w:spacing w:line="300" w:lineRule="auto"/>
        <w:jc w:val="right"/>
        <w:rPr>
          <w:rFonts w:ascii="Arial" w:hAnsi="Arial" w:cs="Arial"/>
          <w:color w:val="auto"/>
          <w:szCs w:val="21"/>
          <w:highlight w:val="none"/>
        </w:rPr>
      </w:pPr>
      <w:r>
        <w:rPr>
          <w:rFonts w:hint="eastAsia" w:ascii="Arial" w:hAnsi="Arial" w:cs="Arial"/>
          <w:color w:val="auto"/>
          <w:szCs w:val="21"/>
          <w:highlight w:val="none"/>
          <w:lang w:val="en-US" w:eastAsia="zh-CN"/>
        </w:rPr>
        <w:t>供应商</w:t>
      </w:r>
      <w:r>
        <w:rPr>
          <w:rFonts w:ascii="Arial" w:hAnsi="Arial" w:cs="Arial"/>
          <w:color w:val="auto"/>
          <w:szCs w:val="21"/>
          <w:highlight w:val="none"/>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w:t>
      </w:r>
      <w:r>
        <w:rPr>
          <w:rFonts w:hint="eastAsia" w:ascii="宋体" w:hAnsi="宋体" w:eastAsia="宋体" w:cs="宋体"/>
          <w:color w:val="auto"/>
          <w:kern w:val="0"/>
          <w:sz w:val="24"/>
          <w:szCs w:val="24"/>
          <w:highlight w:val="none"/>
          <w:lang w:eastAsia="zh-CN"/>
        </w:rPr>
        <w:t>章）</w:t>
      </w:r>
      <w:r>
        <w:rPr>
          <w:rFonts w:ascii="Arial" w:hAnsi="Arial" w:cs="Arial"/>
          <w:color w:val="auto"/>
          <w:szCs w:val="21"/>
          <w:highlight w:val="none"/>
        </w:rPr>
        <w:t>：</w:t>
      </w:r>
    </w:p>
    <w:p w14:paraId="2F327AC4">
      <w:pPr>
        <w:spacing w:line="300" w:lineRule="auto"/>
        <w:jc w:val="right"/>
        <w:rPr>
          <w:rFonts w:ascii="Arial" w:hAnsi="Arial" w:cs="Arial"/>
          <w:color w:val="auto"/>
          <w:szCs w:val="21"/>
          <w:highlight w:val="none"/>
        </w:rPr>
      </w:pPr>
      <w:r>
        <w:rPr>
          <w:rFonts w:ascii="Arial" w:hAnsi="Arial" w:cs="Arial"/>
          <w:color w:val="auto"/>
          <w:szCs w:val="21"/>
          <w:highlight w:val="none"/>
        </w:rPr>
        <w:t>日期：</w:t>
      </w:r>
    </w:p>
    <w:p w14:paraId="27628D55">
      <w:pPr>
        <w:spacing w:line="240" w:lineRule="auto"/>
        <w:rPr>
          <w:rFonts w:hint="eastAsia" w:ascii="宋体" w:hAnsi="宋体" w:eastAsia="宋体" w:cs="宋体"/>
          <w:b/>
          <w:color w:val="auto"/>
          <w:sz w:val="24"/>
          <w:szCs w:val="24"/>
          <w:highlight w:val="none"/>
          <w:lang w:eastAsia="zh-CN"/>
        </w:rPr>
      </w:pPr>
    </w:p>
    <w:p w14:paraId="52A63950">
      <w:pPr>
        <w:spacing w:line="360" w:lineRule="auto"/>
        <w:rPr>
          <w:rFonts w:hint="eastAsia" w:ascii="宋体" w:hAnsi="宋体" w:eastAsia="宋体" w:cs="宋体"/>
          <w:b/>
          <w:color w:val="auto"/>
          <w:sz w:val="21"/>
          <w:szCs w:val="21"/>
          <w:highlight w:val="none"/>
          <w:lang w:eastAsia="zh-CN"/>
        </w:rPr>
      </w:pPr>
    </w:p>
    <w:p w14:paraId="1BCCBB0C">
      <w:pPr>
        <w:spacing w:line="360" w:lineRule="auto"/>
        <w:rPr>
          <w:rFonts w:hint="eastAsia" w:ascii="宋体" w:hAnsi="宋体" w:eastAsia="宋体" w:cs="宋体"/>
          <w:b/>
          <w:color w:val="auto"/>
          <w:sz w:val="21"/>
          <w:szCs w:val="21"/>
          <w:highlight w:val="none"/>
          <w:lang w:eastAsia="zh-CN"/>
        </w:rPr>
      </w:pPr>
    </w:p>
    <w:p w14:paraId="4681585F">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eastAsia="zh-CN"/>
        </w:rPr>
        <w:t>注：</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总</w:t>
      </w:r>
      <w:r>
        <w:rPr>
          <w:rFonts w:hint="default" w:ascii="宋体" w:hAnsi="宋体" w:eastAsia="宋体" w:cs="宋体"/>
          <w:color w:val="auto"/>
          <w:sz w:val="21"/>
          <w:szCs w:val="21"/>
          <w:highlight w:val="none"/>
          <w:lang w:val="en-US" w:eastAsia="zh-CN"/>
        </w:rPr>
        <w:t>价填写到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“谈判报价”</w:t>
      </w:r>
      <w:r>
        <w:rPr>
          <w:rFonts w:hint="default" w:ascii="宋体" w:hAnsi="宋体" w:eastAsia="宋体" w:cs="宋体"/>
          <w:color w:val="auto"/>
          <w:sz w:val="21"/>
          <w:szCs w:val="21"/>
          <w:highlight w:val="none"/>
          <w:lang w:val="en-US" w:eastAsia="zh-CN"/>
        </w:rPr>
        <w:t>栏中。</w:t>
      </w:r>
    </w:p>
    <w:p w14:paraId="6B43AF2E">
      <w:pPr>
        <w:spacing w:line="360" w:lineRule="auto"/>
        <w:ind w:firstLine="420" w:firstLineChars="2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如有漏项或缺项，供应商承担全部责任。</w:t>
      </w:r>
    </w:p>
    <w:p w14:paraId="06F958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.表中须明确列出所投产品的</w:t>
      </w:r>
      <w:r>
        <w:rPr>
          <w:rFonts w:hint="eastAsia" w:cs="宋体"/>
          <w:color w:val="auto"/>
          <w:sz w:val="21"/>
          <w:szCs w:val="21"/>
          <w:highlight w:val="none"/>
          <w:lang w:val="en-US" w:eastAsia="zh-CN"/>
        </w:rPr>
        <w:t>分项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产地/国别</w:t>
      </w:r>
      <w:r>
        <w:rPr>
          <w:rFonts w:hint="eastAsia" w:cs="宋体"/>
          <w:color w:val="auto"/>
          <w:sz w:val="21"/>
          <w:szCs w:val="21"/>
          <w:highlight w:val="none"/>
          <w:lang w:val="en-US" w:eastAsia="zh-CN"/>
        </w:rPr>
        <w:t>、</w:t>
      </w:r>
      <w:r>
        <w:rPr>
          <w:rFonts w:hint="eastAsia" w:cs="宋体"/>
          <w:color w:val="auto"/>
          <w:sz w:val="21"/>
          <w:szCs w:val="21"/>
          <w:highlight w:val="none"/>
          <w:lang w:eastAsia="zh-CN"/>
        </w:rPr>
        <w:t>规格、</w:t>
      </w:r>
      <w:r>
        <w:rPr>
          <w:rFonts w:hint="eastAsia" w:ascii="宋体" w:hAnsi="宋体" w:eastAsia="宋体" w:cs="宋体"/>
          <w:color w:val="auto"/>
          <w:sz w:val="21"/>
          <w:szCs w:val="21"/>
          <w:highlight w:val="none"/>
        </w:rPr>
        <w:t>型号、</w:t>
      </w:r>
      <w:r>
        <w:rPr>
          <w:rFonts w:hint="eastAsia" w:cs="宋体"/>
          <w:color w:val="auto"/>
          <w:sz w:val="21"/>
          <w:szCs w:val="21"/>
          <w:highlight w:val="none"/>
          <w:lang w:eastAsia="zh-CN"/>
        </w:rPr>
        <w:t>单价、数量、</w:t>
      </w:r>
      <w:r>
        <w:rPr>
          <w:rFonts w:hint="eastAsia" w:cs="宋体"/>
          <w:color w:val="auto"/>
          <w:sz w:val="21"/>
          <w:szCs w:val="21"/>
          <w:highlight w:val="none"/>
          <w:lang w:val="en-US" w:eastAsia="zh-CN"/>
        </w:rPr>
        <w:t>合价等</w:t>
      </w:r>
      <w:r>
        <w:rPr>
          <w:rFonts w:hint="eastAsia" w:ascii="宋体" w:hAnsi="宋体" w:eastAsia="宋体" w:cs="宋体"/>
          <w:color w:val="auto"/>
          <w:sz w:val="21"/>
          <w:szCs w:val="21"/>
          <w:highlight w:val="none"/>
        </w:rPr>
        <w:t>，否则可能导致</w:t>
      </w:r>
      <w:r>
        <w:rPr>
          <w:rFonts w:hint="eastAsia" w:ascii="宋体" w:hAnsi="宋体" w:eastAsia="宋体" w:cs="宋体"/>
          <w:b/>
          <w:bCs/>
          <w:color w:val="auto"/>
          <w:sz w:val="21"/>
          <w:szCs w:val="21"/>
          <w:highlight w:val="none"/>
        </w:rPr>
        <w:t>响应无效</w:t>
      </w:r>
      <w:r>
        <w:rPr>
          <w:rFonts w:hint="eastAsia" w:ascii="宋体" w:hAnsi="宋体" w:eastAsia="宋体" w:cs="宋体"/>
          <w:color w:val="auto"/>
          <w:sz w:val="21"/>
          <w:szCs w:val="21"/>
          <w:highlight w:val="none"/>
        </w:rPr>
        <w:t>。</w:t>
      </w:r>
    </w:p>
    <w:p w14:paraId="66C30DF1">
      <w:pPr>
        <w:keepNext w:val="0"/>
        <w:keepLines w:val="0"/>
        <w:widowControl/>
        <w:suppressLineNumbers w:val="0"/>
        <w:jc w:val="left"/>
        <w:rPr>
          <w:rFonts w:hint="eastAsia" w:ascii="宋体" w:hAnsi="宋体" w:eastAsia="宋体" w:cs="宋体"/>
          <w:b/>
          <w:bCs/>
          <w:i w:val="0"/>
          <w:iCs w:val="0"/>
          <w:color w:val="auto"/>
          <w:kern w:val="0"/>
          <w:sz w:val="21"/>
          <w:szCs w:val="21"/>
          <w:highlight w:val="none"/>
          <w:lang w:val="en-US" w:eastAsia="zh-CN" w:bidi="ar"/>
        </w:rPr>
      </w:pPr>
    </w:p>
    <w:p w14:paraId="7B489E55">
      <w:pPr>
        <w:rPr>
          <w:rFonts w:hint="eastAsia" w:cstheme="majorBidi"/>
          <w:b/>
          <w:bCs/>
          <w:color w:val="auto"/>
          <w:kern w:val="2"/>
          <w:sz w:val="32"/>
          <w:szCs w:val="32"/>
          <w:highlight w:val="none"/>
          <w:lang w:val="en-US" w:eastAsia="zh-CN" w:bidi="ar-SA"/>
        </w:rPr>
      </w:pPr>
      <w:bookmarkStart w:id="551" w:name="_Toc11961"/>
      <w:r>
        <w:rPr>
          <w:rFonts w:hint="eastAsia" w:cstheme="majorBidi"/>
          <w:b/>
          <w:bCs/>
          <w:color w:val="auto"/>
          <w:kern w:val="2"/>
          <w:sz w:val="32"/>
          <w:szCs w:val="32"/>
          <w:highlight w:val="none"/>
          <w:lang w:val="en-US" w:eastAsia="zh-CN" w:bidi="ar-SA"/>
        </w:rPr>
        <w:br w:type="page"/>
      </w:r>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关于符合本国产品标准的声明函或财政部规定的其他</w:t>
      </w:r>
      <w:bookmarkEnd w:id="551"/>
      <w:bookmarkStart w:id="552" w:name="_Toc3"/>
      <w:r>
        <w:rPr>
          <w:rFonts w:hint="eastAsia" w:cstheme="majorBidi"/>
          <w:b/>
          <w:bCs/>
          <w:color w:val="auto"/>
          <w:kern w:val="2"/>
          <w:sz w:val="32"/>
          <w:szCs w:val="32"/>
          <w:highlight w:val="none"/>
          <w:lang w:val="en-US" w:eastAsia="zh-CN" w:bidi="ar-SA"/>
        </w:rPr>
        <w:t>证明文件</w:t>
      </w:r>
      <w:bookmarkEnd w:id="552"/>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righ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196" w:bottom="1440" w:left="1196"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3DED44F">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64FB4B2">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EC829F4">
      <w:pPr>
        <w:autoSpaceDE w:val="0"/>
        <w:autoSpaceDN w:val="0"/>
        <w:adjustRightInd w:val="0"/>
        <w:rPr>
          <w:color w:val="auto"/>
          <w:sz w:val="21"/>
          <w:szCs w:val="24"/>
          <w:highlight w:val="none"/>
        </w:rPr>
      </w:pPr>
    </w:p>
    <w:p w14:paraId="0D39B890">
      <w:pPr>
        <w:autoSpaceDE w:val="0"/>
        <w:autoSpaceDN w:val="0"/>
        <w:adjustRightInd w:val="0"/>
        <w:rPr>
          <w:color w:val="auto"/>
          <w:sz w:val="21"/>
          <w:szCs w:val="24"/>
          <w:highlight w:val="none"/>
        </w:rPr>
      </w:pPr>
    </w:p>
    <w:p w14:paraId="2314362E">
      <w:pPr>
        <w:autoSpaceDE w:val="0"/>
        <w:autoSpaceDN w:val="0"/>
        <w:adjustRightInd w:val="0"/>
        <w:jc w:val="center"/>
        <w:rPr>
          <w:color w:val="auto"/>
          <w:sz w:val="21"/>
          <w:szCs w:val="24"/>
          <w:highlight w:val="none"/>
        </w:rPr>
      </w:pPr>
    </w:p>
    <w:p w14:paraId="6E0AECFB">
      <w:pPr>
        <w:pStyle w:val="2"/>
        <w:bidi w:val="0"/>
        <w:rPr>
          <w:color w:val="auto"/>
          <w:sz w:val="72"/>
          <w:szCs w:val="72"/>
          <w:highlight w:val="none"/>
        </w:rPr>
      </w:pPr>
      <w:bookmarkStart w:id="553" w:name="_Toc3222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553"/>
    </w:p>
    <w:p w14:paraId="4AF2D630">
      <w:pPr>
        <w:pStyle w:val="2"/>
        <w:bidi w:val="0"/>
        <w:rPr>
          <w:rFonts w:hint="eastAsia"/>
          <w:color w:val="auto"/>
          <w:sz w:val="72"/>
          <w:szCs w:val="72"/>
          <w:highlight w:val="none"/>
          <w:lang w:val="en-US" w:eastAsia="zh-CN"/>
        </w:rPr>
      </w:pPr>
      <w:bookmarkStart w:id="554" w:name="_Toc19324"/>
      <w:r>
        <w:rPr>
          <w:rFonts w:hint="eastAsia"/>
          <w:color w:val="auto"/>
          <w:sz w:val="72"/>
          <w:szCs w:val="72"/>
          <w:highlight w:val="none"/>
          <w:lang w:val="en-US" w:eastAsia="zh-CN"/>
        </w:rPr>
        <w:t>商务技术文件</w:t>
      </w:r>
      <w:bookmarkEnd w:id="554"/>
    </w:p>
    <w:p w14:paraId="69CDC1D3">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52C730">
      <w:pPr>
        <w:pStyle w:val="3"/>
        <w:rPr>
          <w:color w:val="auto"/>
          <w:sz w:val="21"/>
          <w:szCs w:val="21"/>
          <w:highlight w:val="none"/>
        </w:rPr>
      </w:pPr>
    </w:p>
    <w:p w14:paraId="14C1B3A8">
      <w:pPr>
        <w:rPr>
          <w:color w:val="auto"/>
          <w:sz w:val="21"/>
          <w:szCs w:val="21"/>
          <w:highlight w:val="none"/>
        </w:rPr>
      </w:pPr>
    </w:p>
    <w:p w14:paraId="15227E06">
      <w:pPr>
        <w:rPr>
          <w:color w:val="auto"/>
          <w:highlight w:val="none"/>
        </w:rPr>
      </w:pPr>
    </w:p>
    <w:p w14:paraId="41D881B8">
      <w:pPr>
        <w:autoSpaceDE w:val="0"/>
        <w:autoSpaceDN w:val="0"/>
        <w:adjustRightInd w:val="0"/>
        <w:rPr>
          <w:color w:val="auto"/>
          <w:sz w:val="21"/>
          <w:szCs w:val="21"/>
          <w:highlight w:val="none"/>
        </w:rPr>
      </w:pPr>
    </w:p>
    <w:p w14:paraId="1C7F5439">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55" w:name="_Toc109900327"/>
      <w:bookmarkStart w:id="556" w:name="_Toc25402"/>
      <w:bookmarkStart w:id="557" w:name="_Toc140132831"/>
      <w:bookmarkStart w:id="558" w:name="_Toc4097"/>
      <w:bookmarkStart w:id="559" w:name="_Toc3577"/>
      <w:bookmarkStart w:id="560" w:name="_Toc109899908"/>
      <w:bookmarkStart w:id="561" w:name="_Toc30642"/>
      <w:bookmarkStart w:id="562" w:name="_Toc109899489"/>
      <w:bookmarkStart w:id="563" w:name="_Toc155185921"/>
      <w:r>
        <w:rPr>
          <w:rFonts w:hint="eastAsia" w:cstheme="majorBidi"/>
          <w:b/>
          <w:bCs/>
          <w:color w:val="auto"/>
          <w:kern w:val="2"/>
          <w:sz w:val="32"/>
          <w:szCs w:val="32"/>
          <w:highlight w:val="none"/>
          <w:lang w:val="en-US" w:eastAsia="zh-CN" w:bidi="ar-SA"/>
        </w:rPr>
        <w:t>响应</w:t>
      </w:r>
      <w:r>
        <w:rPr>
          <w:rFonts w:hint="eastAsia" w:eastAsia="宋体" w:asciiTheme="majorHAnsi" w:hAnsiTheme="majorHAnsi" w:cstheme="majorBidi"/>
          <w:b/>
          <w:bCs/>
          <w:color w:val="auto"/>
          <w:kern w:val="2"/>
          <w:sz w:val="32"/>
          <w:szCs w:val="32"/>
          <w:highlight w:val="none"/>
          <w:lang w:val="en-US" w:eastAsia="zh-CN" w:bidi="ar-SA"/>
        </w:rPr>
        <w:t>函</w:t>
      </w:r>
      <w:bookmarkEnd w:id="555"/>
      <w:bookmarkEnd w:id="556"/>
      <w:bookmarkEnd w:id="557"/>
      <w:bookmarkEnd w:id="558"/>
      <w:bookmarkEnd w:id="559"/>
      <w:bookmarkEnd w:id="560"/>
      <w:bookmarkEnd w:id="561"/>
      <w:bookmarkEnd w:id="562"/>
      <w:bookmarkEnd w:id="563"/>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竞争性谈判公告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w:t>
      </w:r>
      <w:r>
        <w:rPr>
          <w:rFonts w:hint="eastAsia" w:cs="仿宋_GB2312"/>
          <w:color w:val="auto"/>
          <w:szCs w:val="24"/>
          <w:highlight w:val="none"/>
          <w:lang w:val="en-US" w:eastAsia="zh-CN"/>
        </w:rPr>
        <w:t>供应商</w:t>
      </w:r>
      <w:r>
        <w:rPr>
          <w:rFonts w:hint="eastAsia" w:cs="仿宋_GB2312"/>
          <w:color w:val="auto"/>
          <w:szCs w:val="24"/>
          <w:highlight w:val="none"/>
          <w:u w:val="single"/>
        </w:rPr>
        <w:t>（</w:t>
      </w:r>
      <w:r>
        <w:rPr>
          <w:rFonts w:hint="eastAsia" w:cs="仿宋_GB2312"/>
          <w:color w:val="auto"/>
          <w:szCs w:val="24"/>
          <w:highlight w:val="none"/>
          <w:u w:val="single"/>
          <w:lang w:val="en-US" w:eastAsia="zh-CN"/>
        </w:rPr>
        <w:t>供应商</w:t>
      </w:r>
      <w:r>
        <w:rPr>
          <w:rFonts w:hint="eastAsia" w:cs="仿宋_GB2312"/>
          <w:color w:val="auto"/>
          <w:szCs w:val="24"/>
          <w:highlight w:val="none"/>
          <w:u w:val="single"/>
        </w:rPr>
        <w:t>名称、地址）</w:t>
      </w:r>
      <w:r>
        <w:rPr>
          <w:rFonts w:hint="eastAsia" w:cs="仿宋_GB2312"/>
          <w:color w:val="auto"/>
          <w:szCs w:val="24"/>
          <w:highlight w:val="none"/>
        </w:rPr>
        <w:t>提交下述文件</w:t>
      </w:r>
      <w:r>
        <w:rPr>
          <w:rFonts w:hint="eastAsia" w:cs="仿宋_GB2312"/>
          <w:b/>
          <w:bCs/>
          <w:color w:val="auto"/>
          <w:szCs w:val="24"/>
          <w:highlight w:val="none"/>
        </w:rPr>
        <w:t>：</w:t>
      </w:r>
    </w:p>
    <w:p w14:paraId="31DE4B23">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1.资格证明文件；</w:t>
      </w:r>
    </w:p>
    <w:p w14:paraId="7E086E9D">
      <w:pPr>
        <w:spacing w:line="324" w:lineRule="auto"/>
        <w:ind w:firstLine="480" w:firstLineChars="200"/>
        <w:rPr>
          <w:rFonts w:hint="eastAsia" w:cs="Arial"/>
          <w:color w:val="auto"/>
          <w:szCs w:val="24"/>
          <w:highlight w:val="none"/>
          <w:lang w:val="en-US" w:eastAsia="zh-CN"/>
        </w:rPr>
      </w:pPr>
      <w:r>
        <w:rPr>
          <w:rFonts w:hint="eastAsia" w:cs="Arial"/>
          <w:color w:val="auto"/>
          <w:szCs w:val="24"/>
          <w:highlight w:val="none"/>
          <w:lang w:val="en-US" w:eastAsia="zh-CN"/>
        </w:rPr>
        <w:t>2.报价文件；</w:t>
      </w:r>
    </w:p>
    <w:p w14:paraId="260B7A8D">
      <w:pPr>
        <w:spacing w:line="324" w:lineRule="auto"/>
        <w:ind w:firstLine="480" w:firstLineChars="200"/>
        <w:rPr>
          <w:rFonts w:hint="default" w:cs="Arial"/>
          <w:color w:val="auto"/>
          <w:szCs w:val="24"/>
          <w:highlight w:val="none"/>
          <w:lang w:val="en-US" w:eastAsia="zh-CN"/>
        </w:rPr>
      </w:pPr>
      <w:r>
        <w:rPr>
          <w:rFonts w:hint="eastAsia" w:cs="Arial"/>
          <w:color w:val="auto"/>
          <w:szCs w:val="24"/>
          <w:highlight w:val="none"/>
          <w:lang w:val="en-US" w:eastAsia="zh-CN"/>
        </w:rPr>
        <w:t>3.商务技术文件。</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w:t>
      </w:r>
      <w:r>
        <w:rPr>
          <w:rFonts w:hint="eastAsia" w:cs="Arial"/>
          <w:color w:val="auto"/>
          <w:szCs w:val="24"/>
          <w:highlight w:val="none"/>
          <w:lang w:val="en-US" w:eastAsia="zh-CN"/>
        </w:rPr>
        <w:t>报价一览</w:t>
      </w:r>
      <w:r>
        <w:rPr>
          <w:rFonts w:cs="Arial"/>
          <w:color w:val="auto"/>
          <w:szCs w:val="24"/>
          <w:highlight w:val="none"/>
        </w:rPr>
        <w:t>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w:t>
      </w:r>
      <w:r>
        <w:rPr>
          <w:rFonts w:hint="eastAsia" w:cs="仿宋_GB2312"/>
          <w:color w:val="auto"/>
          <w:szCs w:val="24"/>
          <w:highlight w:val="none"/>
          <w:lang w:val="en-US" w:eastAsia="zh-CN"/>
        </w:rPr>
        <w:t>竞争性谈判</w:t>
      </w:r>
      <w:r>
        <w:rPr>
          <w:rFonts w:cs="Arial"/>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w:t>
      </w:r>
      <w:r>
        <w:rPr>
          <w:rFonts w:hint="eastAsia" w:cs="仿宋_GB2312"/>
          <w:color w:val="auto"/>
          <w:szCs w:val="24"/>
          <w:highlight w:val="none"/>
          <w:lang w:val="en-US" w:eastAsia="zh-CN"/>
        </w:rPr>
        <w:t>竞争性谈判</w:t>
      </w:r>
      <w:r>
        <w:rPr>
          <w:rFonts w:cs="Arial"/>
          <w:color w:val="auto"/>
          <w:szCs w:val="24"/>
          <w:highlight w:val="none"/>
        </w:rPr>
        <w:t>文件</w:t>
      </w:r>
      <w:r>
        <w:rPr>
          <w:rFonts w:cs="Arial"/>
          <w:i w:val="0"/>
          <w:iCs w:val="0"/>
          <w:color w:val="auto"/>
          <w:szCs w:val="24"/>
          <w:highlight w:val="none"/>
        </w:rPr>
        <w:t>，包括第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竞争性谈判</w:t>
      </w:r>
      <w:r>
        <w:rPr>
          <w:rFonts w:hint="eastAsia" w:cs="Arial"/>
          <w:i w:val="0"/>
          <w:iCs w:val="0"/>
          <w:color w:val="auto"/>
          <w:szCs w:val="24"/>
          <w:highlight w:val="none"/>
        </w:rPr>
        <w:t>文件</w:t>
      </w:r>
      <w:r>
        <w:rPr>
          <w:rFonts w:cs="Arial"/>
          <w:i w:val="0"/>
          <w:iCs w:val="0"/>
          <w:color w:val="auto"/>
          <w:szCs w:val="24"/>
          <w:highlight w:val="none"/>
        </w:rPr>
        <w:t>要求的与</w:t>
      </w:r>
      <w:r>
        <w:rPr>
          <w:rFonts w:hint="eastAsia" w:cs="Arial"/>
          <w:i w:val="0"/>
          <w:iCs w:val="0"/>
          <w:color w:val="auto"/>
          <w:szCs w:val="24"/>
          <w:highlight w:val="none"/>
          <w:lang w:val="en-US" w:eastAsia="zh-CN"/>
        </w:rPr>
        <w:t>谈判响应</w:t>
      </w:r>
      <w:r>
        <w:rPr>
          <w:rFonts w:cs="Arial"/>
          <w:i w:val="0"/>
          <w:iCs w:val="0"/>
          <w:color w:val="auto"/>
          <w:szCs w:val="24"/>
          <w:highlight w:val="none"/>
        </w:rPr>
        <w:t>有关的一切数据或资料。</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w:t>
      </w:r>
      <w:r>
        <w:rPr>
          <w:rFonts w:hint="eastAsia"/>
          <w:color w:val="auto"/>
          <w:szCs w:val="24"/>
          <w:highlight w:val="none"/>
        </w:rPr>
        <w:t>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w:t>
      </w:r>
      <w:r>
        <w:rPr>
          <w:rFonts w:hint="eastAsia"/>
          <w:color w:val="auto"/>
          <w:szCs w:val="24"/>
          <w:highlight w:val="none"/>
          <w:lang w:val="en-US" w:eastAsia="zh-CN"/>
        </w:rPr>
        <w:t>响应</w:t>
      </w:r>
      <w:r>
        <w:rPr>
          <w:rFonts w:hint="eastAsia"/>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5）我方承诺本《</w:t>
      </w:r>
      <w:r>
        <w:rPr>
          <w:rFonts w:hint="eastAsia"/>
          <w:color w:val="auto"/>
          <w:szCs w:val="24"/>
          <w:highlight w:val="none"/>
          <w:lang w:val="en-US" w:eastAsia="zh-CN"/>
        </w:rPr>
        <w:t>响应</w:t>
      </w:r>
      <w:r>
        <w:rPr>
          <w:rFonts w:hint="eastAsia"/>
          <w:color w:val="auto"/>
          <w:szCs w:val="24"/>
          <w:highlight w:val="none"/>
        </w:rPr>
        <w:t>函》的签章对本</w:t>
      </w:r>
      <w:r>
        <w:rPr>
          <w:rFonts w:hint="eastAsia"/>
          <w:color w:val="auto"/>
          <w:szCs w:val="24"/>
          <w:highlight w:val="none"/>
          <w:lang w:val="en-US" w:eastAsia="zh-CN"/>
        </w:rPr>
        <w:t>响应</w:t>
      </w:r>
      <w:r>
        <w:rPr>
          <w:rFonts w:hint="eastAsia"/>
          <w:color w:val="auto"/>
          <w:szCs w:val="24"/>
          <w:highlight w:val="none"/>
        </w:rPr>
        <w:t>文件全部内容具有约束力并承担法律责任。</w:t>
      </w:r>
    </w:p>
    <w:p w14:paraId="2A195747">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jc w:val="right"/>
        <w:rPr>
          <w:rFonts w:cs="宋体"/>
          <w:color w:val="auto"/>
          <w:highlight w:val="none"/>
        </w:rPr>
      </w:pPr>
      <w:r>
        <w:rPr>
          <w:rFonts w:hint="eastAsia" w:cs="宋体"/>
          <w:color w:val="auto"/>
          <w:highlight w:val="none"/>
          <w:lang w:val="en-US" w:eastAsia="zh-CN"/>
        </w:rPr>
        <w:t>供应商名称</w:t>
      </w:r>
      <w:r>
        <w:rPr>
          <w:rFonts w:hint="eastAsia" w:cs="宋体"/>
          <w:color w:val="auto"/>
          <w:highlight w:val="none"/>
        </w:rPr>
        <w:t>（公章）：</w:t>
      </w:r>
    </w:p>
    <w:p w14:paraId="1186FA25">
      <w:pPr>
        <w:autoSpaceDE w:val="0"/>
        <w:autoSpaceDN w:val="0"/>
        <w:adjustRightInd w:val="0"/>
        <w:snapToGrid w:val="0"/>
        <w:ind w:firstLine="480" w:firstLineChars="200"/>
        <w:jc w:val="right"/>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jc w:val="right"/>
        <w:rPr>
          <w:rFonts w:cs="宋体"/>
          <w:color w:val="auto"/>
          <w:highlight w:val="none"/>
        </w:rPr>
      </w:pPr>
      <w:r>
        <w:rPr>
          <w:rFonts w:hint="eastAsia" w:cs="宋体"/>
          <w:color w:val="auto"/>
          <w:highlight w:val="none"/>
        </w:rPr>
        <w:t>通  讯  地  址：</w:t>
      </w:r>
    </w:p>
    <w:p w14:paraId="0A396883">
      <w:pPr>
        <w:autoSpaceDE w:val="0"/>
        <w:autoSpaceDN w:val="0"/>
        <w:adjustRightInd w:val="0"/>
        <w:snapToGrid w:val="0"/>
        <w:ind w:firstLine="480" w:firstLineChars="200"/>
        <w:jc w:val="right"/>
        <w:rPr>
          <w:rFonts w:cs="宋体"/>
          <w:color w:val="auto"/>
          <w:highlight w:val="none"/>
        </w:rPr>
      </w:pPr>
      <w:r>
        <w:rPr>
          <w:rFonts w:hint="eastAsia" w:cs="宋体"/>
          <w:color w:val="auto"/>
          <w:highlight w:val="none"/>
        </w:rPr>
        <w:t>电          话：</w:t>
      </w:r>
    </w:p>
    <w:p w14:paraId="63C92097">
      <w:pPr>
        <w:ind w:firstLine="480" w:firstLineChars="200"/>
        <w:jc w:val="right"/>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4" w:name="_Toc13659"/>
      <w:bookmarkStart w:id="565" w:name="_Toc155185924"/>
      <w:bookmarkStart w:id="566" w:name="_Toc13314"/>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564"/>
      <w:bookmarkEnd w:id="565"/>
      <w:bookmarkEnd w:id="566"/>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right"/>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righ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righ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righ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67" w:name="_Toc155185925"/>
      <w:bookmarkStart w:id="568" w:name="_Toc16728"/>
      <w:bookmarkStart w:id="569" w:name="_Toc31851"/>
      <w:r>
        <w:rPr>
          <w:rFonts w:hint="eastAsia" w:eastAsia="宋体" w:asciiTheme="majorHAnsi" w:hAnsiTheme="majorHAnsi" w:cstheme="majorBidi"/>
          <w:b/>
          <w:bCs/>
          <w:color w:val="auto"/>
          <w:kern w:val="2"/>
          <w:sz w:val="32"/>
          <w:szCs w:val="32"/>
          <w:highlight w:val="none"/>
          <w:lang w:val="en-US" w:eastAsia="zh-CN" w:bidi="ar-SA"/>
        </w:rPr>
        <w:t>授权委托书</w:t>
      </w:r>
      <w:bookmarkEnd w:id="567"/>
      <w:bookmarkEnd w:id="568"/>
      <w:bookmarkEnd w:id="569"/>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w:t>
      </w:r>
      <w:r>
        <w:rPr>
          <w:rFonts w:hint="eastAsia" w:cs="仿宋_GB2312"/>
          <w:color w:val="auto"/>
          <w:szCs w:val="24"/>
          <w:highlight w:val="none"/>
          <w:u w:val="none"/>
          <w:lang w:val="en-US" w:eastAsia="zh-CN"/>
        </w:rPr>
        <w:t>供应商</w:t>
      </w:r>
      <w:r>
        <w:rPr>
          <w:rFonts w:hint="eastAsia" w:cs="仿宋_GB2312"/>
          <w:color w:val="auto"/>
          <w:szCs w:val="24"/>
          <w:highlight w:val="none"/>
          <w:u w:val="none"/>
        </w:rPr>
        <w:t>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w:t>
      </w:r>
      <w:r>
        <w:rPr>
          <w:rFonts w:hint="eastAsia" w:cs="仿宋_GB2312"/>
          <w:color w:val="auto"/>
          <w:szCs w:val="24"/>
          <w:highlight w:val="none"/>
          <w:lang w:val="en-US" w:eastAsia="zh-CN"/>
        </w:rPr>
        <w:t>响应</w:t>
      </w:r>
      <w:r>
        <w:rPr>
          <w:rFonts w:hint="eastAsia" w:cs="仿宋_GB2312"/>
          <w:color w:val="auto"/>
          <w:szCs w:val="24"/>
          <w:highlight w:val="none"/>
        </w:rPr>
        <w:t>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自本授权委托书签署之日起至响应文件有效期届满之日止。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名称（加盖公章）：</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法定代表人（单位负责人）（签字或签章）：</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u w:val="single"/>
          <w:lang w:val="en-US"/>
        </w:rPr>
      </w:pPr>
      <w:r>
        <w:rPr>
          <w:rFonts w:hint="eastAsia" w:ascii="宋体" w:hAnsi="宋体" w:eastAsia="宋体" w:cs="宋体"/>
          <w:color w:val="auto"/>
          <w:kern w:val="0"/>
          <w:sz w:val="24"/>
          <w:szCs w:val="24"/>
          <w:highlight w:val="none"/>
          <w:lang w:val="en-US" w:eastAsia="zh-CN" w:bidi="ar"/>
        </w:rPr>
        <w:t>委托代理人（签字或签章）：</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0" w:name="_Toc10900"/>
      <w:r>
        <w:rPr>
          <w:rFonts w:hint="eastAsia" w:eastAsia="宋体" w:asciiTheme="majorHAnsi" w:hAnsiTheme="majorHAnsi" w:cstheme="majorBidi"/>
          <w:b/>
          <w:bCs/>
          <w:color w:val="auto"/>
          <w:kern w:val="2"/>
          <w:sz w:val="32"/>
          <w:szCs w:val="32"/>
          <w:highlight w:val="none"/>
          <w:lang w:val="zh-CN" w:eastAsia="zh-CN" w:bidi="ar-SA"/>
        </w:rPr>
        <w:t>政府采购供应商廉洁自律承诺书</w:t>
      </w:r>
      <w:bookmarkEnd w:id="570"/>
    </w:p>
    <w:p w14:paraId="2AB445CF">
      <w:pPr>
        <w:pStyle w:val="11"/>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w:t>
      </w:r>
      <w:r>
        <w:rPr>
          <w:rFonts w:hint="eastAsia" w:cs="宋体"/>
          <w:color w:val="auto"/>
          <w:kern w:val="0"/>
          <w:sz w:val="24"/>
          <w:szCs w:val="24"/>
          <w:highlight w:val="none"/>
          <w:lang w:val="en-US" w:eastAsia="zh-CN"/>
        </w:rPr>
        <w:t>竞争性谈判文件</w:t>
      </w:r>
      <w:r>
        <w:rPr>
          <w:rFonts w:hint="eastAsia" w:ascii="宋体" w:hAnsi="宋体" w:cs="宋体"/>
          <w:color w:val="auto"/>
          <w:kern w:val="0"/>
          <w:sz w:val="24"/>
          <w:szCs w:val="24"/>
          <w:highlight w:val="none"/>
          <w:lang w:val="zh-CN"/>
        </w:rPr>
        <w:t>要求参加</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。在这次</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过程中和</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w:t>
      </w:r>
      <w:r>
        <w:rPr>
          <w:rFonts w:hint="eastAsia" w:cs="宋体"/>
          <w:color w:val="auto"/>
          <w:kern w:val="0"/>
          <w:sz w:val="24"/>
          <w:szCs w:val="24"/>
          <w:highlight w:val="none"/>
          <w:lang w:val="en-US" w:eastAsia="zh-CN"/>
        </w:rPr>
        <w:t>谈判响应</w:t>
      </w:r>
      <w:r>
        <w:rPr>
          <w:rFonts w:hint="eastAsia" w:ascii="宋体" w:hAnsi="宋体" w:cs="宋体"/>
          <w:color w:val="auto"/>
          <w:kern w:val="0"/>
          <w:sz w:val="24"/>
          <w:szCs w:val="24"/>
          <w:highlight w:val="none"/>
          <w:lang w:val="zh-CN"/>
        </w:rPr>
        <w:t>、</w:t>
      </w:r>
      <w:r>
        <w:rPr>
          <w:rFonts w:hint="eastAsia" w:cs="宋体"/>
          <w:color w:val="auto"/>
          <w:kern w:val="0"/>
          <w:sz w:val="24"/>
          <w:szCs w:val="24"/>
          <w:highlight w:val="none"/>
          <w:lang w:val="en-US" w:eastAsia="zh-CN"/>
        </w:rPr>
        <w:t>成交</w:t>
      </w:r>
      <w:r>
        <w:rPr>
          <w:rFonts w:hint="eastAsia" w:ascii="宋体" w:hAnsi="宋体" w:cs="宋体"/>
          <w:color w:val="auto"/>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1"/>
        <w:rPr>
          <w:rFonts w:hint="eastAsia" w:eastAsia="宋体" w:asciiTheme="majorHAnsi" w:hAnsiTheme="majorHAnsi" w:cstheme="majorBidi"/>
          <w:b/>
          <w:bCs/>
          <w:color w:val="auto"/>
          <w:kern w:val="2"/>
          <w:sz w:val="24"/>
          <w:szCs w:val="24"/>
          <w:highlight w:val="none"/>
          <w:lang w:val="en-US" w:eastAsia="zh-CN" w:bidi="ar-SA"/>
        </w:rPr>
      </w:pPr>
    </w:p>
    <w:p w14:paraId="2CC927CA">
      <w:pPr>
        <w:pStyle w:val="11"/>
        <w:rPr>
          <w:rFonts w:hint="eastAsia" w:eastAsia="宋体" w:asciiTheme="majorHAnsi" w:hAnsiTheme="majorHAnsi" w:cstheme="majorBidi"/>
          <w:b/>
          <w:bCs/>
          <w:color w:val="auto"/>
          <w:kern w:val="2"/>
          <w:sz w:val="24"/>
          <w:szCs w:val="24"/>
          <w:highlight w:val="none"/>
          <w:lang w:val="en-US" w:eastAsia="zh-CN" w:bidi="ar-SA"/>
        </w:rPr>
      </w:pPr>
    </w:p>
    <w:p w14:paraId="18FDCDE0">
      <w:pPr>
        <w:pStyle w:val="11"/>
        <w:rPr>
          <w:rFonts w:hint="eastAsia" w:eastAsia="宋体" w:asciiTheme="majorHAnsi" w:hAnsiTheme="majorHAnsi" w:cstheme="majorBidi"/>
          <w:b/>
          <w:bCs/>
          <w:color w:val="auto"/>
          <w:kern w:val="2"/>
          <w:sz w:val="24"/>
          <w:szCs w:val="24"/>
          <w:highlight w:val="none"/>
          <w:lang w:val="en-US" w:eastAsia="zh-CN" w:bidi="ar-SA"/>
        </w:rPr>
      </w:pPr>
    </w:p>
    <w:p w14:paraId="75D4FE8C">
      <w:pPr>
        <w:rPr>
          <w:rFonts w:hint="eastAsia" w:cstheme="majorBidi"/>
          <w:b/>
          <w:bCs/>
          <w:color w:val="auto"/>
          <w:kern w:val="2"/>
          <w:sz w:val="32"/>
          <w:szCs w:val="32"/>
          <w:highlight w:val="none"/>
          <w:lang w:val="en-US" w:eastAsia="zh-CN" w:bidi="ar-SA"/>
        </w:rPr>
      </w:pPr>
    </w:p>
    <w:p w14:paraId="095105C8">
      <w:pPr>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71" w:name="_Toc13711"/>
      <w:bookmarkStart w:id="572" w:name="_Toc10454"/>
      <w:r>
        <w:rPr>
          <w:rFonts w:hint="eastAsia" w:eastAsia="宋体" w:asciiTheme="majorHAnsi" w:hAnsiTheme="majorHAnsi" w:cstheme="majorBidi"/>
          <w:b/>
          <w:bCs/>
          <w:color w:val="auto"/>
          <w:kern w:val="2"/>
          <w:sz w:val="32"/>
          <w:szCs w:val="32"/>
          <w:highlight w:val="none"/>
          <w:lang w:val="en-US" w:eastAsia="zh-CN" w:bidi="ar-SA"/>
        </w:rPr>
        <w:t>拟派项目团队</w:t>
      </w:r>
      <w:bookmarkEnd w:id="571"/>
      <w:bookmarkEnd w:id="572"/>
    </w:p>
    <w:tbl>
      <w:tblPr>
        <w:tblStyle w:val="28"/>
        <w:tblW w:w="91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3"/>
        <w:gridCol w:w="1224"/>
        <w:gridCol w:w="876"/>
        <w:gridCol w:w="1850"/>
        <w:gridCol w:w="1277"/>
        <w:gridCol w:w="816"/>
      </w:tblGrid>
      <w:tr w14:paraId="044E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73" w:type="dxa"/>
            <w:vAlign w:val="center"/>
          </w:tcPr>
          <w:p w14:paraId="27A52654">
            <w:pPr>
              <w:pStyle w:val="46"/>
              <w:jc w:val="center"/>
              <w:rPr>
                <w:color w:val="auto"/>
                <w:highlight w:val="none"/>
              </w:rPr>
            </w:pPr>
            <w:r>
              <w:rPr>
                <w:rFonts w:hint="eastAsia"/>
                <w:color w:val="auto"/>
                <w:highlight w:val="none"/>
              </w:rPr>
              <w:t>序号</w:t>
            </w:r>
          </w:p>
        </w:tc>
        <w:tc>
          <w:tcPr>
            <w:tcW w:w="1143" w:type="dxa"/>
            <w:vAlign w:val="center"/>
          </w:tcPr>
          <w:p w14:paraId="06896F70">
            <w:pPr>
              <w:pStyle w:val="46"/>
              <w:jc w:val="center"/>
              <w:rPr>
                <w:color w:val="auto"/>
                <w:highlight w:val="none"/>
              </w:rPr>
            </w:pPr>
            <w:r>
              <w:rPr>
                <w:rFonts w:hint="eastAsia"/>
                <w:color w:val="auto"/>
                <w:highlight w:val="none"/>
                <w:lang w:val="en-US" w:eastAsia="zh-CN"/>
              </w:rPr>
              <w:t>团队成员</w:t>
            </w:r>
          </w:p>
          <w:p w14:paraId="4131E775">
            <w:pPr>
              <w:pStyle w:val="46"/>
              <w:jc w:val="center"/>
              <w:rPr>
                <w:color w:val="auto"/>
                <w:highlight w:val="none"/>
              </w:rPr>
            </w:pPr>
            <w:r>
              <w:rPr>
                <w:rFonts w:hint="eastAsia"/>
                <w:color w:val="auto"/>
                <w:highlight w:val="none"/>
              </w:rPr>
              <w:t>姓名</w:t>
            </w:r>
          </w:p>
        </w:tc>
        <w:tc>
          <w:tcPr>
            <w:tcW w:w="1203" w:type="dxa"/>
            <w:tcBorders>
              <w:right w:val="single" w:color="auto" w:sz="4" w:space="0"/>
            </w:tcBorders>
            <w:vAlign w:val="center"/>
          </w:tcPr>
          <w:p w14:paraId="5B1E627A">
            <w:pPr>
              <w:pStyle w:val="46"/>
              <w:jc w:val="center"/>
              <w:rPr>
                <w:color w:val="auto"/>
                <w:highlight w:val="none"/>
              </w:rPr>
            </w:pPr>
            <w:r>
              <w:rPr>
                <w:rFonts w:hint="eastAsia"/>
                <w:color w:val="auto"/>
                <w:highlight w:val="none"/>
              </w:rPr>
              <w:t>工作单位</w:t>
            </w:r>
          </w:p>
        </w:tc>
        <w:tc>
          <w:tcPr>
            <w:tcW w:w="1224" w:type="dxa"/>
            <w:tcBorders>
              <w:left w:val="single" w:color="auto" w:sz="4" w:space="0"/>
            </w:tcBorders>
            <w:vAlign w:val="center"/>
          </w:tcPr>
          <w:p w14:paraId="566C9824">
            <w:pPr>
              <w:pStyle w:val="46"/>
              <w:jc w:val="center"/>
              <w:rPr>
                <w:color w:val="auto"/>
                <w:highlight w:val="none"/>
              </w:rPr>
            </w:pPr>
            <w:r>
              <w:rPr>
                <w:rFonts w:hint="eastAsia"/>
                <w:color w:val="auto"/>
                <w:highlight w:val="none"/>
              </w:rPr>
              <w:t>身份证号</w:t>
            </w:r>
          </w:p>
        </w:tc>
        <w:tc>
          <w:tcPr>
            <w:tcW w:w="876" w:type="dxa"/>
            <w:tcBorders>
              <w:left w:val="single" w:color="auto" w:sz="4" w:space="0"/>
            </w:tcBorders>
            <w:vAlign w:val="center"/>
          </w:tcPr>
          <w:p w14:paraId="3241822A">
            <w:pPr>
              <w:pStyle w:val="46"/>
              <w:jc w:val="center"/>
              <w:rPr>
                <w:color w:val="auto"/>
                <w:highlight w:val="none"/>
              </w:rPr>
            </w:pPr>
            <w:r>
              <w:rPr>
                <w:rFonts w:hint="eastAsia"/>
                <w:color w:val="auto"/>
                <w:highlight w:val="none"/>
              </w:rPr>
              <w:t>职称</w:t>
            </w:r>
            <w:r>
              <w:rPr>
                <w:rFonts w:hint="eastAsia"/>
                <w:color w:val="auto"/>
                <w:highlight w:val="none"/>
                <w:lang w:val="en-US" w:eastAsia="zh-CN"/>
              </w:rPr>
              <w:t>（如有）</w:t>
            </w:r>
          </w:p>
        </w:tc>
        <w:tc>
          <w:tcPr>
            <w:tcW w:w="1850" w:type="dxa"/>
            <w:vAlign w:val="center"/>
          </w:tcPr>
          <w:p w14:paraId="57503923">
            <w:pPr>
              <w:pStyle w:val="46"/>
              <w:jc w:val="center"/>
              <w:rPr>
                <w:rFonts w:hint="default" w:eastAsia="宋体"/>
                <w:color w:val="auto"/>
                <w:highlight w:val="none"/>
                <w:lang w:val="en-US" w:eastAsia="zh-CN"/>
              </w:rPr>
            </w:pPr>
            <w:r>
              <w:rPr>
                <w:rFonts w:hint="eastAsia"/>
                <w:color w:val="auto"/>
                <w:highlight w:val="none"/>
                <w:lang w:val="en-US" w:eastAsia="zh-CN"/>
              </w:rPr>
              <w:t>注册证书（岗位证书）名称及编号（如有）</w:t>
            </w:r>
          </w:p>
        </w:tc>
        <w:tc>
          <w:tcPr>
            <w:tcW w:w="1277" w:type="dxa"/>
            <w:vAlign w:val="center"/>
          </w:tcPr>
          <w:p w14:paraId="726B2B6A">
            <w:pPr>
              <w:pStyle w:val="46"/>
              <w:jc w:val="center"/>
              <w:rPr>
                <w:color w:val="auto"/>
                <w:highlight w:val="none"/>
              </w:rPr>
            </w:pPr>
            <w:r>
              <w:rPr>
                <w:rFonts w:hint="eastAsia" w:eastAsia="宋体"/>
                <w:color w:val="auto"/>
                <w:highlight w:val="none"/>
                <w:lang w:val="en-US" w:eastAsia="zh-CN"/>
              </w:rPr>
              <w:t>在团队中职务（岗位）</w:t>
            </w:r>
          </w:p>
        </w:tc>
        <w:tc>
          <w:tcPr>
            <w:tcW w:w="816" w:type="dxa"/>
            <w:vAlign w:val="center"/>
          </w:tcPr>
          <w:p w14:paraId="3D92204D">
            <w:pPr>
              <w:pStyle w:val="46"/>
              <w:jc w:val="center"/>
              <w:rPr>
                <w:color w:val="auto"/>
                <w:highlight w:val="none"/>
              </w:rPr>
            </w:pPr>
            <w:r>
              <w:rPr>
                <w:rFonts w:hint="eastAsia"/>
                <w:color w:val="auto"/>
                <w:highlight w:val="none"/>
              </w:rPr>
              <w:t>自有</w:t>
            </w:r>
            <w:r>
              <w:rPr>
                <w:color w:val="auto"/>
                <w:highlight w:val="none"/>
              </w:rPr>
              <w:t>/外聘</w:t>
            </w:r>
          </w:p>
        </w:tc>
      </w:tr>
      <w:tr w14:paraId="3171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96F11C3">
            <w:pPr>
              <w:pStyle w:val="46"/>
              <w:jc w:val="center"/>
              <w:rPr>
                <w:color w:val="auto"/>
                <w:highlight w:val="none"/>
              </w:rPr>
            </w:pPr>
            <w:bookmarkStart w:id="573" w:name="_Toc99533292"/>
            <w:bookmarkStart w:id="574" w:name="_Toc100090784"/>
            <w:r>
              <w:rPr>
                <w:rFonts w:hint="eastAsia"/>
                <w:color w:val="auto"/>
                <w:highlight w:val="none"/>
              </w:rPr>
              <w:t>1</w:t>
            </w:r>
            <w:bookmarkEnd w:id="573"/>
            <w:bookmarkEnd w:id="574"/>
          </w:p>
        </w:tc>
        <w:tc>
          <w:tcPr>
            <w:tcW w:w="1143" w:type="dxa"/>
            <w:vAlign w:val="center"/>
          </w:tcPr>
          <w:p w14:paraId="17E08D36">
            <w:pPr>
              <w:pStyle w:val="46"/>
              <w:jc w:val="center"/>
              <w:rPr>
                <w:color w:val="auto"/>
                <w:highlight w:val="none"/>
              </w:rPr>
            </w:pPr>
          </w:p>
        </w:tc>
        <w:tc>
          <w:tcPr>
            <w:tcW w:w="1203" w:type="dxa"/>
            <w:tcBorders>
              <w:right w:val="single" w:color="auto" w:sz="4" w:space="0"/>
            </w:tcBorders>
            <w:vAlign w:val="center"/>
          </w:tcPr>
          <w:p w14:paraId="210B6FB1">
            <w:pPr>
              <w:pStyle w:val="46"/>
              <w:jc w:val="center"/>
              <w:rPr>
                <w:color w:val="auto"/>
                <w:highlight w:val="none"/>
              </w:rPr>
            </w:pPr>
          </w:p>
        </w:tc>
        <w:tc>
          <w:tcPr>
            <w:tcW w:w="1224" w:type="dxa"/>
            <w:tcBorders>
              <w:left w:val="single" w:color="auto" w:sz="4" w:space="0"/>
            </w:tcBorders>
            <w:vAlign w:val="center"/>
          </w:tcPr>
          <w:p w14:paraId="3462C04F">
            <w:pPr>
              <w:pStyle w:val="46"/>
              <w:jc w:val="center"/>
              <w:rPr>
                <w:color w:val="auto"/>
                <w:highlight w:val="none"/>
              </w:rPr>
            </w:pPr>
          </w:p>
        </w:tc>
        <w:tc>
          <w:tcPr>
            <w:tcW w:w="876" w:type="dxa"/>
            <w:tcBorders>
              <w:left w:val="single" w:color="auto" w:sz="4" w:space="0"/>
            </w:tcBorders>
            <w:vAlign w:val="center"/>
          </w:tcPr>
          <w:p w14:paraId="1BA89E69">
            <w:pPr>
              <w:pStyle w:val="46"/>
              <w:jc w:val="center"/>
              <w:rPr>
                <w:color w:val="auto"/>
                <w:highlight w:val="none"/>
              </w:rPr>
            </w:pPr>
          </w:p>
        </w:tc>
        <w:tc>
          <w:tcPr>
            <w:tcW w:w="1850" w:type="dxa"/>
            <w:vAlign w:val="center"/>
          </w:tcPr>
          <w:p w14:paraId="033DBB1F">
            <w:pPr>
              <w:pStyle w:val="46"/>
              <w:jc w:val="center"/>
              <w:rPr>
                <w:color w:val="auto"/>
                <w:highlight w:val="none"/>
              </w:rPr>
            </w:pPr>
          </w:p>
        </w:tc>
        <w:tc>
          <w:tcPr>
            <w:tcW w:w="1277" w:type="dxa"/>
            <w:vAlign w:val="center"/>
          </w:tcPr>
          <w:p w14:paraId="2148FD62">
            <w:pPr>
              <w:pStyle w:val="46"/>
              <w:jc w:val="center"/>
              <w:rPr>
                <w:color w:val="auto"/>
                <w:highlight w:val="none"/>
              </w:rPr>
            </w:pPr>
          </w:p>
        </w:tc>
        <w:tc>
          <w:tcPr>
            <w:tcW w:w="816" w:type="dxa"/>
            <w:vAlign w:val="center"/>
          </w:tcPr>
          <w:p w14:paraId="73D8F053">
            <w:pPr>
              <w:pStyle w:val="46"/>
              <w:jc w:val="center"/>
              <w:rPr>
                <w:color w:val="auto"/>
                <w:highlight w:val="none"/>
              </w:rPr>
            </w:pPr>
          </w:p>
        </w:tc>
      </w:tr>
      <w:tr w14:paraId="43844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046A6AD6">
            <w:pPr>
              <w:pStyle w:val="46"/>
              <w:jc w:val="center"/>
              <w:rPr>
                <w:color w:val="auto"/>
                <w:highlight w:val="none"/>
              </w:rPr>
            </w:pPr>
            <w:bookmarkStart w:id="575" w:name="_Toc100090785"/>
            <w:bookmarkStart w:id="576" w:name="_Toc99533293"/>
            <w:r>
              <w:rPr>
                <w:rFonts w:hint="eastAsia"/>
                <w:color w:val="auto"/>
                <w:highlight w:val="none"/>
              </w:rPr>
              <w:t>2</w:t>
            </w:r>
            <w:bookmarkEnd w:id="575"/>
            <w:bookmarkEnd w:id="576"/>
          </w:p>
        </w:tc>
        <w:tc>
          <w:tcPr>
            <w:tcW w:w="1143" w:type="dxa"/>
            <w:vAlign w:val="center"/>
          </w:tcPr>
          <w:p w14:paraId="3D8D2A32">
            <w:pPr>
              <w:pStyle w:val="46"/>
              <w:jc w:val="center"/>
              <w:rPr>
                <w:color w:val="auto"/>
                <w:highlight w:val="none"/>
              </w:rPr>
            </w:pPr>
          </w:p>
        </w:tc>
        <w:tc>
          <w:tcPr>
            <w:tcW w:w="1203" w:type="dxa"/>
            <w:tcBorders>
              <w:right w:val="single" w:color="auto" w:sz="4" w:space="0"/>
            </w:tcBorders>
            <w:vAlign w:val="center"/>
          </w:tcPr>
          <w:p w14:paraId="2762151A">
            <w:pPr>
              <w:pStyle w:val="46"/>
              <w:jc w:val="center"/>
              <w:rPr>
                <w:color w:val="auto"/>
                <w:highlight w:val="none"/>
              </w:rPr>
            </w:pPr>
          </w:p>
        </w:tc>
        <w:tc>
          <w:tcPr>
            <w:tcW w:w="1224" w:type="dxa"/>
            <w:tcBorders>
              <w:left w:val="single" w:color="auto" w:sz="4" w:space="0"/>
            </w:tcBorders>
            <w:vAlign w:val="center"/>
          </w:tcPr>
          <w:p w14:paraId="372D6CF0">
            <w:pPr>
              <w:pStyle w:val="46"/>
              <w:jc w:val="center"/>
              <w:rPr>
                <w:color w:val="auto"/>
                <w:highlight w:val="none"/>
              </w:rPr>
            </w:pPr>
          </w:p>
        </w:tc>
        <w:tc>
          <w:tcPr>
            <w:tcW w:w="876" w:type="dxa"/>
            <w:tcBorders>
              <w:left w:val="single" w:color="auto" w:sz="4" w:space="0"/>
            </w:tcBorders>
            <w:vAlign w:val="center"/>
          </w:tcPr>
          <w:p w14:paraId="2BCE8297">
            <w:pPr>
              <w:pStyle w:val="46"/>
              <w:jc w:val="center"/>
              <w:rPr>
                <w:color w:val="auto"/>
                <w:highlight w:val="none"/>
              </w:rPr>
            </w:pPr>
          </w:p>
        </w:tc>
        <w:tc>
          <w:tcPr>
            <w:tcW w:w="1850" w:type="dxa"/>
            <w:vAlign w:val="center"/>
          </w:tcPr>
          <w:p w14:paraId="0DB83334">
            <w:pPr>
              <w:pStyle w:val="46"/>
              <w:jc w:val="center"/>
              <w:rPr>
                <w:color w:val="auto"/>
                <w:highlight w:val="none"/>
              </w:rPr>
            </w:pPr>
          </w:p>
        </w:tc>
        <w:tc>
          <w:tcPr>
            <w:tcW w:w="1277" w:type="dxa"/>
            <w:vAlign w:val="center"/>
          </w:tcPr>
          <w:p w14:paraId="77E48E09">
            <w:pPr>
              <w:pStyle w:val="46"/>
              <w:jc w:val="center"/>
              <w:rPr>
                <w:color w:val="auto"/>
                <w:highlight w:val="none"/>
              </w:rPr>
            </w:pPr>
          </w:p>
        </w:tc>
        <w:tc>
          <w:tcPr>
            <w:tcW w:w="816" w:type="dxa"/>
            <w:vAlign w:val="center"/>
          </w:tcPr>
          <w:p w14:paraId="32CE3B63">
            <w:pPr>
              <w:pStyle w:val="46"/>
              <w:jc w:val="center"/>
              <w:rPr>
                <w:color w:val="auto"/>
                <w:highlight w:val="none"/>
              </w:rPr>
            </w:pPr>
          </w:p>
        </w:tc>
      </w:tr>
      <w:tr w14:paraId="5E7FA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E23E322">
            <w:pPr>
              <w:pStyle w:val="46"/>
              <w:jc w:val="center"/>
              <w:rPr>
                <w:color w:val="auto"/>
                <w:highlight w:val="none"/>
              </w:rPr>
            </w:pPr>
            <w:bookmarkStart w:id="577" w:name="_Toc100090786"/>
            <w:bookmarkStart w:id="578" w:name="_Toc99533294"/>
            <w:r>
              <w:rPr>
                <w:rFonts w:hint="eastAsia"/>
                <w:color w:val="auto"/>
                <w:highlight w:val="none"/>
              </w:rPr>
              <w:t>3</w:t>
            </w:r>
            <w:bookmarkEnd w:id="577"/>
            <w:bookmarkEnd w:id="578"/>
          </w:p>
        </w:tc>
        <w:tc>
          <w:tcPr>
            <w:tcW w:w="1143" w:type="dxa"/>
            <w:vAlign w:val="center"/>
          </w:tcPr>
          <w:p w14:paraId="5622553E">
            <w:pPr>
              <w:pStyle w:val="46"/>
              <w:jc w:val="center"/>
              <w:rPr>
                <w:color w:val="auto"/>
                <w:highlight w:val="none"/>
              </w:rPr>
            </w:pPr>
          </w:p>
        </w:tc>
        <w:tc>
          <w:tcPr>
            <w:tcW w:w="1203" w:type="dxa"/>
            <w:tcBorders>
              <w:right w:val="single" w:color="auto" w:sz="4" w:space="0"/>
            </w:tcBorders>
            <w:vAlign w:val="center"/>
          </w:tcPr>
          <w:p w14:paraId="145347C3">
            <w:pPr>
              <w:pStyle w:val="46"/>
              <w:jc w:val="center"/>
              <w:rPr>
                <w:color w:val="auto"/>
                <w:highlight w:val="none"/>
              </w:rPr>
            </w:pPr>
          </w:p>
        </w:tc>
        <w:tc>
          <w:tcPr>
            <w:tcW w:w="1224" w:type="dxa"/>
            <w:tcBorders>
              <w:left w:val="single" w:color="auto" w:sz="4" w:space="0"/>
            </w:tcBorders>
            <w:vAlign w:val="center"/>
          </w:tcPr>
          <w:p w14:paraId="78C911C0">
            <w:pPr>
              <w:pStyle w:val="46"/>
              <w:jc w:val="center"/>
              <w:rPr>
                <w:color w:val="auto"/>
                <w:highlight w:val="none"/>
              </w:rPr>
            </w:pPr>
          </w:p>
        </w:tc>
        <w:tc>
          <w:tcPr>
            <w:tcW w:w="876" w:type="dxa"/>
            <w:tcBorders>
              <w:left w:val="single" w:color="auto" w:sz="4" w:space="0"/>
            </w:tcBorders>
            <w:vAlign w:val="center"/>
          </w:tcPr>
          <w:p w14:paraId="1632F2FA">
            <w:pPr>
              <w:pStyle w:val="46"/>
              <w:jc w:val="center"/>
              <w:rPr>
                <w:color w:val="auto"/>
                <w:highlight w:val="none"/>
              </w:rPr>
            </w:pPr>
          </w:p>
        </w:tc>
        <w:tc>
          <w:tcPr>
            <w:tcW w:w="1850" w:type="dxa"/>
            <w:vAlign w:val="center"/>
          </w:tcPr>
          <w:p w14:paraId="4AE50BE4">
            <w:pPr>
              <w:pStyle w:val="46"/>
              <w:jc w:val="center"/>
              <w:rPr>
                <w:color w:val="auto"/>
                <w:highlight w:val="none"/>
              </w:rPr>
            </w:pPr>
          </w:p>
        </w:tc>
        <w:tc>
          <w:tcPr>
            <w:tcW w:w="1277" w:type="dxa"/>
            <w:vAlign w:val="center"/>
          </w:tcPr>
          <w:p w14:paraId="107FDE9E">
            <w:pPr>
              <w:pStyle w:val="46"/>
              <w:jc w:val="center"/>
              <w:rPr>
                <w:color w:val="auto"/>
                <w:highlight w:val="none"/>
              </w:rPr>
            </w:pPr>
          </w:p>
        </w:tc>
        <w:tc>
          <w:tcPr>
            <w:tcW w:w="816" w:type="dxa"/>
            <w:vAlign w:val="center"/>
          </w:tcPr>
          <w:p w14:paraId="0FCF0246">
            <w:pPr>
              <w:pStyle w:val="46"/>
              <w:jc w:val="center"/>
              <w:rPr>
                <w:color w:val="auto"/>
                <w:highlight w:val="none"/>
              </w:rPr>
            </w:pPr>
          </w:p>
        </w:tc>
      </w:tr>
      <w:tr w14:paraId="076A7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85BF670">
            <w:pPr>
              <w:pStyle w:val="46"/>
              <w:jc w:val="center"/>
              <w:rPr>
                <w:color w:val="auto"/>
                <w:highlight w:val="none"/>
              </w:rPr>
            </w:pPr>
            <w:bookmarkStart w:id="579" w:name="_Toc99533295"/>
            <w:bookmarkStart w:id="580" w:name="_Toc100090787"/>
            <w:r>
              <w:rPr>
                <w:rFonts w:hint="eastAsia"/>
                <w:color w:val="auto"/>
                <w:highlight w:val="none"/>
              </w:rPr>
              <w:t>4</w:t>
            </w:r>
            <w:bookmarkEnd w:id="579"/>
            <w:bookmarkEnd w:id="580"/>
          </w:p>
        </w:tc>
        <w:tc>
          <w:tcPr>
            <w:tcW w:w="1143" w:type="dxa"/>
            <w:vAlign w:val="center"/>
          </w:tcPr>
          <w:p w14:paraId="06A33E5B">
            <w:pPr>
              <w:pStyle w:val="46"/>
              <w:jc w:val="center"/>
              <w:rPr>
                <w:color w:val="auto"/>
                <w:highlight w:val="none"/>
              </w:rPr>
            </w:pPr>
          </w:p>
        </w:tc>
        <w:tc>
          <w:tcPr>
            <w:tcW w:w="1203" w:type="dxa"/>
            <w:tcBorders>
              <w:right w:val="single" w:color="auto" w:sz="4" w:space="0"/>
            </w:tcBorders>
            <w:vAlign w:val="center"/>
          </w:tcPr>
          <w:p w14:paraId="7BBB4E02">
            <w:pPr>
              <w:pStyle w:val="46"/>
              <w:jc w:val="center"/>
              <w:rPr>
                <w:color w:val="auto"/>
                <w:highlight w:val="none"/>
              </w:rPr>
            </w:pPr>
          </w:p>
        </w:tc>
        <w:tc>
          <w:tcPr>
            <w:tcW w:w="1224" w:type="dxa"/>
            <w:tcBorders>
              <w:left w:val="single" w:color="auto" w:sz="4" w:space="0"/>
            </w:tcBorders>
            <w:vAlign w:val="center"/>
          </w:tcPr>
          <w:p w14:paraId="260605CA">
            <w:pPr>
              <w:pStyle w:val="46"/>
              <w:jc w:val="center"/>
              <w:rPr>
                <w:color w:val="auto"/>
                <w:highlight w:val="none"/>
              </w:rPr>
            </w:pPr>
          </w:p>
        </w:tc>
        <w:tc>
          <w:tcPr>
            <w:tcW w:w="876" w:type="dxa"/>
            <w:tcBorders>
              <w:left w:val="single" w:color="auto" w:sz="4" w:space="0"/>
            </w:tcBorders>
            <w:vAlign w:val="center"/>
          </w:tcPr>
          <w:p w14:paraId="55F61FA3">
            <w:pPr>
              <w:pStyle w:val="46"/>
              <w:jc w:val="center"/>
              <w:rPr>
                <w:color w:val="auto"/>
                <w:highlight w:val="none"/>
              </w:rPr>
            </w:pPr>
          </w:p>
        </w:tc>
        <w:tc>
          <w:tcPr>
            <w:tcW w:w="1850" w:type="dxa"/>
            <w:vAlign w:val="center"/>
          </w:tcPr>
          <w:p w14:paraId="05E14483">
            <w:pPr>
              <w:pStyle w:val="46"/>
              <w:jc w:val="center"/>
              <w:rPr>
                <w:color w:val="auto"/>
                <w:highlight w:val="none"/>
              </w:rPr>
            </w:pPr>
          </w:p>
        </w:tc>
        <w:tc>
          <w:tcPr>
            <w:tcW w:w="1277" w:type="dxa"/>
            <w:vAlign w:val="center"/>
          </w:tcPr>
          <w:p w14:paraId="7A6D63FA">
            <w:pPr>
              <w:pStyle w:val="46"/>
              <w:jc w:val="center"/>
              <w:rPr>
                <w:color w:val="auto"/>
                <w:highlight w:val="none"/>
              </w:rPr>
            </w:pPr>
          </w:p>
        </w:tc>
        <w:tc>
          <w:tcPr>
            <w:tcW w:w="816" w:type="dxa"/>
            <w:vAlign w:val="center"/>
          </w:tcPr>
          <w:p w14:paraId="20DFABE1">
            <w:pPr>
              <w:pStyle w:val="46"/>
              <w:jc w:val="center"/>
              <w:rPr>
                <w:color w:val="auto"/>
                <w:highlight w:val="none"/>
              </w:rPr>
            </w:pPr>
          </w:p>
        </w:tc>
      </w:tr>
      <w:tr w14:paraId="5F3FD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6043CD23">
            <w:pPr>
              <w:pStyle w:val="46"/>
              <w:jc w:val="center"/>
              <w:rPr>
                <w:color w:val="auto"/>
                <w:highlight w:val="none"/>
              </w:rPr>
            </w:pPr>
            <w:bookmarkStart w:id="581" w:name="_Toc100090788"/>
            <w:bookmarkStart w:id="582" w:name="_Toc99533296"/>
            <w:r>
              <w:rPr>
                <w:rFonts w:hint="eastAsia"/>
                <w:color w:val="auto"/>
                <w:highlight w:val="none"/>
              </w:rPr>
              <w:t>5</w:t>
            </w:r>
            <w:bookmarkEnd w:id="581"/>
            <w:bookmarkEnd w:id="582"/>
          </w:p>
        </w:tc>
        <w:tc>
          <w:tcPr>
            <w:tcW w:w="1143" w:type="dxa"/>
            <w:vAlign w:val="center"/>
          </w:tcPr>
          <w:p w14:paraId="1A0773CB">
            <w:pPr>
              <w:pStyle w:val="46"/>
              <w:jc w:val="center"/>
              <w:rPr>
                <w:color w:val="auto"/>
                <w:highlight w:val="none"/>
              </w:rPr>
            </w:pPr>
          </w:p>
        </w:tc>
        <w:tc>
          <w:tcPr>
            <w:tcW w:w="1203" w:type="dxa"/>
            <w:tcBorders>
              <w:right w:val="single" w:color="auto" w:sz="4" w:space="0"/>
            </w:tcBorders>
            <w:vAlign w:val="center"/>
          </w:tcPr>
          <w:p w14:paraId="61787A67">
            <w:pPr>
              <w:pStyle w:val="46"/>
              <w:jc w:val="center"/>
              <w:rPr>
                <w:color w:val="auto"/>
                <w:highlight w:val="none"/>
              </w:rPr>
            </w:pPr>
          </w:p>
        </w:tc>
        <w:tc>
          <w:tcPr>
            <w:tcW w:w="1224" w:type="dxa"/>
            <w:tcBorders>
              <w:left w:val="single" w:color="auto" w:sz="4" w:space="0"/>
            </w:tcBorders>
            <w:vAlign w:val="center"/>
          </w:tcPr>
          <w:p w14:paraId="15BBA932">
            <w:pPr>
              <w:pStyle w:val="46"/>
              <w:jc w:val="center"/>
              <w:rPr>
                <w:color w:val="auto"/>
                <w:highlight w:val="none"/>
              </w:rPr>
            </w:pPr>
          </w:p>
        </w:tc>
        <w:tc>
          <w:tcPr>
            <w:tcW w:w="876" w:type="dxa"/>
            <w:tcBorders>
              <w:left w:val="single" w:color="auto" w:sz="4" w:space="0"/>
            </w:tcBorders>
            <w:vAlign w:val="center"/>
          </w:tcPr>
          <w:p w14:paraId="48AABD5E">
            <w:pPr>
              <w:pStyle w:val="46"/>
              <w:jc w:val="center"/>
              <w:rPr>
                <w:color w:val="auto"/>
                <w:highlight w:val="none"/>
              </w:rPr>
            </w:pPr>
          </w:p>
        </w:tc>
        <w:tc>
          <w:tcPr>
            <w:tcW w:w="1850" w:type="dxa"/>
            <w:vAlign w:val="center"/>
          </w:tcPr>
          <w:p w14:paraId="2BC300D7">
            <w:pPr>
              <w:pStyle w:val="46"/>
              <w:jc w:val="center"/>
              <w:rPr>
                <w:color w:val="auto"/>
                <w:highlight w:val="none"/>
              </w:rPr>
            </w:pPr>
          </w:p>
        </w:tc>
        <w:tc>
          <w:tcPr>
            <w:tcW w:w="1277" w:type="dxa"/>
            <w:vAlign w:val="center"/>
          </w:tcPr>
          <w:p w14:paraId="3943C72A">
            <w:pPr>
              <w:pStyle w:val="46"/>
              <w:jc w:val="center"/>
              <w:rPr>
                <w:color w:val="auto"/>
                <w:highlight w:val="none"/>
              </w:rPr>
            </w:pPr>
          </w:p>
        </w:tc>
        <w:tc>
          <w:tcPr>
            <w:tcW w:w="816" w:type="dxa"/>
            <w:vAlign w:val="center"/>
          </w:tcPr>
          <w:p w14:paraId="04141556">
            <w:pPr>
              <w:pStyle w:val="46"/>
              <w:jc w:val="center"/>
              <w:rPr>
                <w:color w:val="auto"/>
                <w:highlight w:val="none"/>
              </w:rPr>
            </w:pPr>
          </w:p>
        </w:tc>
      </w:tr>
      <w:tr w14:paraId="0EDD6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E74CE0E">
            <w:pPr>
              <w:pStyle w:val="46"/>
              <w:jc w:val="center"/>
              <w:rPr>
                <w:color w:val="auto"/>
                <w:highlight w:val="none"/>
              </w:rPr>
            </w:pPr>
            <w:bookmarkStart w:id="583" w:name="_Toc100090789"/>
            <w:bookmarkStart w:id="584" w:name="_Toc99533297"/>
            <w:r>
              <w:rPr>
                <w:rFonts w:hint="eastAsia"/>
                <w:color w:val="auto"/>
                <w:highlight w:val="none"/>
              </w:rPr>
              <w:t>6</w:t>
            </w:r>
            <w:bookmarkEnd w:id="583"/>
            <w:bookmarkEnd w:id="584"/>
          </w:p>
        </w:tc>
        <w:tc>
          <w:tcPr>
            <w:tcW w:w="1143" w:type="dxa"/>
            <w:vAlign w:val="center"/>
          </w:tcPr>
          <w:p w14:paraId="629198B4">
            <w:pPr>
              <w:pStyle w:val="46"/>
              <w:jc w:val="center"/>
              <w:rPr>
                <w:color w:val="auto"/>
                <w:highlight w:val="none"/>
              </w:rPr>
            </w:pPr>
          </w:p>
        </w:tc>
        <w:tc>
          <w:tcPr>
            <w:tcW w:w="1203" w:type="dxa"/>
            <w:tcBorders>
              <w:right w:val="single" w:color="auto" w:sz="4" w:space="0"/>
            </w:tcBorders>
            <w:vAlign w:val="center"/>
          </w:tcPr>
          <w:p w14:paraId="612B4791">
            <w:pPr>
              <w:pStyle w:val="46"/>
              <w:jc w:val="center"/>
              <w:rPr>
                <w:color w:val="auto"/>
                <w:highlight w:val="none"/>
              </w:rPr>
            </w:pPr>
          </w:p>
        </w:tc>
        <w:tc>
          <w:tcPr>
            <w:tcW w:w="1224" w:type="dxa"/>
            <w:tcBorders>
              <w:left w:val="single" w:color="auto" w:sz="4" w:space="0"/>
            </w:tcBorders>
            <w:vAlign w:val="center"/>
          </w:tcPr>
          <w:p w14:paraId="13596CFC">
            <w:pPr>
              <w:pStyle w:val="46"/>
              <w:jc w:val="center"/>
              <w:rPr>
                <w:color w:val="auto"/>
                <w:highlight w:val="none"/>
              </w:rPr>
            </w:pPr>
          </w:p>
        </w:tc>
        <w:tc>
          <w:tcPr>
            <w:tcW w:w="876" w:type="dxa"/>
            <w:tcBorders>
              <w:left w:val="single" w:color="auto" w:sz="4" w:space="0"/>
            </w:tcBorders>
            <w:vAlign w:val="center"/>
          </w:tcPr>
          <w:p w14:paraId="26E67AC9">
            <w:pPr>
              <w:pStyle w:val="46"/>
              <w:jc w:val="center"/>
              <w:rPr>
                <w:color w:val="auto"/>
                <w:highlight w:val="none"/>
              </w:rPr>
            </w:pPr>
          </w:p>
        </w:tc>
        <w:tc>
          <w:tcPr>
            <w:tcW w:w="1850" w:type="dxa"/>
            <w:vAlign w:val="center"/>
          </w:tcPr>
          <w:p w14:paraId="0134580B">
            <w:pPr>
              <w:pStyle w:val="46"/>
              <w:jc w:val="center"/>
              <w:rPr>
                <w:color w:val="auto"/>
                <w:highlight w:val="none"/>
              </w:rPr>
            </w:pPr>
          </w:p>
        </w:tc>
        <w:tc>
          <w:tcPr>
            <w:tcW w:w="1277" w:type="dxa"/>
            <w:vAlign w:val="center"/>
          </w:tcPr>
          <w:p w14:paraId="6FF03D95">
            <w:pPr>
              <w:pStyle w:val="46"/>
              <w:jc w:val="center"/>
              <w:rPr>
                <w:color w:val="auto"/>
                <w:highlight w:val="none"/>
              </w:rPr>
            </w:pPr>
          </w:p>
        </w:tc>
        <w:tc>
          <w:tcPr>
            <w:tcW w:w="816" w:type="dxa"/>
            <w:vAlign w:val="center"/>
          </w:tcPr>
          <w:p w14:paraId="01F1AED7">
            <w:pPr>
              <w:pStyle w:val="46"/>
              <w:jc w:val="center"/>
              <w:rPr>
                <w:color w:val="auto"/>
                <w:highlight w:val="none"/>
              </w:rPr>
            </w:pPr>
          </w:p>
        </w:tc>
      </w:tr>
      <w:tr w14:paraId="4DB1B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F34A3A2">
            <w:pPr>
              <w:pStyle w:val="46"/>
              <w:jc w:val="center"/>
              <w:rPr>
                <w:color w:val="auto"/>
                <w:highlight w:val="none"/>
              </w:rPr>
            </w:pPr>
            <w:bookmarkStart w:id="585" w:name="_Toc99533298"/>
            <w:bookmarkStart w:id="586" w:name="_Toc100090790"/>
            <w:r>
              <w:rPr>
                <w:rFonts w:hint="eastAsia"/>
                <w:color w:val="auto"/>
                <w:highlight w:val="none"/>
              </w:rPr>
              <w:t>7</w:t>
            </w:r>
            <w:bookmarkEnd w:id="585"/>
            <w:bookmarkEnd w:id="586"/>
          </w:p>
        </w:tc>
        <w:tc>
          <w:tcPr>
            <w:tcW w:w="1143" w:type="dxa"/>
            <w:vAlign w:val="center"/>
          </w:tcPr>
          <w:p w14:paraId="652A7D64">
            <w:pPr>
              <w:pStyle w:val="46"/>
              <w:jc w:val="center"/>
              <w:rPr>
                <w:color w:val="auto"/>
                <w:highlight w:val="none"/>
              </w:rPr>
            </w:pPr>
          </w:p>
        </w:tc>
        <w:tc>
          <w:tcPr>
            <w:tcW w:w="1203" w:type="dxa"/>
            <w:tcBorders>
              <w:right w:val="single" w:color="auto" w:sz="4" w:space="0"/>
            </w:tcBorders>
            <w:vAlign w:val="center"/>
          </w:tcPr>
          <w:p w14:paraId="05008CFD">
            <w:pPr>
              <w:pStyle w:val="46"/>
              <w:jc w:val="center"/>
              <w:rPr>
                <w:color w:val="auto"/>
                <w:highlight w:val="none"/>
              </w:rPr>
            </w:pPr>
          </w:p>
        </w:tc>
        <w:tc>
          <w:tcPr>
            <w:tcW w:w="1224" w:type="dxa"/>
            <w:tcBorders>
              <w:left w:val="single" w:color="auto" w:sz="4" w:space="0"/>
            </w:tcBorders>
            <w:vAlign w:val="center"/>
          </w:tcPr>
          <w:p w14:paraId="3050402F">
            <w:pPr>
              <w:pStyle w:val="46"/>
              <w:jc w:val="center"/>
              <w:rPr>
                <w:color w:val="auto"/>
                <w:highlight w:val="none"/>
              </w:rPr>
            </w:pPr>
          </w:p>
        </w:tc>
        <w:tc>
          <w:tcPr>
            <w:tcW w:w="876" w:type="dxa"/>
            <w:tcBorders>
              <w:left w:val="single" w:color="auto" w:sz="4" w:space="0"/>
            </w:tcBorders>
            <w:vAlign w:val="center"/>
          </w:tcPr>
          <w:p w14:paraId="358C0B3B">
            <w:pPr>
              <w:pStyle w:val="46"/>
              <w:jc w:val="center"/>
              <w:rPr>
                <w:color w:val="auto"/>
                <w:highlight w:val="none"/>
              </w:rPr>
            </w:pPr>
          </w:p>
        </w:tc>
        <w:tc>
          <w:tcPr>
            <w:tcW w:w="1850" w:type="dxa"/>
            <w:vAlign w:val="center"/>
          </w:tcPr>
          <w:p w14:paraId="706D8915">
            <w:pPr>
              <w:pStyle w:val="46"/>
              <w:jc w:val="center"/>
              <w:rPr>
                <w:color w:val="auto"/>
                <w:highlight w:val="none"/>
              </w:rPr>
            </w:pPr>
          </w:p>
        </w:tc>
        <w:tc>
          <w:tcPr>
            <w:tcW w:w="1277" w:type="dxa"/>
            <w:vAlign w:val="center"/>
          </w:tcPr>
          <w:p w14:paraId="5FBF328E">
            <w:pPr>
              <w:pStyle w:val="46"/>
              <w:jc w:val="center"/>
              <w:rPr>
                <w:color w:val="auto"/>
                <w:highlight w:val="none"/>
              </w:rPr>
            </w:pPr>
          </w:p>
        </w:tc>
        <w:tc>
          <w:tcPr>
            <w:tcW w:w="816" w:type="dxa"/>
            <w:vAlign w:val="center"/>
          </w:tcPr>
          <w:p w14:paraId="1DADAFB4">
            <w:pPr>
              <w:pStyle w:val="46"/>
              <w:jc w:val="center"/>
              <w:rPr>
                <w:color w:val="auto"/>
                <w:highlight w:val="none"/>
              </w:rPr>
            </w:pPr>
          </w:p>
        </w:tc>
      </w:tr>
      <w:tr w14:paraId="736D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20C2EDAD">
            <w:pPr>
              <w:pStyle w:val="46"/>
              <w:jc w:val="center"/>
              <w:rPr>
                <w:color w:val="auto"/>
                <w:highlight w:val="none"/>
              </w:rPr>
            </w:pPr>
            <w:bookmarkStart w:id="587" w:name="_Toc99533299"/>
            <w:bookmarkStart w:id="588" w:name="_Toc100090791"/>
            <w:r>
              <w:rPr>
                <w:rFonts w:hint="eastAsia"/>
                <w:color w:val="auto"/>
                <w:highlight w:val="none"/>
              </w:rPr>
              <w:t>8</w:t>
            </w:r>
            <w:bookmarkEnd w:id="587"/>
            <w:bookmarkEnd w:id="588"/>
          </w:p>
        </w:tc>
        <w:tc>
          <w:tcPr>
            <w:tcW w:w="1143" w:type="dxa"/>
            <w:vAlign w:val="center"/>
          </w:tcPr>
          <w:p w14:paraId="4937ABBF">
            <w:pPr>
              <w:pStyle w:val="46"/>
              <w:jc w:val="center"/>
              <w:rPr>
                <w:color w:val="auto"/>
                <w:highlight w:val="none"/>
              </w:rPr>
            </w:pPr>
          </w:p>
        </w:tc>
        <w:tc>
          <w:tcPr>
            <w:tcW w:w="1203" w:type="dxa"/>
            <w:tcBorders>
              <w:right w:val="single" w:color="auto" w:sz="4" w:space="0"/>
            </w:tcBorders>
            <w:vAlign w:val="center"/>
          </w:tcPr>
          <w:p w14:paraId="5907D5C6">
            <w:pPr>
              <w:pStyle w:val="46"/>
              <w:jc w:val="center"/>
              <w:rPr>
                <w:color w:val="auto"/>
                <w:highlight w:val="none"/>
              </w:rPr>
            </w:pPr>
          </w:p>
        </w:tc>
        <w:tc>
          <w:tcPr>
            <w:tcW w:w="1224" w:type="dxa"/>
            <w:tcBorders>
              <w:left w:val="single" w:color="auto" w:sz="4" w:space="0"/>
            </w:tcBorders>
            <w:vAlign w:val="center"/>
          </w:tcPr>
          <w:p w14:paraId="397DE284">
            <w:pPr>
              <w:pStyle w:val="46"/>
              <w:jc w:val="center"/>
              <w:rPr>
                <w:color w:val="auto"/>
                <w:highlight w:val="none"/>
              </w:rPr>
            </w:pPr>
          </w:p>
        </w:tc>
        <w:tc>
          <w:tcPr>
            <w:tcW w:w="876" w:type="dxa"/>
            <w:tcBorders>
              <w:left w:val="single" w:color="auto" w:sz="4" w:space="0"/>
            </w:tcBorders>
            <w:vAlign w:val="center"/>
          </w:tcPr>
          <w:p w14:paraId="2E8853F7">
            <w:pPr>
              <w:pStyle w:val="46"/>
              <w:jc w:val="center"/>
              <w:rPr>
                <w:color w:val="auto"/>
                <w:highlight w:val="none"/>
              </w:rPr>
            </w:pPr>
          </w:p>
        </w:tc>
        <w:tc>
          <w:tcPr>
            <w:tcW w:w="1850" w:type="dxa"/>
            <w:vAlign w:val="center"/>
          </w:tcPr>
          <w:p w14:paraId="32E60044">
            <w:pPr>
              <w:pStyle w:val="46"/>
              <w:jc w:val="center"/>
              <w:rPr>
                <w:color w:val="auto"/>
                <w:highlight w:val="none"/>
              </w:rPr>
            </w:pPr>
          </w:p>
        </w:tc>
        <w:tc>
          <w:tcPr>
            <w:tcW w:w="1277" w:type="dxa"/>
            <w:vAlign w:val="center"/>
          </w:tcPr>
          <w:p w14:paraId="7107F6B0">
            <w:pPr>
              <w:pStyle w:val="46"/>
              <w:jc w:val="center"/>
              <w:rPr>
                <w:color w:val="auto"/>
                <w:highlight w:val="none"/>
              </w:rPr>
            </w:pPr>
          </w:p>
        </w:tc>
        <w:tc>
          <w:tcPr>
            <w:tcW w:w="816" w:type="dxa"/>
            <w:vAlign w:val="center"/>
          </w:tcPr>
          <w:p w14:paraId="5E455759">
            <w:pPr>
              <w:pStyle w:val="46"/>
              <w:jc w:val="center"/>
              <w:rPr>
                <w:color w:val="auto"/>
                <w:highlight w:val="none"/>
              </w:rPr>
            </w:pPr>
          </w:p>
        </w:tc>
      </w:tr>
      <w:tr w14:paraId="71A5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773" w:type="dxa"/>
            <w:vAlign w:val="center"/>
          </w:tcPr>
          <w:p w14:paraId="4C0658B4">
            <w:pPr>
              <w:pStyle w:val="46"/>
              <w:jc w:val="center"/>
              <w:rPr>
                <w:color w:val="auto"/>
                <w:highlight w:val="none"/>
              </w:rPr>
            </w:pPr>
            <w:bookmarkStart w:id="589" w:name="_Toc99533300"/>
            <w:bookmarkStart w:id="590" w:name="_Toc100090792"/>
            <w:r>
              <w:rPr>
                <w:rFonts w:hint="eastAsia"/>
                <w:color w:val="auto"/>
                <w:highlight w:val="none"/>
              </w:rPr>
              <w:t>9</w:t>
            </w:r>
            <w:bookmarkEnd w:id="589"/>
            <w:bookmarkEnd w:id="590"/>
          </w:p>
        </w:tc>
        <w:tc>
          <w:tcPr>
            <w:tcW w:w="1143" w:type="dxa"/>
            <w:vAlign w:val="center"/>
          </w:tcPr>
          <w:p w14:paraId="6A62F423">
            <w:pPr>
              <w:pStyle w:val="46"/>
              <w:jc w:val="center"/>
              <w:rPr>
                <w:color w:val="auto"/>
                <w:highlight w:val="none"/>
              </w:rPr>
            </w:pPr>
          </w:p>
        </w:tc>
        <w:tc>
          <w:tcPr>
            <w:tcW w:w="1203" w:type="dxa"/>
            <w:tcBorders>
              <w:right w:val="single" w:color="auto" w:sz="4" w:space="0"/>
            </w:tcBorders>
            <w:vAlign w:val="center"/>
          </w:tcPr>
          <w:p w14:paraId="651A0213">
            <w:pPr>
              <w:pStyle w:val="46"/>
              <w:jc w:val="center"/>
              <w:rPr>
                <w:color w:val="auto"/>
                <w:highlight w:val="none"/>
              </w:rPr>
            </w:pPr>
          </w:p>
        </w:tc>
        <w:tc>
          <w:tcPr>
            <w:tcW w:w="1224" w:type="dxa"/>
            <w:tcBorders>
              <w:left w:val="single" w:color="auto" w:sz="4" w:space="0"/>
            </w:tcBorders>
            <w:vAlign w:val="center"/>
          </w:tcPr>
          <w:p w14:paraId="4A278517">
            <w:pPr>
              <w:pStyle w:val="46"/>
              <w:jc w:val="center"/>
              <w:rPr>
                <w:color w:val="auto"/>
                <w:highlight w:val="none"/>
              </w:rPr>
            </w:pPr>
          </w:p>
        </w:tc>
        <w:tc>
          <w:tcPr>
            <w:tcW w:w="876" w:type="dxa"/>
            <w:tcBorders>
              <w:left w:val="single" w:color="auto" w:sz="4" w:space="0"/>
            </w:tcBorders>
            <w:vAlign w:val="center"/>
          </w:tcPr>
          <w:p w14:paraId="3F670292">
            <w:pPr>
              <w:pStyle w:val="46"/>
              <w:jc w:val="center"/>
              <w:rPr>
                <w:color w:val="auto"/>
                <w:highlight w:val="none"/>
              </w:rPr>
            </w:pPr>
          </w:p>
        </w:tc>
        <w:tc>
          <w:tcPr>
            <w:tcW w:w="1850" w:type="dxa"/>
            <w:vAlign w:val="center"/>
          </w:tcPr>
          <w:p w14:paraId="00A3D20D">
            <w:pPr>
              <w:pStyle w:val="46"/>
              <w:jc w:val="center"/>
              <w:rPr>
                <w:color w:val="auto"/>
                <w:highlight w:val="none"/>
              </w:rPr>
            </w:pPr>
          </w:p>
        </w:tc>
        <w:tc>
          <w:tcPr>
            <w:tcW w:w="1277" w:type="dxa"/>
            <w:vAlign w:val="center"/>
          </w:tcPr>
          <w:p w14:paraId="6968EA5F">
            <w:pPr>
              <w:pStyle w:val="46"/>
              <w:jc w:val="center"/>
              <w:rPr>
                <w:color w:val="auto"/>
                <w:highlight w:val="none"/>
              </w:rPr>
            </w:pPr>
          </w:p>
        </w:tc>
        <w:tc>
          <w:tcPr>
            <w:tcW w:w="816" w:type="dxa"/>
            <w:vAlign w:val="center"/>
          </w:tcPr>
          <w:p w14:paraId="6E89C893">
            <w:pPr>
              <w:pStyle w:val="46"/>
              <w:jc w:val="center"/>
              <w:rPr>
                <w:color w:val="auto"/>
                <w:highlight w:val="none"/>
              </w:rPr>
            </w:pPr>
          </w:p>
        </w:tc>
      </w:tr>
      <w:tr w14:paraId="06369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773" w:type="dxa"/>
            <w:vAlign w:val="center"/>
          </w:tcPr>
          <w:p w14:paraId="07A94533">
            <w:pPr>
              <w:pStyle w:val="46"/>
              <w:jc w:val="center"/>
              <w:rPr>
                <w:color w:val="auto"/>
                <w:highlight w:val="none"/>
              </w:rPr>
            </w:pPr>
            <w:bookmarkStart w:id="591" w:name="_Toc99533301"/>
            <w:bookmarkStart w:id="592" w:name="_Toc100090793"/>
            <w:r>
              <w:rPr>
                <w:rFonts w:hint="eastAsia"/>
                <w:color w:val="auto"/>
                <w:highlight w:val="none"/>
              </w:rPr>
              <w:t>10</w:t>
            </w:r>
            <w:bookmarkEnd w:id="591"/>
            <w:bookmarkEnd w:id="592"/>
          </w:p>
        </w:tc>
        <w:tc>
          <w:tcPr>
            <w:tcW w:w="1143" w:type="dxa"/>
            <w:vAlign w:val="center"/>
          </w:tcPr>
          <w:p w14:paraId="3DA04C3D">
            <w:pPr>
              <w:pStyle w:val="46"/>
              <w:jc w:val="center"/>
              <w:rPr>
                <w:color w:val="auto"/>
                <w:highlight w:val="none"/>
              </w:rPr>
            </w:pPr>
          </w:p>
        </w:tc>
        <w:tc>
          <w:tcPr>
            <w:tcW w:w="1203" w:type="dxa"/>
            <w:tcBorders>
              <w:right w:val="single" w:color="auto" w:sz="4" w:space="0"/>
            </w:tcBorders>
            <w:vAlign w:val="center"/>
          </w:tcPr>
          <w:p w14:paraId="4BA13044">
            <w:pPr>
              <w:pStyle w:val="46"/>
              <w:jc w:val="center"/>
              <w:rPr>
                <w:color w:val="auto"/>
                <w:highlight w:val="none"/>
              </w:rPr>
            </w:pPr>
          </w:p>
        </w:tc>
        <w:tc>
          <w:tcPr>
            <w:tcW w:w="1224" w:type="dxa"/>
            <w:tcBorders>
              <w:left w:val="single" w:color="auto" w:sz="4" w:space="0"/>
            </w:tcBorders>
            <w:vAlign w:val="center"/>
          </w:tcPr>
          <w:p w14:paraId="16B84266">
            <w:pPr>
              <w:pStyle w:val="46"/>
              <w:jc w:val="center"/>
              <w:rPr>
                <w:color w:val="auto"/>
                <w:highlight w:val="none"/>
              </w:rPr>
            </w:pPr>
          </w:p>
        </w:tc>
        <w:tc>
          <w:tcPr>
            <w:tcW w:w="876" w:type="dxa"/>
            <w:tcBorders>
              <w:left w:val="single" w:color="auto" w:sz="4" w:space="0"/>
            </w:tcBorders>
            <w:vAlign w:val="center"/>
          </w:tcPr>
          <w:p w14:paraId="71FC8978">
            <w:pPr>
              <w:pStyle w:val="46"/>
              <w:jc w:val="center"/>
              <w:rPr>
                <w:color w:val="auto"/>
                <w:highlight w:val="none"/>
              </w:rPr>
            </w:pPr>
          </w:p>
        </w:tc>
        <w:tc>
          <w:tcPr>
            <w:tcW w:w="1850" w:type="dxa"/>
            <w:vAlign w:val="center"/>
          </w:tcPr>
          <w:p w14:paraId="737A59E9">
            <w:pPr>
              <w:pStyle w:val="46"/>
              <w:jc w:val="center"/>
              <w:rPr>
                <w:color w:val="auto"/>
                <w:highlight w:val="none"/>
              </w:rPr>
            </w:pPr>
          </w:p>
        </w:tc>
        <w:tc>
          <w:tcPr>
            <w:tcW w:w="1277" w:type="dxa"/>
            <w:vAlign w:val="center"/>
          </w:tcPr>
          <w:p w14:paraId="292E64B7">
            <w:pPr>
              <w:pStyle w:val="46"/>
              <w:jc w:val="center"/>
              <w:rPr>
                <w:color w:val="auto"/>
                <w:highlight w:val="none"/>
              </w:rPr>
            </w:pPr>
          </w:p>
        </w:tc>
        <w:tc>
          <w:tcPr>
            <w:tcW w:w="816" w:type="dxa"/>
            <w:vAlign w:val="center"/>
          </w:tcPr>
          <w:p w14:paraId="44A42518">
            <w:pPr>
              <w:pStyle w:val="46"/>
              <w:jc w:val="center"/>
              <w:rPr>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注：按竞争性谈判文件要求在本表后附相关人员证书。</w:t>
      </w:r>
    </w:p>
    <w:p w14:paraId="51EA30D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cs="宋体"/>
          <w:color w:val="auto"/>
          <w:kern w:val="0"/>
          <w:sz w:val="24"/>
          <w:szCs w:val="24"/>
          <w:highlight w:val="none"/>
          <w:lang w:val="en-US" w:eastAsia="zh-CN"/>
        </w:rPr>
        <w:t>供应商</w:t>
      </w:r>
      <w:r>
        <w:rPr>
          <w:rFonts w:hint="eastAsia" w:ascii="宋体" w:hAnsi="宋体" w:cs="宋体"/>
          <w:color w:val="auto"/>
          <w:kern w:val="0"/>
          <w:sz w:val="24"/>
          <w:szCs w:val="24"/>
          <w:highlight w:val="none"/>
          <w:lang w:val="zh-CN"/>
        </w:rPr>
        <w:t>名称（</w:t>
      </w:r>
      <w:r>
        <w:rPr>
          <w:rFonts w:hint="eastAsia" w:cs="宋体"/>
          <w:color w:val="auto"/>
          <w:sz w:val="24"/>
          <w:szCs w:val="24"/>
          <w:highlight w:val="none"/>
          <w:lang w:eastAsia="zh-CN"/>
        </w:rPr>
        <w:t>公章</w:t>
      </w:r>
      <w:r>
        <w:rPr>
          <w:rFonts w:hint="eastAsia" w:ascii="宋体" w:hAnsi="宋体" w:cs="宋体"/>
          <w:color w:val="auto"/>
          <w:kern w:val="0"/>
          <w:sz w:val="24"/>
          <w:szCs w:val="24"/>
          <w:highlight w:val="none"/>
          <w:lang w:val="zh-CN"/>
        </w:rPr>
        <w:t xml:space="preserve">）：                                                                                                                                                                                                               </w:t>
      </w:r>
    </w:p>
    <w:p w14:paraId="46AAB9FE">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14CAF20D">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49A1A5E5">
      <w:pPr>
        <w:ind w:firstLine="420" w:firstLineChars="200"/>
        <w:rPr>
          <w:rFonts w:cs="仿宋_GB2312"/>
          <w:color w:val="auto"/>
          <w:sz w:val="21"/>
          <w:szCs w:val="21"/>
          <w:highlight w:val="none"/>
        </w:rPr>
      </w:pPr>
      <w:r>
        <w:rPr>
          <w:rFonts w:hint="eastAsia" w:cs="仿宋_GB2312"/>
          <w:color w:val="auto"/>
          <w:sz w:val="21"/>
          <w:szCs w:val="21"/>
          <w:highlight w:val="none"/>
          <w:lang w:val="en-US" w:eastAsia="zh-CN"/>
        </w:rPr>
        <w:t>2.如供应商成交，须按本表项目组成人员操作，不得随意更换。</w:t>
      </w:r>
      <w:r>
        <w:rPr>
          <w:rFonts w:cs="仿宋_GB2312"/>
          <w:color w:val="auto"/>
          <w:sz w:val="21"/>
          <w:szCs w:val="21"/>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3" w:name="_Toc29627"/>
      <w:bookmarkStart w:id="594" w:name="_Toc12534"/>
      <w:r>
        <w:rPr>
          <w:rFonts w:hint="eastAsia" w:eastAsia="宋体" w:asciiTheme="majorHAnsi" w:hAnsiTheme="majorHAnsi" w:cstheme="majorBidi"/>
          <w:b/>
          <w:bCs/>
          <w:color w:val="auto"/>
          <w:kern w:val="2"/>
          <w:sz w:val="32"/>
          <w:szCs w:val="32"/>
          <w:highlight w:val="none"/>
          <w:lang w:val="en-US" w:eastAsia="zh-CN" w:bidi="ar-SA"/>
        </w:rPr>
        <w:t>方案</w:t>
      </w:r>
      <w:bookmarkEnd w:id="593"/>
      <w:bookmarkEnd w:id="594"/>
    </w:p>
    <w:p w14:paraId="3878D3F5">
      <w:pPr>
        <w:pStyle w:val="35"/>
        <w:rPr>
          <w:color w:val="auto"/>
          <w:highlight w:val="none"/>
        </w:rPr>
      </w:pPr>
      <w:r>
        <w:rPr>
          <w:rFonts w:hint="eastAsia"/>
          <w:color w:val="auto"/>
          <w:highlight w:val="none"/>
          <w:lang w:val="en-US" w:eastAsia="zh-CN"/>
        </w:rPr>
        <w:t>供应商</w:t>
      </w:r>
      <w:r>
        <w:rPr>
          <w:rFonts w:hint="eastAsia"/>
          <w:color w:val="auto"/>
          <w:highlight w:val="none"/>
        </w:rPr>
        <w:t>应按照</w:t>
      </w:r>
      <w:r>
        <w:rPr>
          <w:rFonts w:hint="eastAsia"/>
          <w:color w:val="auto"/>
          <w:highlight w:val="none"/>
          <w:lang w:val="en-US" w:eastAsia="zh-CN"/>
        </w:rPr>
        <w:t>竞争性谈判</w:t>
      </w:r>
      <w:r>
        <w:rPr>
          <w:rFonts w:hint="eastAsia"/>
          <w:color w:val="auto"/>
          <w:highlight w:val="none"/>
        </w:rPr>
        <w:t>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7EE77353">
      <w:pPr>
        <w:pStyle w:val="35"/>
        <w:rPr>
          <w:color w:val="auto"/>
          <w:highlight w:val="none"/>
        </w:rPr>
      </w:pPr>
      <w:r>
        <w:rPr>
          <w:color w:val="auto"/>
          <w:highlight w:val="none"/>
        </w:rPr>
        <w:br w:type="page"/>
      </w:r>
    </w:p>
    <w:p w14:paraId="68D392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95" w:name="_Toc20344"/>
      <w:bookmarkStart w:id="596" w:name="_Toc18914"/>
      <w:r>
        <w:rPr>
          <w:rFonts w:hint="eastAsia" w:eastAsia="宋体" w:asciiTheme="majorHAnsi" w:hAnsiTheme="majorHAnsi" w:cstheme="majorBidi"/>
          <w:b/>
          <w:bCs/>
          <w:color w:val="auto"/>
          <w:kern w:val="2"/>
          <w:sz w:val="32"/>
          <w:szCs w:val="32"/>
          <w:highlight w:val="none"/>
          <w:lang w:val="en-US" w:eastAsia="zh-CN" w:bidi="ar-SA"/>
        </w:rPr>
        <w:t>其他文件</w:t>
      </w:r>
      <w:bookmarkEnd w:id="595"/>
      <w:bookmarkEnd w:id="596"/>
    </w:p>
    <w:p w14:paraId="6EF40482">
      <w:pPr>
        <w:pStyle w:val="35"/>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（一）竞争性谈判</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3A11A162">
      <w:pPr>
        <w:pStyle w:val="35"/>
        <w:rPr>
          <w:rFonts w:hint="default"/>
          <w:color w:val="auto"/>
          <w:sz w:val="28"/>
          <w:szCs w:val="28"/>
          <w:highlight w:val="none"/>
          <w:lang w:val="en-US" w:eastAsia="zh-CN"/>
        </w:rPr>
      </w:pPr>
    </w:p>
    <w:p w14:paraId="7DF13FE9">
      <w:pPr>
        <w:pStyle w:val="35"/>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1B27B21C">
      <w:pPr>
        <w:pStyle w:val="35"/>
        <w:rPr>
          <w:rFonts w:hint="eastAsia"/>
          <w:color w:val="auto"/>
          <w:highlight w:val="none"/>
        </w:rPr>
      </w:pPr>
    </w:p>
    <w:p w14:paraId="3352B805">
      <w:pPr>
        <w:pStyle w:val="35"/>
        <w:rPr>
          <w:rFonts w:hint="eastAsia"/>
          <w:color w:val="auto"/>
          <w:highlight w:val="none"/>
        </w:rPr>
      </w:pPr>
    </w:p>
    <w:p w14:paraId="19B7C1E0">
      <w:pPr>
        <w:pStyle w:val="35"/>
        <w:rPr>
          <w:rFonts w:hint="eastAsia"/>
          <w:color w:val="auto"/>
          <w:highlight w:val="none"/>
        </w:rPr>
      </w:pPr>
    </w:p>
    <w:bookmarkEnd w:id="528"/>
    <w:p w14:paraId="7CB0AFFA">
      <w:pPr>
        <w:rPr>
          <w:color w:val="auto"/>
          <w:highlight w:val="none"/>
        </w:rPr>
      </w:pPr>
    </w:p>
    <w:sectPr>
      <w:pgSz w:w="11906" w:h="16838"/>
      <w:pgMar w:top="1440" w:right="1196" w:bottom="1440" w:left="1196" w:header="851" w:footer="1020"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A2FAD48-C3D1-48D4-BB6B-FD0D4A2D6358}"/>
  </w:font>
  <w:font w:name="Arial">
    <w:panose1 w:val="020B0604020202020204"/>
    <w:charset w:val="01"/>
    <w:family w:val="swiss"/>
    <w:pitch w:val="default"/>
    <w:sig w:usb0="E0002EFF" w:usb1="C000785B" w:usb2="00000009" w:usb3="00000000" w:csb0="400001FF" w:csb1="FFFF0000"/>
    <w:embedRegular r:id="rId2" w:fontKey="{EA629818-492B-48E0-972A-8A60EEF276ED}"/>
  </w:font>
  <w:font w:name="黑体">
    <w:panose1 w:val="02010609060101010101"/>
    <w:charset w:val="86"/>
    <w:family w:val="auto"/>
    <w:pitch w:val="default"/>
    <w:sig w:usb0="800002BF" w:usb1="38CF7CFA" w:usb2="00000016" w:usb3="00000000" w:csb0="00040001" w:csb1="00000000"/>
    <w:embedRegular r:id="rId3" w:fontKey="{2FCBB7D3-A80F-4952-8982-BA41C9DC6349}"/>
  </w:font>
  <w:font w:name="Courier New">
    <w:panose1 w:val="02070309020205020404"/>
    <w:charset w:val="01"/>
    <w:family w:val="modern"/>
    <w:pitch w:val="default"/>
    <w:sig w:usb0="E0002EFF" w:usb1="C0007843" w:usb2="00000009" w:usb3="00000000" w:csb0="400001FF" w:csb1="FFFF0000"/>
    <w:embedRegular r:id="rId4" w:fontKey="{DA224886-64E5-488C-81D4-DE3C6E35394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C7C1DD05-0A6E-4098-AC60-B85116A9AFF2}"/>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73A4587B-BC86-44A2-BA9B-941A0FCF94B0}"/>
  </w:font>
  <w:font w:name="仿宋">
    <w:panose1 w:val="02010609060101010101"/>
    <w:charset w:val="86"/>
    <w:family w:val="auto"/>
    <w:pitch w:val="default"/>
    <w:sig w:usb0="800002BF" w:usb1="38CF7CFA" w:usb2="00000016" w:usb3="00000000" w:csb0="00040001" w:csb1="00000000"/>
    <w:embedRegular r:id="rId7" w:fontKey="{243649E3-DCBD-4DE5-B2D7-CE8AC01C246B}"/>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embedRegular r:id="rId8" w:fontKey="{7FCAEE5C-8518-4354-996F-489D72566C3F}"/>
  </w:font>
  <w:font w:name="Helvetica">
    <w:altName w:val="Arial"/>
    <w:panose1 w:val="020B0504020202020204"/>
    <w:charset w:val="00"/>
    <w:family w:val="swiss"/>
    <w:pitch w:val="default"/>
    <w:sig w:usb0="00000000" w:usb1="00000000" w:usb2="00000000" w:usb3="00000000" w:csb0="00000001" w:csb1="00000000"/>
    <w:embedRegular r:id="rId9" w:fontKey="{5931B21D-5D4C-40AF-B02E-4CC312770780}"/>
  </w:font>
  <w:font w:name="华文中宋">
    <w:altName w:val="宋体"/>
    <w:panose1 w:val="02010600040101010101"/>
    <w:charset w:val="86"/>
    <w:family w:val="auto"/>
    <w:pitch w:val="default"/>
    <w:sig w:usb0="00000000" w:usb1="00000000" w:usb2="00000000" w:usb3="00000000" w:csb0="0004009F" w:csb1="DFD70000"/>
    <w:embedRegular r:id="rId10" w:fontKey="{568FA6EF-FD59-4960-9DED-09C2F9D3A9CE}"/>
  </w:font>
  <w:font w:name="方正小标宋_GBK">
    <w:panose1 w:val="02000000000000000000"/>
    <w:charset w:val="86"/>
    <w:family w:val="auto"/>
    <w:pitch w:val="default"/>
    <w:sig w:usb0="A00002BF" w:usb1="38CF7CFA" w:usb2="00082016" w:usb3="00000000" w:csb0="00040001" w:csb1="00000000"/>
    <w:embedRegular r:id="rId11" w:fontKey="{3CB00F55-817F-4FBF-AF86-D0CE0FCCA8B8}"/>
  </w:font>
  <w:font w:name="DejaVuSans">
    <w:altName w:val="Segoe Print"/>
    <w:panose1 w:val="00000000000000000000"/>
    <w:charset w:val="00"/>
    <w:family w:val="auto"/>
    <w:pitch w:val="default"/>
    <w:sig w:usb0="00000000" w:usb1="00000000" w:usb2="00000000" w:usb3="00000000" w:csb0="00000000" w:csb1="00000000"/>
    <w:embedRegular r:id="rId12" w:fontKey="{2C594AE9-8A68-4929-9F60-A02F885765ED}"/>
  </w:font>
  <w:font w:name="Segoe Print">
    <w:panose1 w:val="02000600000000000000"/>
    <w:charset w:val="00"/>
    <w:family w:val="auto"/>
    <w:pitch w:val="default"/>
    <w:sig w:usb0="0000028F" w:usb1="00000000" w:usb2="00000000" w:usb3="00000000" w:csb0="2000009F" w:csb1="4701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17"/>
      <w:spacing w:line="240" w:lineRule="auto"/>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B8DFA">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1B8DFA">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0CBCE">
                          <w:pPr>
                            <w:pStyle w:val="17"/>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E0CBCE">
                    <w:pPr>
                      <w:pStyle w:val="17"/>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8"/>
      <w:pBdr>
        <w:bottom w:val="none" w:color="auto" w:sz="0" w:space="1"/>
      </w:pBdr>
      <w:tabs>
        <w:tab w:val="left" w:pos="3120"/>
      </w:tabs>
      <w:spacing w:line="240" w:lineRule="auto"/>
      <w:jc w:val="right"/>
      <w:rPr>
        <w:sz w:val="18"/>
        <w:szCs w:val="18"/>
      </w:rPr>
    </w:pPr>
  </w:p>
  <w:p w14:paraId="5F8B6BD6">
    <w:pPr>
      <w:pStyle w:val="18"/>
      <w:pBdr>
        <w:bottom w:val="threeDEngrave" w:color="auto" w:sz="18" w:space="1"/>
      </w:pBdr>
      <w:tabs>
        <w:tab w:val="left" w:pos="3120"/>
      </w:tabs>
      <w:spacing w:line="240" w:lineRule="auto"/>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8"/>
      <w:pBdr>
        <w:bottom w:val="none" w:color="auto" w:sz="0" w:space="1"/>
      </w:pBdr>
      <w:spacing w:line="240" w:lineRule="auto"/>
      <w:rPr>
        <w:rFonts w:hint="eastAsia" w:cs="宋体"/>
        <w:sz w:val="18"/>
        <w:szCs w:val="18"/>
        <w:lang w:val="en-US" w:eastAsia="zh-CN"/>
      </w:rPr>
    </w:pPr>
    <w:r>
      <w:rPr>
        <w:rFonts w:hint="eastAsia"/>
        <w:sz w:val="24"/>
        <w:szCs w:val="24"/>
        <w:lang w:val="en-US" w:eastAsia="zh-CN"/>
      </w:rPr>
      <w:t xml:space="preserve">                                </w:t>
    </w:r>
  </w:p>
  <w:p w14:paraId="6F5BE4C2">
    <w:pPr>
      <w:pStyle w:val="18"/>
      <w:pBdr>
        <w:bottom w:val="threeDEngrave" w:color="auto" w:sz="18" w:space="1"/>
      </w:pBdr>
      <w:spacing w:line="240" w:lineRule="auto"/>
      <w:rPr>
        <w:rFonts w:hint="default"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B5543D"/>
    <w:multiLevelType w:val="singleLevel"/>
    <w:tmpl w:val="77B5543D"/>
    <w:lvl w:ilvl="0" w:tentative="0">
      <w:start w:val="2"/>
      <w:numFmt w:val="decimal"/>
      <w:suff w:val="space"/>
      <w:lvlText w:val="%1."/>
      <w:lvlJc w:val="left"/>
      <w:pPr>
        <w:ind w:left="280"/>
      </w:pPr>
    </w:lvl>
  </w:abstractNum>
  <w:abstractNum w:abstractNumId="9">
    <w:nsid w:val="7A0F6431"/>
    <w:multiLevelType w:val="singleLevel"/>
    <w:tmpl w:val="7A0F6431"/>
    <w:lvl w:ilvl="0" w:tentative="0">
      <w:start w:val="1"/>
      <w:numFmt w:val="decimal"/>
      <w:suff w:val="space"/>
      <w:lvlText w:val="%1."/>
      <w:lvlJc w:val="left"/>
    </w:lvl>
  </w:abstractNum>
  <w:num w:numId="1">
    <w:abstractNumId w:val="8"/>
  </w:num>
  <w:num w:numId="2">
    <w:abstractNumId w:val="9"/>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D21B2"/>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0B57"/>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46551"/>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4BC7"/>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074A"/>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6E0D"/>
    <w:rsid w:val="00ED72DC"/>
    <w:rsid w:val="00EE1389"/>
    <w:rsid w:val="00EE3D1C"/>
    <w:rsid w:val="00EE3FF1"/>
    <w:rsid w:val="00EE6A89"/>
    <w:rsid w:val="00EF2CF1"/>
    <w:rsid w:val="00F02A03"/>
    <w:rsid w:val="00F16856"/>
    <w:rsid w:val="00F23C03"/>
    <w:rsid w:val="00F43B46"/>
    <w:rsid w:val="00F46C50"/>
    <w:rsid w:val="00F50CDF"/>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72A03"/>
    <w:rsid w:val="01176EA7"/>
    <w:rsid w:val="011A5E25"/>
    <w:rsid w:val="012A118F"/>
    <w:rsid w:val="014F42C4"/>
    <w:rsid w:val="014F6641"/>
    <w:rsid w:val="01521C8D"/>
    <w:rsid w:val="0168325F"/>
    <w:rsid w:val="016D6AC7"/>
    <w:rsid w:val="01A544B3"/>
    <w:rsid w:val="01AE3368"/>
    <w:rsid w:val="01C506B1"/>
    <w:rsid w:val="01CC7C92"/>
    <w:rsid w:val="01D17056"/>
    <w:rsid w:val="021D673F"/>
    <w:rsid w:val="023B0973"/>
    <w:rsid w:val="024F5707"/>
    <w:rsid w:val="025263E9"/>
    <w:rsid w:val="02A468E7"/>
    <w:rsid w:val="02AA4F6F"/>
    <w:rsid w:val="02AE4AFE"/>
    <w:rsid w:val="02C72207"/>
    <w:rsid w:val="02EA7AD6"/>
    <w:rsid w:val="03125417"/>
    <w:rsid w:val="0317318F"/>
    <w:rsid w:val="031B2C7F"/>
    <w:rsid w:val="031D69B6"/>
    <w:rsid w:val="03265180"/>
    <w:rsid w:val="034C23ED"/>
    <w:rsid w:val="034F46D6"/>
    <w:rsid w:val="035937A7"/>
    <w:rsid w:val="03597303"/>
    <w:rsid w:val="035E2B6B"/>
    <w:rsid w:val="0387014A"/>
    <w:rsid w:val="038C185D"/>
    <w:rsid w:val="03936C6A"/>
    <w:rsid w:val="03D67F82"/>
    <w:rsid w:val="03EF1A15"/>
    <w:rsid w:val="04124462"/>
    <w:rsid w:val="04172D00"/>
    <w:rsid w:val="044004C3"/>
    <w:rsid w:val="04561A95"/>
    <w:rsid w:val="045F50B9"/>
    <w:rsid w:val="047C599F"/>
    <w:rsid w:val="04842AA6"/>
    <w:rsid w:val="049802FF"/>
    <w:rsid w:val="04AB5878"/>
    <w:rsid w:val="04B0389B"/>
    <w:rsid w:val="04DA4474"/>
    <w:rsid w:val="04EC6C63"/>
    <w:rsid w:val="04F702AB"/>
    <w:rsid w:val="04FF037E"/>
    <w:rsid w:val="05047743"/>
    <w:rsid w:val="05214D81"/>
    <w:rsid w:val="053B7608"/>
    <w:rsid w:val="05465FAD"/>
    <w:rsid w:val="056F2E0E"/>
    <w:rsid w:val="05832D5D"/>
    <w:rsid w:val="05AE3027"/>
    <w:rsid w:val="05B20F4D"/>
    <w:rsid w:val="05B44CC5"/>
    <w:rsid w:val="05B66C8F"/>
    <w:rsid w:val="05DB04A3"/>
    <w:rsid w:val="05E530D0"/>
    <w:rsid w:val="05EF624C"/>
    <w:rsid w:val="05F25272"/>
    <w:rsid w:val="064055CE"/>
    <w:rsid w:val="0644429B"/>
    <w:rsid w:val="0659586C"/>
    <w:rsid w:val="067A57F6"/>
    <w:rsid w:val="067D77AC"/>
    <w:rsid w:val="068C79F0"/>
    <w:rsid w:val="069C40D7"/>
    <w:rsid w:val="06A0349B"/>
    <w:rsid w:val="06A411DD"/>
    <w:rsid w:val="06C07699"/>
    <w:rsid w:val="06C20BAE"/>
    <w:rsid w:val="06C62167"/>
    <w:rsid w:val="06D80BD5"/>
    <w:rsid w:val="06F537E7"/>
    <w:rsid w:val="070752C8"/>
    <w:rsid w:val="070E75E1"/>
    <w:rsid w:val="07222102"/>
    <w:rsid w:val="073100B5"/>
    <w:rsid w:val="07542E7B"/>
    <w:rsid w:val="07577FFE"/>
    <w:rsid w:val="076B1CFB"/>
    <w:rsid w:val="079C3C62"/>
    <w:rsid w:val="07B0770E"/>
    <w:rsid w:val="07B92732"/>
    <w:rsid w:val="07BE62CF"/>
    <w:rsid w:val="07C531B9"/>
    <w:rsid w:val="07CA07CF"/>
    <w:rsid w:val="07E41A7D"/>
    <w:rsid w:val="07F27D26"/>
    <w:rsid w:val="07FA3E48"/>
    <w:rsid w:val="08002443"/>
    <w:rsid w:val="08027530"/>
    <w:rsid w:val="08175904"/>
    <w:rsid w:val="086230FE"/>
    <w:rsid w:val="08766BA9"/>
    <w:rsid w:val="087C361B"/>
    <w:rsid w:val="088272FC"/>
    <w:rsid w:val="088C3CD7"/>
    <w:rsid w:val="08B56357"/>
    <w:rsid w:val="08BA08C0"/>
    <w:rsid w:val="08CA0902"/>
    <w:rsid w:val="08E81CF0"/>
    <w:rsid w:val="0922698B"/>
    <w:rsid w:val="092403B3"/>
    <w:rsid w:val="094C3466"/>
    <w:rsid w:val="094F0D3C"/>
    <w:rsid w:val="09694018"/>
    <w:rsid w:val="097924AD"/>
    <w:rsid w:val="097F0C21"/>
    <w:rsid w:val="09931095"/>
    <w:rsid w:val="09B07E99"/>
    <w:rsid w:val="09B86E7F"/>
    <w:rsid w:val="09C86F91"/>
    <w:rsid w:val="09FC4E8C"/>
    <w:rsid w:val="0A3C34DB"/>
    <w:rsid w:val="0A430BD6"/>
    <w:rsid w:val="0A540824"/>
    <w:rsid w:val="0A73514E"/>
    <w:rsid w:val="0A7F7F97"/>
    <w:rsid w:val="0A9E5F43"/>
    <w:rsid w:val="0AA479FE"/>
    <w:rsid w:val="0ACC485F"/>
    <w:rsid w:val="0ADA3F4C"/>
    <w:rsid w:val="0AF049F1"/>
    <w:rsid w:val="0B0E131B"/>
    <w:rsid w:val="0B116715"/>
    <w:rsid w:val="0B161163"/>
    <w:rsid w:val="0B291CB1"/>
    <w:rsid w:val="0B440899"/>
    <w:rsid w:val="0B48482D"/>
    <w:rsid w:val="0B5A00BC"/>
    <w:rsid w:val="0B6727D9"/>
    <w:rsid w:val="0B680A2B"/>
    <w:rsid w:val="0B7844F0"/>
    <w:rsid w:val="0B7F5D75"/>
    <w:rsid w:val="0B9C06D5"/>
    <w:rsid w:val="0B9C6927"/>
    <w:rsid w:val="0B9D61FB"/>
    <w:rsid w:val="0BB27EF8"/>
    <w:rsid w:val="0BBF2208"/>
    <w:rsid w:val="0BBF61BC"/>
    <w:rsid w:val="0BC47C2C"/>
    <w:rsid w:val="0BCB5C52"/>
    <w:rsid w:val="0BE300B2"/>
    <w:rsid w:val="0BE5207C"/>
    <w:rsid w:val="0C01678A"/>
    <w:rsid w:val="0C060E10"/>
    <w:rsid w:val="0C085D6A"/>
    <w:rsid w:val="0C0A7D34"/>
    <w:rsid w:val="0C124F52"/>
    <w:rsid w:val="0C193AD3"/>
    <w:rsid w:val="0C2661F0"/>
    <w:rsid w:val="0C2D1E06"/>
    <w:rsid w:val="0C696B65"/>
    <w:rsid w:val="0C7B29E0"/>
    <w:rsid w:val="0C7D22B4"/>
    <w:rsid w:val="0CA0549F"/>
    <w:rsid w:val="0CD935FB"/>
    <w:rsid w:val="0CE00A95"/>
    <w:rsid w:val="0D156C3F"/>
    <w:rsid w:val="0D3870E2"/>
    <w:rsid w:val="0D3951D6"/>
    <w:rsid w:val="0D416F52"/>
    <w:rsid w:val="0D4E0FE4"/>
    <w:rsid w:val="0D62695A"/>
    <w:rsid w:val="0D8C18C1"/>
    <w:rsid w:val="0D9E22F8"/>
    <w:rsid w:val="0DFB7F09"/>
    <w:rsid w:val="0E0013EF"/>
    <w:rsid w:val="0E230C39"/>
    <w:rsid w:val="0E2B3F92"/>
    <w:rsid w:val="0E2B5D40"/>
    <w:rsid w:val="0E772D33"/>
    <w:rsid w:val="0E7B7815"/>
    <w:rsid w:val="0E88562B"/>
    <w:rsid w:val="0E8B67DF"/>
    <w:rsid w:val="0E925DBF"/>
    <w:rsid w:val="0E9C5AF5"/>
    <w:rsid w:val="0EC37B54"/>
    <w:rsid w:val="0EDB7766"/>
    <w:rsid w:val="0EEF3211"/>
    <w:rsid w:val="0EF3685E"/>
    <w:rsid w:val="0EFA4090"/>
    <w:rsid w:val="0EFB1BB6"/>
    <w:rsid w:val="0EFE3455"/>
    <w:rsid w:val="0F29227F"/>
    <w:rsid w:val="0F3375A2"/>
    <w:rsid w:val="0F3F7CF5"/>
    <w:rsid w:val="0F4F5A5E"/>
    <w:rsid w:val="0F4F621B"/>
    <w:rsid w:val="0F6634D4"/>
    <w:rsid w:val="0F7200CA"/>
    <w:rsid w:val="0F7F4595"/>
    <w:rsid w:val="0F8C280E"/>
    <w:rsid w:val="0FB35FED"/>
    <w:rsid w:val="0FD00F10"/>
    <w:rsid w:val="0FD97D81"/>
    <w:rsid w:val="0FDC6611"/>
    <w:rsid w:val="10476743"/>
    <w:rsid w:val="10637A13"/>
    <w:rsid w:val="108856CC"/>
    <w:rsid w:val="108D2CE2"/>
    <w:rsid w:val="10944070"/>
    <w:rsid w:val="10A36062"/>
    <w:rsid w:val="10A5627E"/>
    <w:rsid w:val="10A83678"/>
    <w:rsid w:val="10BC7123"/>
    <w:rsid w:val="10BD35C7"/>
    <w:rsid w:val="10D461A4"/>
    <w:rsid w:val="10D95F27"/>
    <w:rsid w:val="10EF574B"/>
    <w:rsid w:val="10F87681"/>
    <w:rsid w:val="1104261B"/>
    <w:rsid w:val="111B6AFD"/>
    <w:rsid w:val="11254CC9"/>
    <w:rsid w:val="11801B30"/>
    <w:rsid w:val="11BD4513"/>
    <w:rsid w:val="11D5049D"/>
    <w:rsid w:val="11E626AA"/>
    <w:rsid w:val="11F50B3F"/>
    <w:rsid w:val="11FC3C7B"/>
    <w:rsid w:val="12096398"/>
    <w:rsid w:val="1218364A"/>
    <w:rsid w:val="12241424"/>
    <w:rsid w:val="12246D0B"/>
    <w:rsid w:val="122F22A3"/>
    <w:rsid w:val="12386EF3"/>
    <w:rsid w:val="12394975"/>
    <w:rsid w:val="1250459A"/>
    <w:rsid w:val="12505D75"/>
    <w:rsid w:val="125725B2"/>
    <w:rsid w:val="12745F08"/>
    <w:rsid w:val="12863E8D"/>
    <w:rsid w:val="12A8795F"/>
    <w:rsid w:val="12AA36D7"/>
    <w:rsid w:val="12B83BBB"/>
    <w:rsid w:val="12BB58E4"/>
    <w:rsid w:val="12C0739F"/>
    <w:rsid w:val="12C56763"/>
    <w:rsid w:val="12CC676F"/>
    <w:rsid w:val="12D6271E"/>
    <w:rsid w:val="12DD62D4"/>
    <w:rsid w:val="12E27C00"/>
    <w:rsid w:val="12E9012D"/>
    <w:rsid w:val="12F209B1"/>
    <w:rsid w:val="12F9465F"/>
    <w:rsid w:val="12FC7CAB"/>
    <w:rsid w:val="13117BFA"/>
    <w:rsid w:val="13685340"/>
    <w:rsid w:val="136D604A"/>
    <w:rsid w:val="136F6DBA"/>
    <w:rsid w:val="137B1518"/>
    <w:rsid w:val="138008DC"/>
    <w:rsid w:val="13864617"/>
    <w:rsid w:val="138E2FF9"/>
    <w:rsid w:val="13931986"/>
    <w:rsid w:val="13A73607"/>
    <w:rsid w:val="13F54E26"/>
    <w:rsid w:val="13FB7F63"/>
    <w:rsid w:val="140432BB"/>
    <w:rsid w:val="140908D1"/>
    <w:rsid w:val="140E413A"/>
    <w:rsid w:val="1422618B"/>
    <w:rsid w:val="142E20E6"/>
    <w:rsid w:val="14562ED4"/>
    <w:rsid w:val="14733F9D"/>
    <w:rsid w:val="14742577"/>
    <w:rsid w:val="147C10A3"/>
    <w:rsid w:val="14AF1AFB"/>
    <w:rsid w:val="14C12F5A"/>
    <w:rsid w:val="14C447F8"/>
    <w:rsid w:val="14F275B8"/>
    <w:rsid w:val="15115C90"/>
    <w:rsid w:val="15175270"/>
    <w:rsid w:val="151B4D60"/>
    <w:rsid w:val="151E412B"/>
    <w:rsid w:val="152C2AC9"/>
    <w:rsid w:val="158F0F94"/>
    <w:rsid w:val="15A83398"/>
    <w:rsid w:val="15AF7257"/>
    <w:rsid w:val="15E52C78"/>
    <w:rsid w:val="160752E5"/>
    <w:rsid w:val="16104199"/>
    <w:rsid w:val="16140F28"/>
    <w:rsid w:val="163D4862"/>
    <w:rsid w:val="164E4CC1"/>
    <w:rsid w:val="165247B2"/>
    <w:rsid w:val="1654042C"/>
    <w:rsid w:val="16556050"/>
    <w:rsid w:val="16726D77"/>
    <w:rsid w:val="16820AD6"/>
    <w:rsid w:val="169923E1"/>
    <w:rsid w:val="16994D22"/>
    <w:rsid w:val="169D3553"/>
    <w:rsid w:val="169D4BA9"/>
    <w:rsid w:val="16AA2D97"/>
    <w:rsid w:val="16AC04CA"/>
    <w:rsid w:val="16B84207"/>
    <w:rsid w:val="16BC7E7D"/>
    <w:rsid w:val="16BE59A3"/>
    <w:rsid w:val="16CB6312"/>
    <w:rsid w:val="16DC4224"/>
    <w:rsid w:val="16EB2510"/>
    <w:rsid w:val="16F55828"/>
    <w:rsid w:val="17081314"/>
    <w:rsid w:val="17112349"/>
    <w:rsid w:val="17163A31"/>
    <w:rsid w:val="171E18E4"/>
    <w:rsid w:val="17326391"/>
    <w:rsid w:val="173739A8"/>
    <w:rsid w:val="1743234C"/>
    <w:rsid w:val="175277E6"/>
    <w:rsid w:val="175C6F6A"/>
    <w:rsid w:val="176C0FBA"/>
    <w:rsid w:val="177B1AE6"/>
    <w:rsid w:val="177C6B31"/>
    <w:rsid w:val="17AF1790"/>
    <w:rsid w:val="17B153E5"/>
    <w:rsid w:val="17F83137"/>
    <w:rsid w:val="1804388A"/>
    <w:rsid w:val="18226406"/>
    <w:rsid w:val="183A374F"/>
    <w:rsid w:val="183D6D9C"/>
    <w:rsid w:val="183F0D66"/>
    <w:rsid w:val="186407CC"/>
    <w:rsid w:val="186C142F"/>
    <w:rsid w:val="18823AC5"/>
    <w:rsid w:val="188C4D77"/>
    <w:rsid w:val="18934C0E"/>
    <w:rsid w:val="189A5F9C"/>
    <w:rsid w:val="189B3AC2"/>
    <w:rsid w:val="18D70F9E"/>
    <w:rsid w:val="18F41B50"/>
    <w:rsid w:val="18FA5D0B"/>
    <w:rsid w:val="18FE2FBD"/>
    <w:rsid w:val="19006747"/>
    <w:rsid w:val="190B1333"/>
    <w:rsid w:val="191775ED"/>
    <w:rsid w:val="19334F15"/>
    <w:rsid w:val="19377C8F"/>
    <w:rsid w:val="194523AC"/>
    <w:rsid w:val="195511EC"/>
    <w:rsid w:val="196548DC"/>
    <w:rsid w:val="196934AD"/>
    <w:rsid w:val="197030A6"/>
    <w:rsid w:val="197E58BE"/>
    <w:rsid w:val="199D21E8"/>
    <w:rsid w:val="19A277FE"/>
    <w:rsid w:val="19C72DC1"/>
    <w:rsid w:val="19D55670"/>
    <w:rsid w:val="19E45129"/>
    <w:rsid w:val="1A0E50CF"/>
    <w:rsid w:val="1A1D4091"/>
    <w:rsid w:val="1A240213"/>
    <w:rsid w:val="1A271AB1"/>
    <w:rsid w:val="1A277D03"/>
    <w:rsid w:val="1A304579"/>
    <w:rsid w:val="1A5B175B"/>
    <w:rsid w:val="1A705206"/>
    <w:rsid w:val="1A7D3BE9"/>
    <w:rsid w:val="1A7D7923"/>
    <w:rsid w:val="1A8D2B13"/>
    <w:rsid w:val="1AA83ACA"/>
    <w:rsid w:val="1AC437A4"/>
    <w:rsid w:val="1AC92B69"/>
    <w:rsid w:val="1ADF238C"/>
    <w:rsid w:val="1AF92BB3"/>
    <w:rsid w:val="1B0A2B9D"/>
    <w:rsid w:val="1B0E451B"/>
    <w:rsid w:val="1B2B2D19"/>
    <w:rsid w:val="1B3C158C"/>
    <w:rsid w:val="1B4E2991"/>
    <w:rsid w:val="1B684130"/>
    <w:rsid w:val="1B697EA8"/>
    <w:rsid w:val="1B6A60FA"/>
    <w:rsid w:val="1B7F6F38"/>
    <w:rsid w:val="1B83540D"/>
    <w:rsid w:val="1BC7354C"/>
    <w:rsid w:val="1BCA303C"/>
    <w:rsid w:val="1C033E58"/>
    <w:rsid w:val="1C071B9A"/>
    <w:rsid w:val="1C0C0F5F"/>
    <w:rsid w:val="1C0F6CA1"/>
    <w:rsid w:val="1C3D380E"/>
    <w:rsid w:val="1C4C3A51"/>
    <w:rsid w:val="1C4F2BF7"/>
    <w:rsid w:val="1C542906"/>
    <w:rsid w:val="1C6A6B78"/>
    <w:rsid w:val="1C766D20"/>
    <w:rsid w:val="1CB17D58"/>
    <w:rsid w:val="1CB52A2F"/>
    <w:rsid w:val="1CE379B0"/>
    <w:rsid w:val="1CEE68B6"/>
    <w:rsid w:val="1CF0262F"/>
    <w:rsid w:val="1CF37EB8"/>
    <w:rsid w:val="1D110EBE"/>
    <w:rsid w:val="1D2A4350"/>
    <w:rsid w:val="1D320E99"/>
    <w:rsid w:val="1D9531D6"/>
    <w:rsid w:val="1DAB47A7"/>
    <w:rsid w:val="1DBE44DB"/>
    <w:rsid w:val="1DC94F26"/>
    <w:rsid w:val="1DDC5D1E"/>
    <w:rsid w:val="1DEA1774"/>
    <w:rsid w:val="1E0C793C"/>
    <w:rsid w:val="1E236A34"/>
    <w:rsid w:val="1E252D30"/>
    <w:rsid w:val="1E293FBC"/>
    <w:rsid w:val="1E2A6014"/>
    <w:rsid w:val="1E3D3153"/>
    <w:rsid w:val="1E42510C"/>
    <w:rsid w:val="1E5E7A6C"/>
    <w:rsid w:val="1E6037E4"/>
    <w:rsid w:val="1E8555E3"/>
    <w:rsid w:val="1E9516DF"/>
    <w:rsid w:val="1EB86B8A"/>
    <w:rsid w:val="1EBF661C"/>
    <w:rsid w:val="1EDD6BE3"/>
    <w:rsid w:val="1EE77A61"/>
    <w:rsid w:val="1EEE7042"/>
    <w:rsid w:val="1EF74148"/>
    <w:rsid w:val="1F0625DD"/>
    <w:rsid w:val="1F210279"/>
    <w:rsid w:val="1F41544F"/>
    <w:rsid w:val="1F4202D5"/>
    <w:rsid w:val="1F4C5B16"/>
    <w:rsid w:val="1F933745"/>
    <w:rsid w:val="1FA63478"/>
    <w:rsid w:val="1FBF0E2C"/>
    <w:rsid w:val="1FBF278C"/>
    <w:rsid w:val="1FE245DC"/>
    <w:rsid w:val="1FE741BD"/>
    <w:rsid w:val="1FEA5A5B"/>
    <w:rsid w:val="20126D60"/>
    <w:rsid w:val="205E01F7"/>
    <w:rsid w:val="20665E37"/>
    <w:rsid w:val="207215AC"/>
    <w:rsid w:val="208F6602"/>
    <w:rsid w:val="20967991"/>
    <w:rsid w:val="20A43E5C"/>
    <w:rsid w:val="20A51982"/>
    <w:rsid w:val="20D02EA3"/>
    <w:rsid w:val="20EA250D"/>
    <w:rsid w:val="20EF0E4F"/>
    <w:rsid w:val="20F55121"/>
    <w:rsid w:val="20F85F56"/>
    <w:rsid w:val="211014F1"/>
    <w:rsid w:val="211663DC"/>
    <w:rsid w:val="21254871"/>
    <w:rsid w:val="212C5BFF"/>
    <w:rsid w:val="215A09BE"/>
    <w:rsid w:val="216B497A"/>
    <w:rsid w:val="2184195C"/>
    <w:rsid w:val="218C0AD3"/>
    <w:rsid w:val="21937A2C"/>
    <w:rsid w:val="21A8155E"/>
    <w:rsid w:val="21AC2A4C"/>
    <w:rsid w:val="21AE3F58"/>
    <w:rsid w:val="21C85928"/>
    <w:rsid w:val="21C916A0"/>
    <w:rsid w:val="21DB7F9A"/>
    <w:rsid w:val="21EE42EC"/>
    <w:rsid w:val="22004956"/>
    <w:rsid w:val="220426D8"/>
    <w:rsid w:val="22124DF5"/>
    <w:rsid w:val="224F1BA5"/>
    <w:rsid w:val="22642828"/>
    <w:rsid w:val="227F1494"/>
    <w:rsid w:val="228D6B72"/>
    <w:rsid w:val="22A2261D"/>
    <w:rsid w:val="22AB6CF5"/>
    <w:rsid w:val="22BD2FB3"/>
    <w:rsid w:val="22CE1AC1"/>
    <w:rsid w:val="22FD3CF7"/>
    <w:rsid w:val="230E1A60"/>
    <w:rsid w:val="232F75C6"/>
    <w:rsid w:val="23377209"/>
    <w:rsid w:val="2342795C"/>
    <w:rsid w:val="235D44ED"/>
    <w:rsid w:val="23636185"/>
    <w:rsid w:val="23725894"/>
    <w:rsid w:val="239F090A"/>
    <w:rsid w:val="23B56380"/>
    <w:rsid w:val="23C123B8"/>
    <w:rsid w:val="23C72304"/>
    <w:rsid w:val="23F46EA8"/>
    <w:rsid w:val="241F37F9"/>
    <w:rsid w:val="24561911"/>
    <w:rsid w:val="245E07C6"/>
    <w:rsid w:val="24653902"/>
    <w:rsid w:val="246D27B7"/>
    <w:rsid w:val="248024EA"/>
    <w:rsid w:val="24885842"/>
    <w:rsid w:val="248949DC"/>
    <w:rsid w:val="24AF254A"/>
    <w:rsid w:val="24AF7273"/>
    <w:rsid w:val="24B108F5"/>
    <w:rsid w:val="24B30B11"/>
    <w:rsid w:val="24C32F15"/>
    <w:rsid w:val="24C525F3"/>
    <w:rsid w:val="24CA19B7"/>
    <w:rsid w:val="24E14A0E"/>
    <w:rsid w:val="24E24F53"/>
    <w:rsid w:val="25096983"/>
    <w:rsid w:val="25212B7E"/>
    <w:rsid w:val="25270BB7"/>
    <w:rsid w:val="252D708C"/>
    <w:rsid w:val="253F23A5"/>
    <w:rsid w:val="254259F1"/>
    <w:rsid w:val="256B7396"/>
    <w:rsid w:val="25853B30"/>
    <w:rsid w:val="25950217"/>
    <w:rsid w:val="25A20B86"/>
    <w:rsid w:val="25BD32CA"/>
    <w:rsid w:val="25C40AFC"/>
    <w:rsid w:val="25CE197B"/>
    <w:rsid w:val="25D0124F"/>
    <w:rsid w:val="25EE7927"/>
    <w:rsid w:val="25F01073"/>
    <w:rsid w:val="261F5D33"/>
    <w:rsid w:val="2628108B"/>
    <w:rsid w:val="26667E05"/>
    <w:rsid w:val="26771661"/>
    <w:rsid w:val="26930C35"/>
    <w:rsid w:val="26975780"/>
    <w:rsid w:val="26976211"/>
    <w:rsid w:val="27081E15"/>
    <w:rsid w:val="271B0BF0"/>
    <w:rsid w:val="271C2272"/>
    <w:rsid w:val="27230BFF"/>
    <w:rsid w:val="27254D96"/>
    <w:rsid w:val="272F1FA5"/>
    <w:rsid w:val="27392ACF"/>
    <w:rsid w:val="27433CA3"/>
    <w:rsid w:val="274C0C22"/>
    <w:rsid w:val="2751016E"/>
    <w:rsid w:val="2767173F"/>
    <w:rsid w:val="27673D60"/>
    <w:rsid w:val="277327DA"/>
    <w:rsid w:val="2787443F"/>
    <w:rsid w:val="27AE55C0"/>
    <w:rsid w:val="27B5694E"/>
    <w:rsid w:val="27B9274C"/>
    <w:rsid w:val="27C13D12"/>
    <w:rsid w:val="27C66D50"/>
    <w:rsid w:val="27C76682"/>
    <w:rsid w:val="27D8263D"/>
    <w:rsid w:val="27E72880"/>
    <w:rsid w:val="27EB6814"/>
    <w:rsid w:val="27FE7638"/>
    <w:rsid w:val="280B5E71"/>
    <w:rsid w:val="28177609"/>
    <w:rsid w:val="281B425C"/>
    <w:rsid w:val="281C077C"/>
    <w:rsid w:val="281C2BC6"/>
    <w:rsid w:val="281C4C20"/>
    <w:rsid w:val="28235FAE"/>
    <w:rsid w:val="28327F9F"/>
    <w:rsid w:val="284D188E"/>
    <w:rsid w:val="285C0DA0"/>
    <w:rsid w:val="285F4B0C"/>
    <w:rsid w:val="28694820"/>
    <w:rsid w:val="28757E8C"/>
    <w:rsid w:val="288B3B53"/>
    <w:rsid w:val="28956780"/>
    <w:rsid w:val="28AD1D1C"/>
    <w:rsid w:val="28AD3ACA"/>
    <w:rsid w:val="28B22E8E"/>
    <w:rsid w:val="28BA1D43"/>
    <w:rsid w:val="28BA67C3"/>
    <w:rsid w:val="28BD003F"/>
    <w:rsid w:val="28C037FD"/>
    <w:rsid w:val="28C81DF6"/>
    <w:rsid w:val="28D41056"/>
    <w:rsid w:val="28DC5807"/>
    <w:rsid w:val="28DC7F0B"/>
    <w:rsid w:val="28E0572C"/>
    <w:rsid w:val="28F416F8"/>
    <w:rsid w:val="28F811E9"/>
    <w:rsid w:val="29001E4B"/>
    <w:rsid w:val="290F0C0E"/>
    <w:rsid w:val="291F68C4"/>
    <w:rsid w:val="29210894"/>
    <w:rsid w:val="292F6A67"/>
    <w:rsid w:val="2976210D"/>
    <w:rsid w:val="298F1421"/>
    <w:rsid w:val="299A1E4A"/>
    <w:rsid w:val="29AE7AF9"/>
    <w:rsid w:val="29C91AA7"/>
    <w:rsid w:val="29D62BAC"/>
    <w:rsid w:val="29DD3F3B"/>
    <w:rsid w:val="29EC0622"/>
    <w:rsid w:val="2A18258A"/>
    <w:rsid w:val="2A225DF1"/>
    <w:rsid w:val="2A32072A"/>
    <w:rsid w:val="2A391AB9"/>
    <w:rsid w:val="2A4B359A"/>
    <w:rsid w:val="2A635B27"/>
    <w:rsid w:val="2A8329A5"/>
    <w:rsid w:val="2A950CB9"/>
    <w:rsid w:val="2A9D2605"/>
    <w:rsid w:val="2ADE440E"/>
    <w:rsid w:val="2AE80DE9"/>
    <w:rsid w:val="2AE8703B"/>
    <w:rsid w:val="2B147E30"/>
    <w:rsid w:val="2B1B4930"/>
    <w:rsid w:val="2B306E7A"/>
    <w:rsid w:val="2B3202B6"/>
    <w:rsid w:val="2B512E32"/>
    <w:rsid w:val="2B683CD8"/>
    <w:rsid w:val="2B76279E"/>
    <w:rsid w:val="2B786611"/>
    <w:rsid w:val="2B7938DE"/>
    <w:rsid w:val="2B797C93"/>
    <w:rsid w:val="2B7B736A"/>
    <w:rsid w:val="2B7D59D5"/>
    <w:rsid w:val="2BB46F1D"/>
    <w:rsid w:val="2BD25682"/>
    <w:rsid w:val="2BD55811"/>
    <w:rsid w:val="2BE27F2E"/>
    <w:rsid w:val="2BE5357A"/>
    <w:rsid w:val="2C1125C1"/>
    <w:rsid w:val="2C153E60"/>
    <w:rsid w:val="2C210A56"/>
    <w:rsid w:val="2C386BB9"/>
    <w:rsid w:val="2C3D33B6"/>
    <w:rsid w:val="2C414C55"/>
    <w:rsid w:val="2C452A50"/>
    <w:rsid w:val="2C475FE3"/>
    <w:rsid w:val="2C4907B9"/>
    <w:rsid w:val="2C81364F"/>
    <w:rsid w:val="2C9A4365"/>
    <w:rsid w:val="2CAE5ED9"/>
    <w:rsid w:val="2CC633AC"/>
    <w:rsid w:val="2CD05FD9"/>
    <w:rsid w:val="2CDE6947"/>
    <w:rsid w:val="2CEF7A50"/>
    <w:rsid w:val="2CF75313"/>
    <w:rsid w:val="2D3227EF"/>
    <w:rsid w:val="2D32459D"/>
    <w:rsid w:val="2D3565B5"/>
    <w:rsid w:val="2D39592C"/>
    <w:rsid w:val="2D3E2F42"/>
    <w:rsid w:val="2D470656"/>
    <w:rsid w:val="2D80355B"/>
    <w:rsid w:val="2D850CA0"/>
    <w:rsid w:val="2D8868B3"/>
    <w:rsid w:val="2D931D12"/>
    <w:rsid w:val="2D9B2143"/>
    <w:rsid w:val="2DA03BFD"/>
    <w:rsid w:val="2DA336ED"/>
    <w:rsid w:val="2DB63420"/>
    <w:rsid w:val="2DC01BA9"/>
    <w:rsid w:val="2DCA6ECC"/>
    <w:rsid w:val="2DE81100"/>
    <w:rsid w:val="2DEA4E78"/>
    <w:rsid w:val="2E2A1718"/>
    <w:rsid w:val="2E310CF9"/>
    <w:rsid w:val="2E3F6F72"/>
    <w:rsid w:val="2E7330BF"/>
    <w:rsid w:val="2E756E38"/>
    <w:rsid w:val="2E933762"/>
    <w:rsid w:val="2EB536D8"/>
    <w:rsid w:val="2EC851B9"/>
    <w:rsid w:val="2ECB4CA9"/>
    <w:rsid w:val="2ECD0A22"/>
    <w:rsid w:val="2ECD316E"/>
    <w:rsid w:val="2EDA313F"/>
    <w:rsid w:val="2EE57B8B"/>
    <w:rsid w:val="2F0E5351"/>
    <w:rsid w:val="2F1C6FCF"/>
    <w:rsid w:val="2F2E62F8"/>
    <w:rsid w:val="2F391C13"/>
    <w:rsid w:val="2F5C5B42"/>
    <w:rsid w:val="2F5C7FF7"/>
    <w:rsid w:val="2F5E167A"/>
    <w:rsid w:val="2F650C5A"/>
    <w:rsid w:val="2F880DEC"/>
    <w:rsid w:val="2F917CA1"/>
    <w:rsid w:val="2FDD4C94"/>
    <w:rsid w:val="30045057"/>
    <w:rsid w:val="3031359C"/>
    <w:rsid w:val="303164B3"/>
    <w:rsid w:val="3034062C"/>
    <w:rsid w:val="30354AD0"/>
    <w:rsid w:val="30396AEC"/>
    <w:rsid w:val="304178D7"/>
    <w:rsid w:val="304C544B"/>
    <w:rsid w:val="30536D05"/>
    <w:rsid w:val="305F1B4D"/>
    <w:rsid w:val="30705B08"/>
    <w:rsid w:val="30A63CC6"/>
    <w:rsid w:val="30C0743E"/>
    <w:rsid w:val="30E56588"/>
    <w:rsid w:val="30E91417"/>
    <w:rsid w:val="31271F3F"/>
    <w:rsid w:val="31293F09"/>
    <w:rsid w:val="31433A7F"/>
    <w:rsid w:val="3159659D"/>
    <w:rsid w:val="315F620C"/>
    <w:rsid w:val="31684A32"/>
    <w:rsid w:val="31727D49"/>
    <w:rsid w:val="31771119"/>
    <w:rsid w:val="317E24A7"/>
    <w:rsid w:val="319A0E2B"/>
    <w:rsid w:val="319C292D"/>
    <w:rsid w:val="319E0EF8"/>
    <w:rsid w:val="31AA504A"/>
    <w:rsid w:val="31B41A25"/>
    <w:rsid w:val="31C4741A"/>
    <w:rsid w:val="31DA0886"/>
    <w:rsid w:val="320504D2"/>
    <w:rsid w:val="32144BB9"/>
    <w:rsid w:val="323828AB"/>
    <w:rsid w:val="32453EE1"/>
    <w:rsid w:val="324803BF"/>
    <w:rsid w:val="32513718"/>
    <w:rsid w:val="326A47D9"/>
    <w:rsid w:val="32840F7B"/>
    <w:rsid w:val="32B1065A"/>
    <w:rsid w:val="32E4458C"/>
    <w:rsid w:val="33024A12"/>
    <w:rsid w:val="33150BE9"/>
    <w:rsid w:val="332D26D2"/>
    <w:rsid w:val="33443C83"/>
    <w:rsid w:val="335D1C8B"/>
    <w:rsid w:val="337136E8"/>
    <w:rsid w:val="339715FE"/>
    <w:rsid w:val="33997124"/>
    <w:rsid w:val="33AB1A51"/>
    <w:rsid w:val="33AD2144"/>
    <w:rsid w:val="33B43F5E"/>
    <w:rsid w:val="33EA3E24"/>
    <w:rsid w:val="3402116D"/>
    <w:rsid w:val="34256C0A"/>
    <w:rsid w:val="343230D5"/>
    <w:rsid w:val="34410298"/>
    <w:rsid w:val="34B65664"/>
    <w:rsid w:val="34E16FD5"/>
    <w:rsid w:val="34EB1C02"/>
    <w:rsid w:val="34FD1935"/>
    <w:rsid w:val="352D04CC"/>
    <w:rsid w:val="3548237A"/>
    <w:rsid w:val="35571045"/>
    <w:rsid w:val="355754E9"/>
    <w:rsid w:val="355D23D3"/>
    <w:rsid w:val="3566572C"/>
    <w:rsid w:val="3571636E"/>
    <w:rsid w:val="358362DE"/>
    <w:rsid w:val="358F4AB7"/>
    <w:rsid w:val="35973F37"/>
    <w:rsid w:val="35C506A4"/>
    <w:rsid w:val="35C8047F"/>
    <w:rsid w:val="35CB558F"/>
    <w:rsid w:val="35D33384"/>
    <w:rsid w:val="36021D61"/>
    <w:rsid w:val="36213401"/>
    <w:rsid w:val="36392E40"/>
    <w:rsid w:val="365D5425"/>
    <w:rsid w:val="3664125F"/>
    <w:rsid w:val="36794FEB"/>
    <w:rsid w:val="36820DFD"/>
    <w:rsid w:val="36873BAC"/>
    <w:rsid w:val="3687595A"/>
    <w:rsid w:val="368816D2"/>
    <w:rsid w:val="368C11C2"/>
    <w:rsid w:val="36AC716F"/>
    <w:rsid w:val="36D6243D"/>
    <w:rsid w:val="36D87F64"/>
    <w:rsid w:val="36F32FEF"/>
    <w:rsid w:val="36F40B16"/>
    <w:rsid w:val="371A057C"/>
    <w:rsid w:val="373553B6"/>
    <w:rsid w:val="373B6744"/>
    <w:rsid w:val="37490E61"/>
    <w:rsid w:val="374D5F48"/>
    <w:rsid w:val="37692862"/>
    <w:rsid w:val="37695060"/>
    <w:rsid w:val="377D0B0B"/>
    <w:rsid w:val="37A662B4"/>
    <w:rsid w:val="37AA2584"/>
    <w:rsid w:val="37B56400"/>
    <w:rsid w:val="37BE35FD"/>
    <w:rsid w:val="37BF7375"/>
    <w:rsid w:val="37D72911"/>
    <w:rsid w:val="37DF17C6"/>
    <w:rsid w:val="381A45AC"/>
    <w:rsid w:val="383B4C4E"/>
    <w:rsid w:val="386555A5"/>
    <w:rsid w:val="386E278D"/>
    <w:rsid w:val="38795776"/>
    <w:rsid w:val="38966F69"/>
    <w:rsid w:val="38AA1DD4"/>
    <w:rsid w:val="38C5276A"/>
    <w:rsid w:val="38CE5AC2"/>
    <w:rsid w:val="38D34E86"/>
    <w:rsid w:val="38D97FC3"/>
    <w:rsid w:val="38DE382B"/>
    <w:rsid w:val="38F31B98"/>
    <w:rsid w:val="38FC0C25"/>
    <w:rsid w:val="391A2AB5"/>
    <w:rsid w:val="391C5EDB"/>
    <w:rsid w:val="39294B38"/>
    <w:rsid w:val="392C27E9"/>
    <w:rsid w:val="39443257"/>
    <w:rsid w:val="39610CA2"/>
    <w:rsid w:val="39B3361F"/>
    <w:rsid w:val="39BC1DBE"/>
    <w:rsid w:val="39C742BF"/>
    <w:rsid w:val="39DB31F5"/>
    <w:rsid w:val="3A1C0AAF"/>
    <w:rsid w:val="3A500759"/>
    <w:rsid w:val="3A557B1D"/>
    <w:rsid w:val="3A5C036F"/>
    <w:rsid w:val="3A5F7E3C"/>
    <w:rsid w:val="3A8408A1"/>
    <w:rsid w:val="3A905C8A"/>
    <w:rsid w:val="3A912821"/>
    <w:rsid w:val="3A916DA7"/>
    <w:rsid w:val="3A961B24"/>
    <w:rsid w:val="3AA36ADA"/>
    <w:rsid w:val="3AEE274E"/>
    <w:rsid w:val="3B063CC6"/>
    <w:rsid w:val="3B091033"/>
    <w:rsid w:val="3B0F23C2"/>
    <w:rsid w:val="3B111A40"/>
    <w:rsid w:val="3B3360B0"/>
    <w:rsid w:val="3B4B53E2"/>
    <w:rsid w:val="3B60677A"/>
    <w:rsid w:val="3B636954"/>
    <w:rsid w:val="3B862684"/>
    <w:rsid w:val="3B900A71"/>
    <w:rsid w:val="3B967B1B"/>
    <w:rsid w:val="3B9E60AB"/>
    <w:rsid w:val="3BB15227"/>
    <w:rsid w:val="3BBC230F"/>
    <w:rsid w:val="3BD11425"/>
    <w:rsid w:val="3BD135AF"/>
    <w:rsid w:val="3BDD7DCA"/>
    <w:rsid w:val="3BEB698B"/>
    <w:rsid w:val="3BF515B8"/>
    <w:rsid w:val="3C2A0F73"/>
    <w:rsid w:val="3C552056"/>
    <w:rsid w:val="3C574020"/>
    <w:rsid w:val="3CA8662A"/>
    <w:rsid w:val="3CAA23A2"/>
    <w:rsid w:val="3CB7243C"/>
    <w:rsid w:val="3CB72D11"/>
    <w:rsid w:val="3CBA010B"/>
    <w:rsid w:val="3CC33464"/>
    <w:rsid w:val="3CF33D49"/>
    <w:rsid w:val="3CF87579"/>
    <w:rsid w:val="3CF91F10"/>
    <w:rsid w:val="3D0870C9"/>
    <w:rsid w:val="3D1160FD"/>
    <w:rsid w:val="3D4A5E08"/>
    <w:rsid w:val="3D5B019B"/>
    <w:rsid w:val="3D6029C0"/>
    <w:rsid w:val="3D632551"/>
    <w:rsid w:val="3D6372EC"/>
    <w:rsid w:val="3D69400B"/>
    <w:rsid w:val="3D7724B9"/>
    <w:rsid w:val="3D8C7CFA"/>
    <w:rsid w:val="3DAC5CA6"/>
    <w:rsid w:val="3DC56D68"/>
    <w:rsid w:val="3DDF03A6"/>
    <w:rsid w:val="3DF144AD"/>
    <w:rsid w:val="3E016501"/>
    <w:rsid w:val="3E10092B"/>
    <w:rsid w:val="3E18333B"/>
    <w:rsid w:val="3E29379B"/>
    <w:rsid w:val="3E2A590C"/>
    <w:rsid w:val="3E3E7246"/>
    <w:rsid w:val="3E4B1963"/>
    <w:rsid w:val="3E75253C"/>
    <w:rsid w:val="3E774506"/>
    <w:rsid w:val="3E7C7D6E"/>
    <w:rsid w:val="3E8135D7"/>
    <w:rsid w:val="3E823D9C"/>
    <w:rsid w:val="3E8978EB"/>
    <w:rsid w:val="3E9E1A93"/>
    <w:rsid w:val="3EB017C6"/>
    <w:rsid w:val="3EB94B1E"/>
    <w:rsid w:val="3ECB6600"/>
    <w:rsid w:val="3ED74FA5"/>
    <w:rsid w:val="3ED94336"/>
    <w:rsid w:val="3EDB4A95"/>
    <w:rsid w:val="3EE218BB"/>
    <w:rsid w:val="3EF839DA"/>
    <w:rsid w:val="3F150636"/>
    <w:rsid w:val="3F204B9E"/>
    <w:rsid w:val="3F367F1D"/>
    <w:rsid w:val="3F3D7BE8"/>
    <w:rsid w:val="3F476FDD"/>
    <w:rsid w:val="3F6525B0"/>
    <w:rsid w:val="3F6A7BC7"/>
    <w:rsid w:val="3F9133A5"/>
    <w:rsid w:val="3F980BD8"/>
    <w:rsid w:val="3FA51AEF"/>
    <w:rsid w:val="3FA806EF"/>
    <w:rsid w:val="3FB11C9A"/>
    <w:rsid w:val="3FCE0156"/>
    <w:rsid w:val="3FD31124"/>
    <w:rsid w:val="3FEE07F8"/>
    <w:rsid w:val="401B1A9A"/>
    <w:rsid w:val="401C35B7"/>
    <w:rsid w:val="40325CE1"/>
    <w:rsid w:val="40354679"/>
    <w:rsid w:val="404C3770"/>
    <w:rsid w:val="404E573A"/>
    <w:rsid w:val="40580367"/>
    <w:rsid w:val="406B009A"/>
    <w:rsid w:val="40703903"/>
    <w:rsid w:val="407B3B56"/>
    <w:rsid w:val="40833636"/>
    <w:rsid w:val="408D0011"/>
    <w:rsid w:val="40AA596F"/>
    <w:rsid w:val="40AF442B"/>
    <w:rsid w:val="40D43E92"/>
    <w:rsid w:val="40E0482E"/>
    <w:rsid w:val="40E109B7"/>
    <w:rsid w:val="40E67721"/>
    <w:rsid w:val="40F703FC"/>
    <w:rsid w:val="4101455B"/>
    <w:rsid w:val="410C362B"/>
    <w:rsid w:val="41456B3D"/>
    <w:rsid w:val="41662610"/>
    <w:rsid w:val="41682D88"/>
    <w:rsid w:val="418D4C98"/>
    <w:rsid w:val="418F600A"/>
    <w:rsid w:val="41911D83"/>
    <w:rsid w:val="41AA69A0"/>
    <w:rsid w:val="41B25855"/>
    <w:rsid w:val="41C21F3C"/>
    <w:rsid w:val="41CA2B9F"/>
    <w:rsid w:val="41E740AD"/>
    <w:rsid w:val="41EA1493"/>
    <w:rsid w:val="41FF6CEC"/>
    <w:rsid w:val="421D7172"/>
    <w:rsid w:val="422B7AE1"/>
    <w:rsid w:val="42380887"/>
    <w:rsid w:val="425F3C2F"/>
    <w:rsid w:val="42786A9F"/>
    <w:rsid w:val="427C033D"/>
    <w:rsid w:val="42A87384"/>
    <w:rsid w:val="42B850ED"/>
    <w:rsid w:val="42E63A08"/>
    <w:rsid w:val="431762B8"/>
    <w:rsid w:val="43210EE4"/>
    <w:rsid w:val="432A0910"/>
    <w:rsid w:val="432A5FEB"/>
    <w:rsid w:val="43421586"/>
    <w:rsid w:val="43544E16"/>
    <w:rsid w:val="4374738E"/>
    <w:rsid w:val="43831019"/>
    <w:rsid w:val="43866F99"/>
    <w:rsid w:val="439D5107"/>
    <w:rsid w:val="439D5D7A"/>
    <w:rsid w:val="43B27D8E"/>
    <w:rsid w:val="43B92780"/>
    <w:rsid w:val="43DD4E0B"/>
    <w:rsid w:val="43E738FD"/>
    <w:rsid w:val="43E77A38"/>
    <w:rsid w:val="43E93761"/>
    <w:rsid w:val="43EC32A0"/>
    <w:rsid w:val="43F14182"/>
    <w:rsid w:val="43F62371"/>
    <w:rsid w:val="43FF1225"/>
    <w:rsid w:val="444C01E3"/>
    <w:rsid w:val="446A2AAE"/>
    <w:rsid w:val="447137A5"/>
    <w:rsid w:val="44727838"/>
    <w:rsid w:val="448C6831"/>
    <w:rsid w:val="449000D0"/>
    <w:rsid w:val="44B669A9"/>
    <w:rsid w:val="44BD69EB"/>
    <w:rsid w:val="44C24001"/>
    <w:rsid w:val="44DA57EF"/>
    <w:rsid w:val="44DC50C3"/>
    <w:rsid w:val="44EB79FC"/>
    <w:rsid w:val="44FD6FED"/>
    <w:rsid w:val="45007B43"/>
    <w:rsid w:val="450471A9"/>
    <w:rsid w:val="45050ABD"/>
    <w:rsid w:val="4508235C"/>
    <w:rsid w:val="450D7972"/>
    <w:rsid w:val="45126D36"/>
    <w:rsid w:val="451E0B93"/>
    <w:rsid w:val="4520206A"/>
    <w:rsid w:val="452623BD"/>
    <w:rsid w:val="452B4BB5"/>
    <w:rsid w:val="452B604A"/>
    <w:rsid w:val="45344C8A"/>
    <w:rsid w:val="454F3AE7"/>
    <w:rsid w:val="45504460"/>
    <w:rsid w:val="457B0D80"/>
    <w:rsid w:val="45A76173"/>
    <w:rsid w:val="45C06792"/>
    <w:rsid w:val="45D40490"/>
    <w:rsid w:val="45EF323D"/>
    <w:rsid w:val="45F14B9E"/>
    <w:rsid w:val="45F63CE4"/>
    <w:rsid w:val="45FD79E7"/>
    <w:rsid w:val="460D74FE"/>
    <w:rsid w:val="46144D30"/>
    <w:rsid w:val="46317690"/>
    <w:rsid w:val="46445615"/>
    <w:rsid w:val="46477F15"/>
    <w:rsid w:val="46511AE0"/>
    <w:rsid w:val="46641814"/>
    <w:rsid w:val="46755612"/>
    <w:rsid w:val="46A11D57"/>
    <w:rsid w:val="46A460B4"/>
    <w:rsid w:val="46B53E1D"/>
    <w:rsid w:val="46D5626E"/>
    <w:rsid w:val="47072D52"/>
    <w:rsid w:val="47134FE8"/>
    <w:rsid w:val="47460F19"/>
    <w:rsid w:val="475F3D89"/>
    <w:rsid w:val="47632D59"/>
    <w:rsid w:val="47794A11"/>
    <w:rsid w:val="47857C94"/>
    <w:rsid w:val="478B4B7E"/>
    <w:rsid w:val="479223B1"/>
    <w:rsid w:val="47A31E36"/>
    <w:rsid w:val="47B02DD5"/>
    <w:rsid w:val="47B73BC5"/>
    <w:rsid w:val="47EB386F"/>
    <w:rsid w:val="47EC39BF"/>
    <w:rsid w:val="47FB1D04"/>
    <w:rsid w:val="47FE35A2"/>
    <w:rsid w:val="482A4181"/>
    <w:rsid w:val="482F5815"/>
    <w:rsid w:val="48396CD0"/>
    <w:rsid w:val="483D40CA"/>
    <w:rsid w:val="483E7E42"/>
    <w:rsid w:val="48660E58"/>
    <w:rsid w:val="48741AB6"/>
    <w:rsid w:val="488241D3"/>
    <w:rsid w:val="48961A2D"/>
    <w:rsid w:val="48B85E47"/>
    <w:rsid w:val="48D30B46"/>
    <w:rsid w:val="48EA3F00"/>
    <w:rsid w:val="48EB1D78"/>
    <w:rsid w:val="48EE2BC9"/>
    <w:rsid w:val="49044390"/>
    <w:rsid w:val="492509CD"/>
    <w:rsid w:val="49297E85"/>
    <w:rsid w:val="49364C33"/>
    <w:rsid w:val="495C4A24"/>
    <w:rsid w:val="49830203"/>
    <w:rsid w:val="49935043"/>
    <w:rsid w:val="49A44BB2"/>
    <w:rsid w:val="49B06B1E"/>
    <w:rsid w:val="49B72A97"/>
    <w:rsid w:val="49C425C9"/>
    <w:rsid w:val="49E54A1A"/>
    <w:rsid w:val="49E8275C"/>
    <w:rsid w:val="4A0B36CD"/>
    <w:rsid w:val="4A477482"/>
    <w:rsid w:val="4A4F4589"/>
    <w:rsid w:val="4A600544"/>
    <w:rsid w:val="4A630034"/>
    <w:rsid w:val="4A69564B"/>
    <w:rsid w:val="4A913A8A"/>
    <w:rsid w:val="4AA30431"/>
    <w:rsid w:val="4ABB39CC"/>
    <w:rsid w:val="4ACA1E61"/>
    <w:rsid w:val="4ACA22C3"/>
    <w:rsid w:val="4ACE1952"/>
    <w:rsid w:val="4AD66A58"/>
    <w:rsid w:val="4ADD3943"/>
    <w:rsid w:val="4B3A7B4E"/>
    <w:rsid w:val="4B3D2633"/>
    <w:rsid w:val="4B490FD8"/>
    <w:rsid w:val="4B555BCF"/>
    <w:rsid w:val="4B614574"/>
    <w:rsid w:val="4B6776B0"/>
    <w:rsid w:val="4B6B71A0"/>
    <w:rsid w:val="4B771FE9"/>
    <w:rsid w:val="4B9A5CD8"/>
    <w:rsid w:val="4B9E3542"/>
    <w:rsid w:val="4BB451DE"/>
    <w:rsid w:val="4BCE772F"/>
    <w:rsid w:val="4C511FFD"/>
    <w:rsid w:val="4C513C42"/>
    <w:rsid w:val="4C516396"/>
    <w:rsid w:val="4C6A56AA"/>
    <w:rsid w:val="4C8A5D4C"/>
    <w:rsid w:val="4C8F3363"/>
    <w:rsid w:val="4C9857D9"/>
    <w:rsid w:val="4CAD5597"/>
    <w:rsid w:val="4CCC0113"/>
    <w:rsid w:val="4CCE3E8B"/>
    <w:rsid w:val="4CD564D9"/>
    <w:rsid w:val="4CDD5E7C"/>
    <w:rsid w:val="4CFB4554"/>
    <w:rsid w:val="4D0701EA"/>
    <w:rsid w:val="4D365E4F"/>
    <w:rsid w:val="4D3A5B11"/>
    <w:rsid w:val="4D3D691B"/>
    <w:rsid w:val="4D6148E2"/>
    <w:rsid w:val="4D6B792C"/>
    <w:rsid w:val="4D7A36CB"/>
    <w:rsid w:val="4D891114"/>
    <w:rsid w:val="4DC0760F"/>
    <w:rsid w:val="4DC44E80"/>
    <w:rsid w:val="4DD252B5"/>
    <w:rsid w:val="4DD74FC1"/>
    <w:rsid w:val="4DFC0584"/>
    <w:rsid w:val="4E0631B0"/>
    <w:rsid w:val="4E0B07C7"/>
    <w:rsid w:val="4E1F24C4"/>
    <w:rsid w:val="4E2A50F1"/>
    <w:rsid w:val="4E342F84"/>
    <w:rsid w:val="4E4F6905"/>
    <w:rsid w:val="4E4F7A0A"/>
    <w:rsid w:val="4E65214E"/>
    <w:rsid w:val="4E656129"/>
    <w:rsid w:val="4E66112F"/>
    <w:rsid w:val="4E8974AF"/>
    <w:rsid w:val="4E8A5B90"/>
    <w:rsid w:val="4E9B7735"/>
    <w:rsid w:val="4EA76741"/>
    <w:rsid w:val="4EC279D7"/>
    <w:rsid w:val="4ED17C62"/>
    <w:rsid w:val="4ED80FF1"/>
    <w:rsid w:val="4ED92673"/>
    <w:rsid w:val="4EE74D90"/>
    <w:rsid w:val="4EEB576A"/>
    <w:rsid w:val="4EFB4CDF"/>
    <w:rsid w:val="4F0A7EE6"/>
    <w:rsid w:val="4F3302E1"/>
    <w:rsid w:val="4F391364"/>
    <w:rsid w:val="4F3B3238"/>
    <w:rsid w:val="4F42290E"/>
    <w:rsid w:val="4F4C1097"/>
    <w:rsid w:val="4F7F321A"/>
    <w:rsid w:val="4F7F480E"/>
    <w:rsid w:val="4F895E47"/>
    <w:rsid w:val="4F90367A"/>
    <w:rsid w:val="4F9D5D96"/>
    <w:rsid w:val="4FB045C9"/>
    <w:rsid w:val="4FB725A9"/>
    <w:rsid w:val="4FC60E49"/>
    <w:rsid w:val="4FF9121F"/>
    <w:rsid w:val="50033E4B"/>
    <w:rsid w:val="50062B38"/>
    <w:rsid w:val="500D4CCA"/>
    <w:rsid w:val="501E0C85"/>
    <w:rsid w:val="50236859"/>
    <w:rsid w:val="50666188"/>
    <w:rsid w:val="5069089B"/>
    <w:rsid w:val="507146DC"/>
    <w:rsid w:val="50744D49"/>
    <w:rsid w:val="508558A6"/>
    <w:rsid w:val="50964CC0"/>
    <w:rsid w:val="50B52C6C"/>
    <w:rsid w:val="50BB64D4"/>
    <w:rsid w:val="50BD049E"/>
    <w:rsid w:val="50CF3D2E"/>
    <w:rsid w:val="50EE68AA"/>
    <w:rsid w:val="512322CB"/>
    <w:rsid w:val="5134567A"/>
    <w:rsid w:val="5139564B"/>
    <w:rsid w:val="516C62F1"/>
    <w:rsid w:val="51894824"/>
    <w:rsid w:val="51937451"/>
    <w:rsid w:val="51986815"/>
    <w:rsid w:val="51CD2963"/>
    <w:rsid w:val="51DB6702"/>
    <w:rsid w:val="51EB4B97"/>
    <w:rsid w:val="520635F9"/>
    <w:rsid w:val="520774F7"/>
    <w:rsid w:val="521D2144"/>
    <w:rsid w:val="52443688"/>
    <w:rsid w:val="52584BD7"/>
    <w:rsid w:val="526A6404"/>
    <w:rsid w:val="526B3F2A"/>
    <w:rsid w:val="52775DEE"/>
    <w:rsid w:val="527E3C5D"/>
    <w:rsid w:val="527F3531"/>
    <w:rsid w:val="5290573F"/>
    <w:rsid w:val="52AF3E17"/>
    <w:rsid w:val="52BA27BB"/>
    <w:rsid w:val="52D95337"/>
    <w:rsid w:val="52DD4E28"/>
    <w:rsid w:val="52E02860"/>
    <w:rsid w:val="52E166C3"/>
    <w:rsid w:val="52E322BA"/>
    <w:rsid w:val="52E864CC"/>
    <w:rsid w:val="53035F10"/>
    <w:rsid w:val="531620E8"/>
    <w:rsid w:val="53226CDE"/>
    <w:rsid w:val="53285977"/>
    <w:rsid w:val="532E5683"/>
    <w:rsid w:val="53394B05"/>
    <w:rsid w:val="534C3D5B"/>
    <w:rsid w:val="53705B7C"/>
    <w:rsid w:val="5382152B"/>
    <w:rsid w:val="5385101B"/>
    <w:rsid w:val="538C23AA"/>
    <w:rsid w:val="53B17155"/>
    <w:rsid w:val="53B61F77"/>
    <w:rsid w:val="53C5766A"/>
    <w:rsid w:val="53D210FD"/>
    <w:rsid w:val="53D77AC9"/>
    <w:rsid w:val="53E46B80"/>
    <w:rsid w:val="53E775E0"/>
    <w:rsid w:val="53EE2FD4"/>
    <w:rsid w:val="541A79B6"/>
    <w:rsid w:val="541B5774"/>
    <w:rsid w:val="543A6EAD"/>
    <w:rsid w:val="54422A68"/>
    <w:rsid w:val="544467E1"/>
    <w:rsid w:val="544E11C2"/>
    <w:rsid w:val="544E765F"/>
    <w:rsid w:val="54617548"/>
    <w:rsid w:val="5463310B"/>
    <w:rsid w:val="546E1AAF"/>
    <w:rsid w:val="54770964"/>
    <w:rsid w:val="54A51975"/>
    <w:rsid w:val="54BE3514"/>
    <w:rsid w:val="54E3249D"/>
    <w:rsid w:val="54F71AA5"/>
    <w:rsid w:val="551E7032"/>
    <w:rsid w:val="55432450"/>
    <w:rsid w:val="555E38D2"/>
    <w:rsid w:val="55747599"/>
    <w:rsid w:val="55985036"/>
    <w:rsid w:val="55AE2AAB"/>
    <w:rsid w:val="55CA0F67"/>
    <w:rsid w:val="55F304BE"/>
    <w:rsid w:val="563805C7"/>
    <w:rsid w:val="56694C24"/>
    <w:rsid w:val="566B1984"/>
    <w:rsid w:val="566E677D"/>
    <w:rsid w:val="568A4A2E"/>
    <w:rsid w:val="56950B3F"/>
    <w:rsid w:val="56A1160C"/>
    <w:rsid w:val="56B04601"/>
    <w:rsid w:val="56B802D4"/>
    <w:rsid w:val="56BD287A"/>
    <w:rsid w:val="56C43C09"/>
    <w:rsid w:val="56D57BC4"/>
    <w:rsid w:val="56DB78D0"/>
    <w:rsid w:val="56ED7603"/>
    <w:rsid w:val="56F3629C"/>
    <w:rsid w:val="56F72230"/>
    <w:rsid w:val="56FC7846"/>
    <w:rsid w:val="571444FF"/>
    <w:rsid w:val="571479EE"/>
    <w:rsid w:val="5721105B"/>
    <w:rsid w:val="57672F12"/>
    <w:rsid w:val="57741E27"/>
    <w:rsid w:val="57917F8F"/>
    <w:rsid w:val="579E776A"/>
    <w:rsid w:val="57A57931"/>
    <w:rsid w:val="57AD737E"/>
    <w:rsid w:val="57B343A9"/>
    <w:rsid w:val="57C32112"/>
    <w:rsid w:val="57C57C38"/>
    <w:rsid w:val="57CC7219"/>
    <w:rsid w:val="57D1482F"/>
    <w:rsid w:val="57D63BF4"/>
    <w:rsid w:val="57EA3B43"/>
    <w:rsid w:val="57F549C2"/>
    <w:rsid w:val="57FD48C4"/>
    <w:rsid w:val="5803016F"/>
    <w:rsid w:val="5818420C"/>
    <w:rsid w:val="5822508B"/>
    <w:rsid w:val="582708F3"/>
    <w:rsid w:val="583C7C96"/>
    <w:rsid w:val="584E7C2E"/>
    <w:rsid w:val="58623517"/>
    <w:rsid w:val="58711B6E"/>
    <w:rsid w:val="5875340D"/>
    <w:rsid w:val="58856AF7"/>
    <w:rsid w:val="588C69A8"/>
    <w:rsid w:val="589A2E73"/>
    <w:rsid w:val="589C308F"/>
    <w:rsid w:val="58BA19B2"/>
    <w:rsid w:val="58CD149A"/>
    <w:rsid w:val="58F72073"/>
    <w:rsid w:val="58FA6008"/>
    <w:rsid w:val="58FC3B2E"/>
    <w:rsid w:val="590D1897"/>
    <w:rsid w:val="593432C8"/>
    <w:rsid w:val="593C217C"/>
    <w:rsid w:val="5943175D"/>
    <w:rsid w:val="594D25DB"/>
    <w:rsid w:val="594E4DC3"/>
    <w:rsid w:val="59561490"/>
    <w:rsid w:val="5959467B"/>
    <w:rsid w:val="595C45CC"/>
    <w:rsid w:val="595D5C03"/>
    <w:rsid w:val="59705BA9"/>
    <w:rsid w:val="597E09E7"/>
    <w:rsid w:val="59803066"/>
    <w:rsid w:val="598D700C"/>
    <w:rsid w:val="598F04FE"/>
    <w:rsid w:val="59957788"/>
    <w:rsid w:val="59A0095D"/>
    <w:rsid w:val="59C77C98"/>
    <w:rsid w:val="59CC10D9"/>
    <w:rsid w:val="5A105AE3"/>
    <w:rsid w:val="5A2A0227"/>
    <w:rsid w:val="5A382944"/>
    <w:rsid w:val="5A3B4BCC"/>
    <w:rsid w:val="5A584D94"/>
    <w:rsid w:val="5A7B74D4"/>
    <w:rsid w:val="5A83592C"/>
    <w:rsid w:val="5A930F89"/>
    <w:rsid w:val="5AB9459A"/>
    <w:rsid w:val="5AD15BF9"/>
    <w:rsid w:val="5AEB20AC"/>
    <w:rsid w:val="5B1C66FD"/>
    <w:rsid w:val="5B2829B8"/>
    <w:rsid w:val="5B663971"/>
    <w:rsid w:val="5B9B5880"/>
    <w:rsid w:val="5BA67D81"/>
    <w:rsid w:val="5BC533DA"/>
    <w:rsid w:val="5BCD17B1"/>
    <w:rsid w:val="5BED775E"/>
    <w:rsid w:val="5BF907F8"/>
    <w:rsid w:val="5C0E34F4"/>
    <w:rsid w:val="5C162C69"/>
    <w:rsid w:val="5C403D4D"/>
    <w:rsid w:val="5C464A56"/>
    <w:rsid w:val="5C4E644E"/>
    <w:rsid w:val="5C502193"/>
    <w:rsid w:val="5C551FE4"/>
    <w:rsid w:val="5C6A7000"/>
    <w:rsid w:val="5C7B120D"/>
    <w:rsid w:val="5C920267"/>
    <w:rsid w:val="5CAC13C7"/>
    <w:rsid w:val="5CB14C2F"/>
    <w:rsid w:val="5CCA2861"/>
    <w:rsid w:val="5CCC1A69"/>
    <w:rsid w:val="5D2D5717"/>
    <w:rsid w:val="5D2E4FDA"/>
    <w:rsid w:val="5D5201C0"/>
    <w:rsid w:val="5D7B36EF"/>
    <w:rsid w:val="5D9E0752"/>
    <w:rsid w:val="5D9E4E29"/>
    <w:rsid w:val="5DB744C7"/>
    <w:rsid w:val="5DB84221"/>
    <w:rsid w:val="5E135D11"/>
    <w:rsid w:val="5E56783C"/>
    <w:rsid w:val="5E6E2F22"/>
    <w:rsid w:val="5E6E5A26"/>
    <w:rsid w:val="5E785A05"/>
    <w:rsid w:val="5E8171A1"/>
    <w:rsid w:val="5E84014A"/>
    <w:rsid w:val="5E9B59CB"/>
    <w:rsid w:val="5EB10F16"/>
    <w:rsid w:val="5EC46E9C"/>
    <w:rsid w:val="5ECE6AE2"/>
    <w:rsid w:val="5EF07C91"/>
    <w:rsid w:val="5EF671A8"/>
    <w:rsid w:val="5EFA0B0F"/>
    <w:rsid w:val="5EFB03E4"/>
    <w:rsid w:val="5F0977E5"/>
    <w:rsid w:val="5F0B4ACB"/>
    <w:rsid w:val="5F0C439F"/>
    <w:rsid w:val="5F1B5C08"/>
    <w:rsid w:val="5F313E05"/>
    <w:rsid w:val="5F385194"/>
    <w:rsid w:val="5F645F89"/>
    <w:rsid w:val="5F6C2999"/>
    <w:rsid w:val="5F824661"/>
    <w:rsid w:val="5F8D1984"/>
    <w:rsid w:val="5F961333"/>
    <w:rsid w:val="5FB52C88"/>
    <w:rsid w:val="5FC058B5"/>
    <w:rsid w:val="5FC30F01"/>
    <w:rsid w:val="5FC52ECB"/>
    <w:rsid w:val="5FE07D05"/>
    <w:rsid w:val="600F3677"/>
    <w:rsid w:val="602B6AA7"/>
    <w:rsid w:val="60363DC9"/>
    <w:rsid w:val="60433DF0"/>
    <w:rsid w:val="604C539B"/>
    <w:rsid w:val="604E7397"/>
    <w:rsid w:val="605B435E"/>
    <w:rsid w:val="60636240"/>
    <w:rsid w:val="6065645C"/>
    <w:rsid w:val="60681AA9"/>
    <w:rsid w:val="609F196E"/>
    <w:rsid w:val="60A26D69"/>
    <w:rsid w:val="60AA14A4"/>
    <w:rsid w:val="60B62814"/>
    <w:rsid w:val="60BD3BA3"/>
    <w:rsid w:val="60CC2CDD"/>
    <w:rsid w:val="60DD6049"/>
    <w:rsid w:val="610C4B2A"/>
    <w:rsid w:val="6131633F"/>
    <w:rsid w:val="6171498D"/>
    <w:rsid w:val="618B118B"/>
    <w:rsid w:val="619012B7"/>
    <w:rsid w:val="619E438F"/>
    <w:rsid w:val="61A86601"/>
    <w:rsid w:val="61AD3E67"/>
    <w:rsid w:val="61B64F19"/>
    <w:rsid w:val="61CD7F83"/>
    <w:rsid w:val="61D7354F"/>
    <w:rsid w:val="61ED495B"/>
    <w:rsid w:val="61EE5FDE"/>
    <w:rsid w:val="61EF4230"/>
    <w:rsid w:val="61FA0313"/>
    <w:rsid w:val="6200643D"/>
    <w:rsid w:val="620D2908"/>
    <w:rsid w:val="62377985"/>
    <w:rsid w:val="623E6F65"/>
    <w:rsid w:val="62516C98"/>
    <w:rsid w:val="62522A10"/>
    <w:rsid w:val="625D388F"/>
    <w:rsid w:val="626F5370"/>
    <w:rsid w:val="627B5AC3"/>
    <w:rsid w:val="62926B1F"/>
    <w:rsid w:val="62A74B0A"/>
    <w:rsid w:val="62B249B4"/>
    <w:rsid w:val="62B64E1E"/>
    <w:rsid w:val="62EA49F7"/>
    <w:rsid w:val="630930CF"/>
    <w:rsid w:val="630A6E47"/>
    <w:rsid w:val="632A1297"/>
    <w:rsid w:val="63462575"/>
    <w:rsid w:val="63513DAB"/>
    <w:rsid w:val="635E019B"/>
    <w:rsid w:val="63732C3E"/>
    <w:rsid w:val="637A221F"/>
    <w:rsid w:val="63804284"/>
    <w:rsid w:val="639457A1"/>
    <w:rsid w:val="63A177AC"/>
    <w:rsid w:val="63CC234F"/>
    <w:rsid w:val="63E038EF"/>
    <w:rsid w:val="63F61C71"/>
    <w:rsid w:val="640D6BEF"/>
    <w:rsid w:val="64356146"/>
    <w:rsid w:val="644E148D"/>
    <w:rsid w:val="646D1D84"/>
    <w:rsid w:val="647A41FA"/>
    <w:rsid w:val="649E3CEB"/>
    <w:rsid w:val="64A62BA0"/>
    <w:rsid w:val="64BB1BF4"/>
    <w:rsid w:val="64F77491"/>
    <w:rsid w:val="65046244"/>
    <w:rsid w:val="65085009"/>
    <w:rsid w:val="6510393F"/>
    <w:rsid w:val="651A39E8"/>
    <w:rsid w:val="651C4271"/>
    <w:rsid w:val="652A5B5F"/>
    <w:rsid w:val="653D3504"/>
    <w:rsid w:val="654B6723"/>
    <w:rsid w:val="654E5711"/>
    <w:rsid w:val="65554CF2"/>
    <w:rsid w:val="65741C3D"/>
    <w:rsid w:val="657E2654"/>
    <w:rsid w:val="65907AD8"/>
    <w:rsid w:val="65982E30"/>
    <w:rsid w:val="65984BDE"/>
    <w:rsid w:val="65B23EF2"/>
    <w:rsid w:val="65E17F2C"/>
    <w:rsid w:val="65F6721C"/>
    <w:rsid w:val="66145EEA"/>
    <w:rsid w:val="6618187B"/>
    <w:rsid w:val="662B07CB"/>
    <w:rsid w:val="662D17CA"/>
    <w:rsid w:val="664B39FF"/>
    <w:rsid w:val="6659611C"/>
    <w:rsid w:val="66650F64"/>
    <w:rsid w:val="667E2026"/>
    <w:rsid w:val="66A15D14"/>
    <w:rsid w:val="66A219E9"/>
    <w:rsid w:val="66A620EC"/>
    <w:rsid w:val="66B25244"/>
    <w:rsid w:val="66BC2B4E"/>
    <w:rsid w:val="66C37A39"/>
    <w:rsid w:val="66CC2933"/>
    <w:rsid w:val="66CF2882"/>
    <w:rsid w:val="66DA4886"/>
    <w:rsid w:val="66DB44CF"/>
    <w:rsid w:val="66E300DB"/>
    <w:rsid w:val="66FA497B"/>
    <w:rsid w:val="67226E55"/>
    <w:rsid w:val="672524A2"/>
    <w:rsid w:val="672F0459"/>
    <w:rsid w:val="67476E60"/>
    <w:rsid w:val="6759039D"/>
    <w:rsid w:val="67784CC7"/>
    <w:rsid w:val="67BF46A4"/>
    <w:rsid w:val="67C24194"/>
    <w:rsid w:val="67D87514"/>
    <w:rsid w:val="67E45EB9"/>
    <w:rsid w:val="67E60BCD"/>
    <w:rsid w:val="67FA1A5E"/>
    <w:rsid w:val="6804655B"/>
    <w:rsid w:val="68381AF2"/>
    <w:rsid w:val="684D0270"/>
    <w:rsid w:val="68525518"/>
    <w:rsid w:val="68686AEA"/>
    <w:rsid w:val="68806B01"/>
    <w:rsid w:val="688A2F04"/>
    <w:rsid w:val="68907DEF"/>
    <w:rsid w:val="68BD7494"/>
    <w:rsid w:val="68E03E94"/>
    <w:rsid w:val="690A229F"/>
    <w:rsid w:val="690A5DF3"/>
    <w:rsid w:val="69112CDD"/>
    <w:rsid w:val="69194288"/>
    <w:rsid w:val="69354EFB"/>
    <w:rsid w:val="693710DE"/>
    <w:rsid w:val="6937396B"/>
    <w:rsid w:val="693966D8"/>
    <w:rsid w:val="697119CE"/>
    <w:rsid w:val="69BD0841"/>
    <w:rsid w:val="69C75B99"/>
    <w:rsid w:val="6A211646"/>
    <w:rsid w:val="6A3550F2"/>
    <w:rsid w:val="6A570BC4"/>
    <w:rsid w:val="6A627569"/>
    <w:rsid w:val="6A841BD5"/>
    <w:rsid w:val="6AA33862"/>
    <w:rsid w:val="6AB53B3C"/>
    <w:rsid w:val="6AC14AB2"/>
    <w:rsid w:val="6AE65E85"/>
    <w:rsid w:val="6AF24D91"/>
    <w:rsid w:val="6B036F9E"/>
    <w:rsid w:val="6B1B6095"/>
    <w:rsid w:val="6B321631"/>
    <w:rsid w:val="6B562347"/>
    <w:rsid w:val="6B947BF6"/>
    <w:rsid w:val="6B9B71D6"/>
    <w:rsid w:val="6BD6020E"/>
    <w:rsid w:val="6BEF5524"/>
    <w:rsid w:val="6C336C88"/>
    <w:rsid w:val="6C3F4006"/>
    <w:rsid w:val="6C4E4249"/>
    <w:rsid w:val="6C841DBF"/>
    <w:rsid w:val="6C8C6B1F"/>
    <w:rsid w:val="6C9F2875"/>
    <w:rsid w:val="6CA83959"/>
    <w:rsid w:val="6CAB51F7"/>
    <w:rsid w:val="6CB716E9"/>
    <w:rsid w:val="6CC62031"/>
    <w:rsid w:val="6CCF5389"/>
    <w:rsid w:val="6CE00AAF"/>
    <w:rsid w:val="6D0240E7"/>
    <w:rsid w:val="6D0668D1"/>
    <w:rsid w:val="6D081BFA"/>
    <w:rsid w:val="6D142D9C"/>
    <w:rsid w:val="6D156B14"/>
    <w:rsid w:val="6D1E3C1B"/>
    <w:rsid w:val="6D2630EF"/>
    <w:rsid w:val="6D2C27DC"/>
    <w:rsid w:val="6D2F7BD6"/>
    <w:rsid w:val="6D4573FA"/>
    <w:rsid w:val="6D4A4A10"/>
    <w:rsid w:val="6D5B4E6F"/>
    <w:rsid w:val="6D604233"/>
    <w:rsid w:val="6D785A21"/>
    <w:rsid w:val="6DAA3B67"/>
    <w:rsid w:val="6DAF51BB"/>
    <w:rsid w:val="6DD8026E"/>
    <w:rsid w:val="6DDB7D5E"/>
    <w:rsid w:val="6DEE7A91"/>
    <w:rsid w:val="6DF8446C"/>
    <w:rsid w:val="6E0252EB"/>
    <w:rsid w:val="6E1F649C"/>
    <w:rsid w:val="6E3B6A4F"/>
    <w:rsid w:val="6E4313A0"/>
    <w:rsid w:val="6E4C47B8"/>
    <w:rsid w:val="6E560DC7"/>
    <w:rsid w:val="6E751F61"/>
    <w:rsid w:val="6E997680"/>
    <w:rsid w:val="6E9D3265"/>
    <w:rsid w:val="6EA6036C"/>
    <w:rsid w:val="6EA939B8"/>
    <w:rsid w:val="6EAA49ED"/>
    <w:rsid w:val="6EC47C66"/>
    <w:rsid w:val="6ED8604B"/>
    <w:rsid w:val="6EE829FC"/>
    <w:rsid w:val="6EF015E7"/>
    <w:rsid w:val="6F047DDC"/>
    <w:rsid w:val="6F060E0B"/>
    <w:rsid w:val="6F0B4673"/>
    <w:rsid w:val="6F0F4163"/>
    <w:rsid w:val="6F1B2B08"/>
    <w:rsid w:val="6F2A4AF9"/>
    <w:rsid w:val="6F4162E7"/>
    <w:rsid w:val="6F4A1255"/>
    <w:rsid w:val="6F4B2CC1"/>
    <w:rsid w:val="6F5C6C7D"/>
    <w:rsid w:val="6F795A80"/>
    <w:rsid w:val="6F863CF9"/>
    <w:rsid w:val="6F9208F0"/>
    <w:rsid w:val="6F944668"/>
    <w:rsid w:val="6F9B37DF"/>
    <w:rsid w:val="6FA6433B"/>
    <w:rsid w:val="6FAF18CA"/>
    <w:rsid w:val="6FB044D5"/>
    <w:rsid w:val="6FB940CF"/>
    <w:rsid w:val="6FD0340F"/>
    <w:rsid w:val="6FDF4162"/>
    <w:rsid w:val="6FE54EC4"/>
    <w:rsid w:val="6FE56C72"/>
    <w:rsid w:val="6FE729EA"/>
    <w:rsid w:val="700D51F5"/>
    <w:rsid w:val="7012394F"/>
    <w:rsid w:val="7020414E"/>
    <w:rsid w:val="70473489"/>
    <w:rsid w:val="70576AF8"/>
    <w:rsid w:val="70701351"/>
    <w:rsid w:val="70775C47"/>
    <w:rsid w:val="70791FDC"/>
    <w:rsid w:val="70BB28C7"/>
    <w:rsid w:val="70C64CF5"/>
    <w:rsid w:val="70CB230C"/>
    <w:rsid w:val="70EE7DA8"/>
    <w:rsid w:val="710D6480"/>
    <w:rsid w:val="71290DE0"/>
    <w:rsid w:val="71306613"/>
    <w:rsid w:val="714F4CEB"/>
    <w:rsid w:val="71526589"/>
    <w:rsid w:val="715916C6"/>
    <w:rsid w:val="715D3729"/>
    <w:rsid w:val="71630796"/>
    <w:rsid w:val="716342F2"/>
    <w:rsid w:val="71685DAD"/>
    <w:rsid w:val="717A163C"/>
    <w:rsid w:val="71AC5E6A"/>
    <w:rsid w:val="71B44B4E"/>
    <w:rsid w:val="71B763EC"/>
    <w:rsid w:val="71C254BD"/>
    <w:rsid w:val="71C50B09"/>
    <w:rsid w:val="71D90A58"/>
    <w:rsid w:val="72231CD3"/>
    <w:rsid w:val="723C3FAF"/>
    <w:rsid w:val="72C9533D"/>
    <w:rsid w:val="72D54D7C"/>
    <w:rsid w:val="72D57472"/>
    <w:rsid w:val="72E90D7F"/>
    <w:rsid w:val="72EE509C"/>
    <w:rsid w:val="72FD42D3"/>
    <w:rsid w:val="73261A7B"/>
    <w:rsid w:val="733107D8"/>
    <w:rsid w:val="733B15C3"/>
    <w:rsid w:val="735D2FC3"/>
    <w:rsid w:val="737C169B"/>
    <w:rsid w:val="73974727"/>
    <w:rsid w:val="73A62BBC"/>
    <w:rsid w:val="73BB6668"/>
    <w:rsid w:val="73BC3B18"/>
    <w:rsid w:val="73DE5455"/>
    <w:rsid w:val="73E51C2F"/>
    <w:rsid w:val="73E80675"/>
    <w:rsid w:val="73EA0CFB"/>
    <w:rsid w:val="73FE47A6"/>
    <w:rsid w:val="74030593"/>
    <w:rsid w:val="740873D3"/>
    <w:rsid w:val="740B2A1F"/>
    <w:rsid w:val="744321B9"/>
    <w:rsid w:val="745D6531"/>
    <w:rsid w:val="74600FBD"/>
    <w:rsid w:val="74640AAD"/>
    <w:rsid w:val="748A603A"/>
    <w:rsid w:val="74AE3AD6"/>
    <w:rsid w:val="74DD362F"/>
    <w:rsid w:val="74EE06F3"/>
    <w:rsid w:val="74FA2AD6"/>
    <w:rsid w:val="750E6C6B"/>
    <w:rsid w:val="751E11CC"/>
    <w:rsid w:val="758149E2"/>
    <w:rsid w:val="758F1B5A"/>
    <w:rsid w:val="759622C6"/>
    <w:rsid w:val="75BC66C7"/>
    <w:rsid w:val="75D91027"/>
    <w:rsid w:val="760342F6"/>
    <w:rsid w:val="761553FC"/>
    <w:rsid w:val="761E2EDE"/>
    <w:rsid w:val="76437692"/>
    <w:rsid w:val="764A5A81"/>
    <w:rsid w:val="766C3C49"/>
    <w:rsid w:val="7671125F"/>
    <w:rsid w:val="7671300D"/>
    <w:rsid w:val="76BC400E"/>
    <w:rsid w:val="76C7316E"/>
    <w:rsid w:val="76DD06A3"/>
    <w:rsid w:val="76E539FB"/>
    <w:rsid w:val="76EB7264"/>
    <w:rsid w:val="76FB321F"/>
    <w:rsid w:val="772067E2"/>
    <w:rsid w:val="77342D4E"/>
    <w:rsid w:val="77364257"/>
    <w:rsid w:val="775E5A5C"/>
    <w:rsid w:val="776112D4"/>
    <w:rsid w:val="77664B3C"/>
    <w:rsid w:val="777C4360"/>
    <w:rsid w:val="777D1373"/>
    <w:rsid w:val="77882D05"/>
    <w:rsid w:val="77B95F79"/>
    <w:rsid w:val="77BF7A05"/>
    <w:rsid w:val="77D45F4A"/>
    <w:rsid w:val="77D47545"/>
    <w:rsid w:val="77E141C3"/>
    <w:rsid w:val="77E37F3B"/>
    <w:rsid w:val="77E431A6"/>
    <w:rsid w:val="77FA7033"/>
    <w:rsid w:val="78082C12"/>
    <w:rsid w:val="78096FFD"/>
    <w:rsid w:val="7819395D"/>
    <w:rsid w:val="785C1A9B"/>
    <w:rsid w:val="78746DE5"/>
    <w:rsid w:val="78782D79"/>
    <w:rsid w:val="78A376CA"/>
    <w:rsid w:val="78C13887"/>
    <w:rsid w:val="78EA5EF2"/>
    <w:rsid w:val="78F30280"/>
    <w:rsid w:val="79183C14"/>
    <w:rsid w:val="791A5BDE"/>
    <w:rsid w:val="791B3704"/>
    <w:rsid w:val="7924080B"/>
    <w:rsid w:val="79256331"/>
    <w:rsid w:val="794964C4"/>
    <w:rsid w:val="795A422D"/>
    <w:rsid w:val="795F5CE7"/>
    <w:rsid w:val="79823784"/>
    <w:rsid w:val="799314ED"/>
    <w:rsid w:val="79BA191D"/>
    <w:rsid w:val="79BA4CCB"/>
    <w:rsid w:val="79C1605A"/>
    <w:rsid w:val="79D12015"/>
    <w:rsid w:val="79E306C6"/>
    <w:rsid w:val="79F3642F"/>
    <w:rsid w:val="79F857F4"/>
    <w:rsid w:val="7A171F55"/>
    <w:rsid w:val="7A275176"/>
    <w:rsid w:val="7A2E0F01"/>
    <w:rsid w:val="7A320D06"/>
    <w:rsid w:val="7A37631C"/>
    <w:rsid w:val="7A664E53"/>
    <w:rsid w:val="7A6A04A0"/>
    <w:rsid w:val="7A765096"/>
    <w:rsid w:val="7A7C01D3"/>
    <w:rsid w:val="7A917106"/>
    <w:rsid w:val="7AA4413A"/>
    <w:rsid w:val="7AB23BF5"/>
    <w:rsid w:val="7ACF29F8"/>
    <w:rsid w:val="7AD149C3"/>
    <w:rsid w:val="7AE91FA6"/>
    <w:rsid w:val="7B0A68E9"/>
    <w:rsid w:val="7B18439F"/>
    <w:rsid w:val="7B220D7A"/>
    <w:rsid w:val="7B227779"/>
    <w:rsid w:val="7B2A39DB"/>
    <w:rsid w:val="7B31720F"/>
    <w:rsid w:val="7B334D35"/>
    <w:rsid w:val="7B3B1E3C"/>
    <w:rsid w:val="7B587A97"/>
    <w:rsid w:val="7B5C31C8"/>
    <w:rsid w:val="7B666459"/>
    <w:rsid w:val="7B757956"/>
    <w:rsid w:val="7B936C7C"/>
    <w:rsid w:val="7BB33FCE"/>
    <w:rsid w:val="7C0C5586"/>
    <w:rsid w:val="7C240B22"/>
    <w:rsid w:val="7C43544C"/>
    <w:rsid w:val="7C4F2043"/>
    <w:rsid w:val="7C694787"/>
    <w:rsid w:val="7C6E6F3C"/>
    <w:rsid w:val="7C7E0232"/>
    <w:rsid w:val="7C822091"/>
    <w:rsid w:val="7CAB4D9F"/>
    <w:rsid w:val="7CBE4AD3"/>
    <w:rsid w:val="7CC55E61"/>
    <w:rsid w:val="7CCD4D16"/>
    <w:rsid w:val="7CD460A4"/>
    <w:rsid w:val="7D056BA5"/>
    <w:rsid w:val="7D08288D"/>
    <w:rsid w:val="7D252DA4"/>
    <w:rsid w:val="7D397EFB"/>
    <w:rsid w:val="7D3D5EB1"/>
    <w:rsid w:val="7D4F0E01"/>
    <w:rsid w:val="7D5471E5"/>
    <w:rsid w:val="7D586CD5"/>
    <w:rsid w:val="7D6722A4"/>
    <w:rsid w:val="7D692C90"/>
    <w:rsid w:val="7D853842"/>
    <w:rsid w:val="7D8555F0"/>
    <w:rsid w:val="7DA4016C"/>
    <w:rsid w:val="7DA77C5D"/>
    <w:rsid w:val="7DAE683F"/>
    <w:rsid w:val="7DB859C6"/>
    <w:rsid w:val="7DB879A9"/>
    <w:rsid w:val="7DC9372F"/>
    <w:rsid w:val="7DE40569"/>
    <w:rsid w:val="7DEC4B84"/>
    <w:rsid w:val="7DF12C86"/>
    <w:rsid w:val="7DF74740"/>
    <w:rsid w:val="7DFA443A"/>
    <w:rsid w:val="7E114D79"/>
    <w:rsid w:val="7E1939E8"/>
    <w:rsid w:val="7E1C7D03"/>
    <w:rsid w:val="7E1F3C97"/>
    <w:rsid w:val="7E2B6198"/>
    <w:rsid w:val="7E350DC4"/>
    <w:rsid w:val="7E4F632A"/>
    <w:rsid w:val="7E682F48"/>
    <w:rsid w:val="7E747B3F"/>
    <w:rsid w:val="7E7A2C7B"/>
    <w:rsid w:val="7E801D18"/>
    <w:rsid w:val="7E90249F"/>
    <w:rsid w:val="7EBC14E6"/>
    <w:rsid w:val="7EC108AA"/>
    <w:rsid w:val="7ED93E46"/>
    <w:rsid w:val="7EED306E"/>
    <w:rsid w:val="7F032C71"/>
    <w:rsid w:val="7F0D7F93"/>
    <w:rsid w:val="7F21759B"/>
    <w:rsid w:val="7F280963"/>
    <w:rsid w:val="7F511C2E"/>
    <w:rsid w:val="7F8567C3"/>
    <w:rsid w:val="7F86582B"/>
    <w:rsid w:val="7F8C516B"/>
    <w:rsid w:val="7FA77AA0"/>
    <w:rsid w:val="7FB328E9"/>
    <w:rsid w:val="7FDB599C"/>
    <w:rsid w:val="7FE72592"/>
    <w:rsid w:val="7FF64583"/>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7"/>
    <w:qFormat/>
    <w:uiPriority w:val="0"/>
    <w:pPr>
      <w:spacing w:line="240" w:lineRule="auto"/>
    </w:pPr>
    <w:rPr>
      <w:rFonts w:asciiTheme="minorHAnsi" w:hAnsiTheme="minorHAnsi" w:eastAsiaTheme="minorEastAsia"/>
      <w:sz w:val="21"/>
      <w:szCs w:val="24"/>
    </w:rPr>
  </w:style>
  <w:style w:type="paragraph" w:styleId="10">
    <w:name w:val="Body Text 3"/>
    <w:basedOn w:val="1"/>
    <w:link w:val="43"/>
    <w:semiHidden/>
    <w:unhideWhenUsed/>
    <w:qFormat/>
    <w:uiPriority w:val="99"/>
    <w:pPr>
      <w:spacing w:after="120"/>
    </w:pPr>
    <w:rPr>
      <w:sz w:val="16"/>
      <w:szCs w:val="16"/>
    </w:rPr>
  </w:style>
  <w:style w:type="paragraph" w:styleId="11">
    <w:name w:val="Body Text"/>
    <w:basedOn w:val="1"/>
    <w:link w:val="42"/>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unhideWhenUsed/>
    <w:qFormat/>
    <w:uiPriority w:val="0"/>
    <w:pPr>
      <w:ind w:firstLine="630"/>
    </w:pPr>
    <w:rPr>
      <w:rFonts w:eastAsia="仿宋_GB2312"/>
      <w:kern w:val="0"/>
      <w:sz w:val="32"/>
      <w:szCs w:val="20"/>
    </w:rPr>
  </w:style>
  <w:style w:type="paragraph" w:styleId="13">
    <w:name w:val="toc 5"/>
    <w:basedOn w:val="1"/>
    <w:next w:val="1"/>
    <w:autoRedefine/>
    <w:unhideWhenUsed/>
    <w:qFormat/>
    <w:uiPriority w:val="39"/>
    <w:pPr>
      <w:ind w:left="960"/>
    </w:pPr>
    <w:rPr>
      <w:rFonts w:asciiTheme="minorHAnsi" w:eastAsiaTheme="minorHAnsi"/>
      <w:sz w:val="18"/>
      <w:szCs w:val="18"/>
    </w:rPr>
  </w:style>
  <w:style w:type="paragraph" w:styleId="14">
    <w:name w:val="toc 3"/>
    <w:basedOn w:val="1"/>
    <w:next w:val="1"/>
    <w:autoRedefine/>
    <w:unhideWhenUsed/>
    <w:qFormat/>
    <w:uiPriority w:val="39"/>
    <w:pPr>
      <w:ind w:left="480"/>
    </w:pPr>
    <w:rPr>
      <w:rFonts w:asciiTheme="minorHAnsi" w:eastAsiaTheme="minorHAnsi"/>
      <w:i/>
      <w:iCs/>
      <w:sz w:val="20"/>
      <w:szCs w:val="20"/>
    </w:rPr>
  </w:style>
  <w:style w:type="paragraph" w:styleId="15">
    <w:name w:val="Plain Text"/>
    <w:basedOn w:val="1"/>
    <w:unhideWhenUsed/>
    <w:qFormat/>
    <w:uiPriority w:val="0"/>
    <w:rPr>
      <w:rFonts w:ascii="宋体" w:hAnsi="Courier New"/>
      <w:kern w:val="0"/>
      <w:sz w:val="20"/>
      <w:szCs w:val="20"/>
    </w:rPr>
  </w:style>
  <w:style w:type="paragraph" w:styleId="16">
    <w:name w:val="toc 8"/>
    <w:basedOn w:val="1"/>
    <w:next w:val="1"/>
    <w:autoRedefine/>
    <w:unhideWhenUsed/>
    <w:qFormat/>
    <w:uiPriority w:val="39"/>
    <w:pPr>
      <w:ind w:left="1680"/>
    </w:pPr>
    <w:rPr>
      <w:rFonts w:asciiTheme="minorHAnsi" w:eastAsiaTheme="minorHAnsi"/>
      <w:sz w:val="18"/>
      <w:szCs w:val="18"/>
    </w:rPr>
  </w:style>
  <w:style w:type="paragraph" w:styleId="17">
    <w:name w:val="footer"/>
    <w:basedOn w:val="1"/>
    <w:link w:val="37"/>
    <w:unhideWhenUsed/>
    <w:qFormat/>
    <w:uiPriority w:val="99"/>
    <w:pPr>
      <w:tabs>
        <w:tab w:val="center" w:pos="4153"/>
        <w:tab w:val="right" w:pos="8306"/>
      </w:tabs>
      <w:snapToGrid w:val="0"/>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0">
    <w:name w:val="toc 4"/>
    <w:basedOn w:val="1"/>
    <w:next w:val="1"/>
    <w:autoRedefine/>
    <w:unhideWhenUsed/>
    <w:qFormat/>
    <w:uiPriority w:val="39"/>
    <w:pPr>
      <w:ind w:left="720"/>
    </w:pPr>
    <w:rPr>
      <w:rFonts w:asciiTheme="minorHAnsi" w:eastAsiaTheme="minorHAnsi"/>
      <w:sz w:val="18"/>
      <w:szCs w:val="18"/>
    </w:rPr>
  </w:style>
  <w:style w:type="paragraph" w:styleId="21">
    <w:name w:val="footnote text"/>
    <w:basedOn w:val="1"/>
    <w:qFormat/>
    <w:uiPriority w:val="0"/>
    <w:pPr>
      <w:widowControl/>
      <w:jc w:val="left"/>
    </w:pPr>
    <w:rPr>
      <w:kern w:val="0"/>
      <w:sz w:val="20"/>
      <w:szCs w:val="20"/>
      <w:lang w:val="de-DE"/>
    </w:rPr>
  </w:style>
  <w:style w:type="paragraph" w:styleId="22">
    <w:name w:val="toc 6"/>
    <w:basedOn w:val="1"/>
    <w:next w:val="1"/>
    <w:autoRedefine/>
    <w:unhideWhenUsed/>
    <w:qFormat/>
    <w:uiPriority w:val="39"/>
    <w:pPr>
      <w:ind w:left="1200"/>
    </w:pPr>
    <w:rPr>
      <w:rFonts w:asciiTheme="minorHAnsi" w:eastAsiaTheme="minorHAnsi"/>
      <w:sz w:val="18"/>
      <w:szCs w:val="18"/>
    </w:rPr>
  </w:style>
  <w:style w:type="paragraph" w:styleId="23">
    <w:name w:val="toc 2"/>
    <w:basedOn w:val="1"/>
    <w:next w:val="1"/>
    <w:autoRedefine/>
    <w:unhideWhenUsed/>
    <w:qFormat/>
    <w:uiPriority w:val="39"/>
    <w:pPr>
      <w:ind w:left="240"/>
    </w:pPr>
    <w:rPr>
      <w:rFonts w:asciiTheme="minorHAnsi" w:eastAsiaTheme="minorHAnsi"/>
      <w:smallCaps/>
      <w:sz w:val="20"/>
      <w:szCs w:val="20"/>
    </w:rPr>
  </w:style>
  <w:style w:type="paragraph" w:styleId="24">
    <w:name w:val="toc 9"/>
    <w:basedOn w:val="1"/>
    <w:next w:val="1"/>
    <w:autoRedefine/>
    <w:unhideWhenUsed/>
    <w:qFormat/>
    <w:uiPriority w:val="39"/>
    <w:pPr>
      <w:ind w:left="1920"/>
    </w:pPr>
    <w:rPr>
      <w:rFonts w:asciiTheme="minorHAnsi" w:eastAsiaTheme="minorHAnsi"/>
      <w:sz w:val="18"/>
      <w:szCs w:val="18"/>
    </w:rPr>
  </w:style>
  <w:style w:type="paragraph" w:styleId="25">
    <w:name w:val="Normal (Web)"/>
    <w:basedOn w:val="1"/>
    <w:qFormat/>
    <w:uiPriority w:val="0"/>
    <w:pPr>
      <w:widowControl/>
      <w:spacing w:before="100" w:beforeAutospacing="1" w:after="100" w:afterAutospacing="1" w:line="240" w:lineRule="auto"/>
    </w:pPr>
    <w:rPr>
      <w:rFonts w:cs="宋体"/>
      <w:kern w:val="0"/>
      <w:szCs w:val="20"/>
    </w:rPr>
  </w:style>
  <w:style w:type="paragraph" w:styleId="26">
    <w:name w:val="annotation subject"/>
    <w:basedOn w:val="9"/>
    <w:next w:val="9"/>
    <w:link w:val="52"/>
    <w:semiHidden/>
    <w:unhideWhenUsed/>
    <w:qFormat/>
    <w:uiPriority w:val="99"/>
    <w:pPr>
      <w:spacing w:line="360" w:lineRule="auto"/>
    </w:pPr>
    <w:rPr>
      <w:rFonts w:ascii="宋体" w:hAnsi="宋体" w:eastAsia="宋体"/>
      <w:b/>
      <w:bCs/>
      <w:sz w:val="24"/>
      <w:szCs w:val="22"/>
    </w:rPr>
  </w:style>
  <w:style w:type="paragraph" w:styleId="27">
    <w:name w:val="Body Text First Indent 2"/>
    <w:basedOn w:val="12"/>
    <w:next w:val="1"/>
    <w:qFormat/>
    <w:uiPriority w:val="0"/>
    <w:pPr>
      <w:widowControl/>
      <w:spacing w:before="100" w:beforeAutospacing="1" w:after="100" w:afterAutospacing="1" w:line="520" w:lineRule="exact"/>
      <w:ind w:left="855" w:leftChars="0" w:firstLine="435"/>
      <w:jc w:val="left"/>
    </w:pPr>
    <w:rPr>
      <w:rFonts w:ascii="宋体" w:hAnsi="宋体" w:eastAsia="宋体" w:cs="宋体"/>
      <w:kern w:val="0"/>
      <w:sz w:val="24"/>
      <w:szCs w:val="24"/>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character" w:styleId="34">
    <w:name w:val="HTML Sample"/>
    <w:basedOn w:val="30"/>
    <w:semiHidden/>
    <w:unhideWhenUsed/>
    <w:qFormat/>
    <w:uiPriority w:val="99"/>
    <w:rPr>
      <w:rFonts w:ascii="Courier New" w:hAnsi="Courier New"/>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0"/>
    <w:link w:val="18"/>
    <w:qFormat/>
    <w:uiPriority w:val="99"/>
    <w:rPr>
      <w:rFonts w:eastAsia="宋体"/>
      <w:sz w:val="18"/>
      <w:szCs w:val="18"/>
    </w:rPr>
  </w:style>
  <w:style w:type="character" w:customStyle="1" w:styleId="37">
    <w:name w:val="页脚 字符"/>
    <w:basedOn w:val="30"/>
    <w:link w:val="17"/>
    <w:qFormat/>
    <w:uiPriority w:val="99"/>
    <w:rPr>
      <w:rFonts w:eastAsia="宋体"/>
      <w:sz w:val="18"/>
      <w:szCs w:val="18"/>
    </w:rPr>
  </w:style>
  <w:style w:type="character" w:customStyle="1" w:styleId="38">
    <w:name w:val="标题 1 字符"/>
    <w:basedOn w:val="30"/>
    <w:link w:val="2"/>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0"/>
    <w:link w:val="3"/>
    <w:qFormat/>
    <w:uiPriority w:val="9"/>
    <w:rPr>
      <w:rFonts w:eastAsia="宋体" w:asciiTheme="majorHAnsi" w:hAnsiTheme="majorHAnsi" w:cstheme="majorBidi"/>
      <w:b/>
      <w:bCs/>
      <w:sz w:val="32"/>
      <w:szCs w:val="32"/>
    </w:rPr>
  </w:style>
  <w:style w:type="character" w:customStyle="1" w:styleId="41">
    <w:name w:val="未处理的提及1"/>
    <w:basedOn w:val="30"/>
    <w:semiHidden/>
    <w:unhideWhenUsed/>
    <w:qFormat/>
    <w:uiPriority w:val="99"/>
    <w:rPr>
      <w:color w:val="605E5C"/>
      <w:shd w:val="clear" w:color="auto" w:fill="E1DFDD"/>
    </w:rPr>
  </w:style>
  <w:style w:type="character" w:customStyle="1" w:styleId="42">
    <w:name w:val="正文文本 字符"/>
    <w:basedOn w:val="30"/>
    <w:link w:val="11"/>
    <w:qFormat/>
    <w:uiPriority w:val="99"/>
    <w:rPr>
      <w:rFonts w:ascii="Times New Roman" w:hAnsi="Times New Roman" w:eastAsia="宋体" w:cs="Times New Roman"/>
      <w:kern w:val="0"/>
      <w:sz w:val="20"/>
      <w:szCs w:val="20"/>
    </w:rPr>
  </w:style>
  <w:style w:type="character" w:customStyle="1" w:styleId="43">
    <w:name w:val="正文文本 3 字符"/>
    <w:basedOn w:val="30"/>
    <w:link w:val="10"/>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0"/>
    <w:link w:val="9"/>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0"/>
    <w:link w:val="4"/>
    <w:autoRedefine/>
    <w:qFormat/>
    <w:uiPriority w:val="9"/>
    <w:rPr>
      <w:rFonts w:ascii="宋体" w:hAnsi="宋体" w:eastAsia="宋体"/>
      <w:b/>
      <w:bCs/>
      <w:sz w:val="32"/>
      <w:szCs w:val="32"/>
    </w:rPr>
  </w:style>
  <w:style w:type="character" w:customStyle="1" w:styleId="50">
    <w:name w:val="标题 4 字符"/>
    <w:basedOn w:val="30"/>
    <w:link w:val="5"/>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6"/>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Table Text"/>
    <w:basedOn w:val="1"/>
    <w:semiHidden/>
    <w:qFormat/>
    <w:uiPriority w:val="0"/>
    <w:rPr>
      <w:rFonts w:ascii="宋体" w:hAnsi="宋体" w:eastAsia="宋体" w:cs="宋体"/>
      <w:sz w:val="24"/>
      <w:szCs w:val="24"/>
      <w:lang w:val="en-US" w:eastAsia="en-US" w:bidi="ar-SA"/>
    </w:rPr>
  </w:style>
  <w:style w:type="table" w:customStyle="1" w:styleId="65">
    <w:name w:val="Table Normal"/>
    <w:semiHidden/>
    <w:unhideWhenUsed/>
    <w:qFormat/>
    <w:uiPriority w:val="0"/>
    <w:tblPr>
      <w:tblCellMar>
        <w:top w:w="0" w:type="dxa"/>
        <w:left w:w="0" w:type="dxa"/>
        <w:bottom w:w="0" w:type="dxa"/>
        <w:right w:w="0" w:type="dxa"/>
      </w:tblCellMar>
    </w:tblPr>
  </w:style>
  <w:style w:type="character" w:customStyle="1" w:styleId="66">
    <w:name w:val="font31"/>
    <w:basedOn w:val="30"/>
    <w:qFormat/>
    <w:uiPriority w:val="0"/>
    <w:rPr>
      <w:rFonts w:hint="eastAsia" w:ascii="方正仿宋_GBK" w:hAnsi="方正仿宋_GBK" w:eastAsia="方正仿宋_GBK" w:cs="方正仿宋_GBK"/>
      <w:color w:val="000000"/>
      <w:sz w:val="24"/>
      <w:szCs w:val="24"/>
      <w:u w:val="none"/>
    </w:rPr>
  </w:style>
  <w:style w:type="character" w:customStyle="1" w:styleId="67">
    <w:name w:val="font5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3388</Words>
  <Characters>3741</Characters>
  <Lines>294</Lines>
  <Paragraphs>82</Paragraphs>
  <TotalTime>0</TotalTime>
  <ScaleCrop>false</ScaleCrop>
  <LinksUpToDate>false</LinksUpToDate>
  <CharactersWithSpaces>4015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~^_^~♂</cp:lastModifiedBy>
  <cp:lastPrinted>2025-03-18T03:27:00Z</cp:lastPrinted>
  <dcterms:modified xsi:type="dcterms:W3CDTF">2026-05-08T11:18:16Z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B54FAEDE13084338972BA82F97C8675C_13</vt:lpwstr>
  </property>
  <property fmtid="{D5CDD505-2E9C-101B-9397-08002B2CF9AE}" pid="4" name="KSOTemplateDocerSaveRecord">
    <vt:lpwstr>eyJoZGlkIjoiYjc3Mzk4NjA3NDNlNGY4NTIwNTFlMzJhMDUwYzNjOTgiLCJ1c2VySWQiOiIzMzg1Mjc3NzIifQ==</vt:lpwstr>
  </property>
</Properties>
</file>