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6D3F1">
      <w:pPr>
        <w:keepNext w:val="0"/>
        <w:keepLines w:val="0"/>
        <w:pageBreakBefore w:val="0"/>
        <w:widowControl w:val="0"/>
        <w:kinsoku/>
        <w:wordWrap/>
        <w:overflowPunct/>
        <w:topLinePunct w:val="0"/>
        <w:autoSpaceDE/>
        <w:autoSpaceDN/>
        <w:bidi w:val="0"/>
        <w:adjustRightInd/>
        <w:snapToGrid/>
        <w:spacing w:line="660" w:lineRule="exact"/>
        <w:ind w:right="-108"/>
        <w:jc w:val="center"/>
        <w:textAlignment w:val="auto"/>
        <w:outlineLvl w:val="9"/>
        <w:rPr>
          <w:rFonts w:hint="eastAsia" w:ascii="华文中宋" w:hAnsi="华文中宋" w:eastAsia="华文中宋" w:cs="华文中宋"/>
          <w:b/>
          <w:bCs/>
          <w:color w:val="auto"/>
          <w:sz w:val="48"/>
          <w:szCs w:val="48"/>
        </w:rPr>
      </w:pPr>
    </w:p>
    <w:p w14:paraId="2C01EFE3">
      <w:pPr>
        <w:spacing w:before="360" w:beforeLines="150" w:after="120" w:afterLines="50"/>
        <w:jc w:val="center"/>
        <w:outlineLvl w:val="9"/>
        <w:rPr>
          <w:rFonts w:hint="eastAsia" w:ascii="华文中宋" w:hAnsi="华文中宋" w:eastAsia="华文中宋" w:cs="华文中宋"/>
          <w:color w:val="auto"/>
          <w:w w:val="80"/>
          <w:sz w:val="96"/>
          <w:szCs w:val="86"/>
        </w:rPr>
      </w:pPr>
    </w:p>
    <w:p w14:paraId="5FDEAA45">
      <w:pPr>
        <w:spacing w:before="360" w:beforeLines="150" w:after="120" w:afterLines="50"/>
        <w:jc w:val="center"/>
        <w:outlineLvl w:val="9"/>
        <w:rPr>
          <w:rFonts w:hint="eastAsia" w:ascii="华文中宋" w:hAnsi="华文中宋" w:eastAsia="华文中宋" w:cs="华文中宋"/>
          <w:b/>
          <w:color w:val="auto"/>
          <w:sz w:val="48"/>
          <w:szCs w:val="48"/>
        </w:rPr>
      </w:pPr>
      <w:r>
        <w:rPr>
          <w:rFonts w:hint="eastAsia" w:ascii="华文中宋" w:hAnsi="华文中宋" w:eastAsia="华文中宋" w:cs="华文中宋"/>
          <w:color w:val="auto"/>
          <w:w w:val="80"/>
          <w:sz w:val="96"/>
          <w:szCs w:val="86"/>
        </w:rPr>
        <w:t>竞争性磋商文件</w:t>
      </w:r>
    </w:p>
    <w:p w14:paraId="7832E390">
      <w:pPr>
        <w:adjustRightInd w:val="0"/>
        <w:snapToGrid w:val="0"/>
        <w:spacing w:line="300" w:lineRule="auto"/>
        <w:jc w:val="center"/>
        <w:outlineLvl w:val="9"/>
        <w:rPr>
          <w:rFonts w:hint="eastAsia" w:ascii="华文中宋" w:hAnsi="华文中宋" w:eastAsia="华文中宋" w:cs="华文中宋"/>
          <w:b/>
          <w:color w:val="auto"/>
          <w:sz w:val="48"/>
          <w:szCs w:val="48"/>
        </w:rPr>
      </w:pPr>
      <w:r>
        <w:rPr>
          <w:rFonts w:hint="eastAsia" w:ascii="华文中宋" w:hAnsi="华文中宋" w:eastAsia="华文中宋" w:cs="华文中宋"/>
          <w:b/>
          <w:color w:val="auto"/>
          <w:sz w:val="48"/>
          <w:szCs w:val="48"/>
        </w:rPr>
        <w:t>（</w:t>
      </w:r>
      <w:r>
        <w:rPr>
          <w:rFonts w:hint="eastAsia" w:ascii="华文中宋" w:hAnsi="华文中宋" w:eastAsia="华文中宋" w:cs="华文中宋"/>
          <w:b/>
          <w:color w:val="auto"/>
          <w:sz w:val="48"/>
          <w:szCs w:val="48"/>
          <w:lang w:val="en-US" w:eastAsia="zh-CN"/>
        </w:rPr>
        <w:t>工程</w:t>
      </w:r>
      <w:r>
        <w:rPr>
          <w:rFonts w:hint="eastAsia" w:ascii="华文中宋" w:hAnsi="华文中宋" w:eastAsia="华文中宋" w:cs="华文中宋"/>
          <w:b/>
          <w:color w:val="auto"/>
          <w:sz w:val="48"/>
          <w:szCs w:val="48"/>
        </w:rPr>
        <w:t>）</w:t>
      </w:r>
    </w:p>
    <w:p w14:paraId="0B596FE4">
      <w:pPr>
        <w:pStyle w:val="40"/>
        <w:outlineLvl w:val="9"/>
        <w:rPr>
          <w:rFonts w:hint="eastAsia" w:ascii="华文中宋" w:hAnsi="华文中宋" w:eastAsia="华文中宋" w:cs="华文中宋"/>
          <w:b/>
          <w:color w:val="auto"/>
          <w:sz w:val="48"/>
          <w:szCs w:val="48"/>
        </w:rPr>
      </w:pPr>
    </w:p>
    <w:p w14:paraId="45A1924C">
      <w:pPr>
        <w:adjustRightInd w:val="0"/>
        <w:snapToGrid w:val="0"/>
        <w:spacing w:line="480" w:lineRule="auto"/>
        <w:outlineLvl w:val="9"/>
        <w:rPr>
          <w:rFonts w:hint="eastAsia" w:ascii="华文中宋" w:hAnsi="华文中宋" w:eastAsia="华文中宋" w:cs="华文中宋"/>
          <w:b/>
          <w:bCs/>
          <w:color w:val="auto"/>
          <w:sz w:val="32"/>
          <w:szCs w:val="32"/>
          <w:highlight w:val="none"/>
        </w:rPr>
      </w:pPr>
    </w:p>
    <w:p w14:paraId="7E9BF1DF">
      <w:pPr>
        <w:adjustRightInd w:val="0"/>
        <w:snapToGrid w:val="0"/>
        <w:spacing w:line="480" w:lineRule="auto"/>
        <w:ind w:left="1600" w:hanging="1600" w:hangingChars="500"/>
        <w:jc w:val="left"/>
        <w:outlineLvl w:val="9"/>
        <w:rPr>
          <w:rFonts w:hint="eastAsia"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lang w:val="en-US" w:eastAsia="zh-CN"/>
        </w:rPr>
        <w:t>项目编</w:t>
      </w:r>
      <w:r>
        <w:rPr>
          <w:rFonts w:hint="eastAsia" w:ascii="华文中宋" w:hAnsi="华文中宋" w:eastAsia="华文中宋" w:cs="华文中宋"/>
          <w:bCs/>
          <w:color w:val="auto"/>
          <w:sz w:val="32"/>
          <w:szCs w:val="32"/>
          <w:highlight w:val="none"/>
          <w:lang w:val="en-US" w:eastAsia="zh-CN"/>
        </w:rPr>
        <w:t>号：1410282026BCS00047</w:t>
      </w:r>
    </w:p>
    <w:p w14:paraId="130B8FA1">
      <w:pPr>
        <w:adjustRightInd w:val="0"/>
        <w:snapToGrid w:val="0"/>
        <w:spacing w:line="480" w:lineRule="auto"/>
        <w:jc w:val="left"/>
        <w:outlineLvl w:val="9"/>
        <w:rPr>
          <w:rFonts w:hint="eastAsia" w:ascii="华文中宋" w:hAnsi="华文中宋" w:eastAsia="华文中宋" w:cs="华文中宋"/>
          <w:bCs/>
          <w:color w:val="auto"/>
          <w:sz w:val="32"/>
          <w:szCs w:val="32"/>
          <w:lang w:val="en-US" w:eastAsia="zh-CN"/>
        </w:rPr>
      </w:pPr>
      <w:r>
        <w:rPr>
          <w:rFonts w:hint="eastAsia" w:ascii="华文中宋" w:hAnsi="华文中宋" w:eastAsia="华文中宋" w:cs="华文中宋"/>
          <w:bCs/>
          <w:color w:val="auto"/>
          <w:sz w:val="32"/>
          <w:szCs w:val="32"/>
          <w:lang w:val="en-US" w:eastAsia="zh-CN"/>
        </w:rPr>
        <w:t>项目名称：吉县村(社)党群服务中心取暖建设工程项目(二期)</w:t>
      </w:r>
    </w:p>
    <w:p w14:paraId="63DB25C3">
      <w:pPr>
        <w:adjustRightInd w:val="0"/>
        <w:snapToGrid w:val="0"/>
        <w:spacing w:line="480" w:lineRule="auto"/>
        <w:jc w:val="left"/>
        <w:outlineLvl w:val="9"/>
        <w:rPr>
          <w:rFonts w:hint="eastAsia" w:ascii="华文中宋" w:hAnsi="华文中宋" w:eastAsia="华文中宋" w:cs="华文中宋"/>
          <w:bCs/>
          <w:color w:val="auto"/>
          <w:sz w:val="32"/>
          <w:szCs w:val="32"/>
          <w:lang w:val="en-US" w:eastAsia="zh-CN"/>
        </w:rPr>
      </w:pPr>
      <w:r>
        <w:rPr>
          <w:rFonts w:hint="eastAsia" w:ascii="华文中宋" w:hAnsi="华文中宋" w:eastAsia="华文中宋" w:cs="华文中宋"/>
          <w:bCs/>
          <w:color w:val="auto"/>
          <w:sz w:val="32"/>
          <w:szCs w:val="32"/>
        </w:rPr>
        <w:t>采</w:t>
      </w:r>
      <w:r>
        <w:rPr>
          <w:rFonts w:hint="eastAsia" w:ascii="华文中宋" w:hAnsi="华文中宋" w:eastAsia="华文中宋" w:cs="华文中宋"/>
          <w:bCs/>
          <w:color w:val="auto"/>
          <w:sz w:val="32"/>
          <w:szCs w:val="32"/>
          <w:lang w:val="en-US" w:eastAsia="zh-CN"/>
        </w:rPr>
        <w:t xml:space="preserve"> </w:t>
      </w:r>
      <w:r>
        <w:rPr>
          <w:rFonts w:hint="eastAsia" w:ascii="华文中宋" w:hAnsi="华文中宋" w:eastAsia="华文中宋" w:cs="华文中宋"/>
          <w:bCs/>
          <w:color w:val="auto"/>
          <w:sz w:val="32"/>
          <w:szCs w:val="32"/>
        </w:rPr>
        <w:t>购</w:t>
      </w:r>
      <w:r>
        <w:rPr>
          <w:rFonts w:hint="eastAsia" w:ascii="华文中宋" w:hAnsi="华文中宋" w:eastAsia="华文中宋" w:cs="华文中宋"/>
          <w:bCs/>
          <w:color w:val="auto"/>
          <w:sz w:val="32"/>
          <w:szCs w:val="32"/>
          <w:lang w:val="en-US" w:eastAsia="zh-CN"/>
        </w:rPr>
        <w:t xml:space="preserve"> </w:t>
      </w:r>
      <w:r>
        <w:rPr>
          <w:rFonts w:hint="eastAsia" w:ascii="华文中宋" w:hAnsi="华文中宋" w:eastAsia="华文中宋" w:cs="华文中宋"/>
          <w:bCs/>
          <w:color w:val="auto"/>
          <w:sz w:val="32"/>
          <w:szCs w:val="32"/>
        </w:rPr>
        <w:t>人：</w:t>
      </w:r>
      <w:r>
        <w:rPr>
          <w:rFonts w:hint="eastAsia" w:ascii="华文中宋" w:hAnsi="华文中宋" w:eastAsia="华文中宋" w:cs="华文中宋"/>
          <w:bCs/>
          <w:color w:val="auto"/>
          <w:sz w:val="32"/>
          <w:szCs w:val="32"/>
          <w:lang w:val="en-US" w:eastAsia="zh-CN"/>
        </w:rPr>
        <w:t>中国共产党吉县委员会组织部</w:t>
      </w:r>
    </w:p>
    <w:p w14:paraId="017C5743">
      <w:pPr>
        <w:adjustRightInd w:val="0"/>
        <w:snapToGrid w:val="0"/>
        <w:spacing w:line="480" w:lineRule="auto"/>
        <w:jc w:val="left"/>
        <w:outlineLvl w:val="9"/>
        <w:rPr>
          <w:rFonts w:hint="eastAsia" w:ascii="华文中宋" w:hAnsi="华文中宋" w:eastAsia="华文中宋" w:cs="华文中宋"/>
          <w:color w:val="auto"/>
          <w:sz w:val="32"/>
          <w:szCs w:val="32"/>
        </w:rPr>
      </w:pPr>
      <w:r>
        <w:rPr>
          <w:rFonts w:hint="eastAsia" w:ascii="华文中宋" w:hAnsi="华文中宋" w:eastAsia="华文中宋" w:cs="华文中宋"/>
          <w:bCs/>
          <w:color w:val="auto"/>
          <w:sz w:val="32"/>
          <w:szCs w:val="32"/>
        </w:rPr>
        <w:t>代理机构：</w:t>
      </w:r>
      <w:r>
        <w:rPr>
          <w:rFonts w:hint="eastAsia" w:ascii="华文中宋" w:hAnsi="华文中宋" w:eastAsia="华文中宋" w:cs="华文中宋"/>
          <w:color w:val="auto"/>
          <w:sz w:val="32"/>
          <w:szCs w:val="32"/>
        </w:rPr>
        <w:t>山西中际华工程项目管理有限公司</w:t>
      </w:r>
    </w:p>
    <w:p w14:paraId="1FC196EF">
      <w:pPr>
        <w:pStyle w:val="14"/>
        <w:outlineLvl w:val="9"/>
        <w:rPr>
          <w:rFonts w:hint="eastAsia"/>
          <w:color w:val="auto"/>
        </w:rPr>
      </w:pPr>
    </w:p>
    <w:p w14:paraId="667E3DD3">
      <w:pPr>
        <w:pStyle w:val="40"/>
        <w:jc w:val="center"/>
        <w:outlineLvl w:val="9"/>
        <w:rPr>
          <w:rFonts w:hint="eastAsia" w:ascii="华文中宋" w:hAnsi="华文中宋" w:eastAsia="华文中宋" w:cs="华文中宋"/>
          <w:color w:val="auto"/>
          <w:sz w:val="28"/>
          <w:szCs w:val="28"/>
        </w:rPr>
      </w:pPr>
    </w:p>
    <w:p w14:paraId="41DC7020">
      <w:pPr>
        <w:adjustRightInd w:val="0"/>
        <w:snapToGrid w:val="0"/>
        <w:spacing w:line="480" w:lineRule="auto"/>
        <w:jc w:val="center"/>
        <w:outlineLvl w:val="9"/>
        <w:rPr>
          <w:rFonts w:hint="eastAsia"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highlight w:val="none"/>
        </w:rPr>
        <w:t>日期：202</w:t>
      </w:r>
      <w:r>
        <w:rPr>
          <w:rFonts w:hint="eastAsia" w:ascii="华文中宋" w:hAnsi="华文中宋" w:eastAsia="华文中宋" w:cs="华文中宋"/>
          <w:bCs/>
          <w:color w:val="auto"/>
          <w:sz w:val="32"/>
          <w:szCs w:val="32"/>
          <w:highlight w:val="none"/>
          <w:lang w:val="en-US" w:eastAsia="zh-CN"/>
        </w:rPr>
        <w:t>6</w:t>
      </w:r>
      <w:r>
        <w:rPr>
          <w:rFonts w:hint="eastAsia" w:ascii="华文中宋" w:hAnsi="华文中宋" w:eastAsia="华文中宋" w:cs="华文中宋"/>
          <w:bCs/>
          <w:color w:val="auto"/>
          <w:sz w:val="32"/>
          <w:szCs w:val="32"/>
          <w:highlight w:val="none"/>
        </w:rPr>
        <w:t>年</w:t>
      </w:r>
      <w:r>
        <w:rPr>
          <w:rFonts w:hint="eastAsia" w:ascii="华文中宋" w:hAnsi="华文中宋" w:eastAsia="华文中宋" w:cs="华文中宋"/>
          <w:bCs/>
          <w:color w:val="auto"/>
          <w:sz w:val="32"/>
          <w:szCs w:val="32"/>
          <w:highlight w:val="none"/>
          <w:lang w:val="en-US" w:eastAsia="zh-CN"/>
        </w:rPr>
        <w:t>5月</w:t>
      </w:r>
    </w:p>
    <w:p w14:paraId="6536FA2D">
      <w:pPr>
        <w:adjustRightInd w:val="0"/>
        <w:snapToGrid w:val="0"/>
        <w:spacing w:line="360" w:lineRule="auto"/>
        <w:ind w:left="1680" w:leftChars="800"/>
        <w:jc w:val="left"/>
        <w:outlineLvl w:val="9"/>
        <w:rPr>
          <w:rFonts w:hint="eastAsia" w:ascii="华文中宋" w:hAnsi="华文中宋" w:eastAsia="华文中宋" w:cs="华文中宋"/>
          <w:bCs/>
          <w:color w:val="auto"/>
          <w:szCs w:val="21"/>
          <w:highlight w:val="none"/>
        </w:rPr>
        <w:sectPr>
          <w:headerReference r:id="rId4" w:type="first"/>
          <w:footerReference r:id="rId7" w:type="first"/>
          <w:headerReference r:id="rId3" w:type="default"/>
          <w:footerReference r:id="rId5" w:type="default"/>
          <w:footerReference r:id="rId6" w:type="even"/>
          <w:pgSz w:w="11906" w:h="16838"/>
          <w:pgMar w:top="1440" w:right="1800" w:bottom="1440" w:left="1800" w:header="720" w:footer="720" w:gutter="0"/>
          <w:pgBorders>
            <w:top w:val="none" w:sz="0" w:space="0"/>
            <w:left w:val="none" w:sz="0" w:space="0"/>
            <w:bottom w:val="none" w:sz="0" w:space="0"/>
            <w:right w:val="none" w:sz="0" w:space="0"/>
          </w:pgBorders>
          <w:pgNumType w:start="0"/>
          <w:cols w:space="720" w:num="1"/>
          <w:titlePg/>
          <w:docGrid w:linePitch="286" w:charSpace="-3831"/>
        </w:sectPr>
      </w:pPr>
    </w:p>
    <w:p w14:paraId="74951BAD">
      <w:pPr>
        <w:jc w:val="center"/>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36"/>
          <w:szCs w:val="36"/>
          <w:lang w:val="zh-CN"/>
        </w:rPr>
        <w:t>目  录</w:t>
      </w:r>
    </w:p>
    <w:p w14:paraId="17DEFDF6">
      <w:pPr>
        <w:pStyle w:val="22"/>
        <w:tabs>
          <w:tab w:val="right" w:leader="hyphen" w:pos="8820"/>
        </w:tabs>
        <w:rPr>
          <w:rFonts w:hint="eastAsia" w:ascii="华文中宋" w:hAnsi="华文中宋" w:eastAsia="华文中宋" w:cs="华文中宋"/>
          <w:b/>
          <w:bCs w:val="0"/>
          <w:sz w:val="28"/>
          <w:szCs w:val="28"/>
        </w:rPr>
      </w:pPr>
      <w:r>
        <w:rPr>
          <w:rFonts w:hint="eastAsia" w:ascii="华文中宋" w:hAnsi="华文中宋" w:eastAsia="华文中宋" w:cs="华文中宋"/>
          <w:b/>
          <w:bCs/>
          <w:color w:val="auto"/>
          <w:sz w:val="28"/>
          <w:szCs w:val="28"/>
        </w:rPr>
        <w:fldChar w:fldCharType="begin"/>
      </w:r>
      <w:r>
        <w:rPr>
          <w:rFonts w:hint="eastAsia" w:ascii="华文中宋" w:hAnsi="华文中宋" w:eastAsia="华文中宋" w:cs="华文中宋"/>
          <w:b/>
          <w:bCs/>
          <w:color w:val="auto"/>
          <w:sz w:val="28"/>
          <w:szCs w:val="28"/>
        </w:rPr>
        <w:instrText xml:space="preserve">TOC \o "1-3" \h \u </w:instrText>
      </w:r>
      <w:r>
        <w:rPr>
          <w:rFonts w:hint="eastAsia" w:ascii="华文中宋" w:hAnsi="华文中宋" w:eastAsia="华文中宋" w:cs="华文中宋"/>
          <w:b/>
          <w:bCs/>
          <w:color w:val="auto"/>
          <w:sz w:val="28"/>
          <w:szCs w:val="28"/>
        </w:rPr>
        <w:fldChar w:fldCharType="separate"/>
      </w:r>
      <w:r>
        <w:rPr>
          <w:rFonts w:hint="eastAsia" w:ascii="华文中宋" w:hAnsi="华文中宋" w:eastAsia="华文中宋" w:cs="华文中宋"/>
          <w:b/>
          <w:bCs w:val="0"/>
          <w:color w:val="auto"/>
          <w:sz w:val="28"/>
          <w:szCs w:val="28"/>
        </w:rPr>
        <w:fldChar w:fldCharType="begin"/>
      </w:r>
      <w:r>
        <w:rPr>
          <w:rFonts w:hint="eastAsia" w:ascii="华文中宋" w:hAnsi="华文中宋" w:eastAsia="华文中宋" w:cs="华文中宋"/>
          <w:b/>
          <w:bCs w:val="0"/>
          <w:sz w:val="28"/>
          <w:szCs w:val="28"/>
        </w:rPr>
        <w:instrText xml:space="preserve"> HYPERLINK \l _Toc9707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pacing w:val="0"/>
          <w:sz w:val="28"/>
          <w:szCs w:val="28"/>
          <w:lang w:val="en-US" w:eastAsia="zh-CN"/>
        </w:rPr>
        <w:t>第一部分 磋商公告</w:t>
      </w:r>
      <w:r>
        <w:rPr>
          <w:rFonts w:hint="eastAsia" w:ascii="华文中宋" w:hAnsi="华文中宋" w:eastAsia="华文中宋" w:cs="华文中宋"/>
          <w:b/>
          <w:bCs w:val="0"/>
          <w:sz w:val="28"/>
          <w:szCs w:val="28"/>
        </w:rPr>
        <w:tab/>
      </w:r>
      <w:r>
        <w:rPr>
          <w:rFonts w:hint="eastAsia" w:ascii="华文中宋" w:hAnsi="华文中宋" w:eastAsia="华文中宋" w:cs="华文中宋"/>
          <w:b/>
          <w:bCs w:val="0"/>
          <w:sz w:val="28"/>
          <w:szCs w:val="28"/>
        </w:rPr>
        <w:fldChar w:fldCharType="begin"/>
      </w:r>
      <w:r>
        <w:rPr>
          <w:rFonts w:hint="eastAsia" w:ascii="华文中宋" w:hAnsi="华文中宋" w:eastAsia="华文中宋" w:cs="华文中宋"/>
          <w:b/>
          <w:bCs w:val="0"/>
          <w:sz w:val="28"/>
          <w:szCs w:val="28"/>
        </w:rPr>
        <w:instrText xml:space="preserve"> PAGEREF _Toc9707 \h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z w:val="28"/>
          <w:szCs w:val="28"/>
        </w:rPr>
        <w:t>2</w:t>
      </w:r>
      <w:r>
        <w:rPr>
          <w:rFonts w:hint="eastAsia" w:ascii="华文中宋" w:hAnsi="华文中宋" w:eastAsia="华文中宋" w:cs="华文中宋"/>
          <w:b/>
          <w:bCs w:val="0"/>
          <w:sz w:val="28"/>
          <w:szCs w:val="28"/>
        </w:rPr>
        <w:fldChar w:fldCharType="end"/>
      </w:r>
      <w:r>
        <w:rPr>
          <w:rFonts w:hint="eastAsia" w:ascii="华文中宋" w:hAnsi="华文中宋" w:eastAsia="华文中宋" w:cs="华文中宋"/>
          <w:b/>
          <w:bCs w:val="0"/>
          <w:color w:val="auto"/>
          <w:sz w:val="28"/>
          <w:szCs w:val="28"/>
        </w:rPr>
        <w:fldChar w:fldCharType="end"/>
      </w:r>
    </w:p>
    <w:p w14:paraId="217C173D">
      <w:pPr>
        <w:pStyle w:val="22"/>
        <w:tabs>
          <w:tab w:val="right" w:leader="hyphen" w:pos="8820"/>
        </w:tabs>
        <w:rPr>
          <w:rFonts w:hint="eastAsia" w:ascii="华文中宋" w:hAnsi="华文中宋" w:eastAsia="华文中宋" w:cs="华文中宋"/>
          <w:b/>
          <w:bCs w:val="0"/>
          <w:sz w:val="28"/>
          <w:szCs w:val="28"/>
        </w:rPr>
      </w:pPr>
      <w:r>
        <w:rPr>
          <w:rFonts w:hint="eastAsia" w:ascii="华文中宋" w:hAnsi="华文中宋" w:eastAsia="华文中宋" w:cs="华文中宋"/>
          <w:b/>
          <w:bCs w:val="0"/>
          <w:color w:val="auto"/>
          <w:sz w:val="28"/>
          <w:szCs w:val="28"/>
        </w:rPr>
        <w:fldChar w:fldCharType="begin"/>
      </w:r>
      <w:r>
        <w:rPr>
          <w:rFonts w:hint="eastAsia" w:ascii="华文中宋" w:hAnsi="华文中宋" w:eastAsia="华文中宋" w:cs="华文中宋"/>
          <w:b/>
          <w:bCs w:val="0"/>
          <w:sz w:val="28"/>
          <w:szCs w:val="28"/>
        </w:rPr>
        <w:instrText xml:space="preserve"> HYPERLINK \l _Toc32546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pacing w:val="0"/>
          <w:sz w:val="28"/>
          <w:szCs w:val="28"/>
          <w:lang w:val="en-US" w:eastAsia="zh-CN"/>
        </w:rPr>
        <w:t>第二部分 磋商供应商须知前附表</w:t>
      </w:r>
      <w:r>
        <w:rPr>
          <w:rFonts w:hint="eastAsia" w:ascii="华文中宋" w:hAnsi="华文中宋" w:eastAsia="华文中宋" w:cs="华文中宋"/>
          <w:b/>
          <w:bCs w:val="0"/>
          <w:sz w:val="28"/>
          <w:szCs w:val="28"/>
        </w:rPr>
        <w:tab/>
      </w:r>
      <w:r>
        <w:rPr>
          <w:rFonts w:hint="eastAsia" w:ascii="华文中宋" w:hAnsi="华文中宋" w:eastAsia="华文中宋" w:cs="华文中宋"/>
          <w:b/>
          <w:bCs w:val="0"/>
          <w:sz w:val="28"/>
          <w:szCs w:val="28"/>
        </w:rPr>
        <w:fldChar w:fldCharType="begin"/>
      </w:r>
      <w:r>
        <w:rPr>
          <w:rFonts w:hint="eastAsia" w:ascii="华文中宋" w:hAnsi="华文中宋" w:eastAsia="华文中宋" w:cs="华文中宋"/>
          <w:b/>
          <w:bCs w:val="0"/>
          <w:sz w:val="28"/>
          <w:szCs w:val="28"/>
        </w:rPr>
        <w:instrText xml:space="preserve"> PAGEREF _Toc32546 \h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z w:val="28"/>
          <w:szCs w:val="28"/>
        </w:rPr>
        <w:t>6</w:t>
      </w:r>
      <w:r>
        <w:rPr>
          <w:rFonts w:hint="eastAsia" w:ascii="华文中宋" w:hAnsi="华文中宋" w:eastAsia="华文中宋" w:cs="华文中宋"/>
          <w:b/>
          <w:bCs w:val="0"/>
          <w:sz w:val="28"/>
          <w:szCs w:val="28"/>
        </w:rPr>
        <w:fldChar w:fldCharType="end"/>
      </w:r>
      <w:r>
        <w:rPr>
          <w:rFonts w:hint="eastAsia" w:ascii="华文中宋" w:hAnsi="华文中宋" w:eastAsia="华文中宋" w:cs="华文中宋"/>
          <w:b/>
          <w:bCs w:val="0"/>
          <w:color w:val="auto"/>
          <w:sz w:val="28"/>
          <w:szCs w:val="28"/>
        </w:rPr>
        <w:fldChar w:fldCharType="end"/>
      </w:r>
    </w:p>
    <w:p w14:paraId="0D2617B2">
      <w:pPr>
        <w:pStyle w:val="22"/>
        <w:tabs>
          <w:tab w:val="right" w:leader="hyphen" w:pos="8820"/>
        </w:tabs>
        <w:rPr>
          <w:rFonts w:hint="eastAsia" w:ascii="华文中宋" w:hAnsi="华文中宋" w:eastAsia="华文中宋" w:cs="华文中宋"/>
          <w:b/>
          <w:bCs w:val="0"/>
          <w:sz w:val="28"/>
          <w:szCs w:val="28"/>
        </w:rPr>
      </w:pPr>
      <w:r>
        <w:rPr>
          <w:rFonts w:hint="eastAsia" w:ascii="华文中宋" w:hAnsi="华文中宋" w:eastAsia="华文中宋" w:cs="华文中宋"/>
          <w:b/>
          <w:bCs w:val="0"/>
          <w:color w:val="auto"/>
          <w:sz w:val="28"/>
          <w:szCs w:val="28"/>
        </w:rPr>
        <w:fldChar w:fldCharType="begin"/>
      </w:r>
      <w:r>
        <w:rPr>
          <w:rFonts w:hint="eastAsia" w:ascii="华文中宋" w:hAnsi="华文中宋" w:eastAsia="华文中宋" w:cs="华文中宋"/>
          <w:b/>
          <w:bCs w:val="0"/>
          <w:sz w:val="28"/>
          <w:szCs w:val="28"/>
        </w:rPr>
        <w:instrText xml:space="preserve"> HYPERLINK \l _Toc15485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pacing w:val="0"/>
          <w:sz w:val="28"/>
          <w:szCs w:val="28"/>
          <w:lang w:val="en-US" w:eastAsia="zh-CN"/>
        </w:rPr>
        <w:t>第三部分 磋商供应商须知</w:t>
      </w:r>
      <w:r>
        <w:rPr>
          <w:rFonts w:hint="eastAsia" w:ascii="华文中宋" w:hAnsi="华文中宋" w:eastAsia="华文中宋" w:cs="华文中宋"/>
          <w:b/>
          <w:bCs w:val="0"/>
          <w:sz w:val="28"/>
          <w:szCs w:val="28"/>
        </w:rPr>
        <w:tab/>
      </w:r>
      <w:r>
        <w:rPr>
          <w:rFonts w:hint="eastAsia" w:ascii="华文中宋" w:hAnsi="华文中宋" w:eastAsia="华文中宋" w:cs="华文中宋"/>
          <w:b/>
          <w:bCs w:val="0"/>
          <w:sz w:val="28"/>
          <w:szCs w:val="28"/>
        </w:rPr>
        <w:fldChar w:fldCharType="begin"/>
      </w:r>
      <w:r>
        <w:rPr>
          <w:rFonts w:hint="eastAsia" w:ascii="华文中宋" w:hAnsi="华文中宋" w:eastAsia="华文中宋" w:cs="华文中宋"/>
          <w:b/>
          <w:bCs w:val="0"/>
          <w:sz w:val="28"/>
          <w:szCs w:val="28"/>
        </w:rPr>
        <w:instrText xml:space="preserve"> PAGEREF _Toc15485 \h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z w:val="28"/>
          <w:szCs w:val="28"/>
        </w:rPr>
        <w:t>10</w:t>
      </w:r>
      <w:r>
        <w:rPr>
          <w:rFonts w:hint="eastAsia" w:ascii="华文中宋" w:hAnsi="华文中宋" w:eastAsia="华文中宋" w:cs="华文中宋"/>
          <w:b/>
          <w:bCs w:val="0"/>
          <w:sz w:val="28"/>
          <w:szCs w:val="28"/>
        </w:rPr>
        <w:fldChar w:fldCharType="end"/>
      </w:r>
      <w:r>
        <w:rPr>
          <w:rFonts w:hint="eastAsia" w:ascii="华文中宋" w:hAnsi="华文中宋" w:eastAsia="华文中宋" w:cs="华文中宋"/>
          <w:b/>
          <w:bCs w:val="0"/>
          <w:color w:val="auto"/>
          <w:sz w:val="28"/>
          <w:szCs w:val="28"/>
        </w:rPr>
        <w:fldChar w:fldCharType="end"/>
      </w:r>
    </w:p>
    <w:p w14:paraId="77BE4822">
      <w:pPr>
        <w:pStyle w:val="22"/>
        <w:tabs>
          <w:tab w:val="right" w:leader="hyphen" w:pos="8820"/>
        </w:tabs>
        <w:rPr>
          <w:rFonts w:hint="eastAsia" w:ascii="华文中宋" w:hAnsi="华文中宋" w:eastAsia="华文中宋" w:cs="华文中宋"/>
          <w:b/>
          <w:bCs w:val="0"/>
          <w:sz w:val="28"/>
          <w:szCs w:val="28"/>
        </w:rPr>
      </w:pPr>
      <w:r>
        <w:rPr>
          <w:rFonts w:hint="eastAsia" w:ascii="华文中宋" w:hAnsi="华文中宋" w:eastAsia="华文中宋" w:cs="华文中宋"/>
          <w:b/>
          <w:bCs w:val="0"/>
          <w:color w:val="auto"/>
          <w:sz w:val="28"/>
          <w:szCs w:val="28"/>
        </w:rPr>
        <w:fldChar w:fldCharType="begin"/>
      </w:r>
      <w:r>
        <w:rPr>
          <w:rFonts w:hint="eastAsia" w:ascii="华文中宋" w:hAnsi="华文中宋" w:eastAsia="华文中宋" w:cs="华文中宋"/>
          <w:b/>
          <w:bCs w:val="0"/>
          <w:sz w:val="28"/>
          <w:szCs w:val="28"/>
        </w:rPr>
        <w:instrText xml:space="preserve"> HYPERLINK \l _Toc4628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pacing w:val="0"/>
          <w:kern w:val="44"/>
          <w:sz w:val="28"/>
          <w:szCs w:val="28"/>
          <w:lang w:val="en-US" w:eastAsia="zh-CN" w:bidi="ar-SA"/>
        </w:rPr>
        <w:t>第四部分 评审标准和评审方法</w:t>
      </w:r>
      <w:r>
        <w:rPr>
          <w:rFonts w:hint="eastAsia" w:ascii="华文中宋" w:hAnsi="华文中宋" w:eastAsia="华文中宋" w:cs="华文中宋"/>
          <w:b/>
          <w:bCs w:val="0"/>
          <w:sz w:val="28"/>
          <w:szCs w:val="28"/>
        </w:rPr>
        <w:tab/>
      </w:r>
      <w:r>
        <w:rPr>
          <w:rFonts w:hint="eastAsia" w:ascii="华文中宋" w:hAnsi="华文中宋" w:eastAsia="华文中宋" w:cs="华文中宋"/>
          <w:b/>
          <w:bCs w:val="0"/>
          <w:sz w:val="28"/>
          <w:szCs w:val="28"/>
        </w:rPr>
        <w:fldChar w:fldCharType="begin"/>
      </w:r>
      <w:r>
        <w:rPr>
          <w:rFonts w:hint="eastAsia" w:ascii="华文中宋" w:hAnsi="华文中宋" w:eastAsia="华文中宋" w:cs="华文中宋"/>
          <w:b/>
          <w:bCs w:val="0"/>
          <w:sz w:val="28"/>
          <w:szCs w:val="28"/>
        </w:rPr>
        <w:instrText xml:space="preserve"> PAGEREF _Toc4628 \h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z w:val="28"/>
          <w:szCs w:val="28"/>
        </w:rPr>
        <w:t>27</w:t>
      </w:r>
      <w:r>
        <w:rPr>
          <w:rFonts w:hint="eastAsia" w:ascii="华文中宋" w:hAnsi="华文中宋" w:eastAsia="华文中宋" w:cs="华文中宋"/>
          <w:b/>
          <w:bCs w:val="0"/>
          <w:sz w:val="28"/>
          <w:szCs w:val="28"/>
        </w:rPr>
        <w:fldChar w:fldCharType="end"/>
      </w:r>
      <w:r>
        <w:rPr>
          <w:rFonts w:hint="eastAsia" w:ascii="华文中宋" w:hAnsi="华文中宋" w:eastAsia="华文中宋" w:cs="华文中宋"/>
          <w:b/>
          <w:bCs w:val="0"/>
          <w:color w:val="auto"/>
          <w:sz w:val="28"/>
          <w:szCs w:val="28"/>
        </w:rPr>
        <w:fldChar w:fldCharType="end"/>
      </w:r>
    </w:p>
    <w:p w14:paraId="3406B495">
      <w:pPr>
        <w:pStyle w:val="22"/>
        <w:tabs>
          <w:tab w:val="right" w:leader="hyphen" w:pos="8820"/>
        </w:tabs>
        <w:rPr>
          <w:rFonts w:hint="eastAsia" w:ascii="华文中宋" w:hAnsi="华文中宋" w:eastAsia="华文中宋" w:cs="华文中宋"/>
          <w:b/>
          <w:bCs w:val="0"/>
          <w:sz w:val="28"/>
          <w:szCs w:val="28"/>
        </w:rPr>
      </w:pPr>
      <w:r>
        <w:rPr>
          <w:rFonts w:hint="eastAsia" w:ascii="华文中宋" w:hAnsi="华文中宋" w:eastAsia="华文中宋" w:cs="华文中宋"/>
          <w:b/>
          <w:bCs w:val="0"/>
          <w:color w:val="auto"/>
          <w:sz w:val="28"/>
          <w:szCs w:val="28"/>
        </w:rPr>
        <w:fldChar w:fldCharType="begin"/>
      </w:r>
      <w:r>
        <w:rPr>
          <w:rFonts w:hint="eastAsia" w:ascii="华文中宋" w:hAnsi="华文中宋" w:eastAsia="华文中宋" w:cs="华文中宋"/>
          <w:b/>
          <w:bCs w:val="0"/>
          <w:sz w:val="28"/>
          <w:szCs w:val="28"/>
        </w:rPr>
        <w:instrText xml:space="preserve"> HYPERLINK \l _Toc723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pacing w:val="0"/>
          <w:kern w:val="44"/>
          <w:sz w:val="28"/>
          <w:szCs w:val="28"/>
          <w:lang w:val="en-US" w:eastAsia="zh-CN" w:bidi="ar-SA"/>
        </w:rPr>
        <w:t>第五部分  技术标准和要求</w:t>
      </w:r>
      <w:r>
        <w:rPr>
          <w:rFonts w:hint="eastAsia" w:ascii="华文中宋" w:hAnsi="华文中宋" w:eastAsia="华文中宋" w:cs="华文中宋"/>
          <w:b/>
          <w:bCs w:val="0"/>
          <w:sz w:val="28"/>
          <w:szCs w:val="28"/>
        </w:rPr>
        <w:tab/>
      </w:r>
      <w:r>
        <w:rPr>
          <w:rFonts w:hint="eastAsia" w:ascii="华文中宋" w:hAnsi="华文中宋" w:eastAsia="华文中宋" w:cs="华文中宋"/>
          <w:b/>
          <w:bCs w:val="0"/>
          <w:sz w:val="28"/>
          <w:szCs w:val="28"/>
        </w:rPr>
        <w:fldChar w:fldCharType="begin"/>
      </w:r>
      <w:r>
        <w:rPr>
          <w:rFonts w:hint="eastAsia" w:ascii="华文中宋" w:hAnsi="华文中宋" w:eastAsia="华文中宋" w:cs="华文中宋"/>
          <w:b/>
          <w:bCs w:val="0"/>
          <w:sz w:val="28"/>
          <w:szCs w:val="28"/>
        </w:rPr>
        <w:instrText xml:space="preserve"> PAGEREF _Toc723 \h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z w:val="28"/>
          <w:szCs w:val="28"/>
        </w:rPr>
        <w:t>32</w:t>
      </w:r>
      <w:r>
        <w:rPr>
          <w:rFonts w:hint="eastAsia" w:ascii="华文中宋" w:hAnsi="华文中宋" w:eastAsia="华文中宋" w:cs="华文中宋"/>
          <w:b/>
          <w:bCs w:val="0"/>
          <w:sz w:val="28"/>
          <w:szCs w:val="28"/>
        </w:rPr>
        <w:fldChar w:fldCharType="end"/>
      </w:r>
      <w:r>
        <w:rPr>
          <w:rFonts w:hint="eastAsia" w:ascii="华文中宋" w:hAnsi="华文中宋" w:eastAsia="华文中宋" w:cs="华文中宋"/>
          <w:b/>
          <w:bCs w:val="0"/>
          <w:color w:val="auto"/>
          <w:sz w:val="28"/>
          <w:szCs w:val="28"/>
        </w:rPr>
        <w:fldChar w:fldCharType="end"/>
      </w:r>
    </w:p>
    <w:p w14:paraId="616C6D63">
      <w:pPr>
        <w:pStyle w:val="22"/>
        <w:tabs>
          <w:tab w:val="right" w:leader="hyphen" w:pos="8820"/>
        </w:tabs>
        <w:rPr>
          <w:rFonts w:hint="eastAsia" w:ascii="华文中宋" w:hAnsi="华文中宋" w:eastAsia="华文中宋" w:cs="华文中宋"/>
          <w:b/>
          <w:bCs w:val="0"/>
          <w:sz w:val="28"/>
          <w:szCs w:val="28"/>
        </w:rPr>
      </w:pPr>
      <w:r>
        <w:rPr>
          <w:rFonts w:hint="eastAsia" w:ascii="华文中宋" w:hAnsi="华文中宋" w:eastAsia="华文中宋" w:cs="华文中宋"/>
          <w:b/>
          <w:bCs w:val="0"/>
          <w:color w:val="auto"/>
          <w:sz w:val="28"/>
          <w:szCs w:val="28"/>
        </w:rPr>
        <w:fldChar w:fldCharType="begin"/>
      </w:r>
      <w:r>
        <w:rPr>
          <w:rFonts w:hint="eastAsia" w:ascii="华文中宋" w:hAnsi="华文中宋" w:eastAsia="华文中宋" w:cs="华文中宋"/>
          <w:b/>
          <w:bCs w:val="0"/>
          <w:sz w:val="28"/>
          <w:szCs w:val="28"/>
        </w:rPr>
        <w:instrText xml:space="preserve"> HYPERLINK \l _Toc17694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pacing w:val="0"/>
          <w:kern w:val="44"/>
          <w:sz w:val="28"/>
          <w:szCs w:val="28"/>
          <w:lang w:val="en-US" w:eastAsia="zh-CN" w:bidi="ar-SA"/>
        </w:rPr>
        <w:t>第六部分 工程量清单及图纸</w:t>
      </w:r>
      <w:r>
        <w:rPr>
          <w:rFonts w:hint="eastAsia" w:ascii="华文中宋" w:hAnsi="华文中宋" w:eastAsia="华文中宋" w:cs="华文中宋"/>
          <w:b/>
          <w:bCs w:val="0"/>
          <w:sz w:val="28"/>
          <w:szCs w:val="28"/>
        </w:rPr>
        <w:tab/>
      </w:r>
      <w:r>
        <w:rPr>
          <w:rFonts w:hint="eastAsia" w:ascii="华文中宋" w:hAnsi="华文中宋" w:eastAsia="华文中宋" w:cs="华文中宋"/>
          <w:b/>
          <w:bCs w:val="0"/>
          <w:sz w:val="28"/>
          <w:szCs w:val="28"/>
        </w:rPr>
        <w:fldChar w:fldCharType="begin"/>
      </w:r>
      <w:r>
        <w:rPr>
          <w:rFonts w:hint="eastAsia" w:ascii="华文中宋" w:hAnsi="华文中宋" w:eastAsia="华文中宋" w:cs="华文中宋"/>
          <w:b/>
          <w:bCs w:val="0"/>
          <w:sz w:val="28"/>
          <w:szCs w:val="28"/>
        </w:rPr>
        <w:instrText xml:space="preserve"> PAGEREF _Toc17694 \h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z w:val="28"/>
          <w:szCs w:val="28"/>
        </w:rPr>
        <w:t>36</w:t>
      </w:r>
      <w:r>
        <w:rPr>
          <w:rFonts w:hint="eastAsia" w:ascii="华文中宋" w:hAnsi="华文中宋" w:eastAsia="华文中宋" w:cs="华文中宋"/>
          <w:b/>
          <w:bCs w:val="0"/>
          <w:sz w:val="28"/>
          <w:szCs w:val="28"/>
        </w:rPr>
        <w:fldChar w:fldCharType="end"/>
      </w:r>
      <w:r>
        <w:rPr>
          <w:rFonts w:hint="eastAsia" w:ascii="华文中宋" w:hAnsi="华文中宋" w:eastAsia="华文中宋" w:cs="华文中宋"/>
          <w:b/>
          <w:bCs w:val="0"/>
          <w:color w:val="auto"/>
          <w:sz w:val="28"/>
          <w:szCs w:val="28"/>
        </w:rPr>
        <w:fldChar w:fldCharType="end"/>
      </w:r>
    </w:p>
    <w:p w14:paraId="42B01618">
      <w:pPr>
        <w:pStyle w:val="22"/>
        <w:tabs>
          <w:tab w:val="right" w:leader="hyphen" w:pos="8820"/>
        </w:tabs>
        <w:rPr>
          <w:rFonts w:hint="eastAsia" w:ascii="华文中宋" w:hAnsi="华文中宋" w:eastAsia="华文中宋" w:cs="华文中宋"/>
          <w:b/>
          <w:bCs w:val="0"/>
          <w:sz w:val="28"/>
          <w:szCs w:val="28"/>
        </w:rPr>
      </w:pPr>
      <w:r>
        <w:rPr>
          <w:rFonts w:hint="eastAsia" w:ascii="华文中宋" w:hAnsi="华文中宋" w:eastAsia="华文中宋" w:cs="华文中宋"/>
          <w:b/>
          <w:bCs w:val="0"/>
          <w:color w:val="auto"/>
          <w:sz w:val="28"/>
          <w:szCs w:val="28"/>
        </w:rPr>
        <w:fldChar w:fldCharType="begin"/>
      </w:r>
      <w:r>
        <w:rPr>
          <w:rFonts w:hint="eastAsia" w:ascii="华文中宋" w:hAnsi="华文中宋" w:eastAsia="华文中宋" w:cs="华文中宋"/>
          <w:b/>
          <w:bCs w:val="0"/>
          <w:sz w:val="28"/>
          <w:szCs w:val="28"/>
        </w:rPr>
        <w:instrText xml:space="preserve"> HYPERLINK \l _Toc11598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pacing w:val="0"/>
          <w:kern w:val="44"/>
          <w:sz w:val="28"/>
          <w:szCs w:val="28"/>
          <w:lang w:val="en-US" w:eastAsia="zh-CN" w:bidi="ar-SA"/>
        </w:rPr>
        <w:t>第七部分 合同条款</w:t>
      </w:r>
      <w:r>
        <w:rPr>
          <w:rFonts w:hint="eastAsia" w:ascii="华文中宋" w:hAnsi="华文中宋" w:eastAsia="华文中宋" w:cs="华文中宋"/>
          <w:b/>
          <w:bCs w:val="0"/>
          <w:sz w:val="28"/>
          <w:szCs w:val="28"/>
        </w:rPr>
        <w:tab/>
      </w:r>
      <w:r>
        <w:rPr>
          <w:rFonts w:hint="eastAsia" w:ascii="华文中宋" w:hAnsi="华文中宋" w:eastAsia="华文中宋" w:cs="华文中宋"/>
          <w:b/>
          <w:bCs w:val="0"/>
          <w:sz w:val="28"/>
          <w:szCs w:val="28"/>
        </w:rPr>
        <w:fldChar w:fldCharType="begin"/>
      </w:r>
      <w:r>
        <w:rPr>
          <w:rFonts w:hint="eastAsia" w:ascii="华文中宋" w:hAnsi="华文中宋" w:eastAsia="华文中宋" w:cs="华文中宋"/>
          <w:b/>
          <w:bCs w:val="0"/>
          <w:sz w:val="28"/>
          <w:szCs w:val="28"/>
        </w:rPr>
        <w:instrText xml:space="preserve"> PAGEREF _Toc11598 \h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z w:val="28"/>
          <w:szCs w:val="28"/>
        </w:rPr>
        <w:t>37</w:t>
      </w:r>
      <w:r>
        <w:rPr>
          <w:rFonts w:hint="eastAsia" w:ascii="华文中宋" w:hAnsi="华文中宋" w:eastAsia="华文中宋" w:cs="华文中宋"/>
          <w:b/>
          <w:bCs w:val="0"/>
          <w:sz w:val="28"/>
          <w:szCs w:val="28"/>
        </w:rPr>
        <w:fldChar w:fldCharType="end"/>
      </w:r>
      <w:r>
        <w:rPr>
          <w:rFonts w:hint="eastAsia" w:ascii="华文中宋" w:hAnsi="华文中宋" w:eastAsia="华文中宋" w:cs="华文中宋"/>
          <w:b/>
          <w:bCs w:val="0"/>
          <w:color w:val="auto"/>
          <w:sz w:val="28"/>
          <w:szCs w:val="28"/>
        </w:rPr>
        <w:fldChar w:fldCharType="end"/>
      </w:r>
    </w:p>
    <w:p w14:paraId="0A3D91A4">
      <w:pPr>
        <w:pStyle w:val="22"/>
        <w:tabs>
          <w:tab w:val="right" w:leader="hyphen" w:pos="8820"/>
        </w:tabs>
      </w:pPr>
      <w:r>
        <w:rPr>
          <w:rFonts w:hint="eastAsia" w:ascii="华文中宋" w:hAnsi="华文中宋" w:eastAsia="华文中宋" w:cs="华文中宋"/>
          <w:b/>
          <w:bCs w:val="0"/>
          <w:color w:val="auto"/>
          <w:sz w:val="28"/>
          <w:szCs w:val="28"/>
        </w:rPr>
        <w:fldChar w:fldCharType="begin"/>
      </w:r>
      <w:r>
        <w:rPr>
          <w:rFonts w:hint="eastAsia" w:ascii="华文中宋" w:hAnsi="华文中宋" w:eastAsia="华文中宋" w:cs="华文中宋"/>
          <w:b/>
          <w:bCs w:val="0"/>
          <w:sz w:val="28"/>
          <w:szCs w:val="28"/>
        </w:rPr>
        <w:instrText xml:space="preserve"> HYPERLINK \l _Toc26593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pacing w:val="0"/>
          <w:kern w:val="44"/>
          <w:sz w:val="28"/>
          <w:szCs w:val="28"/>
          <w:lang w:val="en-US" w:eastAsia="zh-CN" w:bidi="ar-SA"/>
        </w:rPr>
        <w:t>第八部分 响应文件内容要求及格式</w:t>
      </w:r>
      <w:r>
        <w:rPr>
          <w:rFonts w:hint="eastAsia" w:ascii="华文中宋" w:hAnsi="华文中宋" w:eastAsia="华文中宋" w:cs="华文中宋"/>
          <w:b/>
          <w:bCs w:val="0"/>
          <w:sz w:val="28"/>
          <w:szCs w:val="28"/>
        </w:rPr>
        <w:tab/>
      </w:r>
      <w:r>
        <w:rPr>
          <w:rFonts w:hint="eastAsia" w:ascii="华文中宋" w:hAnsi="华文中宋" w:eastAsia="华文中宋" w:cs="华文中宋"/>
          <w:b/>
          <w:bCs w:val="0"/>
          <w:sz w:val="28"/>
          <w:szCs w:val="28"/>
        </w:rPr>
        <w:fldChar w:fldCharType="begin"/>
      </w:r>
      <w:r>
        <w:rPr>
          <w:rFonts w:hint="eastAsia" w:ascii="华文中宋" w:hAnsi="华文中宋" w:eastAsia="华文中宋" w:cs="华文中宋"/>
          <w:b/>
          <w:bCs w:val="0"/>
          <w:sz w:val="28"/>
          <w:szCs w:val="28"/>
        </w:rPr>
        <w:instrText xml:space="preserve"> PAGEREF _Toc26593 \h </w:instrText>
      </w:r>
      <w:r>
        <w:rPr>
          <w:rFonts w:hint="eastAsia" w:ascii="华文中宋" w:hAnsi="华文中宋" w:eastAsia="华文中宋" w:cs="华文中宋"/>
          <w:b/>
          <w:bCs w:val="0"/>
          <w:sz w:val="28"/>
          <w:szCs w:val="28"/>
        </w:rPr>
        <w:fldChar w:fldCharType="separate"/>
      </w:r>
      <w:r>
        <w:rPr>
          <w:rFonts w:hint="eastAsia" w:ascii="华文中宋" w:hAnsi="华文中宋" w:eastAsia="华文中宋" w:cs="华文中宋"/>
          <w:b/>
          <w:bCs w:val="0"/>
          <w:sz w:val="28"/>
          <w:szCs w:val="28"/>
        </w:rPr>
        <w:t>148</w:t>
      </w:r>
      <w:r>
        <w:rPr>
          <w:rFonts w:hint="eastAsia" w:ascii="华文中宋" w:hAnsi="华文中宋" w:eastAsia="华文中宋" w:cs="华文中宋"/>
          <w:b/>
          <w:bCs w:val="0"/>
          <w:sz w:val="28"/>
          <w:szCs w:val="28"/>
        </w:rPr>
        <w:fldChar w:fldCharType="end"/>
      </w:r>
      <w:r>
        <w:rPr>
          <w:rFonts w:hint="eastAsia" w:ascii="华文中宋" w:hAnsi="华文中宋" w:eastAsia="华文中宋" w:cs="华文中宋"/>
          <w:b/>
          <w:bCs w:val="0"/>
          <w:color w:val="auto"/>
          <w:sz w:val="28"/>
          <w:szCs w:val="28"/>
        </w:rPr>
        <w:fldChar w:fldCharType="end"/>
      </w:r>
    </w:p>
    <w:p w14:paraId="5EE64E56">
      <w:pPr>
        <w:pStyle w:val="22"/>
        <w:spacing w:line="360" w:lineRule="auto"/>
        <w:outlineLvl w:val="9"/>
        <w:rPr>
          <w:rFonts w:hint="eastAsia" w:ascii="华文中宋" w:hAnsi="华文中宋" w:eastAsia="华文中宋" w:cs="华文中宋"/>
          <w:b/>
          <w:bCs w:val="0"/>
          <w:color w:val="auto"/>
          <w:sz w:val="28"/>
          <w:szCs w:val="28"/>
        </w:rPr>
      </w:pPr>
      <w:r>
        <w:rPr>
          <w:rFonts w:hint="eastAsia" w:ascii="华文中宋" w:hAnsi="华文中宋" w:eastAsia="华文中宋" w:cs="华文中宋"/>
          <w:bCs/>
          <w:color w:val="auto"/>
          <w:szCs w:val="28"/>
        </w:rPr>
        <w:fldChar w:fldCharType="end"/>
      </w:r>
    </w:p>
    <w:p w14:paraId="7589E25D">
      <w:pPr>
        <w:widowControl/>
        <w:jc w:val="left"/>
        <w:outlineLvl w:val="9"/>
        <w:rPr>
          <w:rFonts w:hint="eastAsia" w:ascii="华文中宋" w:hAnsi="华文中宋" w:eastAsia="华文中宋" w:cs="华文中宋"/>
          <w:color w:val="auto"/>
        </w:rPr>
      </w:pPr>
    </w:p>
    <w:p w14:paraId="6A4F4693">
      <w:pPr>
        <w:outlineLvl w:val="9"/>
        <w:rPr>
          <w:rFonts w:hint="eastAsia" w:ascii="华文中宋" w:hAnsi="华文中宋" w:eastAsia="华文中宋" w:cs="华文中宋"/>
          <w:color w:val="auto"/>
        </w:rPr>
      </w:pPr>
    </w:p>
    <w:p w14:paraId="0C015909">
      <w:pPr>
        <w:outlineLvl w:val="9"/>
        <w:rPr>
          <w:rFonts w:hint="eastAsia" w:ascii="华文中宋" w:hAnsi="华文中宋" w:eastAsia="华文中宋" w:cs="华文中宋"/>
          <w:color w:val="auto"/>
        </w:rPr>
      </w:pPr>
    </w:p>
    <w:p w14:paraId="5BCD2FA7">
      <w:pPr>
        <w:outlineLvl w:val="9"/>
        <w:rPr>
          <w:rFonts w:hint="eastAsia" w:ascii="华文中宋" w:hAnsi="华文中宋" w:eastAsia="华文中宋" w:cs="华文中宋"/>
          <w:color w:val="auto"/>
        </w:rPr>
      </w:pPr>
    </w:p>
    <w:p w14:paraId="1F63C5B4">
      <w:pPr>
        <w:outlineLvl w:val="9"/>
        <w:rPr>
          <w:rFonts w:hint="eastAsia" w:ascii="华文中宋" w:hAnsi="华文中宋" w:eastAsia="华文中宋" w:cs="华文中宋"/>
          <w:color w:val="auto"/>
        </w:rPr>
      </w:pPr>
    </w:p>
    <w:p w14:paraId="2549483F">
      <w:pPr>
        <w:outlineLvl w:val="9"/>
        <w:rPr>
          <w:rFonts w:hint="eastAsia" w:ascii="华文中宋" w:hAnsi="华文中宋" w:eastAsia="华文中宋" w:cs="华文中宋"/>
          <w:color w:val="auto"/>
        </w:rPr>
      </w:pPr>
    </w:p>
    <w:p w14:paraId="5BC2E42A">
      <w:pPr>
        <w:outlineLvl w:val="9"/>
        <w:rPr>
          <w:rFonts w:hint="eastAsia" w:ascii="华文中宋" w:hAnsi="华文中宋" w:eastAsia="华文中宋" w:cs="华文中宋"/>
          <w:color w:val="auto"/>
        </w:rPr>
      </w:pPr>
    </w:p>
    <w:p w14:paraId="292095D9">
      <w:pPr>
        <w:outlineLvl w:val="9"/>
        <w:rPr>
          <w:rFonts w:hint="eastAsia" w:ascii="华文中宋" w:hAnsi="华文中宋" w:eastAsia="华文中宋" w:cs="华文中宋"/>
          <w:color w:val="auto"/>
        </w:rPr>
      </w:pPr>
    </w:p>
    <w:p w14:paraId="0A24D3F9">
      <w:pPr>
        <w:outlineLvl w:val="9"/>
        <w:rPr>
          <w:rFonts w:hint="eastAsia" w:ascii="华文中宋" w:hAnsi="华文中宋" w:eastAsia="华文中宋" w:cs="华文中宋"/>
          <w:color w:val="auto"/>
        </w:rPr>
      </w:pPr>
    </w:p>
    <w:p w14:paraId="6947D787">
      <w:pPr>
        <w:outlineLvl w:val="9"/>
        <w:rPr>
          <w:rFonts w:hint="eastAsia" w:ascii="华文中宋" w:hAnsi="华文中宋" w:eastAsia="华文中宋" w:cs="华文中宋"/>
          <w:color w:val="auto"/>
        </w:rPr>
      </w:pPr>
    </w:p>
    <w:p w14:paraId="340431D1">
      <w:pPr>
        <w:outlineLvl w:val="9"/>
        <w:rPr>
          <w:rFonts w:hint="eastAsia" w:ascii="华文中宋" w:hAnsi="华文中宋" w:eastAsia="华文中宋" w:cs="华文中宋"/>
          <w:color w:val="auto"/>
        </w:rPr>
      </w:pPr>
    </w:p>
    <w:p w14:paraId="20AE9197">
      <w:pPr>
        <w:outlineLvl w:val="9"/>
        <w:rPr>
          <w:rFonts w:hint="eastAsia" w:ascii="华文中宋" w:hAnsi="华文中宋" w:eastAsia="华文中宋" w:cs="华文中宋"/>
          <w:color w:val="auto"/>
        </w:rPr>
      </w:pPr>
    </w:p>
    <w:p w14:paraId="62B4CC1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华文中宋" w:hAnsi="华文中宋" w:eastAsia="华文中宋" w:cs="华文中宋"/>
          <w:color w:val="auto"/>
          <w:spacing w:val="20"/>
          <w:sz w:val="44"/>
          <w:szCs w:val="44"/>
          <w:lang w:val="en-US" w:eastAsia="zh-CN"/>
        </w:rPr>
      </w:pPr>
      <w:bookmarkStart w:id="0" w:name="_Toc8269"/>
      <w:r>
        <w:rPr>
          <w:rFonts w:hint="eastAsia" w:ascii="华文中宋" w:hAnsi="华文中宋" w:eastAsia="华文中宋" w:cs="华文中宋"/>
          <w:b/>
          <w:bCs/>
          <w:color w:val="auto"/>
          <w:spacing w:val="0"/>
          <w:sz w:val="44"/>
          <w:szCs w:val="44"/>
          <w:lang w:val="en-US" w:eastAsia="zh-CN"/>
        </w:rPr>
        <w:br w:type="page"/>
      </w:r>
      <w:bookmarkStart w:id="1" w:name="_Toc9707"/>
      <w:r>
        <w:rPr>
          <w:rFonts w:hint="eastAsia" w:ascii="华文中宋" w:hAnsi="华文中宋" w:eastAsia="华文中宋" w:cs="华文中宋"/>
          <w:b/>
          <w:bCs/>
          <w:color w:val="auto"/>
          <w:spacing w:val="0"/>
          <w:sz w:val="44"/>
          <w:szCs w:val="44"/>
          <w:lang w:val="en-US" w:eastAsia="zh-CN"/>
        </w:rPr>
        <w:t>第一部分 磋商公告</w:t>
      </w:r>
      <w:bookmarkEnd w:id="0"/>
      <w:bookmarkEnd w:id="1"/>
    </w:p>
    <w:p w14:paraId="148C65CD">
      <w:pPr>
        <w:spacing w:line="240" w:lineRule="auto"/>
        <w:rPr>
          <w:rFonts w:hint="eastAsia"/>
        </w:rPr>
      </w:pPr>
    </w:p>
    <w:p w14:paraId="6C75E0F9">
      <w:pPr>
        <w:pStyle w:val="26"/>
        <w:keepNext w:val="0"/>
        <w:keepLines w:val="0"/>
        <w:widowControl/>
        <w:suppressLineNumbers w:val="0"/>
        <w:spacing w:before="75" w:beforeAutospacing="0" w:after="150" w:afterAutospacing="0" w:line="240" w:lineRule="auto"/>
        <w:ind w:left="0" w:right="0" w:firstLine="420"/>
      </w:pPr>
      <w:r>
        <w:rPr>
          <w:rFonts w:ascii="微软雅黑" w:hAnsi="微软雅黑" w:eastAsia="微软雅黑" w:cs="微软雅黑"/>
          <w:i w:val="0"/>
          <w:iCs w:val="0"/>
          <w:caps w:val="0"/>
          <w:color w:val="000000"/>
          <w:spacing w:val="0"/>
          <w:sz w:val="24"/>
          <w:szCs w:val="24"/>
        </w:rPr>
        <w:t>项目概况                                                    </w:t>
      </w:r>
      <w:r>
        <w:rPr>
          <w:rFonts w:hint="eastAsia" w:ascii="微软雅黑" w:hAnsi="微软雅黑" w:eastAsia="微软雅黑" w:cs="微软雅黑"/>
          <w:i w:val="0"/>
          <w:iCs w:val="0"/>
          <w:caps w:val="0"/>
          <w:color w:val="000000"/>
          <w:spacing w:val="0"/>
          <w:sz w:val="24"/>
          <w:szCs w:val="24"/>
        </w:rPr>
        <w:t>            </w:t>
      </w:r>
    </w:p>
    <w:p w14:paraId="2A81D8B9">
      <w:pPr>
        <w:pStyle w:val="26"/>
        <w:keepNext w:val="0"/>
        <w:keepLines w:val="0"/>
        <w:widowControl/>
        <w:suppressLineNumbers w:val="0"/>
        <w:spacing w:before="75" w:beforeAutospacing="0" w:after="75" w:afterAutospacing="0" w:line="240" w:lineRule="auto"/>
        <w:ind w:left="0" w:right="0" w:firstLine="420"/>
      </w:pPr>
      <w:r>
        <w:rPr>
          <w:rStyle w:val="35"/>
          <w:rFonts w:hint="eastAsia" w:ascii="微软雅黑" w:hAnsi="微软雅黑" w:eastAsia="微软雅黑" w:cs="微软雅黑"/>
          <w:i w:val="0"/>
          <w:iCs w:val="0"/>
          <w:caps w:val="0"/>
          <w:color w:val="000000"/>
          <w:spacing w:val="0"/>
          <w:sz w:val="24"/>
          <w:szCs w:val="24"/>
        </w:rPr>
        <w:t>吉县村(社)党群服务中心取暖建设工程项目(二期)</w:t>
      </w:r>
      <w:r>
        <w:rPr>
          <w:rFonts w:hint="eastAsia" w:ascii="微软雅黑" w:hAnsi="微软雅黑" w:eastAsia="微软雅黑" w:cs="微软雅黑"/>
          <w:i w:val="0"/>
          <w:iCs w:val="0"/>
          <w:caps w:val="0"/>
          <w:color w:val="000000"/>
          <w:spacing w:val="0"/>
          <w:sz w:val="24"/>
          <w:szCs w:val="24"/>
        </w:rPr>
        <w:t>采购项目的潜在供应商应在</w:t>
      </w:r>
      <w:r>
        <w:rPr>
          <w:rStyle w:val="35"/>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获取采购文件，并于</w:t>
      </w:r>
      <w:r>
        <w:rPr>
          <w:rStyle w:val="35"/>
          <w:rFonts w:hint="eastAsia" w:ascii="微软雅黑" w:hAnsi="微软雅黑" w:eastAsia="微软雅黑" w:cs="微软雅黑"/>
          <w:i w:val="0"/>
          <w:iCs w:val="0"/>
          <w:caps w:val="0"/>
          <w:color w:val="000000"/>
          <w:spacing w:val="0"/>
          <w:sz w:val="24"/>
          <w:szCs w:val="24"/>
        </w:rPr>
        <w:t>2026年05月19日 15:00</w:t>
      </w:r>
      <w:r>
        <w:rPr>
          <w:rFonts w:hint="eastAsia" w:ascii="微软雅黑" w:hAnsi="微软雅黑" w:eastAsia="微软雅黑" w:cs="微软雅黑"/>
          <w:i w:val="0"/>
          <w:iCs w:val="0"/>
          <w:caps w:val="0"/>
          <w:color w:val="000000"/>
          <w:spacing w:val="0"/>
          <w:sz w:val="24"/>
          <w:szCs w:val="24"/>
        </w:rPr>
        <w:t>（北京时间）前提交响应文件。                            </w:t>
      </w:r>
    </w:p>
    <w:p w14:paraId="383781B2">
      <w:pPr>
        <w:pStyle w:val="26"/>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31"/>
          <w:szCs w:val="31"/>
        </w:rPr>
      </w:pPr>
      <w:r>
        <w:rPr>
          <w:rStyle w:val="32"/>
          <w:rFonts w:hint="eastAsia" w:ascii="微软雅黑" w:hAnsi="微软雅黑" w:eastAsia="微软雅黑" w:cs="微软雅黑"/>
          <w:i w:val="0"/>
          <w:iCs w:val="0"/>
          <w:caps w:val="0"/>
          <w:color w:val="000000"/>
          <w:spacing w:val="0"/>
          <w:sz w:val="24"/>
          <w:szCs w:val="24"/>
        </w:rPr>
        <w:t>一、项目基本情况</w:t>
      </w:r>
    </w:p>
    <w:p w14:paraId="77D26364">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项目编号：</w:t>
      </w:r>
      <w:r>
        <w:rPr>
          <w:rStyle w:val="35"/>
          <w:rFonts w:hint="eastAsia" w:ascii="微软雅黑" w:hAnsi="微软雅黑" w:eastAsia="微软雅黑" w:cs="微软雅黑"/>
          <w:i w:val="0"/>
          <w:iCs w:val="0"/>
          <w:caps w:val="0"/>
          <w:color w:val="000000"/>
          <w:spacing w:val="0"/>
          <w:sz w:val="24"/>
          <w:szCs w:val="24"/>
        </w:rPr>
        <w:t>1410282026BCS00047</w:t>
      </w:r>
      <w:r>
        <w:rPr>
          <w:rFonts w:hint="eastAsia" w:ascii="微软雅黑" w:hAnsi="微软雅黑" w:eastAsia="微软雅黑" w:cs="微软雅黑"/>
          <w:i w:val="0"/>
          <w:iCs w:val="0"/>
          <w:caps w:val="0"/>
          <w:color w:val="000000"/>
          <w:spacing w:val="0"/>
          <w:sz w:val="24"/>
          <w:szCs w:val="24"/>
        </w:rPr>
        <w:t>     </w:t>
      </w:r>
    </w:p>
    <w:p w14:paraId="3B65D945">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项目名称：</w:t>
      </w:r>
      <w:r>
        <w:rPr>
          <w:rStyle w:val="35"/>
          <w:rFonts w:hint="eastAsia" w:ascii="微软雅黑" w:hAnsi="微软雅黑" w:eastAsia="微软雅黑" w:cs="微软雅黑"/>
          <w:i w:val="0"/>
          <w:iCs w:val="0"/>
          <w:caps w:val="0"/>
          <w:color w:val="000000"/>
          <w:spacing w:val="0"/>
          <w:sz w:val="24"/>
          <w:szCs w:val="24"/>
        </w:rPr>
        <w:t>吉县村(社)党群服务中心取暖建设工程项目(二期)</w:t>
      </w:r>
      <w:r>
        <w:rPr>
          <w:rFonts w:hint="eastAsia" w:ascii="微软雅黑" w:hAnsi="微软雅黑" w:eastAsia="微软雅黑" w:cs="微软雅黑"/>
          <w:i w:val="0"/>
          <w:iCs w:val="0"/>
          <w:caps w:val="0"/>
          <w:color w:val="000000"/>
          <w:spacing w:val="0"/>
          <w:sz w:val="24"/>
          <w:szCs w:val="24"/>
        </w:rPr>
        <w:t>    </w:t>
      </w:r>
    </w:p>
    <w:p w14:paraId="3A04B83C">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采购方式：竞争性磋商           </w:t>
      </w:r>
    </w:p>
    <w:p w14:paraId="0AC056CF">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预算金额（元）：</w:t>
      </w:r>
      <w:r>
        <w:rPr>
          <w:rStyle w:val="35"/>
          <w:rFonts w:hint="eastAsia" w:ascii="微软雅黑" w:hAnsi="微软雅黑" w:eastAsia="微软雅黑" w:cs="微软雅黑"/>
          <w:i w:val="0"/>
          <w:iCs w:val="0"/>
          <w:caps w:val="0"/>
          <w:color w:val="000000"/>
          <w:spacing w:val="0"/>
          <w:sz w:val="24"/>
          <w:szCs w:val="24"/>
        </w:rPr>
        <w:t>2439109.44</w:t>
      </w:r>
      <w:r>
        <w:rPr>
          <w:rFonts w:hint="eastAsia" w:ascii="微软雅黑" w:hAnsi="微软雅黑" w:eastAsia="微软雅黑" w:cs="微软雅黑"/>
          <w:i w:val="0"/>
          <w:iCs w:val="0"/>
          <w:caps w:val="0"/>
          <w:color w:val="000000"/>
          <w:spacing w:val="0"/>
          <w:sz w:val="24"/>
          <w:szCs w:val="24"/>
        </w:rPr>
        <w:t>     </w:t>
      </w:r>
    </w:p>
    <w:p w14:paraId="3AB794D4">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最高限价（元）：</w:t>
      </w:r>
      <w:r>
        <w:rPr>
          <w:rStyle w:val="35"/>
          <w:rFonts w:hint="eastAsia" w:ascii="微软雅黑" w:hAnsi="微软雅黑" w:eastAsia="微软雅黑" w:cs="微软雅黑"/>
          <w:i w:val="0"/>
          <w:iCs w:val="0"/>
          <w:caps w:val="0"/>
          <w:color w:val="000000"/>
          <w:spacing w:val="0"/>
          <w:sz w:val="24"/>
          <w:szCs w:val="24"/>
        </w:rPr>
        <w:t>2439109.44</w:t>
      </w:r>
      <w:r>
        <w:rPr>
          <w:rFonts w:hint="eastAsia" w:ascii="微软雅黑" w:hAnsi="微软雅黑" w:eastAsia="微软雅黑" w:cs="微软雅黑"/>
          <w:i w:val="0"/>
          <w:iCs w:val="0"/>
          <w:caps w:val="0"/>
          <w:color w:val="000000"/>
          <w:spacing w:val="0"/>
          <w:sz w:val="24"/>
          <w:szCs w:val="24"/>
        </w:rPr>
        <w:t>     </w:t>
      </w:r>
    </w:p>
    <w:p w14:paraId="4674C1DB">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采购需求：</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p>
    <w:p w14:paraId="70524B6A">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标项名称：</w:t>
      </w:r>
      <w:r>
        <w:rPr>
          <w:rStyle w:val="35"/>
          <w:rFonts w:hint="eastAsia" w:ascii="微软雅黑" w:hAnsi="微软雅黑" w:eastAsia="微软雅黑" w:cs="微软雅黑"/>
          <w:i w:val="0"/>
          <w:iCs w:val="0"/>
          <w:caps w:val="0"/>
          <w:color w:val="000000"/>
          <w:spacing w:val="0"/>
          <w:kern w:val="0"/>
          <w:sz w:val="24"/>
          <w:szCs w:val="24"/>
          <w:shd w:val="clear" w:fill="F7F7F7"/>
          <w:lang w:val="en-US" w:eastAsia="zh-CN" w:bidi="ar"/>
        </w:rPr>
        <w:t>吉县村(社)党群服务中心取暖建设工程项目(二期)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预算金额（元）：</w:t>
      </w:r>
      <w:r>
        <w:rPr>
          <w:rStyle w:val="35"/>
          <w:rFonts w:hint="eastAsia" w:ascii="微软雅黑" w:hAnsi="微软雅黑" w:eastAsia="微软雅黑" w:cs="微软雅黑"/>
          <w:i w:val="0"/>
          <w:iCs w:val="0"/>
          <w:caps w:val="0"/>
          <w:color w:val="000000"/>
          <w:spacing w:val="0"/>
          <w:kern w:val="0"/>
          <w:sz w:val="24"/>
          <w:szCs w:val="24"/>
          <w:shd w:val="clear" w:fill="F7F7F7"/>
          <w:lang w:val="en-US" w:eastAsia="zh-CN" w:bidi="ar"/>
        </w:rPr>
        <w:t>2439109.44</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简要规格描述：</w:t>
      </w:r>
      <w:r>
        <w:rPr>
          <w:rStyle w:val="35"/>
          <w:rFonts w:hint="eastAsia" w:ascii="微软雅黑" w:hAnsi="微软雅黑" w:eastAsia="微软雅黑" w:cs="微软雅黑"/>
          <w:i w:val="0"/>
          <w:iCs w:val="0"/>
          <w:caps w:val="0"/>
          <w:color w:val="000000"/>
          <w:spacing w:val="0"/>
          <w:kern w:val="0"/>
          <w:sz w:val="24"/>
          <w:szCs w:val="24"/>
          <w:shd w:val="clear" w:fill="F7F7F7"/>
          <w:lang w:val="en-US" w:eastAsia="zh-CN" w:bidi="ar"/>
        </w:rPr>
        <w:t>吉县村(社)党群服务中心取暖建设工程项目(二期)</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备注：    </w:t>
      </w:r>
    </w:p>
    <w:p w14:paraId="49ABBE32">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合同履约期限：</w:t>
      </w:r>
      <w:r>
        <w:rPr>
          <w:rStyle w:val="35"/>
          <w:rFonts w:hint="eastAsia" w:ascii="微软雅黑" w:hAnsi="微软雅黑" w:eastAsia="微软雅黑" w:cs="微软雅黑"/>
          <w:i w:val="0"/>
          <w:iCs w:val="0"/>
          <w:caps w:val="0"/>
          <w:color w:val="000000"/>
          <w:spacing w:val="0"/>
          <w:sz w:val="24"/>
          <w:szCs w:val="24"/>
        </w:rPr>
        <w:t>包 1，60日历天</w:t>
      </w:r>
      <w:r>
        <w:rPr>
          <w:rFonts w:hint="eastAsia" w:ascii="微软雅黑" w:hAnsi="微软雅黑" w:eastAsia="微软雅黑" w:cs="微软雅黑"/>
          <w:i w:val="0"/>
          <w:iCs w:val="0"/>
          <w:caps w:val="0"/>
          <w:color w:val="000000"/>
          <w:spacing w:val="0"/>
          <w:sz w:val="24"/>
          <w:szCs w:val="24"/>
        </w:rPr>
        <w:t>        </w:t>
      </w:r>
    </w:p>
    <w:p w14:paraId="795512FD">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本项目（</w:t>
      </w:r>
      <w:r>
        <w:rPr>
          <w:rStyle w:val="35"/>
          <w:rFonts w:hint="eastAsia" w:ascii="微软雅黑" w:hAnsi="微软雅黑" w:eastAsia="微软雅黑" w:cs="微软雅黑"/>
          <w:i w:val="0"/>
          <w:iCs w:val="0"/>
          <w:caps w:val="0"/>
          <w:color w:val="000000"/>
          <w:spacing w:val="0"/>
          <w:sz w:val="24"/>
          <w:szCs w:val="24"/>
        </w:rPr>
        <w:t>否</w:t>
      </w:r>
      <w:r>
        <w:rPr>
          <w:rFonts w:hint="eastAsia" w:ascii="微软雅黑" w:hAnsi="微软雅黑" w:eastAsia="微软雅黑" w:cs="微软雅黑"/>
          <w:i w:val="0"/>
          <w:iCs w:val="0"/>
          <w:caps w:val="0"/>
          <w:color w:val="000000"/>
          <w:spacing w:val="0"/>
          <w:sz w:val="24"/>
          <w:szCs w:val="24"/>
        </w:rPr>
        <w:t>）接受联合体投标。        </w:t>
      </w:r>
    </w:p>
    <w:p w14:paraId="70C8C569">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2"/>
          <w:rFonts w:hint="eastAsia" w:ascii="微软雅黑" w:hAnsi="微软雅黑" w:eastAsia="微软雅黑" w:cs="微软雅黑"/>
          <w:i w:val="0"/>
          <w:iCs w:val="0"/>
          <w:caps w:val="0"/>
          <w:color w:val="000000"/>
          <w:spacing w:val="0"/>
          <w:sz w:val="24"/>
          <w:szCs w:val="24"/>
        </w:rPr>
        <w:t>二、申请人的资格要求：</w:t>
      </w:r>
      <w:r>
        <w:rPr>
          <w:rFonts w:ascii="黑体" w:hAnsi="宋体" w:eastAsia="黑体" w:cs="黑体"/>
          <w:i w:val="0"/>
          <w:iCs w:val="0"/>
          <w:caps w:val="0"/>
          <w:color w:val="000000"/>
          <w:spacing w:val="0"/>
          <w:sz w:val="27"/>
          <w:szCs w:val="27"/>
        </w:rPr>
        <w:t>    </w:t>
      </w:r>
    </w:p>
    <w:p w14:paraId="264A9137">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1.满足《中华人民共和国政府采购法》第二十二条规定；        </w:t>
      </w:r>
    </w:p>
    <w:p w14:paraId="00FD6CD9">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2.落实政府采购政策需满足的资格要求：</w:t>
      </w:r>
      <w:r>
        <w:rPr>
          <w:rStyle w:val="35"/>
          <w:rFonts w:hint="eastAsia" w:ascii="微软雅黑" w:hAnsi="微软雅黑" w:eastAsia="微软雅黑" w:cs="微软雅黑"/>
          <w:i w:val="0"/>
          <w:iCs w:val="0"/>
          <w:caps w:val="0"/>
          <w:color w:val="000000"/>
          <w:spacing w:val="0"/>
          <w:sz w:val="24"/>
          <w:szCs w:val="24"/>
        </w:rPr>
        <w:t>包1：本项目专门面向中小企业 </w:t>
      </w:r>
      <w:r>
        <w:rPr>
          <w:rFonts w:hint="eastAsia" w:ascii="微软雅黑" w:hAnsi="微软雅黑" w:eastAsia="微软雅黑" w:cs="微软雅黑"/>
          <w:i w:val="0"/>
          <w:iCs w:val="0"/>
          <w:caps w:val="0"/>
          <w:color w:val="000000"/>
          <w:spacing w:val="0"/>
          <w:sz w:val="24"/>
          <w:szCs w:val="24"/>
        </w:rPr>
        <w:t>        </w:t>
      </w:r>
    </w:p>
    <w:p w14:paraId="515F6336">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3.本项目的特定资格要求：</w:t>
      </w:r>
      <w:r>
        <w:rPr>
          <w:rStyle w:val="35"/>
          <w:rFonts w:hint="eastAsia" w:ascii="微软雅黑" w:hAnsi="微软雅黑" w:eastAsia="微软雅黑" w:cs="微软雅黑"/>
          <w:i w:val="0"/>
          <w:iCs w:val="0"/>
          <w:caps w:val="0"/>
          <w:color w:val="000000"/>
          <w:spacing w:val="0"/>
          <w:sz w:val="24"/>
          <w:szCs w:val="24"/>
        </w:rPr>
        <w:br w:type="textWrapping"/>
      </w:r>
      <w:r>
        <w:rPr>
          <w:rStyle w:val="35"/>
          <w:rFonts w:hint="eastAsia" w:ascii="微软雅黑" w:hAnsi="微软雅黑" w:eastAsia="微软雅黑" w:cs="微软雅黑"/>
          <w:i w:val="0"/>
          <w:iCs w:val="0"/>
          <w:caps w:val="0"/>
          <w:color w:val="000000"/>
          <w:spacing w:val="0"/>
          <w:sz w:val="24"/>
          <w:szCs w:val="24"/>
        </w:rPr>
        <w:t>【包1】</w:t>
      </w:r>
      <w:r>
        <w:rPr>
          <w:rStyle w:val="35"/>
          <w:rFonts w:hint="eastAsia" w:ascii="微软雅黑" w:hAnsi="微软雅黑" w:eastAsia="微软雅黑" w:cs="微软雅黑"/>
          <w:i w:val="0"/>
          <w:iCs w:val="0"/>
          <w:caps w:val="0"/>
          <w:color w:val="000000"/>
          <w:spacing w:val="0"/>
          <w:sz w:val="24"/>
          <w:szCs w:val="24"/>
        </w:rPr>
        <w:br w:type="textWrapping"/>
      </w:r>
      <w:r>
        <w:rPr>
          <w:rStyle w:val="35"/>
          <w:rFonts w:hint="eastAsia" w:ascii="微软雅黑" w:hAnsi="微软雅黑" w:eastAsia="微软雅黑" w:cs="微软雅黑"/>
          <w:i w:val="0"/>
          <w:iCs w:val="0"/>
          <w:caps w:val="0"/>
          <w:color w:val="000000"/>
          <w:spacing w:val="0"/>
          <w:sz w:val="24"/>
          <w:szCs w:val="24"/>
        </w:rPr>
        <w:t>供应商须具备机电工程施工总承包三级及以上资质，有效的营业执照、安全生产许可证，并在人员、设备、资金等方面具有相应能力，其中，拟派项目经理须具备机电工程专业贰级及以上注册建造师执业资格，具备有效的安全生产考核合格证书，且未担任其他在建项目的项目经理。</w:t>
      </w:r>
      <w:r>
        <w:rPr>
          <w:rFonts w:hint="eastAsia" w:ascii="微软雅黑" w:hAnsi="微软雅黑" w:eastAsia="微软雅黑" w:cs="微软雅黑"/>
          <w:i w:val="0"/>
          <w:iCs w:val="0"/>
          <w:caps w:val="0"/>
          <w:color w:val="000000"/>
          <w:spacing w:val="0"/>
          <w:sz w:val="24"/>
          <w:szCs w:val="24"/>
        </w:rPr>
        <w:t>        </w:t>
      </w:r>
    </w:p>
    <w:p w14:paraId="3A148D25">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2"/>
          <w:rFonts w:hint="eastAsia" w:ascii="微软雅黑" w:hAnsi="微软雅黑" w:eastAsia="微软雅黑" w:cs="微软雅黑"/>
          <w:i w:val="0"/>
          <w:iCs w:val="0"/>
          <w:caps w:val="0"/>
          <w:color w:val="000000"/>
          <w:spacing w:val="0"/>
          <w:sz w:val="24"/>
          <w:szCs w:val="24"/>
        </w:rPr>
        <w:t>三、获取采购文件</w:t>
      </w:r>
      <w:r>
        <w:rPr>
          <w:rFonts w:ascii="黑体" w:hAnsi="宋体" w:eastAsia="黑体" w:cs="黑体"/>
          <w:i w:val="0"/>
          <w:iCs w:val="0"/>
          <w:caps w:val="0"/>
          <w:color w:val="000000"/>
          <w:spacing w:val="0"/>
          <w:sz w:val="27"/>
          <w:szCs w:val="27"/>
        </w:rPr>
        <w:t>    </w:t>
      </w:r>
    </w:p>
    <w:p w14:paraId="3CFA4666">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时间：</w:t>
      </w:r>
      <w:r>
        <w:rPr>
          <w:rStyle w:val="35"/>
          <w:rFonts w:hint="eastAsia" w:ascii="微软雅黑" w:hAnsi="微软雅黑" w:eastAsia="微软雅黑" w:cs="微软雅黑"/>
          <w:i w:val="0"/>
          <w:iCs w:val="0"/>
          <w:caps w:val="0"/>
          <w:color w:val="000000"/>
          <w:spacing w:val="0"/>
          <w:sz w:val="24"/>
          <w:szCs w:val="24"/>
        </w:rPr>
        <w:t>2026年05月05日</w:t>
      </w:r>
      <w:r>
        <w:rPr>
          <w:rFonts w:hint="eastAsia" w:ascii="微软雅黑" w:hAnsi="微软雅黑" w:eastAsia="微软雅黑" w:cs="微软雅黑"/>
          <w:i w:val="0"/>
          <w:iCs w:val="0"/>
          <w:caps w:val="0"/>
          <w:color w:val="000000"/>
          <w:spacing w:val="0"/>
          <w:sz w:val="24"/>
          <w:szCs w:val="24"/>
        </w:rPr>
        <w:t>至</w:t>
      </w:r>
      <w:r>
        <w:rPr>
          <w:rStyle w:val="35"/>
          <w:rFonts w:hint="eastAsia" w:ascii="微软雅黑" w:hAnsi="微软雅黑" w:eastAsia="微软雅黑" w:cs="微软雅黑"/>
          <w:i w:val="0"/>
          <w:iCs w:val="0"/>
          <w:caps w:val="0"/>
          <w:color w:val="000000"/>
          <w:spacing w:val="0"/>
          <w:sz w:val="24"/>
          <w:szCs w:val="24"/>
        </w:rPr>
        <w:t>2026年05月11日</w:t>
      </w:r>
      <w:r>
        <w:rPr>
          <w:rFonts w:hint="eastAsia" w:ascii="微软雅黑" w:hAnsi="微软雅黑" w:eastAsia="微软雅黑" w:cs="微软雅黑"/>
          <w:i w:val="0"/>
          <w:iCs w:val="0"/>
          <w:caps w:val="0"/>
          <w:color w:val="000000"/>
          <w:spacing w:val="0"/>
          <w:sz w:val="24"/>
          <w:szCs w:val="24"/>
        </w:rPr>
        <w:t>，每天上午</w:t>
      </w:r>
      <w:r>
        <w:rPr>
          <w:rStyle w:val="35"/>
          <w:rFonts w:hint="eastAsia" w:ascii="微软雅黑" w:hAnsi="微软雅黑" w:eastAsia="微软雅黑" w:cs="微软雅黑"/>
          <w:i w:val="0"/>
          <w:iCs w:val="0"/>
          <w:caps w:val="0"/>
          <w:color w:val="000000"/>
          <w:spacing w:val="0"/>
          <w:sz w:val="24"/>
          <w:szCs w:val="24"/>
        </w:rPr>
        <w:t>00:00至12:00</w:t>
      </w:r>
      <w:r>
        <w:rPr>
          <w:rFonts w:hint="eastAsia" w:ascii="微软雅黑" w:hAnsi="微软雅黑" w:eastAsia="微软雅黑" w:cs="微软雅黑"/>
          <w:i w:val="0"/>
          <w:iCs w:val="0"/>
          <w:caps w:val="0"/>
          <w:color w:val="000000"/>
          <w:spacing w:val="0"/>
          <w:sz w:val="24"/>
          <w:szCs w:val="24"/>
        </w:rPr>
        <w:t>，下午</w:t>
      </w:r>
      <w:r>
        <w:rPr>
          <w:rStyle w:val="35"/>
          <w:rFonts w:hint="eastAsia" w:ascii="微软雅黑" w:hAnsi="微软雅黑" w:eastAsia="微软雅黑" w:cs="微软雅黑"/>
          <w:i w:val="0"/>
          <w:iCs w:val="0"/>
          <w:caps w:val="0"/>
          <w:color w:val="000000"/>
          <w:spacing w:val="0"/>
          <w:sz w:val="24"/>
          <w:szCs w:val="24"/>
        </w:rPr>
        <w:t>12:00至23:59</w:t>
      </w:r>
      <w:r>
        <w:rPr>
          <w:rFonts w:hint="eastAsia" w:ascii="微软雅黑" w:hAnsi="微软雅黑" w:eastAsia="微软雅黑" w:cs="微软雅黑"/>
          <w:i w:val="0"/>
          <w:iCs w:val="0"/>
          <w:caps w:val="0"/>
          <w:color w:val="000000"/>
          <w:spacing w:val="0"/>
          <w:sz w:val="24"/>
          <w:szCs w:val="24"/>
        </w:rPr>
        <w:t>（北京时间，法定节假日除外）        </w:t>
      </w:r>
    </w:p>
    <w:p w14:paraId="162D2B14">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5"/>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      </w:t>
      </w:r>
    </w:p>
    <w:p w14:paraId="3F0E9200">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方式：</w:t>
      </w:r>
      <w:r>
        <w:rPr>
          <w:rStyle w:val="35"/>
          <w:rFonts w:hint="eastAsia" w:ascii="微软雅黑" w:hAnsi="微软雅黑" w:eastAsia="微软雅黑" w:cs="微软雅黑"/>
          <w:i w:val="0"/>
          <w:iCs w:val="0"/>
          <w:caps w:val="0"/>
          <w:color w:val="000000"/>
          <w:spacing w:val="0"/>
          <w:sz w:val="24"/>
          <w:szCs w:val="24"/>
        </w:rPr>
        <w:t>在线获取</w:t>
      </w:r>
      <w:r>
        <w:rPr>
          <w:rFonts w:hint="eastAsia" w:ascii="微软雅黑" w:hAnsi="微软雅黑" w:eastAsia="微软雅黑" w:cs="微软雅黑"/>
          <w:i w:val="0"/>
          <w:iCs w:val="0"/>
          <w:caps w:val="0"/>
          <w:color w:val="000000"/>
          <w:spacing w:val="0"/>
          <w:sz w:val="24"/>
          <w:szCs w:val="24"/>
        </w:rPr>
        <w:t>       </w:t>
      </w:r>
    </w:p>
    <w:p w14:paraId="26653739">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售价（元）：</w:t>
      </w:r>
      <w:r>
        <w:rPr>
          <w:rStyle w:val="35"/>
          <w:rFonts w:hint="eastAsia" w:ascii="微软雅黑" w:hAnsi="微软雅黑" w:eastAsia="微软雅黑" w:cs="微软雅黑"/>
          <w:i w:val="0"/>
          <w:iCs w:val="0"/>
          <w:caps w:val="0"/>
          <w:color w:val="000000"/>
          <w:spacing w:val="0"/>
          <w:sz w:val="24"/>
          <w:szCs w:val="24"/>
        </w:rPr>
        <w:t>0</w:t>
      </w:r>
      <w:r>
        <w:rPr>
          <w:rFonts w:hint="eastAsia" w:ascii="微软雅黑" w:hAnsi="微软雅黑" w:eastAsia="微软雅黑" w:cs="微软雅黑"/>
          <w:i w:val="0"/>
          <w:iCs w:val="0"/>
          <w:caps w:val="0"/>
          <w:color w:val="000000"/>
          <w:spacing w:val="0"/>
          <w:sz w:val="24"/>
          <w:szCs w:val="24"/>
        </w:rPr>
        <w:t>      </w:t>
      </w:r>
    </w:p>
    <w:p w14:paraId="6DEBB460">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2"/>
          <w:rFonts w:hint="eastAsia" w:ascii="微软雅黑" w:hAnsi="微软雅黑" w:eastAsia="微软雅黑" w:cs="微软雅黑"/>
          <w:i w:val="0"/>
          <w:iCs w:val="0"/>
          <w:caps w:val="0"/>
          <w:color w:val="000000"/>
          <w:spacing w:val="0"/>
          <w:sz w:val="24"/>
          <w:szCs w:val="24"/>
        </w:rPr>
        <w:t>四、响应文件提交</w:t>
      </w:r>
      <w:r>
        <w:rPr>
          <w:rFonts w:ascii="黑体" w:hAnsi="宋体" w:eastAsia="黑体" w:cs="黑体"/>
          <w:i w:val="0"/>
          <w:iCs w:val="0"/>
          <w:caps w:val="0"/>
          <w:color w:val="000000"/>
          <w:spacing w:val="0"/>
          <w:sz w:val="27"/>
          <w:szCs w:val="27"/>
        </w:rPr>
        <w:t>    </w:t>
      </w:r>
    </w:p>
    <w:p w14:paraId="25097A89">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截止时间：</w:t>
      </w:r>
      <w:r>
        <w:rPr>
          <w:rStyle w:val="35"/>
          <w:rFonts w:hint="eastAsia" w:ascii="微软雅黑" w:hAnsi="微软雅黑" w:eastAsia="微软雅黑" w:cs="微软雅黑"/>
          <w:i w:val="0"/>
          <w:iCs w:val="0"/>
          <w:caps w:val="0"/>
          <w:color w:val="000000"/>
          <w:spacing w:val="0"/>
          <w:sz w:val="24"/>
          <w:szCs w:val="24"/>
        </w:rPr>
        <w:t>2026年05月19日 15:00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77F4CEB4">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5"/>
          <w:rFonts w:hint="eastAsia" w:ascii="微软雅黑" w:hAnsi="微软雅黑" w:eastAsia="微软雅黑" w:cs="微软雅黑"/>
          <w:i w:val="0"/>
          <w:iCs w:val="0"/>
          <w:caps w:val="0"/>
          <w:color w:val="000000"/>
          <w:spacing w:val="0"/>
          <w:sz w:val="24"/>
          <w:szCs w:val="24"/>
        </w:rPr>
        <w:t>请登录政采云投标客户端投标</w:t>
      </w:r>
      <w:r>
        <w:rPr>
          <w:rFonts w:hint="eastAsia" w:ascii="微软雅黑" w:hAnsi="微软雅黑" w:eastAsia="微软雅黑" w:cs="微软雅黑"/>
          <w:i w:val="0"/>
          <w:iCs w:val="0"/>
          <w:caps w:val="0"/>
          <w:color w:val="000000"/>
          <w:spacing w:val="0"/>
          <w:sz w:val="27"/>
          <w:szCs w:val="27"/>
        </w:rPr>
        <w:t>     </w:t>
      </w:r>
    </w:p>
    <w:p w14:paraId="6007B9B6">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2"/>
          <w:rFonts w:hint="eastAsia" w:ascii="微软雅黑" w:hAnsi="微软雅黑" w:eastAsia="微软雅黑" w:cs="微软雅黑"/>
          <w:i w:val="0"/>
          <w:iCs w:val="0"/>
          <w:caps w:val="0"/>
          <w:color w:val="000000"/>
          <w:spacing w:val="0"/>
          <w:sz w:val="24"/>
          <w:szCs w:val="24"/>
        </w:rPr>
        <w:t>五、响应文件开启</w:t>
      </w:r>
      <w:r>
        <w:rPr>
          <w:rFonts w:ascii="黑体" w:hAnsi="宋体" w:eastAsia="黑体" w:cs="黑体"/>
          <w:i w:val="0"/>
          <w:iCs w:val="0"/>
          <w:caps w:val="0"/>
          <w:color w:val="000000"/>
          <w:spacing w:val="0"/>
          <w:sz w:val="27"/>
          <w:szCs w:val="27"/>
        </w:rPr>
        <w:t>    </w:t>
      </w:r>
    </w:p>
    <w:p w14:paraId="22AC6644">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开启时间：</w:t>
      </w:r>
      <w:r>
        <w:rPr>
          <w:rStyle w:val="35"/>
          <w:rFonts w:hint="eastAsia" w:ascii="微软雅黑" w:hAnsi="微软雅黑" w:eastAsia="微软雅黑" w:cs="微软雅黑"/>
          <w:i w:val="0"/>
          <w:iCs w:val="0"/>
          <w:caps w:val="0"/>
          <w:color w:val="000000"/>
          <w:spacing w:val="0"/>
          <w:sz w:val="24"/>
          <w:szCs w:val="24"/>
        </w:rPr>
        <w:t>2026年05月19日 15:00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58840B29">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5"/>
          <w:rFonts w:hint="eastAsia" w:ascii="微软雅黑" w:hAnsi="微软雅黑" w:eastAsia="微软雅黑" w:cs="微软雅黑"/>
          <w:i w:val="0"/>
          <w:iCs w:val="0"/>
          <w:caps w:val="0"/>
          <w:color w:val="000000"/>
          <w:spacing w:val="0"/>
          <w:sz w:val="24"/>
          <w:szCs w:val="24"/>
        </w:rPr>
        <w:t>山西省临汾市尧都区临汾市尧都区锦悦汇A座东单元1514室开标室</w:t>
      </w:r>
      <w:r>
        <w:rPr>
          <w:rFonts w:hint="eastAsia" w:ascii="微软雅黑" w:hAnsi="微软雅黑" w:eastAsia="微软雅黑" w:cs="微软雅黑"/>
          <w:i w:val="0"/>
          <w:iCs w:val="0"/>
          <w:caps w:val="0"/>
          <w:color w:val="000000"/>
          <w:spacing w:val="0"/>
          <w:sz w:val="27"/>
          <w:szCs w:val="27"/>
        </w:rPr>
        <w:t>      </w:t>
      </w:r>
    </w:p>
    <w:p w14:paraId="0ADCE516">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32"/>
          <w:rFonts w:hint="eastAsia" w:ascii="微软雅黑" w:hAnsi="微软雅黑" w:eastAsia="微软雅黑" w:cs="微软雅黑"/>
          <w:i w:val="0"/>
          <w:iCs w:val="0"/>
          <w:caps w:val="0"/>
          <w:color w:val="000000"/>
          <w:spacing w:val="0"/>
          <w:sz w:val="24"/>
          <w:szCs w:val="24"/>
        </w:rPr>
        <w:t>六、公告期限</w:t>
      </w:r>
      <w:r>
        <w:rPr>
          <w:rFonts w:ascii="黑体" w:hAnsi="宋体" w:eastAsia="黑体" w:cs="黑体"/>
          <w:i w:val="0"/>
          <w:iCs w:val="0"/>
          <w:caps w:val="0"/>
          <w:color w:val="000000"/>
          <w:spacing w:val="0"/>
          <w:sz w:val="31"/>
          <w:szCs w:val="31"/>
        </w:rPr>
        <w:t>    </w:t>
      </w:r>
    </w:p>
    <w:p w14:paraId="6AC74BE9">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自本公告发布之日起3个工作日。    </w:t>
      </w:r>
    </w:p>
    <w:p w14:paraId="0736632F">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2"/>
          <w:rFonts w:hint="eastAsia" w:ascii="微软雅黑" w:hAnsi="微软雅黑" w:eastAsia="微软雅黑" w:cs="微软雅黑"/>
          <w:i w:val="0"/>
          <w:iCs w:val="0"/>
          <w:caps w:val="0"/>
          <w:color w:val="000000"/>
          <w:spacing w:val="0"/>
          <w:sz w:val="24"/>
          <w:szCs w:val="24"/>
        </w:rPr>
        <w:t>七、其他补充事宜</w:t>
      </w:r>
      <w:r>
        <w:rPr>
          <w:rFonts w:ascii="黑体" w:hAnsi="宋体" w:eastAsia="黑体" w:cs="黑体"/>
          <w:i w:val="0"/>
          <w:iCs w:val="0"/>
          <w:caps w:val="0"/>
          <w:color w:val="000000"/>
          <w:spacing w:val="0"/>
          <w:sz w:val="27"/>
          <w:szCs w:val="27"/>
        </w:rPr>
        <w:t>    </w:t>
      </w:r>
    </w:p>
    <w:p w14:paraId="553E8F7A">
      <w:pPr>
        <w:pStyle w:val="26"/>
        <w:keepNext w:val="0"/>
        <w:keepLines w:val="0"/>
        <w:widowControl/>
        <w:suppressLineNumbers w:val="0"/>
        <w:spacing w:before="75" w:beforeAutospacing="0" w:after="75" w:afterAutospacing="0" w:line="240" w:lineRule="auto"/>
        <w:ind w:left="0" w:right="0" w:firstLine="420"/>
      </w:pPr>
      <w:r>
        <w:rPr>
          <w:rStyle w:val="35"/>
          <w:rFonts w:hint="eastAsia" w:ascii="微软雅黑" w:hAnsi="微软雅黑" w:eastAsia="微软雅黑" w:cs="微软雅黑"/>
          <w:i w:val="0"/>
          <w:iCs w:val="0"/>
          <w:caps w:val="0"/>
          <w:color w:val="000000"/>
          <w:spacing w:val="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24"/>
          <w:szCs w:val="24"/>
        </w:rPr>
        <w:t>    </w:t>
      </w:r>
    </w:p>
    <w:p w14:paraId="29AF9206">
      <w:pPr>
        <w:pStyle w:val="26"/>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代理费支付方式： </w:t>
      </w:r>
      <w:r>
        <w:rPr>
          <w:rStyle w:val="35"/>
          <w:rFonts w:hint="eastAsia" w:ascii="微软雅黑" w:hAnsi="微软雅黑" w:eastAsia="微软雅黑" w:cs="微软雅黑"/>
          <w:i w:val="0"/>
          <w:iCs w:val="0"/>
          <w:caps w:val="0"/>
          <w:color w:val="000000"/>
          <w:spacing w:val="0"/>
          <w:sz w:val="24"/>
          <w:szCs w:val="24"/>
        </w:rPr>
        <w:t>采购人支付</w:t>
      </w:r>
      <w:r>
        <w:rPr>
          <w:rFonts w:hint="eastAsia" w:ascii="微软雅黑" w:hAnsi="微软雅黑" w:eastAsia="微软雅黑" w:cs="微软雅黑"/>
          <w:i w:val="0"/>
          <w:iCs w:val="0"/>
          <w:caps w:val="0"/>
          <w:color w:val="000000"/>
          <w:spacing w:val="0"/>
          <w:sz w:val="24"/>
          <w:szCs w:val="24"/>
        </w:rPr>
        <w:t> </w:t>
      </w:r>
    </w:p>
    <w:p w14:paraId="15940970">
      <w:pPr>
        <w:pStyle w:val="26"/>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代理费收费标准： </w:t>
      </w:r>
      <w:r>
        <w:rPr>
          <w:rStyle w:val="35"/>
          <w:rFonts w:hint="eastAsia" w:ascii="微软雅黑" w:hAnsi="微软雅黑" w:eastAsia="微软雅黑" w:cs="微软雅黑"/>
          <w:i w:val="0"/>
          <w:iCs w:val="0"/>
          <w:caps w:val="0"/>
          <w:color w:val="000000"/>
          <w:spacing w:val="0"/>
          <w:sz w:val="24"/>
          <w:szCs w:val="24"/>
        </w:rPr>
        <w:t>按照国家收费标准的81%收取</w:t>
      </w:r>
      <w:r>
        <w:rPr>
          <w:rFonts w:hint="eastAsia" w:ascii="微软雅黑" w:hAnsi="微软雅黑" w:eastAsia="微软雅黑" w:cs="微软雅黑"/>
          <w:i w:val="0"/>
          <w:iCs w:val="0"/>
          <w:caps w:val="0"/>
          <w:color w:val="000000"/>
          <w:spacing w:val="0"/>
          <w:sz w:val="24"/>
          <w:szCs w:val="24"/>
        </w:rPr>
        <w:t> </w:t>
      </w:r>
    </w:p>
    <w:p w14:paraId="418FEA35">
      <w:pPr>
        <w:pStyle w:val="26"/>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代理费收费金额（元）： </w:t>
      </w:r>
      <w:r>
        <w:rPr>
          <w:rStyle w:val="35"/>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 </w:t>
      </w:r>
    </w:p>
    <w:p w14:paraId="13AE6F60">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32"/>
          <w:rFonts w:hint="eastAsia" w:ascii="微软雅黑" w:hAnsi="微软雅黑" w:eastAsia="微软雅黑" w:cs="微软雅黑"/>
          <w:i w:val="0"/>
          <w:iCs w:val="0"/>
          <w:caps w:val="0"/>
          <w:color w:val="000000"/>
          <w:spacing w:val="0"/>
          <w:sz w:val="24"/>
          <w:szCs w:val="24"/>
        </w:rPr>
        <w:t>八、凡对本次招标提出询问，请按以下方式联系</w:t>
      </w:r>
      <w:r>
        <w:rPr>
          <w:rFonts w:ascii="黑体" w:hAnsi="宋体" w:eastAsia="黑体" w:cs="黑体"/>
          <w:i w:val="0"/>
          <w:iCs w:val="0"/>
          <w:caps w:val="0"/>
          <w:color w:val="000000"/>
          <w:spacing w:val="0"/>
          <w:sz w:val="31"/>
          <w:szCs w:val="31"/>
        </w:rPr>
        <w:t>    </w:t>
      </w:r>
    </w:p>
    <w:p w14:paraId="7C4460F3">
      <w:pPr>
        <w:pStyle w:val="26"/>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14:paraId="1A2C5776">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35"/>
          <w:rFonts w:hint="eastAsia" w:ascii="微软雅黑" w:hAnsi="微软雅黑" w:eastAsia="微软雅黑" w:cs="微软雅黑"/>
          <w:i w:val="0"/>
          <w:iCs w:val="0"/>
          <w:caps w:val="0"/>
          <w:color w:val="000000"/>
          <w:spacing w:val="0"/>
          <w:sz w:val="24"/>
          <w:szCs w:val="24"/>
        </w:rPr>
        <w:t>中国共产党吉县委员会组织部</w:t>
      </w:r>
      <w:r>
        <w:rPr>
          <w:rFonts w:hint="eastAsia" w:ascii="微软雅黑" w:hAnsi="微软雅黑" w:eastAsia="微软雅黑" w:cs="微软雅黑"/>
          <w:i w:val="0"/>
          <w:iCs w:val="0"/>
          <w:caps w:val="0"/>
          <w:color w:val="000000"/>
          <w:spacing w:val="0"/>
          <w:sz w:val="24"/>
          <w:szCs w:val="24"/>
        </w:rPr>
        <w:t>           </w:t>
      </w:r>
    </w:p>
    <w:p w14:paraId="41440F45">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35"/>
          <w:rFonts w:hint="eastAsia" w:ascii="微软雅黑" w:hAnsi="微软雅黑" w:eastAsia="微软雅黑" w:cs="微软雅黑"/>
          <w:i w:val="0"/>
          <w:iCs w:val="0"/>
          <w:caps w:val="0"/>
          <w:color w:val="000000"/>
          <w:spacing w:val="0"/>
          <w:sz w:val="24"/>
          <w:szCs w:val="24"/>
        </w:rPr>
        <w:t>吉县新华街75号</w:t>
      </w:r>
      <w:r>
        <w:rPr>
          <w:rFonts w:hint="eastAsia" w:ascii="微软雅黑" w:hAnsi="微软雅黑" w:eastAsia="微软雅黑" w:cs="微软雅黑"/>
          <w:i w:val="0"/>
          <w:iCs w:val="0"/>
          <w:caps w:val="0"/>
          <w:color w:val="000000"/>
          <w:spacing w:val="0"/>
          <w:sz w:val="24"/>
          <w:szCs w:val="24"/>
        </w:rPr>
        <w:t>          </w:t>
      </w:r>
    </w:p>
    <w:p w14:paraId="205C485D">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35"/>
          <w:rFonts w:hint="eastAsia" w:ascii="微软雅黑" w:hAnsi="微软雅黑" w:eastAsia="微软雅黑" w:cs="微软雅黑"/>
          <w:i w:val="0"/>
          <w:iCs w:val="0"/>
          <w:caps w:val="0"/>
          <w:color w:val="000000"/>
          <w:spacing w:val="0"/>
          <w:sz w:val="24"/>
          <w:szCs w:val="24"/>
        </w:rPr>
        <w:t>0357-7922241</w:t>
      </w:r>
      <w:r>
        <w:rPr>
          <w:rFonts w:hint="eastAsia" w:ascii="微软雅黑" w:hAnsi="微软雅黑" w:eastAsia="微软雅黑" w:cs="微软雅黑"/>
          <w:i w:val="0"/>
          <w:iCs w:val="0"/>
          <w:caps w:val="0"/>
          <w:color w:val="000000"/>
          <w:spacing w:val="0"/>
          <w:sz w:val="24"/>
          <w:szCs w:val="24"/>
        </w:rPr>
        <w:t>           </w:t>
      </w:r>
    </w:p>
    <w:p w14:paraId="526F1E88">
      <w:pPr>
        <w:pStyle w:val="26"/>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14:paraId="1A5A8F1E">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35"/>
          <w:rFonts w:hint="eastAsia" w:ascii="微软雅黑" w:hAnsi="微软雅黑" w:eastAsia="微软雅黑" w:cs="微软雅黑"/>
          <w:i w:val="0"/>
          <w:iCs w:val="0"/>
          <w:caps w:val="0"/>
          <w:color w:val="000000"/>
          <w:spacing w:val="0"/>
          <w:sz w:val="24"/>
          <w:szCs w:val="24"/>
        </w:rPr>
        <w:t>山西中际华工程项目管理有限公司</w:t>
      </w:r>
      <w:r>
        <w:rPr>
          <w:rFonts w:hint="eastAsia" w:ascii="微软雅黑" w:hAnsi="微软雅黑" w:eastAsia="微软雅黑" w:cs="微软雅黑"/>
          <w:i w:val="0"/>
          <w:iCs w:val="0"/>
          <w:caps w:val="0"/>
          <w:color w:val="000000"/>
          <w:spacing w:val="0"/>
          <w:sz w:val="24"/>
          <w:szCs w:val="24"/>
        </w:rPr>
        <w:t>         </w:t>
      </w:r>
    </w:p>
    <w:p w14:paraId="066CDFC5">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35"/>
          <w:rFonts w:hint="eastAsia" w:ascii="微软雅黑" w:hAnsi="微软雅黑" w:eastAsia="微软雅黑" w:cs="微软雅黑"/>
          <w:i w:val="0"/>
          <w:iCs w:val="0"/>
          <w:caps w:val="0"/>
          <w:color w:val="000000"/>
          <w:spacing w:val="0"/>
          <w:sz w:val="24"/>
          <w:szCs w:val="24"/>
        </w:rPr>
        <w:t>锦悦汇</w:t>
      </w:r>
      <w:r>
        <w:rPr>
          <w:rFonts w:hint="eastAsia" w:ascii="微软雅黑" w:hAnsi="微软雅黑" w:eastAsia="微软雅黑" w:cs="微软雅黑"/>
          <w:i w:val="0"/>
          <w:iCs w:val="0"/>
          <w:caps w:val="0"/>
          <w:color w:val="000000"/>
          <w:spacing w:val="0"/>
          <w:sz w:val="24"/>
          <w:szCs w:val="24"/>
        </w:rPr>
        <w:t>           </w:t>
      </w:r>
    </w:p>
    <w:p w14:paraId="57583118">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35"/>
          <w:rFonts w:hint="eastAsia" w:ascii="微软雅黑" w:hAnsi="微软雅黑" w:eastAsia="微软雅黑" w:cs="微软雅黑"/>
          <w:i w:val="0"/>
          <w:iCs w:val="0"/>
          <w:caps w:val="0"/>
          <w:color w:val="000000"/>
          <w:spacing w:val="0"/>
          <w:sz w:val="24"/>
          <w:szCs w:val="24"/>
        </w:rPr>
        <w:t>0357-6765565</w:t>
      </w:r>
      <w:r>
        <w:rPr>
          <w:rFonts w:hint="eastAsia" w:ascii="微软雅黑" w:hAnsi="微软雅黑" w:eastAsia="微软雅黑" w:cs="微软雅黑"/>
          <w:i w:val="0"/>
          <w:iCs w:val="0"/>
          <w:caps w:val="0"/>
          <w:color w:val="000000"/>
          <w:spacing w:val="0"/>
          <w:sz w:val="24"/>
          <w:szCs w:val="24"/>
        </w:rPr>
        <w:t>            </w:t>
      </w:r>
    </w:p>
    <w:p w14:paraId="50276DA1">
      <w:pPr>
        <w:pStyle w:val="26"/>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3.项目联系方式    </w:t>
      </w:r>
    </w:p>
    <w:p w14:paraId="285E52C4">
      <w:pPr>
        <w:pStyle w:val="26"/>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项目联系人：</w:t>
      </w:r>
      <w:r>
        <w:rPr>
          <w:rStyle w:val="35"/>
          <w:rFonts w:hint="eastAsia" w:ascii="微软雅黑" w:hAnsi="微软雅黑" w:eastAsia="微软雅黑" w:cs="微软雅黑"/>
          <w:i w:val="0"/>
          <w:iCs w:val="0"/>
          <w:caps w:val="0"/>
          <w:color w:val="000000"/>
          <w:spacing w:val="0"/>
          <w:sz w:val="24"/>
          <w:szCs w:val="24"/>
        </w:rPr>
        <w:t>刘女士</w:t>
      </w:r>
      <w:r>
        <w:rPr>
          <w:rFonts w:hint="eastAsia" w:ascii="微软雅黑" w:hAnsi="微软雅黑" w:eastAsia="微软雅黑" w:cs="微软雅黑"/>
          <w:i w:val="0"/>
          <w:iCs w:val="0"/>
          <w:caps w:val="0"/>
          <w:color w:val="000000"/>
          <w:spacing w:val="0"/>
          <w:sz w:val="24"/>
          <w:szCs w:val="24"/>
        </w:rPr>
        <w:t>   </w:t>
      </w:r>
    </w:p>
    <w:p w14:paraId="4605BB85">
      <w:pPr>
        <w:pStyle w:val="26"/>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电 话：</w:t>
      </w:r>
      <w:r>
        <w:rPr>
          <w:rStyle w:val="35"/>
          <w:rFonts w:hint="eastAsia" w:ascii="微软雅黑" w:hAnsi="微软雅黑" w:eastAsia="微软雅黑" w:cs="微软雅黑"/>
          <w:i w:val="0"/>
          <w:iCs w:val="0"/>
          <w:caps w:val="0"/>
          <w:color w:val="000000"/>
          <w:spacing w:val="0"/>
          <w:sz w:val="24"/>
          <w:szCs w:val="24"/>
        </w:rPr>
        <w:t>0357-6765565</w:t>
      </w:r>
      <w:r>
        <w:rPr>
          <w:rFonts w:hint="eastAsia" w:ascii="微软雅黑" w:hAnsi="微软雅黑" w:eastAsia="微软雅黑" w:cs="微软雅黑"/>
          <w:i w:val="0"/>
          <w:iCs w:val="0"/>
          <w:caps w:val="0"/>
          <w:color w:val="000000"/>
          <w:spacing w:val="0"/>
          <w:sz w:val="24"/>
          <w:szCs w:val="24"/>
        </w:rPr>
        <w:t>  </w:t>
      </w:r>
    </w:p>
    <w:p w14:paraId="249F7969"/>
    <w:p w14:paraId="70496542">
      <w:pPr>
        <w:pStyle w:val="26"/>
        <w:keepNext w:val="0"/>
        <w:keepLines w:val="0"/>
        <w:widowControl/>
        <w:suppressLineNumbers w:val="0"/>
        <w:spacing w:before="75" w:beforeAutospacing="0" w:after="75" w:afterAutospacing="0" w:line="315" w:lineRule="atLeast"/>
        <w:ind w:left="0" w:right="0" w:firstLine="420"/>
      </w:pPr>
      <w:bookmarkStart w:id="1227" w:name="_GoBack"/>
      <w:bookmarkEnd w:id="1227"/>
      <w:r>
        <w:rPr>
          <w:rFonts w:hint="eastAsia" w:ascii="微软雅黑" w:hAnsi="微软雅黑" w:eastAsia="微软雅黑" w:cs="微软雅黑"/>
          <w:i w:val="0"/>
          <w:iCs w:val="0"/>
          <w:caps w:val="0"/>
          <w:color w:val="000000"/>
          <w:spacing w:val="0"/>
          <w:sz w:val="24"/>
          <w:szCs w:val="24"/>
        </w:rPr>
        <w:t>  </w:t>
      </w:r>
    </w:p>
    <w:p w14:paraId="6FF8EE23">
      <w:pPr>
        <w:pStyle w:val="26"/>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 </w:t>
      </w:r>
    </w:p>
    <w:p w14:paraId="00F0FF28">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val="0"/>
          <w:bCs w:val="0"/>
          <w:color w:val="auto"/>
          <w:sz w:val="24"/>
          <w:szCs w:val="24"/>
        </w:rPr>
      </w:pPr>
    </w:p>
    <w:p w14:paraId="0922EB59">
      <w:pPr>
        <w:keepNext w:val="0"/>
        <w:keepLines w:val="0"/>
        <w:pageBreakBefore w:val="0"/>
        <w:widowControl w:val="0"/>
        <w:kinsoku/>
        <w:wordWrap w:val="0"/>
        <w:overflowPunct/>
        <w:topLinePunct/>
        <w:autoSpaceDE/>
        <w:autoSpaceDN/>
        <w:bidi w:val="0"/>
        <w:spacing w:line="360" w:lineRule="auto"/>
        <w:ind w:firstLine="56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8"/>
          <w:szCs w:val="28"/>
        </w:rPr>
        <w:t>　　</w:t>
      </w:r>
      <w:r>
        <w:rPr>
          <w:rFonts w:hint="eastAsia" w:ascii="华文中宋" w:hAnsi="华文中宋" w:eastAsia="华文中宋" w:cs="华文中宋"/>
          <w:color w:val="auto"/>
          <w:sz w:val="24"/>
          <w:szCs w:val="24"/>
        </w:rPr>
        <w:t xml:space="preserve">　　　  </w:t>
      </w:r>
      <w:bookmarkStart w:id="2" w:name="_Toc44690671"/>
      <w:bookmarkStart w:id="3" w:name="_Toc44690597"/>
    </w:p>
    <w:p w14:paraId="5A573050">
      <w:pPr>
        <w:ind w:firstLine="480" w:firstLineChars="200"/>
        <w:outlineLvl w:val="9"/>
        <w:rPr>
          <w:rFonts w:hint="eastAsia" w:ascii="华文中宋" w:hAnsi="华文中宋" w:eastAsia="华文中宋" w:cs="华文中宋"/>
          <w:color w:val="auto"/>
          <w:sz w:val="24"/>
          <w:szCs w:val="24"/>
        </w:rPr>
      </w:pPr>
    </w:p>
    <w:p w14:paraId="345834A9">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华文中宋" w:hAnsi="华文中宋" w:eastAsia="华文中宋" w:cs="华文中宋"/>
          <w:color w:val="auto"/>
          <w:sz w:val="32"/>
          <w:szCs w:val="32"/>
        </w:rPr>
      </w:pPr>
      <w:r>
        <w:rPr>
          <w:rFonts w:hint="eastAsia" w:ascii="华文中宋" w:hAnsi="华文中宋" w:eastAsia="华文中宋" w:cs="华文中宋"/>
          <w:color w:val="auto"/>
          <w:spacing w:val="20"/>
          <w:sz w:val="44"/>
          <w:szCs w:val="44"/>
          <w:lang w:val="en-US" w:eastAsia="zh-CN"/>
        </w:rPr>
        <w:br w:type="page"/>
      </w:r>
      <w:bookmarkStart w:id="4" w:name="_Toc31686"/>
      <w:bookmarkStart w:id="5" w:name="_Toc32546"/>
      <w:r>
        <w:rPr>
          <w:rFonts w:hint="eastAsia" w:ascii="华文中宋" w:hAnsi="华文中宋" w:eastAsia="华文中宋" w:cs="华文中宋"/>
          <w:b/>
          <w:bCs/>
          <w:color w:val="auto"/>
          <w:spacing w:val="0"/>
          <w:sz w:val="44"/>
          <w:szCs w:val="44"/>
          <w:lang w:val="en-US" w:eastAsia="zh-CN"/>
        </w:rPr>
        <w:t>第二部分 磋商供应商须知前附表</w:t>
      </w:r>
      <w:bookmarkEnd w:id="2"/>
      <w:bookmarkEnd w:id="3"/>
      <w:bookmarkEnd w:id="4"/>
      <w:bookmarkEnd w:id="5"/>
    </w:p>
    <w:tbl>
      <w:tblPr>
        <w:tblStyle w:val="2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54"/>
        <w:gridCol w:w="6528"/>
      </w:tblGrid>
      <w:tr w14:paraId="0ED7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7EFF205D">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序号</w:t>
            </w:r>
          </w:p>
        </w:tc>
        <w:tc>
          <w:tcPr>
            <w:tcW w:w="972" w:type="pct"/>
            <w:noWrap w:val="0"/>
            <w:vAlign w:val="center"/>
          </w:tcPr>
          <w:p w14:paraId="3205B05B">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内  容</w:t>
            </w:r>
          </w:p>
        </w:tc>
        <w:tc>
          <w:tcPr>
            <w:tcW w:w="3617" w:type="pct"/>
            <w:noWrap w:val="0"/>
            <w:vAlign w:val="center"/>
          </w:tcPr>
          <w:p w14:paraId="032E1202">
            <w:pPr>
              <w:pStyle w:val="19"/>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kern w:val="0"/>
                <w:sz w:val="21"/>
                <w:szCs w:val="21"/>
              </w:rPr>
              <w:t>说明与要求</w:t>
            </w:r>
          </w:p>
        </w:tc>
      </w:tr>
      <w:tr w14:paraId="2A72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0514106C">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w:t>
            </w:r>
          </w:p>
        </w:tc>
        <w:tc>
          <w:tcPr>
            <w:tcW w:w="972" w:type="pct"/>
            <w:noWrap w:val="0"/>
            <w:vAlign w:val="center"/>
          </w:tcPr>
          <w:p w14:paraId="209D2A96">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采购人</w:t>
            </w:r>
          </w:p>
        </w:tc>
        <w:tc>
          <w:tcPr>
            <w:tcW w:w="3617" w:type="pct"/>
            <w:noWrap w:val="0"/>
            <w:vAlign w:val="center"/>
          </w:tcPr>
          <w:p w14:paraId="207F839C">
            <w:pPr>
              <w:pStyle w:val="41"/>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 xml:space="preserve">中国共产党吉县委员会组织部     </w:t>
            </w:r>
          </w:p>
        </w:tc>
      </w:tr>
      <w:tr w14:paraId="2A3A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0D9A0420">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w:t>
            </w:r>
          </w:p>
        </w:tc>
        <w:tc>
          <w:tcPr>
            <w:tcW w:w="972" w:type="pct"/>
            <w:noWrap w:val="0"/>
            <w:vAlign w:val="center"/>
          </w:tcPr>
          <w:p w14:paraId="3D826CF9">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采购代理机构</w:t>
            </w:r>
          </w:p>
        </w:tc>
        <w:tc>
          <w:tcPr>
            <w:tcW w:w="3617" w:type="pct"/>
            <w:noWrap w:val="0"/>
            <w:vAlign w:val="center"/>
          </w:tcPr>
          <w:p w14:paraId="1EBAAD26">
            <w:pPr>
              <w:pStyle w:val="41"/>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山西中际华工程项目管理有限公司</w:t>
            </w:r>
          </w:p>
        </w:tc>
      </w:tr>
      <w:tr w14:paraId="4AE8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39BDC99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w:t>
            </w:r>
          </w:p>
        </w:tc>
        <w:tc>
          <w:tcPr>
            <w:tcW w:w="972" w:type="pct"/>
            <w:noWrap w:val="0"/>
            <w:vAlign w:val="center"/>
          </w:tcPr>
          <w:p w14:paraId="760DE887">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项目名称</w:t>
            </w:r>
          </w:p>
        </w:tc>
        <w:tc>
          <w:tcPr>
            <w:tcW w:w="3617" w:type="pct"/>
            <w:noWrap w:val="0"/>
            <w:vAlign w:val="center"/>
          </w:tcPr>
          <w:p w14:paraId="640C23FF">
            <w:pPr>
              <w:pStyle w:val="41"/>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吉县村(社)党群服务中心取暖建设工程项目(二期) </w:t>
            </w:r>
          </w:p>
        </w:tc>
      </w:tr>
      <w:tr w14:paraId="255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06C762D4">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4</w:t>
            </w:r>
          </w:p>
        </w:tc>
        <w:tc>
          <w:tcPr>
            <w:tcW w:w="972" w:type="pct"/>
            <w:noWrap w:val="0"/>
            <w:vAlign w:val="center"/>
          </w:tcPr>
          <w:p w14:paraId="494CDE19">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建设地点</w:t>
            </w:r>
          </w:p>
        </w:tc>
        <w:tc>
          <w:tcPr>
            <w:tcW w:w="3617" w:type="pct"/>
            <w:noWrap w:val="0"/>
            <w:vAlign w:val="center"/>
          </w:tcPr>
          <w:p w14:paraId="543B514B">
            <w:pPr>
              <w:pStyle w:val="41"/>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吉县</w:t>
            </w:r>
          </w:p>
        </w:tc>
      </w:tr>
      <w:tr w14:paraId="5B0E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0" w:type="pct"/>
            <w:noWrap w:val="0"/>
            <w:vAlign w:val="center"/>
          </w:tcPr>
          <w:p w14:paraId="3C768852">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5</w:t>
            </w:r>
          </w:p>
        </w:tc>
        <w:tc>
          <w:tcPr>
            <w:tcW w:w="972" w:type="pct"/>
            <w:noWrap w:val="0"/>
            <w:vAlign w:val="center"/>
          </w:tcPr>
          <w:p w14:paraId="0AB90D8E">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结构类型</w:t>
            </w:r>
          </w:p>
        </w:tc>
        <w:tc>
          <w:tcPr>
            <w:tcW w:w="3617" w:type="pct"/>
            <w:noWrap w:val="0"/>
            <w:vAlign w:val="center"/>
          </w:tcPr>
          <w:p w14:paraId="3603A761">
            <w:pPr>
              <w:pStyle w:val="41"/>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w:t>
            </w:r>
          </w:p>
        </w:tc>
      </w:tr>
      <w:tr w14:paraId="64E9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4FAF3ED6">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6</w:t>
            </w:r>
          </w:p>
        </w:tc>
        <w:tc>
          <w:tcPr>
            <w:tcW w:w="972" w:type="pct"/>
            <w:noWrap w:val="0"/>
            <w:vAlign w:val="center"/>
          </w:tcPr>
          <w:p w14:paraId="17CA1ED3">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资金来源</w:t>
            </w:r>
          </w:p>
        </w:tc>
        <w:tc>
          <w:tcPr>
            <w:tcW w:w="3617" w:type="pct"/>
            <w:noWrap w:val="0"/>
            <w:vAlign w:val="center"/>
          </w:tcPr>
          <w:p w14:paraId="6AFE52BF">
            <w:pPr>
              <w:pStyle w:val="41"/>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财政资金</w:t>
            </w:r>
          </w:p>
        </w:tc>
      </w:tr>
      <w:tr w14:paraId="6019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4042FAE2">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7</w:t>
            </w:r>
          </w:p>
        </w:tc>
        <w:tc>
          <w:tcPr>
            <w:tcW w:w="972" w:type="pct"/>
            <w:noWrap w:val="0"/>
            <w:vAlign w:val="center"/>
          </w:tcPr>
          <w:p w14:paraId="08D0465E">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出资比例</w:t>
            </w:r>
          </w:p>
        </w:tc>
        <w:tc>
          <w:tcPr>
            <w:tcW w:w="3617" w:type="pct"/>
            <w:noWrap w:val="0"/>
            <w:vAlign w:val="center"/>
          </w:tcPr>
          <w:p w14:paraId="3D6EAA82">
            <w:pPr>
              <w:pStyle w:val="41"/>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100%</w:t>
            </w:r>
          </w:p>
        </w:tc>
      </w:tr>
      <w:tr w14:paraId="7958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6377FE9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8</w:t>
            </w:r>
          </w:p>
        </w:tc>
        <w:tc>
          <w:tcPr>
            <w:tcW w:w="972" w:type="pct"/>
            <w:noWrap w:val="0"/>
            <w:vAlign w:val="center"/>
          </w:tcPr>
          <w:p w14:paraId="5F6918AD">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资金落实情况</w:t>
            </w:r>
          </w:p>
        </w:tc>
        <w:tc>
          <w:tcPr>
            <w:tcW w:w="3617" w:type="pct"/>
            <w:noWrap w:val="0"/>
            <w:vAlign w:val="center"/>
          </w:tcPr>
          <w:p w14:paraId="5CE91CF9">
            <w:pPr>
              <w:pStyle w:val="41"/>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已落实</w:t>
            </w:r>
          </w:p>
        </w:tc>
      </w:tr>
      <w:tr w14:paraId="1DE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567C4EB9">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9</w:t>
            </w:r>
          </w:p>
        </w:tc>
        <w:tc>
          <w:tcPr>
            <w:tcW w:w="972" w:type="pct"/>
            <w:noWrap w:val="0"/>
            <w:vAlign w:val="center"/>
          </w:tcPr>
          <w:p w14:paraId="31E3202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磋商范围</w:t>
            </w:r>
          </w:p>
        </w:tc>
        <w:tc>
          <w:tcPr>
            <w:tcW w:w="3617" w:type="pct"/>
            <w:noWrap w:val="0"/>
            <w:vAlign w:val="center"/>
          </w:tcPr>
          <w:p w14:paraId="59A1CBB4">
            <w:pPr>
              <w:pStyle w:val="41"/>
              <w:keepNext w:val="0"/>
              <w:keepLines w:val="0"/>
              <w:pageBreakBefore w:val="0"/>
              <w:widowControl w:val="0"/>
              <w:kinsoku/>
              <w:overflowPunct/>
              <w:autoSpaceDE/>
              <w:autoSpaceDN/>
              <w:bidi w:val="0"/>
              <w:snapToGrid w:val="0"/>
              <w:spacing w:line="240" w:lineRule="auto"/>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吉县村(社)党群服务中心取暖建设工程项目(二期)工程量清单及图纸中的全部内容</w:t>
            </w:r>
          </w:p>
        </w:tc>
      </w:tr>
      <w:tr w14:paraId="027D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0AA293F0">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10</w:t>
            </w:r>
          </w:p>
        </w:tc>
        <w:tc>
          <w:tcPr>
            <w:tcW w:w="972" w:type="pct"/>
            <w:noWrap w:val="0"/>
            <w:vAlign w:val="center"/>
          </w:tcPr>
          <w:p w14:paraId="4F569BC8">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lang w:val="en-US" w:eastAsia="zh-CN"/>
              </w:rPr>
            </w:pPr>
            <w:r>
              <w:rPr>
                <w:rFonts w:hint="eastAsia" w:ascii="华文中宋" w:hAnsi="华文中宋" w:eastAsia="华文中宋" w:cs="华文中宋"/>
                <w:b/>
                <w:color w:val="auto"/>
                <w:sz w:val="21"/>
                <w:szCs w:val="21"/>
                <w:highlight w:val="none"/>
                <w:lang w:val="en-US" w:eastAsia="zh-CN"/>
              </w:rPr>
              <w:t>合同履行期限</w:t>
            </w:r>
          </w:p>
          <w:p w14:paraId="51988AE7">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w:t>
            </w:r>
            <w:r>
              <w:rPr>
                <w:rFonts w:hint="eastAsia" w:ascii="华文中宋" w:hAnsi="华文中宋" w:eastAsia="华文中宋" w:cs="华文中宋"/>
                <w:b/>
                <w:color w:val="auto"/>
                <w:sz w:val="21"/>
                <w:szCs w:val="21"/>
                <w:highlight w:val="none"/>
              </w:rPr>
              <w:t>工期</w:t>
            </w:r>
            <w:r>
              <w:rPr>
                <w:rFonts w:hint="eastAsia" w:ascii="华文中宋" w:hAnsi="华文中宋" w:eastAsia="华文中宋" w:cs="华文中宋"/>
                <w:b/>
                <w:color w:val="auto"/>
                <w:sz w:val="21"/>
                <w:szCs w:val="21"/>
                <w:highlight w:val="none"/>
                <w:lang w:val="en-US" w:eastAsia="zh-CN"/>
              </w:rPr>
              <w:t>）</w:t>
            </w:r>
          </w:p>
        </w:tc>
        <w:tc>
          <w:tcPr>
            <w:tcW w:w="3617" w:type="pct"/>
            <w:noWrap w:val="0"/>
            <w:vAlign w:val="center"/>
          </w:tcPr>
          <w:p w14:paraId="25D5BE13">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60日历天</w:t>
            </w:r>
          </w:p>
        </w:tc>
      </w:tr>
      <w:tr w14:paraId="4F40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61AE88B7">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11</w:t>
            </w:r>
          </w:p>
        </w:tc>
        <w:tc>
          <w:tcPr>
            <w:tcW w:w="972" w:type="pct"/>
            <w:noWrap w:val="0"/>
            <w:vAlign w:val="center"/>
          </w:tcPr>
          <w:p w14:paraId="2295FE8A">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lang w:eastAsia="zh-CN"/>
              </w:rPr>
            </w:pPr>
            <w:r>
              <w:rPr>
                <w:rFonts w:hint="eastAsia" w:ascii="华文中宋" w:hAnsi="华文中宋" w:eastAsia="华文中宋" w:cs="华文中宋"/>
                <w:b/>
                <w:color w:val="auto"/>
                <w:sz w:val="21"/>
                <w:szCs w:val="21"/>
                <w:highlight w:val="none"/>
              </w:rPr>
              <w:t>质量</w:t>
            </w:r>
            <w:r>
              <w:rPr>
                <w:rFonts w:hint="eastAsia" w:ascii="华文中宋" w:hAnsi="华文中宋" w:eastAsia="华文中宋" w:cs="华文中宋"/>
                <w:b/>
                <w:color w:val="auto"/>
                <w:sz w:val="21"/>
                <w:szCs w:val="21"/>
                <w:highlight w:val="none"/>
                <w:lang w:val="en-US" w:eastAsia="zh-CN"/>
              </w:rPr>
              <w:t>标准</w:t>
            </w:r>
          </w:p>
        </w:tc>
        <w:tc>
          <w:tcPr>
            <w:tcW w:w="3617" w:type="pct"/>
            <w:noWrap w:val="0"/>
            <w:vAlign w:val="center"/>
          </w:tcPr>
          <w:p w14:paraId="05DACF65">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符合现行国家有关工程施工验收规范和标准的要求，达到合格及以上质量标准。</w:t>
            </w:r>
          </w:p>
        </w:tc>
      </w:tr>
      <w:tr w14:paraId="1BC0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0A908960">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12</w:t>
            </w:r>
          </w:p>
        </w:tc>
        <w:tc>
          <w:tcPr>
            <w:tcW w:w="972" w:type="pct"/>
            <w:noWrap w:val="0"/>
            <w:vAlign w:val="center"/>
          </w:tcPr>
          <w:p w14:paraId="44F52E00">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是否接受联合体</w:t>
            </w:r>
          </w:p>
          <w:p w14:paraId="6C18CE14">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b/>
                <w:color w:val="auto"/>
                <w:sz w:val="21"/>
                <w:szCs w:val="21"/>
              </w:rPr>
              <w:t>是否接受</w:t>
            </w:r>
            <w:r>
              <w:rPr>
                <w:rFonts w:hint="eastAsia" w:ascii="华文中宋" w:hAnsi="华文中宋" w:eastAsia="华文中宋" w:cs="华文中宋"/>
                <w:b/>
                <w:color w:val="auto"/>
                <w:sz w:val="21"/>
                <w:szCs w:val="21"/>
                <w:lang w:val="en-US" w:eastAsia="zh-CN"/>
              </w:rPr>
              <w:t>代理商</w:t>
            </w:r>
          </w:p>
        </w:tc>
        <w:tc>
          <w:tcPr>
            <w:tcW w:w="3617" w:type="pct"/>
            <w:noWrap w:val="0"/>
            <w:vAlign w:val="center"/>
          </w:tcPr>
          <w:p w14:paraId="69907100">
            <w:pPr>
              <w:keepNext w:val="0"/>
              <w:keepLines w:val="0"/>
              <w:pageBreakBefore w:val="0"/>
              <w:widowControl w:val="0"/>
              <w:tabs>
                <w:tab w:val="center" w:pos="2999"/>
                <w:tab w:val="right" w:pos="5880"/>
              </w:tabs>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rPr>
              <w:t>否</w:t>
            </w:r>
          </w:p>
        </w:tc>
      </w:tr>
      <w:tr w14:paraId="2CAF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204EE14B">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13</w:t>
            </w:r>
          </w:p>
        </w:tc>
        <w:tc>
          <w:tcPr>
            <w:tcW w:w="972" w:type="pct"/>
            <w:noWrap w:val="0"/>
            <w:vAlign w:val="center"/>
          </w:tcPr>
          <w:p w14:paraId="55DDE84D">
            <w:pPr>
              <w:keepNext w:val="0"/>
              <w:keepLines w:val="0"/>
              <w:pageBreakBefore w:val="0"/>
              <w:widowControl w:val="0"/>
              <w:kinsoku/>
              <w:overflowPunct/>
              <w:autoSpaceDE/>
              <w:autoSpaceDN/>
              <w:bidi w:val="0"/>
              <w:snapToGrid w:val="0"/>
              <w:spacing w:line="240" w:lineRule="auto"/>
              <w:ind w:left="0" w:leftChars="0" w:firstLine="105" w:firstLineChars="5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现场勘查</w:t>
            </w:r>
          </w:p>
          <w:p w14:paraId="444BD2DB">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（或磋商前答疑会）</w:t>
            </w:r>
          </w:p>
        </w:tc>
        <w:tc>
          <w:tcPr>
            <w:tcW w:w="3617" w:type="pct"/>
            <w:noWrap w:val="0"/>
            <w:vAlign w:val="center"/>
          </w:tcPr>
          <w:p w14:paraId="49D18BED">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组织</w:t>
            </w:r>
          </w:p>
          <w:p w14:paraId="0F938D61">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本次答疑采用电子答疑方式进行，供应商须在截止时间前递交以下资料至邮箱（资料须加盖公章，扫描件）：</w:t>
            </w:r>
          </w:p>
          <w:p w14:paraId="6C353508">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①答疑文件（标注联系人和联系方式）</w:t>
            </w:r>
          </w:p>
          <w:p w14:paraId="1C693AAA">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②下载磋商文件回执</w:t>
            </w:r>
          </w:p>
          <w:p w14:paraId="3D71AE14">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截止时间：2026年5月12日10时00分（北京时间）</w:t>
            </w:r>
          </w:p>
          <w:p w14:paraId="369F5F85">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邮箱：</w:t>
            </w:r>
            <w:r>
              <w:rPr>
                <w:rFonts w:hint="eastAsia" w:ascii="华文中宋" w:hAnsi="华文中宋" w:eastAsia="华文中宋" w:cs="华文中宋"/>
                <w:color w:val="auto"/>
                <w:sz w:val="21"/>
                <w:szCs w:val="21"/>
                <w:highlight w:val="none"/>
                <w:lang w:val="en-US" w:eastAsia="zh-CN"/>
              </w:rPr>
              <w:fldChar w:fldCharType="begin"/>
            </w:r>
            <w:r>
              <w:rPr>
                <w:rFonts w:hint="eastAsia" w:ascii="华文中宋" w:hAnsi="华文中宋" w:eastAsia="华文中宋" w:cs="华文中宋"/>
                <w:color w:val="auto"/>
                <w:sz w:val="21"/>
                <w:szCs w:val="21"/>
                <w:highlight w:val="none"/>
                <w:lang w:val="en-US" w:eastAsia="zh-CN"/>
              </w:rPr>
              <w:instrText xml:space="preserve"> HYPERLINK "mailto:sxzjh0001@163.com" </w:instrText>
            </w:r>
            <w:r>
              <w:rPr>
                <w:rFonts w:hint="eastAsia" w:ascii="华文中宋" w:hAnsi="华文中宋" w:eastAsia="华文中宋" w:cs="华文中宋"/>
                <w:color w:val="auto"/>
                <w:sz w:val="21"/>
                <w:szCs w:val="21"/>
                <w:highlight w:val="none"/>
                <w:lang w:val="en-US" w:eastAsia="zh-CN"/>
              </w:rPr>
              <w:fldChar w:fldCharType="separate"/>
            </w:r>
            <w:r>
              <w:rPr>
                <w:rFonts w:hint="eastAsia" w:ascii="华文中宋" w:hAnsi="华文中宋" w:eastAsia="华文中宋" w:cs="华文中宋"/>
                <w:color w:val="auto"/>
                <w:sz w:val="21"/>
                <w:szCs w:val="21"/>
                <w:highlight w:val="none"/>
                <w:lang w:val="en-US" w:eastAsia="zh-CN"/>
              </w:rPr>
              <w:t>sxzjh0001@163.com</w:t>
            </w:r>
            <w:r>
              <w:rPr>
                <w:rFonts w:hint="eastAsia" w:ascii="华文中宋" w:hAnsi="华文中宋" w:eastAsia="华文中宋" w:cs="华文中宋"/>
                <w:color w:val="auto"/>
                <w:sz w:val="21"/>
                <w:szCs w:val="21"/>
                <w:highlight w:val="none"/>
                <w:lang w:val="en-US" w:eastAsia="zh-CN"/>
              </w:rPr>
              <w:fldChar w:fldCharType="end"/>
            </w:r>
          </w:p>
          <w:p w14:paraId="5F0CD4EA">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联系人：刘女士</w:t>
            </w:r>
          </w:p>
          <w:p w14:paraId="259144DD">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联系方式：0357-6765565</w:t>
            </w:r>
          </w:p>
          <w:p w14:paraId="4A03E3C4">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注：如无疑问，将加盖公章并标注联系人和联系方式的无疑问文件（注明无疑问）及下载磋商文件回执发送至邮箱，若因不按时发送而产生的所有后果由供应商自行承担。我公司在收到供应商疑问后，统一回复至各供应商邮箱，请供应商及时关注，不再另行通知。</w:t>
            </w:r>
          </w:p>
        </w:tc>
      </w:tr>
      <w:tr w14:paraId="066A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358EB66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14</w:t>
            </w:r>
          </w:p>
        </w:tc>
        <w:tc>
          <w:tcPr>
            <w:tcW w:w="972" w:type="pct"/>
            <w:noWrap w:val="0"/>
            <w:vAlign w:val="center"/>
          </w:tcPr>
          <w:p w14:paraId="5355F0E5">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资格证明文件</w:t>
            </w:r>
          </w:p>
        </w:tc>
        <w:tc>
          <w:tcPr>
            <w:tcW w:w="3617" w:type="pct"/>
            <w:noWrap w:val="0"/>
            <w:vAlign w:val="center"/>
          </w:tcPr>
          <w:p w14:paraId="2D93F9BA">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1、磋商供应商代表证明</w:t>
            </w:r>
          </w:p>
          <w:p w14:paraId="64F87516">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（1）法定代表人（负责人）参加磋商的，提供“法定代表人（负责人）证明书”；</w:t>
            </w:r>
          </w:p>
          <w:p w14:paraId="5F596365">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（2）委托代理人参加磋商的，提供“法定代表人（负责人）授权委托书” ；</w:t>
            </w:r>
          </w:p>
          <w:p w14:paraId="2E3BA98B">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（3）自然人参加磋商的，提供个人身份证明扫描件（</w:t>
            </w:r>
            <w:r>
              <w:rPr>
                <w:rFonts w:hint="eastAsia" w:ascii="华文中宋" w:hAnsi="华文中宋" w:eastAsia="华文中宋" w:cs="华文中宋"/>
                <w:color w:val="auto"/>
                <w:sz w:val="21"/>
                <w:szCs w:val="21"/>
                <w:lang w:eastAsia="zh-CN"/>
              </w:rPr>
              <w:t>格式见第八部分</w:t>
            </w:r>
            <w:r>
              <w:rPr>
                <w:rFonts w:hint="eastAsia" w:ascii="华文中宋" w:hAnsi="华文中宋" w:eastAsia="华文中宋" w:cs="华文中宋"/>
                <w:color w:val="auto"/>
                <w:sz w:val="21"/>
                <w:szCs w:val="21"/>
              </w:rPr>
              <w:t>）。</w:t>
            </w:r>
          </w:p>
          <w:p w14:paraId="6300025A">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color w:val="auto"/>
                <w:sz w:val="21"/>
                <w:szCs w:val="21"/>
              </w:rPr>
              <w:t>2、响应函</w:t>
            </w: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eastAsia="zh-CN"/>
              </w:rPr>
              <w:t>格式见第八部分</w:t>
            </w:r>
            <w:r>
              <w:rPr>
                <w:rFonts w:hint="eastAsia" w:ascii="华文中宋" w:hAnsi="华文中宋" w:eastAsia="华文中宋" w:cs="华文中宋"/>
                <w:color w:val="auto"/>
                <w:sz w:val="21"/>
                <w:szCs w:val="21"/>
              </w:rPr>
              <w:t>）。</w:t>
            </w:r>
          </w:p>
          <w:p w14:paraId="46C71AD3">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3、具有独立承担民事责任的能力</w:t>
            </w:r>
          </w:p>
          <w:p w14:paraId="27600018">
            <w:pPr>
              <w:keepNext w:val="0"/>
              <w:keepLines w:val="0"/>
              <w:pageBreakBefore w:val="0"/>
              <w:widowControl w:val="0"/>
              <w:kinsoku/>
              <w:overflowPunct/>
              <w:autoSpaceDE/>
              <w:autoSpaceDN/>
              <w:bidi w:val="0"/>
              <w:spacing w:line="240" w:lineRule="auto"/>
              <w:ind w:left="420" w:leftChars="200" w:firstLine="105" w:firstLineChars="50"/>
              <w:jc w:val="left"/>
              <w:textAlignment w:val="auto"/>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具有独立承担民事责任的能力的承诺函（</w:t>
            </w:r>
            <w:r>
              <w:rPr>
                <w:rFonts w:hint="eastAsia" w:ascii="华文中宋" w:hAnsi="华文中宋" w:eastAsia="华文中宋" w:cs="华文中宋"/>
                <w:color w:val="auto"/>
                <w:sz w:val="21"/>
                <w:szCs w:val="21"/>
                <w:lang w:eastAsia="zh-CN"/>
              </w:rPr>
              <w:t>格式见第八部分</w:t>
            </w: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eastAsia="zh-CN"/>
              </w:rPr>
              <w:t>；</w:t>
            </w:r>
          </w:p>
          <w:p w14:paraId="7B8E11CE">
            <w:pPr>
              <w:keepNext w:val="0"/>
              <w:keepLines w:val="0"/>
              <w:pageBreakBefore w:val="0"/>
              <w:widowControl w:val="0"/>
              <w:kinsoku/>
              <w:overflowPunct/>
              <w:autoSpaceDE/>
              <w:autoSpaceDN/>
              <w:bidi w:val="0"/>
              <w:spacing w:line="240" w:lineRule="auto"/>
              <w:jc w:val="left"/>
              <w:textAlignment w:val="auto"/>
              <w:outlineLvl w:val="9"/>
              <w:rPr>
                <w:rFonts w:hint="eastAsia" w:ascii="华文中宋" w:hAnsi="华文中宋" w:eastAsia="华文中宋" w:cs="华文中宋"/>
                <w:b/>
                <w:color w:val="auto"/>
                <w:sz w:val="21"/>
                <w:szCs w:val="21"/>
                <w:lang w:val="en-US" w:eastAsia="zh-CN"/>
              </w:rPr>
            </w:pPr>
            <w:r>
              <w:rPr>
                <w:rFonts w:hint="eastAsia" w:ascii="华文中宋" w:hAnsi="华文中宋" w:eastAsia="华文中宋" w:cs="华文中宋"/>
                <w:b/>
                <w:color w:val="auto"/>
                <w:sz w:val="21"/>
                <w:szCs w:val="21"/>
              </w:rPr>
              <w:t>4、具有</w:t>
            </w:r>
            <w:r>
              <w:rPr>
                <w:rFonts w:hint="eastAsia" w:ascii="华文中宋" w:hAnsi="华文中宋" w:eastAsia="华文中宋" w:cs="华文中宋"/>
                <w:b/>
                <w:color w:val="auto"/>
                <w:sz w:val="21"/>
                <w:szCs w:val="21"/>
                <w:lang w:val="en-US" w:eastAsia="zh-CN"/>
              </w:rPr>
              <w:t>良好的商业信誉和</w:t>
            </w:r>
            <w:r>
              <w:rPr>
                <w:rFonts w:hint="eastAsia" w:ascii="华文中宋" w:hAnsi="华文中宋" w:eastAsia="华文中宋" w:cs="华文中宋"/>
                <w:b/>
                <w:color w:val="auto"/>
                <w:sz w:val="21"/>
                <w:szCs w:val="21"/>
              </w:rPr>
              <w:t>健全的财务会计制度</w:t>
            </w:r>
          </w:p>
          <w:p w14:paraId="4E2983EE">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具有</w:t>
            </w:r>
            <w:r>
              <w:rPr>
                <w:rFonts w:hint="eastAsia" w:ascii="华文中宋" w:hAnsi="华文中宋" w:eastAsia="华文中宋" w:cs="华文中宋"/>
                <w:color w:val="auto"/>
                <w:sz w:val="21"/>
                <w:szCs w:val="21"/>
                <w:lang w:val="en-US" w:eastAsia="zh-CN"/>
              </w:rPr>
              <w:t>良好的商业信誉和</w:t>
            </w:r>
            <w:r>
              <w:rPr>
                <w:rFonts w:hint="eastAsia" w:ascii="华文中宋" w:hAnsi="华文中宋" w:eastAsia="华文中宋" w:cs="华文中宋"/>
                <w:color w:val="auto"/>
                <w:sz w:val="21"/>
                <w:szCs w:val="21"/>
              </w:rPr>
              <w:t>健全的财务会计制度</w:t>
            </w:r>
            <w:r>
              <w:rPr>
                <w:rFonts w:hint="eastAsia" w:ascii="华文中宋" w:hAnsi="华文中宋" w:eastAsia="华文中宋" w:cs="华文中宋"/>
                <w:color w:val="auto"/>
                <w:sz w:val="21"/>
                <w:szCs w:val="21"/>
                <w:lang w:val="en-US" w:eastAsia="zh-CN"/>
              </w:rPr>
              <w:t>的承诺函</w:t>
            </w: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eastAsia="zh-CN"/>
              </w:rPr>
              <w:t>格式见第八部分</w:t>
            </w:r>
            <w:r>
              <w:rPr>
                <w:rFonts w:hint="eastAsia" w:ascii="华文中宋" w:hAnsi="华文中宋" w:eastAsia="华文中宋" w:cs="华文中宋"/>
                <w:color w:val="auto"/>
                <w:sz w:val="21"/>
                <w:szCs w:val="21"/>
              </w:rPr>
              <w:t>）；</w:t>
            </w:r>
          </w:p>
          <w:p w14:paraId="57121572">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lang w:val="en-US" w:eastAsia="zh-CN"/>
              </w:rPr>
              <w:t>5</w:t>
            </w:r>
            <w:r>
              <w:rPr>
                <w:rFonts w:hint="eastAsia" w:ascii="华文中宋" w:hAnsi="华文中宋" w:eastAsia="华文中宋" w:cs="华文中宋"/>
                <w:b/>
                <w:color w:val="auto"/>
                <w:sz w:val="21"/>
                <w:szCs w:val="21"/>
              </w:rPr>
              <w:t>、具有履行合同所必需的设备和专业技术能力</w:t>
            </w:r>
          </w:p>
          <w:p w14:paraId="114F277C">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具有履行合同所必需的设备和专业技术能力</w:t>
            </w:r>
            <w:r>
              <w:rPr>
                <w:rFonts w:hint="eastAsia" w:ascii="华文中宋" w:hAnsi="华文中宋" w:eastAsia="华文中宋" w:cs="华文中宋"/>
                <w:color w:val="auto"/>
                <w:sz w:val="21"/>
                <w:szCs w:val="21"/>
                <w:lang w:val="en-US" w:eastAsia="zh-CN"/>
              </w:rPr>
              <w:t>的承诺函</w:t>
            </w: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eastAsia="zh-CN"/>
              </w:rPr>
              <w:t>格式见第八部分</w:t>
            </w: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eastAsia="zh-CN"/>
              </w:rPr>
              <w:t>；</w:t>
            </w:r>
          </w:p>
          <w:p w14:paraId="74605201">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lang w:val="en-US" w:eastAsia="zh-CN"/>
              </w:rPr>
              <w:t>6</w:t>
            </w:r>
            <w:r>
              <w:rPr>
                <w:rFonts w:hint="eastAsia" w:ascii="华文中宋" w:hAnsi="华文中宋" w:eastAsia="华文中宋" w:cs="华文中宋"/>
                <w:b/>
                <w:color w:val="auto"/>
                <w:sz w:val="21"/>
                <w:szCs w:val="21"/>
              </w:rPr>
              <w:t>、</w:t>
            </w:r>
            <w:r>
              <w:rPr>
                <w:rFonts w:hint="eastAsia" w:ascii="华文中宋" w:hAnsi="华文中宋" w:eastAsia="华文中宋" w:cs="华文中宋"/>
                <w:b/>
                <w:color w:val="auto"/>
                <w:sz w:val="21"/>
                <w:szCs w:val="21"/>
                <w:lang w:eastAsia="zh-CN"/>
              </w:rPr>
              <w:t>有依法缴纳税收</w:t>
            </w:r>
            <w:r>
              <w:rPr>
                <w:rFonts w:hint="eastAsia" w:ascii="华文中宋" w:hAnsi="华文中宋" w:eastAsia="华文中宋" w:cs="华文中宋"/>
                <w:b/>
                <w:color w:val="auto"/>
                <w:sz w:val="21"/>
                <w:szCs w:val="21"/>
                <w:lang w:val="en-US" w:eastAsia="zh-CN"/>
              </w:rPr>
              <w:t>和社会保障资金</w:t>
            </w:r>
            <w:r>
              <w:rPr>
                <w:rFonts w:hint="eastAsia" w:ascii="华文中宋" w:hAnsi="华文中宋" w:eastAsia="华文中宋" w:cs="华文中宋"/>
                <w:b/>
                <w:color w:val="auto"/>
                <w:sz w:val="21"/>
                <w:szCs w:val="21"/>
                <w:lang w:eastAsia="zh-CN"/>
              </w:rPr>
              <w:t>的良好记录</w:t>
            </w:r>
          </w:p>
          <w:p w14:paraId="67D79E73">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有依法缴纳税收</w:t>
            </w:r>
            <w:r>
              <w:rPr>
                <w:rFonts w:hint="eastAsia" w:ascii="华文中宋" w:hAnsi="华文中宋" w:eastAsia="华文中宋" w:cs="华文中宋"/>
                <w:color w:val="auto"/>
                <w:sz w:val="21"/>
                <w:szCs w:val="21"/>
                <w:lang w:val="en-US" w:eastAsia="zh-CN"/>
              </w:rPr>
              <w:t>和社会保障资金</w:t>
            </w:r>
            <w:r>
              <w:rPr>
                <w:rFonts w:hint="eastAsia" w:ascii="华文中宋" w:hAnsi="华文中宋" w:eastAsia="华文中宋" w:cs="华文中宋"/>
                <w:color w:val="auto"/>
                <w:sz w:val="21"/>
                <w:szCs w:val="21"/>
              </w:rPr>
              <w:t>的良好记录</w:t>
            </w:r>
            <w:r>
              <w:rPr>
                <w:rFonts w:hint="eastAsia" w:ascii="华文中宋" w:hAnsi="华文中宋" w:eastAsia="华文中宋" w:cs="华文中宋"/>
                <w:color w:val="auto"/>
                <w:sz w:val="21"/>
                <w:szCs w:val="21"/>
                <w:lang w:val="en-US" w:eastAsia="zh-CN"/>
              </w:rPr>
              <w:t>的承诺</w:t>
            </w:r>
            <w:r>
              <w:rPr>
                <w:rFonts w:hint="eastAsia" w:ascii="华文中宋" w:hAnsi="华文中宋" w:eastAsia="华文中宋" w:cs="华文中宋"/>
                <w:color w:val="auto"/>
                <w:sz w:val="21"/>
                <w:szCs w:val="21"/>
              </w:rPr>
              <w:t>函（格式见第八部分）</w:t>
            </w:r>
          </w:p>
          <w:p w14:paraId="2100357A">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lang w:val="en-US" w:eastAsia="zh-CN"/>
              </w:rPr>
              <w:t>7</w:t>
            </w:r>
            <w:r>
              <w:rPr>
                <w:rFonts w:hint="eastAsia" w:ascii="华文中宋" w:hAnsi="华文中宋" w:eastAsia="华文中宋" w:cs="华文中宋"/>
                <w:b/>
                <w:color w:val="auto"/>
                <w:sz w:val="21"/>
                <w:szCs w:val="21"/>
              </w:rPr>
              <w:t>、参加政府采购活动前三年，在经营活动中没有重大违法记录</w:t>
            </w:r>
          </w:p>
          <w:p w14:paraId="3FF8D870">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供应商参加政府采购活动前三年内，在经营活动中没有重大违法记录的承诺函（</w:t>
            </w:r>
            <w:r>
              <w:rPr>
                <w:rFonts w:hint="eastAsia" w:ascii="华文中宋" w:hAnsi="华文中宋" w:eastAsia="华文中宋" w:cs="华文中宋"/>
                <w:color w:val="auto"/>
                <w:sz w:val="21"/>
                <w:szCs w:val="21"/>
                <w:lang w:eastAsia="zh-CN"/>
              </w:rPr>
              <w:t>格式见第八部分</w:t>
            </w:r>
            <w:r>
              <w:rPr>
                <w:rFonts w:hint="eastAsia" w:ascii="华文中宋" w:hAnsi="华文中宋" w:eastAsia="华文中宋" w:cs="华文中宋"/>
                <w:color w:val="auto"/>
                <w:sz w:val="21"/>
                <w:szCs w:val="21"/>
              </w:rPr>
              <w:t>）；</w:t>
            </w:r>
          </w:p>
          <w:p w14:paraId="5823F02B">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lang w:val="en-US" w:eastAsia="zh-CN"/>
              </w:rPr>
              <w:t>8</w:t>
            </w:r>
            <w:r>
              <w:rPr>
                <w:rFonts w:hint="eastAsia" w:ascii="华文中宋" w:hAnsi="华文中宋" w:eastAsia="华文中宋" w:cs="华文中宋"/>
                <w:b/>
                <w:color w:val="auto"/>
                <w:sz w:val="21"/>
                <w:szCs w:val="21"/>
              </w:rPr>
              <w:t>、本项目要求的其他特定资格条件</w:t>
            </w:r>
          </w:p>
          <w:p w14:paraId="209ABE6A">
            <w:pPr>
              <w:keepNext w:val="0"/>
              <w:keepLines w:val="0"/>
              <w:pageBreakBefore w:val="0"/>
              <w:widowControl w:val="0"/>
              <w:kinsoku/>
              <w:wordWrap w:val="0"/>
              <w:overflowPunct/>
              <w:autoSpaceDE/>
              <w:autoSpaceDN/>
              <w:bidi w:val="0"/>
              <w:snapToGrid w:val="0"/>
              <w:spacing w:line="240" w:lineRule="auto"/>
              <w:ind w:left="0" w:leftChars="0" w:firstLine="210" w:firstLineChars="10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color w:val="auto"/>
                <w:sz w:val="21"/>
                <w:szCs w:val="21"/>
              </w:rPr>
              <w:t>（1）资质条件：</w:t>
            </w:r>
            <w:r>
              <w:rPr>
                <w:rFonts w:hint="eastAsia" w:ascii="华文中宋" w:hAnsi="华文中宋" w:eastAsia="华文中宋" w:cs="华文中宋"/>
                <w:color w:val="auto"/>
                <w:sz w:val="21"/>
                <w:szCs w:val="21"/>
              </w:rPr>
              <w:t>须具有</w:t>
            </w: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u w:val="single"/>
              </w:rPr>
              <w:t xml:space="preserve"> </w:t>
            </w:r>
            <w:r>
              <w:rPr>
                <w:rFonts w:hint="eastAsia" w:ascii="华文中宋" w:hAnsi="华文中宋" w:eastAsia="华文中宋" w:cs="华文中宋"/>
                <w:color w:val="auto"/>
                <w:sz w:val="21"/>
                <w:szCs w:val="21"/>
                <w:u w:val="single"/>
                <w:lang w:val="en-US" w:eastAsia="zh-CN"/>
              </w:rPr>
              <w:t xml:space="preserve">机电工程施工总承包叁级及以上资质 </w:t>
            </w:r>
            <w:r>
              <w:rPr>
                <w:rFonts w:hint="eastAsia" w:ascii="华文中宋" w:hAnsi="华文中宋" w:eastAsia="华文中宋" w:cs="华文中宋"/>
                <w:color w:val="auto"/>
                <w:sz w:val="21"/>
                <w:szCs w:val="21"/>
                <w:u w:val="none"/>
              </w:rPr>
              <w:t xml:space="preserve"> </w:t>
            </w:r>
            <w:r>
              <w:rPr>
                <w:rFonts w:hint="eastAsia" w:ascii="华文中宋" w:hAnsi="华文中宋" w:eastAsia="华文中宋" w:cs="华文中宋"/>
                <w:color w:val="auto"/>
                <w:sz w:val="21"/>
                <w:szCs w:val="21"/>
              </w:rPr>
              <w:t>资质，有效的营业执照、安全生产许可证。</w:t>
            </w:r>
          </w:p>
          <w:p w14:paraId="69A84305">
            <w:pPr>
              <w:keepNext w:val="0"/>
              <w:keepLines w:val="0"/>
              <w:pageBreakBefore w:val="0"/>
              <w:widowControl w:val="0"/>
              <w:kinsoku/>
              <w:wordWrap w:val="0"/>
              <w:overflowPunct/>
              <w:autoSpaceDE/>
              <w:autoSpaceDN/>
              <w:bidi w:val="0"/>
              <w:snapToGrid w:val="0"/>
              <w:spacing w:line="240" w:lineRule="auto"/>
              <w:ind w:left="0" w:leftChars="0" w:firstLine="210" w:firstLineChars="100"/>
              <w:jc w:val="left"/>
              <w:textAlignment w:val="auto"/>
              <w:outlineLvl w:val="9"/>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color w:val="auto"/>
                <w:sz w:val="21"/>
                <w:szCs w:val="21"/>
              </w:rPr>
              <w:t>（2）项目经理（建造师）资格：</w:t>
            </w:r>
            <w:r>
              <w:rPr>
                <w:rFonts w:hint="eastAsia" w:ascii="华文中宋" w:hAnsi="华文中宋" w:eastAsia="华文中宋" w:cs="华文中宋"/>
                <w:b w:val="0"/>
                <w:bCs/>
                <w:color w:val="auto"/>
                <w:sz w:val="21"/>
                <w:szCs w:val="21"/>
                <w:lang w:val="en-US" w:eastAsia="zh-CN"/>
              </w:rPr>
              <w:t>具备</w:t>
            </w:r>
            <w:r>
              <w:rPr>
                <w:rFonts w:hint="eastAsia" w:ascii="华文中宋" w:hAnsi="华文中宋" w:eastAsia="华文中宋" w:cs="华文中宋"/>
                <w:b w:val="0"/>
                <w:bCs/>
                <w:color w:val="auto"/>
                <w:sz w:val="21"/>
                <w:szCs w:val="21"/>
                <w:u w:val="single"/>
                <w:lang w:val="en-US" w:eastAsia="zh-CN"/>
              </w:rPr>
              <w:t xml:space="preserve"> 机电工程专业贰级及以上</w:t>
            </w:r>
            <w:r>
              <w:rPr>
                <w:rFonts w:hint="eastAsia" w:ascii="华文中宋" w:hAnsi="华文中宋" w:eastAsia="华文中宋" w:cs="华文中宋"/>
                <w:b w:val="0"/>
                <w:bCs/>
                <w:color w:val="auto"/>
                <w:sz w:val="21"/>
                <w:szCs w:val="21"/>
                <w:lang w:val="en-US" w:eastAsia="zh-CN"/>
              </w:rPr>
              <w:t>注册建造师执业资格，具备有效的安全生产考核合格证书，且未担任其他在建工程项目的项目经理。</w:t>
            </w:r>
          </w:p>
          <w:p w14:paraId="4BF4ACDC">
            <w:pPr>
              <w:pStyle w:val="20"/>
              <w:keepNext w:val="0"/>
              <w:keepLines w:val="0"/>
              <w:pageBreakBefore w:val="0"/>
              <w:widowControl w:val="0"/>
              <w:kinsoku/>
              <w:overflowPunct/>
              <w:autoSpaceDE/>
              <w:autoSpaceDN/>
              <w:bidi w:val="0"/>
              <w:spacing w:line="240" w:lineRule="auto"/>
              <w:ind w:left="0" w:leftChars="0" w:firstLine="210" w:firstLineChars="10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color w:val="auto"/>
                <w:sz w:val="21"/>
                <w:szCs w:val="21"/>
              </w:rPr>
              <w:t>（3）技术负责人要求：</w:t>
            </w:r>
            <w:r>
              <w:rPr>
                <w:rFonts w:hint="eastAsia" w:ascii="华文中宋" w:hAnsi="华文中宋" w:eastAsia="华文中宋" w:cs="华文中宋"/>
                <w:color w:val="auto"/>
                <w:sz w:val="21"/>
                <w:szCs w:val="21"/>
              </w:rPr>
              <w:t>具备</w:t>
            </w:r>
            <w:r>
              <w:rPr>
                <w:rFonts w:hint="eastAsia" w:ascii="华文中宋" w:hAnsi="华文中宋" w:eastAsia="华文中宋" w:cs="华文中宋"/>
                <w:color w:val="auto"/>
                <w:sz w:val="21"/>
                <w:szCs w:val="21"/>
                <w:u w:val="single"/>
              </w:rPr>
              <w:t xml:space="preserve"> 相关专业中级及以上 </w:t>
            </w:r>
            <w:r>
              <w:rPr>
                <w:rFonts w:hint="eastAsia" w:ascii="华文中宋" w:hAnsi="华文中宋" w:eastAsia="华文中宋" w:cs="华文中宋"/>
                <w:color w:val="auto"/>
                <w:sz w:val="21"/>
                <w:szCs w:val="21"/>
              </w:rPr>
              <w:t>技术职称。</w:t>
            </w:r>
          </w:p>
          <w:p w14:paraId="6F57FBC6">
            <w:pPr>
              <w:pStyle w:val="20"/>
              <w:keepNext w:val="0"/>
              <w:keepLines w:val="0"/>
              <w:pageBreakBefore w:val="0"/>
              <w:widowControl w:val="0"/>
              <w:kinsoku/>
              <w:overflowPunct/>
              <w:autoSpaceDE/>
              <w:autoSpaceDN/>
              <w:bidi w:val="0"/>
              <w:spacing w:line="240" w:lineRule="auto"/>
              <w:ind w:left="0" w:leftChars="0" w:firstLine="210" w:firstLineChars="10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提供以上内容扫描件。</w:t>
            </w:r>
          </w:p>
          <w:p w14:paraId="6274FA62">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lang w:val="en-US" w:eastAsia="zh-CN"/>
              </w:rPr>
              <w:t>9</w:t>
            </w:r>
            <w:r>
              <w:rPr>
                <w:rFonts w:hint="eastAsia" w:ascii="华文中宋" w:hAnsi="华文中宋" w:eastAsia="华文中宋" w:cs="华文中宋"/>
                <w:b/>
                <w:color w:val="auto"/>
                <w:sz w:val="21"/>
                <w:szCs w:val="21"/>
              </w:rPr>
              <w:t>、响应保证金的交纳情况及开户许可证</w:t>
            </w:r>
          </w:p>
          <w:p w14:paraId="2E9DE1EA">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（1）提供响应保证金交纳证明；</w:t>
            </w:r>
          </w:p>
          <w:p w14:paraId="6C86B366">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（2）提供</w:t>
            </w:r>
            <w:r>
              <w:rPr>
                <w:rFonts w:hint="eastAsia" w:ascii="华文中宋" w:hAnsi="华文中宋" w:eastAsia="华文中宋" w:cs="华文中宋"/>
                <w:color w:val="auto"/>
                <w:sz w:val="21"/>
                <w:szCs w:val="21"/>
                <w:lang w:eastAsia="zh-CN"/>
              </w:rPr>
              <w:t>供应商</w:t>
            </w:r>
            <w:r>
              <w:rPr>
                <w:rFonts w:hint="eastAsia" w:ascii="华文中宋" w:hAnsi="华文中宋" w:eastAsia="华文中宋" w:cs="华文中宋"/>
                <w:color w:val="auto"/>
                <w:sz w:val="21"/>
                <w:szCs w:val="21"/>
              </w:rPr>
              <w:t>基本存款账户开户许可证</w:t>
            </w:r>
            <w:r>
              <w:rPr>
                <w:rFonts w:hint="eastAsia" w:ascii="华文中宋" w:hAnsi="华文中宋" w:eastAsia="华文中宋" w:cs="华文中宋"/>
                <w:color w:val="auto"/>
                <w:sz w:val="21"/>
                <w:szCs w:val="21"/>
                <w:lang w:val="en-US" w:eastAsia="zh-CN"/>
              </w:rPr>
              <w:t>或基本存款账户信息</w:t>
            </w:r>
            <w:r>
              <w:rPr>
                <w:rFonts w:hint="eastAsia" w:ascii="华文中宋" w:hAnsi="华文中宋" w:eastAsia="华文中宋" w:cs="华文中宋"/>
                <w:color w:val="auto"/>
                <w:sz w:val="21"/>
                <w:szCs w:val="21"/>
              </w:rPr>
              <w:t>。</w:t>
            </w:r>
          </w:p>
          <w:p w14:paraId="5B2CE48C">
            <w:pPr>
              <w:pStyle w:val="20"/>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bCs/>
                <w:color w:val="auto"/>
                <w:sz w:val="21"/>
                <w:szCs w:val="21"/>
                <w:lang w:val="en-US" w:eastAsia="zh-CN"/>
              </w:rPr>
            </w:pPr>
            <w:r>
              <w:rPr>
                <w:rFonts w:hint="eastAsia" w:ascii="华文中宋" w:hAnsi="华文中宋" w:eastAsia="华文中宋" w:cs="华文中宋"/>
                <w:b/>
                <w:bCs/>
                <w:color w:val="auto"/>
                <w:sz w:val="21"/>
                <w:szCs w:val="21"/>
                <w:lang w:val="en-US" w:eastAsia="zh-CN"/>
              </w:rPr>
              <w:t>10、落实政府采购政策</w:t>
            </w:r>
          </w:p>
          <w:p w14:paraId="137B9B81">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提供本项目规定的政府采购政策证明文件。</w:t>
            </w: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eastAsia="zh-CN"/>
              </w:rPr>
              <w:t>格式见第八部分</w:t>
            </w:r>
            <w:r>
              <w:rPr>
                <w:rFonts w:hint="eastAsia" w:ascii="华文中宋" w:hAnsi="华文中宋" w:eastAsia="华文中宋" w:cs="华文中宋"/>
                <w:color w:val="auto"/>
                <w:sz w:val="21"/>
                <w:szCs w:val="21"/>
              </w:rPr>
              <w:t>）</w:t>
            </w:r>
          </w:p>
          <w:p w14:paraId="661FB2CC">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本项目将根据磋商供应商提供的上述文件进行资格审查，具体资格审查内容及标准见第四部分。</w:t>
            </w:r>
          </w:p>
        </w:tc>
      </w:tr>
      <w:tr w14:paraId="5090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6B065078">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15</w:t>
            </w:r>
          </w:p>
        </w:tc>
        <w:tc>
          <w:tcPr>
            <w:tcW w:w="972" w:type="pct"/>
            <w:noWrap w:val="0"/>
            <w:vAlign w:val="center"/>
          </w:tcPr>
          <w:p w14:paraId="3DF8C5EB">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商务技术</w:t>
            </w:r>
          </w:p>
          <w:p w14:paraId="4B3B6713">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证明文件</w:t>
            </w:r>
          </w:p>
        </w:tc>
        <w:tc>
          <w:tcPr>
            <w:tcW w:w="3617" w:type="pct"/>
            <w:noWrap w:val="0"/>
            <w:vAlign w:val="center"/>
          </w:tcPr>
          <w:p w14:paraId="04EB73FC">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商务技术证明文件（</w:t>
            </w:r>
            <w:r>
              <w:rPr>
                <w:rFonts w:hint="eastAsia" w:ascii="华文中宋" w:hAnsi="华文中宋" w:eastAsia="华文中宋" w:cs="华文中宋"/>
                <w:b/>
                <w:color w:val="auto"/>
                <w:sz w:val="21"/>
                <w:szCs w:val="21"/>
                <w:lang w:eastAsia="zh-CN"/>
              </w:rPr>
              <w:t>符合性</w:t>
            </w:r>
            <w:r>
              <w:rPr>
                <w:rFonts w:hint="eastAsia" w:ascii="华文中宋" w:hAnsi="华文中宋" w:eastAsia="华文中宋" w:cs="华文中宋"/>
                <w:b/>
                <w:color w:val="auto"/>
                <w:sz w:val="21"/>
                <w:szCs w:val="21"/>
              </w:rPr>
              <w:t>检查文件）：</w:t>
            </w:r>
          </w:p>
          <w:p w14:paraId="706CFDD9">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1、对总报价、工期、工程质量、响应有效期要求的响应内容</w:t>
            </w:r>
          </w:p>
          <w:p w14:paraId="52A5E2CB">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2、对技术标准和要求的响应内容</w:t>
            </w:r>
          </w:p>
          <w:p w14:paraId="0BFE97C6">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3、对节能产品、环境标志产品承诺要求的响应内容</w:t>
            </w:r>
          </w:p>
          <w:p w14:paraId="3E6B7BD9">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4、已标价工程量清单</w:t>
            </w:r>
          </w:p>
          <w:p w14:paraId="6A94305C">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商务技术证明文件（综合评分文件）</w:t>
            </w:r>
          </w:p>
          <w:p w14:paraId="27065F02">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1、施工组织设计：</w:t>
            </w:r>
          </w:p>
          <w:p w14:paraId="727EB2AA">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2、磋商供应商及项目经理资信</w:t>
            </w:r>
          </w:p>
          <w:p w14:paraId="1B4AFBA4">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3、拟分包计划表</w:t>
            </w:r>
          </w:p>
          <w:p w14:paraId="4E4A2C64">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4、其他资料</w:t>
            </w:r>
          </w:p>
          <w:p w14:paraId="06DDBA7B">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说明：</w:t>
            </w:r>
          </w:p>
          <w:p w14:paraId="36B1D4A3">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1、以上内容涉及的格式资料详见第</w:t>
            </w:r>
            <w:r>
              <w:rPr>
                <w:rFonts w:hint="eastAsia" w:ascii="华文中宋" w:hAnsi="华文中宋" w:eastAsia="华文中宋" w:cs="华文中宋"/>
                <w:b/>
                <w:bCs/>
                <w:color w:val="auto"/>
                <w:sz w:val="21"/>
                <w:szCs w:val="21"/>
                <w:lang w:val="en-US" w:eastAsia="zh-CN"/>
              </w:rPr>
              <w:t>八</w:t>
            </w:r>
            <w:r>
              <w:rPr>
                <w:rFonts w:hint="eastAsia" w:ascii="华文中宋" w:hAnsi="华文中宋" w:eastAsia="华文中宋" w:cs="华文中宋"/>
                <w:b/>
                <w:bCs/>
                <w:color w:val="auto"/>
                <w:sz w:val="21"/>
                <w:szCs w:val="21"/>
              </w:rPr>
              <w:t>部分；</w:t>
            </w:r>
          </w:p>
          <w:p w14:paraId="2A171FCC">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2、资格证明文件同商务技术文件装订为一册。</w:t>
            </w:r>
          </w:p>
        </w:tc>
      </w:tr>
      <w:tr w14:paraId="75B1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5359B39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16</w:t>
            </w:r>
          </w:p>
        </w:tc>
        <w:tc>
          <w:tcPr>
            <w:tcW w:w="972" w:type="pct"/>
            <w:noWrap w:val="0"/>
            <w:vAlign w:val="center"/>
          </w:tcPr>
          <w:p w14:paraId="2E2B8B44">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响应文件份数</w:t>
            </w:r>
          </w:p>
        </w:tc>
        <w:tc>
          <w:tcPr>
            <w:tcW w:w="3617" w:type="pct"/>
            <w:noWrap w:val="0"/>
            <w:vAlign w:val="center"/>
          </w:tcPr>
          <w:p w14:paraId="629140B9">
            <w:pPr>
              <w:jc w:val="left"/>
              <w:rPr>
                <w:rFonts w:hint="eastAsia" w:ascii="华文中宋" w:hAnsi="华文中宋" w:eastAsia="华文中宋" w:cs="华文中宋"/>
                <w:bCs/>
                <w:color w:val="auto"/>
                <w:sz w:val="21"/>
                <w:szCs w:val="21"/>
              </w:rPr>
            </w:pPr>
            <w:r>
              <w:rPr>
                <w:rFonts w:hint="eastAsia" w:ascii="华文中宋" w:hAnsi="华文中宋" w:eastAsia="华文中宋" w:cs="华文中宋"/>
                <w:color w:val="auto"/>
                <w:sz w:val="21"/>
                <w:szCs w:val="21"/>
              </w:rPr>
              <w:t>响应文件按照磋商文件上传</w:t>
            </w:r>
          </w:p>
        </w:tc>
      </w:tr>
      <w:tr w14:paraId="2EDD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53F7F268">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17</w:t>
            </w:r>
          </w:p>
        </w:tc>
        <w:tc>
          <w:tcPr>
            <w:tcW w:w="972" w:type="pct"/>
            <w:noWrap w:val="0"/>
            <w:vAlign w:val="center"/>
          </w:tcPr>
          <w:p w14:paraId="3D5D6ED5">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磋商时间和地点</w:t>
            </w:r>
          </w:p>
        </w:tc>
        <w:tc>
          <w:tcPr>
            <w:tcW w:w="3617" w:type="pct"/>
            <w:noWrap w:val="0"/>
            <w:vAlign w:val="center"/>
          </w:tcPr>
          <w:p w14:paraId="2C35A6D1">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shd w:val="clear" w:color="auto" w:fill="auto"/>
              </w:rPr>
            </w:pPr>
            <w:r>
              <w:rPr>
                <w:rFonts w:hint="eastAsia" w:ascii="华文中宋" w:hAnsi="华文中宋" w:eastAsia="华文中宋" w:cs="华文中宋"/>
                <w:color w:val="auto"/>
                <w:sz w:val="21"/>
                <w:szCs w:val="21"/>
                <w:highlight w:val="none"/>
              </w:rPr>
              <w:t>磋商时间：</w:t>
            </w:r>
            <w:r>
              <w:rPr>
                <w:rFonts w:hint="eastAsia" w:ascii="华文中宋" w:hAnsi="华文中宋" w:eastAsia="华文中宋" w:cs="华文中宋"/>
                <w:color w:val="auto"/>
                <w:sz w:val="21"/>
                <w:szCs w:val="21"/>
                <w:highlight w:val="none"/>
                <w:lang w:val="en-US" w:eastAsia="zh-CN"/>
              </w:rPr>
              <w:t>2026年5月19日15时00分</w:t>
            </w:r>
            <w:r>
              <w:rPr>
                <w:rFonts w:hint="eastAsia" w:ascii="华文中宋" w:hAnsi="华文中宋" w:eastAsia="华文中宋" w:cs="华文中宋"/>
                <w:color w:val="auto"/>
                <w:sz w:val="21"/>
                <w:szCs w:val="21"/>
                <w:highlight w:val="none"/>
              </w:rPr>
              <w:t>（北京时间）</w:t>
            </w:r>
          </w:p>
          <w:p w14:paraId="5AFBF346">
            <w:pPr>
              <w:pStyle w:val="42"/>
              <w:keepNext w:val="0"/>
              <w:keepLines w:val="0"/>
              <w:pageBreakBefore w:val="0"/>
              <w:widowControl w:val="0"/>
              <w:kinsoku/>
              <w:overflowPunct/>
              <w:autoSpaceDE/>
              <w:autoSpaceDN/>
              <w:bidi w:val="0"/>
              <w:spacing w:line="240" w:lineRule="auto"/>
              <w:ind w:left="0" w:leftChars="0" w:firstLine="0" w:firstLine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磋商地点：山西政府采购网官网政采云平台</w:t>
            </w:r>
          </w:p>
        </w:tc>
      </w:tr>
      <w:tr w14:paraId="2722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2BFDFF4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1</w:t>
            </w:r>
            <w:r>
              <w:rPr>
                <w:rFonts w:hint="eastAsia" w:ascii="华文中宋" w:hAnsi="华文中宋" w:eastAsia="华文中宋" w:cs="华文中宋"/>
                <w:color w:val="auto"/>
                <w:sz w:val="21"/>
                <w:szCs w:val="21"/>
                <w:lang w:val="en-US" w:eastAsia="zh-CN"/>
              </w:rPr>
              <w:t>8</w:t>
            </w:r>
          </w:p>
        </w:tc>
        <w:tc>
          <w:tcPr>
            <w:tcW w:w="972" w:type="pct"/>
            <w:noWrap w:val="0"/>
            <w:vAlign w:val="center"/>
          </w:tcPr>
          <w:p w14:paraId="22A3CC8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采用的磋商评分方法</w:t>
            </w:r>
          </w:p>
        </w:tc>
        <w:tc>
          <w:tcPr>
            <w:tcW w:w="3617" w:type="pct"/>
            <w:noWrap w:val="0"/>
            <w:vAlign w:val="center"/>
          </w:tcPr>
          <w:p w14:paraId="4E402409">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综合评分法</w:t>
            </w:r>
          </w:p>
        </w:tc>
      </w:tr>
      <w:tr w14:paraId="2FDE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15DEA052">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19</w:t>
            </w:r>
          </w:p>
        </w:tc>
        <w:tc>
          <w:tcPr>
            <w:tcW w:w="972" w:type="pct"/>
            <w:noWrap w:val="0"/>
            <w:vAlign w:val="center"/>
          </w:tcPr>
          <w:p w14:paraId="57A6F903">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磋商小组的组建</w:t>
            </w:r>
          </w:p>
        </w:tc>
        <w:tc>
          <w:tcPr>
            <w:tcW w:w="3617" w:type="pct"/>
            <w:noWrap w:val="0"/>
            <w:vAlign w:val="center"/>
          </w:tcPr>
          <w:p w14:paraId="0C61378A">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磋商小组构成：</w:t>
            </w:r>
            <w:r>
              <w:rPr>
                <w:rFonts w:hint="eastAsia" w:ascii="华文中宋" w:hAnsi="华文中宋" w:eastAsia="华文中宋" w:cs="华文中宋"/>
                <w:color w:val="auto"/>
                <w:sz w:val="21"/>
                <w:szCs w:val="21"/>
                <w:u w:val="single"/>
              </w:rPr>
              <w:t xml:space="preserve"> </w:t>
            </w:r>
            <w:r>
              <w:rPr>
                <w:rFonts w:hint="eastAsia" w:ascii="华文中宋" w:hAnsi="华文中宋" w:eastAsia="华文中宋" w:cs="华文中宋"/>
                <w:color w:val="auto"/>
                <w:sz w:val="21"/>
                <w:szCs w:val="21"/>
                <w:u w:val="single"/>
                <w:lang w:val="en-US" w:eastAsia="zh-CN"/>
              </w:rPr>
              <w:t>3</w:t>
            </w:r>
            <w:r>
              <w:rPr>
                <w:rFonts w:hint="eastAsia" w:ascii="华文中宋" w:hAnsi="华文中宋" w:eastAsia="华文中宋" w:cs="华文中宋"/>
                <w:color w:val="auto"/>
                <w:sz w:val="21"/>
                <w:szCs w:val="21"/>
              </w:rPr>
              <w:t>人</w:t>
            </w: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color w:val="auto"/>
                <w:sz w:val="21"/>
                <w:szCs w:val="21"/>
                <w:lang w:val="en-US" w:eastAsia="zh-CN"/>
              </w:rPr>
              <w:t>其中专家</w:t>
            </w:r>
            <w:r>
              <w:rPr>
                <w:rFonts w:hint="eastAsia" w:ascii="华文中宋" w:hAnsi="华文中宋" w:eastAsia="华文中宋" w:cs="华文中宋"/>
                <w:color w:val="auto"/>
                <w:sz w:val="21"/>
                <w:szCs w:val="21"/>
                <w:u w:val="single"/>
                <w:lang w:val="en-US" w:eastAsia="zh-CN"/>
              </w:rPr>
              <w:t xml:space="preserve"> 2 </w:t>
            </w:r>
            <w:r>
              <w:rPr>
                <w:rFonts w:hint="eastAsia" w:ascii="华文中宋" w:hAnsi="华文中宋" w:eastAsia="华文中宋" w:cs="华文中宋"/>
                <w:color w:val="auto"/>
                <w:sz w:val="21"/>
                <w:szCs w:val="21"/>
                <w:lang w:val="en-US" w:eastAsia="zh-CN"/>
              </w:rPr>
              <w:t>人，采购人代表</w:t>
            </w:r>
            <w:r>
              <w:rPr>
                <w:rFonts w:hint="eastAsia" w:ascii="华文中宋" w:hAnsi="华文中宋" w:eastAsia="华文中宋" w:cs="华文中宋"/>
                <w:color w:val="auto"/>
                <w:sz w:val="21"/>
                <w:szCs w:val="21"/>
                <w:u w:val="single"/>
                <w:lang w:val="en-US" w:eastAsia="zh-CN"/>
              </w:rPr>
              <w:t>1</w:t>
            </w:r>
            <w:r>
              <w:rPr>
                <w:rFonts w:hint="eastAsia" w:ascii="华文中宋" w:hAnsi="华文中宋" w:eastAsia="华文中宋" w:cs="华文中宋"/>
                <w:color w:val="auto"/>
                <w:sz w:val="21"/>
                <w:szCs w:val="21"/>
                <w:lang w:val="en-US" w:eastAsia="zh-CN"/>
              </w:rPr>
              <w:t>人</w:t>
            </w:r>
            <w:r>
              <w:rPr>
                <w:rFonts w:hint="eastAsia" w:ascii="华文中宋" w:hAnsi="华文中宋" w:eastAsia="华文中宋" w:cs="华文中宋"/>
                <w:color w:val="auto"/>
                <w:sz w:val="21"/>
                <w:szCs w:val="21"/>
              </w:rPr>
              <w:t>；从山西省财政厅评标专家库中随机抽取。</w:t>
            </w:r>
          </w:p>
        </w:tc>
      </w:tr>
      <w:tr w14:paraId="2826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3D48FD4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2</w:t>
            </w:r>
            <w:r>
              <w:rPr>
                <w:rFonts w:hint="eastAsia" w:ascii="华文中宋" w:hAnsi="华文中宋" w:eastAsia="华文中宋" w:cs="华文中宋"/>
                <w:color w:val="auto"/>
                <w:sz w:val="21"/>
                <w:szCs w:val="21"/>
                <w:lang w:val="en-US" w:eastAsia="zh-CN"/>
              </w:rPr>
              <w:t>0</w:t>
            </w:r>
          </w:p>
        </w:tc>
        <w:tc>
          <w:tcPr>
            <w:tcW w:w="972" w:type="pct"/>
            <w:noWrap w:val="0"/>
            <w:vAlign w:val="center"/>
          </w:tcPr>
          <w:p w14:paraId="69AEAFE1">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授权磋商小组确定成交人</w:t>
            </w:r>
          </w:p>
        </w:tc>
        <w:tc>
          <w:tcPr>
            <w:tcW w:w="3617" w:type="pct"/>
            <w:noWrap w:val="0"/>
            <w:vAlign w:val="center"/>
          </w:tcPr>
          <w:p w14:paraId="0F734B6B">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lang w:val="en-US" w:eastAsia="zh-CN"/>
              </w:rPr>
              <w:t>是</w:t>
            </w:r>
          </w:p>
        </w:tc>
      </w:tr>
      <w:tr w14:paraId="224E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5B9C6D6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2</w:t>
            </w:r>
            <w:r>
              <w:rPr>
                <w:rFonts w:hint="eastAsia" w:ascii="华文中宋" w:hAnsi="华文中宋" w:eastAsia="华文中宋" w:cs="华文中宋"/>
                <w:color w:val="auto"/>
                <w:sz w:val="21"/>
                <w:szCs w:val="21"/>
                <w:lang w:val="en-US" w:eastAsia="zh-CN"/>
              </w:rPr>
              <w:t>1</w:t>
            </w:r>
          </w:p>
        </w:tc>
        <w:tc>
          <w:tcPr>
            <w:tcW w:w="972" w:type="pct"/>
            <w:noWrap w:val="0"/>
            <w:vAlign w:val="center"/>
          </w:tcPr>
          <w:p w14:paraId="091BE8C1">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履约担保</w:t>
            </w:r>
          </w:p>
        </w:tc>
        <w:tc>
          <w:tcPr>
            <w:tcW w:w="3617" w:type="pct"/>
            <w:noWrap w:val="0"/>
            <w:vAlign w:val="center"/>
          </w:tcPr>
          <w:p w14:paraId="6D210539">
            <w:pPr>
              <w:keepNext w:val="0"/>
              <w:keepLines w:val="0"/>
              <w:pageBreakBefore w:val="0"/>
              <w:widowControl w:val="0"/>
              <w:kinsoku/>
              <w:wordWrap w:val="0"/>
              <w:overflowPunct/>
              <w:autoSpaceDE/>
              <w:autoSpaceDN/>
              <w:bidi w:val="0"/>
              <w:snapToGrid w:val="0"/>
              <w:spacing w:line="240" w:lineRule="auto"/>
              <w:ind w:left="0" w:leftChars="0"/>
              <w:jc w:val="both"/>
              <w:textAlignment w:val="auto"/>
              <w:outlineLvl w:val="9"/>
              <w:rPr>
                <w:rFonts w:hint="eastAsia" w:ascii="华文中宋" w:hAnsi="华文中宋" w:eastAsia="华文中宋" w:cs="华文中宋"/>
                <w:color w:val="auto"/>
                <w:sz w:val="21"/>
                <w:szCs w:val="21"/>
                <w:u w:val="single"/>
              </w:rPr>
            </w:pPr>
            <w:r>
              <w:rPr>
                <w:rFonts w:hint="eastAsia" w:ascii="华文中宋" w:hAnsi="华文中宋" w:eastAsia="华文中宋" w:cs="华文中宋"/>
                <w:color w:val="auto"/>
                <w:sz w:val="21"/>
                <w:szCs w:val="21"/>
              </w:rPr>
              <w:t>履约担保的形式：</w:t>
            </w:r>
            <w:r>
              <w:rPr>
                <w:rFonts w:hint="eastAsia" w:ascii="华文中宋" w:hAnsi="华文中宋" w:eastAsia="华文中宋" w:cs="华文中宋"/>
                <w:color w:val="auto"/>
                <w:sz w:val="21"/>
                <w:szCs w:val="21"/>
                <w:u w:val="single"/>
              </w:rPr>
              <w:t xml:space="preserve">  按甲方要求</w:t>
            </w:r>
          </w:p>
          <w:p w14:paraId="54B5FEA7">
            <w:pPr>
              <w:keepNext w:val="0"/>
              <w:keepLines w:val="0"/>
              <w:pageBreakBefore w:val="0"/>
              <w:widowControl w:val="0"/>
              <w:kinsoku/>
              <w:wordWrap w:val="0"/>
              <w:overflowPunct/>
              <w:autoSpaceDE/>
              <w:autoSpaceDN/>
              <w:bidi w:val="0"/>
              <w:snapToGrid w:val="0"/>
              <w:spacing w:line="240" w:lineRule="auto"/>
              <w:ind w:left="0" w:leftChars="0"/>
              <w:jc w:val="both"/>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履约担保的金额：</w:t>
            </w:r>
            <w:r>
              <w:rPr>
                <w:rFonts w:hint="eastAsia" w:ascii="华文中宋" w:hAnsi="华文中宋" w:eastAsia="华文中宋" w:cs="华文中宋"/>
                <w:color w:val="auto"/>
                <w:sz w:val="21"/>
                <w:szCs w:val="21"/>
                <w:u w:val="single"/>
              </w:rPr>
              <w:t xml:space="preserve">  按甲方要求</w:t>
            </w:r>
          </w:p>
        </w:tc>
      </w:tr>
      <w:tr w14:paraId="1CCD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0B8128D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22</w:t>
            </w:r>
          </w:p>
        </w:tc>
        <w:tc>
          <w:tcPr>
            <w:tcW w:w="972" w:type="pct"/>
            <w:noWrap w:val="0"/>
            <w:vAlign w:val="center"/>
          </w:tcPr>
          <w:p w14:paraId="0C70E3C7">
            <w:pPr>
              <w:keepNext w:val="0"/>
              <w:keepLines w:val="0"/>
              <w:pageBreakBefore w:val="0"/>
              <w:widowControl w:val="0"/>
              <w:kinsoku/>
              <w:overflowPunct/>
              <w:autoSpaceDE/>
              <w:autoSpaceDN/>
              <w:bidi w:val="0"/>
              <w:snapToGrid w:val="0"/>
              <w:spacing w:line="240" w:lineRule="auto"/>
              <w:ind w:left="0" w:leftChars="0" w:firstLine="105" w:firstLineChars="5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保证金金额</w:t>
            </w:r>
          </w:p>
        </w:tc>
        <w:tc>
          <w:tcPr>
            <w:tcW w:w="3617" w:type="pct"/>
            <w:noWrap w:val="0"/>
            <w:vAlign w:val="center"/>
          </w:tcPr>
          <w:p w14:paraId="04124393">
            <w:pPr>
              <w:keepNext w:val="0"/>
              <w:keepLines w:val="0"/>
              <w:pageBreakBefore w:val="0"/>
              <w:widowControl w:val="0"/>
              <w:kinsoku/>
              <w:wordWrap/>
              <w:overflowPunct/>
              <w:topLinePunct w:val="0"/>
              <w:autoSpaceDE/>
              <w:autoSpaceDN/>
              <w:bidi w:val="0"/>
              <w:adjustRightInd w:val="0"/>
              <w:snapToGrid w:val="0"/>
              <w:spacing w:line="288" w:lineRule="auto"/>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□本项目不要求提交投标保证金。</w:t>
            </w:r>
          </w:p>
          <w:p w14:paraId="6231E9F9">
            <w:pPr>
              <w:pStyle w:val="19"/>
              <w:keepNext w:val="0"/>
              <w:keepLines w:val="0"/>
              <w:pageBreakBefore w:val="0"/>
              <w:widowControl w:val="0"/>
              <w:kinsoku/>
              <w:wordWrap/>
              <w:overflowPunct/>
              <w:topLinePunct w:val="0"/>
              <w:autoSpaceDE/>
              <w:autoSpaceDN/>
              <w:bidi w:val="0"/>
              <w:snapToGrid w:val="0"/>
              <w:spacing w:line="288" w:lineRule="auto"/>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color w:val="auto"/>
                <w:sz w:val="21"/>
                <w:szCs w:val="21"/>
              </w:rPr>
              <w:t>本项目要求提交投标保证金：是</w:t>
            </w:r>
          </w:p>
          <w:p w14:paraId="739279A2">
            <w:pPr>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lang w:val="en-US" w:eastAsia="zh-CN"/>
              </w:rPr>
              <w:t>保证金</w:t>
            </w:r>
            <w:r>
              <w:rPr>
                <w:rFonts w:hint="eastAsia" w:ascii="华文中宋" w:hAnsi="华文中宋" w:eastAsia="华文中宋" w:cs="华文中宋"/>
                <w:b/>
                <w:bCs/>
                <w:color w:val="auto"/>
                <w:sz w:val="21"/>
                <w:szCs w:val="21"/>
              </w:rPr>
              <w:t>金额：</w:t>
            </w:r>
            <w:r>
              <w:rPr>
                <w:rFonts w:hint="eastAsia" w:ascii="华文中宋" w:hAnsi="华文中宋" w:eastAsia="华文中宋" w:cs="华文中宋"/>
                <w:b/>
                <w:bCs/>
                <w:color w:val="auto"/>
                <w:sz w:val="21"/>
                <w:szCs w:val="21"/>
                <w:lang w:val="en-US" w:eastAsia="zh-CN"/>
              </w:rPr>
              <w:t>24000</w:t>
            </w:r>
            <w:r>
              <w:rPr>
                <w:rFonts w:hint="eastAsia" w:ascii="华文中宋" w:hAnsi="华文中宋" w:eastAsia="华文中宋" w:cs="华文中宋"/>
                <w:b/>
                <w:bCs/>
                <w:color w:val="auto"/>
                <w:sz w:val="21"/>
                <w:szCs w:val="21"/>
              </w:rPr>
              <w:t>元</w:t>
            </w:r>
          </w:p>
          <w:p w14:paraId="13FE3135">
            <w:pPr>
              <w:numPr>
                <w:ilvl w:val="0"/>
                <w:numId w:val="0"/>
              </w:numPr>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磋商</w:t>
            </w:r>
            <w:r>
              <w:rPr>
                <w:rFonts w:hint="eastAsia" w:ascii="华文中宋" w:hAnsi="华文中宋" w:eastAsia="华文中宋" w:cs="华文中宋"/>
                <w:color w:val="auto"/>
                <w:sz w:val="21"/>
                <w:szCs w:val="21"/>
              </w:rPr>
              <w:t>保证金的形式：</w:t>
            </w:r>
            <w:r>
              <w:rPr>
                <w:rFonts w:hint="eastAsia" w:ascii="华文中宋" w:hAnsi="华文中宋" w:eastAsia="华文中宋" w:cs="华文中宋"/>
                <w:color w:val="auto"/>
                <w:sz w:val="21"/>
                <w:szCs w:val="21"/>
                <w:lang w:val="en-US" w:eastAsia="zh-CN"/>
              </w:rPr>
              <w:t>采用</w:t>
            </w:r>
            <w:r>
              <w:rPr>
                <w:rFonts w:hint="eastAsia" w:ascii="华文中宋" w:hAnsi="华文中宋" w:eastAsia="华文中宋" w:cs="华文中宋"/>
                <w:color w:val="auto"/>
                <w:sz w:val="21"/>
                <w:szCs w:val="21"/>
              </w:rPr>
              <w:t>电汇</w:t>
            </w:r>
            <w:r>
              <w:rPr>
                <w:rFonts w:hint="eastAsia" w:ascii="华文中宋" w:hAnsi="华文中宋" w:eastAsia="华文中宋" w:cs="华文中宋"/>
                <w:color w:val="auto"/>
                <w:sz w:val="21"/>
                <w:szCs w:val="21"/>
                <w:lang w:val="en-US" w:eastAsia="zh-CN"/>
              </w:rPr>
              <w:t>、网银转账、支票、汇票、本票或者金融机构、担保机构出具的保函等非现金形式提交</w:t>
            </w:r>
            <w:r>
              <w:rPr>
                <w:rFonts w:hint="eastAsia" w:ascii="华文中宋" w:hAnsi="华文中宋" w:eastAsia="华文中宋" w:cs="华文中宋"/>
                <w:color w:val="auto"/>
                <w:sz w:val="21"/>
                <w:szCs w:val="21"/>
              </w:rPr>
              <w:t>。</w:t>
            </w:r>
          </w:p>
          <w:p w14:paraId="228ED86F">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1、采用电汇、网银转账的，由供应商通过对公账户网上银行转出</w:t>
            </w:r>
          </w:p>
          <w:p w14:paraId="79E996E9">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2、采用支票提交的，由供应商开出（付款行为对公账户）；</w:t>
            </w:r>
          </w:p>
          <w:p w14:paraId="5723AC27">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3、采用汇票、本票提交的，须从供应商的对公账户银行开出；</w:t>
            </w:r>
          </w:p>
          <w:p w14:paraId="0BEE5AA9">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4、采用金融机构出具保函的，由从事金融业有关的金融中介机构开出；</w:t>
            </w:r>
          </w:p>
          <w:p w14:paraId="0D650304">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5、采用担保机构出具保函的，由银行或代办保函的担保公司开出。</w:t>
            </w:r>
          </w:p>
          <w:p w14:paraId="3548A1CE">
            <w:pPr>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账户信息：</w:t>
            </w:r>
          </w:p>
          <w:p w14:paraId="1C7FCA5E">
            <w:pP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开户名称：山西中际华工程项目管理有限公司</w:t>
            </w:r>
          </w:p>
          <w:p w14:paraId="62FF68F8">
            <w:pPr>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帐号：601103010300000171485</w:t>
            </w:r>
          </w:p>
          <w:p w14:paraId="0FDA615A">
            <w:pPr>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开户银行：山西尧都农村商业银行股份有限公司营业部</w:t>
            </w:r>
          </w:p>
          <w:p w14:paraId="68F03D7A">
            <w:pPr>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行号：402177000530 </w:t>
            </w:r>
          </w:p>
          <w:p w14:paraId="21CA47A3">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lang w:val="en-US" w:eastAsia="zh-CN"/>
              </w:rPr>
              <w:t>注：响应文件中须提供磋商保证金提交凭证扫描件，</w:t>
            </w:r>
            <w:r>
              <w:rPr>
                <w:rFonts w:hint="eastAsia" w:ascii="华文中宋" w:hAnsi="华文中宋" w:eastAsia="华文中宋" w:cs="华文中宋"/>
                <w:b/>
                <w:bCs/>
                <w:color w:val="auto"/>
                <w:sz w:val="21"/>
                <w:szCs w:val="21"/>
                <w:lang w:eastAsia="zh-CN"/>
              </w:rPr>
              <w:t>在</w:t>
            </w:r>
            <w:r>
              <w:rPr>
                <w:rFonts w:hint="eastAsia" w:ascii="华文中宋" w:hAnsi="华文中宋" w:eastAsia="华文中宋" w:cs="华文中宋"/>
                <w:b/>
                <w:bCs/>
                <w:color w:val="auto"/>
                <w:sz w:val="21"/>
                <w:szCs w:val="21"/>
                <w:lang w:val="en-US" w:eastAsia="zh-CN"/>
              </w:rPr>
              <w:t>磋商</w:t>
            </w:r>
            <w:r>
              <w:rPr>
                <w:rFonts w:hint="eastAsia" w:ascii="华文中宋" w:hAnsi="华文中宋" w:eastAsia="华文中宋" w:cs="华文中宋"/>
                <w:b/>
                <w:bCs/>
                <w:color w:val="auto"/>
                <w:sz w:val="21"/>
                <w:szCs w:val="21"/>
                <w:lang w:eastAsia="zh-CN"/>
              </w:rPr>
              <w:t>保证金缴纳截止时间之前将</w:t>
            </w:r>
            <w:r>
              <w:rPr>
                <w:rFonts w:hint="eastAsia" w:ascii="华文中宋" w:hAnsi="华文中宋" w:eastAsia="华文中宋" w:cs="华文中宋"/>
                <w:b/>
                <w:bCs/>
                <w:color w:val="auto"/>
                <w:sz w:val="21"/>
                <w:szCs w:val="21"/>
                <w:lang w:val="en-US" w:eastAsia="zh-CN"/>
              </w:rPr>
              <w:t>磋商</w:t>
            </w:r>
            <w:r>
              <w:rPr>
                <w:rFonts w:hint="eastAsia" w:ascii="华文中宋" w:hAnsi="华文中宋" w:eastAsia="华文中宋" w:cs="华文中宋"/>
                <w:b/>
                <w:bCs/>
                <w:color w:val="auto"/>
                <w:sz w:val="21"/>
                <w:szCs w:val="21"/>
                <w:lang w:eastAsia="zh-CN"/>
              </w:rPr>
              <w:t>保证金凭证</w:t>
            </w:r>
            <w:r>
              <w:rPr>
                <w:rFonts w:hint="eastAsia" w:ascii="华文中宋" w:hAnsi="华文中宋" w:eastAsia="华文中宋" w:cs="华文中宋"/>
                <w:b/>
                <w:bCs/>
                <w:color w:val="auto"/>
                <w:sz w:val="21"/>
                <w:szCs w:val="21"/>
                <w:lang w:val="en-US" w:eastAsia="zh-CN"/>
              </w:rPr>
              <w:t>扫描件</w:t>
            </w:r>
            <w:r>
              <w:rPr>
                <w:rFonts w:hint="eastAsia" w:ascii="华文中宋" w:hAnsi="华文中宋" w:eastAsia="华文中宋" w:cs="华文中宋"/>
                <w:b/>
                <w:bCs/>
                <w:color w:val="auto"/>
                <w:sz w:val="21"/>
                <w:szCs w:val="21"/>
                <w:lang w:eastAsia="zh-CN"/>
              </w:rPr>
              <w:t>发送到代理机构电子邮箱（</w:t>
            </w:r>
            <w:r>
              <w:rPr>
                <w:rFonts w:hint="eastAsia" w:ascii="华文中宋" w:hAnsi="华文中宋" w:eastAsia="华文中宋" w:cs="华文中宋"/>
                <w:b/>
                <w:bCs/>
                <w:color w:val="auto"/>
                <w:sz w:val="21"/>
                <w:szCs w:val="21"/>
                <w:lang w:eastAsia="zh-CN"/>
              </w:rPr>
              <w:fldChar w:fldCharType="begin"/>
            </w:r>
            <w:r>
              <w:rPr>
                <w:rFonts w:hint="eastAsia" w:ascii="华文中宋" w:hAnsi="华文中宋" w:eastAsia="华文中宋" w:cs="华文中宋"/>
                <w:b/>
                <w:bCs/>
                <w:color w:val="auto"/>
                <w:sz w:val="21"/>
                <w:szCs w:val="21"/>
                <w:lang w:eastAsia="zh-CN"/>
              </w:rPr>
              <w:instrText xml:space="preserve"> HYPERLINK "mailto:sxzjh0001@163.com" </w:instrText>
            </w:r>
            <w:r>
              <w:rPr>
                <w:rFonts w:hint="eastAsia" w:ascii="华文中宋" w:hAnsi="华文中宋" w:eastAsia="华文中宋" w:cs="华文中宋"/>
                <w:b/>
                <w:bCs/>
                <w:color w:val="auto"/>
                <w:sz w:val="21"/>
                <w:szCs w:val="21"/>
                <w:lang w:eastAsia="zh-CN"/>
              </w:rPr>
              <w:fldChar w:fldCharType="separate"/>
            </w:r>
            <w:r>
              <w:rPr>
                <w:rFonts w:hint="eastAsia" w:ascii="华文中宋" w:hAnsi="华文中宋" w:eastAsia="华文中宋" w:cs="华文中宋"/>
                <w:b/>
                <w:bCs/>
                <w:color w:val="auto"/>
                <w:sz w:val="21"/>
                <w:szCs w:val="21"/>
                <w:lang w:eastAsia="zh-CN"/>
              </w:rPr>
              <w:t>sxzjh0001@163.com</w:t>
            </w:r>
            <w:r>
              <w:rPr>
                <w:rFonts w:hint="eastAsia" w:ascii="华文中宋" w:hAnsi="华文中宋" w:eastAsia="华文中宋" w:cs="华文中宋"/>
                <w:b/>
                <w:bCs/>
                <w:color w:val="auto"/>
                <w:sz w:val="21"/>
                <w:szCs w:val="21"/>
                <w:lang w:eastAsia="zh-CN"/>
              </w:rPr>
              <w:fldChar w:fldCharType="end"/>
            </w:r>
            <w:r>
              <w:rPr>
                <w:rFonts w:hint="eastAsia" w:ascii="华文中宋" w:hAnsi="华文中宋" w:eastAsia="华文中宋" w:cs="华文中宋"/>
                <w:b/>
                <w:bCs/>
                <w:color w:val="auto"/>
                <w:sz w:val="21"/>
                <w:szCs w:val="21"/>
                <w:lang w:eastAsia="zh-CN"/>
              </w:rPr>
              <w:t>），邮件标题格式：公司名称+项目名称+“</w:t>
            </w:r>
            <w:r>
              <w:rPr>
                <w:rFonts w:hint="eastAsia" w:ascii="华文中宋" w:hAnsi="华文中宋" w:eastAsia="华文中宋" w:cs="华文中宋"/>
                <w:b/>
                <w:bCs/>
                <w:color w:val="auto"/>
                <w:sz w:val="21"/>
                <w:szCs w:val="21"/>
                <w:lang w:val="en-US" w:eastAsia="zh-CN"/>
              </w:rPr>
              <w:t>投标</w:t>
            </w:r>
            <w:r>
              <w:rPr>
                <w:rFonts w:hint="eastAsia" w:ascii="华文中宋" w:hAnsi="华文中宋" w:eastAsia="华文中宋" w:cs="华文中宋"/>
                <w:b/>
                <w:bCs/>
                <w:color w:val="auto"/>
                <w:sz w:val="21"/>
                <w:szCs w:val="21"/>
                <w:lang w:eastAsia="zh-CN"/>
              </w:rPr>
              <w:t>保证金金额”。</w:t>
            </w:r>
          </w:p>
        </w:tc>
      </w:tr>
      <w:tr w14:paraId="5FA3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4A8FD91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2</w:t>
            </w:r>
            <w:r>
              <w:rPr>
                <w:rFonts w:hint="eastAsia" w:ascii="华文中宋" w:hAnsi="华文中宋" w:eastAsia="华文中宋" w:cs="华文中宋"/>
                <w:color w:val="auto"/>
                <w:sz w:val="21"/>
                <w:szCs w:val="21"/>
                <w:lang w:val="en-US" w:eastAsia="zh-CN"/>
              </w:rPr>
              <w:t>3</w:t>
            </w:r>
          </w:p>
        </w:tc>
        <w:tc>
          <w:tcPr>
            <w:tcW w:w="972" w:type="pct"/>
            <w:noWrap w:val="0"/>
            <w:vAlign w:val="center"/>
          </w:tcPr>
          <w:p w14:paraId="52906D97">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color w:val="auto"/>
                <w:sz w:val="21"/>
                <w:szCs w:val="21"/>
              </w:rPr>
              <w:t>响应文件有效期</w:t>
            </w:r>
          </w:p>
        </w:tc>
        <w:tc>
          <w:tcPr>
            <w:tcW w:w="3617" w:type="pct"/>
            <w:noWrap w:val="0"/>
            <w:vAlign w:val="center"/>
          </w:tcPr>
          <w:p w14:paraId="19FD0B2B">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90日历天（</w:t>
            </w:r>
            <w:r>
              <w:rPr>
                <w:rFonts w:hint="eastAsia" w:ascii="华文中宋" w:hAnsi="华文中宋" w:eastAsia="华文中宋" w:cs="华文中宋"/>
                <w:color w:val="auto"/>
                <w:sz w:val="21"/>
                <w:szCs w:val="21"/>
                <w:lang w:val="en-US" w:eastAsia="zh-CN"/>
              </w:rPr>
              <w:t>自递</w:t>
            </w:r>
            <w:r>
              <w:rPr>
                <w:rFonts w:hint="eastAsia" w:ascii="华文中宋" w:hAnsi="华文中宋" w:eastAsia="华文中宋" w:cs="华文中宋"/>
                <w:color w:val="auto"/>
                <w:sz w:val="21"/>
                <w:szCs w:val="21"/>
              </w:rPr>
              <w:t>交响应文件</w:t>
            </w:r>
            <w:r>
              <w:rPr>
                <w:rFonts w:hint="eastAsia" w:ascii="华文中宋" w:hAnsi="华文中宋" w:eastAsia="华文中宋" w:cs="华文中宋"/>
                <w:color w:val="auto"/>
                <w:sz w:val="21"/>
                <w:szCs w:val="21"/>
                <w:lang w:val="en-US" w:eastAsia="zh-CN"/>
              </w:rPr>
              <w:t>截止</w:t>
            </w:r>
            <w:r>
              <w:rPr>
                <w:rFonts w:hint="eastAsia" w:ascii="华文中宋" w:hAnsi="华文中宋" w:eastAsia="华文中宋" w:cs="华文中宋"/>
                <w:color w:val="auto"/>
                <w:sz w:val="21"/>
                <w:szCs w:val="21"/>
              </w:rPr>
              <w:t>之日起计算）</w:t>
            </w:r>
          </w:p>
        </w:tc>
      </w:tr>
      <w:tr w14:paraId="569B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0" w:type="pct"/>
            <w:noWrap w:val="0"/>
            <w:vAlign w:val="center"/>
          </w:tcPr>
          <w:p w14:paraId="73FF0BA7">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24</w:t>
            </w:r>
          </w:p>
        </w:tc>
        <w:tc>
          <w:tcPr>
            <w:tcW w:w="972" w:type="pct"/>
            <w:noWrap w:val="0"/>
            <w:vAlign w:val="center"/>
          </w:tcPr>
          <w:p w14:paraId="268E9519">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1"/>
                <w:szCs w:val="21"/>
                <w:highlight w:val="none"/>
              </w:rPr>
              <w:t>本项目中小企业划分标准所属行业</w:t>
            </w:r>
          </w:p>
        </w:tc>
        <w:tc>
          <w:tcPr>
            <w:tcW w:w="3617" w:type="pct"/>
            <w:noWrap w:val="0"/>
            <w:vAlign w:val="center"/>
          </w:tcPr>
          <w:p w14:paraId="47134383">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建筑业</w:t>
            </w:r>
          </w:p>
        </w:tc>
      </w:tr>
      <w:tr w14:paraId="36D1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9" w:hRule="atLeast"/>
        </w:trPr>
        <w:tc>
          <w:tcPr>
            <w:tcW w:w="410" w:type="pct"/>
            <w:noWrap w:val="0"/>
            <w:vAlign w:val="center"/>
          </w:tcPr>
          <w:p w14:paraId="395A6ACD">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25</w:t>
            </w:r>
          </w:p>
        </w:tc>
        <w:tc>
          <w:tcPr>
            <w:tcW w:w="972" w:type="pct"/>
            <w:noWrap w:val="0"/>
            <w:vAlign w:val="center"/>
          </w:tcPr>
          <w:p w14:paraId="274BD596">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政府采购</w:t>
            </w:r>
          </w:p>
          <w:p w14:paraId="47EC6C2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相关政策要求</w:t>
            </w:r>
          </w:p>
          <w:p w14:paraId="3C84DB8D">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rPr>
              <w:t>（如涉及的话）</w:t>
            </w:r>
          </w:p>
        </w:tc>
        <w:tc>
          <w:tcPr>
            <w:tcW w:w="3617" w:type="pct"/>
            <w:noWrap w:val="0"/>
            <w:vAlign w:val="center"/>
          </w:tcPr>
          <w:p w14:paraId="039CC719">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政府采购相关政策要求：</w:t>
            </w:r>
          </w:p>
          <w:p w14:paraId="630EAB90">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1、工程内容中含《节能产品政府采购品目清单》中的产品，属于国家强制性采购的，必须符合要求，并单独做出承诺（格式投标人自拟）。</w:t>
            </w:r>
          </w:p>
          <w:p w14:paraId="73F8A588">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2、工程内容中含《环境标志产品政府采购品目清单》中的产品，要求优先选用，并单独做出承诺（格式投标人自拟）。</w:t>
            </w:r>
          </w:p>
          <w:p w14:paraId="29609A19">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3、小型、微型企业参加本项目要求：</w:t>
            </w:r>
          </w:p>
          <w:p w14:paraId="40E27832">
            <w:pPr>
              <w:keepNext w:val="0"/>
              <w:keepLines w:val="0"/>
              <w:pageBreakBefore w:val="0"/>
              <w:widowControl w:val="0"/>
              <w:kinsoku/>
              <w:overflowPunct/>
              <w:autoSpaceDE/>
              <w:autoSpaceDN/>
              <w:bidi w:val="0"/>
              <w:spacing w:line="240" w:lineRule="auto"/>
              <w:ind w:left="105" w:leftChars="0" w:hanging="105" w:hangingChars="5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16014C55">
            <w:pPr>
              <w:keepNext w:val="0"/>
              <w:keepLines w:val="0"/>
              <w:pageBreakBefore w:val="0"/>
              <w:widowControl w:val="0"/>
              <w:kinsoku/>
              <w:overflowPunct/>
              <w:autoSpaceDE/>
              <w:autoSpaceDN/>
              <w:bidi w:val="0"/>
              <w:spacing w:line="240" w:lineRule="auto"/>
              <w:ind w:left="105" w:leftChars="0" w:hanging="105" w:hangingChars="5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（2）小、微企业只有提供本企业制造的货物或者服务，或者提供其他小、微企业制造的货物，享受投标货物的价格折扣。若有的话，如实填写《小微企业/残疾人福利性单位提供货物/服务明细表》；</w:t>
            </w:r>
          </w:p>
          <w:p w14:paraId="719B038C">
            <w:pPr>
              <w:keepNext w:val="0"/>
              <w:keepLines w:val="0"/>
              <w:pageBreakBefore w:val="0"/>
              <w:widowControl w:val="0"/>
              <w:kinsoku/>
              <w:overflowPunct/>
              <w:autoSpaceDE/>
              <w:autoSpaceDN/>
              <w:bidi w:val="0"/>
              <w:spacing w:line="240" w:lineRule="auto"/>
              <w:ind w:left="105" w:leftChars="0" w:hanging="105" w:hangingChars="5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（3）小、微型企业提供中型企业制造的货物或使用大型企业注册商标货物的，视同为中型企业。</w:t>
            </w:r>
          </w:p>
          <w:p w14:paraId="42B81312">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4、本项目涉及创新产品、创新服务的要求：</w:t>
            </w:r>
          </w:p>
          <w:p w14:paraId="5D992FF0">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（1）磋商供应商投报产品或服务属于《山西省创新产品和服务推荐清单》中创新产品或创新服务的，在评审时享受评审加分。</w:t>
            </w:r>
          </w:p>
          <w:p w14:paraId="61CFDBB8">
            <w:pPr>
              <w:keepNext w:val="0"/>
              <w:keepLines w:val="0"/>
              <w:pageBreakBefore w:val="0"/>
              <w:widowControl w:val="0"/>
              <w:kinsoku/>
              <w:overflowPunct/>
              <w:autoSpaceDE/>
              <w:autoSpaceDN/>
              <w:bidi w:val="0"/>
              <w:spacing w:line="240" w:lineRule="auto"/>
              <w:ind w:left="105" w:leftChars="0" w:hanging="105" w:hangingChars="5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rPr>
              <w:t>（2）磋商供应商投报创新产品或创新服务的，应在响应文件中“施工设计”中提供《创新产品或创新服务明细表》。</w:t>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AUTOTEXT  input212 \* MERGEFORMAT </w:instrText>
            </w:r>
            <w:r>
              <w:rPr>
                <w:rFonts w:hint="eastAsia" w:ascii="华文中宋" w:hAnsi="华文中宋" w:eastAsia="华文中宋" w:cs="华文中宋"/>
                <w:color w:val="auto"/>
                <w:sz w:val="21"/>
                <w:szCs w:val="21"/>
              </w:rPr>
              <w:fldChar w:fldCharType="end"/>
            </w:r>
          </w:p>
        </w:tc>
      </w:tr>
      <w:tr w14:paraId="608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1AF18EAB">
            <w:pPr>
              <w:keepNext w:val="0"/>
              <w:keepLines w:val="0"/>
              <w:pageBreakBefore w:val="0"/>
              <w:widowControl w:val="0"/>
              <w:kinsoku/>
              <w:overflowPunct/>
              <w:autoSpaceDE/>
              <w:autoSpaceDN/>
              <w:bidi w:val="0"/>
              <w:spacing w:line="240" w:lineRule="auto"/>
              <w:ind w:left="0" w:leftChars="0"/>
              <w:jc w:val="center"/>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26</w:t>
            </w:r>
          </w:p>
        </w:tc>
        <w:tc>
          <w:tcPr>
            <w:tcW w:w="972" w:type="pct"/>
            <w:noWrap w:val="0"/>
            <w:vAlign w:val="center"/>
          </w:tcPr>
          <w:p w14:paraId="30659C0C">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color w:val="auto"/>
                <w:sz w:val="21"/>
                <w:szCs w:val="21"/>
              </w:rPr>
              <w:t>本项目控制价</w:t>
            </w:r>
          </w:p>
        </w:tc>
        <w:tc>
          <w:tcPr>
            <w:tcW w:w="3617" w:type="pct"/>
            <w:noWrap w:val="0"/>
            <w:vAlign w:val="center"/>
          </w:tcPr>
          <w:p w14:paraId="290B9049">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控制价总价</w:t>
            </w: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color w:val="auto"/>
                <w:sz w:val="21"/>
                <w:szCs w:val="21"/>
                <w:lang w:val="en-US" w:eastAsia="zh-CN"/>
              </w:rPr>
              <w:t>2439109.44</w:t>
            </w:r>
            <w:r>
              <w:rPr>
                <w:rFonts w:hint="eastAsia" w:ascii="华文中宋" w:hAnsi="华文中宋" w:eastAsia="华文中宋" w:cs="华文中宋"/>
                <w:color w:val="auto"/>
                <w:sz w:val="21"/>
                <w:szCs w:val="21"/>
                <w:highlight w:val="none"/>
                <w:u w:val="none"/>
                <w:lang w:val="en-US" w:eastAsia="zh-CN"/>
              </w:rPr>
              <w:t>元</w:t>
            </w:r>
            <w:r>
              <w:rPr>
                <w:rFonts w:hint="eastAsia" w:ascii="华文中宋" w:hAnsi="华文中宋" w:eastAsia="华文中宋" w:cs="华文中宋"/>
                <w:color w:val="auto"/>
                <w:sz w:val="21"/>
                <w:szCs w:val="21"/>
                <w:highlight w:val="none"/>
                <w:u w:val="none"/>
              </w:rPr>
              <w:t>；</w:t>
            </w:r>
          </w:p>
          <w:p w14:paraId="18424F56">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要求：供应商的报价高于控制总价的，响应予以拒绝。</w:t>
            </w:r>
          </w:p>
        </w:tc>
      </w:tr>
      <w:tr w14:paraId="4471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3B0B0D4E">
            <w:pPr>
              <w:keepNext w:val="0"/>
              <w:keepLines w:val="0"/>
              <w:pageBreakBefore w:val="0"/>
              <w:widowControl w:val="0"/>
              <w:kinsoku/>
              <w:overflowPunct/>
              <w:autoSpaceDE/>
              <w:autoSpaceDN/>
              <w:bidi w:val="0"/>
              <w:spacing w:line="240" w:lineRule="auto"/>
              <w:ind w:left="0" w:leftChars="0"/>
              <w:jc w:val="center"/>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27</w:t>
            </w:r>
          </w:p>
        </w:tc>
        <w:tc>
          <w:tcPr>
            <w:tcW w:w="972" w:type="pct"/>
            <w:noWrap w:val="0"/>
            <w:vAlign w:val="center"/>
          </w:tcPr>
          <w:p w14:paraId="3D3EAAFE">
            <w:pPr>
              <w:keepNext w:val="0"/>
              <w:keepLines w:val="0"/>
              <w:pageBreakBefore w:val="0"/>
              <w:widowControl w:val="0"/>
              <w:kinsoku/>
              <w:overflowPunct/>
              <w:autoSpaceDE/>
              <w:autoSpaceDN/>
              <w:bidi w:val="0"/>
              <w:spacing w:line="240" w:lineRule="auto"/>
              <w:ind w:left="0" w:leftChars="0"/>
              <w:jc w:val="center"/>
              <w:textAlignment w:val="auto"/>
              <w:rPr>
                <w:rFonts w:hint="eastAsia" w:ascii="华文中宋" w:hAnsi="华文中宋" w:eastAsia="华文中宋" w:cs="华文中宋"/>
                <w:b/>
                <w:bCs/>
                <w:color w:val="auto"/>
                <w:kern w:val="2"/>
                <w:sz w:val="21"/>
                <w:szCs w:val="21"/>
                <w:lang w:val="en-US" w:eastAsia="zh-CN" w:bidi="ar-SA"/>
              </w:rPr>
            </w:pPr>
            <w:r>
              <w:rPr>
                <w:rFonts w:hint="eastAsia" w:ascii="华文中宋" w:hAnsi="华文中宋" w:eastAsia="华文中宋" w:cs="华文中宋"/>
                <w:b/>
                <w:bCs/>
                <w:color w:val="auto"/>
                <w:sz w:val="21"/>
                <w:szCs w:val="21"/>
              </w:rPr>
              <w:t>磋商过程中根据磋商情况可能实质性变动内容</w:t>
            </w:r>
          </w:p>
        </w:tc>
        <w:tc>
          <w:tcPr>
            <w:tcW w:w="3617" w:type="pct"/>
            <w:noWrap w:val="0"/>
            <w:vAlign w:val="center"/>
          </w:tcPr>
          <w:p w14:paraId="10DC0E99">
            <w:pPr>
              <w:pStyle w:val="41"/>
              <w:keepNext w:val="0"/>
              <w:keepLines w:val="0"/>
              <w:pageBreakBefore w:val="0"/>
              <w:widowControl w:val="0"/>
              <w:kinsoku/>
              <w:overflowPunct/>
              <w:autoSpaceDE/>
              <w:autoSpaceDN/>
              <w:bidi w:val="0"/>
              <w:snapToGrid w:val="0"/>
              <w:spacing w:line="240" w:lineRule="auto"/>
              <w:ind w:left="0" w:leftChars="0"/>
              <w:textAlignment w:val="auto"/>
              <w:rPr>
                <w:rFonts w:hint="eastAsia" w:ascii="华文中宋" w:hAnsi="华文中宋" w:eastAsia="华文中宋" w:cs="华文中宋"/>
                <w:bCs/>
                <w:color w:val="auto"/>
                <w:kern w:val="2"/>
                <w:sz w:val="21"/>
                <w:szCs w:val="21"/>
                <w:lang w:val="en-US" w:eastAsia="zh-CN" w:bidi="ar-SA"/>
              </w:rPr>
            </w:pPr>
            <w:r>
              <w:rPr>
                <w:rFonts w:hint="eastAsia" w:ascii="华文中宋" w:hAnsi="华文中宋" w:eastAsia="华文中宋" w:cs="华文中宋"/>
                <w:bCs/>
                <w:color w:val="auto"/>
                <w:kern w:val="2"/>
                <w:sz w:val="21"/>
                <w:szCs w:val="21"/>
              </w:rPr>
              <w:t>本项目第</w:t>
            </w:r>
            <w:r>
              <w:rPr>
                <w:rFonts w:hint="eastAsia" w:ascii="华文中宋" w:hAnsi="华文中宋" w:eastAsia="华文中宋" w:cs="华文中宋"/>
                <w:bCs/>
                <w:color w:val="auto"/>
                <w:kern w:val="2"/>
                <w:sz w:val="21"/>
                <w:szCs w:val="21"/>
                <w:lang w:val="en-US" w:eastAsia="zh-CN"/>
              </w:rPr>
              <w:t>五</w:t>
            </w:r>
            <w:r>
              <w:rPr>
                <w:rFonts w:hint="eastAsia" w:ascii="华文中宋" w:hAnsi="华文中宋" w:eastAsia="华文中宋" w:cs="华文中宋"/>
                <w:bCs/>
                <w:color w:val="auto"/>
                <w:kern w:val="2"/>
                <w:sz w:val="21"/>
                <w:szCs w:val="21"/>
              </w:rPr>
              <w:t>部分中的</w:t>
            </w:r>
            <w:r>
              <w:rPr>
                <w:rFonts w:hint="eastAsia" w:ascii="华文中宋" w:hAnsi="华文中宋" w:eastAsia="华文中宋" w:cs="华文中宋"/>
                <w:bCs/>
                <w:color w:val="auto"/>
                <w:kern w:val="2"/>
                <w:sz w:val="21"/>
                <w:szCs w:val="21"/>
                <w:lang w:val="en-US" w:eastAsia="zh-CN"/>
              </w:rPr>
              <w:t>技术标准及</w:t>
            </w:r>
            <w:r>
              <w:rPr>
                <w:rFonts w:hint="eastAsia" w:ascii="华文中宋" w:hAnsi="华文中宋" w:eastAsia="华文中宋" w:cs="华文中宋"/>
                <w:bCs/>
                <w:color w:val="auto"/>
                <w:kern w:val="2"/>
                <w:sz w:val="21"/>
                <w:szCs w:val="21"/>
              </w:rPr>
              <w:t>要求、合同草案。</w:t>
            </w:r>
          </w:p>
        </w:tc>
      </w:tr>
      <w:tr w14:paraId="44CF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0" w:type="pct"/>
            <w:noWrap w:val="0"/>
            <w:vAlign w:val="center"/>
          </w:tcPr>
          <w:p w14:paraId="75230125">
            <w:pPr>
              <w:keepNext w:val="0"/>
              <w:keepLines w:val="0"/>
              <w:pageBreakBefore w:val="0"/>
              <w:widowControl w:val="0"/>
              <w:kinsoku/>
              <w:overflowPunct/>
              <w:autoSpaceDE/>
              <w:autoSpaceDN/>
              <w:bidi w:val="0"/>
              <w:spacing w:line="240" w:lineRule="auto"/>
              <w:ind w:left="0" w:leftChars="0"/>
              <w:jc w:val="center"/>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28</w:t>
            </w:r>
          </w:p>
        </w:tc>
        <w:tc>
          <w:tcPr>
            <w:tcW w:w="972" w:type="pct"/>
            <w:noWrap w:val="0"/>
            <w:vAlign w:val="center"/>
          </w:tcPr>
          <w:p w14:paraId="64E15725">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其他要求</w:t>
            </w:r>
          </w:p>
        </w:tc>
        <w:tc>
          <w:tcPr>
            <w:tcW w:w="3617" w:type="pct"/>
            <w:noWrap w:val="0"/>
            <w:vAlign w:val="center"/>
          </w:tcPr>
          <w:p w14:paraId="0BEA3160">
            <w:pPr>
              <w:keepNext w:val="0"/>
              <w:keepLines w:val="0"/>
              <w:pageBreakBefore w:val="0"/>
              <w:widowControl w:val="0"/>
              <w:kinsoku/>
              <w:wordWrap w:val="0"/>
              <w:overflowPunct/>
              <w:topLinePunct/>
              <w:autoSpaceDE/>
              <w:autoSpaceDN/>
              <w:bidi w:val="0"/>
              <w:adjustRightInd/>
              <w:snapToGrid/>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依据山西省财政厅有关事项的通知，所有供应商须在磋商前通过中国山西政府采购网（http://www.ccgp-shanxi.gov.cn）注册登记加入山西省政府采购供应商库。入库供应商信息由各供应商进行日常维护，相关信息发生变更的，应及时进行更新和完善，以确保供应商库中的相关信息全面、真实、准确和有效。各供应商对其注册登记信息和所提供资料的真实性、合法性、有效性负责，并承担相应的法律责任。</w:t>
            </w:r>
          </w:p>
          <w:p w14:paraId="55DD9D7B">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如因供应商未及时加入山西省政府采购供应商库而导致中标/成交公告无法发布的，由其供应商承担相关责任。</w:t>
            </w:r>
          </w:p>
          <w:p w14:paraId="3353EAC0">
            <w:pPr>
              <w:keepNext w:val="0"/>
              <w:keepLines w:val="0"/>
              <w:pageBreakBefore w:val="0"/>
              <w:widowControl w:val="0"/>
              <w:kinsoku/>
              <w:wordWrap w:val="0"/>
              <w:overflowPunct/>
              <w:topLinePunct/>
              <w:autoSpaceDE/>
              <w:autoSpaceDN/>
              <w:bidi w:val="0"/>
              <w:adjustRightInd/>
              <w:snapToGrid/>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政采智贷：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54B14D03">
            <w:pPr>
              <w:keepNext w:val="0"/>
              <w:keepLines w:val="0"/>
              <w:pageBreakBefore w:val="0"/>
              <w:widowControl w:val="0"/>
              <w:kinsoku/>
              <w:wordWrap w:val="0"/>
              <w:overflowPunct/>
              <w:topLinePunct/>
              <w:autoSpaceDE/>
              <w:autoSpaceDN/>
              <w:bidi w:val="0"/>
              <w:adjustRightInd/>
              <w:snapToGrid/>
              <w:spacing w:line="240" w:lineRule="auto"/>
              <w:ind w:left="0" w:leftChars="0" w:firstLine="420" w:firstLineChars="200"/>
              <w:jc w:val="left"/>
              <w:textAlignment w:val="auto"/>
              <w:outlineLvl w:val="9"/>
              <w:rPr>
                <w:rFonts w:hint="eastAsia"/>
              </w:rPr>
            </w:pPr>
            <w:r>
              <w:rPr>
                <w:rFonts w:hint="eastAsia" w:ascii="华文中宋" w:hAnsi="华文中宋" w:eastAsia="华文中宋" w:cs="华文中宋"/>
                <w:color w:val="auto"/>
                <w:sz w:val="21"/>
                <w:szCs w:val="21"/>
              </w:rPr>
              <w:t>有关电子平台的相关问题，可咨询平台客服：95763。</w:t>
            </w:r>
          </w:p>
        </w:tc>
      </w:tr>
    </w:tbl>
    <w:p w14:paraId="1B200B95">
      <w:pPr>
        <w:outlineLvl w:val="9"/>
        <w:rPr>
          <w:rFonts w:hint="eastAsia" w:ascii="华文中宋" w:hAnsi="华文中宋" w:eastAsia="华文中宋" w:cs="华文中宋"/>
          <w:color w:val="auto"/>
        </w:rPr>
      </w:pPr>
      <w:r>
        <w:rPr>
          <w:rFonts w:hint="eastAsia" w:ascii="华文中宋" w:hAnsi="华文中宋" w:eastAsia="华文中宋" w:cs="华文中宋"/>
          <w:color w:val="auto"/>
        </w:rPr>
        <w:t>注：本表内容与磋商供应商须知内容不一致的，以本表内容为准。</w:t>
      </w:r>
    </w:p>
    <w:p w14:paraId="54CD35C6">
      <w:pPr>
        <w:keepNext w:val="0"/>
        <w:keepLines w:val="0"/>
        <w:pageBreakBefore w:val="0"/>
        <w:widowControl w:val="0"/>
        <w:kinsoku/>
        <w:wordWrap/>
        <w:overflowPunct/>
        <w:topLinePunct w:val="0"/>
        <w:autoSpaceDE/>
        <w:autoSpaceDN/>
        <w:bidi w:val="0"/>
        <w:spacing w:line="520" w:lineRule="exact"/>
        <w:jc w:val="center"/>
        <w:outlineLvl w:val="0"/>
        <w:rPr>
          <w:rFonts w:hint="eastAsia" w:ascii="华文中宋" w:hAnsi="华文中宋" w:eastAsia="华文中宋" w:cs="华文中宋"/>
          <w:color w:val="auto"/>
          <w:sz w:val="36"/>
          <w:szCs w:val="36"/>
        </w:rPr>
      </w:pPr>
      <w:bookmarkStart w:id="6" w:name="_Toc395"/>
      <w:r>
        <w:rPr>
          <w:rFonts w:hint="eastAsia" w:ascii="华文中宋" w:hAnsi="华文中宋" w:eastAsia="华文中宋" w:cs="华文中宋"/>
          <w:b/>
          <w:bCs/>
          <w:color w:val="auto"/>
          <w:spacing w:val="0"/>
          <w:sz w:val="44"/>
          <w:szCs w:val="44"/>
          <w:lang w:val="en-US" w:eastAsia="zh-CN"/>
        </w:rPr>
        <w:br w:type="page"/>
      </w:r>
      <w:bookmarkStart w:id="7" w:name="_Toc15485"/>
      <w:r>
        <w:rPr>
          <w:rFonts w:hint="eastAsia" w:ascii="华文中宋" w:hAnsi="华文中宋" w:eastAsia="华文中宋" w:cs="华文中宋"/>
          <w:b/>
          <w:bCs/>
          <w:color w:val="auto"/>
          <w:spacing w:val="0"/>
          <w:sz w:val="44"/>
          <w:szCs w:val="44"/>
          <w:lang w:val="en-US" w:eastAsia="zh-CN"/>
        </w:rPr>
        <w:t>第三部分 磋商供应商须知</w:t>
      </w:r>
      <w:bookmarkEnd w:id="6"/>
      <w:bookmarkEnd w:id="7"/>
    </w:p>
    <w:p w14:paraId="0B74C35E">
      <w:pPr>
        <w:keepNext w:val="0"/>
        <w:keepLines w:val="0"/>
        <w:pageBreakBefore w:val="0"/>
        <w:widowControl w:val="0"/>
        <w:kinsoku/>
        <w:wordWrap w:val="0"/>
        <w:overflowPunct/>
        <w:topLinePunct/>
        <w:autoSpaceDE/>
        <w:autoSpaceDN/>
        <w:bidi w:val="0"/>
        <w:spacing w:line="360" w:lineRule="auto"/>
        <w:ind w:left="420"/>
        <w:outlineLvl w:val="9"/>
        <w:rPr>
          <w:rFonts w:hint="eastAsia" w:ascii="华文中宋" w:hAnsi="华文中宋" w:eastAsia="华文中宋" w:cs="华文中宋"/>
          <w:color w:val="auto"/>
          <w:sz w:val="24"/>
          <w:szCs w:val="24"/>
        </w:rPr>
      </w:pPr>
      <w:bookmarkStart w:id="8" w:name="_Toc23095"/>
      <w:bookmarkStart w:id="9" w:name="_Toc32361"/>
      <w:r>
        <w:rPr>
          <w:rFonts w:hint="eastAsia" w:ascii="华文中宋" w:hAnsi="华文中宋" w:eastAsia="华文中宋" w:cs="华文中宋"/>
          <w:color w:val="auto"/>
          <w:sz w:val="24"/>
          <w:szCs w:val="24"/>
        </w:rPr>
        <w:t>一、总则</w:t>
      </w:r>
      <w:bookmarkEnd w:id="8"/>
      <w:bookmarkEnd w:id="9"/>
    </w:p>
    <w:p w14:paraId="3ECD4F59">
      <w:pPr>
        <w:pStyle w:val="41"/>
        <w:keepNext w:val="0"/>
        <w:keepLines w:val="0"/>
        <w:pageBreakBefore w:val="0"/>
        <w:widowControl w:val="0"/>
        <w:kinsoku/>
        <w:wordWrap w:val="0"/>
        <w:overflowPunct/>
        <w:topLinePunct/>
        <w:autoSpaceDE/>
        <w:autoSpaceDN/>
        <w:bidi w:val="0"/>
        <w:snapToGrid w:val="0"/>
        <w:spacing w:line="360" w:lineRule="auto"/>
        <w:ind w:firstLine="520" w:firstLineChars="200"/>
        <w:textAlignment w:val="auto"/>
        <w:outlineLvl w:val="9"/>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1. 适用范围</w:t>
      </w:r>
    </w:p>
    <w:p w14:paraId="6C0A85C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本磋商文件仅适用于本次竞争性磋商活动。</w:t>
      </w:r>
    </w:p>
    <w:p w14:paraId="2D2873C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 定义</w:t>
      </w:r>
    </w:p>
    <w:p w14:paraId="4ABC647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color w:val="auto"/>
          <w:sz w:val="24"/>
          <w:szCs w:val="24"/>
        </w:rPr>
      </w:pPr>
      <w:r>
        <w:rPr>
          <w:rFonts w:hint="eastAsia" w:ascii="华文中宋" w:hAnsi="华文中宋" w:eastAsia="华文中宋" w:cs="华文中宋"/>
          <w:b w:val="0"/>
          <w:bCs/>
          <w:color w:val="auto"/>
          <w:sz w:val="24"/>
          <w:szCs w:val="24"/>
        </w:rPr>
        <w:t>2.1 “采购人”指本次竞争性磋商活动的采购单位。</w:t>
      </w:r>
    </w:p>
    <w:p w14:paraId="1944AD0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color w:val="auto"/>
          <w:sz w:val="24"/>
          <w:szCs w:val="24"/>
        </w:rPr>
      </w:pPr>
      <w:r>
        <w:rPr>
          <w:rFonts w:hint="eastAsia" w:ascii="华文中宋" w:hAnsi="华文中宋" w:eastAsia="华文中宋" w:cs="华文中宋"/>
          <w:b w:val="0"/>
          <w:bCs/>
          <w:color w:val="auto"/>
          <w:sz w:val="24"/>
          <w:szCs w:val="24"/>
        </w:rPr>
        <w:t>2.2  “采购代理机构”指组织本次招标活动的集中采购代理机构或其他采购代理机构。</w:t>
      </w:r>
    </w:p>
    <w:p w14:paraId="7A9BB1A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color w:val="auto"/>
          <w:sz w:val="24"/>
          <w:szCs w:val="24"/>
        </w:rPr>
      </w:pPr>
      <w:r>
        <w:rPr>
          <w:rFonts w:hint="eastAsia" w:ascii="华文中宋" w:hAnsi="华文中宋" w:eastAsia="华文中宋" w:cs="华文中宋"/>
          <w:b w:val="0"/>
          <w:bCs/>
          <w:color w:val="auto"/>
          <w:sz w:val="24"/>
          <w:szCs w:val="24"/>
        </w:rPr>
        <w:t>2.3 “磋商供应商”指符合本磋商文件的规定和要求，受邀请获得磋商文件参加磋商，并向采购代理机构提交响应文件、最后报价的供应商。</w:t>
      </w:r>
    </w:p>
    <w:p w14:paraId="1A7D5D7E">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color w:val="auto"/>
          <w:sz w:val="24"/>
          <w:szCs w:val="24"/>
        </w:rPr>
      </w:pPr>
      <w:r>
        <w:rPr>
          <w:rFonts w:hint="eastAsia" w:ascii="华文中宋" w:hAnsi="华文中宋" w:eastAsia="华文中宋" w:cs="华文中宋"/>
          <w:b w:val="0"/>
          <w:bCs/>
          <w:color w:val="auto"/>
          <w:sz w:val="24"/>
          <w:szCs w:val="24"/>
        </w:rPr>
        <w:t>2.4“工程量清单”指载明建设工程分部分项工程项目、措施项目、其他项目的名称和相应数量以及税金项目等内容的明细清单。</w:t>
      </w:r>
    </w:p>
    <w:p w14:paraId="29BA891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color w:val="auto"/>
          <w:sz w:val="24"/>
          <w:szCs w:val="24"/>
        </w:rPr>
      </w:pPr>
      <w:r>
        <w:rPr>
          <w:rFonts w:hint="eastAsia" w:ascii="华文中宋" w:hAnsi="华文中宋" w:eastAsia="华文中宋" w:cs="华文中宋"/>
          <w:b w:val="0"/>
          <w:bCs/>
          <w:color w:val="auto"/>
          <w:sz w:val="24"/>
          <w:szCs w:val="24"/>
        </w:rPr>
        <w:t>2.5“招标工程量清单”指采购人依据国家磋商文件、设计文件以及施工现场实际情况编制的，随磋商文件发布的磋商供应商报价的工程量清单，包括其说明和表格。</w:t>
      </w:r>
    </w:p>
    <w:p w14:paraId="33DA34B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color w:val="auto"/>
          <w:sz w:val="24"/>
          <w:szCs w:val="24"/>
        </w:rPr>
      </w:pPr>
      <w:r>
        <w:rPr>
          <w:rFonts w:hint="eastAsia" w:ascii="华文中宋" w:hAnsi="华文中宋" w:eastAsia="华文中宋" w:cs="华文中宋"/>
          <w:b w:val="0"/>
          <w:bCs/>
          <w:color w:val="auto"/>
          <w:sz w:val="24"/>
          <w:szCs w:val="24"/>
        </w:rPr>
        <w:t>2.6“已标价工程量清单”指响应文件中已标明价格，经算术性错误修正（如有）且承包磋商供应商已确认的工程量清单，包括其说明和表格。</w:t>
      </w:r>
    </w:p>
    <w:p w14:paraId="7351890E">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color w:val="auto"/>
          <w:sz w:val="24"/>
          <w:szCs w:val="24"/>
        </w:rPr>
      </w:pPr>
      <w:r>
        <w:rPr>
          <w:rFonts w:hint="eastAsia" w:ascii="华文中宋" w:hAnsi="华文中宋" w:eastAsia="华文中宋" w:cs="华文中宋"/>
          <w:b w:val="0"/>
          <w:bCs/>
          <w:color w:val="auto"/>
          <w:sz w:val="24"/>
          <w:szCs w:val="24"/>
        </w:rPr>
        <w:t>2.7 “电子签章”指可通过电子签章软件正确读取数字证书签章信息的电子签章，电子签章包含单位电子签章</w:t>
      </w:r>
      <w:r>
        <w:rPr>
          <w:rFonts w:hint="eastAsia" w:ascii="华文中宋" w:hAnsi="华文中宋" w:eastAsia="华文中宋" w:cs="华文中宋"/>
          <w:b w:val="0"/>
          <w:bCs/>
          <w:color w:val="auto"/>
          <w:sz w:val="24"/>
          <w:szCs w:val="24"/>
          <w:lang w:eastAsia="zh-CN"/>
        </w:rPr>
        <w:t>（法人电子签章）</w:t>
      </w:r>
      <w:r>
        <w:rPr>
          <w:rFonts w:hint="eastAsia" w:ascii="华文中宋" w:hAnsi="华文中宋" w:eastAsia="华文中宋" w:cs="华文中宋"/>
          <w:b w:val="0"/>
          <w:bCs/>
          <w:color w:val="auto"/>
          <w:sz w:val="24"/>
          <w:szCs w:val="24"/>
        </w:rPr>
        <w:t>和法定代表人电子签章。</w:t>
      </w:r>
    </w:p>
    <w:p w14:paraId="75E2061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color w:val="auto"/>
          <w:sz w:val="24"/>
          <w:szCs w:val="24"/>
        </w:rPr>
      </w:pPr>
      <w:r>
        <w:rPr>
          <w:rFonts w:hint="eastAsia" w:ascii="华文中宋" w:hAnsi="华文中宋" w:eastAsia="华文中宋" w:cs="华文中宋"/>
          <w:b w:val="0"/>
          <w:bCs/>
          <w:color w:val="auto"/>
          <w:sz w:val="24"/>
          <w:szCs w:val="24"/>
        </w:rPr>
        <w:t>2.8 本磋商文件各部分规定的期间以时、日、月、年计算。期间开始的时和日，不计算在期间内。</w:t>
      </w:r>
    </w:p>
    <w:p w14:paraId="7960677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 合格的磋商供应商</w:t>
      </w:r>
    </w:p>
    <w:p w14:paraId="47E75934">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3.1 具有本项目实施、服务的能力，符合并承诺履行本磋商文件各项规定的磋商供应商均可参加磋商。。</w:t>
      </w:r>
    </w:p>
    <w:p w14:paraId="1536220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 磋商供应商必须是已在中国境内依法登记注册，并持有符合法律法规规定的有效证件的供应商。</w:t>
      </w:r>
    </w:p>
    <w:p w14:paraId="69C1251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的要求。</w:t>
      </w:r>
    </w:p>
    <w:p w14:paraId="645647F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3.4 单位负责人为同一人或者存在控股、管理关系的不同单位，不得同时参加本项目同一合同项下的磋商活动，为本项目提供整体设计、规范编制或者项目管理、监理、检测寄及造价咨询等服务的磋商供应商，不得再参加本项目的磋商活动。</w:t>
      </w:r>
    </w:p>
    <w:p w14:paraId="57C66B1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3.5本次竞争性磋商活动是否允许由两个以上磋商供应商组成一个联合体以一个磋商供应商身份共同参加磋商，详见第二部分磋商供应商须知前附表第12条的规定。</w:t>
      </w:r>
    </w:p>
    <w:p w14:paraId="1EA86436">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3.5.1 联合体各方均应当符合《中华人民共和国政府采购法》第二十二条规定的条件，如本项目要求联合体的各方均应按照第二部分磋商供应商须知前附表的规定提供相关材料（不允许联合体参与磋商的可不看此项）。</w:t>
      </w:r>
    </w:p>
    <w:p w14:paraId="49DF57E6">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552F129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.3 联合体各方之间应当签订联合磋商协议，明确约定联合体各方承担的工作和相应的责任，并将联合磋商协议连同响应文件一并提交，联合响应协议格式见本磋商文件第八部分。</w:t>
      </w:r>
    </w:p>
    <w:p w14:paraId="2DED379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4. 竞争性磋商费用</w:t>
      </w:r>
    </w:p>
    <w:p w14:paraId="159E9D9D">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磋商供应商应当承担参与本次磋商活动发生的相关费用，采购代理机构和采购人在任何情况下均无义务和责任承担这些费用。</w:t>
      </w:r>
    </w:p>
    <w:p w14:paraId="585DDE0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5. 通知</w:t>
      </w:r>
      <w:r>
        <w:rPr>
          <w:rFonts w:hint="eastAsia" w:ascii="华文中宋" w:hAnsi="华文中宋" w:eastAsia="华文中宋" w:cs="华文中宋"/>
          <w:b/>
          <w:color w:val="auto"/>
          <w:spacing w:val="10"/>
          <w:sz w:val="24"/>
          <w:szCs w:val="24"/>
        </w:rPr>
        <w:t>的告知及获取</w:t>
      </w:r>
    </w:p>
    <w:p w14:paraId="084D399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对与本项目有关的通知，代理机构将在本次磋商公告刊登的媒体上以发布公告的形式告知所有已下载磋商文件的磋商供应商，因自身原因未关注到有关通知并造成损失的，代理机构不因此承担任何责任，有关的磋商活动可以继续有效地进行。</w:t>
      </w:r>
      <w:bookmarkStart w:id="10" w:name="_Toc27679"/>
      <w:bookmarkStart w:id="11" w:name="_Toc3234"/>
    </w:p>
    <w:p w14:paraId="7981500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二、磋商文件</w:t>
      </w:r>
      <w:bookmarkEnd w:id="10"/>
      <w:bookmarkEnd w:id="11"/>
    </w:p>
    <w:p w14:paraId="45BBE56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6. 磋商文件的内容</w:t>
      </w:r>
    </w:p>
    <w:p w14:paraId="2102B4D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lang w:val="en-US" w:eastAsia="zh-CN" w:bidi="ar-SA"/>
        </w:rPr>
      </w:pPr>
      <w:r>
        <w:rPr>
          <w:rFonts w:hint="eastAsia" w:ascii="华文中宋" w:hAnsi="华文中宋" w:eastAsia="华文中宋" w:cs="华文中宋"/>
          <w:color w:val="auto"/>
          <w:kern w:val="2"/>
          <w:sz w:val="24"/>
          <w:szCs w:val="24"/>
          <w:lang w:val="en-US" w:eastAsia="zh-CN" w:bidi="ar-SA"/>
        </w:rPr>
        <w:t>6.1磋商文件由下列九部分内容组成：</w:t>
      </w:r>
    </w:p>
    <w:p w14:paraId="7309515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fldChar w:fldCharType="begin"/>
      </w:r>
      <w:r>
        <w:rPr>
          <w:rFonts w:hint="eastAsia" w:ascii="华文中宋" w:hAnsi="华文中宋" w:eastAsia="华文中宋" w:cs="华文中宋"/>
          <w:color w:val="auto"/>
          <w:sz w:val="24"/>
          <w:szCs w:val="24"/>
          <w:lang w:val="en-US" w:eastAsia="zh-CN"/>
        </w:rPr>
        <w:instrText xml:space="preserve"> HYPERLINK \l _Toc2459 </w:instrText>
      </w:r>
      <w:r>
        <w:rPr>
          <w:rFonts w:hint="eastAsia" w:ascii="华文中宋" w:hAnsi="华文中宋" w:eastAsia="华文中宋" w:cs="华文中宋"/>
          <w:color w:val="auto"/>
          <w:sz w:val="24"/>
          <w:szCs w:val="24"/>
          <w:lang w:val="en-US" w:eastAsia="zh-CN"/>
        </w:rPr>
        <w:fldChar w:fldCharType="separate"/>
      </w:r>
      <w:r>
        <w:rPr>
          <w:rFonts w:hint="eastAsia" w:ascii="华文中宋" w:hAnsi="华文中宋" w:eastAsia="华文中宋" w:cs="华文中宋"/>
          <w:color w:val="auto"/>
          <w:sz w:val="24"/>
          <w:szCs w:val="24"/>
          <w:lang w:val="en-US" w:eastAsia="zh-CN"/>
        </w:rPr>
        <w:t>第一部分 磋商公告</w:t>
      </w:r>
      <w:r>
        <w:rPr>
          <w:rFonts w:hint="eastAsia" w:ascii="华文中宋" w:hAnsi="华文中宋" w:eastAsia="华文中宋" w:cs="华文中宋"/>
          <w:color w:val="auto"/>
          <w:sz w:val="24"/>
          <w:szCs w:val="24"/>
          <w:lang w:val="en-US" w:eastAsia="zh-CN"/>
        </w:rPr>
        <w:fldChar w:fldCharType="end"/>
      </w:r>
    </w:p>
    <w:p w14:paraId="72FDD85E">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fldChar w:fldCharType="begin"/>
      </w:r>
      <w:r>
        <w:rPr>
          <w:rFonts w:hint="eastAsia" w:ascii="华文中宋" w:hAnsi="华文中宋" w:eastAsia="华文中宋" w:cs="华文中宋"/>
          <w:color w:val="auto"/>
          <w:sz w:val="24"/>
          <w:szCs w:val="24"/>
          <w:lang w:val="en-US" w:eastAsia="zh-CN"/>
        </w:rPr>
        <w:instrText xml:space="preserve"> HYPERLINK \l _Toc26488 </w:instrText>
      </w:r>
      <w:r>
        <w:rPr>
          <w:rFonts w:hint="eastAsia" w:ascii="华文中宋" w:hAnsi="华文中宋" w:eastAsia="华文中宋" w:cs="华文中宋"/>
          <w:color w:val="auto"/>
          <w:sz w:val="24"/>
          <w:szCs w:val="24"/>
          <w:lang w:val="en-US" w:eastAsia="zh-CN"/>
        </w:rPr>
        <w:fldChar w:fldCharType="separate"/>
      </w:r>
      <w:r>
        <w:rPr>
          <w:rFonts w:hint="eastAsia" w:ascii="华文中宋" w:hAnsi="华文中宋" w:eastAsia="华文中宋" w:cs="华文中宋"/>
          <w:color w:val="auto"/>
          <w:sz w:val="24"/>
          <w:szCs w:val="24"/>
          <w:lang w:val="en-US" w:eastAsia="zh-CN"/>
        </w:rPr>
        <w:t>第二部分 磋商供应商须知前附表</w:t>
      </w:r>
      <w:r>
        <w:rPr>
          <w:rFonts w:hint="eastAsia" w:ascii="华文中宋" w:hAnsi="华文中宋" w:eastAsia="华文中宋" w:cs="华文中宋"/>
          <w:color w:val="auto"/>
          <w:sz w:val="24"/>
          <w:szCs w:val="24"/>
          <w:lang w:val="en-US" w:eastAsia="zh-CN"/>
        </w:rPr>
        <w:fldChar w:fldCharType="end"/>
      </w:r>
    </w:p>
    <w:p w14:paraId="6708791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fldChar w:fldCharType="begin"/>
      </w:r>
      <w:r>
        <w:rPr>
          <w:rFonts w:hint="eastAsia" w:ascii="华文中宋" w:hAnsi="华文中宋" w:eastAsia="华文中宋" w:cs="华文中宋"/>
          <w:color w:val="auto"/>
          <w:sz w:val="24"/>
          <w:szCs w:val="24"/>
          <w:lang w:val="en-US" w:eastAsia="zh-CN"/>
        </w:rPr>
        <w:instrText xml:space="preserve"> HYPERLINK \l _Toc1510 </w:instrText>
      </w:r>
      <w:r>
        <w:rPr>
          <w:rFonts w:hint="eastAsia" w:ascii="华文中宋" w:hAnsi="华文中宋" w:eastAsia="华文中宋" w:cs="华文中宋"/>
          <w:color w:val="auto"/>
          <w:sz w:val="24"/>
          <w:szCs w:val="24"/>
          <w:lang w:val="en-US" w:eastAsia="zh-CN"/>
        </w:rPr>
        <w:fldChar w:fldCharType="separate"/>
      </w:r>
      <w:r>
        <w:rPr>
          <w:rFonts w:hint="eastAsia" w:ascii="华文中宋" w:hAnsi="华文中宋" w:eastAsia="华文中宋" w:cs="华文中宋"/>
          <w:color w:val="auto"/>
          <w:sz w:val="24"/>
          <w:szCs w:val="24"/>
          <w:lang w:val="en-US" w:eastAsia="zh-CN"/>
        </w:rPr>
        <w:t>第三部分 磋商供应商须知</w:t>
      </w:r>
      <w:r>
        <w:rPr>
          <w:rFonts w:hint="eastAsia" w:ascii="华文中宋" w:hAnsi="华文中宋" w:eastAsia="华文中宋" w:cs="华文中宋"/>
          <w:color w:val="auto"/>
          <w:sz w:val="24"/>
          <w:szCs w:val="24"/>
          <w:lang w:val="en-US" w:eastAsia="zh-CN"/>
        </w:rPr>
        <w:fldChar w:fldCharType="end"/>
      </w:r>
    </w:p>
    <w:p w14:paraId="7BFD545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fldChar w:fldCharType="begin"/>
      </w:r>
      <w:r>
        <w:rPr>
          <w:rFonts w:hint="eastAsia" w:ascii="华文中宋" w:hAnsi="华文中宋" w:eastAsia="华文中宋" w:cs="华文中宋"/>
          <w:color w:val="auto"/>
          <w:sz w:val="24"/>
          <w:szCs w:val="24"/>
          <w:lang w:val="en-US" w:eastAsia="zh-CN"/>
        </w:rPr>
        <w:instrText xml:space="preserve"> HYPERLINK \l _Toc14142 </w:instrText>
      </w:r>
      <w:r>
        <w:rPr>
          <w:rFonts w:hint="eastAsia" w:ascii="华文中宋" w:hAnsi="华文中宋" w:eastAsia="华文中宋" w:cs="华文中宋"/>
          <w:color w:val="auto"/>
          <w:sz w:val="24"/>
          <w:szCs w:val="24"/>
          <w:lang w:val="en-US" w:eastAsia="zh-CN"/>
        </w:rPr>
        <w:fldChar w:fldCharType="separate"/>
      </w:r>
      <w:r>
        <w:rPr>
          <w:rFonts w:hint="eastAsia" w:ascii="华文中宋" w:hAnsi="华文中宋" w:eastAsia="华文中宋" w:cs="华文中宋"/>
          <w:color w:val="auto"/>
          <w:sz w:val="24"/>
          <w:szCs w:val="24"/>
          <w:lang w:val="en-US" w:eastAsia="zh-CN"/>
        </w:rPr>
        <w:t>第四部分 评审标准和评审方法</w:t>
      </w:r>
      <w:r>
        <w:rPr>
          <w:rFonts w:hint="eastAsia" w:ascii="华文中宋" w:hAnsi="华文中宋" w:eastAsia="华文中宋" w:cs="华文中宋"/>
          <w:color w:val="auto"/>
          <w:sz w:val="24"/>
          <w:szCs w:val="24"/>
          <w:lang w:val="en-US" w:eastAsia="zh-CN"/>
        </w:rPr>
        <w:fldChar w:fldCharType="end"/>
      </w:r>
    </w:p>
    <w:p w14:paraId="66FBA546">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fldChar w:fldCharType="begin"/>
      </w:r>
      <w:r>
        <w:rPr>
          <w:rFonts w:hint="eastAsia" w:ascii="华文中宋" w:hAnsi="华文中宋" w:eastAsia="华文中宋" w:cs="华文中宋"/>
          <w:color w:val="auto"/>
          <w:sz w:val="24"/>
          <w:szCs w:val="24"/>
          <w:lang w:val="en-US" w:eastAsia="zh-CN"/>
        </w:rPr>
        <w:instrText xml:space="preserve"> HYPERLINK \l _Toc9042 </w:instrText>
      </w:r>
      <w:r>
        <w:rPr>
          <w:rFonts w:hint="eastAsia" w:ascii="华文中宋" w:hAnsi="华文中宋" w:eastAsia="华文中宋" w:cs="华文中宋"/>
          <w:color w:val="auto"/>
          <w:sz w:val="24"/>
          <w:szCs w:val="24"/>
          <w:lang w:val="en-US" w:eastAsia="zh-CN"/>
        </w:rPr>
        <w:fldChar w:fldCharType="separate"/>
      </w:r>
      <w:r>
        <w:rPr>
          <w:rFonts w:hint="eastAsia" w:ascii="华文中宋" w:hAnsi="华文中宋" w:eastAsia="华文中宋" w:cs="华文中宋"/>
          <w:color w:val="auto"/>
          <w:sz w:val="24"/>
          <w:szCs w:val="24"/>
          <w:lang w:val="en-US" w:eastAsia="zh-CN"/>
        </w:rPr>
        <w:t>第五部分 技术标准和要求</w:t>
      </w:r>
      <w:r>
        <w:rPr>
          <w:rFonts w:hint="eastAsia" w:ascii="华文中宋" w:hAnsi="华文中宋" w:eastAsia="华文中宋" w:cs="华文中宋"/>
          <w:color w:val="auto"/>
          <w:sz w:val="24"/>
          <w:szCs w:val="24"/>
          <w:lang w:val="en-US" w:eastAsia="zh-CN"/>
        </w:rPr>
        <w:fldChar w:fldCharType="end"/>
      </w:r>
    </w:p>
    <w:p w14:paraId="1E7648C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fldChar w:fldCharType="begin"/>
      </w:r>
      <w:r>
        <w:rPr>
          <w:rFonts w:hint="eastAsia" w:ascii="华文中宋" w:hAnsi="华文中宋" w:eastAsia="华文中宋" w:cs="华文中宋"/>
          <w:color w:val="auto"/>
          <w:sz w:val="24"/>
          <w:szCs w:val="24"/>
          <w:lang w:val="en-US" w:eastAsia="zh-CN"/>
        </w:rPr>
        <w:instrText xml:space="preserve"> HYPERLINK \l _Toc25166 </w:instrText>
      </w:r>
      <w:r>
        <w:rPr>
          <w:rFonts w:hint="eastAsia" w:ascii="华文中宋" w:hAnsi="华文中宋" w:eastAsia="华文中宋" w:cs="华文中宋"/>
          <w:color w:val="auto"/>
          <w:sz w:val="24"/>
          <w:szCs w:val="24"/>
          <w:lang w:val="en-US" w:eastAsia="zh-CN"/>
        </w:rPr>
        <w:fldChar w:fldCharType="separate"/>
      </w:r>
      <w:r>
        <w:rPr>
          <w:rFonts w:hint="eastAsia" w:ascii="华文中宋" w:hAnsi="华文中宋" w:eastAsia="华文中宋" w:cs="华文中宋"/>
          <w:color w:val="auto"/>
          <w:sz w:val="24"/>
          <w:szCs w:val="24"/>
          <w:lang w:val="en-US" w:eastAsia="zh-CN"/>
        </w:rPr>
        <w:t>第六部分 工程量清单</w:t>
      </w:r>
      <w:r>
        <w:rPr>
          <w:rFonts w:hint="eastAsia" w:ascii="华文中宋" w:hAnsi="华文中宋" w:eastAsia="华文中宋" w:cs="华文中宋"/>
          <w:color w:val="auto"/>
          <w:sz w:val="24"/>
          <w:szCs w:val="24"/>
          <w:lang w:val="en-US" w:eastAsia="zh-CN"/>
        </w:rPr>
        <w:fldChar w:fldCharType="end"/>
      </w:r>
    </w:p>
    <w:p w14:paraId="1BBCB45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fldChar w:fldCharType="begin"/>
      </w:r>
      <w:r>
        <w:rPr>
          <w:rFonts w:hint="eastAsia" w:ascii="华文中宋" w:hAnsi="华文中宋" w:eastAsia="华文中宋" w:cs="华文中宋"/>
          <w:color w:val="auto"/>
          <w:sz w:val="24"/>
          <w:szCs w:val="24"/>
          <w:lang w:val="en-US" w:eastAsia="zh-CN"/>
        </w:rPr>
        <w:instrText xml:space="preserve"> HYPERLINK \l _Toc25691 </w:instrText>
      </w:r>
      <w:r>
        <w:rPr>
          <w:rFonts w:hint="eastAsia" w:ascii="华文中宋" w:hAnsi="华文中宋" w:eastAsia="华文中宋" w:cs="华文中宋"/>
          <w:color w:val="auto"/>
          <w:sz w:val="24"/>
          <w:szCs w:val="24"/>
          <w:lang w:val="en-US" w:eastAsia="zh-CN"/>
        </w:rPr>
        <w:fldChar w:fldCharType="separate"/>
      </w:r>
      <w:r>
        <w:rPr>
          <w:rFonts w:hint="eastAsia" w:ascii="华文中宋" w:hAnsi="华文中宋" w:eastAsia="华文中宋" w:cs="华文中宋"/>
          <w:color w:val="auto"/>
          <w:sz w:val="24"/>
          <w:szCs w:val="24"/>
          <w:lang w:val="en-US" w:eastAsia="zh-CN"/>
        </w:rPr>
        <w:t>第七部分 合同条款</w:t>
      </w:r>
      <w:r>
        <w:rPr>
          <w:rFonts w:hint="eastAsia" w:ascii="华文中宋" w:hAnsi="华文中宋" w:eastAsia="华文中宋" w:cs="华文中宋"/>
          <w:color w:val="auto"/>
          <w:sz w:val="24"/>
          <w:szCs w:val="24"/>
          <w:lang w:val="en-US" w:eastAsia="zh-CN"/>
        </w:rPr>
        <w:fldChar w:fldCharType="end"/>
      </w:r>
    </w:p>
    <w:p w14:paraId="162FE54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fldChar w:fldCharType="begin"/>
      </w:r>
      <w:r>
        <w:rPr>
          <w:rFonts w:hint="eastAsia" w:ascii="华文中宋" w:hAnsi="华文中宋" w:eastAsia="华文中宋" w:cs="华文中宋"/>
          <w:color w:val="auto"/>
          <w:sz w:val="24"/>
          <w:szCs w:val="24"/>
          <w:lang w:val="en-US" w:eastAsia="zh-CN"/>
        </w:rPr>
        <w:instrText xml:space="preserve"> HYPERLINK \l _Toc1826 </w:instrText>
      </w:r>
      <w:r>
        <w:rPr>
          <w:rFonts w:hint="eastAsia" w:ascii="华文中宋" w:hAnsi="华文中宋" w:eastAsia="华文中宋" w:cs="华文中宋"/>
          <w:color w:val="auto"/>
          <w:sz w:val="24"/>
          <w:szCs w:val="24"/>
          <w:lang w:val="en-US" w:eastAsia="zh-CN"/>
        </w:rPr>
        <w:fldChar w:fldCharType="separate"/>
      </w:r>
      <w:r>
        <w:rPr>
          <w:rFonts w:hint="eastAsia" w:ascii="华文中宋" w:hAnsi="华文中宋" w:eastAsia="华文中宋" w:cs="华文中宋"/>
          <w:color w:val="auto"/>
          <w:sz w:val="24"/>
          <w:szCs w:val="24"/>
          <w:lang w:val="en-US" w:eastAsia="zh-CN"/>
        </w:rPr>
        <w:t>第八部分 响应文件内容要求及格式</w:t>
      </w:r>
      <w:r>
        <w:rPr>
          <w:rFonts w:hint="eastAsia" w:ascii="华文中宋" w:hAnsi="华文中宋" w:eastAsia="华文中宋" w:cs="华文中宋"/>
          <w:color w:val="auto"/>
          <w:sz w:val="24"/>
          <w:szCs w:val="24"/>
          <w:lang w:val="en-US" w:eastAsia="zh-CN"/>
        </w:rPr>
        <w:fldChar w:fldCharType="end"/>
      </w:r>
    </w:p>
    <w:p w14:paraId="04C761F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6.2 磋商文件中落实政府采购政策的相关要求详见前附表序号</w:t>
      </w:r>
      <w:r>
        <w:rPr>
          <w:rFonts w:hint="eastAsia" w:ascii="华文中宋" w:hAnsi="华文中宋" w:eastAsia="华文中宋" w:cs="华文中宋"/>
          <w:color w:val="auto"/>
          <w:sz w:val="24"/>
          <w:szCs w:val="24"/>
          <w:lang w:val="en-US" w:eastAsia="zh-CN"/>
        </w:rPr>
        <w:t>25</w:t>
      </w:r>
      <w:r>
        <w:rPr>
          <w:rFonts w:hint="eastAsia" w:ascii="华文中宋" w:hAnsi="华文中宋" w:eastAsia="华文中宋" w:cs="华文中宋"/>
          <w:color w:val="auto"/>
          <w:sz w:val="24"/>
          <w:szCs w:val="24"/>
        </w:rPr>
        <w:t>的规定。</w:t>
      </w:r>
    </w:p>
    <w:p w14:paraId="59FF1A7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6.3 </w:t>
      </w:r>
      <w:r>
        <w:rPr>
          <w:rFonts w:hint="eastAsia" w:ascii="华文中宋" w:hAnsi="华文中宋" w:eastAsia="华文中宋" w:cs="华文中宋"/>
          <w:color w:val="auto"/>
          <w:sz w:val="24"/>
          <w:szCs w:val="24"/>
          <w:lang w:eastAsia="zh-CN"/>
        </w:rPr>
        <w:t>磋商供应商</w:t>
      </w:r>
      <w:r>
        <w:rPr>
          <w:rFonts w:hint="eastAsia" w:ascii="华文中宋" w:hAnsi="华文中宋" w:eastAsia="华文中宋" w:cs="华文中宋"/>
          <w:color w:val="auto"/>
          <w:sz w:val="24"/>
          <w:szCs w:val="24"/>
        </w:rPr>
        <w:t>如在信用中国网（http://www.creditchina.gov.cn）存在失信黑名单记录情况或在中国政府采购网（http://www.ccgp.gov.cn）存在政府采购严重违法失信行为信息记录情况，且在执行期间的，对响应文件做无效响应处理。</w:t>
      </w:r>
    </w:p>
    <w:p w14:paraId="3A63370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6.4 除非特殊要求，磋商文件不单独提供项目使用地的自然环境、气候条件、公用设施情况，磋商供应商被视为熟悉上述与履行合同有关的一切情况。</w:t>
      </w:r>
    </w:p>
    <w:p w14:paraId="6E4B3CEC">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6.5 磋商文件的解释权归采购代理机构所有。当对一个问题有多种解释时以采购代理机构解释为准。</w:t>
      </w:r>
    </w:p>
    <w:p w14:paraId="1B734F4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6.6 磋商文件未作须知明示，而又有法律、法规规定的，采购代理机构将依据法律法规的规定进行解释。</w:t>
      </w:r>
    </w:p>
    <w:p w14:paraId="728990C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7. 磋商文件的澄清和修改</w:t>
      </w:r>
    </w:p>
    <w:p w14:paraId="6FC1CEF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7.1采购代理机构可以对已发出的磋商文件进行必要的澄清或者修改，澄清或者修改在原公告发布媒体上发布澄清公告。澄清或者修改的内容为磋商文件的组成部分，对所有磋商供应商均具有约束作用。</w:t>
      </w:r>
    </w:p>
    <w:p w14:paraId="6829BBE6">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7.2澄清或修改的内容可能影响响应文件编制的，采购代理机构将在提交响应文件的截止时间5日前，以发布公告的形式通知所有获取到磋商文件的供应商，不足5日的，将顺延响应文件提交的截止时间。</w:t>
      </w:r>
    </w:p>
    <w:p w14:paraId="68C56D6E">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7.3磋商供应商对磋商文件有疑问，可根据本须知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1F99D754">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7.4采购代理机构将视情况确定是否进行现场勘查或召开磋商前答疑会，详细内容见第二部分磋商供应商须知前附表的要求。</w:t>
      </w:r>
    </w:p>
    <w:p w14:paraId="3B4381D8">
      <w:pPr>
        <w:snapToGrid w:val="0"/>
        <w:spacing w:line="360" w:lineRule="auto"/>
        <w:ind w:firstLine="240" w:firstLineChars="100"/>
        <w:jc w:val="left"/>
        <w:outlineLvl w:val="9"/>
        <w:rPr>
          <w:rFonts w:hint="eastAsia" w:ascii="华文中宋" w:hAnsi="华文中宋" w:eastAsia="华文中宋" w:cs="华文中宋"/>
          <w:b/>
          <w:color w:val="auto"/>
          <w:spacing w:val="0"/>
          <w:position w:val="0"/>
          <w:sz w:val="24"/>
          <w:szCs w:val="24"/>
        </w:rPr>
      </w:pPr>
      <w:r>
        <w:rPr>
          <w:rFonts w:hint="eastAsia" w:ascii="华文中宋" w:hAnsi="华文中宋" w:eastAsia="华文中宋" w:cs="华文中宋"/>
          <w:b/>
          <w:color w:val="auto"/>
          <w:spacing w:val="0"/>
          <w:position w:val="0"/>
          <w:sz w:val="24"/>
          <w:szCs w:val="24"/>
        </w:rPr>
        <w:t>8、踏勘和答疑</w:t>
      </w:r>
    </w:p>
    <w:p w14:paraId="3A28392E">
      <w:pPr>
        <w:snapToGrid w:val="0"/>
        <w:spacing w:line="360" w:lineRule="auto"/>
        <w:ind w:firstLine="200"/>
        <w:jc w:val="left"/>
        <w:outlineLvl w:val="9"/>
        <w:rPr>
          <w:rFonts w:hint="eastAsia" w:ascii="华文中宋" w:hAnsi="华文中宋" w:eastAsia="华文中宋" w:cs="华文中宋"/>
          <w:b/>
          <w:color w:val="auto"/>
          <w:spacing w:val="0"/>
          <w:position w:val="0"/>
          <w:sz w:val="24"/>
          <w:szCs w:val="24"/>
        </w:rPr>
      </w:pPr>
      <w:r>
        <w:rPr>
          <w:rFonts w:hint="eastAsia" w:ascii="华文中宋" w:hAnsi="华文中宋" w:eastAsia="华文中宋" w:cs="华文中宋"/>
          <w:color w:val="auto"/>
          <w:spacing w:val="0"/>
          <w:position w:val="0"/>
          <w:sz w:val="24"/>
          <w:szCs w:val="24"/>
        </w:rPr>
        <w:t>（1）</w:t>
      </w:r>
      <w:r>
        <w:rPr>
          <w:rFonts w:hint="eastAsia" w:ascii="华文中宋" w:hAnsi="华文中宋" w:eastAsia="华文中宋" w:cs="华文中宋"/>
          <w:b/>
          <w:color w:val="auto"/>
          <w:spacing w:val="0"/>
          <w:position w:val="0"/>
          <w:sz w:val="24"/>
          <w:szCs w:val="24"/>
        </w:rPr>
        <w:t>踏勘现场</w:t>
      </w:r>
    </w:p>
    <w:p w14:paraId="6218B3EB">
      <w:pPr>
        <w:snapToGrid w:val="0"/>
        <w:spacing w:line="360" w:lineRule="auto"/>
        <w:ind w:firstLine="200"/>
        <w:jc w:val="left"/>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 8.1磋商供应商须知前附表规定组织踏勘现场的，采购人按磋商供应商须知前附表规定的时间、地点组织磋商供应商踏勘项目现场。</w:t>
      </w:r>
    </w:p>
    <w:p w14:paraId="6BFC0332">
      <w:pPr>
        <w:snapToGrid w:val="0"/>
        <w:spacing w:line="360" w:lineRule="auto"/>
        <w:ind w:firstLine="200"/>
        <w:jc w:val="left"/>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 8.2采购人应将踏勘所有资料交于采购代理机构存档。</w:t>
      </w:r>
    </w:p>
    <w:p w14:paraId="5BBEAA9B">
      <w:pPr>
        <w:snapToGrid w:val="0"/>
        <w:spacing w:line="360" w:lineRule="auto"/>
        <w:ind w:firstLine="200"/>
        <w:jc w:val="left"/>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 8.3磋商供应商踏勘现场发生的费用自理。</w:t>
      </w:r>
    </w:p>
    <w:p w14:paraId="2A404CA1">
      <w:pPr>
        <w:snapToGrid w:val="0"/>
        <w:spacing w:line="360" w:lineRule="auto"/>
        <w:ind w:firstLine="200"/>
        <w:jc w:val="left"/>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 8.4除采购人的原因外，磋商供应商自行负责在踏勘现场中所发生的人员伤亡和财产损失。</w:t>
      </w:r>
    </w:p>
    <w:p w14:paraId="075BB48A">
      <w:pPr>
        <w:snapToGrid w:val="0"/>
        <w:spacing w:line="360" w:lineRule="auto"/>
        <w:ind w:firstLine="200"/>
        <w:jc w:val="left"/>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 8.5采购人在踏勘现场中介绍的工程场地和相关的周边环境情况，供磋商供应商在编制响应文件的参考，采购人不对磋商供应商据此作出的判断和决策负责。</w:t>
      </w:r>
    </w:p>
    <w:p w14:paraId="28510AB1">
      <w:pPr>
        <w:snapToGrid w:val="0"/>
        <w:spacing w:line="360" w:lineRule="auto"/>
        <w:ind w:firstLine="200"/>
        <w:jc w:val="left"/>
        <w:outlineLvl w:val="9"/>
        <w:rPr>
          <w:rFonts w:hint="eastAsia" w:ascii="华文中宋" w:hAnsi="华文中宋" w:eastAsia="华文中宋" w:cs="华文中宋"/>
          <w:b/>
          <w:color w:val="auto"/>
          <w:spacing w:val="0"/>
          <w:position w:val="0"/>
          <w:sz w:val="24"/>
          <w:szCs w:val="24"/>
        </w:rPr>
      </w:pPr>
      <w:r>
        <w:rPr>
          <w:rFonts w:hint="eastAsia" w:ascii="华文中宋" w:hAnsi="华文中宋" w:eastAsia="华文中宋" w:cs="华文中宋"/>
          <w:b/>
          <w:color w:val="auto"/>
          <w:spacing w:val="0"/>
          <w:position w:val="0"/>
          <w:sz w:val="24"/>
          <w:szCs w:val="24"/>
        </w:rPr>
        <w:t>（2）磋商答疑</w:t>
      </w:r>
    </w:p>
    <w:p w14:paraId="7D1BDF5B">
      <w:pPr>
        <w:snapToGrid w:val="0"/>
        <w:spacing w:line="360" w:lineRule="auto"/>
        <w:ind w:firstLine="200"/>
        <w:jc w:val="left"/>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 8.6磋商供应商须知前附表规定召开磋商答疑会的，采购人按磋商供应商须知前附表规定的时间和地点召开磋商答疑会，澄清磋商供应商提出的问题。</w:t>
      </w:r>
    </w:p>
    <w:p w14:paraId="5F68C829">
      <w:pPr>
        <w:snapToGrid w:val="0"/>
        <w:spacing w:line="360" w:lineRule="auto"/>
        <w:ind w:firstLine="200"/>
        <w:jc w:val="left"/>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 8.7磋商供应商应在召开磋商答疑会前，以书面形式</w:t>
      </w:r>
      <w:r>
        <w:rPr>
          <w:rFonts w:hint="eastAsia" w:ascii="华文中宋" w:hAnsi="华文中宋" w:eastAsia="华文中宋" w:cs="华文中宋"/>
          <w:color w:val="auto"/>
          <w:spacing w:val="0"/>
          <w:position w:val="0"/>
          <w:sz w:val="24"/>
          <w:szCs w:val="24"/>
          <w:lang w:eastAsia="zh-CN"/>
        </w:rPr>
        <w:t>（</w:t>
      </w:r>
      <w:r>
        <w:rPr>
          <w:rFonts w:hint="eastAsia" w:ascii="华文中宋" w:hAnsi="华文中宋" w:eastAsia="华文中宋" w:cs="华文中宋"/>
          <w:color w:val="auto"/>
          <w:spacing w:val="0"/>
          <w:position w:val="0"/>
          <w:sz w:val="24"/>
          <w:szCs w:val="24"/>
          <w:lang w:val="en-US" w:eastAsia="zh-CN"/>
        </w:rPr>
        <w:t>或电子形式）</w:t>
      </w:r>
      <w:r>
        <w:rPr>
          <w:rFonts w:hint="eastAsia" w:ascii="华文中宋" w:hAnsi="华文中宋" w:eastAsia="华文中宋" w:cs="华文中宋"/>
          <w:color w:val="auto"/>
          <w:spacing w:val="0"/>
          <w:position w:val="0"/>
          <w:sz w:val="24"/>
          <w:szCs w:val="24"/>
        </w:rPr>
        <w:t>提出问题，送达采购人及采购代理机构处，以便采购人在会议期间澄清。</w:t>
      </w:r>
    </w:p>
    <w:p w14:paraId="45EE47BB">
      <w:pPr>
        <w:snapToGrid w:val="0"/>
        <w:spacing w:line="360" w:lineRule="auto"/>
        <w:ind w:firstLine="200"/>
        <w:jc w:val="left"/>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 8.8磋商答疑会后，采购人在磋商供应商须知前附表规定的时间内，将对磋商供应商所提问题的澄清，认为必要时，会将不标明查询来源的答复在“</w:t>
      </w:r>
      <w:r>
        <w:rPr>
          <w:rFonts w:hint="eastAsia" w:ascii="华文中宋" w:hAnsi="华文中宋" w:eastAsia="华文中宋" w:cs="华文中宋"/>
          <w:color w:val="auto"/>
          <w:spacing w:val="0"/>
          <w:position w:val="0"/>
          <w:sz w:val="24"/>
          <w:szCs w:val="24"/>
          <w:lang w:eastAsia="zh-CN"/>
        </w:rPr>
        <w:t>山西政府采购平台</w:t>
      </w:r>
      <w:r>
        <w:rPr>
          <w:rFonts w:hint="eastAsia" w:ascii="华文中宋" w:hAnsi="华文中宋" w:eastAsia="华文中宋" w:cs="华文中宋"/>
          <w:color w:val="auto"/>
          <w:spacing w:val="0"/>
          <w:position w:val="0"/>
          <w:sz w:val="24"/>
          <w:szCs w:val="24"/>
        </w:rPr>
        <w:t>”内通知已获取磋商文件的所有磋商供应商。所有已获取本项目磋商文件的供应商均可在下载磋商文件处下载相关答复，因自身原因未关注到此答复并造成损失的，责任自负。该澄清内容为磋商文件的组成部分。</w:t>
      </w:r>
    </w:p>
    <w:p w14:paraId="555345BD">
      <w:pPr>
        <w:snapToGrid w:val="0"/>
        <w:spacing w:line="360" w:lineRule="auto"/>
        <w:ind w:firstLine="200"/>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pacing w:val="0"/>
          <w:position w:val="0"/>
          <w:sz w:val="24"/>
          <w:szCs w:val="24"/>
        </w:rPr>
        <w:t xml:space="preserve"> 8.9分包：磋商供应商拟在成交后将成交项目的部分非主体、非关键性工作进行分包的，应符合磋商供应商须知前附表规定的分包内容、分包金额和接受分包的第三人资质要求等限制性条件。</w:t>
      </w:r>
    </w:p>
    <w:p w14:paraId="44A91465">
      <w:pPr>
        <w:keepNext w:val="0"/>
        <w:keepLines w:val="0"/>
        <w:pageBreakBefore w:val="0"/>
        <w:widowControl w:val="0"/>
        <w:kinsoku/>
        <w:wordWrap w:val="0"/>
        <w:overflowPunct/>
        <w:topLinePunct/>
        <w:autoSpaceDE/>
        <w:autoSpaceDN/>
        <w:bidi w:val="0"/>
        <w:spacing w:line="360" w:lineRule="auto"/>
        <w:ind w:left="420"/>
        <w:outlineLvl w:val="9"/>
        <w:rPr>
          <w:rFonts w:hint="eastAsia" w:ascii="华文中宋" w:hAnsi="华文中宋" w:eastAsia="华文中宋" w:cs="华文中宋"/>
          <w:color w:val="auto"/>
          <w:sz w:val="24"/>
          <w:szCs w:val="24"/>
        </w:rPr>
      </w:pPr>
      <w:bookmarkStart w:id="12" w:name="_Toc6064"/>
      <w:bookmarkStart w:id="13" w:name="_Toc3136"/>
      <w:r>
        <w:rPr>
          <w:rFonts w:hint="eastAsia" w:ascii="华文中宋" w:hAnsi="华文中宋" w:eastAsia="华文中宋" w:cs="华文中宋"/>
          <w:color w:val="auto"/>
          <w:sz w:val="24"/>
          <w:szCs w:val="24"/>
        </w:rPr>
        <w:t>三、响应文件</w:t>
      </w:r>
      <w:bookmarkEnd w:id="12"/>
      <w:bookmarkEnd w:id="13"/>
    </w:p>
    <w:p w14:paraId="1E093E3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bookmarkStart w:id="14" w:name="_Toc3330"/>
      <w:bookmarkStart w:id="15" w:name="_Toc26379"/>
      <w:r>
        <w:rPr>
          <w:rFonts w:hint="eastAsia" w:ascii="华文中宋" w:hAnsi="华文中宋" w:eastAsia="华文中宋" w:cs="华文中宋"/>
          <w:b/>
          <w:color w:val="auto"/>
          <w:sz w:val="24"/>
          <w:szCs w:val="24"/>
          <w:lang w:val="en-US" w:eastAsia="zh-CN"/>
        </w:rPr>
        <w:t>9</w:t>
      </w:r>
      <w:r>
        <w:rPr>
          <w:rFonts w:hint="eastAsia" w:ascii="华文中宋" w:hAnsi="华文中宋" w:eastAsia="华文中宋" w:cs="华文中宋"/>
          <w:b/>
          <w:color w:val="auto"/>
          <w:sz w:val="24"/>
          <w:szCs w:val="24"/>
        </w:rPr>
        <w:t>. 响应文件的语言和计量单位</w:t>
      </w:r>
    </w:p>
    <w:p w14:paraId="3C39013E">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9</w:t>
      </w:r>
      <w:r>
        <w:rPr>
          <w:rFonts w:hint="eastAsia" w:ascii="华文中宋" w:hAnsi="华文中宋" w:eastAsia="华文中宋" w:cs="华文中宋"/>
          <w:color w:val="auto"/>
          <w:sz w:val="24"/>
          <w:szCs w:val="24"/>
        </w:rPr>
        <w:t>.1磋商供应商提交的响应文件的资格证明文件、商务技术文件（包括技术文件和资料、图纸中的说明）以及磋商供应商与采购代理机构就有关磋商的所有来往函</w:t>
      </w:r>
      <w:r>
        <w:rPr>
          <w:rFonts w:hint="eastAsia" w:ascii="华文中宋" w:hAnsi="华文中宋" w:eastAsia="华文中宋" w:cs="华文中宋"/>
          <w:bCs/>
          <w:color w:val="auto"/>
          <w:sz w:val="24"/>
          <w:szCs w:val="24"/>
        </w:rPr>
        <w:t>电</w:t>
      </w:r>
      <w:r>
        <w:rPr>
          <w:rFonts w:hint="eastAsia" w:ascii="华文中宋" w:hAnsi="华文中宋" w:eastAsia="华文中宋" w:cs="华文中宋"/>
          <w:color w:val="auto"/>
          <w:sz w:val="24"/>
          <w:szCs w:val="24"/>
        </w:rPr>
        <w:t>均应使用中文简体字。外文资料必须提供中文译文，并保持与原文一致，否则，产生的不利后果由磋商供应商承担。</w:t>
      </w:r>
    </w:p>
    <w:p w14:paraId="76B518CD">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9</w:t>
      </w:r>
      <w:r>
        <w:rPr>
          <w:rFonts w:hint="eastAsia" w:ascii="华文中宋" w:hAnsi="华文中宋" w:eastAsia="华文中宋" w:cs="华文中宋"/>
          <w:color w:val="auto"/>
          <w:sz w:val="24"/>
          <w:szCs w:val="24"/>
        </w:rPr>
        <w:t>.2响应文件所使用的计量单位，必须使用国家法定计量单位。</w:t>
      </w:r>
    </w:p>
    <w:p w14:paraId="37E0142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lang w:val="en-US" w:eastAsia="zh-CN"/>
        </w:rPr>
        <w:t>10</w:t>
      </w:r>
      <w:r>
        <w:rPr>
          <w:rFonts w:hint="eastAsia" w:ascii="华文中宋" w:hAnsi="华文中宋" w:eastAsia="华文中宋" w:cs="华文中宋"/>
          <w:b/>
          <w:bCs/>
          <w:color w:val="auto"/>
          <w:sz w:val="24"/>
          <w:szCs w:val="24"/>
        </w:rPr>
        <w:t>. 响应文件的组成及相关要求</w:t>
      </w:r>
    </w:p>
    <w:p w14:paraId="1B043B24">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10.1 响应文件分为资格证明文件和商务技术文件。</w:t>
      </w:r>
    </w:p>
    <w:p w14:paraId="5E35D52B">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10.2资格证明文件部分指磋商供应商提交的证明其有资格参加磋商的文件。</w:t>
      </w:r>
    </w:p>
    <w:p w14:paraId="3DDBB2EC">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10.3商务文件部分是指磋商供应商的工期、质量、施工组织设计、最后报价等。</w:t>
      </w:r>
    </w:p>
    <w:p w14:paraId="2C2C7F74">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10.4本次磋商，磋商供应商应按本磋商文件要求提交资格证明、商务技术部分内容以及需要磋商供应商自行编写的其他文件，由此造成的一切后果，由磋商供应商自行承担。</w:t>
      </w:r>
    </w:p>
    <w:p w14:paraId="2BD7F774">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z w:val="24"/>
          <w:szCs w:val="24"/>
          <w:lang w:val="en-US" w:eastAsia="zh-CN"/>
        </w:rPr>
        <w:t>10</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纸质版响应文件制作要求</w:t>
      </w:r>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szCs w:val="24"/>
          <w:lang w:val="en-US" w:eastAsia="zh-CN"/>
        </w:rPr>
        <w:t>若有</w:t>
      </w:r>
      <w:r>
        <w:rPr>
          <w:rFonts w:hint="eastAsia" w:ascii="华文中宋" w:hAnsi="华文中宋" w:eastAsia="华文中宋" w:cs="华文中宋"/>
          <w:color w:val="auto"/>
          <w:sz w:val="24"/>
          <w:szCs w:val="24"/>
          <w:lang w:eastAsia="zh-CN"/>
        </w:rPr>
        <w:t>）</w:t>
      </w:r>
    </w:p>
    <w:p w14:paraId="03BBA600">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响应文件规格幅面（A4），封面“响应文件（资格证明文件）、响应文件（商务技术文件）”为华文中宋初号加黑字体，其它为华文中宋三号加黑字体；正文使用华文中宋小四号字体；表格内容为华文中宋五号字体。由于编排混乱导致响应文件被误读或查找不到，其责任由磋商供应商承担。</w:t>
      </w:r>
    </w:p>
    <w:p w14:paraId="126E78D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lang w:val="en-US" w:eastAsia="zh-CN"/>
        </w:rPr>
        <w:t>11.</w:t>
      </w:r>
      <w:r>
        <w:rPr>
          <w:rFonts w:hint="eastAsia" w:ascii="华文中宋" w:hAnsi="华文中宋" w:eastAsia="华文中宋" w:cs="华文中宋"/>
          <w:b/>
          <w:bCs/>
          <w:color w:val="auto"/>
          <w:sz w:val="24"/>
          <w:szCs w:val="24"/>
        </w:rPr>
        <w:t xml:space="preserve"> 响应保证金</w:t>
      </w:r>
    </w:p>
    <w:p w14:paraId="0239393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本项目是否要求</w:t>
      </w:r>
      <w:r>
        <w:rPr>
          <w:rFonts w:hint="eastAsia" w:ascii="华文中宋" w:hAnsi="华文中宋" w:eastAsia="华文中宋" w:cs="华文中宋"/>
          <w:color w:val="auto"/>
          <w:sz w:val="24"/>
          <w:szCs w:val="24"/>
          <w:lang w:eastAsia="zh-CN"/>
        </w:rPr>
        <w:t>磋商供应商</w:t>
      </w:r>
      <w:r>
        <w:rPr>
          <w:rFonts w:hint="eastAsia" w:ascii="华文中宋" w:hAnsi="华文中宋" w:eastAsia="华文中宋" w:cs="华文中宋"/>
          <w:color w:val="auto"/>
          <w:sz w:val="24"/>
          <w:szCs w:val="24"/>
        </w:rPr>
        <w:t>提交保证金，及要求供应商应提交的响应保证金金额详见供应商须知前附表的相关规定。</w:t>
      </w:r>
    </w:p>
    <w:p w14:paraId="05EBB42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11</w:t>
      </w:r>
      <w:r>
        <w:rPr>
          <w:rFonts w:hint="eastAsia" w:ascii="华文中宋" w:hAnsi="华文中宋" w:eastAsia="华文中宋" w:cs="华文中宋"/>
          <w:color w:val="auto"/>
          <w:sz w:val="24"/>
          <w:szCs w:val="24"/>
        </w:rPr>
        <w:t>.1未按上述要求提交响应保证金的，其响应无效。</w:t>
      </w:r>
    </w:p>
    <w:p w14:paraId="329B94F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响应保证金</w:t>
      </w:r>
      <w:r>
        <w:rPr>
          <w:rFonts w:hint="eastAsia" w:ascii="华文中宋" w:hAnsi="华文中宋" w:eastAsia="华文中宋" w:cs="华文中宋"/>
          <w:color w:val="auto"/>
          <w:sz w:val="24"/>
          <w:szCs w:val="24"/>
          <w:lang w:val="en-US" w:eastAsia="zh-CN"/>
        </w:rPr>
        <w:t>原账号</w:t>
      </w:r>
      <w:r>
        <w:rPr>
          <w:rFonts w:hint="eastAsia" w:ascii="华文中宋" w:hAnsi="华文中宋" w:eastAsia="华文中宋" w:cs="华文中宋"/>
          <w:color w:val="auto"/>
          <w:sz w:val="24"/>
          <w:szCs w:val="24"/>
        </w:rPr>
        <w:t>退还：</w:t>
      </w:r>
    </w:p>
    <w:p w14:paraId="412379C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11</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未成交供应商的响应保证金自成交通知书发出之日起5个工作日内退还。</w:t>
      </w:r>
    </w:p>
    <w:p w14:paraId="49C9A43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11.3</w:t>
      </w:r>
      <w:r>
        <w:rPr>
          <w:rFonts w:hint="eastAsia" w:ascii="华文中宋" w:hAnsi="华文中宋" w:eastAsia="华文中宋" w:cs="华文中宋"/>
          <w:color w:val="auto"/>
          <w:sz w:val="24"/>
          <w:szCs w:val="24"/>
        </w:rPr>
        <w:t>采购人因重大变故取消采购任务的，采购代理机构在财政部门指定的政府采购信息发布媒体上发布终止公告，并以发布公告的形式通知已经获取采购文件的潜在供应商，对已经交纳响应保证金的，采购代理机构在终止公告发布后5个工作日内予以退还。</w:t>
      </w:r>
    </w:p>
    <w:p w14:paraId="3DC401C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11.4</w:t>
      </w:r>
      <w:r>
        <w:rPr>
          <w:rFonts w:hint="eastAsia" w:ascii="华文中宋" w:hAnsi="华文中宋" w:eastAsia="华文中宋" w:cs="华文中宋"/>
          <w:color w:val="auto"/>
          <w:sz w:val="24"/>
          <w:szCs w:val="24"/>
        </w:rPr>
        <w:t>响应保证金将退还到原缴纳帐户。原缴纳帐户发生变更的，供应商需向采购代理机构提交书面情况说明和银行缴纳回执单。</w:t>
      </w:r>
    </w:p>
    <w:p w14:paraId="673C0B4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11.5</w:t>
      </w:r>
      <w:r>
        <w:rPr>
          <w:rFonts w:hint="eastAsia" w:ascii="华文中宋" w:hAnsi="华文中宋" w:eastAsia="华文中宋" w:cs="华文中宋"/>
          <w:color w:val="auto"/>
          <w:sz w:val="24"/>
          <w:szCs w:val="24"/>
        </w:rPr>
        <w:t>响应有效期内供应商撤销响应文件的，采购代理机构不退还响应保证金。</w:t>
      </w:r>
    </w:p>
    <w:p w14:paraId="403EAB9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12.</w:t>
      </w:r>
      <w:r>
        <w:rPr>
          <w:rFonts w:hint="eastAsia" w:ascii="华文中宋" w:hAnsi="华文中宋" w:eastAsia="华文中宋" w:cs="华文中宋"/>
          <w:b/>
          <w:color w:val="auto"/>
          <w:sz w:val="24"/>
          <w:szCs w:val="24"/>
        </w:rPr>
        <w:t xml:space="preserve"> 磋商报价</w:t>
      </w:r>
    </w:p>
    <w:p w14:paraId="0D746A43">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12.</w:t>
      </w:r>
      <w:r>
        <w:rPr>
          <w:rFonts w:hint="eastAsia" w:ascii="华文中宋" w:hAnsi="华文中宋" w:eastAsia="华文中宋" w:cs="华文中宋"/>
          <w:color w:val="auto"/>
          <w:sz w:val="24"/>
          <w:szCs w:val="24"/>
        </w:rPr>
        <w:t>1 所有的磋商报价均以人民币元为计算单位。磋商报价为磋商响应供应商的磋商响应文件中提出的各项支付金额的总和</w:t>
      </w:r>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szCs w:val="24"/>
        </w:rPr>
        <w:t>磋商响应供应商应按清单中列出的工程项目填报单价和合价。每一项目只允许有一个报价。由于分项报价填报不完整、不清楚或存在其它任何失误，所导致的任何不利后果均应当</w:t>
      </w:r>
      <w:r>
        <w:rPr>
          <w:rFonts w:hint="eastAsia" w:ascii="华文中宋" w:hAnsi="华文中宋" w:eastAsia="华文中宋" w:cs="华文中宋"/>
          <w:color w:val="auto"/>
          <w:sz w:val="24"/>
          <w:szCs w:val="24"/>
          <w:lang w:val="en-US" w:eastAsia="zh-CN"/>
        </w:rPr>
        <w:t>由磋商供应商</w:t>
      </w:r>
      <w:r>
        <w:rPr>
          <w:rFonts w:hint="eastAsia" w:ascii="华文中宋" w:hAnsi="华文中宋" w:eastAsia="华文中宋" w:cs="华文中宋"/>
          <w:color w:val="auto"/>
          <w:sz w:val="24"/>
          <w:szCs w:val="24"/>
        </w:rPr>
        <w:t>自行承担。</w:t>
      </w:r>
    </w:p>
    <w:p w14:paraId="7D7DFBA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12.2</w:t>
      </w:r>
      <w:r>
        <w:rPr>
          <w:rFonts w:hint="eastAsia"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lang w:eastAsia="zh-CN"/>
        </w:rPr>
        <w:t>磋商供应商</w:t>
      </w:r>
      <w:r>
        <w:rPr>
          <w:rFonts w:hint="eastAsia" w:ascii="华文中宋" w:hAnsi="华文中宋" w:eastAsia="华文中宋" w:cs="华文中宋"/>
          <w:color w:val="auto"/>
          <w:sz w:val="24"/>
          <w:szCs w:val="24"/>
        </w:rPr>
        <w:t>响应多包的，应对每包分别报价并分别填报报价一览表。</w:t>
      </w:r>
      <w:r>
        <w:rPr>
          <w:rFonts w:hint="eastAsia" w:ascii="华文中宋" w:hAnsi="华文中宋" w:eastAsia="华文中宋" w:cs="华文中宋"/>
          <w:color w:val="auto"/>
          <w:sz w:val="24"/>
          <w:szCs w:val="24"/>
          <w:lang w:eastAsia="zh-CN"/>
        </w:rPr>
        <w:t>磋商供应商</w:t>
      </w:r>
      <w:r>
        <w:rPr>
          <w:rFonts w:hint="eastAsia" w:ascii="华文中宋" w:hAnsi="华文中宋" w:eastAsia="华文中宋" w:cs="华文中宋"/>
          <w:color w:val="auto"/>
          <w:sz w:val="24"/>
          <w:szCs w:val="24"/>
        </w:rPr>
        <w:t>报出的总价为工程全部完成交付的最终价格。</w:t>
      </w:r>
    </w:p>
    <w:p w14:paraId="7D999B3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12.3 磋商供应商</w:t>
      </w:r>
      <w:r>
        <w:rPr>
          <w:rFonts w:hint="eastAsia" w:ascii="华文中宋" w:hAnsi="华文中宋" w:eastAsia="华文中宋" w:cs="华文中宋"/>
          <w:color w:val="auto"/>
          <w:sz w:val="24"/>
          <w:szCs w:val="24"/>
        </w:rPr>
        <w:t>必须整包进行响应，不得拆包分项响应。</w:t>
      </w:r>
    </w:p>
    <w:p w14:paraId="53347E5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12.4</w:t>
      </w:r>
      <w:r>
        <w:rPr>
          <w:rFonts w:hint="eastAsia" w:ascii="华文中宋" w:hAnsi="华文中宋" w:eastAsia="华文中宋" w:cs="华文中宋"/>
          <w:color w:val="auto"/>
          <w:sz w:val="24"/>
          <w:szCs w:val="24"/>
        </w:rPr>
        <w:t xml:space="preserve"> 本次磋商不接受可选择或可调整的磋商和报价。</w:t>
      </w:r>
    </w:p>
    <w:p w14:paraId="51E6554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12.5磋商供应商</w:t>
      </w:r>
      <w:r>
        <w:rPr>
          <w:rFonts w:hint="eastAsia" w:ascii="华文中宋" w:hAnsi="华文中宋" w:eastAsia="华文中宋" w:cs="华文中宋"/>
          <w:color w:val="auto"/>
          <w:sz w:val="24"/>
          <w:szCs w:val="24"/>
        </w:rPr>
        <w:t>应提供工程的单价、总价及其他事项，并由法定代表人或</w:t>
      </w:r>
      <w:r>
        <w:rPr>
          <w:rFonts w:hint="eastAsia" w:ascii="华文中宋" w:hAnsi="华文中宋" w:eastAsia="华文中宋" w:cs="华文中宋"/>
          <w:color w:val="auto"/>
          <w:sz w:val="24"/>
          <w:szCs w:val="24"/>
          <w:lang w:eastAsia="zh-CN"/>
        </w:rPr>
        <w:t>磋商供应商</w:t>
      </w:r>
      <w:r>
        <w:rPr>
          <w:rFonts w:hint="eastAsia" w:ascii="华文中宋" w:hAnsi="华文中宋" w:eastAsia="华文中宋" w:cs="华文中宋"/>
          <w:color w:val="auto"/>
          <w:sz w:val="24"/>
          <w:szCs w:val="24"/>
        </w:rPr>
        <w:t>代表签署。</w:t>
      </w:r>
      <w:r>
        <w:rPr>
          <w:rFonts w:hint="eastAsia" w:ascii="华文中宋" w:hAnsi="华文中宋" w:eastAsia="华文中宋" w:cs="华文中宋"/>
          <w:color w:val="auto"/>
          <w:sz w:val="24"/>
          <w:szCs w:val="24"/>
          <w:lang w:eastAsia="zh-CN"/>
        </w:rPr>
        <w:t>磋商供应商</w:t>
      </w:r>
      <w:r>
        <w:rPr>
          <w:rFonts w:hint="eastAsia" w:ascii="华文中宋" w:hAnsi="华文中宋" w:eastAsia="华文中宋" w:cs="华文中宋"/>
          <w:color w:val="auto"/>
          <w:sz w:val="24"/>
          <w:szCs w:val="24"/>
        </w:rPr>
        <w:t>对报价若有说明，应在报价一览表显著处注明，只有磋商时唱出的报价优惠承诺才会在磋商时予以考虑。</w:t>
      </w:r>
    </w:p>
    <w:p w14:paraId="4AC9D08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12.6</w:t>
      </w:r>
      <w:r>
        <w:rPr>
          <w:rFonts w:hint="eastAsia" w:ascii="华文中宋" w:hAnsi="华文中宋" w:eastAsia="华文中宋" w:cs="华文中宋"/>
          <w:color w:val="auto"/>
          <w:sz w:val="24"/>
          <w:szCs w:val="24"/>
        </w:rPr>
        <w:t>磋商的报价优惠承诺应对应报价一览表、价格表等提供相应的明细清单。除报价优惠承诺外，任何超出磋商文件要求而额外赠送的其他形式的优惠，在磋商时将不作为价格折算的必备条件。</w:t>
      </w:r>
    </w:p>
    <w:p w14:paraId="6E64F47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12.7 最低报价不是成交的保证，采购人及代理机构不作任何落标解释。</w:t>
      </w:r>
    </w:p>
    <w:p w14:paraId="6309023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13</w:t>
      </w:r>
      <w:r>
        <w:rPr>
          <w:rFonts w:hint="eastAsia" w:ascii="华文中宋" w:hAnsi="华文中宋" w:eastAsia="华文中宋" w:cs="华文中宋"/>
          <w:b/>
          <w:color w:val="auto"/>
          <w:sz w:val="24"/>
          <w:szCs w:val="24"/>
        </w:rPr>
        <w:t xml:space="preserve"> 响应文件填写说明</w:t>
      </w:r>
    </w:p>
    <w:p w14:paraId="6F974EDD">
      <w:pPr>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13</w:t>
      </w:r>
      <w:r>
        <w:rPr>
          <w:rFonts w:hint="eastAsia" w:ascii="华文中宋" w:hAnsi="华文中宋" w:eastAsia="华文中宋" w:cs="华文中宋"/>
          <w:color w:val="auto"/>
          <w:sz w:val="24"/>
          <w:szCs w:val="24"/>
        </w:rPr>
        <w:t>.1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5C2EB09B">
      <w:pPr>
        <w:keepNext w:val="0"/>
        <w:keepLines w:val="0"/>
        <w:pageBreakBefore w:val="0"/>
        <w:widowControl w:val="0"/>
        <w:kinsoku/>
        <w:wordWrap w:val="0"/>
        <w:overflowPunct/>
        <w:topLinePunct/>
        <w:autoSpaceDE/>
        <w:autoSpaceDN/>
        <w:bidi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13</w:t>
      </w:r>
      <w:r>
        <w:rPr>
          <w:rFonts w:hint="eastAsia" w:ascii="华文中宋" w:hAnsi="华文中宋" w:eastAsia="华文中宋" w:cs="华文中宋"/>
          <w:color w:val="auto"/>
          <w:sz w:val="24"/>
          <w:szCs w:val="24"/>
        </w:rPr>
        <w:t>.2 磋商文件有固定格式要求的须按第八部分提供的统一格式逐项填写；无相应内容可填的项填写“无”、“未测试”、“没有相应指标”、 “/”等明确的回答。</w:t>
      </w:r>
    </w:p>
    <w:p w14:paraId="751B969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13</w:t>
      </w:r>
      <w:r>
        <w:rPr>
          <w:rFonts w:hint="eastAsia" w:ascii="华文中宋" w:hAnsi="华文中宋" w:eastAsia="华文中宋" w:cs="华文中宋"/>
          <w:color w:val="auto"/>
          <w:sz w:val="24"/>
          <w:szCs w:val="24"/>
        </w:rPr>
        <w:t>.3 报价一览表应按磋商文件提供的格式统一填写，不得自行增减内容。</w:t>
      </w:r>
    </w:p>
    <w:p w14:paraId="6207E45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13</w:t>
      </w:r>
      <w:r>
        <w:rPr>
          <w:rFonts w:hint="eastAsia" w:ascii="华文中宋" w:hAnsi="华文中宋" w:eastAsia="华文中宋" w:cs="华文中宋"/>
          <w:color w:val="auto"/>
          <w:sz w:val="24"/>
          <w:szCs w:val="24"/>
        </w:rPr>
        <w:t>.4 磋商供应商必须保证响应文件所提供的全部资料真实可靠，并接受磋商小组对其中任何资料进一步审查的要求，且承担相应的法律责任。</w:t>
      </w:r>
    </w:p>
    <w:p w14:paraId="3C425A34">
      <w:pPr>
        <w:keepNext w:val="0"/>
        <w:keepLines w:val="0"/>
        <w:pageBreakBefore w:val="0"/>
        <w:widowControl w:val="0"/>
        <w:kinsoku/>
        <w:wordWrap w:val="0"/>
        <w:overflowPunct/>
        <w:topLinePunct/>
        <w:autoSpaceDE/>
        <w:autoSpaceDN/>
        <w:bidi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13</w:t>
      </w:r>
      <w:r>
        <w:rPr>
          <w:rFonts w:hint="eastAsia" w:ascii="华文中宋" w:hAnsi="华文中宋" w:eastAsia="华文中宋" w:cs="华文中宋"/>
          <w:color w:val="auto"/>
          <w:sz w:val="24"/>
          <w:szCs w:val="24"/>
        </w:rPr>
        <w:t>.5因响应文件字迹潦草、提交资料不清晰或表达不清楚所引起的不利后果由供应商承担。</w:t>
      </w:r>
    </w:p>
    <w:p w14:paraId="1F9FFD0B">
      <w:pPr>
        <w:keepNext w:val="0"/>
        <w:keepLines w:val="0"/>
        <w:pageBreakBefore w:val="0"/>
        <w:widowControl w:val="0"/>
        <w:kinsoku/>
        <w:wordWrap w:val="0"/>
        <w:overflowPunct/>
        <w:topLinePunct/>
        <w:autoSpaceDE/>
        <w:autoSpaceDN/>
        <w:bidi w:val="0"/>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4</w:t>
      </w:r>
      <w:r>
        <w:rPr>
          <w:rFonts w:hint="eastAsia" w:ascii="华文中宋" w:hAnsi="华文中宋" w:eastAsia="华文中宋" w:cs="华文中宋"/>
          <w:b/>
          <w:color w:val="auto"/>
          <w:sz w:val="24"/>
          <w:szCs w:val="24"/>
        </w:rPr>
        <w:t>. 响应文件的有效期</w:t>
      </w:r>
    </w:p>
    <w:p w14:paraId="45336E4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本项目响应文件的有效期详见磋商供应商须知前附表的规定。</w:t>
      </w:r>
    </w:p>
    <w:p w14:paraId="50E2E1C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5</w:t>
      </w:r>
      <w:r>
        <w:rPr>
          <w:rFonts w:hint="eastAsia" w:ascii="华文中宋" w:hAnsi="华文中宋" w:eastAsia="华文中宋" w:cs="华文中宋"/>
          <w:b/>
          <w:color w:val="auto"/>
          <w:sz w:val="24"/>
          <w:szCs w:val="24"/>
        </w:rPr>
        <w:t>. 响应文件的签署</w:t>
      </w:r>
    </w:p>
    <w:p w14:paraId="42544B0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.1 组成响应文件的各种文件均应遵守本条规定。</w:t>
      </w:r>
    </w:p>
    <w:p w14:paraId="5017B76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.2 磋商供应商在响应文件及相关文件的签订、履行、通知等事项的书面文件中的“盖章”、“印章”、“公章”等处均仅指与当事人名称全称相一致的标准公章的电子签章，不得使用其它（如带有“专用章”等字样）印章。</w:t>
      </w:r>
    </w:p>
    <w:p w14:paraId="7963D25F">
      <w:pPr>
        <w:keepNext w:val="0"/>
        <w:keepLines w:val="0"/>
        <w:pageBreakBefore w:val="0"/>
        <w:widowControl w:val="0"/>
        <w:kinsoku/>
        <w:wordWrap w:val="0"/>
        <w:overflowPunct/>
        <w:topLinePunct/>
        <w:autoSpaceDE/>
        <w:autoSpaceDN/>
        <w:bidi w:val="0"/>
        <w:spacing w:line="360" w:lineRule="auto"/>
        <w:ind w:left="42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四、响应文件的递交</w:t>
      </w:r>
      <w:bookmarkEnd w:id="14"/>
      <w:bookmarkEnd w:id="15"/>
    </w:p>
    <w:p w14:paraId="27C2E69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bookmarkStart w:id="16" w:name="_Toc12886"/>
      <w:bookmarkStart w:id="17" w:name="_Toc32573"/>
      <w:r>
        <w:rPr>
          <w:rFonts w:hint="eastAsia" w:ascii="华文中宋" w:hAnsi="华文中宋" w:eastAsia="华文中宋" w:cs="华文中宋"/>
          <w:b/>
          <w:color w:val="auto"/>
          <w:sz w:val="24"/>
          <w:szCs w:val="24"/>
          <w:lang w:val="en-US" w:eastAsia="zh-CN"/>
        </w:rPr>
        <w:t>16</w:t>
      </w:r>
      <w:r>
        <w:rPr>
          <w:rFonts w:hint="eastAsia" w:ascii="华文中宋" w:hAnsi="华文中宋" w:eastAsia="华文中宋" w:cs="华文中宋"/>
          <w:b/>
          <w:color w:val="auto"/>
          <w:sz w:val="24"/>
          <w:szCs w:val="24"/>
        </w:rPr>
        <w:t xml:space="preserve"> . </w:t>
      </w:r>
      <w:r>
        <w:rPr>
          <w:rFonts w:hint="eastAsia" w:ascii="华文中宋" w:hAnsi="华文中宋" w:eastAsia="华文中宋" w:cs="华文中宋"/>
          <w:b/>
          <w:color w:val="auto"/>
          <w:sz w:val="24"/>
          <w:szCs w:val="24"/>
          <w:lang w:val="en-US" w:eastAsia="zh-CN"/>
        </w:rPr>
        <w:t>响应</w:t>
      </w:r>
      <w:r>
        <w:rPr>
          <w:rFonts w:hint="eastAsia" w:ascii="华文中宋" w:hAnsi="华文中宋" w:eastAsia="华文中宋" w:cs="华文中宋"/>
          <w:b/>
          <w:color w:val="auto"/>
          <w:sz w:val="24"/>
          <w:szCs w:val="24"/>
        </w:rPr>
        <w:t>文件的密封及标记</w:t>
      </w:r>
    </w:p>
    <w:p w14:paraId="14138F9D">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hint="eastAsia" w:ascii="华文中宋" w:hAnsi="华文中宋" w:eastAsia="华文中宋" w:cs="华文中宋"/>
          <w:b w:val="0"/>
          <w:bCs/>
          <w:color w:val="auto"/>
          <w:kern w:val="2"/>
          <w:sz w:val="24"/>
          <w:szCs w:val="24"/>
          <w:lang w:val="en-US" w:eastAsia="zh-CN"/>
        </w:rPr>
      </w:pPr>
      <w:r>
        <w:rPr>
          <w:rFonts w:hint="eastAsia" w:ascii="华文中宋" w:hAnsi="华文中宋" w:eastAsia="华文中宋" w:cs="华文中宋"/>
          <w:b w:val="0"/>
          <w:bCs/>
          <w:color w:val="auto"/>
          <w:kern w:val="2"/>
          <w:sz w:val="24"/>
          <w:szCs w:val="24"/>
          <w:lang w:val="en-US" w:eastAsia="zh-CN"/>
        </w:rPr>
        <w:t>供应商须将电子版响应文件加密上传至政采云平台。电子加密投标文件（是指通过“政采云电子交易客户端”完成投标文件编制后生成并加密的数据电文形式的投标文件，文件格式“.jmbs”）</w:t>
      </w:r>
    </w:p>
    <w:p w14:paraId="3D614296">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7</w:t>
      </w:r>
      <w:r>
        <w:rPr>
          <w:rFonts w:hint="eastAsia" w:ascii="华文中宋" w:hAnsi="华文中宋" w:eastAsia="华文中宋" w:cs="华文中宋"/>
          <w:b/>
          <w:color w:val="auto"/>
          <w:sz w:val="24"/>
          <w:szCs w:val="24"/>
        </w:rPr>
        <w:t>. 提交响应文件截止时间</w:t>
      </w:r>
      <w:r>
        <w:rPr>
          <w:rFonts w:hint="eastAsia" w:ascii="华文中宋" w:hAnsi="华文中宋" w:eastAsia="华文中宋" w:cs="华文中宋"/>
          <w:b/>
          <w:color w:val="auto"/>
          <w:sz w:val="24"/>
          <w:szCs w:val="24"/>
          <w:lang w:eastAsia="zh-CN"/>
        </w:rPr>
        <w:t>（</w:t>
      </w:r>
      <w:r>
        <w:rPr>
          <w:rFonts w:hint="eastAsia" w:ascii="华文中宋" w:hAnsi="华文中宋" w:eastAsia="华文中宋" w:cs="华文中宋"/>
          <w:b/>
          <w:color w:val="auto"/>
          <w:sz w:val="24"/>
          <w:szCs w:val="24"/>
          <w:lang w:val="en-US" w:eastAsia="zh-CN"/>
        </w:rPr>
        <w:t>若有</w:t>
      </w:r>
      <w:r>
        <w:rPr>
          <w:rFonts w:hint="eastAsia" w:ascii="华文中宋" w:hAnsi="华文中宋" w:eastAsia="华文中宋" w:cs="华文中宋"/>
          <w:b/>
          <w:color w:val="auto"/>
          <w:sz w:val="24"/>
          <w:szCs w:val="24"/>
          <w:lang w:eastAsia="zh-CN"/>
        </w:rPr>
        <w:t>）</w:t>
      </w:r>
    </w:p>
    <w:p w14:paraId="68DF006D">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1</w:t>
      </w:r>
      <w:r>
        <w:rPr>
          <w:rFonts w:hint="eastAsia" w:ascii="华文中宋" w:hAnsi="华文中宋" w:eastAsia="华文中宋" w:cs="华文中宋"/>
          <w:color w:val="auto"/>
          <w:kern w:val="2"/>
          <w:sz w:val="24"/>
          <w:szCs w:val="24"/>
          <w:lang w:val="en-US" w:eastAsia="zh-CN"/>
        </w:rPr>
        <w:t>7</w:t>
      </w:r>
      <w:r>
        <w:rPr>
          <w:rFonts w:hint="eastAsia" w:ascii="华文中宋" w:hAnsi="华文中宋" w:eastAsia="华文中宋" w:cs="华文中宋"/>
          <w:color w:val="auto"/>
          <w:kern w:val="2"/>
          <w:sz w:val="24"/>
          <w:szCs w:val="24"/>
        </w:rPr>
        <w:t>.1</w:t>
      </w:r>
      <w:r>
        <w:rPr>
          <w:rFonts w:hint="eastAsia" w:ascii="华文中宋" w:hAnsi="华文中宋" w:eastAsia="华文中宋" w:cs="华文中宋"/>
          <w:color w:val="auto"/>
          <w:sz w:val="24"/>
          <w:szCs w:val="24"/>
        </w:rPr>
        <w:t>纸质响应文件须在纸质响应文件递交截止时间之前密封递交。磋商供应商在规定时间未解密电子响应文件或未递交纸质响应文件的，磋商无效。</w:t>
      </w:r>
    </w:p>
    <w:p w14:paraId="229C8BC7">
      <w:pPr>
        <w:keepNext w:val="0"/>
        <w:keepLines w:val="0"/>
        <w:pageBreakBefore w:val="0"/>
        <w:widowControl w:val="0"/>
        <w:kinsoku/>
        <w:wordWrap w:val="0"/>
        <w:overflowPunct/>
        <w:topLinePunct/>
        <w:autoSpaceDE/>
        <w:autoSpaceDN/>
        <w:bidi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.2 采购代理机构根据本须知的规定，通过修改磋商文件或自行决定延长首次响应文件截止日期的，采购人和磋商供应商受提交截止日期制约的所有权利和义务均延长至新的截止日期。</w:t>
      </w:r>
    </w:p>
    <w:p w14:paraId="1B422356">
      <w:pPr>
        <w:keepNext w:val="0"/>
        <w:keepLines w:val="0"/>
        <w:pageBreakBefore w:val="0"/>
        <w:widowControl w:val="0"/>
        <w:kinsoku/>
        <w:wordWrap w:val="0"/>
        <w:overflowPunct/>
        <w:topLinePunct/>
        <w:autoSpaceDE/>
        <w:autoSpaceDN/>
        <w:bidi w:val="0"/>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8</w:t>
      </w:r>
      <w:r>
        <w:rPr>
          <w:rFonts w:hint="eastAsia" w:ascii="华文中宋" w:hAnsi="华文中宋" w:eastAsia="华文中宋" w:cs="华文中宋"/>
          <w:b/>
          <w:color w:val="auto"/>
          <w:sz w:val="24"/>
          <w:szCs w:val="24"/>
        </w:rPr>
        <w:t>．响应文件的补充、修改和撤回</w:t>
      </w:r>
    </w:p>
    <w:p w14:paraId="3A5572F5">
      <w:pPr>
        <w:keepNext w:val="0"/>
        <w:keepLines w:val="0"/>
        <w:pageBreakBefore w:val="0"/>
        <w:widowControl w:val="0"/>
        <w:kinsoku/>
        <w:wordWrap w:val="0"/>
        <w:overflowPunct/>
        <w:topLinePunct/>
        <w:autoSpaceDE/>
        <w:autoSpaceDN/>
        <w:bidi w:val="0"/>
        <w:spacing w:line="360" w:lineRule="auto"/>
        <w:ind w:firstLine="480" w:firstLineChars="2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r>
        <w:rPr>
          <w:rFonts w:hint="eastAsia" w:ascii="华文中宋" w:hAnsi="华文中宋" w:eastAsia="华文中宋" w:cs="华文中宋"/>
          <w:color w:val="auto"/>
          <w:kern w:val="0"/>
          <w:sz w:val="24"/>
          <w:szCs w:val="24"/>
          <w:lang w:val="en-US" w:eastAsia="zh-CN"/>
        </w:rPr>
        <w:t>8</w:t>
      </w:r>
      <w:r>
        <w:rPr>
          <w:rFonts w:hint="eastAsia" w:ascii="华文中宋" w:hAnsi="华文中宋" w:eastAsia="华文中宋" w:cs="华文中宋"/>
          <w:color w:val="auto"/>
          <w:kern w:val="0"/>
          <w:sz w:val="24"/>
          <w:szCs w:val="24"/>
        </w:rPr>
        <w:t>.1</w:t>
      </w:r>
      <w:r>
        <w:rPr>
          <w:rFonts w:hint="eastAsia" w:ascii="华文中宋" w:hAnsi="华文中宋" w:eastAsia="华文中宋" w:cs="华文中宋"/>
          <w:color w:val="auto"/>
          <w:sz w:val="24"/>
          <w:szCs w:val="24"/>
        </w:rPr>
        <w:t>磋商供应商</w:t>
      </w:r>
      <w:r>
        <w:rPr>
          <w:rFonts w:hint="eastAsia" w:ascii="华文中宋" w:hAnsi="华文中宋" w:eastAsia="华文中宋" w:cs="华文中宋"/>
          <w:color w:val="auto"/>
          <w:kern w:val="0"/>
          <w:sz w:val="24"/>
          <w:szCs w:val="24"/>
        </w:rPr>
        <w:t>在解密截止时间前，可对</w:t>
      </w:r>
      <w:r>
        <w:rPr>
          <w:rFonts w:hint="eastAsia" w:ascii="华文中宋" w:hAnsi="华文中宋" w:eastAsia="华文中宋" w:cs="华文中宋"/>
          <w:color w:val="auto"/>
          <w:sz w:val="24"/>
          <w:szCs w:val="24"/>
        </w:rPr>
        <w:t>响应文件</w:t>
      </w:r>
      <w:r>
        <w:rPr>
          <w:rFonts w:hint="eastAsia" w:ascii="华文中宋" w:hAnsi="华文中宋" w:eastAsia="华文中宋" w:cs="华文中宋"/>
          <w:color w:val="auto"/>
          <w:kern w:val="0"/>
          <w:sz w:val="24"/>
          <w:szCs w:val="24"/>
        </w:rPr>
        <w:t>进行补充、修改或者撤回。</w:t>
      </w:r>
    </w:p>
    <w:p w14:paraId="4E78B128">
      <w:pPr>
        <w:keepNext w:val="0"/>
        <w:keepLines w:val="0"/>
        <w:pageBreakBefore w:val="0"/>
        <w:widowControl w:val="0"/>
        <w:kinsoku/>
        <w:wordWrap w:val="0"/>
        <w:overflowPunct/>
        <w:topLinePunct/>
        <w:autoSpaceDE/>
        <w:autoSpaceDN/>
        <w:bidi w:val="0"/>
        <w:spacing w:line="360" w:lineRule="auto"/>
        <w:ind w:firstLine="480" w:firstLineChars="2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r>
        <w:rPr>
          <w:rFonts w:hint="eastAsia" w:ascii="华文中宋" w:hAnsi="华文中宋" w:eastAsia="华文中宋" w:cs="华文中宋"/>
          <w:color w:val="auto"/>
          <w:kern w:val="0"/>
          <w:sz w:val="24"/>
          <w:szCs w:val="24"/>
          <w:lang w:val="en-US" w:eastAsia="zh-CN"/>
        </w:rPr>
        <w:t>8</w:t>
      </w:r>
      <w:r>
        <w:rPr>
          <w:rFonts w:hint="eastAsia" w:ascii="华文中宋" w:hAnsi="华文中宋" w:eastAsia="华文中宋" w:cs="华文中宋"/>
          <w:color w:val="auto"/>
          <w:kern w:val="0"/>
          <w:sz w:val="24"/>
          <w:szCs w:val="24"/>
        </w:rPr>
        <w:t>.2</w:t>
      </w:r>
      <w:r>
        <w:rPr>
          <w:rFonts w:hint="eastAsia" w:ascii="华文中宋" w:hAnsi="华文中宋" w:eastAsia="华文中宋" w:cs="华文中宋"/>
          <w:color w:val="auto"/>
          <w:sz w:val="24"/>
          <w:szCs w:val="24"/>
        </w:rPr>
        <w:t>磋商供应商</w:t>
      </w:r>
      <w:r>
        <w:rPr>
          <w:rFonts w:hint="eastAsia" w:ascii="华文中宋" w:hAnsi="华文中宋" w:eastAsia="华文中宋" w:cs="华文中宋"/>
          <w:color w:val="auto"/>
          <w:kern w:val="0"/>
          <w:sz w:val="24"/>
          <w:szCs w:val="24"/>
        </w:rPr>
        <w:t>对电子</w:t>
      </w:r>
      <w:r>
        <w:rPr>
          <w:rFonts w:hint="eastAsia" w:ascii="华文中宋" w:hAnsi="华文中宋" w:eastAsia="华文中宋" w:cs="华文中宋"/>
          <w:color w:val="auto"/>
          <w:sz w:val="24"/>
          <w:szCs w:val="24"/>
        </w:rPr>
        <w:t>响应</w:t>
      </w:r>
      <w:r>
        <w:rPr>
          <w:rFonts w:hint="eastAsia" w:ascii="华文中宋" w:hAnsi="华文中宋" w:eastAsia="华文中宋" w:cs="华文中宋"/>
          <w:color w:val="auto"/>
          <w:kern w:val="0"/>
          <w:sz w:val="24"/>
          <w:szCs w:val="24"/>
        </w:rPr>
        <w:t>文件的补充、修改应在电子</w:t>
      </w:r>
      <w:r>
        <w:rPr>
          <w:rFonts w:hint="eastAsia" w:ascii="华文中宋" w:hAnsi="华文中宋" w:eastAsia="华文中宋" w:cs="华文中宋"/>
          <w:color w:val="auto"/>
          <w:sz w:val="24"/>
          <w:szCs w:val="24"/>
        </w:rPr>
        <w:t>响应</w:t>
      </w:r>
      <w:r>
        <w:rPr>
          <w:rFonts w:hint="eastAsia" w:ascii="华文中宋" w:hAnsi="华文中宋" w:eastAsia="华文中宋" w:cs="华文中宋"/>
          <w:color w:val="auto"/>
          <w:kern w:val="0"/>
          <w:sz w:val="24"/>
          <w:szCs w:val="24"/>
        </w:rPr>
        <w:t>文件上进行，修改完成后重新上传。</w:t>
      </w:r>
      <w:r>
        <w:rPr>
          <w:rFonts w:hint="eastAsia" w:ascii="华文中宋" w:hAnsi="华文中宋" w:eastAsia="华文中宋" w:cs="华文中宋"/>
          <w:color w:val="auto"/>
          <w:kern w:val="0"/>
          <w:sz w:val="24"/>
          <w:szCs w:val="24"/>
          <w:lang w:eastAsia="zh-CN"/>
        </w:rPr>
        <w:t>（</w:t>
      </w:r>
      <w:r>
        <w:rPr>
          <w:rFonts w:hint="eastAsia" w:ascii="华文中宋" w:hAnsi="华文中宋" w:eastAsia="华文中宋" w:cs="华文中宋"/>
          <w:color w:val="auto"/>
          <w:kern w:val="0"/>
          <w:sz w:val="24"/>
          <w:szCs w:val="24"/>
          <w:lang w:val="en-US" w:eastAsia="zh-CN"/>
        </w:rPr>
        <w:t>若有：</w:t>
      </w:r>
      <w:r>
        <w:rPr>
          <w:rFonts w:hint="eastAsia" w:ascii="华文中宋" w:hAnsi="华文中宋" w:eastAsia="华文中宋" w:cs="华文中宋"/>
          <w:color w:val="auto"/>
          <w:kern w:val="0"/>
          <w:sz w:val="24"/>
          <w:szCs w:val="24"/>
        </w:rPr>
        <w:t>如无法及时对递交的纸质</w:t>
      </w:r>
      <w:r>
        <w:rPr>
          <w:rFonts w:hint="eastAsia" w:ascii="华文中宋" w:hAnsi="华文中宋" w:eastAsia="华文中宋" w:cs="华文中宋"/>
          <w:color w:val="auto"/>
          <w:sz w:val="24"/>
          <w:szCs w:val="24"/>
        </w:rPr>
        <w:t>响应</w:t>
      </w:r>
      <w:r>
        <w:rPr>
          <w:rFonts w:hint="eastAsia" w:ascii="华文中宋" w:hAnsi="华文中宋" w:eastAsia="华文中宋" w:cs="华文中宋"/>
          <w:color w:val="auto"/>
          <w:kern w:val="0"/>
          <w:sz w:val="24"/>
          <w:szCs w:val="24"/>
        </w:rPr>
        <w:t>文件内容进行补充、修改的应将补充、修改的内容按照</w:t>
      </w:r>
      <w:r>
        <w:rPr>
          <w:rFonts w:hint="eastAsia" w:ascii="华文中宋" w:hAnsi="华文中宋" w:eastAsia="华文中宋" w:cs="华文中宋"/>
          <w:color w:val="auto"/>
          <w:sz w:val="24"/>
          <w:szCs w:val="24"/>
        </w:rPr>
        <w:t>磋商</w:t>
      </w:r>
      <w:r>
        <w:rPr>
          <w:rFonts w:hint="eastAsia" w:ascii="华文中宋" w:hAnsi="华文中宋" w:eastAsia="华文中宋" w:cs="华文中宋"/>
          <w:color w:val="auto"/>
          <w:kern w:val="0"/>
          <w:sz w:val="24"/>
          <w:szCs w:val="24"/>
        </w:rPr>
        <w:t>文件的要求签署、盖章，密封后书面递交采购代理机构，作为纸质</w:t>
      </w:r>
      <w:r>
        <w:rPr>
          <w:rFonts w:hint="eastAsia" w:ascii="华文中宋" w:hAnsi="华文中宋" w:eastAsia="华文中宋" w:cs="华文中宋"/>
          <w:color w:val="auto"/>
          <w:sz w:val="24"/>
          <w:szCs w:val="24"/>
        </w:rPr>
        <w:t>响应</w:t>
      </w:r>
      <w:r>
        <w:rPr>
          <w:rFonts w:hint="eastAsia" w:ascii="华文中宋" w:hAnsi="华文中宋" w:eastAsia="华文中宋" w:cs="华文中宋"/>
          <w:color w:val="auto"/>
          <w:kern w:val="0"/>
          <w:sz w:val="24"/>
          <w:szCs w:val="24"/>
        </w:rPr>
        <w:t>文件的组成部分。</w:t>
      </w:r>
      <w:r>
        <w:rPr>
          <w:rFonts w:hint="eastAsia" w:ascii="华文中宋" w:hAnsi="华文中宋" w:eastAsia="华文中宋" w:cs="华文中宋"/>
          <w:color w:val="auto"/>
          <w:kern w:val="0"/>
          <w:sz w:val="24"/>
          <w:szCs w:val="24"/>
          <w:lang w:eastAsia="zh-CN"/>
        </w:rPr>
        <w:t>）</w:t>
      </w:r>
    </w:p>
    <w:p w14:paraId="1783A62C">
      <w:pPr>
        <w:keepNext w:val="0"/>
        <w:keepLines w:val="0"/>
        <w:pageBreakBefore w:val="0"/>
        <w:widowControl w:val="0"/>
        <w:kinsoku/>
        <w:wordWrap w:val="0"/>
        <w:overflowPunct/>
        <w:topLinePunct/>
        <w:autoSpaceDE/>
        <w:autoSpaceDN/>
        <w:bidi w:val="0"/>
        <w:spacing w:line="360" w:lineRule="auto"/>
        <w:ind w:firstLine="480" w:firstLineChars="2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r>
        <w:rPr>
          <w:rFonts w:hint="eastAsia" w:ascii="华文中宋" w:hAnsi="华文中宋" w:eastAsia="华文中宋" w:cs="华文中宋"/>
          <w:color w:val="auto"/>
          <w:kern w:val="0"/>
          <w:sz w:val="24"/>
          <w:szCs w:val="24"/>
          <w:lang w:val="en-US" w:eastAsia="zh-CN"/>
        </w:rPr>
        <w:t>8</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sz w:val="24"/>
          <w:szCs w:val="24"/>
        </w:rPr>
        <w:t>3</w:t>
      </w:r>
      <w:r>
        <w:rPr>
          <w:rFonts w:hint="eastAsia" w:ascii="华文中宋" w:hAnsi="华文中宋" w:eastAsia="华文中宋" w:cs="华文中宋"/>
          <w:color w:val="auto"/>
          <w:kern w:val="0"/>
          <w:sz w:val="24"/>
          <w:szCs w:val="24"/>
        </w:rPr>
        <w:t>在</w:t>
      </w:r>
      <w:r>
        <w:rPr>
          <w:rFonts w:hint="eastAsia" w:ascii="华文中宋" w:hAnsi="华文中宋" w:eastAsia="华文中宋" w:cs="华文中宋"/>
          <w:color w:val="auto"/>
          <w:sz w:val="24"/>
          <w:szCs w:val="24"/>
        </w:rPr>
        <w:t>磋商</w:t>
      </w:r>
      <w:r>
        <w:rPr>
          <w:rFonts w:hint="eastAsia" w:ascii="华文中宋" w:hAnsi="华文中宋" w:eastAsia="华文中宋" w:cs="华文中宋"/>
          <w:color w:val="auto"/>
          <w:kern w:val="0"/>
          <w:sz w:val="24"/>
          <w:szCs w:val="24"/>
        </w:rPr>
        <w:t>文件要求的</w:t>
      </w:r>
      <w:r>
        <w:rPr>
          <w:rFonts w:hint="eastAsia" w:ascii="华文中宋" w:hAnsi="华文中宋" w:eastAsia="华文中宋" w:cs="华文中宋"/>
          <w:color w:val="auto"/>
          <w:sz w:val="24"/>
          <w:szCs w:val="24"/>
        </w:rPr>
        <w:t>响应</w:t>
      </w:r>
      <w:r>
        <w:rPr>
          <w:rFonts w:hint="eastAsia" w:ascii="华文中宋" w:hAnsi="华文中宋" w:eastAsia="华文中宋" w:cs="华文中宋"/>
          <w:color w:val="auto"/>
          <w:kern w:val="0"/>
          <w:sz w:val="24"/>
          <w:szCs w:val="24"/>
        </w:rPr>
        <w:t>文件提交截止时间之后，</w:t>
      </w:r>
      <w:r>
        <w:rPr>
          <w:rFonts w:hint="eastAsia" w:ascii="华文中宋" w:hAnsi="华文中宋" w:eastAsia="华文中宋" w:cs="华文中宋"/>
          <w:color w:val="auto"/>
          <w:sz w:val="24"/>
          <w:szCs w:val="24"/>
        </w:rPr>
        <w:t>磋商供应商</w:t>
      </w:r>
      <w:r>
        <w:rPr>
          <w:rFonts w:hint="eastAsia" w:ascii="华文中宋" w:hAnsi="华文中宋" w:eastAsia="华文中宋" w:cs="华文中宋"/>
          <w:color w:val="auto"/>
          <w:kern w:val="0"/>
          <w:sz w:val="24"/>
          <w:szCs w:val="24"/>
        </w:rPr>
        <w:t>不得对其</w:t>
      </w:r>
      <w:r>
        <w:rPr>
          <w:rFonts w:hint="eastAsia" w:ascii="华文中宋" w:hAnsi="华文中宋" w:eastAsia="华文中宋" w:cs="华文中宋"/>
          <w:color w:val="auto"/>
          <w:sz w:val="24"/>
          <w:szCs w:val="24"/>
        </w:rPr>
        <w:t>响应</w:t>
      </w:r>
      <w:r>
        <w:rPr>
          <w:rFonts w:hint="eastAsia" w:ascii="华文中宋" w:hAnsi="华文中宋" w:eastAsia="华文中宋" w:cs="华文中宋"/>
          <w:color w:val="auto"/>
          <w:kern w:val="0"/>
          <w:sz w:val="24"/>
          <w:szCs w:val="24"/>
        </w:rPr>
        <w:t>文件进行补充、修改或撤回。</w:t>
      </w:r>
    </w:p>
    <w:p w14:paraId="31F0C1AD">
      <w:pPr>
        <w:keepNext w:val="0"/>
        <w:keepLines w:val="0"/>
        <w:pageBreakBefore w:val="0"/>
        <w:widowControl w:val="0"/>
        <w:kinsoku/>
        <w:wordWrap w:val="0"/>
        <w:overflowPunct/>
        <w:topLinePunct/>
        <w:autoSpaceDE/>
        <w:autoSpaceDN/>
        <w:bidi w:val="0"/>
        <w:spacing w:line="360" w:lineRule="auto"/>
        <w:ind w:left="42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五、磋商采购程序</w:t>
      </w:r>
      <w:bookmarkEnd w:id="16"/>
      <w:bookmarkEnd w:id="17"/>
    </w:p>
    <w:p w14:paraId="2A377FC1">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9</w:t>
      </w:r>
      <w:r>
        <w:rPr>
          <w:rFonts w:hint="eastAsia" w:ascii="华文中宋" w:hAnsi="华文中宋" w:eastAsia="华文中宋" w:cs="华文中宋"/>
          <w:b/>
          <w:color w:val="auto"/>
          <w:sz w:val="24"/>
          <w:szCs w:val="24"/>
        </w:rPr>
        <w:t xml:space="preserve"> 成立磋商小组</w:t>
      </w:r>
    </w:p>
    <w:p w14:paraId="0B893FDB">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9</w:t>
      </w:r>
      <w:r>
        <w:rPr>
          <w:rFonts w:hint="eastAsia" w:ascii="华文中宋" w:hAnsi="华文中宋" w:eastAsia="华文中宋" w:cs="华文中宋"/>
          <w:color w:val="auto"/>
          <w:sz w:val="24"/>
          <w:szCs w:val="24"/>
        </w:rPr>
        <w:t xml:space="preserve">.1 采购代理机构根据政府采购有关法律法规的规定，依法组建成立磋商小组，磋商小组由采购人的代表和有关专家共三人以上的单数组成，其中专家的人数不得少于成员总数的三分之二。 </w:t>
      </w:r>
    </w:p>
    <w:p w14:paraId="28C14DF8">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9</w:t>
      </w:r>
      <w:r>
        <w:rPr>
          <w:rFonts w:hint="eastAsia" w:ascii="华文中宋" w:hAnsi="华文中宋" w:eastAsia="华文中宋" w:cs="华文中宋"/>
          <w:color w:val="auto"/>
          <w:sz w:val="24"/>
          <w:szCs w:val="24"/>
        </w:rPr>
        <w:t>.2 磋商小组负责完成具体的磋商评审事务</w:t>
      </w:r>
      <w:r>
        <w:rPr>
          <w:rFonts w:hint="eastAsia" w:ascii="华文中宋" w:hAnsi="华文中宋" w:eastAsia="华文中宋" w:cs="华文中宋"/>
          <w:b/>
          <w:color w:val="auto"/>
          <w:sz w:val="24"/>
          <w:szCs w:val="24"/>
        </w:rPr>
        <w:t>，</w:t>
      </w:r>
      <w:r>
        <w:rPr>
          <w:rFonts w:hint="eastAsia" w:ascii="华文中宋" w:hAnsi="华文中宋" w:eastAsia="华文中宋" w:cs="华文中宋"/>
          <w:color w:val="auto"/>
          <w:sz w:val="24"/>
          <w:szCs w:val="24"/>
        </w:rPr>
        <w:t>提出经磋商小组签字的书面磋商评审报告。</w:t>
      </w:r>
    </w:p>
    <w:p w14:paraId="6FCDA07D">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9</w:t>
      </w:r>
      <w:r>
        <w:rPr>
          <w:rFonts w:hint="eastAsia" w:ascii="华文中宋" w:hAnsi="华文中宋" w:eastAsia="华文中宋" w:cs="华文中宋"/>
          <w:color w:val="auto"/>
          <w:sz w:val="24"/>
          <w:szCs w:val="24"/>
        </w:rPr>
        <w:t xml:space="preserve">.3 磋商活动的组织工作由采购代理机构负责。 </w:t>
      </w:r>
    </w:p>
    <w:p w14:paraId="0E7DA6ED">
      <w:pPr>
        <w:pStyle w:val="41"/>
        <w:snapToGrid w:val="0"/>
        <w:spacing w:line="480" w:lineRule="exact"/>
        <w:ind w:firstLine="480" w:firstLineChars="200"/>
        <w:outlineLvl w:val="9"/>
        <w:rPr>
          <w:rFonts w:hint="eastAsia" w:ascii="华文中宋" w:hAnsi="华文中宋" w:eastAsia="华文中宋" w:cs="华文中宋"/>
          <w:b/>
          <w:color w:val="auto"/>
          <w:spacing w:val="0"/>
          <w:position w:val="0"/>
          <w:sz w:val="24"/>
          <w:szCs w:val="24"/>
        </w:rPr>
      </w:pPr>
      <w:r>
        <w:rPr>
          <w:rFonts w:hint="eastAsia" w:ascii="华文中宋" w:hAnsi="华文中宋" w:eastAsia="华文中宋" w:cs="华文中宋"/>
          <w:b/>
          <w:color w:val="auto"/>
          <w:spacing w:val="0"/>
          <w:position w:val="0"/>
          <w:sz w:val="24"/>
          <w:szCs w:val="24"/>
        </w:rPr>
        <w:t>20. 响应文件的审查顺序</w:t>
      </w:r>
    </w:p>
    <w:p w14:paraId="64396D20">
      <w:pPr>
        <w:pStyle w:val="41"/>
        <w:snapToGrid w:val="0"/>
        <w:spacing w:line="480" w:lineRule="exact"/>
        <w:ind w:firstLine="470" w:firstLineChars="196"/>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磋商小组在磋商地点，在规定的时间内，按照随机顺序对响应文件进行审查。</w:t>
      </w:r>
    </w:p>
    <w:p w14:paraId="215C5E40">
      <w:pPr>
        <w:pStyle w:val="41"/>
        <w:snapToGrid w:val="0"/>
        <w:spacing w:line="480" w:lineRule="exact"/>
        <w:ind w:firstLine="480" w:firstLineChars="200"/>
        <w:outlineLvl w:val="9"/>
        <w:rPr>
          <w:rFonts w:hint="eastAsia" w:ascii="华文中宋" w:hAnsi="华文中宋" w:eastAsia="华文中宋" w:cs="华文中宋"/>
          <w:b/>
          <w:color w:val="auto"/>
          <w:spacing w:val="0"/>
          <w:position w:val="0"/>
          <w:sz w:val="24"/>
          <w:szCs w:val="24"/>
        </w:rPr>
      </w:pPr>
      <w:r>
        <w:rPr>
          <w:rFonts w:hint="eastAsia" w:ascii="华文中宋" w:hAnsi="华文中宋" w:eastAsia="华文中宋" w:cs="华文中宋"/>
          <w:b/>
          <w:color w:val="auto"/>
          <w:spacing w:val="0"/>
          <w:position w:val="0"/>
          <w:sz w:val="24"/>
          <w:szCs w:val="24"/>
        </w:rPr>
        <w:t>21. 响应文件审查</w:t>
      </w:r>
    </w:p>
    <w:p w14:paraId="62626789">
      <w:pPr>
        <w:pStyle w:val="41"/>
        <w:snapToGrid w:val="0"/>
        <w:spacing w:line="480" w:lineRule="exact"/>
        <w:ind w:firstLine="435"/>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21.1磋商小组进行资格性检查及</w:t>
      </w:r>
      <w:r>
        <w:rPr>
          <w:rFonts w:hint="eastAsia" w:ascii="华文中宋" w:hAnsi="华文中宋" w:eastAsia="华文中宋" w:cs="华文中宋"/>
          <w:color w:val="auto"/>
          <w:spacing w:val="0"/>
          <w:position w:val="0"/>
          <w:sz w:val="24"/>
          <w:szCs w:val="24"/>
          <w:lang w:eastAsia="zh-CN"/>
        </w:rPr>
        <w:t>符合性</w:t>
      </w:r>
      <w:r>
        <w:rPr>
          <w:rFonts w:hint="eastAsia" w:ascii="华文中宋" w:hAnsi="华文中宋" w:eastAsia="华文中宋" w:cs="华文中宋"/>
          <w:color w:val="auto"/>
          <w:spacing w:val="0"/>
          <w:position w:val="0"/>
          <w:sz w:val="24"/>
          <w:szCs w:val="24"/>
        </w:rPr>
        <w:t>审查，应严格遵循本文件第四部分评定和成交标准中的相关规定。</w:t>
      </w:r>
    </w:p>
    <w:p w14:paraId="1202516E">
      <w:pPr>
        <w:pStyle w:val="41"/>
        <w:snapToGrid w:val="0"/>
        <w:spacing w:line="480" w:lineRule="exact"/>
        <w:ind w:firstLine="470" w:firstLineChars="196"/>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21.2 资格性检查，磋商小组对每个磋商供应商提交的响应文件中的资格证明等进行审查，以确定参加磋商的供应商是否具备磋商资格。</w:t>
      </w:r>
    </w:p>
    <w:p w14:paraId="00ADFC1C">
      <w:pPr>
        <w:pStyle w:val="41"/>
        <w:snapToGrid w:val="0"/>
        <w:spacing w:line="480" w:lineRule="exact"/>
        <w:ind w:firstLine="470" w:firstLineChars="196"/>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 xml:space="preserve">21.3 </w:t>
      </w:r>
      <w:r>
        <w:rPr>
          <w:rFonts w:hint="eastAsia" w:ascii="华文中宋" w:hAnsi="华文中宋" w:eastAsia="华文中宋" w:cs="华文中宋"/>
          <w:bCs/>
          <w:color w:val="auto"/>
          <w:spacing w:val="0"/>
          <w:position w:val="0"/>
          <w:sz w:val="24"/>
          <w:szCs w:val="24"/>
          <w:lang w:eastAsia="zh-CN"/>
        </w:rPr>
        <w:t>符合性</w:t>
      </w:r>
      <w:r>
        <w:rPr>
          <w:rFonts w:hint="eastAsia" w:ascii="华文中宋" w:hAnsi="华文中宋" w:eastAsia="华文中宋" w:cs="华文中宋"/>
          <w:bCs/>
          <w:color w:val="auto"/>
          <w:spacing w:val="0"/>
          <w:position w:val="0"/>
          <w:sz w:val="24"/>
          <w:szCs w:val="24"/>
        </w:rPr>
        <w:t>审查，</w:t>
      </w:r>
      <w:r>
        <w:rPr>
          <w:rFonts w:hint="eastAsia" w:ascii="华文中宋" w:hAnsi="华文中宋" w:eastAsia="华文中宋" w:cs="华文中宋"/>
          <w:color w:val="auto"/>
          <w:spacing w:val="0"/>
          <w:position w:val="0"/>
          <w:sz w:val="24"/>
          <w:szCs w:val="24"/>
        </w:rPr>
        <w:t>由磋商小组依据磋商文件的规定进行审查，以确定响应文件是否对磋商文件的实质性要求作出响应。</w:t>
      </w:r>
    </w:p>
    <w:p w14:paraId="65AF3E6F">
      <w:pPr>
        <w:pStyle w:val="41"/>
        <w:snapToGrid w:val="0"/>
        <w:spacing w:line="460" w:lineRule="exact"/>
        <w:ind w:firstLine="480" w:firstLineChars="200"/>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21.3.1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44F633F3">
      <w:pPr>
        <w:pStyle w:val="41"/>
        <w:snapToGrid w:val="0"/>
        <w:spacing w:line="460" w:lineRule="exact"/>
        <w:ind w:firstLine="435"/>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21.3.2 磋商小组对磋商小组提出的澄清、说明或者更正响应文件应当在“</w:t>
      </w:r>
      <w:r>
        <w:rPr>
          <w:rFonts w:hint="eastAsia" w:ascii="华文中宋" w:hAnsi="华文中宋" w:eastAsia="华文中宋" w:cs="华文中宋"/>
          <w:color w:val="auto"/>
          <w:spacing w:val="0"/>
          <w:position w:val="0"/>
          <w:sz w:val="24"/>
          <w:szCs w:val="24"/>
          <w:lang w:eastAsia="zh-CN"/>
        </w:rPr>
        <w:t>山西政府采购平台</w:t>
      </w:r>
      <w:r>
        <w:rPr>
          <w:rFonts w:hint="eastAsia" w:ascii="华文中宋" w:hAnsi="华文中宋" w:eastAsia="华文中宋" w:cs="华文中宋"/>
          <w:color w:val="auto"/>
          <w:spacing w:val="0"/>
          <w:position w:val="0"/>
          <w:sz w:val="24"/>
          <w:szCs w:val="24"/>
        </w:rPr>
        <w:t>”中提出，磋商供应商对磋商小组提出的澄清、说明或者补正的要求需采用加盖电子签章的形式进行响应。</w:t>
      </w:r>
    </w:p>
    <w:p w14:paraId="5EBCEFA6">
      <w:pPr>
        <w:pStyle w:val="41"/>
        <w:snapToGrid w:val="0"/>
        <w:spacing w:line="460" w:lineRule="exact"/>
        <w:ind w:firstLine="435"/>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lang w:val="en-US" w:eastAsia="zh-CN"/>
        </w:rPr>
        <w:t>21.3.3 磋商供应商在进行澄清、说明、更正时，需自行准备电脑终端设备（电脑终端设备需具备IE11及IE11以上的浏览器和数字证书驱动），携带数字证书（USBKey）到采购活动现场同时自行解决所需网络。</w:t>
      </w:r>
      <w:r>
        <w:rPr>
          <w:rFonts w:hint="eastAsia" w:ascii="华文中宋" w:hAnsi="华文中宋" w:eastAsia="华文中宋" w:cs="华文中宋"/>
          <w:color w:val="auto"/>
          <w:spacing w:val="0"/>
          <w:position w:val="0"/>
          <w:sz w:val="24"/>
          <w:szCs w:val="24"/>
        </w:rPr>
        <w:t xml:space="preserve"> </w:t>
      </w:r>
    </w:p>
    <w:p w14:paraId="30EAE76D">
      <w:pPr>
        <w:pStyle w:val="41"/>
        <w:snapToGrid w:val="0"/>
        <w:spacing w:line="460" w:lineRule="exact"/>
        <w:ind w:firstLine="435"/>
        <w:outlineLvl w:val="9"/>
        <w:rPr>
          <w:rFonts w:hint="eastAsia" w:ascii="华文中宋" w:hAnsi="华文中宋" w:eastAsia="华文中宋" w:cs="华文中宋"/>
          <w:b/>
          <w:bCs/>
          <w:color w:val="auto"/>
          <w:spacing w:val="0"/>
          <w:position w:val="0"/>
          <w:sz w:val="24"/>
          <w:szCs w:val="24"/>
        </w:rPr>
      </w:pPr>
      <w:r>
        <w:rPr>
          <w:rFonts w:hint="eastAsia" w:ascii="华文中宋" w:hAnsi="华文中宋" w:eastAsia="华文中宋" w:cs="华文中宋"/>
          <w:b/>
          <w:bCs/>
          <w:color w:val="auto"/>
          <w:spacing w:val="0"/>
          <w:position w:val="0"/>
          <w:sz w:val="24"/>
          <w:szCs w:val="24"/>
          <w:lang w:val="en-US" w:eastAsia="zh-CN"/>
        </w:rPr>
        <w:t>22.4</w:t>
      </w:r>
      <w:r>
        <w:rPr>
          <w:rFonts w:hint="eastAsia" w:ascii="华文中宋" w:hAnsi="华文中宋" w:eastAsia="华文中宋" w:cs="华文中宋"/>
          <w:b/>
          <w:bCs/>
          <w:color w:val="auto"/>
          <w:spacing w:val="0"/>
          <w:position w:val="0"/>
          <w:sz w:val="24"/>
          <w:szCs w:val="24"/>
        </w:rPr>
        <w:t>评审中遵循的原则</w:t>
      </w:r>
    </w:p>
    <w:p w14:paraId="20D18745">
      <w:pPr>
        <w:pStyle w:val="41"/>
        <w:snapToGrid w:val="0"/>
        <w:spacing w:line="460" w:lineRule="exact"/>
        <w:ind w:firstLine="435"/>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lang w:val="en-US" w:eastAsia="zh-CN"/>
        </w:rPr>
        <w:t>22.4</w:t>
      </w:r>
      <w:r>
        <w:rPr>
          <w:rFonts w:hint="eastAsia" w:ascii="华文中宋" w:hAnsi="华文中宋" w:eastAsia="华文中宋" w:cs="华文中宋"/>
          <w:color w:val="auto"/>
          <w:spacing w:val="0"/>
          <w:position w:val="0"/>
          <w:sz w:val="24"/>
          <w:szCs w:val="24"/>
        </w:rPr>
        <w:t xml:space="preserve">.1审查中，磋商供应商存在下列情况之一的，磋商无效： </w:t>
      </w:r>
    </w:p>
    <w:p w14:paraId="2BE285B0">
      <w:pPr>
        <w:pStyle w:val="41"/>
        <w:snapToGrid w:val="0"/>
        <w:spacing w:line="460" w:lineRule="exact"/>
        <w:ind w:firstLine="435"/>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A、未按磋商文件的规定提交响应保证金的；</w:t>
      </w:r>
    </w:p>
    <w:p w14:paraId="6F5CF43F">
      <w:pPr>
        <w:pStyle w:val="41"/>
        <w:snapToGrid w:val="0"/>
        <w:spacing w:line="460" w:lineRule="exact"/>
        <w:ind w:firstLine="435"/>
        <w:outlineLvl w:val="9"/>
        <w:rPr>
          <w:rFonts w:hint="eastAsia" w:ascii="华文中宋" w:hAnsi="华文中宋" w:eastAsia="华文中宋" w:cs="华文中宋"/>
          <w:color w:val="auto"/>
          <w:spacing w:val="0"/>
          <w:position w:val="0"/>
          <w:sz w:val="24"/>
          <w:szCs w:val="24"/>
        </w:rPr>
      </w:pPr>
      <w:r>
        <w:rPr>
          <w:rFonts w:hint="eastAsia" w:ascii="华文中宋" w:hAnsi="华文中宋" w:eastAsia="华文中宋" w:cs="华文中宋"/>
          <w:color w:val="auto"/>
          <w:spacing w:val="0"/>
          <w:position w:val="0"/>
          <w:sz w:val="24"/>
          <w:szCs w:val="24"/>
        </w:rPr>
        <w:t>B、响应文件未按磋商文件要求签署、盖章的；</w:t>
      </w:r>
    </w:p>
    <w:p w14:paraId="1252626E">
      <w:pPr>
        <w:pStyle w:val="41"/>
        <w:snapToGrid w:val="0"/>
        <w:spacing w:line="460" w:lineRule="exact"/>
        <w:ind w:firstLine="435"/>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pacing w:val="0"/>
          <w:position w:val="0"/>
          <w:sz w:val="24"/>
          <w:szCs w:val="24"/>
        </w:rPr>
        <w:t>C、不具备磋商文件规定的资格要求</w:t>
      </w:r>
      <w:r>
        <w:rPr>
          <w:rFonts w:hint="eastAsia" w:ascii="华文中宋" w:hAnsi="华文中宋" w:eastAsia="华文中宋" w:cs="华文中宋"/>
          <w:color w:val="auto"/>
          <w:sz w:val="24"/>
          <w:szCs w:val="24"/>
        </w:rPr>
        <w:t>的；</w:t>
      </w:r>
    </w:p>
    <w:p w14:paraId="57908011">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D、报价超过磋商文件规定预算金额或者最高限价的；</w:t>
      </w:r>
    </w:p>
    <w:p w14:paraId="6958F038">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E、响应文件含有采购人不能接受的附加条件的；</w:t>
      </w:r>
    </w:p>
    <w:p w14:paraId="735AF80D">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F、法律、法规和磋商文件规定的其他无效情形的。</w:t>
      </w:r>
    </w:p>
    <w:p w14:paraId="396B92D0">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22</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4</w:t>
      </w:r>
      <w:r>
        <w:rPr>
          <w:rFonts w:hint="eastAsia" w:ascii="华文中宋" w:hAnsi="华文中宋" w:eastAsia="华文中宋" w:cs="华文中宋"/>
          <w:color w:val="auto"/>
          <w:sz w:val="24"/>
          <w:szCs w:val="24"/>
        </w:rPr>
        <w:t xml:space="preserve">.2在磋商过程中发现磋商有下列情形的，磋商小组应认定其磋商无效，并书面报告本级财政部门： </w:t>
      </w:r>
    </w:p>
    <w:p w14:paraId="7CB39805">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A、有恶意串通的；</w:t>
      </w:r>
    </w:p>
    <w:p w14:paraId="27D26D3E">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B、有妨碍其他磋商供应商的竞争行为的；</w:t>
      </w:r>
    </w:p>
    <w:p w14:paraId="6A217EBF">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C、有损害采购人或者其他磋商供应商的合法权益的。</w:t>
      </w:r>
    </w:p>
    <w:p w14:paraId="2AA74D74">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22</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4</w:t>
      </w:r>
      <w:r>
        <w:rPr>
          <w:rFonts w:hint="eastAsia" w:ascii="华文中宋" w:hAnsi="华文中宋" w:eastAsia="华文中宋" w:cs="华文中宋"/>
          <w:color w:val="auto"/>
          <w:sz w:val="24"/>
          <w:szCs w:val="24"/>
        </w:rPr>
        <w:t>.3磋商供应商有下列情形之一的，视为串通行为，其磋商无效：</w:t>
      </w:r>
    </w:p>
    <w:p w14:paraId="27FBE27E">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A、不同磋商供应商的响应文件由同一单位或者个人编制，或上传电子响应文件的IP地址一致的。</w:t>
      </w:r>
    </w:p>
    <w:p w14:paraId="4E3876FE">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B、不同磋商供应商委托同一单位或者个人办理磋商事宜；</w:t>
      </w:r>
    </w:p>
    <w:p w14:paraId="3884EF1F">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C、不同磋商供应商的响应文件载明的项目管理成员或者联系人为同一人；</w:t>
      </w:r>
    </w:p>
    <w:p w14:paraId="063D5588">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D、不同磋商供应商的响应文件异常一致或者报价呈规律性差异；</w:t>
      </w:r>
    </w:p>
    <w:p w14:paraId="4128BC5C">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E、不同磋商供应商的响应文件相互混装；</w:t>
      </w:r>
    </w:p>
    <w:p w14:paraId="6407A51B">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F、不同磋商供应商的保证金从同一单位或者个人的账户转出。</w:t>
      </w:r>
    </w:p>
    <w:p w14:paraId="6445B1E2">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22</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4</w:t>
      </w:r>
      <w:r>
        <w:rPr>
          <w:rFonts w:hint="eastAsia" w:ascii="华文中宋" w:hAnsi="华文中宋" w:eastAsia="华文中宋" w:cs="华文中宋"/>
          <w:color w:val="auto"/>
          <w:sz w:val="24"/>
          <w:szCs w:val="24"/>
        </w:rPr>
        <w:t xml:space="preserve">.4审查中，对明显的文字和计算错误按下述原则处理： </w:t>
      </w:r>
    </w:p>
    <w:p w14:paraId="17FD8229">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A、如果正本与副本不一致，以正本为准；</w:t>
      </w:r>
    </w:p>
    <w:p w14:paraId="25366B92">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B、报价一览表内容与响应文件中相应内容不一致的,以报价一览表为准；</w:t>
      </w:r>
    </w:p>
    <w:p w14:paraId="47134329">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C、大写金额和小写金额不一致的，以大写金额为准；</w:t>
      </w:r>
    </w:p>
    <w:p w14:paraId="1020BEB1">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D、单价金额小数点或百分比有明显错误的，以报价一览表的总价为准，并修改单价；</w:t>
      </w:r>
    </w:p>
    <w:p w14:paraId="6C01242D">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E、总价金额与按单价汇总金额不一致的，以单价金额计算结果为准； </w:t>
      </w:r>
    </w:p>
    <w:p w14:paraId="34D25A2C">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磋商小组将要求磋商供应商按上述原则以书面形式调整确认，磋商供应商确认后的报价对磋商供应商具有约束力，如果磋商供应商不予确认，其磋商无效。</w:t>
      </w:r>
    </w:p>
    <w:p w14:paraId="74DAD829">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22.4</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未通过资格性检查或未实质性响应磋商文件</w:t>
      </w:r>
      <w:r>
        <w:rPr>
          <w:rFonts w:hint="eastAsia" w:ascii="华文中宋" w:hAnsi="华文中宋" w:eastAsia="华文中宋" w:cs="华文中宋"/>
          <w:bCs/>
          <w:color w:val="auto"/>
          <w:sz w:val="24"/>
          <w:szCs w:val="24"/>
        </w:rPr>
        <w:t>规定要求的响应文件按无效处理，</w:t>
      </w:r>
      <w:r>
        <w:rPr>
          <w:rFonts w:hint="eastAsia" w:ascii="华文中宋" w:hAnsi="华文中宋" w:eastAsia="华文中宋" w:cs="华文中宋"/>
          <w:color w:val="auto"/>
          <w:sz w:val="24"/>
          <w:szCs w:val="24"/>
        </w:rPr>
        <w:t>磋商小组须及时告知有关磋商供应商。</w:t>
      </w:r>
    </w:p>
    <w:p w14:paraId="0C482048">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22.4</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实质性响应的响应文件是指与磋商文件的条款、条件和规格相符，根据本磋商文件规定的审查内容，经磋商小组认定的没有重大偏离或保留的响应文件。</w:t>
      </w:r>
    </w:p>
    <w:p w14:paraId="6C37594D">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22.4</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 xml:space="preserve"> 重大偏离或保留系指磋商供应商提供的</w:t>
      </w:r>
      <w:r>
        <w:rPr>
          <w:rFonts w:hint="eastAsia" w:ascii="华文中宋" w:hAnsi="华文中宋" w:eastAsia="华文中宋" w:cs="华文中宋"/>
          <w:color w:val="auto"/>
          <w:sz w:val="24"/>
          <w:szCs w:val="24"/>
          <w:lang w:val="en-US" w:eastAsia="zh-CN"/>
        </w:rPr>
        <w:t>施工方案、工期</w:t>
      </w:r>
      <w:r>
        <w:rPr>
          <w:rFonts w:hint="eastAsia" w:ascii="华文中宋" w:hAnsi="华文中宋" w:eastAsia="华文中宋" w:cs="华文中宋"/>
          <w:color w:val="auto"/>
          <w:sz w:val="24"/>
          <w:szCs w:val="24"/>
        </w:rPr>
        <w:t>等明显不能满足磋商文件的要求，或者实质上与磋商文件不一致，而且限制了采购人的权利或磋商供应商的义务，纠正这些偏离或保留将对其他实质上响应要求的磋商供应商的竞争地位产生不公正的影响。</w:t>
      </w:r>
    </w:p>
    <w:p w14:paraId="7D1A7D8B">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23</w:t>
      </w:r>
      <w:r>
        <w:rPr>
          <w:rFonts w:hint="eastAsia" w:ascii="华文中宋" w:hAnsi="华文中宋" w:eastAsia="华文中宋" w:cs="华文中宋"/>
          <w:b/>
          <w:color w:val="auto"/>
          <w:sz w:val="24"/>
          <w:szCs w:val="24"/>
        </w:rPr>
        <w:t>．</w:t>
      </w:r>
      <w:r>
        <w:rPr>
          <w:rFonts w:hint="eastAsia" w:ascii="华文中宋" w:hAnsi="华文中宋" w:eastAsia="华文中宋" w:cs="华文中宋"/>
          <w:b/>
          <w:bCs/>
          <w:color w:val="auto"/>
          <w:sz w:val="24"/>
          <w:szCs w:val="24"/>
        </w:rPr>
        <w:t>磋商</w:t>
      </w:r>
    </w:p>
    <w:p w14:paraId="5362FBB8">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.1 磋商小组所有成员集中与单一磋商供应商分别进行磋商，并给予所有参加磋商的磋商供应商平等的磋商机会。</w:t>
      </w:r>
    </w:p>
    <w:p w14:paraId="640D3BDF">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.2 磋商的顺序，按照参加磋商的磋商供应商签到的顺序进行。</w:t>
      </w:r>
    </w:p>
    <w:p w14:paraId="19D5B78F">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.3 磋商内容包括</w:t>
      </w:r>
      <w:r>
        <w:rPr>
          <w:rFonts w:hint="eastAsia" w:ascii="华文中宋" w:hAnsi="华文中宋" w:eastAsia="华文中宋" w:cs="华文中宋"/>
          <w:color w:val="auto"/>
          <w:sz w:val="24"/>
          <w:szCs w:val="24"/>
          <w:lang w:val="en-US" w:eastAsia="zh-CN"/>
        </w:rPr>
        <w:t>技术标准和要求、工期、价格、施工方案</w:t>
      </w:r>
      <w:r>
        <w:rPr>
          <w:rFonts w:hint="eastAsia" w:ascii="华文中宋" w:hAnsi="华文中宋" w:eastAsia="华文中宋" w:cs="华文中宋"/>
          <w:color w:val="auto"/>
          <w:sz w:val="24"/>
          <w:szCs w:val="24"/>
        </w:rPr>
        <w:t>等</w:t>
      </w:r>
      <w:r>
        <w:rPr>
          <w:rFonts w:hint="eastAsia" w:ascii="华文中宋" w:hAnsi="华文中宋" w:eastAsia="华文中宋" w:cs="华文中宋"/>
          <w:color w:val="auto"/>
          <w:sz w:val="24"/>
          <w:szCs w:val="24"/>
          <w:lang w:val="en-US" w:eastAsia="zh-CN"/>
        </w:rPr>
        <w:t>采购需求</w:t>
      </w:r>
      <w:r>
        <w:rPr>
          <w:rFonts w:hint="eastAsia" w:ascii="华文中宋" w:hAnsi="华文中宋" w:eastAsia="华文中宋" w:cs="华文中宋"/>
          <w:color w:val="auto"/>
          <w:sz w:val="24"/>
          <w:szCs w:val="24"/>
        </w:rPr>
        <w:t>以及磋商小组认为有必要明确的其它问题。</w:t>
      </w:r>
    </w:p>
    <w:p w14:paraId="13A859EA">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磋商时，磋商小组根据情况，可以要求或同意磋商供应商就某些磋商事项作出明确的承诺，作为响应文件的组成部分。</w:t>
      </w:r>
    </w:p>
    <w:p w14:paraId="07F06D1E">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.4</w:t>
      </w:r>
      <w:r>
        <w:rPr>
          <w:rFonts w:hint="eastAsia" w:ascii="华文中宋" w:hAnsi="华文中宋" w:eastAsia="华文中宋" w:cs="华文中宋"/>
          <w:color w:val="auto"/>
          <w:sz w:val="24"/>
          <w:szCs w:val="24"/>
          <w:highlight w:val="none"/>
        </w:rPr>
        <w:t>磋商供应商须知前附表</w:t>
      </w:r>
      <w:r>
        <w:rPr>
          <w:rFonts w:hint="eastAsia" w:ascii="华文中宋" w:hAnsi="华文中宋" w:eastAsia="华文中宋" w:cs="华文中宋"/>
          <w:color w:val="auto"/>
          <w:sz w:val="24"/>
          <w:szCs w:val="24"/>
        </w:rPr>
        <w:t>明确本项目的</w:t>
      </w:r>
      <w:r>
        <w:rPr>
          <w:rFonts w:hint="eastAsia" w:ascii="华文中宋" w:hAnsi="华文中宋" w:eastAsia="华文中宋" w:cs="华文中宋"/>
          <w:color w:val="auto"/>
          <w:sz w:val="24"/>
          <w:szCs w:val="24"/>
          <w:lang w:val="en-US" w:eastAsia="zh-CN"/>
        </w:rPr>
        <w:t>技术标准及</w:t>
      </w:r>
      <w:r>
        <w:rPr>
          <w:rFonts w:hint="eastAsia" w:ascii="华文中宋" w:hAnsi="华文中宋" w:eastAsia="华文中宋" w:cs="华文中宋"/>
          <w:color w:val="auto"/>
          <w:sz w:val="24"/>
          <w:szCs w:val="24"/>
        </w:rPr>
        <w:t>要求和合同草案在磋商过程中不作任何实质性变动，磋商供应商的响应文件全部实质性响应了磋商文件的要求，在满足3家以上磋商供应商的竞争要求的情况下，进入最后报价。</w:t>
      </w:r>
    </w:p>
    <w:p w14:paraId="4E570B4B">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.5</w:t>
      </w:r>
      <w:r>
        <w:rPr>
          <w:rFonts w:hint="eastAsia" w:ascii="华文中宋" w:hAnsi="华文中宋" w:eastAsia="华文中宋" w:cs="华文中宋"/>
          <w:color w:val="auto"/>
          <w:sz w:val="24"/>
          <w:szCs w:val="24"/>
          <w:highlight w:val="none"/>
        </w:rPr>
        <w:t>磋商供应商须知前</w:t>
      </w:r>
      <w:r>
        <w:rPr>
          <w:rFonts w:hint="eastAsia" w:ascii="华文中宋" w:hAnsi="华文中宋" w:eastAsia="华文中宋" w:cs="华文中宋"/>
          <w:color w:val="auto"/>
          <w:sz w:val="24"/>
          <w:szCs w:val="24"/>
        </w:rPr>
        <w:t>明确了在磋商过程中可能进行实质性变动本项目的</w:t>
      </w:r>
      <w:r>
        <w:rPr>
          <w:rFonts w:hint="eastAsia" w:ascii="华文中宋" w:hAnsi="华文中宋" w:eastAsia="华文中宋" w:cs="华文中宋"/>
          <w:color w:val="auto"/>
          <w:sz w:val="24"/>
          <w:szCs w:val="24"/>
          <w:lang w:val="en-US" w:eastAsia="zh-CN"/>
        </w:rPr>
        <w:t>技术标准及</w:t>
      </w:r>
      <w:r>
        <w:rPr>
          <w:rFonts w:hint="eastAsia" w:ascii="华文中宋" w:hAnsi="华文中宋" w:eastAsia="华文中宋" w:cs="华文中宋"/>
          <w:color w:val="auto"/>
          <w:sz w:val="24"/>
          <w:szCs w:val="24"/>
        </w:rPr>
        <w:t>要求和合同草案的内容，但在磋商过程中，磋商小组根据磋商情况，不进行任何实质性变动，磋商供应商的响应文件全部实质性响应了磋商文件的要求，在满足3家以上磋商供应商的竞争要求的情况下，进入最后报价。</w:t>
      </w:r>
    </w:p>
    <w:p w14:paraId="313767F4">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.6</w:t>
      </w:r>
      <w:r>
        <w:rPr>
          <w:rFonts w:hint="eastAsia" w:ascii="华文中宋" w:hAnsi="华文中宋" w:eastAsia="华文中宋" w:cs="华文中宋"/>
          <w:color w:val="auto"/>
          <w:sz w:val="24"/>
          <w:szCs w:val="24"/>
          <w:highlight w:val="none"/>
        </w:rPr>
        <w:t>磋商供应商须知前附表</w:t>
      </w:r>
      <w:r>
        <w:rPr>
          <w:rFonts w:hint="eastAsia" w:ascii="华文中宋" w:hAnsi="华文中宋" w:eastAsia="华文中宋" w:cs="华文中宋"/>
          <w:color w:val="auto"/>
          <w:sz w:val="24"/>
          <w:szCs w:val="24"/>
        </w:rPr>
        <w:t>明确了在磋商过程中可能进行实质性变动本项目的</w:t>
      </w:r>
      <w:r>
        <w:rPr>
          <w:rFonts w:hint="eastAsia" w:ascii="华文中宋" w:hAnsi="华文中宋" w:eastAsia="华文中宋" w:cs="华文中宋"/>
          <w:color w:val="auto"/>
          <w:sz w:val="24"/>
          <w:szCs w:val="24"/>
          <w:lang w:val="en-US" w:eastAsia="zh-CN"/>
        </w:rPr>
        <w:t>技术标准及</w:t>
      </w:r>
      <w:r>
        <w:rPr>
          <w:rFonts w:hint="eastAsia" w:ascii="华文中宋" w:hAnsi="华文中宋" w:eastAsia="华文中宋" w:cs="华文中宋"/>
          <w:color w:val="auto"/>
          <w:sz w:val="24"/>
          <w:szCs w:val="24"/>
        </w:rPr>
        <w:t>要求和合同草案的内容，在磋商过程中，磋商小组根据磋商情况，按照明确的可能实质性变动的内容，经采购人代表确认后，进行实质性变动，代理机构将及时通知所有参加磋商的磋商供应商，使每个磋商供应商均同时获得磋商文件的变动情况，磋商供应商接到该书面通知要按照代理机构要求由磋商供应商代表签字确认。</w:t>
      </w:r>
    </w:p>
    <w:p w14:paraId="25AC63B5">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.7 对磋商文件作出的实质性变动的内容是磋商文件的有效组成部分，该书面通知由磋商小组成员共同签字。</w:t>
      </w:r>
    </w:p>
    <w:p w14:paraId="08A9B0E0">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8 发生实质性变动时，磋商供应商应当按照磋商文件的变动情况和磋商小组的要求重新提交响应文件。重新提交响应文件包括现场提交响应文件补充文件的形式和另行约定时间提交响应文件的形式。</w:t>
      </w:r>
    </w:p>
    <w:p w14:paraId="137E16AB">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.8.1 如发生的实质性变动内容较简单，参加磋商的供应商在磋商现场能够做出书面承诺，并且经磋商小组认可，可以以提交响应文件补充文件的形式提交响应文件。</w:t>
      </w:r>
    </w:p>
    <w:p w14:paraId="1FD5EB9D">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.8.2 如发生的实质性变动内容较复杂，参加磋商的供应商在磋商现场不能马上做出承诺，而必须给予一定的时间根据实质性变动的内容重新制作响应文件，则在磋商现场由磋商小组另行约定时间提交响应文件。</w:t>
      </w:r>
    </w:p>
    <w:p w14:paraId="08DBE76C">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.9 磋商供应商按照磋商文件变动情况和磋商小组要求重新提交的响应文件，除要对磋商文件变动的内容做出实质性响应外，还要做出新的一轮报价。</w:t>
      </w:r>
    </w:p>
    <w:p w14:paraId="02A96945">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.10磋商小组应对磋商供应商重新提交的响应文件按照本文件第23.13条要求进行审查。</w:t>
      </w:r>
    </w:p>
    <w:p w14:paraId="76E2DD3E">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.11根据磋商文件（包括实质性变动的内容）和磋商供应商重新提交的响应文件，磋商小组所有成员集中与单一磋商供应商分别进行新一轮的磋商。</w:t>
      </w:r>
    </w:p>
    <w:p w14:paraId="63FE8A60">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.12 经磋商、审查，磋商供应商重新提交的响应文件全部实质性响应了磋商文件的要求，在满足3家以上磋商供应商的竞争要求的情况下，进入最后报价。</w:t>
      </w:r>
    </w:p>
    <w:p w14:paraId="39933292">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.13 磋商过程中，磋商供应商的所有包括书面承诺、书面补充文件以及重新提交的响应文件，必须由法定代表人（负责人）签字或其授权代表签字或者加盖公章。由授权代表签字的，应当附法定代表人授权书。磋商供应商为自然人的，应当由本人签字并附身份证明。</w:t>
      </w:r>
    </w:p>
    <w:p w14:paraId="59A9DBF8">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23</w:t>
      </w:r>
      <w:r>
        <w:rPr>
          <w:rFonts w:hint="eastAsia" w:ascii="华文中宋" w:hAnsi="华文中宋" w:eastAsia="华文中宋" w:cs="华文中宋"/>
          <w:color w:val="auto"/>
          <w:sz w:val="24"/>
          <w:szCs w:val="24"/>
        </w:rPr>
        <w:t>.14 已提交响应文件的供应商，在提交最后报价之前，可以根据磋商情况退出磋商，退出磋商要求书面提出，并由法定代表人（负责人）签字或其授权代表签字或者加盖公章。</w:t>
      </w:r>
    </w:p>
    <w:p w14:paraId="3F6D85F5">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
          <w:i/>
          <w:color w:val="auto"/>
          <w:sz w:val="24"/>
          <w:szCs w:val="24"/>
        </w:rPr>
      </w:pPr>
      <w:r>
        <w:rPr>
          <w:rFonts w:hint="eastAsia" w:ascii="华文中宋" w:hAnsi="华文中宋" w:eastAsia="华文中宋" w:cs="华文中宋"/>
          <w:b/>
          <w:color w:val="auto"/>
          <w:sz w:val="24"/>
          <w:szCs w:val="24"/>
          <w:lang w:val="en-US" w:eastAsia="zh-CN"/>
        </w:rPr>
        <w:t>24</w:t>
      </w:r>
      <w:r>
        <w:rPr>
          <w:rFonts w:hint="eastAsia" w:ascii="华文中宋" w:hAnsi="华文中宋" w:eastAsia="华文中宋" w:cs="华文中宋"/>
          <w:b/>
          <w:color w:val="auto"/>
          <w:sz w:val="24"/>
          <w:szCs w:val="24"/>
        </w:rPr>
        <w:t>. 最后报价</w:t>
      </w:r>
    </w:p>
    <w:p w14:paraId="6AAC98C6">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lang w:val="en-US" w:eastAsia="zh-CN"/>
        </w:rPr>
        <w:t>24</w:t>
      </w:r>
      <w:r>
        <w:rPr>
          <w:rFonts w:hint="eastAsia" w:ascii="华文中宋" w:hAnsi="华文中宋" w:eastAsia="华文中宋" w:cs="华文中宋"/>
          <w:bCs/>
          <w:color w:val="auto"/>
          <w:sz w:val="24"/>
          <w:szCs w:val="24"/>
        </w:rPr>
        <w:t>.1磋商结束后，磋商小组将在“政采云平台”中下达最后报价通知及最后报价截止时间，磋商供应商在政采云平台进行最后报价，点击【提交】完成最后报价。最后报价是响应文件有效的组成部分。</w:t>
      </w:r>
    </w:p>
    <w:p w14:paraId="4D87F3A6">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2</w:t>
      </w:r>
      <w:r>
        <w:rPr>
          <w:rFonts w:hint="eastAsia" w:ascii="华文中宋" w:hAnsi="华文中宋" w:eastAsia="华文中宋" w:cs="华文中宋"/>
          <w:bCs/>
          <w:color w:val="auto"/>
          <w:sz w:val="24"/>
          <w:szCs w:val="24"/>
          <w:lang w:val="en-US" w:eastAsia="zh-CN"/>
        </w:rPr>
        <w:t>4</w:t>
      </w:r>
      <w:r>
        <w:rPr>
          <w:rFonts w:hint="eastAsia" w:ascii="华文中宋" w:hAnsi="华文中宋" w:eastAsia="华文中宋" w:cs="华文中宋"/>
          <w:bCs/>
          <w:color w:val="auto"/>
          <w:sz w:val="24"/>
          <w:szCs w:val="24"/>
        </w:rPr>
        <w:t>.2磋商供应商应在自行准备的电脑终端设备上及时关注磋商小组下达的最后报价通知，不论何种原因，磋商供应商如未在规定时间内完成最后报价，视为主动退出磋商。</w:t>
      </w:r>
    </w:p>
    <w:p w14:paraId="77B62A00">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2</w:t>
      </w:r>
      <w:r>
        <w:rPr>
          <w:rFonts w:hint="eastAsia" w:ascii="华文中宋" w:hAnsi="华文中宋" w:eastAsia="华文中宋" w:cs="华文中宋"/>
          <w:bCs/>
          <w:color w:val="auto"/>
          <w:sz w:val="24"/>
          <w:szCs w:val="24"/>
          <w:lang w:val="en-US" w:eastAsia="zh-CN"/>
        </w:rPr>
        <w:t>4</w:t>
      </w:r>
      <w:r>
        <w:rPr>
          <w:rFonts w:hint="eastAsia" w:ascii="华文中宋" w:hAnsi="华文中宋" w:eastAsia="华文中宋" w:cs="华文中宋"/>
          <w:bCs/>
          <w:color w:val="auto"/>
          <w:sz w:val="24"/>
          <w:szCs w:val="24"/>
        </w:rPr>
        <w:t>.3供应商的最后报价需填写具体价格。</w:t>
      </w:r>
    </w:p>
    <w:p w14:paraId="21229584">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2</w:t>
      </w:r>
      <w:r>
        <w:rPr>
          <w:rFonts w:hint="eastAsia" w:ascii="华文中宋" w:hAnsi="华文中宋" w:eastAsia="华文中宋" w:cs="华文中宋"/>
          <w:bCs/>
          <w:color w:val="auto"/>
          <w:sz w:val="24"/>
          <w:szCs w:val="24"/>
          <w:lang w:val="en-US" w:eastAsia="zh-CN"/>
        </w:rPr>
        <w:t>4</w:t>
      </w:r>
      <w:r>
        <w:rPr>
          <w:rFonts w:hint="eastAsia" w:ascii="华文中宋" w:hAnsi="华文中宋" w:eastAsia="华文中宋" w:cs="华文中宋"/>
          <w:bCs/>
          <w:color w:val="auto"/>
          <w:sz w:val="24"/>
          <w:szCs w:val="24"/>
        </w:rPr>
        <w:t>.4当所有供应商完成最后报价后，“政采云评标系统”将所有磋商供应商的最后报价一次性统一显示给磋商小组。</w:t>
      </w:r>
    </w:p>
    <w:p w14:paraId="5A60CFD5">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5</w:t>
      </w:r>
      <w:r>
        <w:rPr>
          <w:rFonts w:hint="eastAsia" w:ascii="华文中宋" w:hAnsi="华文中宋" w:eastAsia="华文中宋" w:cs="华文中宋"/>
          <w:b/>
          <w:color w:val="auto"/>
          <w:sz w:val="24"/>
          <w:szCs w:val="24"/>
        </w:rPr>
        <w:t>.综合评审</w:t>
      </w:r>
    </w:p>
    <w:p w14:paraId="0792ADB3">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.1 经磋商确定最终采购需求和提交最后报价的供应商后，由磋商小组采用综合评分法对提交最后报价的磋商供应商的响应文件和最后报价进行综合评分。</w:t>
      </w:r>
    </w:p>
    <w:p w14:paraId="7E374DCC">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.2 采用综合评分法评审，应按照磋商文件</w:t>
      </w:r>
      <w:r>
        <w:rPr>
          <w:rFonts w:hint="eastAsia" w:ascii="华文中宋" w:hAnsi="华文中宋" w:eastAsia="华文中宋" w:cs="华文中宋"/>
          <w:bCs/>
          <w:color w:val="auto"/>
          <w:sz w:val="24"/>
          <w:szCs w:val="24"/>
        </w:rPr>
        <w:t>第六部分评定和成交标准</w:t>
      </w:r>
      <w:r>
        <w:rPr>
          <w:rFonts w:hint="eastAsia" w:ascii="华文中宋" w:hAnsi="华文中宋" w:eastAsia="华文中宋" w:cs="华文中宋"/>
          <w:color w:val="auto"/>
          <w:sz w:val="24"/>
          <w:szCs w:val="24"/>
        </w:rPr>
        <w:t>中规定的综合评分法评分细则进行。</w:t>
      </w:r>
    </w:p>
    <w:p w14:paraId="6F9D9C8B">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6</w:t>
      </w:r>
      <w:r>
        <w:rPr>
          <w:rFonts w:hint="eastAsia" w:ascii="华文中宋" w:hAnsi="华文中宋" w:eastAsia="华文中宋" w:cs="华文中宋"/>
          <w:b/>
          <w:color w:val="auto"/>
          <w:sz w:val="24"/>
          <w:szCs w:val="24"/>
        </w:rPr>
        <w:t>. 推荐成交候选供应商</w:t>
      </w:r>
    </w:p>
    <w:p w14:paraId="4F2EE0E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.1 磋商小组根据</w:t>
      </w:r>
      <w:r>
        <w:rPr>
          <w:rFonts w:hint="eastAsia" w:ascii="华文中宋" w:hAnsi="华文中宋" w:eastAsia="华文中宋" w:cs="华文中宋"/>
          <w:bCs/>
          <w:color w:val="auto"/>
          <w:sz w:val="24"/>
          <w:szCs w:val="24"/>
        </w:rPr>
        <w:t>综合评分情况，</w:t>
      </w:r>
      <w:r>
        <w:rPr>
          <w:rFonts w:hint="eastAsia" w:ascii="华文中宋" w:hAnsi="华文中宋" w:eastAsia="华文中宋" w:cs="华文中宋"/>
          <w:color w:val="auto"/>
          <w:sz w:val="24"/>
          <w:szCs w:val="24"/>
        </w:rPr>
        <w:t>按评审得分由高到低顺序推荐成交候选供应商，得分相同的，按最后报价由低到高顺序排列。得分和最后报价均相同的，按技术指标优劣顺序排列。</w:t>
      </w:r>
    </w:p>
    <w:p w14:paraId="33EA2D66">
      <w:pPr>
        <w:pStyle w:val="41"/>
        <w:keepNext w:val="0"/>
        <w:keepLines w:val="0"/>
        <w:pageBreakBefore w:val="0"/>
        <w:widowControl w:val="0"/>
        <w:kinsoku/>
        <w:wordWrap w:val="0"/>
        <w:overflowPunct/>
        <w:topLinePunct/>
        <w:autoSpaceDE/>
        <w:autoSpaceDN/>
        <w:bidi w:val="0"/>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.2 磋商小组组长根据磋商过程中形成的原始记录和评审结果编写评审报告，由磋商小组全体人员签字认可。</w:t>
      </w:r>
    </w:p>
    <w:p w14:paraId="36A6BBFE">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7</w:t>
      </w:r>
      <w:r>
        <w:rPr>
          <w:rFonts w:hint="eastAsia" w:ascii="华文中宋" w:hAnsi="华文中宋" w:eastAsia="华文中宋" w:cs="华文中宋"/>
          <w:b/>
          <w:color w:val="auto"/>
          <w:sz w:val="24"/>
          <w:szCs w:val="24"/>
        </w:rPr>
        <w:t xml:space="preserve">. 评审复核    </w:t>
      </w:r>
    </w:p>
    <w:p w14:paraId="64DAB80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.1评审结果汇总完成后，除下列情形外，任何人不得修改评审结果：</w:t>
      </w:r>
    </w:p>
    <w:p w14:paraId="69A63D2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A、分值汇总计算错误的；</w:t>
      </w:r>
    </w:p>
    <w:p w14:paraId="7B7A68B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B、分项评分超出评分标准范围的；</w:t>
      </w:r>
    </w:p>
    <w:p w14:paraId="16623CB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C、磋商小组对客观评审因素评分不一致的；</w:t>
      </w:r>
    </w:p>
    <w:p w14:paraId="1994544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D、经磋商小组认定评分畸高、畸低的；</w:t>
      </w:r>
    </w:p>
    <w:p w14:paraId="69C62E1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44A5441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8</w:t>
      </w:r>
      <w:r>
        <w:rPr>
          <w:rFonts w:hint="eastAsia" w:ascii="华文中宋" w:hAnsi="华文中宋" w:eastAsia="华文中宋" w:cs="华文中宋"/>
          <w:b/>
          <w:color w:val="auto"/>
          <w:sz w:val="24"/>
          <w:szCs w:val="24"/>
        </w:rPr>
        <w:t>. 磋商保密</w:t>
      </w:r>
    </w:p>
    <w:p w14:paraId="69D89C0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.1采购人、采购代理机构要采取必要措施，保证磋商在严格保密的情况下进行。除采购人代表、磋商现场组织人员外，采购人的其他工作人员以及与磋商工作无关的人员不得进入磋商现场。</w:t>
      </w:r>
    </w:p>
    <w:p w14:paraId="6C2769B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.2有关人员对磋商情况以及在磋商过程中获悉的国家秘密、商业秘密负有保密责任；任何人不得透露与磋商有关的其他磋商供应商的技术资料、价格和其他信息。</w:t>
      </w:r>
    </w:p>
    <w:p w14:paraId="294E2E04">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.3 磋商结束后，参与评审磋商的所有人员不得带走磋商现场的任何资料。</w:t>
      </w:r>
    </w:p>
    <w:p w14:paraId="5E946BC6">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9</w:t>
      </w:r>
      <w:r>
        <w:rPr>
          <w:rFonts w:hint="eastAsia" w:ascii="华文中宋" w:hAnsi="华文中宋" w:eastAsia="华文中宋" w:cs="华文中宋"/>
          <w:b/>
          <w:color w:val="auto"/>
          <w:sz w:val="24"/>
          <w:szCs w:val="24"/>
        </w:rPr>
        <w:t>. 关于磋商供应商瑕疵滞后发现的处理规则</w:t>
      </w:r>
    </w:p>
    <w:p w14:paraId="39D8D5F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438C14B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bCs/>
          <w:color w:val="auto"/>
          <w:sz w:val="24"/>
          <w:szCs w:val="24"/>
          <w:lang w:val="en-US" w:eastAsia="zh-CN"/>
        </w:rPr>
        <w:t>30</w:t>
      </w:r>
      <w:r>
        <w:rPr>
          <w:rFonts w:hint="eastAsia" w:ascii="华文中宋" w:hAnsi="华文中宋" w:eastAsia="华文中宋" w:cs="华文中宋"/>
          <w:b/>
          <w:bCs/>
          <w:color w:val="auto"/>
          <w:sz w:val="24"/>
          <w:szCs w:val="24"/>
        </w:rPr>
        <w:t>. 采购项目终止</w:t>
      </w:r>
    </w:p>
    <w:p w14:paraId="261FE22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30</w:t>
      </w:r>
      <w:r>
        <w:rPr>
          <w:rFonts w:hint="eastAsia" w:ascii="华文中宋" w:hAnsi="华文中宋" w:eastAsia="华文中宋" w:cs="华文中宋"/>
          <w:color w:val="auto"/>
          <w:sz w:val="24"/>
          <w:szCs w:val="24"/>
        </w:rPr>
        <w:t>.1 出现下列情形之一的，终止本次磋商活动：</w:t>
      </w:r>
    </w:p>
    <w:p w14:paraId="448F908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A、符合专业条件的磋商供应商或者对磋商文件作实质响应的供应商数量不足3家的；</w:t>
      </w:r>
    </w:p>
    <w:p w14:paraId="5D95D08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B、磋商供应商的报价均超过采购预算或最高限价的；</w:t>
      </w:r>
    </w:p>
    <w:p w14:paraId="4EDA514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C、出现影响采购公正的违法、违规行为的；</w:t>
      </w:r>
    </w:p>
    <w:p w14:paraId="7F1F7AA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D、因重大变故，采购任务取消的。</w:t>
      </w:r>
    </w:p>
    <w:p w14:paraId="3EA73D5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30</w:t>
      </w:r>
      <w:r>
        <w:rPr>
          <w:rFonts w:hint="eastAsia" w:ascii="华文中宋" w:hAnsi="华文中宋" w:eastAsia="华文中宋" w:cs="华文中宋"/>
          <w:color w:val="auto"/>
          <w:sz w:val="24"/>
          <w:szCs w:val="24"/>
        </w:rPr>
        <w:t>.2 项目终止磋商后，磋商小组应做出书面报告，采购代理机构将在财政部门指定的媒体上发布项目终止公告。</w:t>
      </w:r>
    </w:p>
    <w:p w14:paraId="3DB6BF8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30</w:t>
      </w:r>
      <w:r>
        <w:rPr>
          <w:rFonts w:hint="eastAsia" w:ascii="华文中宋" w:hAnsi="华文中宋" w:eastAsia="华文中宋" w:cs="华文中宋"/>
          <w:color w:val="auto"/>
          <w:sz w:val="24"/>
          <w:szCs w:val="24"/>
        </w:rPr>
        <w:t>.3 如本项目属于市场竞争不充分的科研项目，以及需要扶持的科技成果转化项目，符合竞争要求的提交最后报价的磋商供应商可以是2家，而不被终止。</w:t>
      </w:r>
    </w:p>
    <w:p w14:paraId="6BCAC47F">
      <w:pPr>
        <w:keepNext w:val="0"/>
        <w:keepLines w:val="0"/>
        <w:pageBreakBefore w:val="0"/>
        <w:widowControl w:val="0"/>
        <w:kinsoku/>
        <w:wordWrap w:val="0"/>
        <w:overflowPunct/>
        <w:topLinePunct/>
        <w:autoSpaceDE/>
        <w:autoSpaceDN/>
        <w:bidi w:val="0"/>
        <w:spacing w:line="360" w:lineRule="auto"/>
        <w:ind w:left="420"/>
        <w:outlineLvl w:val="9"/>
        <w:rPr>
          <w:rFonts w:hint="eastAsia" w:ascii="华文中宋" w:hAnsi="华文中宋" w:eastAsia="华文中宋" w:cs="华文中宋"/>
          <w:color w:val="auto"/>
          <w:sz w:val="24"/>
          <w:szCs w:val="24"/>
        </w:rPr>
      </w:pPr>
      <w:bookmarkStart w:id="18" w:name="_Toc17292"/>
      <w:bookmarkStart w:id="19" w:name="_Toc17210"/>
      <w:r>
        <w:rPr>
          <w:rFonts w:hint="eastAsia" w:ascii="华文中宋" w:hAnsi="华文中宋" w:eastAsia="华文中宋" w:cs="华文中宋"/>
          <w:color w:val="auto"/>
          <w:sz w:val="24"/>
          <w:szCs w:val="24"/>
        </w:rPr>
        <w:t>六、签订合同</w:t>
      </w:r>
      <w:bookmarkEnd w:id="18"/>
      <w:bookmarkEnd w:id="19"/>
    </w:p>
    <w:p w14:paraId="52ACFEE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lang w:val="en-US" w:eastAsia="zh-CN"/>
        </w:rPr>
        <w:t>31</w:t>
      </w:r>
      <w:r>
        <w:rPr>
          <w:rFonts w:hint="eastAsia" w:ascii="华文中宋" w:hAnsi="华文中宋" w:eastAsia="华文中宋" w:cs="华文中宋"/>
          <w:b/>
          <w:bCs/>
          <w:color w:val="auto"/>
          <w:sz w:val="24"/>
          <w:szCs w:val="24"/>
        </w:rPr>
        <w:t>．成交通知</w:t>
      </w:r>
    </w:p>
    <w:p w14:paraId="61BE663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31</w:t>
      </w:r>
      <w:r>
        <w:rPr>
          <w:rFonts w:hint="eastAsia" w:ascii="华文中宋" w:hAnsi="华文中宋" w:eastAsia="华文中宋" w:cs="华文中宋"/>
          <w:color w:val="auto"/>
          <w:sz w:val="24"/>
          <w:szCs w:val="24"/>
        </w:rPr>
        <w:t>.1 成交供应商确定后，代理机构将在刊登本次磋商公告的媒体上发布成交公告，并向成交磋商供应商发出成交通知书，但该成交结果的有效性不依赖于未成交的磋商供应商是否知道成交结果。成交通知书对采购人和成交人具有同等法律效力。成交通知书发出以后，采购人改变成交结果或者成交供应商放弃成交，应当承担相应的法律责任。</w:t>
      </w:r>
    </w:p>
    <w:p w14:paraId="27646FD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31</w:t>
      </w:r>
      <w:r>
        <w:rPr>
          <w:rFonts w:hint="eastAsia" w:ascii="华文中宋" w:hAnsi="华文中宋" w:eastAsia="华文中宋" w:cs="华文中宋"/>
          <w:color w:val="auto"/>
          <w:sz w:val="24"/>
          <w:szCs w:val="24"/>
        </w:rPr>
        <w:t>.2 代理机构对未成交的磋商供应商不作未成交原因的解释。</w:t>
      </w:r>
    </w:p>
    <w:p w14:paraId="50EF1D0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32.</w:t>
      </w:r>
      <w:r>
        <w:rPr>
          <w:rFonts w:hint="eastAsia" w:ascii="华文中宋" w:hAnsi="华文中宋" w:eastAsia="华文中宋" w:cs="华文中宋"/>
          <w:color w:val="auto"/>
          <w:sz w:val="24"/>
          <w:szCs w:val="24"/>
        </w:rPr>
        <w:t>3 成交通知书是合同的组成部分。</w:t>
      </w:r>
    </w:p>
    <w:p w14:paraId="04E34F2D">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lang w:val="en-US" w:eastAsia="zh-CN"/>
        </w:rPr>
        <w:t>33</w:t>
      </w:r>
      <w:r>
        <w:rPr>
          <w:rFonts w:hint="eastAsia" w:ascii="华文中宋" w:hAnsi="华文中宋" w:eastAsia="华文中宋" w:cs="华文中宋"/>
          <w:b/>
          <w:bCs/>
          <w:color w:val="auto"/>
          <w:sz w:val="24"/>
          <w:szCs w:val="24"/>
        </w:rPr>
        <w:t>．签订合同</w:t>
      </w:r>
    </w:p>
    <w:p w14:paraId="7CB6289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33</w:t>
      </w:r>
      <w:r>
        <w:rPr>
          <w:rFonts w:hint="eastAsia" w:ascii="华文中宋" w:hAnsi="华文中宋" w:eastAsia="华文中宋" w:cs="华文中宋"/>
          <w:color w:val="auto"/>
          <w:sz w:val="24"/>
          <w:szCs w:val="24"/>
        </w:rPr>
        <w:t>.1 成交供应商应在接到成交通知书30日内与采购人签订政府采购合同。</w:t>
      </w:r>
    </w:p>
    <w:p w14:paraId="67154D0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33</w:t>
      </w:r>
      <w:r>
        <w:rPr>
          <w:rFonts w:hint="eastAsia" w:ascii="华文中宋" w:hAnsi="华文中宋" w:eastAsia="华文中宋" w:cs="华文中宋"/>
          <w:color w:val="auto"/>
          <w:sz w:val="24"/>
          <w:szCs w:val="24"/>
        </w:rPr>
        <w:t>.2 成交供应商应按照磋商文件、响应文件及磋商过程中的有关澄清、说明或者补正文件的内容与采购人签订合同。成交供应商不得再与采购人签订背离合同实质性内容的其它协议或声明。</w:t>
      </w:r>
    </w:p>
    <w:p w14:paraId="3FA7CB5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33</w:t>
      </w:r>
      <w:r>
        <w:rPr>
          <w:rFonts w:hint="eastAsia" w:ascii="华文中宋" w:hAnsi="华文中宋" w:eastAsia="华文中宋" w:cs="华文中宋"/>
          <w:color w:val="auto"/>
          <w:sz w:val="24"/>
          <w:szCs w:val="24"/>
        </w:rPr>
        <w:t>.3本文件第四部分商务、技术中要求成交供应商提交履约保证金的，成交供应商须按照规定向采购人提交履约保证金。</w:t>
      </w:r>
    </w:p>
    <w:p w14:paraId="14311CE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pacing w:val="10"/>
          <w:sz w:val="24"/>
          <w:szCs w:val="24"/>
        </w:rPr>
      </w:pPr>
      <w:bookmarkStart w:id="20" w:name="_Toc17471"/>
      <w:bookmarkStart w:id="21" w:name="_Toc25182"/>
      <w:bookmarkStart w:id="22" w:name="_Toc32421"/>
      <w:bookmarkStart w:id="23" w:name="_Toc6425"/>
      <w:bookmarkStart w:id="24" w:name="_Toc23966"/>
      <w:bookmarkStart w:id="25" w:name="_Toc20731"/>
      <w:r>
        <w:rPr>
          <w:rStyle w:val="43"/>
          <w:rFonts w:hint="eastAsia" w:ascii="华文中宋" w:hAnsi="华文中宋" w:eastAsia="华文中宋" w:cs="华文中宋"/>
          <w:color w:val="auto"/>
          <w:sz w:val="24"/>
          <w:szCs w:val="24"/>
        </w:rPr>
        <w:t>七、服务费</w:t>
      </w:r>
      <w:bookmarkEnd w:id="20"/>
      <w:bookmarkEnd w:id="21"/>
      <w:bookmarkEnd w:id="22"/>
      <w:bookmarkEnd w:id="23"/>
      <w:bookmarkEnd w:id="24"/>
      <w:bookmarkEnd w:id="25"/>
      <w:r>
        <w:rPr>
          <w:rFonts w:hint="eastAsia" w:ascii="华文中宋" w:hAnsi="华文中宋" w:eastAsia="华文中宋" w:cs="华文中宋"/>
          <w:b/>
          <w:bCs/>
          <w:color w:val="auto"/>
          <w:spacing w:val="10"/>
          <w:sz w:val="24"/>
          <w:szCs w:val="24"/>
        </w:rPr>
        <w:t>　　</w:t>
      </w:r>
    </w:p>
    <w:p w14:paraId="5AA788D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34.</w:t>
      </w:r>
      <w:r>
        <w:rPr>
          <w:rFonts w:hint="eastAsia" w:ascii="华文中宋" w:hAnsi="华文中宋" w:eastAsia="华文中宋" w:cs="华文中宋"/>
          <w:b/>
          <w:color w:val="auto"/>
          <w:sz w:val="24"/>
          <w:szCs w:val="24"/>
        </w:rPr>
        <w:t xml:space="preserve"> 服务费</w:t>
      </w:r>
    </w:p>
    <w:p w14:paraId="0D4E3F2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default"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t>本项目服务费由采购人支付，按照81%的折扣收取。</w:t>
      </w:r>
    </w:p>
    <w:p w14:paraId="639930E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服务费金额参照国家发改委“计价格（2011）534号”文件规定协商收取。具体标准如下：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5005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59CE6ABC">
            <w:pPr>
              <w:pStyle w:val="41"/>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成交金额（万元）</w:t>
            </w:r>
          </w:p>
        </w:tc>
        <w:tc>
          <w:tcPr>
            <w:tcW w:w="1768" w:type="dxa"/>
            <w:noWrap w:val="0"/>
            <w:vAlign w:val="center"/>
          </w:tcPr>
          <w:p w14:paraId="7B13C849">
            <w:pPr>
              <w:pStyle w:val="41"/>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货物招标</w:t>
            </w:r>
          </w:p>
        </w:tc>
        <w:tc>
          <w:tcPr>
            <w:tcW w:w="1773" w:type="dxa"/>
            <w:noWrap w:val="0"/>
            <w:vAlign w:val="center"/>
          </w:tcPr>
          <w:p w14:paraId="7D226B7A">
            <w:pPr>
              <w:pStyle w:val="41"/>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服务招标</w:t>
            </w:r>
          </w:p>
        </w:tc>
        <w:tc>
          <w:tcPr>
            <w:tcW w:w="1770" w:type="dxa"/>
            <w:noWrap w:val="0"/>
            <w:vAlign w:val="center"/>
          </w:tcPr>
          <w:p w14:paraId="7B0972E7">
            <w:pPr>
              <w:pStyle w:val="41"/>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工程招标</w:t>
            </w:r>
          </w:p>
        </w:tc>
      </w:tr>
      <w:tr w14:paraId="23A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66790D4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100以下</w:t>
            </w:r>
          </w:p>
        </w:tc>
        <w:tc>
          <w:tcPr>
            <w:tcW w:w="1768" w:type="dxa"/>
            <w:noWrap w:val="0"/>
            <w:vAlign w:val="center"/>
          </w:tcPr>
          <w:p w14:paraId="6C63DECF">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w:t>
            </w:r>
          </w:p>
        </w:tc>
        <w:tc>
          <w:tcPr>
            <w:tcW w:w="1773" w:type="dxa"/>
            <w:noWrap w:val="0"/>
            <w:vAlign w:val="center"/>
          </w:tcPr>
          <w:p w14:paraId="402E605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w:t>
            </w:r>
          </w:p>
        </w:tc>
        <w:tc>
          <w:tcPr>
            <w:tcW w:w="1770" w:type="dxa"/>
            <w:noWrap w:val="0"/>
            <w:vAlign w:val="center"/>
          </w:tcPr>
          <w:p w14:paraId="08BEE17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w:t>
            </w:r>
          </w:p>
        </w:tc>
      </w:tr>
      <w:tr w14:paraId="0CB4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DA0106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100-500</w:t>
            </w:r>
          </w:p>
        </w:tc>
        <w:tc>
          <w:tcPr>
            <w:tcW w:w="1768" w:type="dxa"/>
            <w:noWrap w:val="0"/>
            <w:vAlign w:val="center"/>
          </w:tcPr>
          <w:p w14:paraId="49682601">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w:t>
            </w:r>
          </w:p>
        </w:tc>
        <w:tc>
          <w:tcPr>
            <w:tcW w:w="1773" w:type="dxa"/>
            <w:noWrap w:val="0"/>
            <w:vAlign w:val="center"/>
          </w:tcPr>
          <w:p w14:paraId="7293AC9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0.8%</w:t>
            </w:r>
          </w:p>
        </w:tc>
        <w:tc>
          <w:tcPr>
            <w:tcW w:w="1770" w:type="dxa"/>
            <w:noWrap w:val="0"/>
            <w:vAlign w:val="center"/>
          </w:tcPr>
          <w:p w14:paraId="430683A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0.7%</w:t>
            </w:r>
          </w:p>
        </w:tc>
      </w:tr>
    </w:tbl>
    <w:p w14:paraId="27E78CD2">
      <w:pPr>
        <w:keepNext w:val="0"/>
        <w:keepLines w:val="0"/>
        <w:pageBreakBefore w:val="0"/>
        <w:widowControl w:val="0"/>
        <w:kinsoku/>
        <w:wordWrap w:val="0"/>
        <w:overflowPunct/>
        <w:topLinePunct/>
        <w:autoSpaceDE/>
        <w:autoSpaceDN/>
        <w:bidi w:val="0"/>
        <w:spacing w:line="360" w:lineRule="auto"/>
        <w:ind w:left="420"/>
        <w:outlineLvl w:val="9"/>
        <w:rPr>
          <w:rFonts w:hint="eastAsia" w:ascii="华文中宋" w:hAnsi="华文中宋" w:eastAsia="华文中宋" w:cs="华文中宋"/>
          <w:color w:val="auto"/>
          <w:sz w:val="24"/>
          <w:szCs w:val="24"/>
        </w:rPr>
      </w:pPr>
      <w:bookmarkStart w:id="26" w:name="_Toc5526"/>
      <w:bookmarkStart w:id="27" w:name="_Toc28652"/>
      <w:r>
        <w:rPr>
          <w:rFonts w:hint="eastAsia" w:ascii="华文中宋" w:hAnsi="华文中宋" w:eastAsia="华文中宋" w:cs="华文中宋"/>
          <w:color w:val="auto"/>
          <w:sz w:val="24"/>
          <w:szCs w:val="24"/>
        </w:rPr>
        <w:t>八、保密和披露</w:t>
      </w:r>
      <w:bookmarkEnd w:id="26"/>
      <w:bookmarkEnd w:id="27"/>
    </w:p>
    <w:p w14:paraId="792A2B07">
      <w:pPr>
        <w:pStyle w:val="41"/>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35</w:t>
      </w:r>
      <w:r>
        <w:rPr>
          <w:rFonts w:hint="eastAsia" w:ascii="华文中宋" w:hAnsi="华文中宋" w:eastAsia="华文中宋" w:cs="华文中宋"/>
          <w:b/>
          <w:color w:val="auto"/>
          <w:sz w:val="24"/>
          <w:szCs w:val="24"/>
        </w:rPr>
        <w:t>. 保密</w:t>
      </w:r>
    </w:p>
    <w:p w14:paraId="7086370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磋商供应商自领取磋商文件之日起，须承诺承担本采购项目下的保密义务，不得将因本次磋商获得的信息向第三人外传。</w:t>
      </w:r>
    </w:p>
    <w:p w14:paraId="12808C6D">
      <w:pPr>
        <w:pStyle w:val="41"/>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36</w:t>
      </w:r>
      <w:r>
        <w:rPr>
          <w:rFonts w:hint="eastAsia" w:ascii="华文中宋" w:hAnsi="华文中宋" w:eastAsia="华文中宋" w:cs="华文中宋"/>
          <w:b/>
          <w:color w:val="auto"/>
          <w:sz w:val="24"/>
          <w:szCs w:val="24"/>
        </w:rPr>
        <w:t>. 披露</w:t>
      </w:r>
    </w:p>
    <w:p w14:paraId="1F2ED974">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.1 采购代理机构有权将磋商供应商提供的所有资料向有关政府部门或评审文件的有关人员披露。</w:t>
      </w:r>
    </w:p>
    <w:p w14:paraId="6DC3970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3</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华文中宋" w:hAnsi="华文中宋" w:eastAsia="华文中宋" w:cs="华文中宋"/>
          <w:b/>
          <w:color w:val="auto"/>
          <w:sz w:val="24"/>
          <w:szCs w:val="24"/>
        </w:rPr>
        <w:t>必须</w:t>
      </w:r>
      <w:r>
        <w:rPr>
          <w:rFonts w:hint="eastAsia" w:ascii="华文中宋" w:hAnsi="华文中宋" w:eastAsia="华文中宋" w:cs="华文中宋"/>
          <w:color w:val="auto"/>
          <w:sz w:val="24"/>
          <w:szCs w:val="24"/>
        </w:rPr>
        <w:t>在合理的必要范围内。对任何已经公布过的内容或与之内容相同的资料，以及磋商供应商/成交供应商已经泄露或公开的，无须再承担保密责任。</w:t>
      </w:r>
    </w:p>
    <w:p w14:paraId="2DE51A98">
      <w:pPr>
        <w:keepNext w:val="0"/>
        <w:keepLines w:val="0"/>
        <w:pageBreakBefore w:val="0"/>
        <w:widowControl w:val="0"/>
        <w:kinsoku/>
        <w:wordWrap w:val="0"/>
        <w:overflowPunct/>
        <w:topLinePunct/>
        <w:autoSpaceDE/>
        <w:autoSpaceDN/>
        <w:bidi w:val="0"/>
        <w:spacing w:line="360" w:lineRule="auto"/>
        <w:ind w:left="420"/>
        <w:outlineLvl w:val="9"/>
        <w:rPr>
          <w:rFonts w:hint="eastAsia" w:ascii="华文中宋" w:hAnsi="华文中宋" w:eastAsia="华文中宋" w:cs="华文中宋"/>
          <w:color w:val="auto"/>
          <w:sz w:val="24"/>
          <w:szCs w:val="24"/>
        </w:rPr>
      </w:pPr>
      <w:bookmarkStart w:id="28" w:name="_Toc493575829"/>
      <w:r>
        <w:rPr>
          <w:rFonts w:hint="eastAsia" w:ascii="华文中宋" w:hAnsi="华文中宋" w:eastAsia="华文中宋" w:cs="华文中宋"/>
          <w:color w:val="auto"/>
          <w:sz w:val="24"/>
          <w:szCs w:val="24"/>
        </w:rPr>
        <w:t>九、询问和质疑</w:t>
      </w:r>
      <w:bookmarkEnd w:id="28"/>
    </w:p>
    <w:p w14:paraId="4FF428F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kern w:val="2"/>
          <w:sz w:val="24"/>
          <w:szCs w:val="24"/>
        </w:rPr>
      </w:pPr>
      <w:r>
        <w:rPr>
          <w:rFonts w:hint="eastAsia" w:ascii="华文中宋" w:hAnsi="华文中宋" w:eastAsia="华文中宋" w:cs="华文中宋"/>
          <w:b/>
          <w:color w:val="auto"/>
          <w:kern w:val="2"/>
          <w:sz w:val="24"/>
          <w:szCs w:val="24"/>
        </w:rPr>
        <w:t>3</w:t>
      </w:r>
      <w:r>
        <w:rPr>
          <w:rFonts w:hint="eastAsia" w:ascii="华文中宋" w:hAnsi="华文中宋" w:eastAsia="华文中宋" w:cs="华文中宋"/>
          <w:b/>
          <w:color w:val="auto"/>
          <w:kern w:val="2"/>
          <w:sz w:val="24"/>
          <w:szCs w:val="24"/>
          <w:lang w:val="en-US" w:eastAsia="zh-CN"/>
        </w:rPr>
        <w:t>7</w:t>
      </w:r>
      <w:r>
        <w:rPr>
          <w:rFonts w:hint="eastAsia" w:ascii="华文中宋" w:hAnsi="华文中宋" w:eastAsia="华文中宋" w:cs="华文中宋"/>
          <w:b/>
          <w:color w:val="auto"/>
          <w:kern w:val="2"/>
          <w:sz w:val="24"/>
          <w:szCs w:val="24"/>
        </w:rPr>
        <w:t>.询问</w:t>
      </w:r>
    </w:p>
    <w:p w14:paraId="75CFE39A">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7</w:t>
      </w:r>
      <w:r>
        <w:rPr>
          <w:rFonts w:hint="eastAsia" w:ascii="华文中宋" w:hAnsi="华文中宋" w:eastAsia="华文中宋" w:cs="华文中宋"/>
          <w:color w:val="auto"/>
          <w:kern w:val="2"/>
          <w:sz w:val="24"/>
          <w:szCs w:val="24"/>
        </w:rPr>
        <w:t>.1磋商供应商对磋商文件、磋商过程、磋商结果有疑问的，可按第一部分磋商公告中载明的联系方式、地址，口头或书面形式向代理机构、采购人提出询问。</w:t>
      </w:r>
    </w:p>
    <w:p w14:paraId="50B46D5D">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7</w:t>
      </w:r>
      <w:r>
        <w:rPr>
          <w:rFonts w:hint="eastAsia" w:ascii="华文中宋" w:hAnsi="华文中宋" w:eastAsia="华文中宋" w:cs="华文中宋"/>
          <w:color w:val="auto"/>
          <w:kern w:val="2"/>
          <w:sz w:val="24"/>
          <w:szCs w:val="24"/>
        </w:rPr>
        <w:t>.2询问方式为书面询问的，磋商供应商须提供以下资料各2份，法定代表人身份证明书、法定代表人授权委托书、委托人和被委托人的身份证复印件、询问函。采购人或采购代理机构须在法定时间内向询问供应商进行书面答复。</w:t>
      </w:r>
    </w:p>
    <w:p w14:paraId="283DE26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color w:val="auto"/>
          <w:kern w:val="2"/>
          <w:sz w:val="24"/>
          <w:szCs w:val="24"/>
        </w:rPr>
      </w:pPr>
      <w:r>
        <w:rPr>
          <w:rFonts w:hint="eastAsia" w:ascii="华文中宋" w:hAnsi="华文中宋" w:eastAsia="华文中宋" w:cs="华文中宋"/>
          <w:b/>
          <w:color w:val="auto"/>
          <w:kern w:val="2"/>
          <w:sz w:val="24"/>
          <w:szCs w:val="24"/>
        </w:rPr>
        <w:t>3</w:t>
      </w:r>
      <w:r>
        <w:rPr>
          <w:rFonts w:hint="eastAsia" w:ascii="华文中宋" w:hAnsi="华文中宋" w:eastAsia="华文中宋" w:cs="华文中宋"/>
          <w:b/>
          <w:color w:val="auto"/>
          <w:kern w:val="2"/>
          <w:sz w:val="24"/>
          <w:szCs w:val="24"/>
          <w:lang w:val="en-US" w:eastAsia="zh-CN"/>
        </w:rPr>
        <w:t>8</w:t>
      </w:r>
      <w:r>
        <w:rPr>
          <w:rFonts w:hint="eastAsia" w:ascii="华文中宋" w:hAnsi="华文中宋" w:eastAsia="华文中宋" w:cs="华文中宋"/>
          <w:b/>
          <w:color w:val="auto"/>
          <w:kern w:val="2"/>
          <w:sz w:val="24"/>
          <w:szCs w:val="24"/>
        </w:rPr>
        <w:t>.质疑</w:t>
      </w:r>
    </w:p>
    <w:p w14:paraId="71E1CAEE">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8</w:t>
      </w:r>
      <w:r>
        <w:rPr>
          <w:rFonts w:hint="eastAsia" w:ascii="华文中宋" w:hAnsi="华文中宋" w:eastAsia="华文中宋" w:cs="华文中宋"/>
          <w:color w:val="auto"/>
          <w:kern w:val="2"/>
          <w:sz w:val="24"/>
          <w:szCs w:val="24"/>
        </w:rPr>
        <w:t>.1磋商供应商认为磋商文件、磋商过程和磋商结果使自己的权益受到损害，应当以书面形式提出质疑。</w:t>
      </w:r>
    </w:p>
    <w:p w14:paraId="5933896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对可以质疑的磋商文件提出质疑的，应在收到磋商文件之日起7个工作日内提出；对磋商过程提出质疑的，应在各磋商程序环节结束之日起7个工作日内提出；对磋商结果提出质疑的，应在成交公告期限届满之日起7个工作日内提出。</w:t>
      </w:r>
    </w:p>
    <w:p w14:paraId="1473CA96">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8</w:t>
      </w:r>
      <w:r>
        <w:rPr>
          <w:rFonts w:hint="eastAsia" w:ascii="华文中宋" w:hAnsi="华文中宋" w:eastAsia="华文中宋" w:cs="华文中宋"/>
          <w:color w:val="auto"/>
          <w:kern w:val="2"/>
          <w:sz w:val="24"/>
          <w:szCs w:val="24"/>
        </w:rPr>
        <w:t>.2质疑函须以书面形式提出，磋商供应商针对同一采购程序环节的质疑，必须在法定期限内一次性提出。</w:t>
      </w:r>
    </w:p>
    <w:p w14:paraId="5AC8DD1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质疑函应当包括下列内容：</w:t>
      </w:r>
    </w:p>
    <w:p w14:paraId="17CE7DB3">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a供应商的姓名或者名称、地址、邮编、联系人及联系电话；</w:t>
      </w:r>
    </w:p>
    <w:p w14:paraId="406DF716">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b质疑项目的名称、编号；</w:t>
      </w:r>
    </w:p>
    <w:p w14:paraId="36BB10C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c具体、明确的质疑事项和与质疑事项相关的请求；</w:t>
      </w:r>
    </w:p>
    <w:p w14:paraId="70A0CC7F">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d事实依据；</w:t>
      </w:r>
    </w:p>
    <w:p w14:paraId="73427560">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e必要的法律依据；</w:t>
      </w:r>
    </w:p>
    <w:p w14:paraId="3E3B025F">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f提出质疑的日期。</w:t>
      </w:r>
    </w:p>
    <w:p w14:paraId="385C216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质疑函不符合《政府采购质疑和投诉办法》相关规定的，应在规定期限内补齐的，采购代理机构自收到补齐材料之日起受理；逾期未补齐的，按自动撤回质疑处理。</w:t>
      </w:r>
    </w:p>
    <w:p w14:paraId="11978B04">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8</w:t>
      </w:r>
      <w:r>
        <w:rPr>
          <w:rFonts w:hint="eastAsia" w:ascii="华文中宋" w:hAnsi="华文中宋" w:eastAsia="华文中宋" w:cs="华文中宋"/>
          <w:color w:val="auto"/>
          <w:kern w:val="2"/>
          <w:sz w:val="24"/>
          <w:szCs w:val="24"/>
        </w:rPr>
        <w:t>.3对磋商文件编制内容、磋商过程、磋商结果提出质疑的，由代理机构进行书面答复。</w:t>
      </w:r>
    </w:p>
    <w:p w14:paraId="18F84C3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8</w:t>
      </w:r>
      <w:r>
        <w:rPr>
          <w:rFonts w:hint="eastAsia" w:ascii="华文中宋" w:hAnsi="华文中宋" w:eastAsia="华文中宋" w:cs="华文中宋"/>
          <w:color w:val="auto"/>
          <w:kern w:val="2"/>
          <w:sz w:val="24"/>
          <w:szCs w:val="24"/>
        </w:rPr>
        <w:t>.4 代理机构、采购人将依据《中华人民共和国政府采购法实施条例》第五十二条及《中华人民共和国财政部令第94号—政府采购质疑和投诉办法》第十三条的规定时限对磋商供应商的询问、质疑做出处理和答复。</w:t>
      </w:r>
    </w:p>
    <w:p w14:paraId="6D4A31D7">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8</w:t>
      </w:r>
      <w:r>
        <w:rPr>
          <w:rFonts w:hint="eastAsia" w:ascii="华文中宋" w:hAnsi="华文中宋" w:eastAsia="华文中宋" w:cs="华文中宋"/>
          <w:color w:val="auto"/>
          <w:kern w:val="2"/>
          <w:sz w:val="24"/>
          <w:szCs w:val="24"/>
        </w:rPr>
        <w:t>.5无效质疑情形</w:t>
      </w:r>
    </w:p>
    <w:p w14:paraId="779DFB95">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A.未参与本次政府采购活动的供应商；</w:t>
      </w:r>
    </w:p>
    <w:p w14:paraId="70D46A3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B.不符合本次政府采购活动特定条件的供应商；</w:t>
      </w:r>
    </w:p>
    <w:p w14:paraId="0E94581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C.未在有效期内提出质疑的；</w:t>
      </w:r>
    </w:p>
    <w:p w14:paraId="5E65E13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D.不同质疑人委托同一人办理质疑事宜的；</w:t>
      </w:r>
    </w:p>
    <w:p w14:paraId="5190725E">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E.质疑没有明确请求和必要的证明材料；</w:t>
      </w:r>
    </w:p>
    <w:p w14:paraId="04F71E09">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F.其它不符合受理条件的情形。</w:t>
      </w:r>
    </w:p>
    <w:p w14:paraId="3D92DB1C">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8</w:t>
      </w:r>
      <w:r>
        <w:rPr>
          <w:rFonts w:hint="eastAsia" w:ascii="华文中宋" w:hAnsi="华文中宋" w:eastAsia="华文中宋" w:cs="华文中宋"/>
          <w:color w:val="auto"/>
          <w:kern w:val="2"/>
          <w:sz w:val="24"/>
          <w:szCs w:val="24"/>
        </w:rPr>
        <w:t>.6质疑供应商撤回质疑的，终止质疑处理；</w:t>
      </w:r>
    </w:p>
    <w:p w14:paraId="12B61E48">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8</w:t>
      </w:r>
      <w:r>
        <w:rPr>
          <w:rFonts w:hint="eastAsia" w:ascii="华文中宋" w:hAnsi="华文中宋" w:eastAsia="华文中宋" w:cs="华文中宋"/>
          <w:color w:val="auto"/>
          <w:kern w:val="2"/>
          <w:sz w:val="24"/>
          <w:szCs w:val="24"/>
        </w:rPr>
        <w:t>.7质疑供应商有下列情形之一的，属于虚假、恶意质疑，代理机构或采购人应当驳回质疑，并向政府采购监督管理部门报告将其列入不良行为记录名单，并依法予以处罚：</w:t>
      </w:r>
    </w:p>
    <w:p w14:paraId="23FC988B">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A、一年内三次以上质疑均查无实据的；</w:t>
      </w:r>
    </w:p>
    <w:p w14:paraId="5FA26DE2">
      <w:pPr>
        <w:pStyle w:val="41"/>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B、捏造事实或者提供虚假质疑材料的。</w:t>
      </w:r>
    </w:p>
    <w:p w14:paraId="75E3615E">
      <w:pPr>
        <w:bidi w:val="0"/>
        <w:jc w:val="center"/>
        <w:outlineLvl w:val="0"/>
        <w:rPr>
          <w:rFonts w:hint="eastAsia" w:ascii="华文中宋" w:hAnsi="华文中宋" w:eastAsia="华文中宋" w:cs="华文中宋"/>
          <w:color w:val="auto"/>
        </w:rPr>
      </w:pPr>
      <w:bookmarkStart w:id="29" w:name="_Toc175644026"/>
      <w:bookmarkStart w:id="30" w:name="_Toc13460"/>
      <w:bookmarkStart w:id="31" w:name="_Toc278543498"/>
      <w:bookmarkStart w:id="32" w:name="_Toc44690609"/>
      <w:bookmarkStart w:id="33" w:name="_Toc44690683"/>
      <w:r>
        <w:rPr>
          <w:rFonts w:hint="eastAsia" w:ascii="华文中宋" w:hAnsi="华文中宋" w:eastAsia="华文中宋" w:cs="华文中宋"/>
          <w:color w:val="auto"/>
        </w:rPr>
        <w:br w:type="page"/>
      </w:r>
      <w:bookmarkStart w:id="34" w:name="_Toc31083"/>
      <w:bookmarkStart w:id="35" w:name="_Toc4628"/>
      <w:r>
        <w:rPr>
          <w:rFonts w:hint="eastAsia" w:ascii="华文中宋" w:hAnsi="华文中宋" w:eastAsia="华文中宋" w:cs="华文中宋"/>
          <w:b/>
          <w:bCs/>
          <w:color w:val="auto"/>
          <w:spacing w:val="0"/>
          <w:kern w:val="44"/>
          <w:sz w:val="44"/>
          <w:szCs w:val="44"/>
          <w:lang w:val="en-US" w:eastAsia="zh-CN" w:bidi="ar-SA"/>
        </w:rPr>
        <w:t xml:space="preserve">第四部分 </w:t>
      </w:r>
      <w:bookmarkEnd w:id="29"/>
      <w:bookmarkEnd w:id="30"/>
      <w:bookmarkEnd w:id="31"/>
      <w:r>
        <w:rPr>
          <w:rFonts w:hint="eastAsia" w:ascii="华文中宋" w:hAnsi="华文中宋" w:eastAsia="华文中宋" w:cs="华文中宋"/>
          <w:b/>
          <w:bCs/>
          <w:color w:val="auto"/>
          <w:spacing w:val="0"/>
          <w:kern w:val="44"/>
          <w:sz w:val="44"/>
          <w:szCs w:val="44"/>
          <w:lang w:val="en-US" w:eastAsia="zh-CN" w:bidi="ar-SA"/>
        </w:rPr>
        <w:t>评审标准和评审方法</w:t>
      </w:r>
      <w:bookmarkEnd w:id="32"/>
      <w:bookmarkEnd w:id="33"/>
      <w:bookmarkEnd w:id="34"/>
      <w:bookmarkEnd w:id="35"/>
    </w:p>
    <w:p w14:paraId="3B5C644F">
      <w:pPr>
        <w:overflowPunct w:val="0"/>
        <w:topLinePunct/>
        <w:autoSpaceDN w:val="0"/>
        <w:adjustRightInd w:val="0"/>
        <w:snapToGrid w:val="0"/>
        <w:spacing w:line="360" w:lineRule="auto"/>
        <w:jc w:val="left"/>
        <w:outlineLvl w:val="9"/>
        <w:rPr>
          <w:rFonts w:hint="eastAsia" w:ascii="华文中宋" w:hAnsi="华文中宋" w:eastAsia="华文中宋" w:cs="华文中宋"/>
          <w:b/>
          <w:bCs/>
          <w:snapToGrid w:val="0"/>
          <w:color w:val="auto"/>
          <w:kern w:val="0"/>
          <w:sz w:val="24"/>
          <w:szCs w:val="24"/>
        </w:rPr>
      </w:pPr>
      <w:bookmarkStart w:id="36" w:name="_Toc44690610"/>
      <w:bookmarkStart w:id="37" w:name="_Toc43363081"/>
      <w:bookmarkStart w:id="38" w:name="_Toc44690684"/>
      <w:r>
        <w:rPr>
          <w:rFonts w:hint="eastAsia" w:ascii="华文中宋" w:hAnsi="华文中宋" w:eastAsia="华文中宋" w:cs="华文中宋"/>
          <w:b/>
          <w:bCs/>
          <w:snapToGrid w:val="0"/>
          <w:color w:val="auto"/>
          <w:kern w:val="0"/>
          <w:sz w:val="24"/>
          <w:szCs w:val="24"/>
        </w:rPr>
        <w:t>一、评审标准</w:t>
      </w:r>
      <w:bookmarkEnd w:id="36"/>
      <w:bookmarkEnd w:id="37"/>
      <w:bookmarkEnd w:id="38"/>
    </w:p>
    <w:p w14:paraId="023649B8">
      <w:pPr>
        <w:overflowPunct w:val="0"/>
        <w:topLinePunct/>
        <w:autoSpaceDN w:val="0"/>
        <w:adjustRightInd w:val="0"/>
        <w:snapToGrid w:val="0"/>
        <w:spacing w:line="360" w:lineRule="auto"/>
        <w:outlineLvl w:val="9"/>
        <w:rPr>
          <w:rFonts w:hint="eastAsia" w:ascii="华文中宋" w:hAnsi="华文中宋" w:eastAsia="华文中宋" w:cs="华文中宋"/>
          <w:b/>
          <w:bCs/>
          <w:snapToGrid w:val="0"/>
          <w:color w:val="auto"/>
          <w:kern w:val="0"/>
          <w:sz w:val="24"/>
          <w:szCs w:val="24"/>
        </w:rPr>
      </w:pPr>
      <w:r>
        <w:rPr>
          <w:rFonts w:hint="eastAsia" w:ascii="华文中宋" w:hAnsi="华文中宋" w:eastAsia="华文中宋" w:cs="华文中宋"/>
          <w:bCs/>
          <w:snapToGrid w:val="0"/>
          <w:color w:val="auto"/>
          <w:kern w:val="0"/>
          <w:sz w:val="24"/>
          <w:szCs w:val="24"/>
        </w:rPr>
        <w:t xml:space="preserve">  </w:t>
      </w:r>
      <w:r>
        <w:rPr>
          <w:rFonts w:hint="eastAsia" w:ascii="华文中宋" w:hAnsi="华文中宋" w:eastAsia="华文中宋" w:cs="华文中宋"/>
          <w:b/>
          <w:bCs/>
          <w:snapToGrid w:val="0"/>
          <w:color w:val="auto"/>
          <w:kern w:val="0"/>
          <w:sz w:val="24"/>
          <w:szCs w:val="24"/>
        </w:rPr>
        <w:t xml:space="preserve"> （一）评审原则和方法</w:t>
      </w:r>
    </w:p>
    <w:p w14:paraId="0841CA7D">
      <w:pPr>
        <w:overflowPunct w:val="0"/>
        <w:topLinePunct/>
        <w:autoSpaceDN w:val="0"/>
        <w:adjustRightInd w:val="0"/>
        <w:snapToGrid w:val="0"/>
        <w:spacing w:line="360" w:lineRule="auto"/>
        <w:ind w:firstLine="480" w:firstLineChars="200"/>
        <w:outlineLvl w:val="9"/>
        <w:rPr>
          <w:rFonts w:hint="eastAsia" w:ascii="华文中宋" w:hAnsi="华文中宋" w:eastAsia="华文中宋" w:cs="华文中宋"/>
          <w:snapToGrid w:val="0"/>
          <w:color w:val="auto"/>
          <w:kern w:val="0"/>
          <w:sz w:val="24"/>
          <w:szCs w:val="24"/>
        </w:rPr>
      </w:pPr>
      <w:r>
        <w:rPr>
          <w:rFonts w:hint="eastAsia" w:ascii="华文中宋" w:hAnsi="华文中宋" w:eastAsia="华文中宋" w:cs="华文中宋"/>
          <w:snapToGrid w:val="0"/>
          <w:color w:val="auto"/>
          <w:kern w:val="0"/>
          <w:sz w:val="24"/>
          <w:szCs w:val="24"/>
        </w:rPr>
        <w:t>磋商小组在评审时，依据最后报价和各项技术、服务等因素量化指标对磋商供应商进行综合评分（具体评分见评分细则），</w:t>
      </w:r>
      <w:r>
        <w:rPr>
          <w:rFonts w:hint="eastAsia" w:ascii="华文中宋" w:hAnsi="华文中宋" w:eastAsia="华文中宋" w:cs="华文中宋"/>
          <w:color w:val="auto"/>
          <w:sz w:val="24"/>
          <w:szCs w:val="24"/>
        </w:rPr>
        <w:t>得分最高的磋商供应商为成交供应</w:t>
      </w:r>
      <w:r>
        <w:rPr>
          <w:rFonts w:hint="eastAsia" w:ascii="华文中宋" w:hAnsi="华文中宋" w:eastAsia="华文中宋" w:cs="华文中宋"/>
          <w:snapToGrid w:val="0"/>
          <w:color w:val="auto"/>
          <w:kern w:val="0"/>
          <w:sz w:val="24"/>
          <w:szCs w:val="24"/>
        </w:rPr>
        <w:t>商或成交第一候选供应商。</w:t>
      </w:r>
    </w:p>
    <w:p w14:paraId="343156FF">
      <w:pPr>
        <w:overflowPunct w:val="0"/>
        <w:topLinePunct/>
        <w:autoSpaceDN w:val="0"/>
        <w:adjustRightInd w:val="0"/>
        <w:snapToGrid w:val="0"/>
        <w:spacing w:line="360" w:lineRule="auto"/>
        <w:ind w:firstLine="480" w:firstLineChars="200"/>
        <w:outlineLvl w:val="9"/>
        <w:rPr>
          <w:rFonts w:hint="eastAsia" w:ascii="华文中宋" w:hAnsi="华文中宋" w:eastAsia="华文中宋" w:cs="华文中宋"/>
          <w:b/>
          <w:bCs/>
          <w:snapToGrid w:val="0"/>
          <w:color w:val="auto"/>
          <w:kern w:val="0"/>
          <w:sz w:val="24"/>
          <w:szCs w:val="24"/>
        </w:rPr>
      </w:pPr>
      <w:r>
        <w:rPr>
          <w:rFonts w:hint="eastAsia" w:ascii="华文中宋" w:hAnsi="华文中宋" w:eastAsia="华文中宋" w:cs="华文中宋"/>
          <w:b/>
          <w:bCs/>
          <w:snapToGrid w:val="0"/>
          <w:color w:val="auto"/>
          <w:kern w:val="0"/>
          <w:sz w:val="24"/>
          <w:szCs w:val="24"/>
        </w:rPr>
        <w:t>（二）资格审查内容及标准</w:t>
      </w:r>
    </w:p>
    <w:tbl>
      <w:tblPr>
        <w:tblStyle w:val="29"/>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6"/>
        <w:gridCol w:w="2852"/>
        <w:gridCol w:w="5298"/>
      </w:tblGrid>
      <w:tr w14:paraId="76300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5A9B9190">
            <w:pPr>
              <w:spacing w:line="240" w:lineRule="auto"/>
              <w:jc w:val="center"/>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序号</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37B6CB49">
            <w:pPr>
              <w:spacing w:line="240" w:lineRule="auto"/>
              <w:jc w:val="center"/>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内容</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2D58DF83">
            <w:pPr>
              <w:spacing w:line="240" w:lineRule="auto"/>
              <w:jc w:val="center"/>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标准</w:t>
            </w:r>
          </w:p>
        </w:tc>
      </w:tr>
      <w:tr w14:paraId="04E59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4E4C0B66">
            <w:pPr>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0409C301">
            <w:pPr>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磋商供应商代表证明</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00DE3A0A">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（1）法定代表人（负责人）参加磋商的，提供“法定代表人（负责人）证明书”</w:t>
            </w:r>
          </w:p>
          <w:p w14:paraId="3B6E0031">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（2）委托代理人参加磋商的，提供“法定代表人（负责人）授权委托书”</w:t>
            </w:r>
          </w:p>
          <w:p w14:paraId="4BE5C45A">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（3）自然人参加磋商的，提供个人身份证明扫描件</w:t>
            </w:r>
          </w:p>
          <w:p w14:paraId="7972E0CB">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内容齐全，电子签章符合要求。</w:t>
            </w:r>
          </w:p>
        </w:tc>
      </w:tr>
      <w:tr w14:paraId="34849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23154C10">
            <w:pPr>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3BB1D7B0">
            <w:pPr>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响应函</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0F98E63A">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内容齐全，电子签章符合要求。</w:t>
            </w:r>
          </w:p>
        </w:tc>
      </w:tr>
      <w:tr w14:paraId="3C55F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2E256E5F">
            <w:pPr>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3</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03F3118C">
            <w:pPr>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pacing w:val="0"/>
                <w:szCs w:val="21"/>
              </w:rPr>
              <w:t>具有独立承担民事责任的能力</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14D2166A">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提供供应商信用承诺书</w:t>
            </w:r>
            <w:r>
              <w:rPr>
                <w:rFonts w:hint="eastAsia" w:ascii="华文中宋" w:hAnsi="华文中宋" w:eastAsia="华文中宋" w:cs="华文中宋"/>
                <w:color w:val="auto"/>
                <w:sz w:val="21"/>
                <w:szCs w:val="21"/>
              </w:rPr>
              <w:t>。</w:t>
            </w:r>
          </w:p>
          <w:p w14:paraId="08E600A3">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以上证明材料须符合要求、有效、完整。否则，响应无效</w:t>
            </w:r>
          </w:p>
        </w:tc>
      </w:tr>
      <w:tr w14:paraId="75B12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77DF0E94">
            <w:pPr>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4</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2D74C2A3">
            <w:pPr>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pacing w:val="0"/>
                <w:szCs w:val="21"/>
              </w:rPr>
              <w:t>具有良好</w:t>
            </w:r>
            <w:r>
              <w:rPr>
                <w:rFonts w:hint="eastAsia" w:ascii="华文中宋" w:hAnsi="华文中宋" w:eastAsia="华文中宋" w:cs="华文中宋"/>
                <w:color w:val="auto"/>
                <w:spacing w:val="0"/>
                <w:szCs w:val="21"/>
                <w:lang w:eastAsia="zh-CN"/>
              </w:rPr>
              <w:t>的商业信誉</w:t>
            </w:r>
            <w:r>
              <w:rPr>
                <w:rFonts w:hint="eastAsia" w:ascii="华文中宋" w:hAnsi="华文中宋" w:eastAsia="华文中宋" w:cs="华文中宋"/>
                <w:color w:val="auto"/>
                <w:spacing w:val="0"/>
                <w:szCs w:val="21"/>
              </w:rPr>
              <w:t>和健全的财务会计制度</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5B9E94A0">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提供供应商信用承诺书</w:t>
            </w:r>
            <w:r>
              <w:rPr>
                <w:rFonts w:hint="eastAsia" w:ascii="华文中宋" w:hAnsi="华文中宋" w:eastAsia="华文中宋" w:cs="华文中宋"/>
                <w:color w:val="auto"/>
                <w:sz w:val="21"/>
                <w:szCs w:val="21"/>
              </w:rPr>
              <w:t>。</w:t>
            </w:r>
          </w:p>
          <w:p w14:paraId="26CF1ACA">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以上证明材料须符合要求、有效、完整。否则，响应无效</w:t>
            </w:r>
          </w:p>
        </w:tc>
      </w:tr>
      <w:tr w14:paraId="1E064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5AC2AA08">
            <w:pPr>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5</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698CB728">
            <w:pPr>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pacing w:val="0"/>
                <w:szCs w:val="21"/>
              </w:rPr>
              <w:t>具有履行合同</w:t>
            </w:r>
            <w:r>
              <w:rPr>
                <w:rFonts w:hint="eastAsia" w:ascii="华文中宋" w:hAnsi="华文中宋" w:eastAsia="华文中宋" w:cs="华文中宋"/>
                <w:color w:val="auto"/>
                <w:spacing w:val="0"/>
                <w:szCs w:val="21"/>
                <w:lang w:val="en-US" w:eastAsia="zh-CN"/>
              </w:rPr>
              <w:t>所必须的设备和专业技术</w:t>
            </w:r>
            <w:r>
              <w:rPr>
                <w:rFonts w:hint="eastAsia" w:ascii="华文中宋" w:hAnsi="华文中宋" w:eastAsia="华文中宋" w:cs="华文中宋"/>
                <w:color w:val="auto"/>
                <w:spacing w:val="0"/>
                <w:szCs w:val="21"/>
              </w:rPr>
              <w:t>能力</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123AF3EE">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提供供应商信用承诺书</w:t>
            </w:r>
            <w:r>
              <w:rPr>
                <w:rFonts w:hint="eastAsia" w:ascii="华文中宋" w:hAnsi="华文中宋" w:eastAsia="华文中宋" w:cs="华文中宋"/>
                <w:color w:val="auto"/>
                <w:sz w:val="21"/>
                <w:szCs w:val="21"/>
              </w:rPr>
              <w:t>。</w:t>
            </w:r>
          </w:p>
          <w:p w14:paraId="149ECDF6">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以上证明材料须符合要求、有效、完整。否则，响应无效</w:t>
            </w:r>
          </w:p>
        </w:tc>
      </w:tr>
      <w:tr w14:paraId="3F2E4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01614FF9">
            <w:pPr>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6</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18057417">
            <w:pPr>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pacing w:val="0"/>
                <w:szCs w:val="21"/>
              </w:rPr>
              <w:t>有依法缴纳税收</w:t>
            </w:r>
            <w:r>
              <w:rPr>
                <w:rFonts w:hint="eastAsia" w:ascii="华文中宋" w:hAnsi="华文中宋" w:eastAsia="华文中宋" w:cs="华文中宋"/>
                <w:color w:val="auto"/>
                <w:spacing w:val="0"/>
                <w:szCs w:val="21"/>
                <w:lang w:val="en-US" w:eastAsia="zh-CN"/>
              </w:rPr>
              <w:t>和社会保障资金</w:t>
            </w:r>
            <w:r>
              <w:rPr>
                <w:rFonts w:hint="eastAsia" w:ascii="华文中宋" w:hAnsi="华文中宋" w:eastAsia="华文中宋" w:cs="华文中宋"/>
                <w:color w:val="auto"/>
                <w:spacing w:val="0"/>
                <w:szCs w:val="21"/>
              </w:rPr>
              <w:t>的良好记录</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4D6F8E06">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提供供应商信用承诺书</w:t>
            </w:r>
            <w:r>
              <w:rPr>
                <w:rFonts w:hint="eastAsia" w:ascii="华文中宋" w:hAnsi="华文中宋" w:eastAsia="华文中宋" w:cs="华文中宋"/>
                <w:color w:val="auto"/>
                <w:sz w:val="21"/>
                <w:szCs w:val="21"/>
              </w:rPr>
              <w:t>。</w:t>
            </w:r>
          </w:p>
          <w:p w14:paraId="25D83351">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以上证明材料须符合要求、有效、完整。否则，响应无效</w:t>
            </w:r>
          </w:p>
        </w:tc>
      </w:tr>
      <w:tr w14:paraId="6B884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25E93E00">
            <w:pPr>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7</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2337F06D">
            <w:pPr>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pacing w:val="0"/>
                <w:szCs w:val="21"/>
              </w:rPr>
              <w:t>参加政府采购活动前三年内，在经营活动中没有重大违法记录</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5279ECD3">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提供供应商信用承诺书</w:t>
            </w:r>
            <w:r>
              <w:rPr>
                <w:rFonts w:hint="eastAsia" w:ascii="华文中宋" w:hAnsi="华文中宋" w:eastAsia="华文中宋" w:cs="华文中宋"/>
                <w:color w:val="auto"/>
                <w:sz w:val="21"/>
                <w:szCs w:val="21"/>
              </w:rPr>
              <w:t>。</w:t>
            </w:r>
          </w:p>
          <w:p w14:paraId="1473FD88">
            <w:pPr>
              <w:autoSpaceDE w:val="0"/>
              <w:autoSpaceDN w:val="0"/>
              <w:adjustRightInd w:val="0"/>
              <w:spacing w:line="240" w:lineRule="auto"/>
              <w:ind w:right="-20"/>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以上证明材料须符合要求、有效、完整。否则，响应无效</w:t>
            </w:r>
          </w:p>
        </w:tc>
      </w:tr>
      <w:tr w14:paraId="17484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3FEBE428">
            <w:pPr>
              <w:spacing w:line="240" w:lineRule="auto"/>
              <w:jc w:val="center"/>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lang w:val="en-US" w:eastAsia="zh-CN"/>
              </w:rPr>
              <w:t>8</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1200C933">
            <w:pPr>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本项目要求的其他特定资格条件</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04584E44">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扫描件清晰、符合要求。</w:t>
            </w:r>
          </w:p>
        </w:tc>
      </w:tr>
      <w:tr w14:paraId="745ED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5BE274E9">
            <w:pPr>
              <w:spacing w:line="240" w:lineRule="auto"/>
              <w:jc w:val="center"/>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lang w:val="en-US" w:eastAsia="zh-CN"/>
              </w:rPr>
              <w:t>9</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04AB8863">
            <w:pPr>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保证金的交纳及开户许可证</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295906A6">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1、</w:t>
            </w:r>
            <w:r>
              <w:rPr>
                <w:rFonts w:hint="eastAsia" w:ascii="华文中宋" w:hAnsi="华文中宋" w:eastAsia="华文中宋" w:cs="华文中宋"/>
                <w:color w:val="auto"/>
                <w:sz w:val="21"/>
                <w:szCs w:val="21"/>
              </w:rPr>
              <w:t>提供响应保证金交纳证明；</w:t>
            </w:r>
          </w:p>
          <w:p w14:paraId="5CC92C94">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2、</w:t>
            </w:r>
            <w:r>
              <w:rPr>
                <w:rFonts w:hint="eastAsia" w:ascii="华文中宋" w:hAnsi="华文中宋" w:eastAsia="华文中宋" w:cs="华文中宋"/>
                <w:color w:val="auto"/>
                <w:sz w:val="21"/>
                <w:szCs w:val="21"/>
              </w:rPr>
              <w:t>提供</w:t>
            </w:r>
            <w:r>
              <w:rPr>
                <w:rFonts w:hint="eastAsia" w:ascii="华文中宋" w:hAnsi="华文中宋" w:eastAsia="华文中宋" w:cs="华文中宋"/>
                <w:color w:val="auto"/>
                <w:sz w:val="21"/>
                <w:szCs w:val="21"/>
                <w:lang w:val="en-US" w:eastAsia="zh-CN"/>
              </w:rPr>
              <w:t>磋商供应商</w:t>
            </w:r>
            <w:r>
              <w:rPr>
                <w:rFonts w:hint="eastAsia" w:ascii="华文中宋" w:hAnsi="华文中宋" w:eastAsia="华文中宋" w:cs="华文中宋"/>
                <w:color w:val="auto"/>
                <w:sz w:val="21"/>
                <w:szCs w:val="21"/>
              </w:rPr>
              <w:t>基本存款账户</w:t>
            </w:r>
            <w:r>
              <w:rPr>
                <w:rFonts w:hint="eastAsia" w:ascii="华文中宋" w:hAnsi="华文中宋" w:eastAsia="华文中宋" w:cs="华文中宋"/>
                <w:color w:val="auto"/>
                <w:sz w:val="21"/>
                <w:szCs w:val="21"/>
                <w:lang w:val="en-US" w:eastAsia="zh-CN"/>
              </w:rPr>
              <w:t>或</w:t>
            </w:r>
            <w:r>
              <w:rPr>
                <w:rFonts w:hint="eastAsia" w:ascii="华文中宋" w:hAnsi="华文中宋" w:eastAsia="华文中宋" w:cs="华文中宋"/>
                <w:color w:val="auto"/>
                <w:sz w:val="21"/>
                <w:szCs w:val="21"/>
              </w:rPr>
              <w:t>开户许可证</w:t>
            </w:r>
            <w:r>
              <w:rPr>
                <w:rFonts w:hint="eastAsia" w:ascii="华文中宋" w:hAnsi="华文中宋" w:eastAsia="华文中宋" w:cs="华文中宋"/>
                <w:color w:val="auto"/>
                <w:sz w:val="21"/>
                <w:szCs w:val="21"/>
                <w:lang w:val="en-US" w:eastAsia="zh-CN"/>
              </w:rPr>
              <w:t>扫描件</w:t>
            </w:r>
            <w:r>
              <w:rPr>
                <w:rFonts w:hint="eastAsia" w:ascii="华文中宋" w:hAnsi="华文中宋" w:eastAsia="华文中宋" w:cs="华文中宋"/>
                <w:color w:val="auto"/>
                <w:sz w:val="21"/>
                <w:szCs w:val="21"/>
              </w:rPr>
              <w:t>。</w:t>
            </w:r>
          </w:p>
        </w:tc>
      </w:tr>
      <w:tr w14:paraId="4B787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490" w:type="pct"/>
            <w:tcBorders>
              <w:top w:val="single" w:color="auto" w:sz="2" w:space="0"/>
              <w:left w:val="single" w:color="auto" w:sz="2" w:space="0"/>
              <w:bottom w:val="single" w:color="auto" w:sz="2" w:space="0"/>
              <w:right w:val="single" w:color="auto" w:sz="2" w:space="0"/>
            </w:tcBorders>
            <w:noWrap w:val="0"/>
            <w:vAlign w:val="center"/>
          </w:tcPr>
          <w:p w14:paraId="4E5A523E">
            <w:pPr>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10</w:t>
            </w:r>
          </w:p>
        </w:tc>
        <w:tc>
          <w:tcPr>
            <w:tcW w:w="1578" w:type="pct"/>
            <w:tcBorders>
              <w:top w:val="single" w:color="auto" w:sz="2" w:space="0"/>
              <w:left w:val="single" w:color="auto" w:sz="2" w:space="0"/>
              <w:bottom w:val="single" w:color="auto" w:sz="2" w:space="0"/>
              <w:right w:val="single" w:color="auto" w:sz="2" w:space="0"/>
            </w:tcBorders>
            <w:noWrap w:val="0"/>
            <w:vAlign w:val="center"/>
          </w:tcPr>
          <w:p w14:paraId="789520B1">
            <w:pPr>
              <w:kinsoku/>
              <w:wordWrap/>
              <w:overflowPunct/>
              <w:topLinePunct w:val="0"/>
              <w:bidi w:val="0"/>
              <w:spacing w:line="240" w:lineRule="auto"/>
              <w:jc w:val="center"/>
              <w:outlineLvl w:val="9"/>
              <w:rPr>
                <w:rFonts w:hint="eastAsia" w:ascii="华文中宋" w:hAnsi="华文中宋" w:eastAsia="华文中宋" w:cs="华文中宋"/>
                <w:color w:val="auto"/>
                <w:kern w:val="2"/>
                <w:sz w:val="21"/>
                <w:szCs w:val="21"/>
                <w:lang w:val="en-US" w:eastAsia="zh-CN" w:bidi="ar-SA"/>
              </w:rPr>
            </w:pPr>
            <w:r>
              <w:rPr>
                <w:rFonts w:hint="eastAsia" w:ascii="华文中宋" w:hAnsi="华文中宋" w:eastAsia="华文中宋" w:cs="华文中宋"/>
                <w:color w:val="auto"/>
                <w:kern w:val="2"/>
                <w:sz w:val="21"/>
                <w:szCs w:val="21"/>
                <w:lang w:val="en-US" w:eastAsia="zh-CN" w:bidi="ar-SA"/>
              </w:rPr>
              <w:t>本项目专门面向中小企业</w:t>
            </w:r>
          </w:p>
        </w:tc>
        <w:tc>
          <w:tcPr>
            <w:tcW w:w="2931" w:type="pct"/>
            <w:tcBorders>
              <w:top w:val="single" w:color="auto" w:sz="2" w:space="0"/>
              <w:left w:val="single" w:color="auto" w:sz="2" w:space="0"/>
              <w:bottom w:val="single" w:color="auto" w:sz="2" w:space="0"/>
              <w:right w:val="single" w:color="auto" w:sz="2" w:space="0"/>
            </w:tcBorders>
            <w:noWrap w:val="0"/>
            <w:vAlign w:val="center"/>
          </w:tcPr>
          <w:p w14:paraId="3037A0C9">
            <w:pPr>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本项目是专门面向中小企业，需按照磋商文件格式要求提供“落实政府采购政策需满足的资格要求”规定的证明文件。</w:t>
            </w:r>
          </w:p>
        </w:tc>
      </w:tr>
    </w:tbl>
    <w:p w14:paraId="3A68BDC9">
      <w:pPr>
        <w:spacing w:line="360" w:lineRule="exact"/>
        <w:ind w:left="1102" w:hanging="1200" w:hangingChars="500"/>
        <w:outlineLvl w:val="9"/>
        <w:rPr>
          <w:rFonts w:hint="eastAsia" w:ascii="华文中宋" w:hAnsi="华文中宋" w:eastAsia="华文中宋" w:cs="华文中宋"/>
          <w:color w:val="auto"/>
          <w:sz w:val="24"/>
          <w:szCs w:val="24"/>
        </w:rPr>
      </w:pPr>
    </w:p>
    <w:p w14:paraId="3CA55719">
      <w:pPr>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说明：</w:t>
      </w:r>
    </w:p>
    <w:p w14:paraId="24C32B5D">
      <w:pPr>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1、资格检查的内容若有一项未提供或达不到检查标准，将导致其不具备磋商资格，且不允许在响应文件提交截止时间后补正。</w:t>
      </w:r>
    </w:p>
    <w:p w14:paraId="18BE0C6C">
      <w:pPr>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、磋商供应商提供的其他材料，不作为资格检查的内容。</w:t>
      </w:r>
    </w:p>
    <w:p w14:paraId="439B6CCB">
      <w:pPr>
        <w:overflowPunct w:val="0"/>
        <w:topLinePunct/>
        <w:autoSpaceDN w:val="0"/>
        <w:adjustRightInd w:val="0"/>
        <w:snapToGrid w:val="0"/>
        <w:spacing w:line="360" w:lineRule="auto"/>
        <w:ind w:firstLine="480" w:firstLineChars="200"/>
        <w:outlineLvl w:val="9"/>
        <w:rPr>
          <w:rFonts w:hint="eastAsia" w:ascii="华文中宋" w:hAnsi="华文中宋" w:eastAsia="华文中宋" w:cs="华文中宋"/>
          <w:b/>
          <w:bCs/>
          <w:snapToGrid w:val="0"/>
          <w:color w:val="auto"/>
          <w:kern w:val="0"/>
          <w:sz w:val="24"/>
          <w:szCs w:val="24"/>
        </w:rPr>
      </w:pPr>
      <w:r>
        <w:rPr>
          <w:rFonts w:hint="eastAsia" w:ascii="华文中宋" w:hAnsi="华文中宋" w:eastAsia="华文中宋" w:cs="华文中宋"/>
          <w:b/>
          <w:bCs/>
          <w:snapToGrid w:val="0"/>
          <w:color w:val="auto"/>
          <w:kern w:val="0"/>
          <w:sz w:val="24"/>
          <w:szCs w:val="24"/>
        </w:rPr>
        <w:t>（三）</w:t>
      </w:r>
      <w:r>
        <w:rPr>
          <w:rFonts w:hint="eastAsia" w:ascii="华文中宋" w:hAnsi="华文中宋" w:eastAsia="华文中宋" w:cs="华文中宋"/>
          <w:b/>
          <w:bCs/>
          <w:snapToGrid w:val="0"/>
          <w:color w:val="auto"/>
          <w:kern w:val="0"/>
          <w:sz w:val="24"/>
          <w:szCs w:val="24"/>
          <w:lang w:eastAsia="zh-CN"/>
        </w:rPr>
        <w:t>符合性</w:t>
      </w:r>
      <w:r>
        <w:rPr>
          <w:rFonts w:hint="eastAsia" w:ascii="华文中宋" w:hAnsi="华文中宋" w:eastAsia="华文中宋" w:cs="华文中宋"/>
          <w:b/>
          <w:bCs/>
          <w:snapToGrid w:val="0"/>
          <w:color w:val="auto"/>
          <w:kern w:val="0"/>
          <w:sz w:val="24"/>
          <w:szCs w:val="24"/>
        </w:rPr>
        <w:t>审查内容及标准</w:t>
      </w:r>
    </w:p>
    <w:tbl>
      <w:tblPr>
        <w:tblStyle w:val="2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3063"/>
        <w:gridCol w:w="3949"/>
        <w:gridCol w:w="1148"/>
      </w:tblGrid>
      <w:tr w14:paraId="5D36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78" w:type="pct"/>
            <w:noWrap w:val="0"/>
            <w:vAlign w:val="center"/>
          </w:tcPr>
          <w:p w14:paraId="1CDD9F90">
            <w:pPr>
              <w:overflowPunct w:val="0"/>
              <w:topLinePunct/>
              <w:autoSpaceDN w:val="0"/>
              <w:adjustRightInd w:val="0"/>
              <w:snapToGrid w:val="0"/>
              <w:spacing w:line="240" w:lineRule="auto"/>
              <w:jc w:val="center"/>
              <w:outlineLvl w:val="9"/>
              <w:rPr>
                <w:rFonts w:hint="eastAsia" w:ascii="华文中宋" w:hAnsi="华文中宋" w:eastAsia="华文中宋" w:cs="华文中宋"/>
                <w:b/>
                <w:snapToGrid w:val="0"/>
                <w:color w:val="auto"/>
                <w:kern w:val="0"/>
                <w:sz w:val="21"/>
                <w:szCs w:val="21"/>
              </w:rPr>
            </w:pPr>
            <w:r>
              <w:rPr>
                <w:rFonts w:hint="eastAsia" w:ascii="华文中宋" w:hAnsi="华文中宋" w:eastAsia="华文中宋" w:cs="华文中宋"/>
                <w:b/>
                <w:snapToGrid w:val="0"/>
                <w:color w:val="auto"/>
                <w:kern w:val="0"/>
                <w:sz w:val="21"/>
                <w:szCs w:val="21"/>
              </w:rPr>
              <w:t>序号</w:t>
            </w:r>
          </w:p>
        </w:tc>
        <w:tc>
          <w:tcPr>
            <w:tcW w:w="1697" w:type="pct"/>
            <w:noWrap w:val="0"/>
            <w:vAlign w:val="center"/>
          </w:tcPr>
          <w:p w14:paraId="32151184">
            <w:pPr>
              <w:overflowPunct w:val="0"/>
              <w:topLinePunct/>
              <w:autoSpaceDN w:val="0"/>
              <w:adjustRightInd w:val="0"/>
              <w:snapToGrid w:val="0"/>
              <w:spacing w:line="240" w:lineRule="auto"/>
              <w:jc w:val="center"/>
              <w:outlineLvl w:val="9"/>
              <w:rPr>
                <w:rFonts w:hint="eastAsia" w:ascii="华文中宋" w:hAnsi="华文中宋" w:eastAsia="华文中宋" w:cs="华文中宋"/>
                <w:b/>
                <w:snapToGrid w:val="0"/>
                <w:color w:val="auto"/>
                <w:kern w:val="0"/>
                <w:sz w:val="21"/>
                <w:szCs w:val="21"/>
              </w:rPr>
            </w:pPr>
            <w:r>
              <w:rPr>
                <w:rFonts w:hint="eastAsia" w:ascii="华文中宋" w:hAnsi="华文中宋" w:eastAsia="华文中宋" w:cs="华文中宋"/>
                <w:b/>
                <w:snapToGrid w:val="0"/>
                <w:color w:val="auto"/>
                <w:kern w:val="0"/>
                <w:sz w:val="21"/>
                <w:szCs w:val="21"/>
              </w:rPr>
              <w:t>内容</w:t>
            </w:r>
          </w:p>
        </w:tc>
        <w:tc>
          <w:tcPr>
            <w:tcW w:w="2188" w:type="pct"/>
            <w:noWrap w:val="0"/>
            <w:vAlign w:val="center"/>
          </w:tcPr>
          <w:p w14:paraId="00D29A9F">
            <w:pPr>
              <w:overflowPunct w:val="0"/>
              <w:topLinePunct/>
              <w:autoSpaceDN w:val="0"/>
              <w:adjustRightInd w:val="0"/>
              <w:snapToGrid w:val="0"/>
              <w:spacing w:line="240" w:lineRule="auto"/>
              <w:jc w:val="center"/>
              <w:outlineLvl w:val="9"/>
              <w:rPr>
                <w:rFonts w:hint="eastAsia" w:ascii="华文中宋" w:hAnsi="华文中宋" w:eastAsia="华文中宋" w:cs="华文中宋"/>
                <w:b/>
                <w:snapToGrid w:val="0"/>
                <w:color w:val="auto"/>
                <w:kern w:val="0"/>
                <w:sz w:val="21"/>
                <w:szCs w:val="21"/>
              </w:rPr>
            </w:pPr>
            <w:r>
              <w:rPr>
                <w:rFonts w:hint="eastAsia" w:ascii="华文中宋" w:hAnsi="华文中宋" w:eastAsia="华文中宋" w:cs="华文中宋"/>
                <w:b/>
                <w:snapToGrid w:val="0"/>
                <w:color w:val="auto"/>
                <w:kern w:val="0"/>
                <w:sz w:val="21"/>
                <w:szCs w:val="21"/>
              </w:rPr>
              <w:t>评审标准</w:t>
            </w:r>
          </w:p>
        </w:tc>
        <w:tc>
          <w:tcPr>
            <w:tcW w:w="636" w:type="pct"/>
            <w:noWrap w:val="0"/>
            <w:vAlign w:val="center"/>
          </w:tcPr>
          <w:p w14:paraId="062E79B5">
            <w:pPr>
              <w:overflowPunct w:val="0"/>
              <w:topLinePunct/>
              <w:autoSpaceDN w:val="0"/>
              <w:adjustRightInd w:val="0"/>
              <w:snapToGrid w:val="0"/>
              <w:spacing w:line="240" w:lineRule="auto"/>
              <w:jc w:val="center"/>
              <w:outlineLvl w:val="9"/>
              <w:rPr>
                <w:rFonts w:hint="eastAsia" w:ascii="华文中宋" w:hAnsi="华文中宋" w:eastAsia="华文中宋" w:cs="华文中宋"/>
                <w:b/>
                <w:snapToGrid w:val="0"/>
                <w:color w:val="auto"/>
                <w:kern w:val="0"/>
                <w:sz w:val="21"/>
                <w:szCs w:val="21"/>
              </w:rPr>
            </w:pPr>
            <w:r>
              <w:rPr>
                <w:rFonts w:hint="eastAsia" w:ascii="华文中宋" w:hAnsi="华文中宋" w:eastAsia="华文中宋" w:cs="华文中宋"/>
                <w:b/>
                <w:snapToGrid w:val="0"/>
                <w:color w:val="auto"/>
                <w:kern w:val="0"/>
                <w:sz w:val="21"/>
                <w:szCs w:val="21"/>
              </w:rPr>
              <w:t>备注</w:t>
            </w:r>
          </w:p>
        </w:tc>
      </w:tr>
      <w:tr w14:paraId="3E20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78" w:type="pct"/>
            <w:noWrap w:val="0"/>
            <w:vAlign w:val="center"/>
          </w:tcPr>
          <w:p w14:paraId="11477F62">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1</w:t>
            </w:r>
          </w:p>
        </w:tc>
        <w:tc>
          <w:tcPr>
            <w:tcW w:w="1697" w:type="pct"/>
            <w:noWrap w:val="0"/>
            <w:vAlign w:val="center"/>
          </w:tcPr>
          <w:p w14:paraId="2533A23E">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对总报价、工期、工程质量、响应有效期要求的响应内容</w:t>
            </w:r>
          </w:p>
        </w:tc>
        <w:tc>
          <w:tcPr>
            <w:tcW w:w="2188" w:type="pct"/>
            <w:noWrap w:val="0"/>
            <w:vAlign w:val="center"/>
          </w:tcPr>
          <w:p w14:paraId="1E5A480F">
            <w:pPr>
              <w:shd w:val="clear" w:color="auto" w:fill="auto"/>
              <w:overflowPunct w:val="0"/>
              <w:topLinePunct/>
              <w:autoSpaceDN w:val="0"/>
              <w:adjustRightInd w:val="0"/>
              <w:snapToGrid w:val="0"/>
              <w:spacing w:line="240" w:lineRule="auto"/>
              <w:ind w:firstLine="210" w:firstLineChars="100"/>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总报价应低于（含等于）控制总价，</w:t>
            </w:r>
          </w:p>
          <w:p w14:paraId="084E594E">
            <w:pPr>
              <w:shd w:val="clear" w:color="auto" w:fill="auto"/>
              <w:overflowPunct w:val="0"/>
              <w:topLinePunct/>
              <w:autoSpaceDN w:val="0"/>
              <w:adjustRightInd w:val="0"/>
              <w:snapToGrid w:val="0"/>
              <w:spacing w:line="240" w:lineRule="auto"/>
              <w:ind w:firstLine="420" w:firstLineChars="200"/>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符合磋商文件要求</w:t>
            </w:r>
          </w:p>
        </w:tc>
        <w:tc>
          <w:tcPr>
            <w:tcW w:w="636" w:type="pct"/>
            <w:noWrap w:val="0"/>
            <w:vAlign w:val="center"/>
          </w:tcPr>
          <w:p w14:paraId="3F553809">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p>
        </w:tc>
      </w:tr>
      <w:tr w14:paraId="65CB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78" w:type="pct"/>
            <w:noWrap w:val="0"/>
            <w:vAlign w:val="center"/>
          </w:tcPr>
          <w:p w14:paraId="1B068A0B">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bCs/>
                <w:snapToGrid w:val="0"/>
                <w:color w:val="auto"/>
                <w:kern w:val="0"/>
                <w:sz w:val="21"/>
                <w:szCs w:val="21"/>
              </w:rPr>
            </w:pPr>
            <w:r>
              <w:rPr>
                <w:rFonts w:hint="eastAsia" w:ascii="华文中宋" w:hAnsi="华文中宋" w:eastAsia="华文中宋" w:cs="华文中宋"/>
                <w:bCs/>
                <w:snapToGrid w:val="0"/>
                <w:color w:val="auto"/>
                <w:kern w:val="0"/>
                <w:sz w:val="21"/>
                <w:szCs w:val="21"/>
              </w:rPr>
              <w:t>2</w:t>
            </w:r>
          </w:p>
        </w:tc>
        <w:tc>
          <w:tcPr>
            <w:tcW w:w="1697" w:type="pct"/>
            <w:noWrap w:val="0"/>
            <w:vAlign w:val="center"/>
          </w:tcPr>
          <w:p w14:paraId="7810582C">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技术标准和要求</w:t>
            </w:r>
          </w:p>
        </w:tc>
        <w:tc>
          <w:tcPr>
            <w:tcW w:w="2188" w:type="pct"/>
            <w:noWrap w:val="0"/>
            <w:vAlign w:val="center"/>
          </w:tcPr>
          <w:p w14:paraId="220E8272">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符合磋商文件第五部分要求</w:t>
            </w:r>
          </w:p>
        </w:tc>
        <w:tc>
          <w:tcPr>
            <w:tcW w:w="636" w:type="pct"/>
            <w:noWrap w:val="0"/>
            <w:vAlign w:val="center"/>
          </w:tcPr>
          <w:p w14:paraId="111BEC69">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b/>
                <w:snapToGrid w:val="0"/>
                <w:color w:val="auto"/>
                <w:kern w:val="0"/>
                <w:sz w:val="21"/>
                <w:szCs w:val="21"/>
              </w:rPr>
            </w:pPr>
          </w:p>
        </w:tc>
      </w:tr>
      <w:tr w14:paraId="7D4C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78" w:type="pct"/>
            <w:noWrap w:val="0"/>
            <w:vAlign w:val="center"/>
          </w:tcPr>
          <w:p w14:paraId="3B39CB91">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bCs/>
                <w:snapToGrid w:val="0"/>
                <w:color w:val="auto"/>
                <w:kern w:val="0"/>
                <w:sz w:val="21"/>
                <w:szCs w:val="21"/>
              </w:rPr>
            </w:pPr>
            <w:r>
              <w:rPr>
                <w:rFonts w:hint="eastAsia" w:ascii="华文中宋" w:hAnsi="华文中宋" w:eastAsia="华文中宋" w:cs="华文中宋"/>
                <w:bCs/>
                <w:snapToGrid w:val="0"/>
                <w:color w:val="auto"/>
                <w:kern w:val="0"/>
                <w:sz w:val="21"/>
                <w:szCs w:val="21"/>
              </w:rPr>
              <w:t>3</w:t>
            </w:r>
          </w:p>
        </w:tc>
        <w:tc>
          <w:tcPr>
            <w:tcW w:w="1697" w:type="pct"/>
            <w:noWrap w:val="0"/>
            <w:vAlign w:val="center"/>
          </w:tcPr>
          <w:p w14:paraId="7E199895">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对节能产品、环境标志产品承诺要求的响应内容</w:t>
            </w:r>
          </w:p>
        </w:tc>
        <w:tc>
          <w:tcPr>
            <w:tcW w:w="2188" w:type="pct"/>
            <w:noWrap w:val="0"/>
            <w:vAlign w:val="center"/>
          </w:tcPr>
          <w:p w14:paraId="5EA2CDE1">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符合磋商文件要求</w:t>
            </w:r>
          </w:p>
        </w:tc>
        <w:tc>
          <w:tcPr>
            <w:tcW w:w="636" w:type="pct"/>
            <w:noWrap w:val="0"/>
            <w:vAlign w:val="center"/>
          </w:tcPr>
          <w:p w14:paraId="64AF79E5">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b/>
                <w:snapToGrid w:val="0"/>
                <w:color w:val="auto"/>
                <w:kern w:val="0"/>
                <w:sz w:val="21"/>
                <w:szCs w:val="21"/>
              </w:rPr>
            </w:pPr>
          </w:p>
        </w:tc>
      </w:tr>
      <w:tr w14:paraId="006D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78" w:type="pct"/>
            <w:noWrap w:val="0"/>
            <w:vAlign w:val="center"/>
          </w:tcPr>
          <w:p w14:paraId="0461DA98">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4</w:t>
            </w:r>
          </w:p>
        </w:tc>
        <w:tc>
          <w:tcPr>
            <w:tcW w:w="1697" w:type="pct"/>
            <w:noWrap w:val="0"/>
            <w:vAlign w:val="center"/>
          </w:tcPr>
          <w:p w14:paraId="230F9A0C">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已标价工程量清单</w:t>
            </w:r>
          </w:p>
        </w:tc>
        <w:tc>
          <w:tcPr>
            <w:tcW w:w="2188" w:type="pct"/>
            <w:noWrap w:val="0"/>
            <w:vAlign w:val="center"/>
          </w:tcPr>
          <w:p w14:paraId="45236A64">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r>
              <w:rPr>
                <w:rFonts w:hint="eastAsia" w:ascii="华文中宋" w:hAnsi="华文中宋" w:eastAsia="华文中宋" w:cs="华文中宋"/>
                <w:snapToGrid w:val="0"/>
                <w:color w:val="auto"/>
                <w:kern w:val="0"/>
                <w:sz w:val="21"/>
                <w:szCs w:val="21"/>
              </w:rPr>
              <w:t>符合磋商文件要求</w:t>
            </w:r>
          </w:p>
        </w:tc>
        <w:tc>
          <w:tcPr>
            <w:tcW w:w="636" w:type="pct"/>
            <w:noWrap w:val="0"/>
            <w:vAlign w:val="center"/>
          </w:tcPr>
          <w:p w14:paraId="353D36BF">
            <w:pPr>
              <w:shd w:val="clear" w:color="auto" w:fill="auto"/>
              <w:overflowPunct w:val="0"/>
              <w:topLinePunct/>
              <w:autoSpaceDN w:val="0"/>
              <w:adjustRightInd w:val="0"/>
              <w:snapToGrid w:val="0"/>
              <w:spacing w:line="240" w:lineRule="auto"/>
              <w:jc w:val="center"/>
              <w:outlineLvl w:val="9"/>
              <w:rPr>
                <w:rFonts w:hint="eastAsia" w:ascii="华文中宋" w:hAnsi="华文中宋" w:eastAsia="华文中宋" w:cs="华文中宋"/>
                <w:snapToGrid w:val="0"/>
                <w:color w:val="auto"/>
                <w:kern w:val="0"/>
                <w:sz w:val="21"/>
                <w:szCs w:val="21"/>
              </w:rPr>
            </w:pPr>
          </w:p>
        </w:tc>
      </w:tr>
    </w:tbl>
    <w:p w14:paraId="5D8851BF">
      <w:pPr>
        <w:pStyle w:val="41"/>
        <w:keepNext w:val="0"/>
        <w:keepLines w:val="0"/>
        <w:pageBreakBefore w:val="0"/>
        <w:widowControl w:val="0"/>
        <w:kinsoku/>
        <w:wordWrap/>
        <w:overflowPunct/>
        <w:topLinePunct w:val="0"/>
        <w:autoSpaceDE/>
        <w:autoSpaceDN/>
        <w:bidi w:val="0"/>
        <w:snapToGrid w:val="0"/>
        <w:spacing w:line="500" w:lineRule="exact"/>
        <w:ind w:firstLine="240" w:firstLineChars="1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说明：</w:t>
      </w:r>
    </w:p>
    <w:p w14:paraId="7189040F">
      <w:pPr>
        <w:pStyle w:val="41"/>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1、符合性检查的内容，经磋商小组共同认定没有做出实质性响应的，将导致磋商无效。</w:t>
      </w:r>
    </w:p>
    <w:p w14:paraId="2192A6DE">
      <w:pPr>
        <w:pStyle w:val="41"/>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2、审查时，对特殊情况的处理评标委员会要遵循磋商文件第三部分磋商供应商须知规定的原则。</w:t>
      </w:r>
    </w:p>
    <w:p w14:paraId="330EF899">
      <w:pPr>
        <w:numPr>
          <w:ilvl w:val="0"/>
          <w:numId w:val="0"/>
        </w:numPr>
        <w:spacing w:line="360" w:lineRule="auto"/>
        <w:jc w:val="left"/>
        <w:outlineLvl w:val="9"/>
        <w:rPr>
          <w:rFonts w:hint="eastAsia" w:ascii="华文中宋" w:hAnsi="华文中宋" w:eastAsia="华文中宋" w:cs="华文中宋"/>
          <w:b/>
          <w:bCs/>
          <w:snapToGrid w:val="0"/>
          <w:color w:val="auto"/>
          <w:kern w:val="0"/>
          <w:sz w:val="24"/>
          <w:szCs w:val="24"/>
        </w:rPr>
      </w:pPr>
      <w:r>
        <w:rPr>
          <w:rFonts w:hint="eastAsia" w:ascii="华文中宋" w:hAnsi="华文中宋" w:eastAsia="华文中宋" w:cs="华文中宋"/>
          <w:b/>
          <w:bCs/>
          <w:snapToGrid w:val="0"/>
          <w:color w:val="auto"/>
          <w:kern w:val="0"/>
          <w:sz w:val="24"/>
          <w:szCs w:val="24"/>
          <w:lang w:val="en-US" w:eastAsia="zh-CN"/>
        </w:rPr>
        <w:t>二、</w:t>
      </w:r>
      <w:r>
        <w:rPr>
          <w:rFonts w:hint="eastAsia" w:ascii="华文中宋" w:hAnsi="华文中宋" w:eastAsia="华文中宋" w:cs="华文中宋"/>
          <w:b/>
          <w:bCs/>
          <w:snapToGrid w:val="0"/>
          <w:color w:val="auto"/>
          <w:kern w:val="0"/>
          <w:sz w:val="24"/>
          <w:szCs w:val="24"/>
        </w:rPr>
        <w:t>评分细则</w:t>
      </w:r>
    </w:p>
    <w:p w14:paraId="4D9E055D">
      <w:pPr>
        <w:snapToGrid w:val="0"/>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技术、商务评分</w:t>
      </w:r>
    </w:p>
    <w:tbl>
      <w:tblPr>
        <w:tblStyle w:val="29"/>
        <w:tblW w:w="50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868"/>
        <w:gridCol w:w="1225"/>
        <w:gridCol w:w="110"/>
        <w:gridCol w:w="705"/>
        <w:gridCol w:w="5563"/>
      </w:tblGrid>
      <w:tr w14:paraId="235C1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6061BEC">
            <w:pPr>
              <w:wordWrap w:val="0"/>
              <w:snapToGrid w:val="0"/>
              <w:spacing w:line="240" w:lineRule="auto"/>
              <w:jc w:val="center"/>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技术部分评分</w:t>
            </w:r>
          </w:p>
        </w:tc>
      </w:tr>
      <w:tr w14:paraId="4F50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2E1155D5">
            <w:pPr>
              <w:wordWrap w:val="0"/>
              <w:snapToGrid w:val="0"/>
              <w:spacing w:line="240" w:lineRule="auto"/>
              <w:jc w:val="center"/>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序号</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4B59786A">
            <w:pPr>
              <w:wordWrap w:val="0"/>
              <w:snapToGrid w:val="0"/>
              <w:spacing w:line="240" w:lineRule="auto"/>
              <w:jc w:val="center"/>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评审内容</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745AB34E">
            <w:pPr>
              <w:wordWrap w:val="0"/>
              <w:snapToGrid w:val="0"/>
              <w:spacing w:line="240" w:lineRule="auto"/>
              <w:jc w:val="center"/>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满分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3E4452CE">
            <w:pPr>
              <w:wordWrap w:val="0"/>
              <w:snapToGrid w:val="0"/>
              <w:spacing w:line="240" w:lineRule="auto"/>
              <w:jc w:val="center"/>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评审标准和方法</w:t>
            </w:r>
          </w:p>
        </w:tc>
      </w:tr>
      <w:tr w14:paraId="474D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62963BCA">
            <w:pPr>
              <w:wordWrap w:val="0"/>
              <w:snapToGrid w:val="0"/>
              <w:spacing w:line="240" w:lineRule="auto"/>
              <w:jc w:val="center"/>
              <w:outlineLvl w:val="9"/>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1</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69363864">
            <w:pPr>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施工组织方案</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24507DEA">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15</w:t>
            </w:r>
            <w:r>
              <w:rPr>
                <w:rFonts w:hint="eastAsia" w:ascii="华文中宋" w:hAnsi="华文中宋" w:eastAsia="华文中宋" w:cs="华文中宋"/>
                <w:color w:val="auto"/>
                <w:sz w:val="21"/>
                <w:szCs w:val="21"/>
              </w:rPr>
              <w:t>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3DA2D6D1">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根据磋商文件要求和服务响应情况，对供应商提供的施工组织方案进行评价，其中包括： </w:t>
            </w:r>
          </w:p>
          <w:p w14:paraId="7D864B67">
            <w:pPr>
              <w:pStyle w:val="47"/>
              <w:widowControl w:val="0"/>
              <w:wordWrap w:val="0"/>
              <w:topLinePunct/>
              <w:autoSpaceDE/>
              <w:autoSpaceDN/>
              <w:spacing w:beforeLines="0" w:afterLines="0" w:line="360" w:lineRule="auto"/>
              <w:ind w:firstLine="8"/>
              <w:jc w:val="both"/>
              <w:rPr>
                <w:rFonts w:hint="default" w:ascii="华文中宋" w:hAnsi="华文中宋" w:eastAsia="华文中宋" w:cs="华文中宋"/>
                <w:color w:val="auto"/>
                <w:kern w:val="2"/>
                <w:sz w:val="21"/>
                <w:szCs w:val="21"/>
                <w:lang w:val="en-US" w:eastAsia="zh-CN" w:bidi="ar-SA"/>
              </w:rPr>
            </w:pPr>
            <w:r>
              <w:rPr>
                <w:rFonts w:hint="default" w:ascii="华文中宋" w:hAnsi="华文中宋" w:eastAsia="华文中宋" w:cs="华文中宋"/>
                <w:color w:val="auto"/>
                <w:kern w:val="2"/>
                <w:sz w:val="21"/>
                <w:szCs w:val="21"/>
                <w:lang w:val="en-US" w:eastAsia="zh-CN" w:bidi="ar-SA"/>
              </w:rPr>
              <w:t>①编制原则；</w:t>
            </w:r>
          </w:p>
          <w:p w14:paraId="26089236">
            <w:pPr>
              <w:pStyle w:val="47"/>
              <w:widowControl w:val="0"/>
              <w:wordWrap w:val="0"/>
              <w:topLinePunct/>
              <w:autoSpaceDE/>
              <w:autoSpaceDN/>
              <w:spacing w:beforeLines="0" w:afterLines="0" w:line="360" w:lineRule="auto"/>
              <w:ind w:firstLine="8"/>
              <w:jc w:val="both"/>
              <w:rPr>
                <w:rFonts w:hint="default" w:ascii="华文中宋" w:hAnsi="华文中宋" w:eastAsia="华文中宋" w:cs="华文中宋"/>
                <w:color w:val="auto"/>
                <w:kern w:val="2"/>
                <w:sz w:val="21"/>
                <w:szCs w:val="21"/>
                <w:lang w:val="en-US" w:eastAsia="zh-CN" w:bidi="ar-SA"/>
              </w:rPr>
            </w:pPr>
            <w:r>
              <w:rPr>
                <w:rFonts w:hint="default" w:ascii="华文中宋" w:hAnsi="华文中宋" w:eastAsia="华文中宋" w:cs="华文中宋"/>
                <w:color w:val="auto"/>
                <w:kern w:val="2"/>
                <w:sz w:val="21"/>
                <w:szCs w:val="21"/>
                <w:lang w:val="en-US" w:eastAsia="zh-CN" w:bidi="ar-SA"/>
              </w:rPr>
              <w:t>②编制说明；</w:t>
            </w:r>
          </w:p>
          <w:p w14:paraId="30295A57">
            <w:pPr>
              <w:pStyle w:val="47"/>
              <w:widowControl w:val="0"/>
              <w:wordWrap w:val="0"/>
              <w:topLinePunct/>
              <w:autoSpaceDE/>
              <w:autoSpaceDN/>
              <w:spacing w:beforeLines="0" w:afterLines="0" w:line="360" w:lineRule="auto"/>
              <w:ind w:firstLine="8"/>
              <w:jc w:val="both"/>
              <w:rPr>
                <w:rFonts w:hint="default" w:ascii="华文中宋" w:hAnsi="华文中宋" w:eastAsia="华文中宋" w:cs="华文中宋"/>
                <w:color w:val="auto"/>
                <w:kern w:val="2"/>
                <w:sz w:val="21"/>
                <w:szCs w:val="21"/>
                <w:lang w:val="en-US" w:eastAsia="zh-CN" w:bidi="ar-SA"/>
              </w:rPr>
            </w:pPr>
            <w:r>
              <w:rPr>
                <w:rFonts w:hint="default" w:ascii="华文中宋" w:hAnsi="华文中宋" w:eastAsia="华文中宋" w:cs="华文中宋"/>
                <w:color w:val="auto"/>
                <w:kern w:val="2"/>
                <w:sz w:val="21"/>
                <w:szCs w:val="21"/>
                <w:lang w:val="en-US" w:eastAsia="zh-CN" w:bidi="ar-SA"/>
              </w:rPr>
              <w:t>③施工方案总体思路；</w:t>
            </w:r>
          </w:p>
          <w:p w14:paraId="31E3985D">
            <w:pPr>
              <w:pStyle w:val="47"/>
              <w:widowControl w:val="0"/>
              <w:wordWrap w:val="0"/>
              <w:topLinePunct/>
              <w:autoSpaceDE/>
              <w:autoSpaceDN/>
              <w:spacing w:beforeLines="0" w:afterLines="0" w:line="360" w:lineRule="auto"/>
              <w:ind w:firstLine="8"/>
              <w:jc w:val="both"/>
              <w:rPr>
                <w:rFonts w:hint="default" w:ascii="华文中宋" w:hAnsi="华文中宋" w:eastAsia="华文中宋" w:cs="华文中宋"/>
                <w:color w:val="auto"/>
                <w:kern w:val="2"/>
                <w:sz w:val="21"/>
                <w:szCs w:val="21"/>
                <w:lang w:val="en-US" w:eastAsia="zh-CN" w:bidi="ar-SA"/>
              </w:rPr>
            </w:pPr>
            <w:r>
              <w:rPr>
                <w:rFonts w:hint="default" w:ascii="华文中宋" w:hAnsi="华文中宋" w:eastAsia="华文中宋" w:cs="华文中宋"/>
                <w:color w:val="auto"/>
                <w:kern w:val="2"/>
                <w:sz w:val="21"/>
                <w:szCs w:val="21"/>
                <w:lang w:val="en-US" w:eastAsia="zh-CN" w:bidi="ar-SA"/>
              </w:rPr>
              <w:t>④前期技术调查；</w:t>
            </w:r>
          </w:p>
          <w:p w14:paraId="0C0C1D1B">
            <w:pPr>
              <w:pStyle w:val="47"/>
              <w:widowControl w:val="0"/>
              <w:wordWrap w:val="0"/>
              <w:topLinePunct/>
              <w:autoSpaceDE/>
              <w:autoSpaceDN/>
              <w:spacing w:beforeLines="0" w:afterLines="0" w:line="360" w:lineRule="auto"/>
              <w:ind w:firstLine="8"/>
              <w:jc w:val="both"/>
              <w:rPr>
                <w:rFonts w:hint="default" w:ascii="华文中宋" w:hAnsi="华文中宋" w:eastAsia="华文中宋" w:cs="华文中宋"/>
                <w:color w:val="auto"/>
                <w:kern w:val="2"/>
                <w:sz w:val="21"/>
                <w:szCs w:val="21"/>
                <w:lang w:val="en-US" w:eastAsia="zh-CN" w:bidi="ar-SA"/>
              </w:rPr>
            </w:pPr>
            <w:r>
              <w:rPr>
                <w:rFonts w:hint="default" w:ascii="华文中宋" w:hAnsi="华文中宋" w:eastAsia="华文中宋" w:cs="华文中宋"/>
                <w:color w:val="auto"/>
                <w:kern w:val="2"/>
                <w:sz w:val="21"/>
                <w:szCs w:val="21"/>
                <w:lang w:val="en-US" w:eastAsia="zh-CN" w:bidi="ar-SA"/>
              </w:rPr>
              <w:t>⑤协调工作；</w:t>
            </w:r>
          </w:p>
          <w:p w14:paraId="30CF518E">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上述</w:t>
            </w:r>
            <w:r>
              <w:rPr>
                <w:rFonts w:hint="eastAsia" w:ascii="华文中宋" w:hAnsi="华文中宋" w:eastAsia="华文中宋" w:cs="华文中宋"/>
                <w:color w:val="auto"/>
                <w:sz w:val="21"/>
                <w:szCs w:val="21"/>
                <w:lang w:val="en-US" w:eastAsia="zh-CN"/>
              </w:rPr>
              <w:t>五</w:t>
            </w:r>
            <w:r>
              <w:rPr>
                <w:rFonts w:hint="eastAsia" w:ascii="华文中宋" w:hAnsi="华文中宋" w:eastAsia="华文中宋" w:cs="华文中宋"/>
                <w:color w:val="auto"/>
                <w:sz w:val="21"/>
                <w:szCs w:val="21"/>
              </w:rPr>
              <w:t>项内容均进行了阐述且满足本项目服务要求的得1</w:t>
            </w:r>
            <w:r>
              <w:rPr>
                <w:rFonts w:hint="eastAsia" w:ascii="华文中宋" w:hAnsi="华文中宋" w:eastAsia="华文中宋" w:cs="华文中宋"/>
                <w:color w:val="auto"/>
                <w:sz w:val="21"/>
                <w:szCs w:val="21"/>
                <w:lang w:val="en-US" w:eastAsia="zh-CN"/>
              </w:rPr>
              <w:t>5</w:t>
            </w:r>
            <w:r>
              <w:rPr>
                <w:rFonts w:hint="eastAsia" w:ascii="华文中宋" w:hAnsi="华文中宋" w:eastAsia="华文中宋" w:cs="华文中宋"/>
                <w:color w:val="auto"/>
                <w:sz w:val="21"/>
                <w:szCs w:val="21"/>
              </w:rPr>
              <w:t>分； 每项中每有一处存在内容缺陷内容扣1分，每项最多扣</w:t>
            </w:r>
            <w:r>
              <w:rPr>
                <w:rFonts w:hint="eastAsia" w:ascii="华文中宋" w:hAnsi="华文中宋" w:eastAsia="华文中宋" w:cs="华文中宋"/>
                <w:color w:val="auto"/>
                <w:sz w:val="21"/>
                <w:szCs w:val="21"/>
                <w:lang w:val="en-US" w:eastAsia="zh-CN"/>
              </w:rPr>
              <w:t>2</w:t>
            </w:r>
            <w:r>
              <w:rPr>
                <w:rFonts w:hint="eastAsia" w:ascii="华文中宋" w:hAnsi="华文中宋" w:eastAsia="华文中宋" w:cs="华文中宋"/>
                <w:color w:val="auto"/>
                <w:sz w:val="21"/>
                <w:szCs w:val="21"/>
              </w:rPr>
              <w:t>分，未响应或未提供不得分； 每有一项内容未阐述或不符合项目实际情况且未提供具体实施细节及措施，扣</w:t>
            </w:r>
            <w:r>
              <w:rPr>
                <w:rFonts w:hint="eastAsia" w:ascii="华文中宋" w:hAnsi="华文中宋" w:eastAsia="华文中宋" w:cs="华文中宋"/>
                <w:color w:val="auto"/>
                <w:sz w:val="21"/>
                <w:szCs w:val="21"/>
                <w:lang w:val="en-US" w:eastAsia="zh-CN"/>
              </w:rPr>
              <w:t>3</w:t>
            </w:r>
            <w:r>
              <w:rPr>
                <w:rFonts w:hint="eastAsia" w:ascii="华文中宋" w:hAnsi="华文中宋" w:eastAsia="华文中宋" w:cs="华文中宋"/>
                <w:color w:val="auto"/>
                <w:sz w:val="21"/>
                <w:szCs w:val="21"/>
              </w:rPr>
              <w:t>分。 注：缺陷是指以下情形中的任意一项：内容前后不一致；前后逻辑错误；项目及工作的理解片面主观；方案内容不清晰或交叉混乱；方案内容与项目内在需求有漏项等。</w:t>
            </w:r>
          </w:p>
        </w:tc>
      </w:tr>
      <w:tr w14:paraId="4C95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1C019F1A">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44DF65D5">
            <w:pPr>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施工进度计划方案</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3538C0D9">
            <w:pPr>
              <w:wordWrap w:val="0"/>
              <w:snapToGrid w:val="0"/>
              <w:spacing w:line="240" w:lineRule="auto"/>
              <w:jc w:val="center"/>
              <w:outlineLvl w:val="9"/>
              <w:rPr>
                <w:rFonts w:hint="eastAsia" w:ascii="华文中宋" w:hAnsi="华文中宋" w:eastAsia="华文中宋" w:cs="华文中宋"/>
                <w:color w:val="auto"/>
                <w:sz w:val="21"/>
                <w:szCs w:val="21"/>
                <w:lang w:val="en-US"/>
              </w:rPr>
            </w:pPr>
            <w:r>
              <w:rPr>
                <w:rFonts w:hint="eastAsia" w:ascii="华文中宋" w:hAnsi="华文中宋" w:eastAsia="华文中宋" w:cs="华文中宋"/>
                <w:color w:val="auto"/>
                <w:sz w:val="21"/>
                <w:szCs w:val="21"/>
                <w:lang w:val="en-US" w:eastAsia="zh-CN"/>
              </w:rPr>
              <w:t>6分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3AAFDF41">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根据磋商文件要求和服务响应情况，对供应商提供的施工进度计划方案进行评价，其中包括： </w:t>
            </w:r>
          </w:p>
          <w:p w14:paraId="7F85061C">
            <w:pPr>
              <w:snapToGrid w:val="0"/>
              <w:spacing w:line="240" w:lineRule="auto"/>
              <w:jc w:val="left"/>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①总体工作计划安排及流程</w:t>
            </w:r>
            <w:r>
              <w:rPr>
                <w:rFonts w:hint="eastAsia" w:ascii="华文中宋" w:hAnsi="华文中宋" w:eastAsia="华文中宋" w:cs="华文中宋"/>
                <w:color w:val="auto"/>
                <w:sz w:val="21"/>
                <w:szCs w:val="21"/>
                <w:lang w:eastAsia="zh-CN"/>
              </w:rPr>
              <w:t>；</w:t>
            </w:r>
          </w:p>
          <w:p w14:paraId="3FBF47CC">
            <w:pPr>
              <w:snapToGrid w:val="0"/>
              <w:spacing w:line="240" w:lineRule="auto"/>
              <w:jc w:val="left"/>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②工期安排保障措施</w:t>
            </w:r>
            <w:r>
              <w:rPr>
                <w:rFonts w:hint="eastAsia" w:ascii="华文中宋" w:hAnsi="华文中宋" w:eastAsia="华文中宋" w:cs="华文中宋"/>
                <w:color w:val="auto"/>
                <w:sz w:val="21"/>
                <w:szCs w:val="21"/>
                <w:lang w:eastAsia="zh-CN"/>
              </w:rPr>
              <w:t>；</w:t>
            </w:r>
          </w:p>
          <w:p w14:paraId="1CE50951">
            <w:pPr>
              <w:snapToGrid w:val="0"/>
              <w:spacing w:line="240" w:lineRule="auto"/>
              <w:jc w:val="left"/>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③恶劣天气应对保障措施</w:t>
            </w:r>
            <w:r>
              <w:rPr>
                <w:rFonts w:hint="eastAsia" w:ascii="华文中宋" w:hAnsi="华文中宋" w:eastAsia="华文中宋" w:cs="华文中宋"/>
                <w:color w:val="auto"/>
                <w:sz w:val="21"/>
                <w:szCs w:val="21"/>
                <w:lang w:eastAsia="zh-CN"/>
              </w:rPr>
              <w:t>；</w:t>
            </w:r>
          </w:p>
          <w:p w14:paraId="2368BC0D">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上述三项内容均进行了阐述且满足本项目服务要求的得</w:t>
            </w:r>
            <w:r>
              <w:rPr>
                <w:rFonts w:hint="eastAsia" w:ascii="华文中宋" w:hAnsi="华文中宋" w:eastAsia="华文中宋" w:cs="华文中宋"/>
                <w:color w:val="auto"/>
                <w:sz w:val="21"/>
                <w:szCs w:val="21"/>
                <w:lang w:val="en-US" w:eastAsia="zh-CN"/>
              </w:rPr>
              <w:t>6</w:t>
            </w:r>
            <w:r>
              <w:rPr>
                <w:rFonts w:hint="eastAsia" w:ascii="华文中宋" w:hAnsi="华文中宋" w:eastAsia="华文中宋" w:cs="华文中宋"/>
                <w:color w:val="auto"/>
                <w:sz w:val="21"/>
                <w:szCs w:val="21"/>
              </w:rPr>
              <w:t>分； 每项中每有一处存在内容缺陷内容扣</w:t>
            </w:r>
            <w:r>
              <w:rPr>
                <w:rFonts w:hint="eastAsia" w:ascii="华文中宋" w:hAnsi="华文中宋" w:eastAsia="华文中宋" w:cs="华文中宋"/>
                <w:color w:val="auto"/>
                <w:sz w:val="21"/>
                <w:szCs w:val="21"/>
                <w:lang w:val="en-US" w:eastAsia="zh-CN"/>
              </w:rPr>
              <w:t>0.5</w:t>
            </w:r>
            <w:r>
              <w:rPr>
                <w:rFonts w:hint="eastAsia" w:ascii="华文中宋" w:hAnsi="华文中宋" w:eastAsia="华文中宋" w:cs="华文中宋"/>
                <w:color w:val="auto"/>
                <w:sz w:val="21"/>
                <w:szCs w:val="21"/>
              </w:rPr>
              <w:t>分，每项最多扣</w:t>
            </w:r>
            <w:r>
              <w:rPr>
                <w:rFonts w:hint="eastAsia" w:ascii="华文中宋" w:hAnsi="华文中宋" w:eastAsia="华文中宋" w:cs="华文中宋"/>
                <w:color w:val="auto"/>
                <w:sz w:val="21"/>
                <w:szCs w:val="21"/>
                <w:lang w:val="en-US" w:eastAsia="zh-CN"/>
              </w:rPr>
              <w:t>1</w:t>
            </w:r>
            <w:r>
              <w:rPr>
                <w:rFonts w:hint="eastAsia" w:ascii="华文中宋" w:hAnsi="华文中宋" w:eastAsia="华文中宋" w:cs="华文中宋"/>
                <w:color w:val="auto"/>
                <w:sz w:val="21"/>
                <w:szCs w:val="21"/>
              </w:rPr>
              <w:t>分，未响应或未提供不得分； 每有一项内容未阐述或不符合项目实际情况且未提供具体实施细节及措施，扣</w:t>
            </w:r>
            <w:r>
              <w:rPr>
                <w:rFonts w:hint="eastAsia" w:ascii="华文中宋" w:hAnsi="华文中宋" w:eastAsia="华文中宋" w:cs="华文中宋"/>
                <w:color w:val="auto"/>
                <w:sz w:val="21"/>
                <w:szCs w:val="21"/>
                <w:lang w:val="en-US" w:eastAsia="zh-CN"/>
              </w:rPr>
              <w:t>2</w:t>
            </w:r>
            <w:r>
              <w:rPr>
                <w:rFonts w:hint="eastAsia" w:ascii="华文中宋" w:hAnsi="华文中宋" w:eastAsia="华文中宋" w:cs="华文中宋"/>
                <w:color w:val="auto"/>
                <w:sz w:val="21"/>
                <w:szCs w:val="21"/>
              </w:rPr>
              <w:t>分。 注：缺陷是指以下情形中的任意一项：内容前后不一致；前后逻辑错误；项目及工作的理解片面主观；方案内容不清晰或交叉混乱；方案内容与项目内在需求有漏项等。</w:t>
            </w:r>
          </w:p>
        </w:tc>
      </w:tr>
      <w:tr w14:paraId="02244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23DDFA07">
            <w:pPr>
              <w:wordWrap w:val="0"/>
              <w:snapToGrid w:val="0"/>
              <w:spacing w:line="240" w:lineRule="auto"/>
              <w:jc w:val="center"/>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lang w:val="en-US" w:eastAsia="zh-CN"/>
              </w:rPr>
              <w:t>3</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2F4F6EF3">
            <w:pPr>
              <w:snapToGrid w:val="0"/>
              <w:spacing w:line="240" w:lineRule="auto"/>
              <w:jc w:val="center"/>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lang w:val="en-US" w:eastAsia="zh-CN"/>
              </w:rPr>
              <w:t>施工质量控制方案</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624F06FD">
            <w:pPr>
              <w:wordWrap w:val="0"/>
              <w:snapToGrid w:val="0"/>
              <w:spacing w:line="240" w:lineRule="auto"/>
              <w:jc w:val="center"/>
              <w:outlineLvl w:val="9"/>
              <w:rPr>
                <w:rFonts w:hint="eastAsia" w:ascii="华文中宋" w:hAnsi="华文中宋" w:eastAsia="华文中宋" w:cs="华文中宋"/>
                <w:color w:val="auto"/>
                <w:sz w:val="21"/>
                <w:szCs w:val="21"/>
                <w:lang w:val="en-US"/>
              </w:rPr>
            </w:pPr>
            <w:r>
              <w:rPr>
                <w:rFonts w:hint="eastAsia" w:ascii="华文中宋" w:hAnsi="华文中宋" w:eastAsia="华文中宋" w:cs="华文中宋"/>
                <w:color w:val="auto"/>
                <w:sz w:val="21"/>
                <w:szCs w:val="21"/>
                <w:lang w:val="en-US" w:eastAsia="zh-CN"/>
              </w:rPr>
              <w:t>6分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2E18CAC0">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 xml:space="preserve">根据磋商文件要求和服务响应情况，对供应商提供的施工质量控制方案进行评价，其中包括： </w:t>
            </w:r>
          </w:p>
          <w:p w14:paraId="0ECDA627">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①质量控制的程序；</w:t>
            </w:r>
          </w:p>
          <w:p w14:paraId="49EF0B5E">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②施工前、中、后期质量保证措施；</w:t>
            </w:r>
          </w:p>
          <w:p w14:paraId="77B938C2">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③质量保证体系等；</w:t>
            </w:r>
          </w:p>
          <w:p w14:paraId="40BB0A0B">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上述三项内容均进行了阐述且满足本项目服务要求的得6分； 每项中每有一处存在内容缺陷内容扣0.5分，每项最多扣1分，未响应或未提供不得分； 每有一项内容未阐述或不符合项目实际情况且未提供具体实施细节及措施，扣2分。 注：缺陷是指以下情形中的任意一项：内容前后不一致；前后逻辑错误；项目及工作的理解片面主观；方案内容不清晰或交叉混乱；方案内容与项目内在需求有漏项等。</w:t>
            </w:r>
          </w:p>
        </w:tc>
      </w:tr>
      <w:tr w14:paraId="6F3E6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1386CBF5">
            <w:pPr>
              <w:wordWrap w:val="0"/>
              <w:snapToGrid w:val="0"/>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4</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3BFE4B73">
            <w:pPr>
              <w:snapToGrid w:val="0"/>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安全文明施工保障措施方案</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2455D58C">
            <w:pPr>
              <w:wordWrap w:val="0"/>
              <w:snapToGrid w:val="0"/>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6分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57B4282E">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 根据磋商文件要求和服务响应情况，对供应商提供的安全文明施工保障措施方案进行评价，其中包括： </w:t>
            </w:r>
          </w:p>
          <w:p w14:paraId="273C7075">
            <w:pPr>
              <w:snapToGrid w:val="0"/>
              <w:spacing w:line="240" w:lineRule="auto"/>
              <w:jc w:val="left"/>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①安全管理人员安排</w:t>
            </w:r>
            <w:r>
              <w:rPr>
                <w:rFonts w:hint="eastAsia" w:ascii="华文中宋" w:hAnsi="华文中宋" w:eastAsia="华文中宋" w:cs="华文中宋"/>
                <w:color w:val="auto"/>
                <w:sz w:val="21"/>
                <w:szCs w:val="21"/>
                <w:lang w:eastAsia="zh-CN"/>
              </w:rPr>
              <w:t>；</w:t>
            </w:r>
          </w:p>
          <w:p w14:paraId="45A827AC">
            <w:pPr>
              <w:snapToGrid w:val="0"/>
              <w:spacing w:line="240" w:lineRule="auto"/>
              <w:jc w:val="left"/>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②人员安全培训教育</w:t>
            </w:r>
            <w:r>
              <w:rPr>
                <w:rFonts w:hint="eastAsia" w:ascii="华文中宋" w:hAnsi="华文中宋" w:eastAsia="华文中宋" w:cs="华文中宋"/>
                <w:color w:val="auto"/>
                <w:sz w:val="21"/>
                <w:szCs w:val="21"/>
                <w:lang w:eastAsia="zh-CN"/>
              </w:rPr>
              <w:t>；</w:t>
            </w:r>
          </w:p>
          <w:p w14:paraId="00C865B7">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③安全文明施工保障措施</w:t>
            </w: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color w:val="auto"/>
                <w:sz w:val="21"/>
                <w:szCs w:val="21"/>
              </w:rPr>
              <w:t xml:space="preserve"> </w:t>
            </w:r>
          </w:p>
          <w:p w14:paraId="7EE99D19">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上述三项内容均进行了阐述且满足本项目服务要求的得</w:t>
            </w:r>
            <w:r>
              <w:rPr>
                <w:rFonts w:hint="eastAsia" w:ascii="华文中宋" w:hAnsi="华文中宋" w:eastAsia="华文中宋" w:cs="华文中宋"/>
                <w:color w:val="auto"/>
                <w:sz w:val="21"/>
                <w:szCs w:val="21"/>
                <w:lang w:val="en-US" w:eastAsia="zh-CN"/>
              </w:rPr>
              <w:t>6</w:t>
            </w:r>
            <w:r>
              <w:rPr>
                <w:rFonts w:hint="eastAsia" w:ascii="华文中宋" w:hAnsi="华文中宋" w:eastAsia="华文中宋" w:cs="华文中宋"/>
                <w:color w:val="auto"/>
                <w:sz w:val="21"/>
                <w:szCs w:val="21"/>
              </w:rPr>
              <w:t>分； 每项中每有一处存在内容缺陷内容扣</w:t>
            </w:r>
            <w:r>
              <w:rPr>
                <w:rFonts w:hint="eastAsia" w:ascii="华文中宋" w:hAnsi="华文中宋" w:eastAsia="华文中宋" w:cs="华文中宋"/>
                <w:color w:val="auto"/>
                <w:sz w:val="21"/>
                <w:szCs w:val="21"/>
                <w:lang w:val="en-US" w:eastAsia="zh-CN"/>
              </w:rPr>
              <w:t>0.5</w:t>
            </w:r>
            <w:r>
              <w:rPr>
                <w:rFonts w:hint="eastAsia" w:ascii="华文中宋" w:hAnsi="华文中宋" w:eastAsia="华文中宋" w:cs="华文中宋"/>
                <w:color w:val="auto"/>
                <w:sz w:val="21"/>
                <w:szCs w:val="21"/>
              </w:rPr>
              <w:t>分，每项最多扣</w:t>
            </w:r>
            <w:r>
              <w:rPr>
                <w:rFonts w:hint="eastAsia" w:ascii="华文中宋" w:hAnsi="华文中宋" w:eastAsia="华文中宋" w:cs="华文中宋"/>
                <w:color w:val="auto"/>
                <w:sz w:val="21"/>
                <w:szCs w:val="21"/>
                <w:lang w:val="en-US" w:eastAsia="zh-CN"/>
              </w:rPr>
              <w:t>1</w:t>
            </w:r>
            <w:r>
              <w:rPr>
                <w:rFonts w:hint="eastAsia" w:ascii="华文中宋" w:hAnsi="华文中宋" w:eastAsia="华文中宋" w:cs="华文中宋"/>
                <w:color w:val="auto"/>
                <w:sz w:val="21"/>
                <w:szCs w:val="21"/>
              </w:rPr>
              <w:t>分，未响应或未提供不得分； 每有一项内容未阐述或不符合项目实际情况且未提供具体实施细节及措施，扣</w:t>
            </w:r>
            <w:r>
              <w:rPr>
                <w:rFonts w:hint="eastAsia" w:ascii="华文中宋" w:hAnsi="华文中宋" w:eastAsia="华文中宋" w:cs="华文中宋"/>
                <w:color w:val="auto"/>
                <w:sz w:val="21"/>
                <w:szCs w:val="21"/>
                <w:lang w:val="en-US" w:eastAsia="zh-CN"/>
              </w:rPr>
              <w:t>2</w:t>
            </w:r>
            <w:r>
              <w:rPr>
                <w:rFonts w:hint="eastAsia" w:ascii="华文中宋" w:hAnsi="华文中宋" w:eastAsia="华文中宋" w:cs="华文中宋"/>
                <w:color w:val="auto"/>
                <w:sz w:val="21"/>
                <w:szCs w:val="21"/>
              </w:rPr>
              <w:t>分。 注：缺陷是指以下情形中的任意一项：内容前后不一致；前后逻辑错误；项目及工作的理解片面主观；方案内容不清晰或交叉混乱；方案内容与项目内在需求有漏项等。</w:t>
            </w:r>
          </w:p>
        </w:tc>
      </w:tr>
      <w:tr w14:paraId="55C6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58FCD8B9">
            <w:pPr>
              <w:wordWrap w:val="0"/>
              <w:snapToGrid w:val="0"/>
              <w:spacing w:line="240" w:lineRule="auto"/>
              <w:jc w:val="center"/>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lang w:val="en-US" w:eastAsia="zh-CN"/>
              </w:rPr>
              <w:t>5</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420184E3">
            <w:pPr>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关键部位施工方案</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16A3B2B0">
            <w:pPr>
              <w:wordWrap w:val="0"/>
              <w:snapToGrid w:val="0"/>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9分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0DFBE26E">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 xml:space="preserve">根据磋商文件要求和服务响应情况，对供应商提供的关键部位施工方案进行评价，其中包括： </w:t>
            </w:r>
          </w:p>
          <w:p w14:paraId="48F77FDD">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①施工准备工作；</w:t>
            </w:r>
          </w:p>
          <w:p w14:paraId="1DED0D5F">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②施工方法；</w:t>
            </w:r>
          </w:p>
          <w:p w14:paraId="2AD6275E">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③施工工艺；</w:t>
            </w:r>
          </w:p>
          <w:p w14:paraId="5E54D1B2">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上述三项内容均进行了阐述且满足本项目服务要求的得9分； 每项中每有一处存在内容缺陷内容扣1分，每项最多扣2分，未响应或未提供不得分； 每有一项内容未阐述或不符合项目实际情况且未提供具体实施细节及措施，扣3分。 注：缺陷是指以下情形中的任意一项：内容前后不一致；前后逻辑错误；项目及工作的理解片面主观；方案内容不清晰或交叉混乱；方案内容与项目内在需求有漏项等。</w:t>
            </w:r>
          </w:p>
        </w:tc>
      </w:tr>
      <w:tr w14:paraId="50FD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784CC6B9">
            <w:pPr>
              <w:wordWrap w:val="0"/>
              <w:snapToGrid w:val="0"/>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6</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144D9917">
            <w:pPr>
              <w:snapToGrid w:val="0"/>
              <w:spacing w:line="240" w:lineRule="auto"/>
              <w:jc w:val="center"/>
              <w:outlineLvl w:val="9"/>
              <w:rPr>
                <w:rFonts w:hint="eastAsia" w:ascii="华文中宋" w:hAnsi="华文中宋" w:eastAsia="华文中宋" w:cs="华文中宋"/>
                <w:color w:val="auto"/>
                <w:sz w:val="21"/>
                <w:szCs w:val="21"/>
                <w:lang w:val="en-US" w:eastAsia="zh-CN"/>
              </w:rPr>
            </w:pPr>
          </w:p>
          <w:p w14:paraId="02D7F2FF">
            <w:pPr>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材料供应及劳动力计划安排</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6E27A95B">
            <w:pPr>
              <w:wordWrap w:val="0"/>
              <w:snapToGrid w:val="0"/>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6分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222F9021">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 xml:space="preserve">根据磋商文件要求和服务响应情况，对供应商提供的材料供应及劳动力计划安排进行评价，其中包括： </w:t>
            </w:r>
          </w:p>
          <w:p w14:paraId="0AD5CE3A">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①材料供应；</w:t>
            </w:r>
          </w:p>
          <w:p w14:paraId="03134A5F">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②材料运输及材料进场安排；</w:t>
            </w:r>
          </w:p>
          <w:p w14:paraId="39884769">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③劳动力计划安排；</w:t>
            </w:r>
          </w:p>
          <w:p w14:paraId="2485E520">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上述三项内容均进行了阐述且满足本项目服务要求的得6分； 每项中每有一处存在内容缺陷内容扣0.5分，每项最多扣1分，未响应或未提供不得分； 每有一项内容未阐述或不符合项目实际情况且未提供具体实施细节及措施，扣2分。 注：缺陷是指以下情形中的任意一项：内容前后不一致；前后逻辑错误；项目及工作的理解片面主观；方案内容不清晰或交叉混乱；方案内容与项目内在需求有漏项等。</w:t>
            </w:r>
          </w:p>
        </w:tc>
      </w:tr>
      <w:tr w14:paraId="21AF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188EFD92">
            <w:pPr>
              <w:wordWrap w:val="0"/>
              <w:snapToGrid w:val="0"/>
              <w:spacing w:line="240" w:lineRule="auto"/>
              <w:jc w:val="center"/>
              <w:outlineLvl w:val="9"/>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7</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56123E05">
            <w:pPr>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环保、消防、降噪、文明措施</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18968FBE">
            <w:pPr>
              <w:wordWrap w:val="0"/>
              <w:snapToGrid w:val="0"/>
              <w:spacing w:line="240" w:lineRule="auto"/>
              <w:jc w:val="center"/>
              <w:outlineLvl w:val="9"/>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8分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70C46EB4">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 xml:space="preserve">根据磋商文件要求和服务响应情况，对供应商提供的环保、消防、降噪、文明措施进行评价，其中包括： </w:t>
            </w:r>
          </w:p>
          <w:p w14:paraId="7E8B387C">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①环保；</w:t>
            </w:r>
          </w:p>
          <w:p w14:paraId="561D997A">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②消防；</w:t>
            </w:r>
          </w:p>
          <w:p w14:paraId="6EA45B78">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③降噪声；</w:t>
            </w:r>
          </w:p>
          <w:p w14:paraId="6578D4E5">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④文明等施工技术措施；</w:t>
            </w:r>
          </w:p>
          <w:p w14:paraId="3388605D">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上述四项内容均进行了阐述且满足本项目服务要求的得8分； 每项中每有一处存在内容缺陷内容扣0.5分，每项最多扣1分，未响应或未提供不得分； 每有一项内容未阐述或不符合项目实际情况且未提供具体实施细节及措施，扣2分。 注：缺陷是指以下情形中的任意一项：内容前后不一致；前后逻辑错误；项目及工作的理解片面主观；方案内容不清晰或交叉混乱；方案内容与项目内在需求有漏项等。</w:t>
            </w:r>
          </w:p>
        </w:tc>
      </w:tr>
      <w:tr w14:paraId="7A8B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84" w:type="pct"/>
            <w:tcBorders>
              <w:top w:val="single" w:color="auto" w:sz="4" w:space="0"/>
              <w:left w:val="single" w:color="auto" w:sz="4" w:space="0"/>
              <w:bottom w:val="single" w:color="auto" w:sz="4" w:space="0"/>
              <w:right w:val="single" w:color="auto" w:sz="4" w:space="0"/>
            </w:tcBorders>
            <w:noWrap w:val="0"/>
            <w:vAlign w:val="center"/>
          </w:tcPr>
          <w:p w14:paraId="08874848">
            <w:pPr>
              <w:wordWrap w:val="0"/>
              <w:snapToGrid w:val="0"/>
              <w:spacing w:line="240" w:lineRule="auto"/>
              <w:jc w:val="center"/>
              <w:outlineLvl w:val="9"/>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8</w:t>
            </w:r>
          </w:p>
        </w:tc>
        <w:tc>
          <w:tcPr>
            <w:tcW w:w="1140" w:type="pct"/>
            <w:gridSpan w:val="2"/>
            <w:tcBorders>
              <w:top w:val="single" w:color="auto" w:sz="4" w:space="0"/>
              <w:left w:val="single" w:color="auto" w:sz="4" w:space="0"/>
              <w:bottom w:val="single" w:color="auto" w:sz="4" w:space="0"/>
              <w:right w:val="single" w:color="auto" w:sz="4" w:space="0"/>
            </w:tcBorders>
            <w:noWrap w:val="0"/>
            <w:vAlign w:val="center"/>
          </w:tcPr>
          <w:p w14:paraId="6147EDED">
            <w:pPr>
              <w:snapToGrid w:val="0"/>
              <w:spacing w:line="240" w:lineRule="auto"/>
              <w:jc w:val="center"/>
              <w:outlineLvl w:val="9"/>
              <w:rPr>
                <w:rFonts w:hint="eastAsia" w:ascii="华文中宋" w:hAnsi="华文中宋" w:eastAsia="华文中宋" w:cs="华文中宋"/>
                <w:color w:val="auto"/>
                <w:sz w:val="21"/>
                <w:szCs w:val="21"/>
              </w:rPr>
            </w:pPr>
            <w:r>
              <w:rPr>
                <w:rFonts w:hint="default" w:ascii="华文中宋" w:hAnsi="华文中宋" w:eastAsia="华文中宋" w:cs="华文中宋"/>
                <w:color w:val="auto"/>
                <w:sz w:val="21"/>
                <w:szCs w:val="21"/>
                <w:lang w:val="en-US" w:eastAsia="zh-CN"/>
              </w:rPr>
              <w:t>机械设备配置</w:t>
            </w:r>
          </w:p>
        </w:tc>
        <w:tc>
          <w:tcPr>
            <w:tcW w:w="444" w:type="pct"/>
            <w:gridSpan w:val="2"/>
            <w:tcBorders>
              <w:top w:val="single" w:color="auto" w:sz="4" w:space="0"/>
              <w:left w:val="single" w:color="auto" w:sz="4" w:space="0"/>
              <w:bottom w:val="single" w:color="auto" w:sz="4" w:space="0"/>
              <w:right w:val="single" w:color="auto" w:sz="4" w:space="0"/>
            </w:tcBorders>
            <w:noWrap w:val="0"/>
            <w:vAlign w:val="center"/>
          </w:tcPr>
          <w:p w14:paraId="6179F7E9">
            <w:pPr>
              <w:wordWrap w:val="0"/>
              <w:snapToGrid w:val="0"/>
              <w:spacing w:line="240" w:lineRule="auto"/>
              <w:jc w:val="center"/>
              <w:outlineLvl w:val="9"/>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4分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2A5CA8A7">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 xml:space="preserve">根据磋商文件要求和服务响应情况，对供应商提供的环保、消防、降噪、文明措施进行评价，其中包括： </w:t>
            </w:r>
          </w:p>
          <w:p w14:paraId="242BE373">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①机械进场安排；</w:t>
            </w:r>
          </w:p>
          <w:p w14:paraId="7FF86975">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②机械配置；</w:t>
            </w:r>
          </w:p>
          <w:p w14:paraId="177DF26A">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上述两项内容均进行了阐述且满足本项目服务要求的得4分； 每项中每有一处存在内容缺陷内容扣0.5分，每项最多扣1分，未响应或未提供不得分； 每有一项内容未阐述或不符合项目实际情况且未提供具体实施细节及措施，扣2分。 注：缺陷是指以下情形中的任意一项：内容前后不一致；前后逻辑错误；项目及工作的理解片面主观；方案内容不清晰或交叉混乱；方案内容与项目内在需求有漏项等。</w:t>
            </w:r>
          </w:p>
        </w:tc>
      </w:tr>
      <w:tr w14:paraId="5E4CF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000" w:type="pct"/>
            <w:gridSpan w:val="6"/>
            <w:tcBorders>
              <w:top w:val="single" w:color="auto" w:sz="4" w:space="0"/>
              <w:left w:val="single" w:color="auto" w:sz="4" w:space="0"/>
              <w:right w:val="single" w:color="auto" w:sz="4" w:space="0"/>
            </w:tcBorders>
            <w:noWrap w:val="0"/>
            <w:vAlign w:val="bottom"/>
          </w:tcPr>
          <w:p w14:paraId="5C03D5BA">
            <w:pPr>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color w:val="auto"/>
                <w:sz w:val="21"/>
                <w:szCs w:val="21"/>
              </w:rPr>
              <w:t>商务部分评分</w:t>
            </w:r>
          </w:p>
        </w:tc>
      </w:tr>
      <w:tr w14:paraId="12F9B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9" w:hRule="atLeast"/>
          <w:jc w:val="center"/>
        </w:trPr>
        <w:tc>
          <w:tcPr>
            <w:tcW w:w="384" w:type="pct"/>
            <w:vMerge w:val="restart"/>
            <w:tcBorders>
              <w:top w:val="single" w:color="auto" w:sz="4" w:space="0"/>
              <w:left w:val="single" w:color="auto" w:sz="4" w:space="0"/>
              <w:right w:val="single" w:color="auto" w:sz="4" w:space="0"/>
            </w:tcBorders>
            <w:noWrap w:val="0"/>
            <w:vAlign w:val="center"/>
          </w:tcPr>
          <w:p w14:paraId="1D10041F">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w:t>
            </w:r>
          </w:p>
          <w:p w14:paraId="78065989">
            <w:pPr>
              <w:spacing w:line="240" w:lineRule="auto"/>
              <w:jc w:val="center"/>
              <w:outlineLvl w:val="9"/>
              <w:rPr>
                <w:rFonts w:hint="eastAsia" w:ascii="华文中宋" w:hAnsi="华文中宋" w:eastAsia="华文中宋" w:cs="华文中宋"/>
                <w:color w:val="auto"/>
                <w:sz w:val="21"/>
                <w:szCs w:val="21"/>
                <w:lang w:val="en-US" w:eastAsia="zh-CN"/>
              </w:rPr>
            </w:pPr>
          </w:p>
        </w:tc>
        <w:tc>
          <w:tcPr>
            <w:tcW w:w="472" w:type="pct"/>
            <w:vMerge w:val="restart"/>
            <w:tcBorders>
              <w:top w:val="single" w:color="auto" w:sz="4" w:space="0"/>
              <w:left w:val="single" w:color="auto" w:sz="4" w:space="0"/>
              <w:right w:val="single" w:color="auto" w:sz="4" w:space="0"/>
            </w:tcBorders>
            <w:noWrap w:val="0"/>
            <w:vAlign w:val="center"/>
          </w:tcPr>
          <w:p w14:paraId="52E423CB">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磋商供应商及项目经理资信</w:t>
            </w:r>
          </w:p>
          <w:p w14:paraId="1F8CA43A">
            <w:pPr>
              <w:spacing w:line="240" w:lineRule="auto"/>
              <w:jc w:val="center"/>
              <w:outlineLvl w:val="9"/>
              <w:rPr>
                <w:rFonts w:hint="eastAsia" w:ascii="华文中宋" w:hAnsi="华文中宋" w:eastAsia="华文中宋" w:cs="华文中宋"/>
                <w:color w:val="auto"/>
                <w:sz w:val="21"/>
                <w:szCs w:val="21"/>
              </w:rPr>
            </w:pPr>
          </w:p>
        </w:tc>
        <w:tc>
          <w:tcPr>
            <w:tcW w:w="727" w:type="pct"/>
            <w:gridSpan w:val="2"/>
            <w:tcBorders>
              <w:top w:val="single" w:color="auto" w:sz="4" w:space="0"/>
              <w:left w:val="single" w:color="auto" w:sz="4" w:space="0"/>
              <w:bottom w:val="single" w:color="auto" w:sz="4" w:space="0"/>
              <w:right w:val="single" w:color="auto" w:sz="4" w:space="0"/>
            </w:tcBorders>
            <w:noWrap w:val="0"/>
            <w:vAlign w:val="center"/>
          </w:tcPr>
          <w:p w14:paraId="21951288">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供应商同类</w:t>
            </w:r>
            <w:r>
              <w:rPr>
                <w:rFonts w:hint="eastAsia" w:ascii="华文中宋" w:hAnsi="华文中宋" w:eastAsia="华文中宋" w:cs="华文中宋"/>
                <w:color w:val="auto"/>
                <w:sz w:val="21"/>
                <w:szCs w:val="21"/>
                <w:lang w:val="en-US" w:eastAsia="zh-CN"/>
              </w:rPr>
              <w:t>或类似</w:t>
            </w:r>
            <w:r>
              <w:rPr>
                <w:rFonts w:hint="eastAsia" w:ascii="华文中宋" w:hAnsi="华文中宋" w:eastAsia="华文中宋" w:cs="华文中宋"/>
                <w:color w:val="auto"/>
                <w:sz w:val="21"/>
                <w:szCs w:val="21"/>
              </w:rPr>
              <w:t>合同案例</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77523B88">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9</w:t>
            </w:r>
            <w:r>
              <w:rPr>
                <w:rFonts w:hint="eastAsia" w:ascii="华文中宋" w:hAnsi="华文中宋" w:eastAsia="华文中宋" w:cs="华文中宋"/>
                <w:color w:val="auto"/>
                <w:sz w:val="21"/>
                <w:szCs w:val="21"/>
              </w:rPr>
              <w:t>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21ED2258">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供应商近五年承担过的同类型业绩每提供一份得3分（以合同为准。其中提供的同类型合同须包括合同首页、金额所在页、签字盖章页、签订日期页，缺失任何一项不予记分），最高为9分。</w:t>
            </w:r>
          </w:p>
        </w:tc>
      </w:tr>
      <w:tr w14:paraId="56EAC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9" w:hRule="atLeast"/>
          <w:jc w:val="center"/>
        </w:trPr>
        <w:tc>
          <w:tcPr>
            <w:tcW w:w="384" w:type="pct"/>
            <w:vMerge w:val="continue"/>
            <w:tcBorders>
              <w:left w:val="single" w:color="auto" w:sz="4" w:space="0"/>
              <w:right w:val="single" w:color="auto" w:sz="4" w:space="0"/>
            </w:tcBorders>
            <w:noWrap w:val="0"/>
            <w:vAlign w:val="center"/>
          </w:tcPr>
          <w:p w14:paraId="0569112E">
            <w:pPr>
              <w:spacing w:line="240" w:lineRule="auto"/>
              <w:jc w:val="center"/>
              <w:outlineLvl w:val="9"/>
              <w:rPr>
                <w:rFonts w:hint="eastAsia" w:ascii="华文中宋" w:hAnsi="华文中宋" w:eastAsia="华文中宋" w:cs="华文中宋"/>
                <w:color w:val="auto"/>
                <w:sz w:val="21"/>
                <w:szCs w:val="21"/>
                <w:lang w:val="en-US" w:eastAsia="zh-CN"/>
              </w:rPr>
            </w:pPr>
          </w:p>
        </w:tc>
        <w:tc>
          <w:tcPr>
            <w:tcW w:w="472" w:type="pct"/>
            <w:vMerge w:val="continue"/>
            <w:tcBorders>
              <w:left w:val="single" w:color="auto" w:sz="4" w:space="0"/>
              <w:right w:val="single" w:color="auto" w:sz="4" w:space="0"/>
            </w:tcBorders>
            <w:noWrap w:val="0"/>
            <w:vAlign w:val="center"/>
          </w:tcPr>
          <w:p w14:paraId="0819C2F4">
            <w:pPr>
              <w:spacing w:line="240" w:lineRule="auto"/>
              <w:jc w:val="center"/>
              <w:outlineLvl w:val="9"/>
              <w:rPr>
                <w:rFonts w:hint="eastAsia" w:ascii="华文中宋" w:hAnsi="华文中宋" w:eastAsia="华文中宋" w:cs="华文中宋"/>
                <w:color w:val="auto"/>
                <w:sz w:val="21"/>
                <w:szCs w:val="21"/>
              </w:rPr>
            </w:pPr>
          </w:p>
        </w:tc>
        <w:tc>
          <w:tcPr>
            <w:tcW w:w="727" w:type="pct"/>
            <w:gridSpan w:val="2"/>
            <w:tcBorders>
              <w:top w:val="single" w:color="auto" w:sz="4" w:space="0"/>
              <w:left w:val="single" w:color="auto" w:sz="4" w:space="0"/>
              <w:bottom w:val="single" w:color="auto" w:sz="4" w:space="0"/>
              <w:right w:val="single" w:color="auto" w:sz="4" w:space="0"/>
            </w:tcBorders>
            <w:noWrap w:val="0"/>
            <w:vAlign w:val="center"/>
          </w:tcPr>
          <w:p w14:paraId="6AA6E6B2">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磋商供应商</w:t>
            </w:r>
            <w:r>
              <w:rPr>
                <w:rFonts w:hint="eastAsia" w:ascii="华文中宋" w:hAnsi="华文中宋" w:eastAsia="华文中宋" w:cs="华文中宋"/>
                <w:color w:val="auto"/>
                <w:sz w:val="21"/>
                <w:szCs w:val="21"/>
                <w:lang w:val="en-US" w:eastAsia="zh-CN"/>
              </w:rPr>
              <w:t>及项目经理</w:t>
            </w:r>
            <w:r>
              <w:rPr>
                <w:rFonts w:hint="eastAsia" w:ascii="华文中宋" w:hAnsi="华文中宋" w:eastAsia="华文中宋" w:cs="华文中宋"/>
                <w:color w:val="auto"/>
                <w:sz w:val="21"/>
                <w:szCs w:val="21"/>
              </w:rPr>
              <w:t>不良记录</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4812D7BB">
            <w:pPr>
              <w:wordWrap w:val="0"/>
              <w:snapToGrid w:val="0"/>
              <w:spacing w:line="240" w:lineRule="auto"/>
              <w:jc w:val="center"/>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1分</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39EBE2D0">
            <w:pPr>
              <w:snapToGrid w:val="0"/>
              <w:spacing w:line="240" w:lineRule="auto"/>
              <w:jc w:val="left"/>
              <w:outlineLvl w:val="9"/>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磋商供应商近一年无不良记录的得0.5分；项目经理近一年无不良行为记录的得0.5分。</w:t>
            </w:r>
          </w:p>
        </w:tc>
      </w:tr>
      <w:tr w14:paraId="13B76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C91BD3B">
            <w:pPr>
              <w:adjustRightInd w:val="0"/>
              <w:snapToGrid w:val="0"/>
              <w:spacing w:line="240" w:lineRule="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同类型</w:t>
            </w:r>
            <w:r>
              <w:rPr>
                <w:rFonts w:hint="eastAsia" w:ascii="华文中宋" w:hAnsi="华文中宋" w:eastAsia="华文中宋" w:cs="华文中宋"/>
                <w:color w:val="auto"/>
                <w:sz w:val="21"/>
                <w:szCs w:val="21"/>
                <w:lang w:val="en-US" w:eastAsia="zh-CN"/>
              </w:rPr>
              <w:t>或类似</w:t>
            </w:r>
            <w:r>
              <w:rPr>
                <w:rFonts w:hint="eastAsia" w:ascii="华文中宋" w:hAnsi="华文中宋" w:eastAsia="华文中宋" w:cs="华文中宋"/>
                <w:color w:val="auto"/>
                <w:sz w:val="21"/>
                <w:szCs w:val="21"/>
              </w:rPr>
              <w:t>工程定义：</w:t>
            </w:r>
          </w:p>
          <w:p w14:paraId="2D456FB0">
            <w:pPr>
              <w:adjustRightInd w:val="0"/>
              <w:snapToGrid w:val="0"/>
              <w:spacing w:line="240" w:lineRule="auto"/>
              <w:outlineLvl w:val="9"/>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1、同类型</w:t>
            </w:r>
            <w:r>
              <w:rPr>
                <w:rFonts w:hint="eastAsia" w:ascii="华文中宋" w:hAnsi="华文中宋" w:eastAsia="华文中宋" w:cs="华文中宋"/>
                <w:color w:val="auto"/>
                <w:sz w:val="21"/>
                <w:szCs w:val="21"/>
                <w:lang w:val="en-US" w:eastAsia="zh-CN"/>
              </w:rPr>
              <w:t>或类似</w:t>
            </w:r>
            <w:r>
              <w:rPr>
                <w:rFonts w:hint="eastAsia" w:ascii="华文中宋" w:hAnsi="华文中宋" w:eastAsia="华文中宋" w:cs="华文中宋"/>
                <w:color w:val="auto"/>
                <w:sz w:val="21"/>
                <w:szCs w:val="21"/>
              </w:rPr>
              <w:t>工程是指</w:t>
            </w: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color w:val="auto"/>
                <w:sz w:val="21"/>
                <w:szCs w:val="21"/>
                <w:lang w:val="en-US" w:eastAsia="zh-CN"/>
              </w:rPr>
              <w:t>机电工程</w:t>
            </w:r>
            <w:r>
              <w:rPr>
                <w:rFonts w:hint="eastAsia" w:ascii="华文中宋" w:hAnsi="华文中宋" w:eastAsia="华文中宋" w:cs="华文中宋"/>
                <w:color w:val="auto"/>
                <w:sz w:val="21"/>
                <w:szCs w:val="21"/>
                <w:lang w:eastAsia="zh-CN"/>
              </w:rPr>
              <w:t>。</w:t>
            </w:r>
          </w:p>
          <w:p w14:paraId="399B9536">
            <w:pPr>
              <w:adjustRightInd w:val="0"/>
              <w:snapToGrid w:val="0"/>
              <w:spacing w:line="240" w:lineRule="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2、近</w:t>
            </w:r>
            <w:r>
              <w:rPr>
                <w:rFonts w:hint="eastAsia" w:ascii="华文中宋" w:hAnsi="华文中宋" w:eastAsia="华文中宋" w:cs="华文中宋"/>
                <w:color w:val="auto"/>
                <w:sz w:val="21"/>
                <w:szCs w:val="21"/>
                <w:lang w:val="en-US" w:eastAsia="zh-CN"/>
              </w:rPr>
              <w:t>五</w:t>
            </w:r>
            <w:r>
              <w:rPr>
                <w:rFonts w:hint="eastAsia" w:ascii="华文中宋" w:hAnsi="华文中宋" w:eastAsia="华文中宋" w:cs="华文中宋"/>
                <w:color w:val="auto"/>
                <w:sz w:val="21"/>
                <w:szCs w:val="21"/>
              </w:rPr>
              <w:t>年完成的同类型工程：磋商截止日前</w:t>
            </w:r>
            <w:r>
              <w:rPr>
                <w:rFonts w:hint="eastAsia" w:ascii="华文中宋" w:hAnsi="华文中宋" w:eastAsia="华文中宋" w:cs="华文中宋"/>
                <w:color w:val="auto"/>
                <w:sz w:val="21"/>
                <w:szCs w:val="21"/>
                <w:lang w:val="en-US" w:eastAsia="zh-CN"/>
              </w:rPr>
              <w:t>5</w:t>
            </w:r>
            <w:r>
              <w:rPr>
                <w:rFonts w:hint="eastAsia" w:ascii="华文中宋" w:hAnsi="华文中宋" w:eastAsia="华文中宋" w:cs="华文中宋"/>
                <w:color w:val="auto"/>
                <w:sz w:val="21"/>
                <w:szCs w:val="21"/>
              </w:rPr>
              <w:t xml:space="preserve">年内 </w:t>
            </w:r>
          </w:p>
          <w:p w14:paraId="1062D272">
            <w:pPr>
              <w:pStyle w:val="20"/>
              <w:spacing w:line="240" w:lineRule="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3、不良记录是指已经被处罚或被通报的建筑市场主体的违法违规行为</w:t>
            </w: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color w:val="auto"/>
                <w:sz w:val="21"/>
                <w:szCs w:val="21"/>
                <w:lang w:val="en-US" w:eastAsia="zh-CN"/>
              </w:rPr>
              <w:t>以全国建筑市场监管公共服务平台的查询结果为准</w:t>
            </w: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color w:val="auto"/>
                <w:sz w:val="21"/>
                <w:szCs w:val="21"/>
              </w:rPr>
              <w:t>。</w:t>
            </w:r>
          </w:p>
          <w:p w14:paraId="7F7D9CAB">
            <w:pPr>
              <w:adjustRightInd w:val="0"/>
              <w:snapToGrid w:val="0"/>
              <w:spacing w:line="240" w:lineRule="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4、同类型</w:t>
            </w:r>
            <w:r>
              <w:rPr>
                <w:rFonts w:hint="eastAsia" w:ascii="华文中宋" w:hAnsi="华文中宋" w:eastAsia="华文中宋" w:cs="华文中宋"/>
                <w:color w:val="auto"/>
                <w:sz w:val="21"/>
                <w:szCs w:val="21"/>
                <w:lang w:val="en-US" w:eastAsia="zh-CN"/>
              </w:rPr>
              <w:t>或类似</w:t>
            </w:r>
            <w:r>
              <w:rPr>
                <w:rFonts w:hint="eastAsia" w:ascii="华文中宋" w:hAnsi="华文中宋" w:eastAsia="华文中宋" w:cs="华文中宋"/>
                <w:color w:val="auto"/>
                <w:sz w:val="21"/>
                <w:szCs w:val="21"/>
              </w:rPr>
              <w:t>工程业绩是</w:t>
            </w:r>
            <w:r>
              <w:rPr>
                <w:rFonts w:hint="eastAsia" w:ascii="华文中宋" w:hAnsi="华文中宋" w:eastAsia="华文中宋" w:cs="华文中宋"/>
                <w:color w:val="auto"/>
                <w:sz w:val="21"/>
                <w:szCs w:val="21"/>
                <w:lang w:val="en-US" w:eastAsia="zh-CN"/>
              </w:rPr>
              <w:t>以合同为准（合同要求必须提供与最终用户签订的合同首页、合同金额所在页、签字盖章页复印件作为证明），</w:t>
            </w:r>
            <w:r>
              <w:rPr>
                <w:rFonts w:hint="eastAsia" w:ascii="华文中宋" w:hAnsi="华文中宋" w:eastAsia="华文中宋" w:cs="华文中宋"/>
                <w:color w:val="auto"/>
                <w:sz w:val="21"/>
                <w:szCs w:val="21"/>
              </w:rPr>
              <w:t>内容缺一不可，其他现场出示的证明无效。同</w:t>
            </w:r>
            <w:r>
              <w:rPr>
                <w:rFonts w:hint="eastAsia" w:ascii="华文中宋" w:hAnsi="华文中宋" w:eastAsia="华文中宋" w:cs="华文中宋"/>
                <w:color w:val="auto"/>
                <w:sz w:val="21"/>
                <w:szCs w:val="21"/>
                <w:lang w:val="en-US" w:eastAsia="zh-CN"/>
              </w:rPr>
              <w:t>一</w:t>
            </w:r>
            <w:r>
              <w:rPr>
                <w:rFonts w:hint="eastAsia" w:ascii="华文中宋" w:hAnsi="华文中宋" w:eastAsia="华文中宋" w:cs="华文中宋"/>
                <w:color w:val="auto"/>
                <w:sz w:val="21"/>
                <w:szCs w:val="21"/>
              </w:rPr>
              <w:t>工程业绩不重复得分。</w:t>
            </w:r>
          </w:p>
          <w:p w14:paraId="4071EBBD">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说明：</w:t>
            </w:r>
          </w:p>
          <w:p w14:paraId="20BCF6F2">
            <w:pPr>
              <w:snapToGrid w:val="0"/>
              <w:spacing w:line="240" w:lineRule="auto"/>
              <w:jc w:val="left"/>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val="en-US" w:eastAsia="zh-CN"/>
              </w:rPr>
              <w:t>1</w:t>
            </w:r>
            <w:r>
              <w:rPr>
                <w:rFonts w:hint="eastAsia" w:ascii="华文中宋" w:hAnsi="华文中宋" w:eastAsia="华文中宋" w:cs="华文中宋"/>
                <w:color w:val="auto"/>
                <w:sz w:val="21"/>
                <w:szCs w:val="21"/>
              </w:rPr>
              <w:t>）同类型工程时间认定：以</w:t>
            </w:r>
            <w:r>
              <w:rPr>
                <w:rFonts w:hint="eastAsia" w:ascii="华文中宋" w:hAnsi="华文中宋" w:eastAsia="华文中宋" w:cs="华文中宋"/>
                <w:color w:val="auto"/>
                <w:sz w:val="21"/>
                <w:szCs w:val="21"/>
                <w:lang w:val="en-US" w:eastAsia="zh-CN"/>
              </w:rPr>
              <w:t>合同</w:t>
            </w:r>
            <w:r>
              <w:rPr>
                <w:rFonts w:hint="eastAsia" w:ascii="华文中宋" w:hAnsi="华文中宋" w:eastAsia="华文中宋" w:cs="华文中宋"/>
                <w:color w:val="auto"/>
                <w:sz w:val="21"/>
                <w:szCs w:val="21"/>
              </w:rPr>
              <w:t>明确的时间为准。</w:t>
            </w:r>
          </w:p>
        </w:tc>
      </w:tr>
    </w:tbl>
    <w:p w14:paraId="611C7B81">
      <w:pPr>
        <w:pStyle w:val="20"/>
        <w:outlineLvl w:val="9"/>
        <w:rPr>
          <w:rFonts w:hint="eastAsia" w:ascii="华文中宋" w:hAnsi="华文中宋" w:eastAsia="华文中宋" w:cs="华文中宋"/>
          <w:color w:val="auto"/>
          <w:kern w:val="2"/>
          <w:sz w:val="24"/>
          <w:szCs w:val="24"/>
          <w:lang w:val="en-US" w:eastAsia="zh-CN" w:bidi="ar-SA"/>
        </w:rPr>
      </w:pPr>
      <w:bookmarkStart w:id="39" w:name="_Toc44690611"/>
      <w:bookmarkStart w:id="40" w:name="_Toc40877995"/>
      <w:bookmarkStart w:id="41" w:name="_Toc44690685"/>
      <w:bookmarkStart w:id="42" w:name="_Toc40954053"/>
    </w:p>
    <w:p w14:paraId="5377BC77">
      <w:pPr>
        <w:pStyle w:val="2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kern w:val="2"/>
          <w:sz w:val="24"/>
          <w:szCs w:val="24"/>
          <w:lang w:val="en-US" w:eastAsia="zh-CN" w:bidi="ar-SA"/>
        </w:rPr>
        <w:t>2、价格评审</w:t>
      </w:r>
    </w:p>
    <w:tbl>
      <w:tblPr>
        <w:tblStyle w:val="29"/>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19"/>
        <w:gridCol w:w="1503"/>
        <w:gridCol w:w="6907"/>
      </w:tblGrid>
      <w:tr w14:paraId="483AB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343" w:type="pct"/>
            <w:noWrap w:val="0"/>
            <w:vAlign w:val="center"/>
          </w:tcPr>
          <w:p w14:paraId="0424B6A4">
            <w:pPr>
              <w:adjustRightInd w:val="0"/>
              <w:snapToGrid w:val="0"/>
              <w:spacing w:line="240" w:lineRule="auto"/>
              <w:jc w:val="center"/>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en-US" w:eastAsia="zh-CN"/>
              </w:rPr>
              <w:t>序号</w:t>
            </w:r>
          </w:p>
        </w:tc>
        <w:tc>
          <w:tcPr>
            <w:tcW w:w="832" w:type="pct"/>
            <w:noWrap w:val="0"/>
            <w:vAlign w:val="center"/>
          </w:tcPr>
          <w:p w14:paraId="2C4F90B1">
            <w:pPr>
              <w:adjustRightInd w:val="0"/>
              <w:snapToGrid w:val="0"/>
              <w:spacing w:line="240" w:lineRule="auto"/>
              <w:jc w:val="center"/>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评审项目</w:t>
            </w:r>
          </w:p>
        </w:tc>
        <w:tc>
          <w:tcPr>
            <w:tcW w:w="3823" w:type="pct"/>
            <w:noWrap w:val="0"/>
            <w:vAlign w:val="center"/>
          </w:tcPr>
          <w:p w14:paraId="0B27E9E5">
            <w:pPr>
              <w:adjustRightInd w:val="0"/>
              <w:snapToGrid w:val="0"/>
              <w:spacing w:line="240" w:lineRule="auto"/>
              <w:jc w:val="center"/>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评分标准</w:t>
            </w:r>
          </w:p>
        </w:tc>
      </w:tr>
      <w:tr w14:paraId="55FA3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343" w:type="pct"/>
            <w:vMerge w:val="restart"/>
            <w:noWrap w:val="0"/>
            <w:vAlign w:val="center"/>
          </w:tcPr>
          <w:p w14:paraId="4374F4BE">
            <w:pPr>
              <w:adjustRightInd w:val="0"/>
              <w:snapToGrid w:val="0"/>
              <w:spacing w:line="240" w:lineRule="auto"/>
              <w:jc w:val="center"/>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1</w:t>
            </w:r>
          </w:p>
        </w:tc>
        <w:tc>
          <w:tcPr>
            <w:tcW w:w="832" w:type="pct"/>
            <w:vMerge w:val="restart"/>
            <w:noWrap w:val="0"/>
            <w:vAlign w:val="center"/>
          </w:tcPr>
          <w:p w14:paraId="30585D06">
            <w:pPr>
              <w:adjustRightInd w:val="0"/>
              <w:snapToGrid w:val="0"/>
              <w:spacing w:line="240" w:lineRule="auto"/>
              <w:jc w:val="center"/>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响应报价</w:t>
            </w:r>
          </w:p>
          <w:p w14:paraId="25ED520C">
            <w:pPr>
              <w:adjustRightInd w:val="0"/>
              <w:snapToGrid w:val="0"/>
              <w:spacing w:line="240" w:lineRule="auto"/>
              <w:jc w:val="center"/>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（满分</w:t>
            </w:r>
            <w:r>
              <w:rPr>
                <w:rFonts w:hint="eastAsia" w:ascii="华文中宋" w:hAnsi="华文中宋" w:eastAsia="华文中宋" w:cs="华文中宋"/>
                <w:color w:val="auto"/>
                <w:sz w:val="21"/>
                <w:szCs w:val="21"/>
                <w:lang w:val="en-US" w:eastAsia="zh-CN"/>
              </w:rPr>
              <w:t>30</w:t>
            </w:r>
            <w:r>
              <w:rPr>
                <w:rFonts w:hint="eastAsia" w:ascii="华文中宋" w:hAnsi="华文中宋" w:eastAsia="华文中宋" w:cs="华文中宋"/>
                <w:color w:val="auto"/>
                <w:sz w:val="21"/>
                <w:szCs w:val="21"/>
                <w:lang w:val="zh-CN"/>
              </w:rPr>
              <w:t>分）</w:t>
            </w:r>
          </w:p>
        </w:tc>
        <w:tc>
          <w:tcPr>
            <w:tcW w:w="3823" w:type="pct"/>
            <w:noWrap w:val="0"/>
            <w:vAlign w:val="center"/>
          </w:tcPr>
          <w:p w14:paraId="4C33BE86">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评标基准价即满足采购文件要求且响应价格最低的响应报价。</w:t>
            </w:r>
          </w:p>
          <w:p w14:paraId="077F1412">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响应报价得分=（评标基准价/响应报价）×分值</w:t>
            </w:r>
          </w:p>
        </w:tc>
      </w:tr>
      <w:tr w14:paraId="66A37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343" w:type="pct"/>
            <w:vMerge w:val="continue"/>
            <w:noWrap w:val="0"/>
            <w:vAlign w:val="center"/>
          </w:tcPr>
          <w:p w14:paraId="43571AA7">
            <w:pPr>
              <w:adjustRightInd w:val="0"/>
              <w:snapToGrid w:val="0"/>
              <w:spacing w:line="240" w:lineRule="auto"/>
              <w:outlineLvl w:val="9"/>
              <w:rPr>
                <w:rFonts w:hint="eastAsia" w:ascii="华文中宋" w:hAnsi="华文中宋" w:eastAsia="华文中宋" w:cs="华文中宋"/>
                <w:color w:val="auto"/>
                <w:sz w:val="21"/>
                <w:szCs w:val="21"/>
                <w:lang w:val="zh-CN"/>
              </w:rPr>
            </w:pPr>
          </w:p>
        </w:tc>
        <w:tc>
          <w:tcPr>
            <w:tcW w:w="832" w:type="pct"/>
            <w:vMerge w:val="continue"/>
            <w:noWrap w:val="0"/>
            <w:vAlign w:val="center"/>
          </w:tcPr>
          <w:p w14:paraId="54ABFF0C">
            <w:pPr>
              <w:adjustRightInd w:val="0"/>
              <w:snapToGrid w:val="0"/>
              <w:spacing w:line="240" w:lineRule="auto"/>
              <w:jc w:val="center"/>
              <w:outlineLvl w:val="9"/>
              <w:rPr>
                <w:rFonts w:hint="eastAsia" w:ascii="华文中宋" w:hAnsi="华文中宋" w:eastAsia="华文中宋" w:cs="华文中宋"/>
                <w:color w:val="auto"/>
                <w:sz w:val="21"/>
                <w:szCs w:val="21"/>
                <w:lang w:val="zh-CN"/>
              </w:rPr>
            </w:pPr>
          </w:p>
        </w:tc>
        <w:tc>
          <w:tcPr>
            <w:tcW w:w="3823" w:type="pct"/>
            <w:noWrap w:val="0"/>
            <w:vAlign w:val="center"/>
          </w:tcPr>
          <w:p w14:paraId="115D728B">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因落实政府采购政策进行价格调整的，以调整后的价格计算评标基准价和响应报价。</w:t>
            </w:r>
          </w:p>
        </w:tc>
      </w:tr>
      <w:tr w14:paraId="22CCE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343" w:type="pct"/>
            <w:vMerge w:val="continue"/>
            <w:noWrap w:val="0"/>
            <w:vAlign w:val="center"/>
          </w:tcPr>
          <w:p w14:paraId="68A1518A">
            <w:pPr>
              <w:adjustRightInd w:val="0"/>
              <w:snapToGrid w:val="0"/>
              <w:spacing w:line="240" w:lineRule="auto"/>
              <w:outlineLvl w:val="9"/>
              <w:rPr>
                <w:rFonts w:hint="eastAsia" w:ascii="华文中宋" w:hAnsi="华文中宋" w:eastAsia="华文中宋" w:cs="华文中宋"/>
                <w:color w:val="auto"/>
                <w:sz w:val="21"/>
                <w:szCs w:val="21"/>
                <w:lang w:val="zh-CN"/>
              </w:rPr>
            </w:pPr>
          </w:p>
        </w:tc>
        <w:tc>
          <w:tcPr>
            <w:tcW w:w="832" w:type="pct"/>
            <w:vMerge w:val="continue"/>
            <w:noWrap w:val="0"/>
            <w:vAlign w:val="center"/>
          </w:tcPr>
          <w:p w14:paraId="38EB17B5">
            <w:pPr>
              <w:adjustRightInd w:val="0"/>
              <w:snapToGrid w:val="0"/>
              <w:spacing w:line="240" w:lineRule="auto"/>
              <w:jc w:val="center"/>
              <w:outlineLvl w:val="9"/>
              <w:rPr>
                <w:rFonts w:hint="eastAsia" w:ascii="华文中宋" w:hAnsi="华文中宋" w:eastAsia="华文中宋" w:cs="华文中宋"/>
                <w:color w:val="auto"/>
                <w:sz w:val="21"/>
                <w:szCs w:val="21"/>
                <w:lang w:val="zh-CN"/>
              </w:rPr>
            </w:pPr>
          </w:p>
        </w:tc>
        <w:tc>
          <w:tcPr>
            <w:tcW w:w="3823" w:type="pct"/>
            <w:noWrap w:val="0"/>
            <w:vAlign w:val="center"/>
          </w:tcPr>
          <w:p w14:paraId="204A65C8">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评审中出现下列情形之一的，评审委员会应当启动异常低价投标审查程序：</w:t>
            </w:r>
          </w:p>
          <w:p w14:paraId="017FBF6B">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（1）投标报价低于全部通过符合性审查供应商投标报价平均值50%的，即投标报价＜全部通过符合性审查供应商投标报价平均值×50%；</w:t>
            </w:r>
          </w:p>
          <w:p w14:paraId="40B89651">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（2）投标报价低于通过符合性审查的次低报价供应商投标报价50%的，即投标报价＜通过符合性审查的次低报价供应商投标报价×50%；</w:t>
            </w:r>
          </w:p>
          <w:p w14:paraId="4D1CBE24">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（3）投标报价低于采购项目最高限价45%的，即投标报价＜采购项目最高限价×45%；</w:t>
            </w:r>
          </w:p>
          <w:p w14:paraId="14BFE04E">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（4）评审委员会基于专业判断，认为供应商报价过低，有可能影响产品质量或者不能诚信履约的其他情形。</w:t>
            </w:r>
          </w:p>
          <w:p w14:paraId="3366EC8F">
            <w:pPr>
              <w:adjustRightInd w:val="0"/>
              <w:snapToGrid w:val="0"/>
              <w:spacing w:line="240" w:lineRule="auto"/>
              <w:outlineLvl w:val="9"/>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评审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bl>
    <w:p w14:paraId="37CC7DD0">
      <w:pPr>
        <w:adjustRightInd w:val="0"/>
        <w:snapToGrid w:val="0"/>
        <w:spacing w:line="360" w:lineRule="auto"/>
        <w:outlineLvl w:val="9"/>
        <w:rPr>
          <w:rFonts w:hint="eastAsia" w:ascii="华文中宋" w:hAnsi="华文中宋" w:eastAsia="华文中宋" w:cs="华文中宋"/>
          <w:color w:val="auto"/>
        </w:rPr>
      </w:pPr>
    </w:p>
    <w:p w14:paraId="45324A94">
      <w:pPr>
        <w:spacing w:before="0" w:after="0" w:line="240" w:lineRule="auto"/>
        <w:jc w:val="both"/>
        <w:outlineLvl w:val="9"/>
        <w:rPr>
          <w:rFonts w:hint="eastAsia" w:ascii="华文中宋" w:hAnsi="华文中宋" w:eastAsia="华文中宋" w:cs="华文中宋"/>
          <w:color w:val="auto"/>
          <w:sz w:val="32"/>
          <w:szCs w:val="32"/>
        </w:rPr>
      </w:pPr>
    </w:p>
    <w:p w14:paraId="47878900">
      <w:pPr>
        <w:spacing w:before="0" w:after="0" w:line="240" w:lineRule="auto"/>
        <w:jc w:val="center"/>
        <w:outlineLvl w:val="0"/>
        <w:rPr>
          <w:rFonts w:hint="eastAsia" w:ascii="华文中宋" w:hAnsi="华文中宋" w:eastAsia="华文中宋" w:cs="华文中宋"/>
          <w:color w:val="auto"/>
          <w:sz w:val="32"/>
          <w:szCs w:val="32"/>
        </w:rPr>
      </w:pPr>
      <w:r>
        <w:rPr>
          <w:rFonts w:hint="eastAsia" w:ascii="华文中宋" w:hAnsi="华文中宋" w:eastAsia="华文中宋" w:cs="华文中宋"/>
          <w:color w:val="auto"/>
          <w:sz w:val="32"/>
          <w:szCs w:val="32"/>
        </w:rPr>
        <w:br w:type="page"/>
      </w:r>
      <w:bookmarkStart w:id="43" w:name="_Toc723"/>
      <w:bookmarkStart w:id="44" w:name="_Toc6114"/>
      <w:r>
        <w:rPr>
          <w:rFonts w:hint="eastAsia" w:ascii="华文中宋" w:hAnsi="华文中宋" w:eastAsia="华文中宋" w:cs="华文中宋"/>
          <w:b/>
          <w:bCs/>
          <w:color w:val="auto"/>
          <w:spacing w:val="0"/>
          <w:kern w:val="44"/>
          <w:sz w:val="44"/>
          <w:szCs w:val="44"/>
          <w:lang w:val="en-US" w:eastAsia="zh-CN" w:bidi="ar-SA"/>
        </w:rPr>
        <w:t>第五部分  技术标准和要求</w:t>
      </w:r>
      <w:bookmarkEnd w:id="39"/>
      <w:bookmarkEnd w:id="40"/>
      <w:bookmarkEnd w:id="41"/>
      <w:bookmarkEnd w:id="42"/>
      <w:bookmarkEnd w:id="43"/>
      <w:bookmarkEnd w:id="44"/>
    </w:p>
    <w:p w14:paraId="363D81B2">
      <w:pPr>
        <w:keepNext w:val="0"/>
        <w:keepLines w:val="0"/>
        <w:pageBreakBefore w:val="0"/>
        <w:widowControl w:val="0"/>
        <w:kinsoku/>
        <w:wordWrap w:val="0"/>
        <w:overflowPunct/>
        <w:topLinePunct w:val="0"/>
        <w:autoSpaceDE/>
        <w:autoSpaceDN/>
        <w:bidi w:val="0"/>
        <w:adjustRightInd/>
        <w:spacing w:line="500" w:lineRule="exact"/>
        <w:ind w:left="0" w:leftChars="0" w:firstLine="480" w:firstLineChars="200"/>
        <w:textAlignment w:val="auto"/>
        <w:outlineLvl w:val="9"/>
        <w:rPr>
          <w:rFonts w:hint="eastAsia" w:ascii="华文中宋" w:hAnsi="华文中宋" w:eastAsia="华文中宋" w:cs="华文中宋"/>
          <w:b/>
          <w:bCs/>
          <w:color w:val="auto"/>
          <w:sz w:val="24"/>
          <w:szCs w:val="24"/>
        </w:rPr>
      </w:pPr>
      <w:bookmarkStart w:id="45" w:name="_Toc44690686"/>
      <w:bookmarkStart w:id="46" w:name="_Toc40954054"/>
      <w:bookmarkStart w:id="47" w:name="_Toc43363083"/>
      <w:bookmarkStart w:id="48" w:name="_Toc44690612"/>
      <w:r>
        <w:rPr>
          <w:rFonts w:hint="eastAsia" w:ascii="华文中宋" w:hAnsi="华文中宋" w:eastAsia="华文中宋" w:cs="华文中宋"/>
          <w:b/>
          <w:bCs/>
          <w:color w:val="auto"/>
          <w:sz w:val="24"/>
          <w:szCs w:val="24"/>
        </w:rPr>
        <w:t>一、一般要求</w:t>
      </w:r>
      <w:bookmarkEnd w:id="45"/>
      <w:bookmarkEnd w:id="46"/>
      <w:bookmarkEnd w:id="47"/>
      <w:bookmarkEnd w:id="48"/>
    </w:p>
    <w:p w14:paraId="066AC7AA">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1.工程说明</w:t>
      </w:r>
    </w:p>
    <w:p w14:paraId="1A36537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1.1工程概况</w:t>
      </w:r>
    </w:p>
    <w:p w14:paraId="50896C59">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u w:val="single"/>
          <w:lang w:eastAsia="zh-CN"/>
        </w:rPr>
        <w:t>吉县村(社)党群服务中心取暖建设工程项目(二期)</w:t>
      </w:r>
      <w:r>
        <w:rPr>
          <w:rFonts w:hint="eastAsia" w:ascii="华文中宋" w:hAnsi="华文中宋" w:eastAsia="华文中宋" w:cs="华文中宋"/>
          <w:color w:val="auto"/>
          <w:sz w:val="24"/>
          <w:szCs w:val="24"/>
          <w:u w:val="single"/>
        </w:rPr>
        <w:t>。</w:t>
      </w:r>
    </w:p>
    <w:p w14:paraId="41192C6B">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default" w:ascii="华文中宋" w:hAnsi="华文中宋" w:eastAsia="华文中宋" w:cs="华文中宋"/>
          <w:color w:val="auto"/>
          <w:sz w:val="24"/>
          <w:szCs w:val="24"/>
          <w:u w:val="single"/>
          <w:lang w:val="en-US" w:eastAsia="zh-CN"/>
        </w:rPr>
      </w:pPr>
      <w:r>
        <w:rPr>
          <w:rFonts w:hint="eastAsia" w:ascii="华文中宋" w:hAnsi="华文中宋" w:eastAsia="华文中宋" w:cs="华文中宋"/>
          <w:color w:val="auto"/>
          <w:sz w:val="24"/>
          <w:szCs w:val="24"/>
          <w:u w:val="none"/>
        </w:rPr>
        <w:t>1.2本工程施工场地（现场）具体地理位置：</w:t>
      </w:r>
      <w:r>
        <w:rPr>
          <w:rFonts w:hint="eastAsia" w:ascii="华文中宋" w:hAnsi="华文中宋" w:eastAsia="华文中宋" w:cs="华文中宋"/>
          <w:color w:val="auto"/>
          <w:sz w:val="24"/>
          <w:szCs w:val="24"/>
          <w:u w:val="single"/>
          <w:lang w:val="en-US" w:eastAsia="zh-CN"/>
        </w:rPr>
        <w:t xml:space="preserve">吉县 </w:t>
      </w:r>
    </w:p>
    <w:p w14:paraId="728FAA0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none"/>
        </w:rPr>
        <w:t>1.3</w:t>
      </w:r>
      <w:r>
        <w:rPr>
          <w:rFonts w:hint="eastAsia" w:ascii="华文中宋" w:hAnsi="华文中宋" w:eastAsia="华文中宋" w:cs="华文中宋"/>
          <w:color w:val="auto"/>
          <w:sz w:val="24"/>
          <w:szCs w:val="24"/>
        </w:rPr>
        <w:t>本工程施工场地（现场）已经具备施工条件。施工场地（现场）现状平面图见附件A。</w:t>
      </w:r>
    </w:p>
    <w:p w14:paraId="58F5082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1.4现场条件和周围环境的其他资料和信息数据：</w:t>
      </w:r>
      <w:r>
        <w:rPr>
          <w:rFonts w:hint="eastAsia" w:ascii="华文中宋" w:hAnsi="华文中宋" w:eastAsia="华文中宋" w:cs="华文中宋"/>
          <w:color w:val="auto"/>
          <w:sz w:val="24"/>
          <w:szCs w:val="24"/>
          <w:u w:val="single"/>
        </w:rPr>
        <w:t xml:space="preserve">  无   </w:t>
      </w:r>
    </w:p>
    <w:p w14:paraId="47CEA6DD">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1.5承包人被认为已在本工程磋商阶段踏勘现场时充分了解本工程现场条件和周围环境，并已在其磋商时就此给予了充分的考虑。</w:t>
      </w:r>
    </w:p>
    <w:p w14:paraId="498AD059">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1.6合同文件中载明的涉及本工程的资料和信息数据，是发包人现有的和客观的，发包人保证有关资料和信息数据的真实、准确。但承包人据此作出的推论、判断和决策，由承包人自行负责。</w:t>
      </w:r>
    </w:p>
    <w:p w14:paraId="578BF5A1">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2.承包范围</w:t>
      </w:r>
    </w:p>
    <w:p w14:paraId="34B061C9">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2.1本工程承包人自行施工的工程范围：</w:t>
      </w:r>
    </w:p>
    <w:p w14:paraId="564BC204">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u w:val="single"/>
          <w:lang w:val="en-US" w:eastAsia="zh-CN"/>
        </w:rPr>
        <w:t>吉县村(社)党群服务中心取暖建设工程项目(二期)工程</w:t>
      </w:r>
      <w:r>
        <w:rPr>
          <w:rFonts w:hint="eastAsia" w:ascii="华文中宋" w:hAnsi="华文中宋" w:eastAsia="华文中宋" w:cs="华文中宋"/>
          <w:color w:val="auto"/>
          <w:sz w:val="24"/>
          <w:szCs w:val="24"/>
          <w:u w:val="single"/>
        </w:rPr>
        <w:t>量清单</w:t>
      </w:r>
      <w:r>
        <w:rPr>
          <w:rFonts w:hint="eastAsia" w:ascii="华文中宋" w:hAnsi="华文中宋" w:eastAsia="华文中宋" w:cs="华文中宋"/>
          <w:color w:val="auto"/>
          <w:sz w:val="24"/>
          <w:szCs w:val="24"/>
          <w:u w:val="single"/>
          <w:lang w:val="en-US" w:eastAsia="zh-CN"/>
        </w:rPr>
        <w:t>及图纸</w:t>
      </w:r>
      <w:r>
        <w:rPr>
          <w:rFonts w:hint="eastAsia" w:ascii="华文中宋" w:hAnsi="华文中宋" w:eastAsia="华文中宋" w:cs="华文中宋"/>
          <w:color w:val="auto"/>
          <w:sz w:val="24"/>
          <w:szCs w:val="24"/>
          <w:u w:val="single"/>
        </w:rPr>
        <w:t>中的全部内容。</w:t>
      </w:r>
    </w:p>
    <w:p w14:paraId="3CDDEFAE">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lang w:val="en-US" w:eastAsia="zh-CN"/>
        </w:rPr>
      </w:pPr>
      <w:r>
        <w:rPr>
          <w:rFonts w:hint="eastAsia" w:ascii="华文中宋" w:hAnsi="华文中宋" w:eastAsia="华文中宋" w:cs="华文中宋"/>
          <w:color w:val="auto"/>
          <w:sz w:val="24"/>
          <w:szCs w:val="24"/>
        </w:rPr>
        <w:t>2.2发包人发包的专业工程：</w:t>
      </w:r>
      <w:r>
        <w:rPr>
          <w:rFonts w:hint="eastAsia" w:ascii="华文中宋" w:hAnsi="华文中宋" w:eastAsia="华文中宋" w:cs="华文中宋"/>
          <w:color w:val="auto"/>
          <w:sz w:val="24"/>
          <w:szCs w:val="24"/>
          <w:u w:val="single"/>
          <w:lang w:val="en-US" w:eastAsia="zh-CN"/>
        </w:rPr>
        <w:t xml:space="preserve">   /     </w:t>
      </w:r>
    </w:p>
    <w:p w14:paraId="18D35069">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2.3发包人供应的材料和工程设备见合同附件二“发包人供应的材料和工程设备一览表”。</w:t>
      </w:r>
    </w:p>
    <w:p w14:paraId="4DEBA42C">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3.工期要求</w:t>
      </w:r>
    </w:p>
    <w:p w14:paraId="38D49A8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3.1合同工期</w:t>
      </w:r>
    </w:p>
    <w:p w14:paraId="0A8D054C">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本工程合同工期和计划开、竣工日期为承包人在报价函附录中承诺的工期和计划开、竣工日期，并在合同协议书中载明。</w:t>
      </w:r>
    </w:p>
    <w:p w14:paraId="483EA66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3.2关于工期的一般规定</w:t>
      </w:r>
    </w:p>
    <w:p w14:paraId="42E821D6">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3.2.1承包人在报价函中承诺的工期和计划开、竣工日期之间发生矛盾或者不一致时，以承包人承诺的工期为准。实际开工日期以通用合同条款第11.1款约定的监理人发出的开工通知中载明的开工日期为准。</w:t>
      </w:r>
    </w:p>
    <w:p w14:paraId="7AA77AFC">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3.2.2如果承包人在报价函附录中承诺的工期提前于发包人在本工程磋商文件中所要求的工期，承包人在施工组织设计中应当制定相应的工期保证措施，由此而增加的费用应当被认为已经包括在磋商总价中。除合同另有约定外，合同履约过程中发包人不会因此再向承包人支付任何性质技术措施费用、赶工费用或其他任何性质的提前完工奖励等费用。</w:t>
      </w:r>
    </w:p>
    <w:p w14:paraId="5E33CEC3">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4.质量要求</w:t>
      </w:r>
    </w:p>
    <w:p w14:paraId="10930B31">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4.1质量标准</w:t>
      </w:r>
    </w:p>
    <w:p w14:paraId="7CFE943B">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highlight w:val="yellow"/>
        </w:rPr>
      </w:pPr>
      <w:r>
        <w:rPr>
          <w:rFonts w:hint="eastAsia" w:ascii="华文中宋" w:hAnsi="华文中宋" w:eastAsia="华文中宋" w:cs="华文中宋"/>
          <w:color w:val="auto"/>
          <w:sz w:val="24"/>
          <w:szCs w:val="24"/>
        </w:rPr>
        <w:t>本工程要求的质量标准为</w:t>
      </w:r>
      <w:r>
        <w:rPr>
          <w:rFonts w:hint="eastAsia" w:ascii="华文中宋" w:hAnsi="华文中宋" w:eastAsia="华文中宋" w:cs="华文中宋"/>
          <w:color w:val="auto"/>
          <w:sz w:val="24"/>
          <w:szCs w:val="24"/>
          <w:u w:val="single"/>
          <w:lang w:val="en-US" w:eastAsia="zh-CN"/>
        </w:rPr>
        <w:t xml:space="preserve"> 符合现行国家有关工程施工验收规范和标准的要求，达到合格及以上质量标准</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rPr>
        <w:t>。</w:t>
      </w:r>
    </w:p>
    <w:p w14:paraId="094A944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4.2特殊质量要求</w:t>
      </w:r>
    </w:p>
    <w:p w14:paraId="3895EDC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有关本工程质量方面的特殊要求：</w:t>
      </w:r>
      <w:r>
        <w:rPr>
          <w:rFonts w:hint="eastAsia" w:ascii="华文中宋" w:hAnsi="华文中宋" w:eastAsia="华文中宋" w:cs="华文中宋"/>
          <w:color w:val="auto"/>
          <w:sz w:val="24"/>
          <w:szCs w:val="24"/>
          <w:u w:val="single"/>
        </w:rPr>
        <w:t xml:space="preserve"> 无 </w:t>
      </w:r>
    </w:p>
    <w:p w14:paraId="36843F77">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5.适用规范和标准</w:t>
      </w:r>
    </w:p>
    <w:p w14:paraId="5B4D15B3">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5.1适用的规范、标准和规程</w:t>
      </w:r>
    </w:p>
    <w:p w14:paraId="3D6BF00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5.1.1除合同另有约定外，本工程适用现行国家、行业和地方规范、标准和规程。适用于本工程的国家、行业和地方的规范、标准和规范等的名录见本章第三部分。</w:t>
      </w:r>
    </w:p>
    <w:p w14:paraId="7E28E6F8">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37A04889">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5.2特殊技术标准和要求</w:t>
      </w:r>
    </w:p>
    <w:p w14:paraId="48E477DA">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适用本工程的特殊技术标准和要求见本章第二部分。</w:t>
      </w:r>
    </w:p>
    <w:p w14:paraId="0C75CE49">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6.安全文明施工</w:t>
      </w:r>
    </w:p>
    <w:p w14:paraId="411A81F3">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6.1安全防护</w:t>
      </w:r>
    </w:p>
    <w:p w14:paraId="686CB75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6.1.1在工程施工、竣工、交付及修补任何缺陷的过程中，承包人应当始终遵守国家和地方有关安全生产的法律、法规、规范、标准和规程等，按照通用合同条款第9.2款的约定履行其安全施工职责。</w:t>
      </w:r>
    </w:p>
    <w:p w14:paraId="7F5CEBA0">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6.1.2其他：</w:t>
      </w:r>
      <w:r>
        <w:rPr>
          <w:rFonts w:hint="eastAsia" w:ascii="华文中宋" w:hAnsi="华文中宋" w:eastAsia="华文中宋" w:cs="华文中宋"/>
          <w:color w:val="auto"/>
          <w:sz w:val="24"/>
          <w:szCs w:val="24"/>
          <w:u w:val="single"/>
        </w:rPr>
        <w:t xml:space="preserve">  无 </w:t>
      </w:r>
    </w:p>
    <w:p w14:paraId="707A2F6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6.2文明施工</w:t>
      </w:r>
    </w:p>
    <w:p w14:paraId="0385B111">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6.2.1承包人应遵守国家和工程所在地有关法规、规范、规程和标准的规定，履行文明施工义务，确保文明施工专项费用专款专用。</w:t>
      </w:r>
    </w:p>
    <w:p w14:paraId="53E26068">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6.2.2文明施工方面的其他要求：</w:t>
      </w:r>
      <w:r>
        <w:rPr>
          <w:rFonts w:hint="eastAsia" w:ascii="华文中宋" w:hAnsi="华文中宋" w:eastAsia="华文中宋" w:cs="华文中宋"/>
          <w:color w:val="auto"/>
          <w:sz w:val="24"/>
          <w:szCs w:val="24"/>
          <w:u w:val="single"/>
        </w:rPr>
        <w:t xml:space="preserve"> 无 </w:t>
      </w:r>
    </w:p>
    <w:p w14:paraId="7D77F9D1">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7.治安保卫</w:t>
      </w:r>
    </w:p>
    <w:p w14:paraId="7A83670F">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7.1施工场地（现场）治安管理计划的要求：</w:t>
      </w:r>
      <w:r>
        <w:rPr>
          <w:rFonts w:hint="eastAsia" w:ascii="华文中宋" w:hAnsi="华文中宋" w:eastAsia="华文中宋" w:cs="华文中宋"/>
          <w:color w:val="auto"/>
          <w:sz w:val="24"/>
          <w:szCs w:val="24"/>
          <w:u w:val="single"/>
        </w:rPr>
        <w:t xml:space="preserve">无   </w:t>
      </w:r>
    </w:p>
    <w:p w14:paraId="1D4C8979">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7.2突发治安事件紧急预案的要求：</w:t>
      </w:r>
      <w:r>
        <w:rPr>
          <w:rFonts w:hint="eastAsia" w:ascii="华文中宋" w:hAnsi="华文中宋" w:eastAsia="华文中宋" w:cs="华文中宋"/>
          <w:color w:val="auto"/>
          <w:sz w:val="24"/>
          <w:szCs w:val="24"/>
          <w:u w:val="single"/>
        </w:rPr>
        <w:t xml:space="preserve">无  </w:t>
      </w:r>
    </w:p>
    <w:p w14:paraId="090F81E4">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7.3治安保卫方面的其他要求如下：</w:t>
      </w:r>
      <w:r>
        <w:rPr>
          <w:rFonts w:hint="eastAsia" w:ascii="华文中宋" w:hAnsi="华文中宋" w:eastAsia="华文中宋" w:cs="华文中宋"/>
          <w:color w:val="auto"/>
          <w:sz w:val="24"/>
          <w:szCs w:val="24"/>
          <w:u w:val="single"/>
        </w:rPr>
        <w:t>无</w:t>
      </w:r>
    </w:p>
    <w:p w14:paraId="036F845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8.地上、地下设施和周边建筑物的临时保护</w:t>
      </w:r>
    </w:p>
    <w:p w14:paraId="4B70873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8.1发包人特别提醒承包人注意以下地上、地下设施和周边建筑物的保护：</w:t>
      </w:r>
      <w:r>
        <w:rPr>
          <w:rFonts w:hint="eastAsia" w:ascii="华文中宋" w:hAnsi="华文中宋" w:eastAsia="华文中宋" w:cs="华文中宋"/>
          <w:color w:val="auto"/>
          <w:sz w:val="24"/>
          <w:szCs w:val="24"/>
          <w:u w:val="single"/>
        </w:rPr>
        <w:t xml:space="preserve">无  </w:t>
      </w:r>
    </w:p>
    <w:p w14:paraId="7C665063">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8.2地上、地下设施和周边建筑物的临时保护的其他要求</w:t>
      </w:r>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szCs w:val="24"/>
          <w:u w:val="single"/>
        </w:rPr>
        <w:t xml:space="preserve">无   </w:t>
      </w:r>
    </w:p>
    <w:p w14:paraId="4381AB7F">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9.样品和材料代换</w:t>
      </w:r>
    </w:p>
    <w:p w14:paraId="7E944B67">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9.1本工程需要承包人提供样品的材料和工程设备：</w:t>
      </w:r>
      <w:r>
        <w:rPr>
          <w:rFonts w:hint="eastAsia" w:ascii="华文中宋" w:hAnsi="华文中宋" w:eastAsia="华文中宋" w:cs="华文中宋"/>
          <w:color w:val="auto"/>
          <w:sz w:val="24"/>
          <w:szCs w:val="24"/>
          <w:u w:val="single"/>
        </w:rPr>
        <w:t xml:space="preserve">无  </w:t>
      </w:r>
    </w:p>
    <w:p w14:paraId="6572ED73">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9.2材料代换</w:t>
      </w:r>
    </w:p>
    <w:p w14:paraId="5EC91A17">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5CD5B508">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10.进口材料和工程设备</w:t>
      </w:r>
    </w:p>
    <w:p w14:paraId="49630417">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10.1本工程需要进口的材料和工程设备：</w:t>
      </w:r>
      <w:r>
        <w:rPr>
          <w:rFonts w:hint="eastAsia" w:ascii="华文中宋" w:hAnsi="华文中宋" w:eastAsia="华文中宋" w:cs="华文中宋"/>
          <w:color w:val="auto"/>
          <w:sz w:val="24"/>
          <w:szCs w:val="24"/>
          <w:u w:val="single"/>
        </w:rPr>
        <w:t xml:space="preserve">  无  </w:t>
      </w:r>
    </w:p>
    <w:p w14:paraId="7FB3774D">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10.2上述进口材料和工程设备采购、进口、报关、清关、商检、境内运输（包括保险）、保管的责任以及费用承担方式划分如下：</w:t>
      </w:r>
      <w:r>
        <w:rPr>
          <w:rFonts w:hint="eastAsia" w:ascii="华文中宋" w:hAnsi="华文中宋" w:eastAsia="华文中宋" w:cs="华文中宋"/>
          <w:color w:val="auto"/>
          <w:sz w:val="24"/>
          <w:szCs w:val="24"/>
          <w:u w:val="single"/>
        </w:rPr>
        <w:t xml:space="preserve">  无  </w:t>
      </w:r>
    </w:p>
    <w:p w14:paraId="0AC9481E">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12.试验和检验</w:t>
      </w:r>
    </w:p>
    <w:p w14:paraId="781F35D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12.1本工程需要承包人进行试验和检验的材料、工程设备和工艺如下：</w:t>
      </w:r>
      <w:r>
        <w:rPr>
          <w:rFonts w:hint="eastAsia" w:ascii="华文中宋" w:hAnsi="华文中宋" w:eastAsia="华文中宋" w:cs="华文中宋"/>
          <w:color w:val="auto"/>
          <w:sz w:val="24"/>
          <w:szCs w:val="24"/>
          <w:u w:val="single"/>
        </w:rPr>
        <w:t xml:space="preserve">  无  </w:t>
      </w:r>
    </w:p>
    <w:p w14:paraId="53AAD429">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12.2本工程需要由监理人和承包人共同进行试验和检验的材料、工程设备和工艺如下：</w:t>
      </w:r>
      <w:r>
        <w:rPr>
          <w:rFonts w:hint="eastAsia" w:ascii="华文中宋" w:hAnsi="华文中宋" w:eastAsia="华文中宋" w:cs="华文中宋"/>
          <w:color w:val="auto"/>
          <w:sz w:val="24"/>
          <w:szCs w:val="24"/>
          <w:u w:val="single"/>
        </w:rPr>
        <w:t xml:space="preserve">无   </w:t>
      </w:r>
    </w:p>
    <w:p w14:paraId="6D67F8D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13.计日工</w:t>
      </w:r>
    </w:p>
    <w:p w14:paraId="7A60886A">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13.1关于计日工的其他约定：</w:t>
      </w:r>
      <w:r>
        <w:rPr>
          <w:rFonts w:hint="eastAsia" w:ascii="华文中宋" w:hAnsi="华文中宋" w:eastAsia="华文中宋" w:cs="华文中宋"/>
          <w:color w:val="auto"/>
          <w:sz w:val="24"/>
          <w:szCs w:val="24"/>
          <w:u w:val="single"/>
        </w:rPr>
        <w:t xml:space="preserve">  无  </w:t>
      </w:r>
    </w:p>
    <w:p w14:paraId="2A74C82C">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14.其他约定</w:t>
      </w:r>
    </w:p>
    <w:p w14:paraId="5E9B2E74">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其他约定内容：</w:t>
      </w:r>
      <w:r>
        <w:rPr>
          <w:rFonts w:hint="eastAsia" w:ascii="华文中宋" w:hAnsi="华文中宋" w:eastAsia="华文中宋" w:cs="华文中宋"/>
          <w:color w:val="auto"/>
          <w:sz w:val="24"/>
          <w:szCs w:val="24"/>
          <w:u w:val="single"/>
        </w:rPr>
        <w:t xml:space="preserve">  无  </w:t>
      </w:r>
    </w:p>
    <w:p w14:paraId="10953E0D">
      <w:pPr>
        <w:keepNext w:val="0"/>
        <w:keepLines w:val="0"/>
        <w:pageBreakBefore w:val="0"/>
        <w:widowControl w:val="0"/>
        <w:kinsoku/>
        <w:wordWrap w:val="0"/>
        <w:overflowPunct/>
        <w:topLinePunct w:val="0"/>
        <w:autoSpaceDE/>
        <w:autoSpaceDN/>
        <w:bidi w:val="0"/>
        <w:adjustRightInd/>
        <w:spacing w:line="500" w:lineRule="exact"/>
        <w:ind w:firstLine="480" w:firstLineChars="200"/>
        <w:textAlignment w:val="auto"/>
        <w:outlineLvl w:val="9"/>
        <w:rPr>
          <w:rFonts w:hint="eastAsia" w:ascii="华文中宋" w:hAnsi="华文中宋" w:eastAsia="华文中宋" w:cs="华文中宋"/>
          <w:b/>
          <w:bCs/>
          <w:color w:val="auto"/>
          <w:sz w:val="24"/>
          <w:szCs w:val="24"/>
        </w:rPr>
      </w:pPr>
      <w:bookmarkStart w:id="49" w:name="_Toc40954055"/>
      <w:bookmarkStart w:id="50" w:name="_Toc44690687"/>
      <w:bookmarkStart w:id="51" w:name="_Toc43363084"/>
      <w:bookmarkStart w:id="52" w:name="_Toc44690613"/>
      <w:r>
        <w:rPr>
          <w:rFonts w:hint="eastAsia" w:ascii="华文中宋" w:hAnsi="华文中宋" w:eastAsia="华文中宋" w:cs="华文中宋"/>
          <w:b/>
          <w:bCs/>
          <w:color w:val="auto"/>
          <w:sz w:val="24"/>
          <w:szCs w:val="24"/>
        </w:rPr>
        <w:t>二、特殊技术标准和要求</w:t>
      </w:r>
      <w:bookmarkEnd w:id="49"/>
      <w:bookmarkEnd w:id="50"/>
      <w:bookmarkEnd w:id="51"/>
      <w:bookmarkEnd w:id="52"/>
    </w:p>
    <w:p w14:paraId="3BBA4699">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1．材料和工程设备技术要求</w:t>
      </w:r>
    </w:p>
    <w:p w14:paraId="3D216E2C">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1.1承包人自行施工范围内的部分材料和工程设备技术要求如下：</w:t>
      </w:r>
    </w:p>
    <w:p w14:paraId="10005E01">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u w:val="single"/>
        </w:rPr>
        <w:t xml:space="preserve">   符合国家验收标准</w:t>
      </w:r>
    </w:p>
    <w:p w14:paraId="0CCB910D">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1.2承包人自行施工范围内的材料和工程设备选型允许的偏离如下：</w:t>
      </w:r>
    </w:p>
    <w:tbl>
      <w:tblPr>
        <w:tblStyle w:val="2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4"/>
        <w:gridCol w:w="2889"/>
        <w:gridCol w:w="1864"/>
        <w:gridCol w:w="2092"/>
        <w:gridCol w:w="1215"/>
      </w:tblGrid>
      <w:tr w14:paraId="3467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5F537892">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序号</w:t>
            </w:r>
          </w:p>
        </w:tc>
        <w:tc>
          <w:tcPr>
            <w:tcW w:w="1598" w:type="pct"/>
            <w:tcBorders>
              <w:top w:val="single" w:color="auto" w:sz="4" w:space="0"/>
              <w:left w:val="single" w:color="auto" w:sz="4" w:space="0"/>
              <w:bottom w:val="single" w:color="auto" w:sz="4" w:space="0"/>
              <w:right w:val="single" w:color="auto" w:sz="4" w:space="0"/>
            </w:tcBorders>
            <w:noWrap w:val="0"/>
            <w:vAlign w:val="center"/>
          </w:tcPr>
          <w:p w14:paraId="2025D806">
            <w:pPr>
              <w:keepNext w:val="0"/>
              <w:keepLines w:val="0"/>
              <w:pageBreakBefore w:val="0"/>
              <w:widowControl w:val="0"/>
              <w:kinsoku/>
              <w:wordWrap w:val="0"/>
              <w:overflowPunct/>
              <w:topLinePunct w:val="0"/>
              <w:autoSpaceDE/>
              <w:autoSpaceDN/>
              <w:bidi w:val="0"/>
              <w:adjustRightInd/>
              <w:snapToGrid w:val="0"/>
              <w:spacing w:line="500" w:lineRule="exact"/>
              <w:ind w:firstLine="420" w:firstLineChars="20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材料和工程设备名称</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431DE1C3">
            <w:pPr>
              <w:keepNext w:val="0"/>
              <w:keepLines w:val="0"/>
              <w:pageBreakBefore w:val="0"/>
              <w:widowControl w:val="0"/>
              <w:kinsoku/>
              <w:wordWrap w:val="0"/>
              <w:overflowPunct/>
              <w:topLinePunct w:val="0"/>
              <w:autoSpaceDE/>
              <w:autoSpaceDN/>
              <w:bidi w:val="0"/>
              <w:adjustRightInd/>
              <w:snapToGrid w:val="0"/>
              <w:spacing w:line="500" w:lineRule="exact"/>
              <w:ind w:firstLine="420" w:firstLineChars="20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技术指标</w:t>
            </w:r>
          </w:p>
        </w:tc>
        <w:tc>
          <w:tcPr>
            <w:tcW w:w="1157" w:type="pct"/>
            <w:tcBorders>
              <w:top w:val="single" w:color="auto" w:sz="4" w:space="0"/>
              <w:left w:val="single" w:color="auto" w:sz="4" w:space="0"/>
              <w:bottom w:val="single" w:color="auto" w:sz="4" w:space="0"/>
              <w:right w:val="single" w:color="auto" w:sz="4" w:space="0"/>
            </w:tcBorders>
            <w:noWrap w:val="0"/>
            <w:vAlign w:val="center"/>
          </w:tcPr>
          <w:p w14:paraId="53550082">
            <w:pPr>
              <w:keepNext w:val="0"/>
              <w:keepLines w:val="0"/>
              <w:pageBreakBefore w:val="0"/>
              <w:widowControl w:val="0"/>
              <w:kinsoku/>
              <w:wordWrap w:val="0"/>
              <w:overflowPunct/>
              <w:topLinePunct w:val="0"/>
              <w:autoSpaceDE/>
              <w:autoSpaceDN/>
              <w:bidi w:val="0"/>
              <w:adjustRightInd/>
              <w:snapToGrid w:val="0"/>
              <w:spacing w:line="500" w:lineRule="exact"/>
              <w:ind w:firstLine="420" w:firstLineChars="20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允许偏离范围</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11B9DA31">
            <w:pPr>
              <w:keepNext w:val="0"/>
              <w:keepLines w:val="0"/>
              <w:pageBreakBefore w:val="0"/>
              <w:widowControl w:val="0"/>
              <w:kinsoku/>
              <w:wordWrap w:val="0"/>
              <w:overflowPunct/>
              <w:topLinePunct w:val="0"/>
              <w:autoSpaceDE/>
              <w:autoSpaceDN/>
              <w:bidi w:val="0"/>
              <w:adjustRightInd/>
              <w:snapToGrid w:val="0"/>
              <w:spacing w:line="500" w:lineRule="exact"/>
              <w:ind w:firstLine="420" w:firstLineChars="200"/>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备注</w:t>
            </w:r>
          </w:p>
        </w:tc>
      </w:tr>
      <w:tr w14:paraId="2956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3E68C955">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w:t>
            </w:r>
          </w:p>
        </w:tc>
        <w:tc>
          <w:tcPr>
            <w:tcW w:w="1598" w:type="pct"/>
            <w:tcBorders>
              <w:top w:val="single" w:color="auto" w:sz="4" w:space="0"/>
              <w:left w:val="single" w:color="auto" w:sz="4" w:space="0"/>
              <w:bottom w:val="single" w:color="auto" w:sz="4" w:space="0"/>
              <w:right w:val="single" w:color="auto" w:sz="4" w:space="0"/>
            </w:tcBorders>
            <w:noWrap w:val="0"/>
            <w:vAlign w:val="center"/>
          </w:tcPr>
          <w:p w14:paraId="1044D1A9">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3BF5E86F">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1157" w:type="pct"/>
            <w:tcBorders>
              <w:top w:val="single" w:color="auto" w:sz="4" w:space="0"/>
              <w:left w:val="single" w:color="auto" w:sz="4" w:space="0"/>
              <w:bottom w:val="single" w:color="auto" w:sz="4" w:space="0"/>
              <w:right w:val="single" w:color="auto" w:sz="4" w:space="0"/>
            </w:tcBorders>
            <w:noWrap w:val="0"/>
            <w:vAlign w:val="center"/>
          </w:tcPr>
          <w:p w14:paraId="6A1A6777">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59F66D90">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r>
      <w:tr w14:paraId="2100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1102F8A9">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w:t>
            </w:r>
          </w:p>
        </w:tc>
        <w:tc>
          <w:tcPr>
            <w:tcW w:w="1598" w:type="pct"/>
            <w:tcBorders>
              <w:top w:val="single" w:color="auto" w:sz="4" w:space="0"/>
              <w:left w:val="single" w:color="auto" w:sz="4" w:space="0"/>
              <w:bottom w:val="single" w:color="auto" w:sz="4" w:space="0"/>
              <w:right w:val="single" w:color="auto" w:sz="4" w:space="0"/>
            </w:tcBorders>
            <w:noWrap w:val="0"/>
            <w:vAlign w:val="center"/>
          </w:tcPr>
          <w:p w14:paraId="5B6E4181">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0F288154">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1157" w:type="pct"/>
            <w:tcBorders>
              <w:top w:val="single" w:color="auto" w:sz="4" w:space="0"/>
              <w:left w:val="single" w:color="auto" w:sz="4" w:space="0"/>
              <w:bottom w:val="single" w:color="auto" w:sz="4" w:space="0"/>
              <w:right w:val="single" w:color="auto" w:sz="4" w:space="0"/>
            </w:tcBorders>
            <w:noWrap w:val="0"/>
            <w:vAlign w:val="center"/>
          </w:tcPr>
          <w:p w14:paraId="3B0624E0">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19FAB865">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r>
      <w:tr w14:paraId="32E8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1455F126">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w:t>
            </w:r>
          </w:p>
        </w:tc>
        <w:tc>
          <w:tcPr>
            <w:tcW w:w="1598" w:type="pct"/>
            <w:tcBorders>
              <w:top w:val="single" w:color="auto" w:sz="4" w:space="0"/>
              <w:left w:val="single" w:color="auto" w:sz="4" w:space="0"/>
              <w:bottom w:val="single" w:color="auto" w:sz="4" w:space="0"/>
              <w:right w:val="single" w:color="auto" w:sz="4" w:space="0"/>
            </w:tcBorders>
            <w:noWrap w:val="0"/>
            <w:vAlign w:val="center"/>
          </w:tcPr>
          <w:p w14:paraId="69FDCC8E">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7473CFA0">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1157" w:type="pct"/>
            <w:tcBorders>
              <w:top w:val="single" w:color="auto" w:sz="4" w:space="0"/>
              <w:left w:val="single" w:color="auto" w:sz="4" w:space="0"/>
              <w:bottom w:val="single" w:color="auto" w:sz="4" w:space="0"/>
              <w:right w:val="single" w:color="auto" w:sz="4" w:space="0"/>
            </w:tcBorders>
            <w:noWrap w:val="0"/>
            <w:vAlign w:val="center"/>
          </w:tcPr>
          <w:p w14:paraId="59699046">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4F27C863">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r>
      <w:tr w14:paraId="1D485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3384C688">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4</w:t>
            </w:r>
          </w:p>
        </w:tc>
        <w:tc>
          <w:tcPr>
            <w:tcW w:w="1598" w:type="pct"/>
            <w:tcBorders>
              <w:top w:val="single" w:color="auto" w:sz="4" w:space="0"/>
              <w:left w:val="single" w:color="auto" w:sz="4" w:space="0"/>
              <w:bottom w:val="single" w:color="auto" w:sz="4" w:space="0"/>
              <w:right w:val="single" w:color="auto" w:sz="4" w:space="0"/>
            </w:tcBorders>
            <w:noWrap w:val="0"/>
            <w:vAlign w:val="center"/>
          </w:tcPr>
          <w:p w14:paraId="0017485A">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11B528EC">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1157" w:type="pct"/>
            <w:tcBorders>
              <w:top w:val="single" w:color="auto" w:sz="4" w:space="0"/>
              <w:left w:val="single" w:color="auto" w:sz="4" w:space="0"/>
              <w:bottom w:val="single" w:color="auto" w:sz="4" w:space="0"/>
              <w:right w:val="single" w:color="auto" w:sz="4" w:space="0"/>
            </w:tcBorders>
            <w:noWrap w:val="0"/>
            <w:vAlign w:val="center"/>
          </w:tcPr>
          <w:p w14:paraId="7B700C0A">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164FACC0">
            <w:pPr>
              <w:keepNext w:val="0"/>
              <w:keepLines w:val="0"/>
              <w:pageBreakBefore w:val="0"/>
              <w:widowControl w:val="0"/>
              <w:kinsoku/>
              <w:wordWrap w:val="0"/>
              <w:overflowPunct/>
              <w:topLinePunct w:val="0"/>
              <w:autoSpaceDE/>
              <w:autoSpaceDN/>
              <w:bidi w:val="0"/>
              <w:adjustRightInd/>
              <w:spacing w:line="500" w:lineRule="exact"/>
              <w:jc w:val="center"/>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无</w:t>
            </w:r>
          </w:p>
        </w:tc>
      </w:tr>
    </w:tbl>
    <w:p w14:paraId="3F42C296">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1.3本工程施工现场所用混凝土或砂浆的供应方式为</w:t>
      </w:r>
      <w:r>
        <w:rPr>
          <w:rFonts w:hint="eastAsia" w:ascii="华文中宋" w:hAnsi="华文中宋" w:eastAsia="华文中宋" w:cs="华文中宋"/>
          <w:color w:val="auto"/>
          <w:sz w:val="24"/>
          <w:szCs w:val="24"/>
          <w:u w:val="single"/>
        </w:rPr>
        <w:t>商砼</w:t>
      </w:r>
      <w:r>
        <w:rPr>
          <w:rFonts w:hint="eastAsia" w:ascii="华文中宋" w:hAnsi="华文中宋" w:eastAsia="华文中宋" w:cs="华文中宋"/>
          <w:color w:val="auto"/>
          <w:sz w:val="24"/>
          <w:szCs w:val="24"/>
        </w:rPr>
        <w:t>。</w:t>
      </w:r>
    </w:p>
    <w:p w14:paraId="59307667">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2.特殊技术要求</w:t>
      </w:r>
    </w:p>
    <w:p w14:paraId="1C7B19FB">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2.1除合同约定的技术要求外，本工程的特殊技术要求如下：</w:t>
      </w:r>
      <w:r>
        <w:rPr>
          <w:rFonts w:hint="eastAsia" w:ascii="华文中宋" w:hAnsi="华文中宋" w:eastAsia="华文中宋" w:cs="华文中宋"/>
          <w:color w:val="auto"/>
          <w:sz w:val="24"/>
          <w:szCs w:val="24"/>
          <w:u w:val="single"/>
        </w:rPr>
        <w:t xml:space="preserve">   无   </w:t>
      </w:r>
    </w:p>
    <w:p w14:paraId="07411AF1">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3．新技术、新工艺和新材料</w:t>
      </w:r>
    </w:p>
    <w:p w14:paraId="00A87284">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3.1本工/程涉及的新技术、新工艺和新材料及相应使用和操作说明如下：</w:t>
      </w:r>
      <w:r>
        <w:rPr>
          <w:rFonts w:hint="eastAsia" w:ascii="华文中宋" w:hAnsi="华文中宋" w:eastAsia="华文中宋" w:cs="华文中宋"/>
          <w:color w:val="auto"/>
          <w:sz w:val="24"/>
          <w:szCs w:val="24"/>
          <w:u w:val="single"/>
        </w:rPr>
        <w:t xml:space="preserve">  无 </w:t>
      </w:r>
    </w:p>
    <w:p w14:paraId="1FD15ECF">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jc w:val="left"/>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4．其他特殊技术标准和要求</w:t>
      </w:r>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szCs w:val="24"/>
          <w:u w:val="single"/>
        </w:rPr>
        <w:t xml:space="preserve">  无       </w:t>
      </w:r>
    </w:p>
    <w:p w14:paraId="26169860">
      <w:pPr>
        <w:numPr>
          <w:ilvl w:val="0"/>
          <w:numId w:val="0"/>
        </w:numPr>
        <w:ind w:firstLine="480" w:firstLineChars="200"/>
        <w:jc w:val="both"/>
        <w:outlineLvl w:val="0"/>
        <w:rPr>
          <w:rFonts w:hint="eastAsia" w:ascii="华文中宋" w:hAnsi="华文中宋" w:eastAsia="华文中宋" w:cs="华文中宋"/>
          <w:b/>
          <w:bCs/>
          <w:color w:val="auto"/>
          <w:sz w:val="24"/>
          <w:szCs w:val="24"/>
          <w:lang w:val="en-US" w:eastAsia="zh-CN"/>
        </w:rPr>
      </w:pPr>
      <w:bookmarkStart w:id="53" w:name="_Toc44690615"/>
      <w:bookmarkStart w:id="54" w:name="_Toc44690689"/>
      <w:bookmarkStart w:id="55" w:name="_Toc8470"/>
      <w:r>
        <w:rPr>
          <w:rFonts w:hint="eastAsia" w:ascii="华文中宋" w:hAnsi="华文中宋" w:eastAsia="华文中宋" w:cs="华文中宋"/>
          <w:b/>
          <w:bCs/>
          <w:color w:val="auto"/>
          <w:sz w:val="24"/>
          <w:szCs w:val="24"/>
          <w:lang w:val="en-US" w:eastAsia="zh-CN"/>
        </w:rPr>
        <w:t>三、付款条件</w:t>
      </w:r>
    </w:p>
    <w:p w14:paraId="2D34847C">
      <w:pPr>
        <w:numPr>
          <w:ilvl w:val="0"/>
          <w:numId w:val="0"/>
        </w:numPr>
        <w:ind w:firstLine="480" w:firstLineChars="200"/>
        <w:jc w:val="both"/>
        <w:outlineLvl w:val="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预付30%设备到场后付款到60%工程结束后付款90%审计结算97%,留3%质保金。</w:t>
      </w:r>
    </w:p>
    <w:p w14:paraId="51E82D84">
      <w:pPr>
        <w:numPr>
          <w:ilvl w:val="0"/>
          <w:numId w:val="0"/>
        </w:numPr>
        <w:ind w:firstLine="881" w:firstLineChars="200"/>
        <w:jc w:val="center"/>
        <w:outlineLvl w:val="0"/>
        <w:rPr>
          <w:rFonts w:hint="default" w:ascii="华文中宋" w:hAnsi="华文中宋" w:eastAsia="华文中宋" w:cs="华文中宋"/>
          <w:color w:val="auto"/>
          <w:spacing w:val="20"/>
          <w:sz w:val="32"/>
          <w:szCs w:val="32"/>
          <w:lang w:val="en-US"/>
        </w:rPr>
      </w:pPr>
      <w:r>
        <w:rPr>
          <w:rFonts w:hint="eastAsia" w:ascii="华文中宋" w:hAnsi="华文中宋" w:eastAsia="华文中宋" w:cs="华文中宋"/>
          <w:b/>
          <w:bCs/>
          <w:color w:val="auto"/>
          <w:spacing w:val="0"/>
          <w:kern w:val="44"/>
          <w:sz w:val="44"/>
          <w:szCs w:val="44"/>
          <w:lang w:val="en-US" w:eastAsia="zh-CN" w:bidi="ar-SA"/>
        </w:rPr>
        <w:br w:type="page"/>
      </w:r>
      <w:bookmarkStart w:id="56" w:name="_Toc17694"/>
      <w:r>
        <w:rPr>
          <w:rFonts w:hint="eastAsia" w:ascii="华文中宋" w:hAnsi="华文中宋" w:eastAsia="华文中宋" w:cs="华文中宋"/>
          <w:b/>
          <w:bCs/>
          <w:color w:val="auto"/>
          <w:spacing w:val="0"/>
          <w:kern w:val="44"/>
          <w:sz w:val="44"/>
          <w:szCs w:val="44"/>
          <w:lang w:val="en-US" w:eastAsia="zh-CN" w:bidi="ar-SA"/>
        </w:rPr>
        <w:t>第六部分 工程量清单</w:t>
      </w:r>
      <w:bookmarkEnd w:id="53"/>
      <w:bookmarkEnd w:id="54"/>
      <w:bookmarkEnd w:id="55"/>
      <w:r>
        <w:rPr>
          <w:rFonts w:hint="eastAsia" w:ascii="华文中宋" w:hAnsi="华文中宋" w:eastAsia="华文中宋" w:cs="华文中宋"/>
          <w:b/>
          <w:bCs/>
          <w:color w:val="auto"/>
          <w:spacing w:val="0"/>
          <w:kern w:val="44"/>
          <w:sz w:val="44"/>
          <w:szCs w:val="44"/>
          <w:lang w:val="en-US" w:eastAsia="zh-CN" w:bidi="ar-SA"/>
        </w:rPr>
        <w:t>及图纸</w:t>
      </w:r>
      <w:bookmarkEnd w:id="56"/>
    </w:p>
    <w:p w14:paraId="402E0845">
      <w:pPr>
        <w:keepNext w:val="0"/>
        <w:keepLines w:val="0"/>
        <w:pageBreakBefore w:val="0"/>
        <w:widowControl/>
        <w:suppressLineNumbers w:val="0"/>
        <w:kinsoku/>
        <w:wordWrap/>
        <w:overflowPunct/>
        <w:topLinePunct w:val="0"/>
        <w:autoSpaceDE/>
        <w:autoSpaceDN/>
        <w:bidi w:val="0"/>
        <w:adjustRightInd/>
        <w:snapToGrid/>
        <w:spacing w:line="240" w:lineRule="atLeast"/>
        <w:ind w:firstLine="4760" w:firstLineChars="1700"/>
        <w:jc w:val="both"/>
        <w:textAlignment w:val="center"/>
        <w:outlineLvl w:val="9"/>
        <w:rPr>
          <w:rFonts w:hint="eastAsia" w:ascii="华文中宋" w:hAnsi="华文中宋" w:eastAsia="华文中宋" w:cs="华文中宋"/>
          <w:color w:val="auto"/>
          <w:sz w:val="28"/>
          <w:szCs w:val="28"/>
          <w:lang w:val="en-US" w:eastAsia="zh-CN"/>
        </w:rPr>
      </w:pPr>
      <w:bookmarkStart w:id="57" w:name="_Toc44690690"/>
      <w:bookmarkStart w:id="58" w:name="_Toc44690616"/>
    </w:p>
    <w:p w14:paraId="427E2C38">
      <w:pPr>
        <w:keepNext w:val="0"/>
        <w:keepLines w:val="0"/>
        <w:pageBreakBefore w:val="0"/>
        <w:widowControl/>
        <w:suppressLineNumbers w:val="0"/>
        <w:kinsoku/>
        <w:wordWrap/>
        <w:overflowPunct/>
        <w:topLinePunct w:val="0"/>
        <w:autoSpaceDE/>
        <w:autoSpaceDN/>
        <w:bidi w:val="0"/>
        <w:adjustRightInd/>
        <w:snapToGrid/>
        <w:spacing w:line="240" w:lineRule="atLeast"/>
        <w:ind w:firstLine="4760" w:firstLineChars="1700"/>
        <w:jc w:val="both"/>
        <w:textAlignment w:val="center"/>
        <w:outlineLvl w:val="9"/>
        <w:rPr>
          <w:rFonts w:hint="eastAsia" w:ascii="华文中宋" w:hAnsi="华文中宋" w:eastAsia="华文中宋" w:cs="华文中宋"/>
          <w:color w:val="auto"/>
          <w:sz w:val="28"/>
          <w:szCs w:val="28"/>
          <w:lang w:val="en-US" w:eastAsia="zh-CN"/>
        </w:rPr>
      </w:pPr>
    </w:p>
    <w:p w14:paraId="6127D680">
      <w:pPr>
        <w:keepNext/>
        <w:keepLines/>
        <w:pageBreakBefore w:val="0"/>
        <w:widowControl w:val="0"/>
        <w:numPr>
          <w:ilvl w:val="0"/>
          <w:numId w:val="0"/>
        </w:numPr>
        <w:kinsoku/>
        <w:wordWrap/>
        <w:overflowPunct/>
        <w:topLinePunct w:val="0"/>
        <w:autoSpaceDE/>
        <w:autoSpaceDN/>
        <w:bidi w:val="0"/>
        <w:adjustRightInd/>
        <w:snapToGrid/>
        <w:spacing w:before="0" w:after="0" w:line="579" w:lineRule="auto"/>
        <w:jc w:val="center"/>
        <w:textAlignment w:val="auto"/>
        <w:outlineLvl w:val="0"/>
        <w:rPr>
          <w:rFonts w:hint="eastAsia" w:ascii="华文中宋" w:hAnsi="华文中宋" w:eastAsia="华文中宋" w:cs="华文中宋"/>
          <w:color w:val="auto"/>
          <w:sz w:val="24"/>
          <w:szCs w:val="24"/>
          <w:lang w:val="en-US" w:eastAsia="zh-CN"/>
        </w:rPr>
      </w:pPr>
      <w:bookmarkStart w:id="59" w:name="_Toc26977"/>
      <w:bookmarkStart w:id="60" w:name="_Toc17367"/>
      <w:r>
        <w:rPr>
          <w:rFonts w:hint="eastAsia" w:ascii="华文中宋" w:hAnsi="华文中宋" w:eastAsia="华文中宋" w:cs="华文中宋"/>
          <w:color w:val="auto"/>
          <w:sz w:val="24"/>
          <w:szCs w:val="24"/>
          <w:lang w:val="en-US" w:eastAsia="zh-CN"/>
        </w:rPr>
        <w:t>另 附</w:t>
      </w:r>
      <w:bookmarkEnd w:id="57"/>
      <w:bookmarkEnd w:id="58"/>
      <w:bookmarkEnd w:id="59"/>
      <w:bookmarkEnd w:id="60"/>
      <w:bookmarkStart w:id="61" w:name="_Toc28604"/>
      <w:bookmarkStart w:id="62" w:name="_Toc44690617"/>
      <w:bookmarkStart w:id="63" w:name="_Toc44690691"/>
    </w:p>
    <w:p w14:paraId="68B1DD34">
      <w:pPr>
        <w:rPr>
          <w:rFonts w:hint="eastAsia" w:ascii="华文中宋" w:hAnsi="华文中宋" w:eastAsia="华文中宋" w:cs="华文中宋"/>
          <w:b/>
          <w:bCs/>
          <w:color w:val="auto"/>
          <w:spacing w:val="0"/>
          <w:kern w:val="44"/>
          <w:sz w:val="44"/>
          <w:szCs w:val="44"/>
          <w:lang w:val="en-US" w:eastAsia="zh-CN" w:bidi="ar-SA"/>
        </w:rPr>
      </w:pPr>
      <w:r>
        <w:rPr>
          <w:rFonts w:hint="eastAsia" w:ascii="华文中宋" w:hAnsi="华文中宋" w:eastAsia="华文中宋" w:cs="华文中宋"/>
          <w:b/>
          <w:bCs/>
          <w:color w:val="auto"/>
          <w:spacing w:val="0"/>
          <w:kern w:val="44"/>
          <w:sz w:val="44"/>
          <w:szCs w:val="44"/>
          <w:lang w:val="en-US" w:eastAsia="zh-CN" w:bidi="ar-SA"/>
        </w:rPr>
        <w:br w:type="page"/>
      </w:r>
    </w:p>
    <w:p w14:paraId="0C1F99CB">
      <w:pPr>
        <w:keepNext/>
        <w:keepLines/>
        <w:pageBreakBefore w:val="0"/>
        <w:widowControl w:val="0"/>
        <w:numPr>
          <w:ilvl w:val="0"/>
          <w:numId w:val="0"/>
        </w:numPr>
        <w:kinsoku/>
        <w:wordWrap/>
        <w:overflowPunct/>
        <w:topLinePunct w:val="0"/>
        <w:autoSpaceDE/>
        <w:autoSpaceDN/>
        <w:bidi w:val="0"/>
        <w:adjustRightInd/>
        <w:snapToGrid/>
        <w:spacing w:before="0" w:after="0" w:line="579" w:lineRule="auto"/>
        <w:jc w:val="center"/>
        <w:textAlignment w:val="auto"/>
        <w:outlineLvl w:val="0"/>
        <w:rPr>
          <w:rFonts w:hint="eastAsia" w:ascii="华文中宋" w:hAnsi="华文中宋" w:eastAsia="华文中宋" w:cs="华文中宋"/>
          <w:b/>
          <w:bCs/>
          <w:color w:val="auto"/>
          <w:spacing w:val="0"/>
          <w:kern w:val="44"/>
          <w:sz w:val="44"/>
          <w:szCs w:val="44"/>
          <w:lang w:val="en-US" w:eastAsia="zh-CN" w:bidi="ar-SA"/>
        </w:rPr>
      </w:pPr>
      <w:bookmarkStart w:id="64" w:name="_Toc11598"/>
      <w:r>
        <w:rPr>
          <w:rFonts w:hint="eastAsia" w:ascii="华文中宋" w:hAnsi="华文中宋" w:eastAsia="华文中宋" w:cs="华文中宋"/>
          <w:b/>
          <w:bCs/>
          <w:color w:val="auto"/>
          <w:spacing w:val="0"/>
          <w:kern w:val="44"/>
          <w:sz w:val="44"/>
          <w:szCs w:val="44"/>
          <w:lang w:val="en-US" w:eastAsia="zh-CN" w:bidi="ar-SA"/>
        </w:rPr>
        <w:t>第七部分 合同条款</w:t>
      </w:r>
      <w:bookmarkEnd w:id="61"/>
      <w:bookmarkEnd w:id="62"/>
      <w:bookmarkEnd w:id="63"/>
      <w:bookmarkEnd w:id="64"/>
    </w:p>
    <w:p w14:paraId="72299D10">
      <w:pPr>
        <w:spacing w:line="500" w:lineRule="exact"/>
        <w:ind w:firstLine="440" w:firstLineChars="200"/>
        <w:jc w:val="center"/>
        <w:outlineLvl w:val="9"/>
        <w:rPr>
          <w:rFonts w:hint="eastAsia" w:ascii="华文中宋" w:hAnsi="华文中宋" w:eastAsia="华文中宋" w:cs="华文中宋"/>
          <w:b/>
          <w:bCs/>
          <w:color w:val="auto"/>
          <w:sz w:val="36"/>
          <w:szCs w:val="36"/>
          <w:lang w:eastAsia="zh-CN"/>
        </w:rPr>
      </w:pPr>
      <w:r>
        <w:rPr>
          <w:rFonts w:hint="eastAsia" w:ascii="华文中宋" w:hAnsi="华文中宋" w:eastAsia="华文中宋" w:cs="华文中宋"/>
          <w:color w:val="auto"/>
          <w:sz w:val="22"/>
          <w:szCs w:val="22"/>
        </w:rPr>
        <w:t>（本合同格式仅供参考，具体合同版本和条款以双方正式签订合同为准）</w:t>
      </w:r>
    </w:p>
    <w:p w14:paraId="659D298C">
      <w:pPr>
        <w:pStyle w:val="44"/>
        <w:pageBreakBefore w:val="0"/>
        <w:kinsoku/>
        <w:wordWrap/>
        <w:overflowPunct/>
        <w:topLinePunct w:val="0"/>
        <w:autoSpaceDE/>
        <w:autoSpaceDN/>
        <w:bidi w:val="0"/>
        <w:adjustRightInd/>
        <w:snapToGrid/>
        <w:spacing w:before="0" w:line="500" w:lineRule="exact"/>
        <w:ind w:right="0" w:rightChars="0"/>
        <w:jc w:val="center"/>
        <w:textAlignment w:val="auto"/>
        <w:rPr>
          <w:rFonts w:hint="eastAsia" w:ascii="华文中宋" w:hAnsi="华文中宋" w:eastAsia="华文中宋" w:cs="华文中宋"/>
          <w:color w:val="auto"/>
          <w:sz w:val="24"/>
          <w:szCs w:val="24"/>
          <w:lang w:val="zh-CN"/>
        </w:rPr>
      </w:pPr>
      <w:bookmarkStart w:id="65" w:name="_Toc296503025"/>
      <w:bookmarkStart w:id="66" w:name="_Toc296890982"/>
      <w:r>
        <w:rPr>
          <w:rFonts w:hint="eastAsia" w:ascii="华文中宋" w:hAnsi="华文中宋" w:eastAsia="华文中宋" w:cs="华文中宋"/>
          <w:color w:val="auto"/>
          <w:sz w:val="24"/>
          <w:szCs w:val="24"/>
          <w:lang w:val="zh-CN"/>
        </w:rPr>
        <w:t>说    明</w:t>
      </w:r>
    </w:p>
    <w:p w14:paraId="757E06B9">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7768A235">
      <w:pPr>
        <w:pageBreakBefore w:val="0"/>
        <w:kinsoku/>
        <w:wordWrap/>
        <w:overflowPunct/>
        <w:topLinePunct w:val="0"/>
        <w:autoSpaceDE/>
        <w:autoSpaceDN/>
        <w:bidi w:val="0"/>
        <w:adjustRightInd/>
        <w:snapToGrid/>
        <w:spacing w:line="500" w:lineRule="exact"/>
        <w:ind w:right="0" w:rightChars="0" w:firstLine="480" w:firstLineChars="200"/>
        <w:textAlignment w:val="auto"/>
        <w:outlineLvl w:val="0"/>
        <w:rPr>
          <w:rFonts w:hint="eastAsia" w:ascii="华文中宋" w:hAnsi="华文中宋" w:eastAsia="华文中宋" w:cs="华文中宋"/>
          <w:bCs/>
          <w:color w:val="auto"/>
          <w:sz w:val="24"/>
          <w:szCs w:val="24"/>
        </w:rPr>
      </w:pPr>
      <w:bookmarkStart w:id="67" w:name="_Toc375060690"/>
      <w:bookmarkStart w:id="68" w:name="_Toc23738"/>
      <w:bookmarkStart w:id="69" w:name="_Toc22506"/>
      <w:bookmarkStart w:id="70" w:name="_Toc375060639"/>
      <w:r>
        <w:rPr>
          <w:rFonts w:hint="eastAsia" w:ascii="华文中宋" w:hAnsi="华文中宋" w:eastAsia="华文中宋" w:cs="华文中宋"/>
          <w:bCs/>
          <w:color w:val="auto"/>
          <w:sz w:val="24"/>
          <w:szCs w:val="24"/>
        </w:rPr>
        <w:t>一、《示范文本》的组成</w:t>
      </w:r>
      <w:bookmarkEnd w:id="67"/>
      <w:bookmarkEnd w:id="68"/>
      <w:bookmarkEnd w:id="69"/>
      <w:bookmarkEnd w:id="70"/>
    </w:p>
    <w:p w14:paraId="4400736F">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《示范文本》由合同协议书、通用合同条款和专用合同条款三部分组成。</w:t>
      </w:r>
    </w:p>
    <w:p w14:paraId="694DE7ED">
      <w:pPr>
        <w:pageBreakBefore w:val="0"/>
        <w:kinsoku/>
        <w:wordWrap/>
        <w:overflowPunct/>
        <w:topLinePunct w:val="0"/>
        <w:autoSpaceDE/>
        <w:autoSpaceDN/>
        <w:bidi w:val="0"/>
        <w:adjustRightInd/>
        <w:snapToGrid/>
        <w:spacing w:line="500" w:lineRule="exact"/>
        <w:ind w:right="0" w:rightChars="0" w:firstLine="480" w:firstLineChars="200"/>
        <w:textAlignment w:val="auto"/>
        <w:outlineLvl w:val="0"/>
        <w:rPr>
          <w:rFonts w:hint="eastAsia" w:ascii="华文中宋" w:hAnsi="华文中宋" w:eastAsia="华文中宋" w:cs="华文中宋"/>
          <w:color w:val="auto"/>
          <w:sz w:val="24"/>
          <w:szCs w:val="24"/>
        </w:rPr>
      </w:pPr>
      <w:bookmarkStart w:id="71" w:name="_Toc375060691"/>
      <w:bookmarkStart w:id="72" w:name="_Toc29935"/>
      <w:bookmarkStart w:id="73" w:name="_Toc375060640"/>
      <w:bookmarkStart w:id="74" w:name="_Toc18278"/>
      <w:r>
        <w:rPr>
          <w:rFonts w:hint="eastAsia" w:ascii="华文中宋" w:hAnsi="华文中宋" w:eastAsia="华文中宋" w:cs="华文中宋"/>
          <w:color w:val="auto"/>
          <w:sz w:val="24"/>
          <w:szCs w:val="24"/>
        </w:rPr>
        <w:t>（一）合同协议书</w:t>
      </w:r>
      <w:bookmarkEnd w:id="71"/>
      <w:bookmarkEnd w:id="72"/>
      <w:bookmarkEnd w:id="73"/>
      <w:bookmarkEnd w:id="74"/>
    </w:p>
    <w:p w14:paraId="5ACBF5FE">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F5D0762">
      <w:pPr>
        <w:pageBreakBefore w:val="0"/>
        <w:kinsoku/>
        <w:wordWrap/>
        <w:overflowPunct/>
        <w:topLinePunct w:val="0"/>
        <w:autoSpaceDE/>
        <w:autoSpaceDN/>
        <w:bidi w:val="0"/>
        <w:adjustRightInd/>
        <w:snapToGrid/>
        <w:spacing w:line="500" w:lineRule="exact"/>
        <w:ind w:right="0" w:rightChars="0" w:firstLine="480" w:firstLineChars="200"/>
        <w:textAlignment w:val="auto"/>
        <w:outlineLvl w:val="0"/>
        <w:rPr>
          <w:rFonts w:hint="eastAsia" w:ascii="华文中宋" w:hAnsi="华文中宋" w:eastAsia="华文中宋" w:cs="华文中宋"/>
          <w:color w:val="auto"/>
          <w:sz w:val="24"/>
          <w:szCs w:val="24"/>
        </w:rPr>
      </w:pPr>
      <w:bookmarkStart w:id="75" w:name="_Toc375060641"/>
      <w:bookmarkStart w:id="76" w:name="_Toc375060692"/>
      <w:bookmarkStart w:id="77" w:name="_Toc25426"/>
      <w:bookmarkStart w:id="78" w:name="_Toc15122"/>
      <w:r>
        <w:rPr>
          <w:rFonts w:hint="eastAsia" w:ascii="华文中宋" w:hAnsi="华文中宋" w:eastAsia="华文中宋" w:cs="华文中宋"/>
          <w:color w:val="auto"/>
          <w:sz w:val="24"/>
          <w:szCs w:val="24"/>
        </w:rPr>
        <w:t>（二）通用合同条款</w:t>
      </w:r>
      <w:bookmarkEnd w:id="75"/>
      <w:bookmarkEnd w:id="76"/>
      <w:bookmarkEnd w:id="77"/>
      <w:bookmarkEnd w:id="78"/>
    </w:p>
    <w:p w14:paraId="6BA2D1F6">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通用合同条款是合同当事人根据《中华人民共和国建筑法》、《中华人民共和国合同法》等法律法规的规定，就工程建设的实施及相关事项，对合同当事人的权利义务作出的原则性约定。</w:t>
      </w:r>
    </w:p>
    <w:p w14:paraId="6940E89F">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34F41E4E">
      <w:pPr>
        <w:pageBreakBefore w:val="0"/>
        <w:kinsoku/>
        <w:wordWrap/>
        <w:overflowPunct/>
        <w:topLinePunct w:val="0"/>
        <w:autoSpaceDE/>
        <w:autoSpaceDN/>
        <w:bidi w:val="0"/>
        <w:adjustRightInd/>
        <w:snapToGrid/>
        <w:spacing w:line="500" w:lineRule="exact"/>
        <w:ind w:right="0" w:rightChars="0" w:firstLine="480" w:firstLineChars="200"/>
        <w:textAlignment w:val="auto"/>
        <w:outlineLvl w:val="0"/>
        <w:rPr>
          <w:rFonts w:hint="eastAsia" w:ascii="华文中宋" w:hAnsi="华文中宋" w:eastAsia="华文中宋" w:cs="华文中宋"/>
          <w:color w:val="auto"/>
          <w:sz w:val="24"/>
          <w:szCs w:val="24"/>
        </w:rPr>
      </w:pPr>
      <w:bookmarkStart w:id="79" w:name="_Toc30169"/>
      <w:bookmarkStart w:id="80" w:name="_Toc375060693"/>
      <w:bookmarkStart w:id="81" w:name="_Toc375060642"/>
      <w:bookmarkStart w:id="82" w:name="_Toc23263"/>
      <w:r>
        <w:rPr>
          <w:rFonts w:hint="eastAsia" w:ascii="华文中宋" w:hAnsi="华文中宋" w:eastAsia="华文中宋" w:cs="华文中宋"/>
          <w:color w:val="auto"/>
          <w:sz w:val="24"/>
          <w:szCs w:val="24"/>
        </w:rPr>
        <w:t>（三）专用合同条款</w:t>
      </w:r>
      <w:bookmarkEnd w:id="79"/>
      <w:bookmarkEnd w:id="80"/>
      <w:bookmarkEnd w:id="81"/>
      <w:bookmarkEnd w:id="82"/>
    </w:p>
    <w:p w14:paraId="7BD3556E">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01E9425">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1、专用合同条款的编号应与相应的通用合同条款的编号一致；</w:t>
      </w:r>
    </w:p>
    <w:p w14:paraId="286ED84E">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2、合同当事人可以通过对专用合同条款的修改，满足具体建设工程的特殊要求，避免直接修改通用合同条款；</w:t>
      </w:r>
    </w:p>
    <w:p w14:paraId="40098D2B">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3、在专用合同条款中有横道线的地方，合同当事人可针对相应的通用合同条款进行细化、完善、补充、修改或另行约定；如无细化、完善、补充、修改或另行约定，则填写“无”或划“/”。</w:t>
      </w:r>
    </w:p>
    <w:p w14:paraId="7A3FCC4B">
      <w:pPr>
        <w:pageBreakBefore w:val="0"/>
        <w:kinsoku/>
        <w:wordWrap/>
        <w:overflowPunct/>
        <w:topLinePunct w:val="0"/>
        <w:autoSpaceDE/>
        <w:autoSpaceDN/>
        <w:bidi w:val="0"/>
        <w:adjustRightInd/>
        <w:snapToGrid/>
        <w:spacing w:line="500" w:lineRule="exact"/>
        <w:ind w:right="0" w:rightChars="0" w:firstLine="480" w:firstLineChars="200"/>
        <w:textAlignment w:val="auto"/>
        <w:outlineLvl w:val="0"/>
        <w:rPr>
          <w:rFonts w:hint="eastAsia" w:ascii="华文中宋" w:hAnsi="华文中宋" w:eastAsia="华文中宋" w:cs="华文中宋"/>
          <w:b/>
          <w:color w:val="auto"/>
          <w:sz w:val="24"/>
          <w:szCs w:val="24"/>
        </w:rPr>
      </w:pPr>
      <w:bookmarkStart w:id="83" w:name="_Toc375060694"/>
      <w:bookmarkStart w:id="84" w:name="_Toc12704"/>
      <w:bookmarkStart w:id="85" w:name="_Toc13048"/>
      <w:bookmarkStart w:id="86" w:name="_Toc375060643"/>
      <w:r>
        <w:rPr>
          <w:rFonts w:hint="eastAsia" w:ascii="华文中宋" w:hAnsi="华文中宋" w:eastAsia="华文中宋" w:cs="华文中宋"/>
          <w:bCs/>
          <w:color w:val="auto"/>
          <w:sz w:val="24"/>
          <w:szCs w:val="24"/>
        </w:rPr>
        <w:t>二、《示范文本》的性质和适用范围</w:t>
      </w:r>
      <w:bookmarkEnd w:id="83"/>
      <w:bookmarkEnd w:id="84"/>
      <w:bookmarkEnd w:id="85"/>
      <w:bookmarkEnd w:id="86"/>
    </w:p>
    <w:p w14:paraId="594AC707">
      <w:pPr>
        <w:pageBreakBefore w:val="0"/>
        <w:kinsoku/>
        <w:wordWrap/>
        <w:overflowPunct/>
        <w:topLinePunct w:val="0"/>
        <w:autoSpaceDE/>
        <w:autoSpaceDN/>
        <w:bidi w:val="0"/>
        <w:adjustRightInd/>
        <w:snapToGrid/>
        <w:spacing w:line="500" w:lineRule="exact"/>
        <w:ind w:right="0" w:rightChars="0" w:firstLine="480" w:firstLineChars="200"/>
        <w:textAlignment w:val="auto"/>
        <w:rPr>
          <w:rFonts w:hint="eastAsia" w:ascii="华文中宋" w:hAnsi="华文中宋" w:eastAsia="华文中宋" w:cs="华文中宋"/>
          <w:color w:val="auto"/>
          <w:sz w:val="24"/>
          <w:szCs w:val="24"/>
        </w:rPr>
        <w:sectPr>
          <w:headerReference r:id="rId9" w:type="first"/>
          <w:footerReference r:id="rId12" w:type="first"/>
          <w:headerReference r:id="rId8" w:type="default"/>
          <w:footerReference r:id="rId10" w:type="default"/>
          <w:footerReference r:id="rId11" w:type="even"/>
          <w:pgSz w:w="11906" w:h="16838"/>
          <w:pgMar w:top="1418" w:right="1555" w:bottom="1418" w:left="1531" w:header="851" w:footer="992" w:gutter="0"/>
          <w:pgNumType w:fmt="decimal"/>
          <w:cols w:space="720" w:num="1"/>
          <w:titlePg/>
          <w:docGrid w:type="lines" w:linePitch="312" w:charSpace="0"/>
        </w:sectPr>
      </w:pPr>
      <w:r>
        <w:rPr>
          <w:rFonts w:hint="eastAsia" w:ascii="华文中宋" w:hAnsi="华文中宋" w:eastAsia="华文中宋" w:cs="华文中宋"/>
          <w:color w:val="auto"/>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068840FB">
      <w:pPr>
        <w:spacing w:line="540" w:lineRule="exact"/>
        <w:jc w:val="center"/>
        <w:rPr>
          <w:rFonts w:hint="eastAsia" w:ascii="华文中宋" w:hAnsi="华文中宋" w:eastAsia="华文中宋" w:cs="华文中宋"/>
          <w:bCs w:val="0"/>
          <w:caps/>
          <w:color w:val="auto"/>
          <w:sz w:val="52"/>
          <w:szCs w:val="52"/>
        </w:rPr>
      </w:pPr>
      <w:r>
        <w:rPr>
          <w:rFonts w:hint="eastAsia" w:ascii="华文中宋" w:hAnsi="华文中宋" w:eastAsia="华文中宋" w:cs="华文中宋"/>
          <w:b/>
          <w:bCs/>
          <w:color w:val="auto"/>
          <w:kern w:val="44"/>
          <w:sz w:val="44"/>
          <w:szCs w:val="44"/>
          <w:lang w:val="zh-CN"/>
        </w:rPr>
        <w:t>目    录</w:t>
      </w:r>
      <w:r>
        <w:rPr>
          <w:rFonts w:hint="eastAsia" w:ascii="华文中宋" w:hAnsi="华文中宋" w:eastAsia="华文中宋" w:cs="华文中宋"/>
          <w:color w:val="auto"/>
          <w:sz w:val="52"/>
          <w:szCs w:val="52"/>
        </w:rPr>
        <w:fldChar w:fldCharType="begin"/>
      </w:r>
      <w:r>
        <w:rPr>
          <w:rFonts w:hint="eastAsia" w:ascii="华文中宋" w:hAnsi="华文中宋" w:eastAsia="华文中宋" w:cs="华文中宋"/>
          <w:color w:val="auto"/>
          <w:sz w:val="52"/>
          <w:szCs w:val="52"/>
        </w:rPr>
        <w:instrText xml:space="preserve"> TOC \o "1-5" \h \z \u </w:instrText>
      </w:r>
      <w:r>
        <w:rPr>
          <w:rFonts w:hint="eastAsia" w:ascii="华文中宋" w:hAnsi="华文中宋" w:eastAsia="华文中宋" w:cs="华文中宋"/>
          <w:color w:val="auto"/>
          <w:sz w:val="52"/>
          <w:szCs w:val="52"/>
        </w:rPr>
        <w:fldChar w:fldCharType="separate"/>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HYPERLINK \l "_Toc375060690" </w:instrText>
      </w:r>
      <w:r>
        <w:rPr>
          <w:rFonts w:hint="eastAsia" w:ascii="华文中宋" w:hAnsi="华文中宋" w:eastAsia="华文中宋" w:cs="华文中宋"/>
          <w:color w:val="auto"/>
        </w:rPr>
        <w:fldChar w:fldCharType="separate"/>
      </w:r>
      <w:r>
        <w:rPr>
          <w:rFonts w:hint="eastAsia" w:ascii="华文中宋" w:hAnsi="华文中宋" w:eastAsia="华文中宋" w:cs="华文中宋"/>
          <w:color w:val="auto"/>
        </w:rPr>
        <w:fldChar w:fldCharType="end"/>
      </w:r>
    </w:p>
    <w:p w14:paraId="143091CD">
      <w:pPr>
        <w:pStyle w:val="18"/>
        <w:keepNext w:val="0"/>
        <w:keepLines w:val="0"/>
        <w:pageBreakBefore w:val="0"/>
        <w:tabs>
          <w:tab w:val="right" w:leader="dot" w:pos="8810"/>
        </w:tabs>
        <w:kinsoku/>
        <w:wordWrap/>
        <w:overflowPunct/>
        <w:topLinePunct w:val="0"/>
        <w:autoSpaceDE/>
        <w:autoSpaceDN/>
        <w:bidi w:val="0"/>
        <w:adjustRightInd/>
        <w:snapToGrid/>
        <w:spacing w:line="360" w:lineRule="auto"/>
        <w:ind w:left="105"/>
        <w:textAlignment w:val="auto"/>
        <w:rPr>
          <w:rFonts w:hint="eastAsia" w:ascii="华文中宋" w:hAnsi="华文中宋" w:eastAsia="华文中宋" w:cs="华文中宋"/>
          <w:b/>
          <w:i w:val="0"/>
          <w:iCs w:val="0"/>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"_Toc375060695"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b/>
          <w:i w:val="0"/>
          <w:color w:val="auto"/>
          <w:sz w:val="21"/>
          <w:szCs w:val="21"/>
        </w:rPr>
        <w:t>第一部分 合同协议</w:t>
      </w:r>
      <w:bookmarkStart w:id="87" w:name="_Hlt78989206"/>
      <w:r>
        <w:rPr>
          <w:rStyle w:val="34"/>
          <w:rFonts w:hint="eastAsia" w:ascii="华文中宋" w:hAnsi="华文中宋" w:eastAsia="华文中宋" w:cs="华文中宋"/>
          <w:b/>
          <w:i w:val="0"/>
          <w:color w:val="auto"/>
          <w:sz w:val="21"/>
          <w:szCs w:val="21"/>
        </w:rPr>
        <w:t>书</w:t>
      </w:r>
      <w:bookmarkEnd w:id="87"/>
      <w:r>
        <w:rPr>
          <w:rFonts w:hint="eastAsia" w:ascii="华文中宋" w:hAnsi="华文中宋" w:eastAsia="华文中宋" w:cs="华文中宋"/>
          <w:b/>
          <w:i w:val="0"/>
          <w:color w:val="auto"/>
          <w:sz w:val="21"/>
          <w:szCs w:val="21"/>
        </w:rPr>
        <w:tab/>
      </w:r>
      <w:r>
        <w:rPr>
          <w:rFonts w:hint="eastAsia" w:ascii="华文中宋" w:hAnsi="华文中宋" w:eastAsia="华文中宋" w:cs="华文中宋"/>
          <w:b/>
          <w:i w:val="0"/>
          <w:color w:val="auto"/>
          <w:sz w:val="21"/>
          <w:szCs w:val="21"/>
        </w:rPr>
        <w:fldChar w:fldCharType="begin"/>
      </w:r>
      <w:r>
        <w:rPr>
          <w:rFonts w:hint="eastAsia" w:ascii="华文中宋" w:hAnsi="华文中宋" w:eastAsia="华文中宋" w:cs="华文中宋"/>
          <w:b/>
          <w:i w:val="0"/>
          <w:color w:val="auto"/>
          <w:sz w:val="21"/>
          <w:szCs w:val="21"/>
        </w:rPr>
        <w:instrText xml:space="preserve"> PAGEREF _Toc375060695 \h </w:instrText>
      </w:r>
      <w:r>
        <w:rPr>
          <w:rFonts w:hint="eastAsia" w:ascii="华文中宋" w:hAnsi="华文中宋" w:eastAsia="华文中宋" w:cs="华文中宋"/>
          <w:b/>
          <w:i w:val="0"/>
          <w:color w:val="auto"/>
          <w:sz w:val="21"/>
          <w:szCs w:val="21"/>
        </w:rPr>
        <w:fldChar w:fldCharType="separate"/>
      </w:r>
      <w:r>
        <w:rPr>
          <w:rFonts w:hint="eastAsia" w:ascii="华文中宋" w:hAnsi="华文中宋" w:eastAsia="华文中宋" w:cs="华文中宋"/>
          <w:b/>
          <w:i w:val="0"/>
          <w:color w:val="auto"/>
          <w:sz w:val="21"/>
          <w:szCs w:val="21"/>
        </w:rPr>
        <w:t>44</w:t>
      </w:r>
      <w:r>
        <w:rPr>
          <w:rFonts w:hint="eastAsia" w:ascii="华文中宋" w:hAnsi="华文中宋" w:eastAsia="华文中宋" w:cs="华文中宋"/>
          <w:b/>
          <w:i w:val="0"/>
          <w:color w:val="auto"/>
          <w:sz w:val="21"/>
          <w:szCs w:val="21"/>
        </w:rPr>
        <w:fldChar w:fldCharType="end"/>
      </w:r>
      <w:r>
        <w:rPr>
          <w:rFonts w:hint="eastAsia" w:ascii="华文中宋" w:hAnsi="华文中宋" w:eastAsia="华文中宋" w:cs="华文中宋"/>
          <w:b/>
          <w:i w:val="0"/>
          <w:color w:val="auto"/>
          <w:sz w:val="21"/>
          <w:szCs w:val="21"/>
        </w:rPr>
        <w:fldChar w:fldCharType="end"/>
      </w:r>
    </w:p>
    <w:p w14:paraId="19E0AEB3">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"_Toc375060696"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一、工程概况</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_Toc375060696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4AAC71F">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"_Toc375060697"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二、合同工期</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_Toc375060697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65C6012">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"_Toc375060698"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三、质量标准</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_Toc375060698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6C20C9D">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"_Toc375060699"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四、签约合同价与合同价格形式</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_Toc375060699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6E1943B">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五、项目经理</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A0A361A">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六、合同文件构成</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54C8A84">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七、承诺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13A0556">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八、词语含义</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7448FE9">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九、签订时间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AF92C44">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十、签订地点</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AD4806B">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十一、补充协议</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53DFB8C">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十二、合同生效</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741D27A">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十三、合同份数</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_Toc375060708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91B2EDA">
      <w:pPr>
        <w:pStyle w:val="18"/>
        <w:keepNext w:val="0"/>
        <w:keepLines w:val="0"/>
        <w:pageBreakBefore w:val="0"/>
        <w:tabs>
          <w:tab w:val="right" w:leader="dot" w:pos="8810"/>
        </w:tabs>
        <w:kinsoku/>
        <w:wordWrap/>
        <w:overflowPunct/>
        <w:topLinePunct w:val="0"/>
        <w:autoSpaceDE/>
        <w:autoSpaceDN/>
        <w:bidi w:val="0"/>
        <w:adjustRightInd/>
        <w:snapToGrid/>
        <w:spacing w:line="360" w:lineRule="auto"/>
        <w:ind w:left="105"/>
        <w:textAlignment w:val="auto"/>
        <w:rPr>
          <w:rFonts w:hint="eastAsia" w:ascii="华文中宋" w:hAnsi="华文中宋" w:eastAsia="华文中宋" w:cs="华文中宋"/>
          <w:b/>
          <w:i w:val="0"/>
          <w:iCs w:val="0"/>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"_Toc375060709"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b/>
          <w:i w:val="0"/>
          <w:color w:val="auto"/>
          <w:sz w:val="21"/>
          <w:szCs w:val="21"/>
        </w:rPr>
        <w:t>第二部分 通用合同条款</w:t>
      </w:r>
      <w:r>
        <w:rPr>
          <w:rFonts w:hint="eastAsia" w:ascii="华文中宋" w:hAnsi="华文中宋" w:eastAsia="华文中宋" w:cs="华文中宋"/>
          <w:b/>
          <w:i w:val="0"/>
          <w:color w:val="auto"/>
          <w:sz w:val="21"/>
          <w:szCs w:val="21"/>
        </w:rPr>
        <w:tab/>
      </w:r>
      <w:r>
        <w:rPr>
          <w:rFonts w:hint="eastAsia" w:ascii="华文中宋" w:hAnsi="华文中宋" w:eastAsia="华文中宋" w:cs="华文中宋"/>
          <w:b/>
          <w:i w:val="0"/>
          <w:color w:val="auto"/>
          <w:sz w:val="21"/>
          <w:szCs w:val="21"/>
        </w:rPr>
        <w:fldChar w:fldCharType="begin"/>
      </w:r>
      <w:r>
        <w:rPr>
          <w:rFonts w:hint="eastAsia" w:ascii="华文中宋" w:hAnsi="华文中宋" w:eastAsia="华文中宋" w:cs="华文中宋"/>
          <w:b/>
          <w:i w:val="0"/>
          <w:color w:val="auto"/>
          <w:sz w:val="21"/>
          <w:szCs w:val="21"/>
        </w:rPr>
        <w:instrText xml:space="preserve"> PAGEREF _Toc375060709 \h </w:instrText>
      </w:r>
      <w:r>
        <w:rPr>
          <w:rFonts w:hint="eastAsia" w:ascii="华文中宋" w:hAnsi="华文中宋" w:eastAsia="华文中宋" w:cs="华文中宋"/>
          <w:b/>
          <w:i w:val="0"/>
          <w:color w:val="auto"/>
          <w:sz w:val="21"/>
          <w:szCs w:val="21"/>
        </w:rPr>
        <w:fldChar w:fldCharType="separate"/>
      </w:r>
      <w:r>
        <w:rPr>
          <w:rFonts w:hint="eastAsia" w:ascii="华文中宋" w:hAnsi="华文中宋" w:eastAsia="华文中宋" w:cs="华文中宋"/>
          <w:b/>
          <w:i w:val="0"/>
          <w:color w:val="auto"/>
          <w:sz w:val="21"/>
          <w:szCs w:val="21"/>
        </w:rPr>
        <w:t>48</w:t>
      </w:r>
      <w:r>
        <w:rPr>
          <w:rFonts w:hint="eastAsia" w:ascii="华文中宋" w:hAnsi="华文中宋" w:eastAsia="华文中宋" w:cs="华文中宋"/>
          <w:b/>
          <w:i w:val="0"/>
          <w:color w:val="auto"/>
          <w:sz w:val="21"/>
          <w:szCs w:val="21"/>
        </w:rPr>
        <w:fldChar w:fldCharType="end"/>
      </w:r>
      <w:r>
        <w:rPr>
          <w:rFonts w:hint="eastAsia" w:ascii="华文中宋" w:hAnsi="华文中宋" w:eastAsia="华文中宋" w:cs="华文中宋"/>
          <w:b/>
          <w:i w:val="0"/>
          <w:color w:val="auto"/>
          <w:sz w:val="21"/>
          <w:szCs w:val="21"/>
        </w:rPr>
        <w:fldChar w:fldCharType="end"/>
      </w:r>
    </w:p>
    <w:p w14:paraId="29EB54B1">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105" w:firstLineChars="5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 一般约定</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91436E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1.1词语定义与解释</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48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B08BF3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1.2语言文字</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5520CD5">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1.3法律</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D4831E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1.4 标准和规范</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37808B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1.5 合同文件的优先顺序</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67641D4">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1.6图纸和承包人文件</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1280EA7">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1.7联络</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40F108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1.8严禁贿赂</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BE31FB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"_Toc375060719"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1.9化石、文物</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_Toc375060719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2EAB8BA">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1.10交通运输</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85247F5">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1.11知识产权</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1BEE20D">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1.12保密</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545B325">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1.13工程量清单错误的修正</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B706CA3">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 发包人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A302A7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2.1 许可或批准</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DD10476">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2.2 发包人代表</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D95749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2.3 发包人人员</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81445B0">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2.4 施工现场、施工条件和基础资料的提供</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E353E61">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"_Toc375060729"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2.5 资金来源证明及支付担保</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_Toc375060729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AB8ACDC">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2.6 支付合同价款</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EF221E5">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2.7 组织竣工验收</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B0A06A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2.8 现场统一管理协议</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639D87A">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 承包人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93ECE6D">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3.1 承包人的一般义务</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59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59B24B3">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3.2 项目经理</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9F229B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3.3 承包人人员</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95C886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3.4 承包人现场查勘</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7BD19CE">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3.5 分包</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2038900">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"_Toc375060739"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3.6 工程照管与成品、半成品保护</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_Toc375060739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E589318">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3.7 履约担保</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5749B83">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3.8 联合体</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E746D66">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4. 监理人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7005AB6">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4.1监理人的一般规定</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C475FE0">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4.2监理人员</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5E0CD2D">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4.3监理人的指示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2502B38">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315" w:firstLineChars="15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4.4 商定或确定</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5255097">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5. 工程质量</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9C09E48">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5.1质量要求</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39D6683">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"_Toc375060749"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5.2质量保证措施</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_Toc375060749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7A4D461">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"_Toc375060752"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5.3 隐蔽工程检查</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_Toc375060752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98CBB97">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"_Toc375060753"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5.4不合格工程的处理</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_Toc375060753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9C40B37">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"_Toc375060754"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5.5 质量争议检测</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_Toc375060754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B66333E">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"_Toc375060755"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6. 安全文明施工与环境保护</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_Toc375060755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F59675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"_Toc375060756"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6.1安全文明施工</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_Toc375060756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68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54B1A93">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"_Toc375060757"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6.2 职业健康</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_Toc375060757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CAD2E9E">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"_Toc375060758"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6.3 环境保护</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_Toc375060758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6241652">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"_Toc375060759"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 工期和进度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_Toc375060759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86C4BB0">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7.1施工组织设计</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2FF4EE5">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7.2 施工进度计划</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89A3CE4">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7.3 开工</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41D0F5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7.4测量放线</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22693D7">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7.5 工期延误</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E55CB71">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7.6 不利物质条件</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16DD1F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7.7 异常恶劣的气候条件</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6D53A6D">
      <w:pPr>
        <w:pStyle w:val="22"/>
        <w:keepNext w:val="0"/>
        <w:keepLines w:val="0"/>
        <w:pageBreakBefore w:val="0"/>
        <w:tabs>
          <w:tab w:val="right" w:leader="dot" w:pos="8810"/>
        </w:tabs>
        <w:kinsoku/>
        <w:wordWrap/>
        <w:overflowPunct/>
        <w:topLinePunct w:val="0"/>
        <w:autoSpaceDE/>
        <w:autoSpaceDN/>
        <w:bidi w:val="0"/>
        <w:adjustRightInd/>
        <w:snapToGrid/>
        <w:spacing w:before="0" w:after="0" w:line="360" w:lineRule="auto"/>
        <w:ind w:firstLine="840" w:firstLineChars="400"/>
        <w:textAlignment w:val="auto"/>
        <w:rPr>
          <w:rFonts w:hint="eastAsia" w:ascii="华文中宋" w:hAnsi="华文中宋" w:eastAsia="华文中宋" w:cs="华文中宋"/>
          <w:b w:val="0"/>
          <w:bCs w:val="0"/>
          <w:caps w:val="0"/>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b w:val="0"/>
          <w:color w:val="auto"/>
          <w:sz w:val="21"/>
          <w:szCs w:val="21"/>
        </w:rPr>
        <w:t>7.8 暂停施工</w:t>
      </w:r>
      <w:r>
        <w:rPr>
          <w:rFonts w:hint="eastAsia" w:ascii="华文中宋" w:hAnsi="华文中宋" w:eastAsia="华文中宋" w:cs="华文中宋"/>
          <w:b w:val="0"/>
          <w:color w:val="auto"/>
          <w:sz w:val="21"/>
          <w:szCs w:val="21"/>
        </w:rPr>
        <w:tab/>
      </w:r>
      <w:r>
        <w:rPr>
          <w:rFonts w:hint="eastAsia" w:ascii="华文中宋" w:hAnsi="华文中宋" w:eastAsia="华文中宋" w:cs="华文中宋"/>
          <w:b w:val="0"/>
          <w:color w:val="auto"/>
          <w:sz w:val="21"/>
          <w:szCs w:val="21"/>
        </w:rPr>
        <w:fldChar w:fldCharType="begin"/>
      </w:r>
      <w:r>
        <w:rPr>
          <w:rFonts w:hint="eastAsia" w:ascii="华文中宋" w:hAnsi="华文中宋" w:eastAsia="华文中宋" w:cs="华文中宋"/>
          <w:b w:val="0"/>
          <w:color w:val="auto"/>
          <w:sz w:val="21"/>
          <w:szCs w:val="21"/>
        </w:rPr>
        <w:instrText xml:space="preserve"> PAGEREF _Toc375060767 \h </w:instrText>
      </w:r>
      <w:r>
        <w:rPr>
          <w:rFonts w:hint="eastAsia" w:ascii="华文中宋" w:hAnsi="华文中宋" w:eastAsia="华文中宋" w:cs="华文中宋"/>
          <w:b w:val="0"/>
          <w:color w:val="auto"/>
          <w:sz w:val="21"/>
          <w:szCs w:val="21"/>
        </w:rPr>
        <w:fldChar w:fldCharType="separate"/>
      </w:r>
      <w:r>
        <w:rPr>
          <w:rFonts w:hint="eastAsia" w:ascii="华文中宋" w:hAnsi="华文中宋" w:eastAsia="华文中宋" w:cs="华文中宋"/>
          <w:b w:val="0"/>
          <w:color w:val="auto"/>
          <w:sz w:val="21"/>
          <w:szCs w:val="21"/>
        </w:rPr>
        <w:t>75</w:t>
      </w:r>
      <w:r>
        <w:rPr>
          <w:rFonts w:hint="eastAsia" w:ascii="华文中宋" w:hAnsi="华文中宋" w:eastAsia="华文中宋" w:cs="华文中宋"/>
          <w:b w:val="0"/>
          <w:color w:val="auto"/>
          <w:sz w:val="21"/>
          <w:szCs w:val="21"/>
        </w:rPr>
        <w:fldChar w:fldCharType="end"/>
      </w:r>
      <w:r>
        <w:rPr>
          <w:rFonts w:hint="eastAsia" w:ascii="华文中宋" w:hAnsi="华文中宋" w:eastAsia="华文中宋" w:cs="华文中宋"/>
          <w:b w:val="0"/>
          <w:color w:val="auto"/>
          <w:sz w:val="21"/>
          <w:szCs w:val="21"/>
        </w:rPr>
        <w:fldChar w:fldCharType="end"/>
      </w:r>
    </w:p>
    <w:p w14:paraId="46EA02E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7.9提前竣工</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F8CF9E3">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"_Toc375060769"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 材料与设备</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_Toc375060769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E24C8A8">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8.1发包人供应材料与工程设备</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62B42C0">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8.2承包人采购材料与工程设备</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FAA3243">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8.3材料与工程设备的接收与拒收</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5C903E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8.4材料与工程设备的保管与使用</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F917EE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8.5禁止使用不合格的材料和工程设备</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5358BE3">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8.6 样品</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AADD33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8.7材料与工程设备的替代</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79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D11199D">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8.8施工设备和临时设施</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BC64DE5">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"_Toc375060779"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8.9材料与设备专用要求</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_Toc375060779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0E0A23C">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9. 试验与检验</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C725C84">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9.1试验设备与试验人员</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9DF7755">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9.2取样</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082B65D">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9.3材料、工程设备和工程的试验和检验</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DCF05DC">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9.4现场工艺试验</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6F72627">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 变更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21BAF2D">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10.1变更的范围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18AC8B4">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10.2变更权</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37B461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10.3变更程序</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115AE58">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"_Toc375060789"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10.4变更估价</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_Toc375060789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B9C5F47">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10.5承包人的合理化建议</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433C6C7">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10.6变更引起的工期调整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B12ACDB">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10.7暂估价</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FDB0C6D">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10.8暂列金额</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1344C56">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10.9计日工</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E491C16">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 价格调整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58AAC4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11.1市场价格波动引起的调整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AAF1270">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11.2法律变化引起的调整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1ECC600">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12. 合同价格、计量与支付</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21334CD">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"_Toc375060799"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12.1 合同价格形式</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_Toc375060799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89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A97FA5C">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12.2预付款</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F5E62A3">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12.3计量</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BDA05C4">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12.4工程进度款支付</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E6F5225">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12.5支付账户</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9F93E47">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 验收和工程试车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D3FC8A7">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13.1分部分项工程验收</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39601D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13.2竣工验收</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C7505C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13.3工程试车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2306E1A">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13.4提前交付单位工程的验收</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BF3B67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"_Toc375060809"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13.5 施工期运行</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_Toc375060809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04565E8">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13.6 竣工退场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84712D1">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14. 竣工结算</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7B1C93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14.1 竣工结算申请</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99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F1A490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14.2 竣工结算审核</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1325EA4">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14.3 甩项竣工协议</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CC2F15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14.4 最终结清</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AF4ACE0">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15. 缺陷责任与保修</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7CAB05A">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15.1 工程保修的原则</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21ACB56">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15.2 缺陷责任期</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2BDC2BA">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"_Toc375060819"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15.3 质量保证金</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_Toc375060819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F307BEC">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15.4 保修</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1812A8A">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16. 违约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603B08F">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16.1 发包人违约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E2B4D0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16.2 承包人违约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106</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C53018A">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16.3 第三人造成的违约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0924F47">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17. 不可抗力</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1AD8E2E">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17.1 不可抗力的确认</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2D7635C">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17.2 不可抗力的通知</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0254340">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17.3 不可抗力后果的承担</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0B56EBE">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"_Toc375060829"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17.4 因不可抗力解除合同</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_Toc375060829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109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5E9FB99">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 保险</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828CF53">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18.1 工程保险</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BC98E7C">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18.2 工伤保险</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9824B57">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18.3其他保险</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AA5160F">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18.4持续保险</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D2275D4">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18.5 保险凭证</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D314CF1">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18.6 未按约定投保的补救</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A95ACA8">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18.7 通知义务</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9D4E493">
      <w:pPr>
        <w:pStyle w:val="23"/>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19. 索赔</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91A9B61">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"_Toc375060839"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19.1承包人的索赔</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_Toc375060839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4980AB2">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19.2 对承包人索赔的处理</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C22A5E1">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19.3发包人的索赔</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149CA8A">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19.4 对发包人索赔的处理</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112</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410C694">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19.5 提出索赔的期限</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7D226E9">
      <w:pPr>
        <w:pStyle w:val="17"/>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20.争议解决</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1EFF6CC">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20.1和解</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007545A">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20.2调解</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5B6F55C">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20.3争议评审</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C7F7B49">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20.4仲裁或诉讼</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CCAB9D1">
      <w:pPr>
        <w:pStyle w:val="17"/>
        <w:keepNext w:val="0"/>
        <w:keepLines w:val="0"/>
        <w:pageBreakBefore w:val="0"/>
        <w:tabs>
          <w:tab w:val="right" w:leader="dot" w:pos="8810"/>
        </w:tabs>
        <w:kinsoku/>
        <w:wordWrap/>
        <w:overflowPunct/>
        <w:topLinePunct w:val="0"/>
        <w:autoSpaceDE/>
        <w:autoSpaceDN/>
        <w:bidi w:val="0"/>
        <w:adjustRightInd/>
        <w:snapToGrid/>
        <w:spacing w:line="360" w:lineRule="auto"/>
        <w:ind w:leftChars="4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"_Toc375060849"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20.5争议解决条款效力</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_Toc375060849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CE8C160">
      <w:pPr>
        <w:pStyle w:val="18"/>
        <w:keepNext w:val="0"/>
        <w:keepLines w:val="0"/>
        <w:pageBreakBefore w:val="0"/>
        <w:tabs>
          <w:tab w:val="right" w:leader="dot" w:pos="8810"/>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i w:val="0"/>
          <w:iCs w:val="0"/>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"_Toc375060850"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b/>
          <w:i w:val="0"/>
          <w:color w:val="auto"/>
          <w:sz w:val="21"/>
          <w:szCs w:val="21"/>
        </w:rPr>
        <w:t>第三部分 专用合同条款</w:t>
      </w:r>
      <w:r>
        <w:rPr>
          <w:rFonts w:hint="eastAsia" w:ascii="华文中宋" w:hAnsi="华文中宋" w:eastAsia="华文中宋" w:cs="华文中宋"/>
          <w:b/>
          <w:i w:val="0"/>
          <w:color w:val="auto"/>
          <w:sz w:val="21"/>
          <w:szCs w:val="21"/>
        </w:rPr>
        <w:tab/>
      </w:r>
      <w:r>
        <w:rPr>
          <w:rFonts w:hint="eastAsia" w:ascii="华文中宋" w:hAnsi="华文中宋" w:eastAsia="华文中宋" w:cs="华文中宋"/>
          <w:b/>
          <w:i w:val="0"/>
          <w:color w:val="auto"/>
          <w:sz w:val="21"/>
          <w:szCs w:val="21"/>
        </w:rPr>
        <w:fldChar w:fldCharType="begin"/>
      </w:r>
      <w:r>
        <w:rPr>
          <w:rFonts w:hint="eastAsia" w:ascii="华文中宋" w:hAnsi="华文中宋" w:eastAsia="华文中宋" w:cs="华文中宋"/>
          <w:b/>
          <w:i w:val="0"/>
          <w:color w:val="auto"/>
          <w:sz w:val="21"/>
          <w:szCs w:val="21"/>
        </w:rPr>
        <w:instrText xml:space="preserve"> PAGEREF _Toc375060850 \h </w:instrText>
      </w:r>
      <w:r>
        <w:rPr>
          <w:rFonts w:hint="eastAsia" w:ascii="华文中宋" w:hAnsi="华文中宋" w:eastAsia="华文中宋" w:cs="华文中宋"/>
          <w:b/>
          <w:i w:val="0"/>
          <w:color w:val="auto"/>
          <w:sz w:val="21"/>
          <w:szCs w:val="21"/>
        </w:rPr>
        <w:fldChar w:fldCharType="separate"/>
      </w:r>
      <w:r>
        <w:rPr>
          <w:rFonts w:hint="eastAsia" w:ascii="华文中宋" w:hAnsi="华文中宋" w:eastAsia="华文中宋" w:cs="华文中宋"/>
          <w:b/>
          <w:i w:val="0"/>
          <w:color w:val="auto"/>
          <w:sz w:val="21"/>
          <w:szCs w:val="21"/>
        </w:rPr>
        <w:t>115</w:t>
      </w:r>
      <w:r>
        <w:rPr>
          <w:rFonts w:hint="eastAsia" w:ascii="华文中宋" w:hAnsi="华文中宋" w:eastAsia="华文中宋" w:cs="华文中宋"/>
          <w:b/>
          <w:i w:val="0"/>
          <w:color w:val="auto"/>
          <w:sz w:val="21"/>
          <w:szCs w:val="21"/>
        </w:rPr>
        <w:fldChar w:fldCharType="end"/>
      </w:r>
      <w:r>
        <w:rPr>
          <w:rFonts w:hint="eastAsia" w:ascii="华文中宋" w:hAnsi="华文中宋" w:eastAsia="华文中宋" w:cs="华文中宋"/>
          <w:b/>
          <w:i w:val="0"/>
          <w:color w:val="auto"/>
          <w:sz w:val="21"/>
          <w:szCs w:val="21"/>
        </w:rPr>
        <w:fldChar w:fldCharType="end"/>
      </w:r>
    </w:p>
    <w:p w14:paraId="1EBD17A5">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"_Toc375060851"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 一般约定</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_Toc375060851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E5F1031">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"_Toc375060854"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 发包人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_Toc375060854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48673059">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"_Toc375060855"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3. 承包人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_Toc375060855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118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E8A0B45">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"_Toc375060856"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4. 监理人</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_Toc375060856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120</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0E178E58">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"_Toc375060857"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5. 工程质量</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_Toc375060857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C0EB724">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"_Toc375060858"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6. 安全文明施工与环境保护</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_Toc375060858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1E681BE">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"_Toc375060859"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7. 工期和进度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_Toc375060859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C743450">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"_Toc375060861"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8. 材料与设备</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_Toc375060861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7B1230F">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"_Toc375060862"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9. 试验与检验</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_Toc375060862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1ABBB27">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"_Toc375060863"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10. 变更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_Toc375060863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123</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65A49846">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"_Toc375060864"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11. 价格调整</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_Toc375060864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124</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CC2EF70">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"_Toc375060865"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12. 合同价格、计量与支付</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_Toc375060865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125</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8C0C904">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"_Toc375060866"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13. 验收和工程试车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_Toc375060866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127</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7BEB4BF">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"_Toc375060868"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14. 竣工结算</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_Toc375060868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128</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52D0C69E">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"_Toc375060869"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15. 缺陷责任期与保修</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_Toc375060869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168F6F98">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"_Toc375060870"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16. 违约</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_Toc375060870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129</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7D1A3A81">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"_Toc375060871"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17. 不可抗力</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_Toc375060871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131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AA73987">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"_Toc375060872"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18. 保险</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_Toc375060872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131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3ECCE080">
      <w:pPr>
        <w:pStyle w:val="23"/>
        <w:keepNext w:val="0"/>
        <w:keepLines w:val="0"/>
        <w:pageBreakBefore w:val="0"/>
        <w:tabs>
          <w:tab w:val="right" w:leader="dot" w:pos="8810"/>
        </w:tabs>
        <w:kinsoku/>
        <w:wordWrap/>
        <w:overflowPunct/>
        <w:topLinePunct w:val="0"/>
        <w:autoSpaceDE/>
        <w:autoSpaceDN/>
        <w:bidi w:val="0"/>
        <w:adjustRightInd/>
        <w:snapToGrid/>
        <w:spacing w:line="360" w:lineRule="auto"/>
        <w:ind w:leftChars="300"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"_Toc375060874"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color w:val="auto"/>
          <w:sz w:val="21"/>
          <w:szCs w:val="21"/>
        </w:rPr>
        <w:t>20. 争议解决</w:t>
      </w:r>
      <w:r>
        <w:rPr>
          <w:rFonts w:hint="eastAsia" w:ascii="华文中宋" w:hAnsi="华文中宋" w:eastAsia="华文中宋" w:cs="华文中宋"/>
          <w:color w:val="auto"/>
          <w:sz w:val="21"/>
          <w:szCs w:val="21"/>
        </w:rPr>
        <w:tab/>
      </w: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PAGEREF _Toc375060874 \h </w:instrText>
      </w:r>
      <w:r>
        <w:rPr>
          <w:rFonts w:hint="eastAsia" w:ascii="华文中宋" w:hAnsi="华文中宋" w:eastAsia="华文中宋" w:cs="华文中宋"/>
          <w:color w:val="auto"/>
          <w:sz w:val="21"/>
          <w:szCs w:val="21"/>
        </w:rPr>
        <w:fldChar w:fldCharType="separate"/>
      </w:r>
      <w:r>
        <w:rPr>
          <w:rFonts w:hint="eastAsia" w:ascii="华文中宋" w:hAnsi="华文中宋" w:eastAsia="华文中宋" w:cs="华文中宋"/>
          <w:color w:val="auto"/>
          <w:sz w:val="21"/>
          <w:szCs w:val="21"/>
        </w:rPr>
        <w:t>131</w:t>
      </w:r>
      <w:r>
        <w:rPr>
          <w:rFonts w:hint="eastAsia" w:ascii="华文中宋" w:hAnsi="华文中宋" w:eastAsia="华文中宋" w:cs="华文中宋"/>
          <w:color w:val="auto"/>
          <w:sz w:val="21"/>
          <w:szCs w:val="21"/>
        </w:rPr>
        <w:fldChar w:fldCharType="end"/>
      </w:r>
      <w:r>
        <w:rPr>
          <w:rFonts w:hint="eastAsia" w:ascii="华文中宋" w:hAnsi="华文中宋" w:eastAsia="华文中宋" w:cs="华文中宋"/>
          <w:color w:val="auto"/>
          <w:sz w:val="21"/>
          <w:szCs w:val="21"/>
        </w:rPr>
        <w:fldChar w:fldCharType="end"/>
      </w:r>
    </w:p>
    <w:p w14:paraId="2505B747">
      <w:pPr>
        <w:pStyle w:val="22"/>
        <w:keepNext w:val="0"/>
        <w:keepLines w:val="0"/>
        <w:pageBreakBefore w:val="0"/>
        <w:tabs>
          <w:tab w:val="right" w:leader="dot" w:pos="8810"/>
        </w:tabs>
        <w:kinsoku/>
        <w:wordWrap/>
        <w:overflowPunct/>
        <w:topLinePunct w:val="0"/>
        <w:autoSpaceDE/>
        <w:autoSpaceDN/>
        <w:bidi w:val="0"/>
        <w:adjustRightInd/>
        <w:snapToGrid/>
        <w:spacing w:before="0" w:after="0" w:line="360" w:lineRule="auto"/>
        <w:ind w:firstLine="630" w:firstLineChars="300"/>
        <w:textAlignment w:val="auto"/>
        <w:rPr>
          <w:rFonts w:hint="eastAsia" w:ascii="华文中宋" w:hAnsi="华文中宋" w:eastAsia="华文中宋" w:cs="华文中宋"/>
          <w:b w:val="0"/>
          <w:bCs w:val="0"/>
          <w:caps w:val="0"/>
          <w:color w:val="auto"/>
          <w:sz w:val="21"/>
          <w:szCs w:val="21"/>
        </w:rPr>
      </w:pPr>
      <w:r>
        <w:rPr>
          <w:rFonts w:hint="eastAsia" w:ascii="华文中宋" w:hAnsi="华文中宋" w:eastAsia="华文中宋" w:cs="华文中宋"/>
          <w:color w:val="auto"/>
          <w:sz w:val="21"/>
          <w:szCs w:val="21"/>
        </w:rPr>
        <w:fldChar w:fldCharType="begin"/>
      </w:r>
      <w:r>
        <w:rPr>
          <w:rFonts w:hint="eastAsia" w:ascii="华文中宋" w:hAnsi="华文中宋" w:eastAsia="华文中宋" w:cs="华文中宋"/>
          <w:color w:val="auto"/>
          <w:sz w:val="21"/>
          <w:szCs w:val="21"/>
        </w:rPr>
        <w:instrText xml:space="preserve"> HYPERLINK \l "_Toc375060875" </w:instrText>
      </w:r>
      <w:r>
        <w:rPr>
          <w:rFonts w:hint="eastAsia" w:ascii="华文中宋" w:hAnsi="华文中宋" w:eastAsia="华文中宋" w:cs="华文中宋"/>
          <w:color w:val="auto"/>
          <w:sz w:val="21"/>
          <w:szCs w:val="21"/>
        </w:rPr>
        <w:fldChar w:fldCharType="separate"/>
      </w:r>
      <w:r>
        <w:rPr>
          <w:rStyle w:val="34"/>
          <w:rFonts w:hint="eastAsia" w:ascii="华文中宋" w:hAnsi="华文中宋" w:eastAsia="华文中宋" w:cs="华文中宋"/>
          <w:b w:val="0"/>
          <w:color w:val="auto"/>
          <w:sz w:val="21"/>
          <w:szCs w:val="21"/>
        </w:rPr>
        <w:t>附件</w:t>
      </w:r>
      <w:r>
        <w:rPr>
          <w:rFonts w:hint="eastAsia" w:ascii="华文中宋" w:hAnsi="华文中宋" w:eastAsia="华文中宋" w:cs="华文中宋"/>
          <w:b w:val="0"/>
          <w:color w:val="auto"/>
          <w:sz w:val="21"/>
          <w:szCs w:val="21"/>
        </w:rPr>
        <w:tab/>
      </w:r>
      <w:r>
        <w:rPr>
          <w:rFonts w:hint="eastAsia" w:ascii="华文中宋" w:hAnsi="华文中宋" w:eastAsia="华文中宋" w:cs="华文中宋"/>
          <w:b w:val="0"/>
          <w:color w:val="auto"/>
          <w:sz w:val="21"/>
          <w:szCs w:val="21"/>
        </w:rPr>
        <w:t>94</w:t>
      </w:r>
      <w:r>
        <w:rPr>
          <w:rFonts w:hint="eastAsia" w:ascii="华文中宋" w:hAnsi="华文中宋" w:eastAsia="华文中宋" w:cs="华文中宋"/>
          <w:b w:val="0"/>
          <w:color w:val="auto"/>
          <w:sz w:val="21"/>
          <w:szCs w:val="21"/>
        </w:rPr>
        <w:fldChar w:fldCharType="end"/>
      </w:r>
    </w:p>
    <w:p w14:paraId="7CAB89E0">
      <w:pPr>
        <w:pStyle w:val="4"/>
        <w:spacing w:line="576" w:lineRule="auto"/>
        <w:jc w:val="center"/>
        <w:rPr>
          <w:rFonts w:hint="eastAsia" w:ascii="华文中宋" w:hAnsi="华文中宋" w:eastAsia="华文中宋" w:cs="华文中宋"/>
          <w:color w:val="auto"/>
          <w:sz w:val="28"/>
          <w:szCs w:val="28"/>
        </w:rPr>
        <w:sectPr>
          <w:pgSz w:w="11906" w:h="16838"/>
          <w:pgMar w:top="1418" w:right="1555" w:bottom="1418" w:left="1531" w:header="851" w:footer="992" w:gutter="0"/>
          <w:pgNumType w:fmt="decimal"/>
          <w:cols w:space="720" w:num="1"/>
          <w:titlePg/>
          <w:docGrid w:linePitch="312" w:charSpace="0"/>
        </w:sectPr>
      </w:pPr>
      <w:r>
        <w:rPr>
          <w:rFonts w:hint="eastAsia" w:ascii="华文中宋" w:hAnsi="华文中宋" w:eastAsia="华文中宋" w:cs="华文中宋"/>
          <w:b w:val="0"/>
          <w:color w:val="auto"/>
          <w:sz w:val="28"/>
          <w:szCs w:val="28"/>
        </w:rPr>
        <w:fldChar w:fldCharType="end"/>
      </w:r>
    </w:p>
    <w:p w14:paraId="5A9D79A0">
      <w:pPr>
        <w:pStyle w:val="4"/>
        <w:pageBreakBefore w:val="0"/>
        <w:kinsoku/>
        <w:wordWrap/>
        <w:overflowPunct/>
        <w:topLinePunct w:val="0"/>
        <w:bidi w:val="0"/>
        <w:snapToGrid/>
        <w:spacing w:before="0" w:after="0" w:line="360" w:lineRule="auto"/>
        <w:jc w:val="center"/>
        <w:rPr>
          <w:rFonts w:hint="eastAsia" w:ascii="华文中宋" w:hAnsi="华文中宋" w:eastAsia="华文中宋" w:cs="华文中宋"/>
          <w:b w:val="0"/>
          <w:color w:val="auto"/>
          <w:sz w:val="24"/>
          <w:szCs w:val="24"/>
        </w:rPr>
      </w:pPr>
      <w:bookmarkStart w:id="88" w:name="_Toc375060695"/>
      <w:bookmarkStart w:id="89" w:name="_Toc16695"/>
      <w:bookmarkStart w:id="90" w:name="_Toc375060644"/>
      <w:bookmarkStart w:id="91" w:name="_Toc1656"/>
      <w:r>
        <w:rPr>
          <w:rFonts w:hint="eastAsia" w:ascii="华文中宋" w:hAnsi="华文中宋" w:eastAsia="华文中宋" w:cs="华文中宋"/>
          <w:b w:val="0"/>
          <w:color w:val="auto"/>
          <w:sz w:val="24"/>
          <w:szCs w:val="24"/>
        </w:rPr>
        <w:t>第一部分 合同协议书</w:t>
      </w:r>
      <w:bookmarkEnd w:id="65"/>
      <w:bookmarkEnd w:id="66"/>
      <w:bookmarkEnd w:id="88"/>
      <w:bookmarkEnd w:id="89"/>
      <w:bookmarkEnd w:id="90"/>
      <w:bookmarkEnd w:id="91"/>
    </w:p>
    <w:p w14:paraId="5CA5B330">
      <w:pPr>
        <w:pageBreakBefore w:val="0"/>
        <w:kinsoku/>
        <w:wordWrap/>
        <w:overflowPunct/>
        <w:topLinePunct w:val="0"/>
        <w:bidi w:val="0"/>
        <w:snapToGrid/>
        <w:spacing w:line="360" w:lineRule="auto"/>
        <w:ind w:firstLine="470" w:firstLineChars="196"/>
        <w:rPr>
          <w:rFonts w:hint="eastAsia" w:ascii="华文中宋" w:hAnsi="华文中宋" w:eastAsia="华文中宋" w:cs="华文中宋"/>
          <w:b/>
          <w:color w:val="auto"/>
          <w:sz w:val="24"/>
          <w:szCs w:val="24"/>
          <w:u w:val="single"/>
          <w:lang w:val="en-US" w:eastAsia="zh-CN"/>
        </w:rPr>
      </w:pPr>
      <w:r>
        <w:rPr>
          <w:rFonts w:hint="eastAsia" w:ascii="华文中宋" w:hAnsi="华文中宋" w:eastAsia="华文中宋" w:cs="华文中宋"/>
          <w:color w:val="auto"/>
          <w:sz w:val="24"/>
          <w:szCs w:val="24"/>
        </w:rPr>
        <w:t>发包人（全称）：</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p>
    <w:p w14:paraId="0E7DD04D">
      <w:pPr>
        <w:pageBreakBefore w:val="0"/>
        <w:kinsoku/>
        <w:wordWrap/>
        <w:overflowPunct/>
        <w:topLinePunct w:val="0"/>
        <w:bidi w:val="0"/>
        <w:snapToGrid/>
        <w:spacing w:line="360" w:lineRule="auto"/>
        <w:ind w:firstLine="470" w:firstLineChars="196"/>
        <w:rPr>
          <w:rFonts w:hint="eastAsia" w:ascii="华文中宋" w:hAnsi="华文中宋" w:eastAsia="华文中宋" w:cs="华文中宋"/>
          <w:bCs/>
          <w:color w:val="auto"/>
          <w:sz w:val="24"/>
          <w:szCs w:val="24"/>
          <w:u w:val="single"/>
          <w:lang w:val="en-US" w:eastAsia="zh-CN"/>
        </w:rPr>
      </w:pPr>
      <w:r>
        <w:rPr>
          <w:rFonts w:hint="eastAsia" w:ascii="华文中宋" w:hAnsi="华文中宋" w:eastAsia="华文中宋" w:cs="华文中宋"/>
          <w:color w:val="auto"/>
          <w:sz w:val="24"/>
          <w:szCs w:val="24"/>
        </w:rPr>
        <w:t>承包人（全称）：</w:t>
      </w:r>
      <w:r>
        <w:rPr>
          <w:rFonts w:hint="eastAsia" w:ascii="华文中宋" w:hAnsi="华文中宋" w:eastAsia="华文中宋" w:cs="华文中宋"/>
          <w:bCs/>
          <w:color w:val="auto"/>
          <w:sz w:val="24"/>
          <w:szCs w:val="24"/>
          <w:u w:val="single"/>
        </w:rPr>
        <w:t xml:space="preserve">     </w:t>
      </w:r>
      <w:r>
        <w:rPr>
          <w:rFonts w:hint="eastAsia" w:ascii="华文中宋" w:hAnsi="华文中宋" w:eastAsia="华文中宋" w:cs="华文中宋"/>
          <w:bCs/>
          <w:color w:val="auto"/>
          <w:sz w:val="24"/>
          <w:szCs w:val="24"/>
          <w:u w:val="single"/>
          <w:lang w:val="en-US" w:eastAsia="zh-CN"/>
        </w:rPr>
        <w:t xml:space="preserve">                            </w:t>
      </w:r>
    </w:p>
    <w:p w14:paraId="1B2E8B0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根据《中华人民共和国民法典》、《中华人民共和国建筑法》及有关法律规定，遵循平等、自愿、公平和诚实信用的原则，双方就</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施工及有关事项协商一致，共同达成如下协议：</w:t>
      </w:r>
    </w:p>
    <w:p w14:paraId="0A8CEAE1">
      <w:pPr>
        <w:pStyle w:val="5"/>
        <w:pageBreakBefore w:val="0"/>
        <w:kinsoku/>
        <w:wordWrap/>
        <w:overflowPunct/>
        <w:topLinePunct w:val="0"/>
        <w:bidi w:val="0"/>
        <w:snapToGrid/>
        <w:spacing w:before="0" w:after="0" w:line="360" w:lineRule="auto"/>
        <w:ind w:firstLine="446" w:firstLineChars="186"/>
        <w:rPr>
          <w:rFonts w:hint="eastAsia" w:ascii="华文中宋" w:hAnsi="华文中宋" w:eastAsia="华文中宋" w:cs="华文中宋"/>
          <w:bCs w:val="0"/>
          <w:color w:val="auto"/>
          <w:sz w:val="24"/>
          <w:szCs w:val="24"/>
        </w:rPr>
      </w:pPr>
      <w:bookmarkStart w:id="92" w:name="_Toc375060696"/>
      <w:r>
        <w:rPr>
          <w:rFonts w:hint="eastAsia" w:ascii="华文中宋" w:hAnsi="华文中宋" w:eastAsia="华文中宋" w:cs="华文中宋"/>
          <w:b w:val="0"/>
          <w:color w:val="auto"/>
          <w:sz w:val="24"/>
          <w:szCs w:val="24"/>
        </w:rPr>
        <w:t>一、工程概况</w:t>
      </w:r>
      <w:bookmarkEnd w:id="92"/>
    </w:p>
    <w:p w14:paraId="781B591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color w:val="auto"/>
          <w:sz w:val="24"/>
          <w:szCs w:val="24"/>
          <w:u w:val="single"/>
          <w:lang w:val="en-US" w:eastAsia="zh-CN"/>
        </w:rPr>
      </w:pPr>
      <w:r>
        <w:rPr>
          <w:rFonts w:hint="eastAsia" w:ascii="华文中宋" w:hAnsi="华文中宋" w:eastAsia="华文中宋" w:cs="华文中宋"/>
          <w:color w:val="auto"/>
          <w:sz w:val="24"/>
          <w:szCs w:val="24"/>
        </w:rPr>
        <w:t>1.工程名称：</w:t>
      </w:r>
      <w:r>
        <w:rPr>
          <w:rFonts w:hint="eastAsia" w:ascii="华文中宋" w:hAnsi="华文中宋" w:eastAsia="华文中宋" w:cs="华文中宋"/>
          <w:color w:val="auto"/>
          <w:sz w:val="24"/>
          <w:szCs w:val="24"/>
          <w:u w:val="single"/>
          <w:lang w:val="en-US" w:eastAsia="zh-CN"/>
        </w:rPr>
        <w:t xml:space="preserve">                               </w:t>
      </w:r>
    </w:p>
    <w:p w14:paraId="381D970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u w:val="single"/>
          <w:lang w:val="en-US" w:eastAsia="zh-CN"/>
        </w:rPr>
      </w:pPr>
      <w:r>
        <w:rPr>
          <w:rFonts w:hint="eastAsia" w:ascii="华文中宋" w:hAnsi="华文中宋" w:eastAsia="华文中宋" w:cs="华文中宋"/>
          <w:color w:val="auto"/>
          <w:sz w:val="24"/>
          <w:szCs w:val="24"/>
        </w:rPr>
        <w:t>2.工程地点：</w:t>
      </w:r>
      <w:r>
        <w:rPr>
          <w:rFonts w:hint="eastAsia" w:ascii="华文中宋" w:hAnsi="华文中宋" w:eastAsia="华文中宋" w:cs="华文中宋"/>
          <w:color w:val="auto"/>
          <w:sz w:val="24"/>
          <w:szCs w:val="24"/>
          <w:u w:val="single"/>
          <w:lang w:val="en-US" w:eastAsia="zh-CN"/>
        </w:rPr>
        <w:t xml:space="preserve">                               </w:t>
      </w:r>
    </w:p>
    <w:p w14:paraId="0204298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color w:val="auto"/>
          <w:sz w:val="24"/>
          <w:szCs w:val="24"/>
          <w:u w:val="single"/>
        </w:rPr>
      </w:pPr>
      <w:r>
        <w:rPr>
          <w:rFonts w:hint="eastAsia" w:ascii="华文中宋" w:hAnsi="华文中宋" w:eastAsia="华文中宋" w:cs="华文中宋"/>
          <w:bCs/>
          <w:color w:val="auto"/>
          <w:sz w:val="24"/>
          <w:szCs w:val="24"/>
        </w:rPr>
        <w:t>3.工程立项批准文号：</w:t>
      </w:r>
      <w:r>
        <w:rPr>
          <w:rFonts w:hint="eastAsia" w:ascii="华文中宋" w:hAnsi="华文中宋" w:eastAsia="华文中宋" w:cs="华文中宋"/>
          <w:bCs/>
          <w:color w:val="auto"/>
          <w:sz w:val="24"/>
          <w:szCs w:val="24"/>
          <w:u w:val="single"/>
        </w:rPr>
        <w:t xml:space="preserve">     </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p>
    <w:p w14:paraId="7116F3B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lang w:val="en-US" w:eastAsia="zh-CN"/>
        </w:rPr>
      </w:pPr>
      <w:r>
        <w:rPr>
          <w:rFonts w:hint="eastAsia" w:ascii="华文中宋" w:hAnsi="华文中宋" w:eastAsia="华文中宋" w:cs="华文中宋"/>
          <w:bCs/>
          <w:color w:val="auto"/>
          <w:sz w:val="24"/>
          <w:szCs w:val="24"/>
        </w:rPr>
        <w:t>4.资金来源：</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p>
    <w:p w14:paraId="3D713A2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color w:val="auto"/>
          <w:sz w:val="24"/>
          <w:szCs w:val="24"/>
          <w:u w:val="single"/>
          <w:lang w:val="en-US" w:eastAsia="zh-CN"/>
        </w:rPr>
      </w:pPr>
      <w:r>
        <w:rPr>
          <w:rFonts w:hint="eastAsia" w:ascii="华文中宋" w:hAnsi="华文中宋" w:eastAsia="华文中宋" w:cs="华文中宋"/>
          <w:bCs/>
          <w:color w:val="auto"/>
          <w:sz w:val="24"/>
          <w:szCs w:val="24"/>
        </w:rPr>
        <w:t>5.工程内容：</w:t>
      </w:r>
      <w:r>
        <w:rPr>
          <w:rFonts w:hint="eastAsia" w:ascii="华文中宋" w:hAnsi="华文中宋" w:eastAsia="华文中宋" w:cs="华文中宋"/>
          <w:b/>
          <w:color w:val="auto"/>
          <w:sz w:val="24"/>
          <w:szCs w:val="24"/>
          <w:u w:val="single"/>
          <w:lang w:val="en-US" w:eastAsia="zh-CN"/>
        </w:rPr>
        <w:t xml:space="preserve">                                              </w:t>
      </w:r>
    </w:p>
    <w:p w14:paraId="691E174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rPr>
      </w:pPr>
      <w:r>
        <w:rPr>
          <w:rFonts w:hint="eastAsia" w:ascii="华文中宋" w:hAnsi="华文中宋" w:eastAsia="华文中宋" w:cs="华文中宋"/>
          <w:color w:val="auto"/>
          <w:sz w:val="24"/>
          <w:szCs w:val="24"/>
        </w:rPr>
        <w:t>群体工程应附《承包人承揽工程项目一览表》（附件1）。</w:t>
      </w:r>
    </w:p>
    <w:p w14:paraId="4BCCA65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6.工程承包范围：</w:t>
      </w:r>
      <w:r>
        <w:rPr>
          <w:rFonts w:hint="eastAsia" w:ascii="华文中宋" w:hAnsi="华文中宋" w:eastAsia="华文中宋" w:cs="华文中宋"/>
          <w:bCs/>
          <w:color w:val="auto"/>
          <w:sz w:val="24"/>
          <w:szCs w:val="24"/>
          <w:u w:val="single"/>
          <w:lang w:val="en-US" w:eastAsia="zh-CN"/>
        </w:rPr>
        <w:t xml:space="preserve">                       </w:t>
      </w:r>
    </w:p>
    <w:p w14:paraId="010BBAD3">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93" w:name="_Toc375060697"/>
      <w:r>
        <w:rPr>
          <w:rFonts w:hint="eastAsia" w:ascii="华文中宋" w:hAnsi="华文中宋" w:eastAsia="华文中宋" w:cs="华文中宋"/>
          <w:b w:val="0"/>
          <w:color w:val="auto"/>
          <w:sz w:val="24"/>
          <w:szCs w:val="24"/>
        </w:rPr>
        <w:t>二、合同工期</w:t>
      </w:r>
      <w:bookmarkEnd w:id="93"/>
    </w:p>
    <w:p w14:paraId="4A25B20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计划开工日期：</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日。</w:t>
      </w:r>
    </w:p>
    <w:p w14:paraId="3FCC8AF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计划竣工日期：</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日。</w:t>
      </w:r>
    </w:p>
    <w:p w14:paraId="15B8E4F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工期总日历天数：</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天。工期总日历天数与根据前述计划开竣工日期计算的工期天数不一致的，以工期总日历天数为准。</w:t>
      </w:r>
    </w:p>
    <w:p w14:paraId="442B74A9">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94" w:name="_Toc375060698"/>
      <w:r>
        <w:rPr>
          <w:rFonts w:hint="eastAsia" w:ascii="华文中宋" w:hAnsi="华文中宋" w:eastAsia="华文中宋" w:cs="华文中宋"/>
          <w:b w:val="0"/>
          <w:color w:val="auto"/>
          <w:sz w:val="24"/>
          <w:szCs w:val="24"/>
        </w:rPr>
        <w:t>三、质量标准</w:t>
      </w:r>
      <w:bookmarkEnd w:id="94"/>
    </w:p>
    <w:p w14:paraId="7037AFE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工程质量</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标准。</w:t>
      </w:r>
    </w:p>
    <w:p w14:paraId="4251EBBA">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95" w:name="_Toc375060699"/>
      <w:r>
        <w:rPr>
          <w:rFonts w:hint="eastAsia" w:ascii="华文中宋" w:hAnsi="华文中宋" w:eastAsia="华文中宋" w:cs="华文中宋"/>
          <w:b w:val="0"/>
          <w:color w:val="auto"/>
          <w:sz w:val="24"/>
          <w:szCs w:val="24"/>
        </w:rPr>
        <w:t>四、签约合同价与合同价格形式</w:t>
      </w:r>
      <w:bookmarkEnd w:id="95"/>
      <w:r>
        <w:rPr>
          <w:rFonts w:hint="eastAsia" w:ascii="华文中宋" w:hAnsi="华文中宋" w:eastAsia="华文中宋" w:cs="华文中宋"/>
          <w:b w:val="0"/>
          <w:color w:val="auto"/>
          <w:sz w:val="24"/>
          <w:szCs w:val="24"/>
        </w:rPr>
        <w:tab/>
      </w:r>
    </w:p>
    <w:p w14:paraId="75985B2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1.签约合同价为：</w:t>
      </w:r>
    </w:p>
    <w:p w14:paraId="5240B8A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人民币（大写）</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元）；</w:t>
      </w:r>
      <w:r>
        <w:rPr>
          <w:rFonts w:hint="eastAsia" w:ascii="华文中宋" w:hAnsi="华文中宋" w:eastAsia="华文中宋" w:cs="华文中宋"/>
          <w:bCs/>
          <w:color w:val="auto"/>
          <w:sz w:val="24"/>
          <w:szCs w:val="24"/>
        </w:rPr>
        <w:t>其中，不含税价款为</w:t>
      </w:r>
      <w:r>
        <w:rPr>
          <w:rFonts w:hint="eastAsia" w:ascii="华文中宋" w:hAnsi="华文中宋" w:eastAsia="华文中宋" w:cs="华文中宋"/>
          <w:color w:val="auto"/>
          <w:sz w:val="24"/>
          <w:szCs w:val="24"/>
        </w:rPr>
        <w:t>¥</w:t>
      </w:r>
      <w:r>
        <w:rPr>
          <w:rFonts w:hint="eastAsia" w:ascii="华文中宋" w:hAnsi="华文中宋" w:eastAsia="华文中宋" w:cs="华文中宋"/>
          <w:bCs/>
          <w:color w:val="auto"/>
          <w:sz w:val="24"/>
          <w:szCs w:val="24"/>
        </w:rPr>
        <w:t>：</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Cs/>
          <w:color w:val="auto"/>
          <w:sz w:val="24"/>
          <w:szCs w:val="24"/>
        </w:rPr>
        <w:t>元</w:t>
      </w:r>
      <w:r>
        <w:rPr>
          <w:rFonts w:hint="eastAsia" w:ascii="华文中宋" w:hAnsi="华文中宋" w:eastAsia="华文中宋" w:cs="华文中宋"/>
          <w:bCs/>
          <w:color w:val="auto"/>
          <w:kern w:val="0"/>
          <w:sz w:val="24"/>
          <w:szCs w:val="24"/>
        </w:rPr>
        <w:t>；</w:t>
      </w:r>
      <w:r>
        <w:rPr>
          <w:rFonts w:hint="eastAsia" w:ascii="华文中宋" w:hAnsi="华文中宋" w:eastAsia="华文中宋" w:cs="华文中宋"/>
          <w:bCs/>
          <w:color w:val="auto"/>
          <w:sz w:val="24"/>
          <w:szCs w:val="24"/>
        </w:rPr>
        <w:t>增值税税率：</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%，增值税税额为</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Cs/>
          <w:color w:val="auto"/>
          <w:sz w:val="24"/>
          <w:szCs w:val="24"/>
        </w:rPr>
        <w:t>元</w:t>
      </w:r>
      <w:r>
        <w:rPr>
          <w:rFonts w:hint="eastAsia" w:ascii="华文中宋" w:hAnsi="华文中宋" w:eastAsia="华文中宋" w:cs="华文中宋"/>
          <w:color w:val="auto"/>
          <w:sz w:val="24"/>
          <w:szCs w:val="24"/>
        </w:rPr>
        <w:t>。</w:t>
      </w:r>
    </w:p>
    <w:p w14:paraId="7BAF363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其中：</w:t>
      </w:r>
    </w:p>
    <w:p w14:paraId="1996B91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（1）安全文明施工费：</w:t>
      </w:r>
    </w:p>
    <w:p w14:paraId="49BF868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人民币（大写）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元）；</w:t>
      </w:r>
    </w:p>
    <w:p w14:paraId="0B252AD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（2）材料和工程设备暂估价金额：</w:t>
      </w:r>
    </w:p>
    <w:p w14:paraId="12E642E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人民币（大写）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元</w:t>
      </w:r>
      <w:r>
        <w:rPr>
          <w:rFonts w:hint="eastAsia" w:ascii="华文中宋" w:hAnsi="华文中宋" w:eastAsia="华文中宋" w:cs="华文中宋"/>
          <w:bCs/>
          <w:color w:val="auto"/>
          <w:sz w:val="24"/>
          <w:szCs w:val="24"/>
        </w:rPr>
        <w:t>）；</w:t>
      </w:r>
    </w:p>
    <w:p w14:paraId="7F68F56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（3）专业工程暂估价金额：</w:t>
      </w:r>
    </w:p>
    <w:p w14:paraId="4574ECE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人民币（大写）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Style w:val="45"/>
          <w:rFonts w:hint="eastAsia" w:ascii="华文中宋" w:hAnsi="华文中宋" w:eastAsia="华文中宋" w:cs="华文中宋"/>
          <w:b/>
          <w:bCs/>
          <w:color w:val="auto"/>
          <w:sz w:val="24"/>
          <w:szCs w:val="24"/>
          <w:u w:val="single"/>
        </w:rPr>
        <w:t xml:space="preserve"> </w:t>
      </w:r>
      <w:r>
        <w:rPr>
          <w:rStyle w:val="45"/>
          <w:rFonts w:hint="eastAsia" w:ascii="华文中宋" w:hAnsi="华文中宋" w:eastAsia="华文中宋" w:cs="华文中宋"/>
          <w:b/>
          <w:bCs/>
          <w:color w:val="auto"/>
          <w:sz w:val="24"/>
          <w:szCs w:val="24"/>
          <w:u w:val="single"/>
          <w:lang w:val="en-US"/>
        </w:rPr>
        <w:t xml:space="preserve">   </w:t>
      </w:r>
      <w:r>
        <w:rPr>
          <w:rStyle w:val="45"/>
          <w:rFonts w:hint="eastAsia" w:ascii="华文中宋" w:hAnsi="华文中宋" w:eastAsia="华文中宋" w:cs="华文中宋"/>
          <w:b/>
          <w:bCs/>
          <w:color w:val="auto"/>
          <w:sz w:val="24"/>
          <w:szCs w:val="24"/>
          <w:u w:val="single"/>
        </w:rPr>
        <w:t xml:space="preserve">   </w:t>
      </w:r>
      <w:r>
        <w:rPr>
          <w:rStyle w:val="45"/>
          <w:rFonts w:hint="eastAsia" w:ascii="华文中宋" w:hAnsi="华文中宋" w:eastAsia="华文中宋" w:cs="华文中宋"/>
          <w:b/>
          <w:bCs/>
          <w:color w:val="auto"/>
          <w:sz w:val="24"/>
          <w:szCs w:val="24"/>
          <w:u w:val="single" w:color="000000"/>
        </w:rPr>
        <w:t xml:space="preserve"> </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Style w:val="45"/>
          <w:rFonts w:hint="eastAsia" w:ascii="华文中宋" w:hAnsi="华文中宋" w:eastAsia="华文中宋" w:cs="华文中宋"/>
          <w:b/>
          <w:bCs/>
          <w:color w:val="auto"/>
          <w:sz w:val="24"/>
          <w:szCs w:val="24"/>
          <w:u w:val="single" w:color="000000"/>
        </w:rPr>
        <w:t xml:space="preserve"> </w:t>
      </w:r>
      <w:r>
        <w:rPr>
          <w:rFonts w:hint="eastAsia" w:ascii="华文中宋" w:hAnsi="华文中宋" w:eastAsia="华文中宋" w:cs="华文中宋"/>
          <w:color w:val="auto"/>
          <w:sz w:val="24"/>
          <w:szCs w:val="24"/>
        </w:rPr>
        <w:t>元）；</w:t>
      </w:r>
    </w:p>
    <w:p w14:paraId="2C97DD6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（4）暂列金额：</w:t>
      </w:r>
    </w:p>
    <w:p w14:paraId="65A83C0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人民币（大写）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元）。</w:t>
      </w:r>
    </w:p>
    <w:p w14:paraId="1D23957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2.合同价格形式：</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A3729CB">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96" w:name="_Toc375060700"/>
      <w:r>
        <w:rPr>
          <w:rFonts w:hint="eastAsia" w:ascii="华文中宋" w:hAnsi="华文中宋" w:eastAsia="华文中宋" w:cs="华文中宋"/>
          <w:b w:val="0"/>
          <w:color w:val="auto"/>
          <w:sz w:val="24"/>
          <w:szCs w:val="24"/>
        </w:rPr>
        <w:t>五、项目经理</w:t>
      </w:r>
      <w:bookmarkEnd w:id="96"/>
    </w:p>
    <w:p w14:paraId="4AF53A3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highlight w:val="cyan"/>
        </w:rPr>
      </w:pPr>
      <w:r>
        <w:rPr>
          <w:rFonts w:hint="eastAsia" w:ascii="华文中宋" w:hAnsi="华文中宋" w:eastAsia="华文中宋" w:cs="华文中宋"/>
          <w:color w:val="auto"/>
          <w:sz w:val="24"/>
          <w:szCs w:val="24"/>
        </w:rPr>
        <w:t>承包人项目经理：</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3FCDFFFD">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97" w:name="_Toc375060701"/>
      <w:r>
        <w:rPr>
          <w:rFonts w:hint="eastAsia" w:ascii="华文中宋" w:hAnsi="华文中宋" w:eastAsia="华文中宋" w:cs="华文中宋"/>
          <w:b w:val="0"/>
          <w:color w:val="auto"/>
          <w:sz w:val="24"/>
          <w:szCs w:val="24"/>
        </w:rPr>
        <w:t>六、合同文件构成</w:t>
      </w:r>
      <w:bookmarkEnd w:id="97"/>
    </w:p>
    <w:p w14:paraId="25F4DE4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本协议书与下列文件一起构成合同文件：</w:t>
      </w:r>
    </w:p>
    <w:p w14:paraId="7B16C78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（1）中标通知书（如果有）；</w:t>
      </w:r>
    </w:p>
    <w:p w14:paraId="4A4F12F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（2）投标函及其附录（如果有）； </w:t>
      </w:r>
    </w:p>
    <w:p w14:paraId="5A67484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（3）专用合同条款及其附件；</w:t>
      </w:r>
    </w:p>
    <w:p w14:paraId="71D52E3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（4）通用合同条款；</w:t>
      </w:r>
    </w:p>
    <w:p w14:paraId="3CB7681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（5）技术标准和要求；</w:t>
      </w:r>
    </w:p>
    <w:p w14:paraId="3B46474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（6）图纸；</w:t>
      </w:r>
    </w:p>
    <w:p w14:paraId="6147FB0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（7）已标价工程量清单或预算书；</w:t>
      </w:r>
    </w:p>
    <w:p w14:paraId="772CE04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（8）其他合同文件。</w:t>
      </w:r>
    </w:p>
    <w:p w14:paraId="0D427D2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在合同订立及履行过程中形成的与合同有关的文件均构成合同文件组成部分。</w:t>
      </w:r>
    </w:p>
    <w:p w14:paraId="0E0C2D7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2CDB7D6A">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bCs w:val="0"/>
          <w:color w:val="auto"/>
          <w:sz w:val="24"/>
          <w:szCs w:val="24"/>
        </w:rPr>
      </w:pPr>
      <w:bookmarkStart w:id="98" w:name="_Toc375060702"/>
      <w:r>
        <w:rPr>
          <w:rFonts w:hint="eastAsia" w:ascii="华文中宋" w:hAnsi="华文中宋" w:eastAsia="华文中宋" w:cs="华文中宋"/>
          <w:b w:val="0"/>
          <w:color w:val="auto"/>
          <w:sz w:val="24"/>
          <w:szCs w:val="24"/>
        </w:rPr>
        <w:t>七、承诺</w:t>
      </w:r>
      <w:bookmarkEnd w:id="98"/>
    </w:p>
    <w:p w14:paraId="7486805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1.发包人承诺筹集工程建设资金并按照合同约定的期限和方式支付合同价款。</w:t>
      </w:r>
    </w:p>
    <w:p w14:paraId="18EBCD2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2.承包人承诺按照法律规定及合同约定组织完成工程施工，确保工程质量和安全，不进行转包及违法分包，并在缺陷责任期及保修期内承担相应的工程维修责任。</w:t>
      </w:r>
    </w:p>
    <w:p w14:paraId="210615C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rPr>
      </w:pPr>
      <w:r>
        <w:rPr>
          <w:rFonts w:hint="eastAsia" w:ascii="华文中宋" w:hAnsi="华文中宋" w:eastAsia="华文中宋" w:cs="华文中宋"/>
          <w:color w:val="auto"/>
          <w:sz w:val="24"/>
          <w:szCs w:val="24"/>
        </w:rPr>
        <w:t>3.发包人和承包人通过招投标形式签订合同的，双方理解并承诺不再就同一工程另行签订与合同实质性内容相背离的协议。</w:t>
      </w:r>
    </w:p>
    <w:p w14:paraId="76D6AF69">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99" w:name="_Toc375060703"/>
      <w:r>
        <w:rPr>
          <w:rFonts w:hint="eastAsia" w:ascii="华文中宋" w:hAnsi="华文中宋" w:eastAsia="华文中宋" w:cs="华文中宋"/>
          <w:b w:val="0"/>
          <w:color w:val="auto"/>
          <w:sz w:val="24"/>
          <w:szCs w:val="24"/>
        </w:rPr>
        <w:t>八、词语含义</w:t>
      </w:r>
      <w:bookmarkEnd w:id="99"/>
    </w:p>
    <w:p w14:paraId="29FFA05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本协议书中词语含义与第二部分通用合同条款中赋予的含义相同。</w:t>
      </w:r>
    </w:p>
    <w:p w14:paraId="7634BD43">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100" w:name="_Toc375060704"/>
      <w:r>
        <w:rPr>
          <w:rFonts w:hint="eastAsia" w:ascii="华文中宋" w:hAnsi="华文中宋" w:eastAsia="华文中宋" w:cs="华文中宋"/>
          <w:b w:val="0"/>
          <w:color w:val="auto"/>
          <w:sz w:val="24"/>
          <w:szCs w:val="24"/>
        </w:rPr>
        <w:t>九、签订时间</w:t>
      </w:r>
      <w:bookmarkEnd w:id="100"/>
    </w:p>
    <w:p w14:paraId="4D19E82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本合同于</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年</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月</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日签订。</w:t>
      </w:r>
    </w:p>
    <w:p w14:paraId="5B7951E6">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101" w:name="_Toc375060705"/>
      <w:r>
        <w:rPr>
          <w:rFonts w:hint="eastAsia" w:ascii="华文中宋" w:hAnsi="华文中宋" w:eastAsia="华文中宋" w:cs="华文中宋"/>
          <w:b w:val="0"/>
          <w:color w:val="auto"/>
          <w:sz w:val="24"/>
          <w:szCs w:val="24"/>
        </w:rPr>
        <w:t>十、签订地点</w:t>
      </w:r>
      <w:bookmarkEnd w:id="101"/>
    </w:p>
    <w:p w14:paraId="065803D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本合同在</w:t>
      </w:r>
      <w:r>
        <w:rPr>
          <w:rFonts w:hint="eastAsia" w:ascii="华文中宋" w:hAnsi="华文中宋" w:eastAsia="华文中宋" w:cs="华文中宋"/>
          <w:bCs/>
          <w:color w:val="auto"/>
          <w:sz w:val="24"/>
          <w:szCs w:val="24"/>
          <w:lang w:val="en-US" w:eastAsia="zh-CN"/>
        </w:rPr>
        <w:t xml:space="preserve"> </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签订。</w:t>
      </w:r>
    </w:p>
    <w:p w14:paraId="09123539">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102" w:name="_Toc375060706"/>
      <w:r>
        <w:rPr>
          <w:rFonts w:hint="eastAsia" w:ascii="华文中宋" w:hAnsi="华文中宋" w:eastAsia="华文中宋" w:cs="华文中宋"/>
          <w:b w:val="0"/>
          <w:color w:val="auto"/>
          <w:sz w:val="24"/>
          <w:szCs w:val="24"/>
        </w:rPr>
        <w:t>十一、补充协议</w:t>
      </w:r>
      <w:bookmarkEnd w:id="102"/>
    </w:p>
    <w:p w14:paraId="2863987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sz w:val="24"/>
          <w:szCs w:val="24"/>
        </w:rPr>
      </w:pPr>
      <w:r>
        <w:rPr>
          <w:rFonts w:hint="eastAsia" w:ascii="华文中宋" w:hAnsi="华文中宋" w:eastAsia="华文中宋" w:cs="华文中宋"/>
          <w:bCs/>
          <w:color w:val="auto"/>
          <w:sz w:val="24"/>
          <w:szCs w:val="24"/>
        </w:rPr>
        <w:t>合同未尽事宜，合同当事人另行签订补充协议，补充协议是合同的组成部分。</w:t>
      </w:r>
    </w:p>
    <w:p w14:paraId="428B5938">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103" w:name="_Toc375060707"/>
      <w:r>
        <w:rPr>
          <w:rFonts w:hint="eastAsia" w:ascii="华文中宋" w:hAnsi="华文中宋" w:eastAsia="华文中宋" w:cs="华文中宋"/>
          <w:b w:val="0"/>
          <w:color w:val="auto"/>
          <w:sz w:val="24"/>
          <w:szCs w:val="24"/>
        </w:rPr>
        <w:t>十二、合同生效</w:t>
      </w:r>
      <w:bookmarkEnd w:id="103"/>
    </w:p>
    <w:p w14:paraId="2BDB999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本合同自</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生效。</w:t>
      </w:r>
    </w:p>
    <w:p w14:paraId="1941A288">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Cs w:val="0"/>
          <w:color w:val="auto"/>
          <w:sz w:val="24"/>
          <w:szCs w:val="24"/>
        </w:rPr>
      </w:pPr>
      <w:bookmarkStart w:id="104" w:name="_Toc375060708"/>
      <w:r>
        <w:rPr>
          <w:rFonts w:hint="eastAsia" w:ascii="华文中宋" w:hAnsi="华文中宋" w:eastAsia="华文中宋" w:cs="华文中宋"/>
          <w:b w:val="0"/>
          <w:color w:val="auto"/>
          <w:sz w:val="24"/>
          <w:szCs w:val="24"/>
        </w:rPr>
        <w:t>十三、合同份数</w:t>
      </w:r>
      <w:bookmarkEnd w:id="104"/>
    </w:p>
    <w:p w14:paraId="6FBC767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本合同一式</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份，均具有同等法律效力，发包人执</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份，承包人执</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rPr>
        <w:t>份。</w:t>
      </w:r>
    </w:p>
    <w:p w14:paraId="6D4FCEA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（正本</w:t>
      </w:r>
      <w:r>
        <w:rPr>
          <w:rFonts w:hint="eastAsia" w:ascii="华文中宋" w:hAnsi="华文中宋" w:eastAsia="华文中宋" w:cs="华文中宋"/>
          <w:b/>
          <w:bCs/>
          <w:color w:val="auto"/>
          <w:sz w:val="24"/>
          <w:szCs w:val="24"/>
          <w:lang w:val="en-US" w:eastAsia="zh-CN"/>
        </w:rPr>
        <w:t xml:space="preserve">  </w:t>
      </w:r>
      <w:r>
        <w:rPr>
          <w:rFonts w:hint="eastAsia" w:ascii="华文中宋" w:hAnsi="华文中宋" w:eastAsia="华文中宋" w:cs="华文中宋"/>
          <w:b/>
          <w:bCs/>
          <w:color w:val="auto"/>
          <w:sz w:val="24"/>
          <w:szCs w:val="24"/>
        </w:rPr>
        <w:t>份，双方各执</w:t>
      </w:r>
      <w:r>
        <w:rPr>
          <w:rFonts w:hint="eastAsia" w:ascii="华文中宋" w:hAnsi="华文中宋" w:eastAsia="华文中宋" w:cs="华文中宋"/>
          <w:b/>
          <w:bCs/>
          <w:color w:val="auto"/>
          <w:sz w:val="24"/>
          <w:szCs w:val="24"/>
          <w:lang w:val="en-US" w:eastAsia="zh-CN"/>
        </w:rPr>
        <w:t xml:space="preserve">  </w:t>
      </w:r>
      <w:r>
        <w:rPr>
          <w:rFonts w:hint="eastAsia" w:ascii="华文中宋" w:hAnsi="华文中宋" w:eastAsia="华文中宋" w:cs="华文中宋"/>
          <w:b/>
          <w:bCs/>
          <w:color w:val="auto"/>
          <w:sz w:val="24"/>
          <w:szCs w:val="24"/>
        </w:rPr>
        <w:t>份，副本</w:t>
      </w:r>
      <w:r>
        <w:rPr>
          <w:rFonts w:hint="eastAsia" w:ascii="华文中宋" w:hAnsi="华文中宋" w:eastAsia="华文中宋" w:cs="华文中宋"/>
          <w:b/>
          <w:bCs/>
          <w:color w:val="auto"/>
          <w:sz w:val="24"/>
          <w:szCs w:val="24"/>
          <w:lang w:val="en-US" w:eastAsia="zh-CN"/>
        </w:rPr>
        <w:t xml:space="preserve">  </w:t>
      </w:r>
      <w:r>
        <w:rPr>
          <w:rFonts w:hint="eastAsia" w:ascii="华文中宋" w:hAnsi="华文中宋" w:eastAsia="华文中宋" w:cs="华文中宋"/>
          <w:b/>
          <w:bCs/>
          <w:color w:val="auto"/>
          <w:sz w:val="24"/>
          <w:szCs w:val="24"/>
        </w:rPr>
        <w:t>份，发包人执</w:t>
      </w:r>
      <w:r>
        <w:rPr>
          <w:rFonts w:hint="eastAsia" w:ascii="华文中宋" w:hAnsi="华文中宋" w:eastAsia="华文中宋" w:cs="华文中宋"/>
          <w:b/>
          <w:bCs/>
          <w:color w:val="auto"/>
          <w:sz w:val="24"/>
          <w:szCs w:val="24"/>
          <w:lang w:val="en-US" w:eastAsia="zh-CN"/>
        </w:rPr>
        <w:t xml:space="preserve">  </w:t>
      </w:r>
      <w:r>
        <w:rPr>
          <w:rFonts w:hint="eastAsia" w:ascii="华文中宋" w:hAnsi="华文中宋" w:eastAsia="华文中宋" w:cs="华文中宋"/>
          <w:b/>
          <w:bCs/>
          <w:color w:val="auto"/>
          <w:sz w:val="24"/>
          <w:szCs w:val="24"/>
        </w:rPr>
        <w:t>份，承包人执</w:t>
      </w:r>
      <w:r>
        <w:rPr>
          <w:rFonts w:hint="eastAsia" w:ascii="华文中宋" w:hAnsi="华文中宋" w:eastAsia="华文中宋" w:cs="华文中宋"/>
          <w:b/>
          <w:bCs/>
          <w:color w:val="auto"/>
          <w:sz w:val="24"/>
          <w:szCs w:val="24"/>
          <w:lang w:val="en-US" w:eastAsia="zh-CN"/>
        </w:rPr>
        <w:t xml:space="preserve">  </w:t>
      </w:r>
      <w:r>
        <w:rPr>
          <w:rFonts w:hint="eastAsia" w:ascii="华文中宋" w:hAnsi="华文中宋" w:eastAsia="华文中宋" w:cs="华文中宋"/>
          <w:b/>
          <w:bCs/>
          <w:color w:val="auto"/>
          <w:sz w:val="24"/>
          <w:szCs w:val="24"/>
        </w:rPr>
        <w:t>份）</w:t>
      </w:r>
    </w:p>
    <w:p w14:paraId="0E2E077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（本页以下无正文内容）</w:t>
      </w:r>
    </w:p>
    <w:tbl>
      <w:tblPr>
        <w:tblStyle w:val="29"/>
        <w:tblW w:w="10021" w:type="dxa"/>
        <w:jc w:val="center"/>
        <w:tblLayout w:type="autofit"/>
        <w:tblCellMar>
          <w:top w:w="0" w:type="dxa"/>
          <w:left w:w="108" w:type="dxa"/>
          <w:bottom w:w="0" w:type="dxa"/>
          <w:right w:w="108" w:type="dxa"/>
        </w:tblCellMar>
      </w:tblPr>
      <w:tblGrid>
        <w:gridCol w:w="1379"/>
        <w:gridCol w:w="283"/>
        <w:gridCol w:w="654"/>
        <w:gridCol w:w="2286"/>
        <w:gridCol w:w="1414"/>
        <w:gridCol w:w="265"/>
        <w:gridCol w:w="532"/>
        <w:gridCol w:w="3208"/>
      </w:tblGrid>
      <w:tr w14:paraId="24E03C5E">
        <w:tblPrEx>
          <w:tblCellMar>
            <w:top w:w="0" w:type="dxa"/>
            <w:left w:w="108" w:type="dxa"/>
            <w:bottom w:w="0" w:type="dxa"/>
            <w:right w:w="108" w:type="dxa"/>
          </w:tblCellMar>
        </w:tblPrEx>
        <w:trPr>
          <w:trHeight w:val="595" w:hRule="atLeast"/>
          <w:jc w:val="center"/>
        </w:trPr>
        <w:tc>
          <w:tcPr>
            <w:tcW w:w="2316" w:type="dxa"/>
            <w:gridSpan w:val="3"/>
            <w:noWrap w:val="0"/>
            <w:vAlign w:val="center"/>
          </w:tcPr>
          <w:p w14:paraId="553D19BC">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发包人：（公章）</w:t>
            </w:r>
          </w:p>
        </w:tc>
        <w:tc>
          <w:tcPr>
            <w:tcW w:w="2286" w:type="dxa"/>
            <w:noWrap w:val="0"/>
            <w:vAlign w:val="center"/>
          </w:tcPr>
          <w:p w14:paraId="26A4DC55">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p>
        </w:tc>
        <w:tc>
          <w:tcPr>
            <w:tcW w:w="2211" w:type="dxa"/>
            <w:gridSpan w:val="3"/>
            <w:noWrap w:val="0"/>
            <w:vAlign w:val="center"/>
          </w:tcPr>
          <w:p w14:paraId="1546068E">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承包人：（公章）</w:t>
            </w:r>
          </w:p>
        </w:tc>
        <w:tc>
          <w:tcPr>
            <w:tcW w:w="3208" w:type="dxa"/>
            <w:noWrap w:val="0"/>
            <w:vAlign w:val="center"/>
          </w:tcPr>
          <w:p w14:paraId="5C4C9098">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p>
        </w:tc>
      </w:tr>
      <w:tr w14:paraId="432A3CE6">
        <w:tblPrEx>
          <w:tblCellMar>
            <w:top w:w="0" w:type="dxa"/>
            <w:left w:w="108" w:type="dxa"/>
            <w:bottom w:w="0" w:type="dxa"/>
            <w:right w:w="108" w:type="dxa"/>
          </w:tblCellMar>
        </w:tblPrEx>
        <w:trPr>
          <w:trHeight w:val="1238" w:hRule="atLeast"/>
          <w:jc w:val="center"/>
        </w:trPr>
        <w:tc>
          <w:tcPr>
            <w:tcW w:w="4602" w:type="dxa"/>
            <w:gridSpan w:val="4"/>
            <w:noWrap w:val="0"/>
            <w:vAlign w:val="center"/>
          </w:tcPr>
          <w:p w14:paraId="14F4150E">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法定代表人或其委托代理人：</w:t>
            </w:r>
          </w:p>
          <w:p w14:paraId="2396F9BE">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（签字）</w:t>
            </w:r>
          </w:p>
        </w:tc>
        <w:tc>
          <w:tcPr>
            <w:tcW w:w="5419" w:type="dxa"/>
            <w:gridSpan w:val="4"/>
            <w:noWrap w:val="0"/>
            <w:vAlign w:val="center"/>
          </w:tcPr>
          <w:p w14:paraId="5A94383C">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法定代表人或其委托代理人：</w:t>
            </w:r>
          </w:p>
          <w:p w14:paraId="725DFF75">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（签字）</w:t>
            </w:r>
          </w:p>
        </w:tc>
      </w:tr>
      <w:tr w14:paraId="5828232C">
        <w:tblPrEx>
          <w:tblCellMar>
            <w:top w:w="0" w:type="dxa"/>
            <w:left w:w="108" w:type="dxa"/>
            <w:bottom w:w="0" w:type="dxa"/>
            <w:right w:w="108" w:type="dxa"/>
          </w:tblCellMar>
        </w:tblPrEx>
        <w:trPr>
          <w:trHeight w:val="794" w:hRule="atLeast"/>
          <w:jc w:val="center"/>
        </w:trPr>
        <w:tc>
          <w:tcPr>
            <w:tcW w:w="1379" w:type="dxa"/>
            <w:noWrap w:val="0"/>
            <w:vAlign w:val="center"/>
          </w:tcPr>
          <w:p w14:paraId="408EE734">
            <w:pPr>
              <w:pageBreakBefore w:val="0"/>
              <w:kinsoku/>
              <w:wordWrap/>
              <w:overflowPunct/>
              <w:topLinePunct w:val="0"/>
              <w:bidi w:val="0"/>
              <w:snapToGrid/>
              <w:spacing w:line="360" w:lineRule="auto"/>
              <w:ind w:right="-134" w:rightChars="-64"/>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统一社会</w:t>
            </w:r>
          </w:p>
          <w:p w14:paraId="0E3ECE90">
            <w:pPr>
              <w:pageBreakBefore w:val="0"/>
              <w:kinsoku/>
              <w:wordWrap/>
              <w:overflowPunct/>
              <w:topLinePunct w:val="0"/>
              <w:bidi w:val="0"/>
              <w:snapToGrid/>
              <w:spacing w:line="360" w:lineRule="auto"/>
              <w:ind w:right="-134" w:rightChars="-64"/>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信用代码：</w:t>
            </w:r>
          </w:p>
        </w:tc>
        <w:tc>
          <w:tcPr>
            <w:tcW w:w="3223" w:type="dxa"/>
            <w:gridSpan w:val="3"/>
            <w:noWrap w:val="0"/>
            <w:vAlign w:val="center"/>
          </w:tcPr>
          <w:p w14:paraId="2881B38A">
            <w:pPr>
              <w:pageBreakBefore w:val="0"/>
              <w:kinsoku/>
              <w:wordWrap/>
              <w:overflowPunct/>
              <w:topLinePunct w:val="0"/>
              <w:bidi w:val="0"/>
              <w:snapToGrid/>
              <w:spacing w:line="360" w:lineRule="auto"/>
              <w:ind w:left="-109" w:leftChars="-52" w:right="-111" w:rightChars="-53"/>
              <w:rPr>
                <w:rFonts w:hint="eastAsia" w:ascii="华文中宋" w:hAnsi="华文中宋" w:eastAsia="华文中宋" w:cs="华文中宋"/>
                <w:b/>
                <w:color w:val="auto"/>
                <w:sz w:val="24"/>
                <w:szCs w:val="24"/>
              </w:rPr>
            </w:pPr>
          </w:p>
        </w:tc>
        <w:tc>
          <w:tcPr>
            <w:tcW w:w="1414" w:type="dxa"/>
            <w:noWrap w:val="0"/>
            <w:vAlign w:val="center"/>
          </w:tcPr>
          <w:p w14:paraId="03801507">
            <w:pPr>
              <w:pageBreakBefore w:val="0"/>
              <w:kinsoku/>
              <w:wordWrap/>
              <w:overflowPunct/>
              <w:topLinePunct w:val="0"/>
              <w:bidi w:val="0"/>
              <w:snapToGrid/>
              <w:spacing w:line="360" w:lineRule="auto"/>
              <w:ind w:right="-134" w:rightChars="-64"/>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统一社会</w:t>
            </w:r>
          </w:p>
          <w:p w14:paraId="13B2F8CF">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信用代码：</w:t>
            </w:r>
          </w:p>
        </w:tc>
        <w:tc>
          <w:tcPr>
            <w:tcW w:w="4005" w:type="dxa"/>
            <w:gridSpan w:val="3"/>
            <w:noWrap w:val="0"/>
            <w:vAlign w:val="center"/>
          </w:tcPr>
          <w:p w14:paraId="603EC4C4">
            <w:pPr>
              <w:pageBreakBefore w:val="0"/>
              <w:kinsoku/>
              <w:wordWrap/>
              <w:overflowPunct/>
              <w:topLinePunct w:val="0"/>
              <w:bidi w:val="0"/>
              <w:snapToGrid/>
              <w:spacing w:line="360" w:lineRule="auto"/>
              <w:ind w:left="-109" w:leftChars="-52" w:right="-111" w:rightChars="-53"/>
              <w:rPr>
                <w:rFonts w:hint="eastAsia" w:ascii="华文中宋" w:hAnsi="华文中宋" w:eastAsia="华文中宋" w:cs="华文中宋"/>
                <w:b/>
                <w:color w:val="auto"/>
                <w:sz w:val="24"/>
                <w:szCs w:val="24"/>
              </w:rPr>
            </w:pPr>
          </w:p>
        </w:tc>
      </w:tr>
      <w:tr w14:paraId="2D07D33A">
        <w:tblPrEx>
          <w:tblCellMar>
            <w:top w:w="0" w:type="dxa"/>
            <w:left w:w="108" w:type="dxa"/>
            <w:bottom w:w="0" w:type="dxa"/>
            <w:right w:w="108" w:type="dxa"/>
          </w:tblCellMar>
        </w:tblPrEx>
        <w:trPr>
          <w:trHeight w:val="781" w:hRule="exact"/>
          <w:jc w:val="center"/>
        </w:trPr>
        <w:tc>
          <w:tcPr>
            <w:tcW w:w="1379" w:type="dxa"/>
            <w:noWrap w:val="0"/>
            <w:vAlign w:val="center"/>
          </w:tcPr>
          <w:p w14:paraId="65AD9ACD">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    址：</w:t>
            </w:r>
          </w:p>
        </w:tc>
        <w:tc>
          <w:tcPr>
            <w:tcW w:w="3223" w:type="dxa"/>
            <w:gridSpan w:val="3"/>
            <w:noWrap w:val="0"/>
            <w:vAlign w:val="center"/>
          </w:tcPr>
          <w:p w14:paraId="2E302DB1">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p>
        </w:tc>
        <w:tc>
          <w:tcPr>
            <w:tcW w:w="1414" w:type="dxa"/>
            <w:noWrap w:val="0"/>
            <w:vAlign w:val="center"/>
          </w:tcPr>
          <w:p w14:paraId="6EA70179">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    址：</w:t>
            </w:r>
          </w:p>
        </w:tc>
        <w:tc>
          <w:tcPr>
            <w:tcW w:w="4005" w:type="dxa"/>
            <w:gridSpan w:val="3"/>
            <w:noWrap w:val="0"/>
            <w:vAlign w:val="center"/>
          </w:tcPr>
          <w:p w14:paraId="413A10BE">
            <w:pPr>
              <w:pageBreakBefore w:val="0"/>
              <w:kinsoku/>
              <w:wordWrap/>
              <w:overflowPunct/>
              <w:topLinePunct w:val="0"/>
              <w:bidi w:val="0"/>
              <w:snapToGrid/>
              <w:spacing w:line="360" w:lineRule="auto"/>
              <w:ind w:left="-113" w:leftChars="-54"/>
              <w:rPr>
                <w:rFonts w:hint="eastAsia" w:ascii="华文中宋" w:hAnsi="华文中宋" w:eastAsia="华文中宋" w:cs="华文中宋"/>
                <w:b/>
                <w:color w:val="auto"/>
                <w:sz w:val="24"/>
                <w:szCs w:val="24"/>
              </w:rPr>
            </w:pPr>
          </w:p>
        </w:tc>
      </w:tr>
      <w:tr w14:paraId="3272C041">
        <w:tblPrEx>
          <w:tblCellMar>
            <w:top w:w="0" w:type="dxa"/>
            <w:left w:w="108" w:type="dxa"/>
            <w:bottom w:w="0" w:type="dxa"/>
            <w:right w:w="108" w:type="dxa"/>
          </w:tblCellMar>
        </w:tblPrEx>
        <w:trPr>
          <w:trHeight w:val="549" w:hRule="atLeast"/>
          <w:jc w:val="center"/>
        </w:trPr>
        <w:tc>
          <w:tcPr>
            <w:tcW w:w="1379" w:type="dxa"/>
            <w:noWrap w:val="0"/>
            <w:vAlign w:val="center"/>
          </w:tcPr>
          <w:p w14:paraId="113BCC27">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邮政编码：</w:t>
            </w:r>
          </w:p>
        </w:tc>
        <w:tc>
          <w:tcPr>
            <w:tcW w:w="3223" w:type="dxa"/>
            <w:gridSpan w:val="3"/>
            <w:noWrap w:val="0"/>
            <w:vAlign w:val="center"/>
          </w:tcPr>
          <w:p w14:paraId="2FDB2C18">
            <w:pPr>
              <w:pageBreakBefore w:val="0"/>
              <w:kinsoku/>
              <w:wordWrap/>
              <w:overflowPunct/>
              <w:topLinePunct w:val="0"/>
              <w:bidi w:val="0"/>
              <w:snapToGrid/>
              <w:spacing w:line="360" w:lineRule="auto"/>
              <w:ind w:left="-69" w:leftChars="-37" w:hanging="9" w:hangingChars="4"/>
              <w:rPr>
                <w:rFonts w:hint="eastAsia" w:ascii="华文中宋" w:hAnsi="华文中宋" w:eastAsia="华文中宋" w:cs="华文中宋"/>
                <w:color w:val="auto"/>
                <w:sz w:val="24"/>
                <w:szCs w:val="24"/>
              </w:rPr>
            </w:pPr>
          </w:p>
        </w:tc>
        <w:tc>
          <w:tcPr>
            <w:tcW w:w="1414" w:type="dxa"/>
            <w:noWrap w:val="0"/>
            <w:vAlign w:val="center"/>
          </w:tcPr>
          <w:p w14:paraId="47D65A28">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邮政编码：</w:t>
            </w:r>
          </w:p>
        </w:tc>
        <w:tc>
          <w:tcPr>
            <w:tcW w:w="4005" w:type="dxa"/>
            <w:gridSpan w:val="3"/>
            <w:noWrap w:val="0"/>
            <w:vAlign w:val="center"/>
          </w:tcPr>
          <w:p w14:paraId="5ACACAD6">
            <w:pPr>
              <w:pageBreakBefore w:val="0"/>
              <w:kinsoku/>
              <w:wordWrap/>
              <w:overflowPunct/>
              <w:topLinePunct w:val="0"/>
              <w:bidi w:val="0"/>
              <w:snapToGrid/>
              <w:spacing w:line="360" w:lineRule="auto"/>
              <w:ind w:left="-69" w:leftChars="-37" w:hanging="9" w:hangingChars="4"/>
              <w:rPr>
                <w:rFonts w:hint="eastAsia" w:ascii="华文中宋" w:hAnsi="华文中宋" w:eastAsia="华文中宋" w:cs="华文中宋"/>
                <w:color w:val="auto"/>
                <w:sz w:val="24"/>
                <w:szCs w:val="24"/>
              </w:rPr>
            </w:pPr>
          </w:p>
        </w:tc>
      </w:tr>
      <w:tr w14:paraId="6AF720EF">
        <w:tblPrEx>
          <w:tblCellMar>
            <w:top w:w="0" w:type="dxa"/>
            <w:left w:w="108" w:type="dxa"/>
            <w:bottom w:w="0" w:type="dxa"/>
            <w:right w:w="108" w:type="dxa"/>
          </w:tblCellMar>
        </w:tblPrEx>
        <w:trPr>
          <w:trHeight w:val="575" w:hRule="atLeast"/>
          <w:jc w:val="center"/>
        </w:trPr>
        <w:tc>
          <w:tcPr>
            <w:tcW w:w="1662" w:type="dxa"/>
            <w:gridSpan w:val="2"/>
            <w:noWrap w:val="0"/>
            <w:vAlign w:val="center"/>
          </w:tcPr>
          <w:p w14:paraId="2C62D768">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法定代表人：</w:t>
            </w:r>
          </w:p>
        </w:tc>
        <w:tc>
          <w:tcPr>
            <w:tcW w:w="2940" w:type="dxa"/>
            <w:gridSpan w:val="2"/>
            <w:noWrap w:val="0"/>
            <w:vAlign w:val="center"/>
          </w:tcPr>
          <w:p w14:paraId="7FB34E99">
            <w:pPr>
              <w:pageBreakBefore w:val="0"/>
              <w:kinsoku/>
              <w:wordWrap/>
              <w:overflowPunct/>
              <w:topLinePunct w:val="0"/>
              <w:bidi w:val="0"/>
              <w:snapToGrid/>
              <w:spacing w:line="360" w:lineRule="auto"/>
              <w:rPr>
                <w:rFonts w:hint="eastAsia" w:ascii="华文中宋" w:hAnsi="华文中宋" w:eastAsia="华文中宋" w:cs="华文中宋"/>
                <w:b/>
                <w:bCs/>
                <w:color w:val="auto"/>
                <w:sz w:val="24"/>
                <w:szCs w:val="24"/>
              </w:rPr>
            </w:pPr>
          </w:p>
        </w:tc>
        <w:tc>
          <w:tcPr>
            <w:tcW w:w="1679" w:type="dxa"/>
            <w:gridSpan w:val="2"/>
            <w:noWrap w:val="0"/>
            <w:vAlign w:val="center"/>
          </w:tcPr>
          <w:p w14:paraId="457744C3">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法定代表人：</w:t>
            </w:r>
          </w:p>
        </w:tc>
        <w:tc>
          <w:tcPr>
            <w:tcW w:w="3740" w:type="dxa"/>
            <w:gridSpan w:val="2"/>
            <w:noWrap w:val="0"/>
            <w:vAlign w:val="center"/>
          </w:tcPr>
          <w:p w14:paraId="2749CFE4">
            <w:pPr>
              <w:pageBreakBefore w:val="0"/>
              <w:kinsoku/>
              <w:wordWrap/>
              <w:overflowPunct/>
              <w:topLinePunct w:val="0"/>
              <w:bidi w:val="0"/>
              <w:snapToGrid/>
              <w:spacing w:line="360" w:lineRule="auto"/>
              <w:ind w:left="-68" w:leftChars="-37" w:hanging="10" w:hangingChars="4"/>
              <w:rPr>
                <w:rFonts w:hint="eastAsia" w:ascii="华文中宋" w:hAnsi="华文中宋" w:eastAsia="华文中宋" w:cs="华文中宋"/>
                <w:b/>
                <w:bCs/>
                <w:color w:val="auto"/>
                <w:sz w:val="24"/>
                <w:szCs w:val="24"/>
              </w:rPr>
            </w:pPr>
          </w:p>
        </w:tc>
      </w:tr>
      <w:tr w14:paraId="62F07D1A">
        <w:tblPrEx>
          <w:tblCellMar>
            <w:top w:w="0" w:type="dxa"/>
            <w:left w:w="108" w:type="dxa"/>
            <w:bottom w:w="0" w:type="dxa"/>
            <w:right w:w="108" w:type="dxa"/>
          </w:tblCellMar>
        </w:tblPrEx>
        <w:trPr>
          <w:trHeight w:val="603" w:hRule="atLeast"/>
          <w:jc w:val="center"/>
        </w:trPr>
        <w:tc>
          <w:tcPr>
            <w:tcW w:w="1662" w:type="dxa"/>
            <w:gridSpan w:val="2"/>
            <w:noWrap w:val="0"/>
            <w:vAlign w:val="center"/>
          </w:tcPr>
          <w:p w14:paraId="203E0916">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委托代理人：</w:t>
            </w:r>
          </w:p>
        </w:tc>
        <w:tc>
          <w:tcPr>
            <w:tcW w:w="2940" w:type="dxa"/>
            <w:gridSpan w:val="2"/>
            <w:noWrap w:val="0"/>
            <w:vAlign w:val="center"/>
          </w:tcPr>
          <w:p w14:paraId="18092DD3">
            <w:pPr>
              <w:pageBreakBefore w:val="0"/>
              <w:kinsoku/>
              <w:wordWrap/>
              <w:overflowPunct/>
              <w:topLinePunct w:val="0"/>
              <w:bidi w:val="0"/>
              <w:snapToGrid/>
              <w:spacing w:line="360" w:lineRule="auto"/>
              <w:rPr>
                <w:rFonts w:hint="eastAsia" w:ascii="华文中宋" w:hAnsi="华文中宋" w:eastAsia="华文中宋" w:cs="华文中宋"/>
                <w:b/>
                <w:bCs/>
                <w:color w:val="auto"/>
                <w:sz w:val="24"/>
                <w:szCs w:val="24"/>
              </w:rPr>
            </w:pPr>
          </w:p>
        </w:tc>
        <w:tc>
          <w:tcPr>
            <w:tcW w:w="1679" w:type="dxa"/>
            <w:gridSpan w:val="2"/>
            <w:noWrap w:val="0"/>
            <w:vAlign w:val="center"/>
          </w:tcPr>
          <w:p w14:paraId="50A8D527">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委托代理人：</w:t>
            </w:r>
          </w:p>
        </w:tc>
        <w:tc>
          <w:tcPr>
            <w:tcW w:w="3740" w:type="dxa"/>
            <w:gridSpan w:val="2"/>
            <w:noWrap w:val="0"/>
            <w:vAlign w:val="center"/>
          </w:tcPr>
          <w:p w14:paraId="7A8BA40D">
            <w:pPr>
              <w:pageBreakBefore w:val="0"/>
              <w:kinsoku/>
              <w:wordWrap/>
              <w:overflowPunct/>
              <w:topLinePunct w:val="0"/>
              <w:bidi w:val="0"/>
              <w:snapToGrid/>
              <w:spacing w:line="360" w:lineRule="auto"/>
              <w:ind w:left="-68" w:leftChars="-37" w:hanging="10" w:hangingChars="4"/>
              <w:rPr>
                <w:rFonts w:hint="eastAsia" w:ascii="华文中宋" w:hAnsi="华文中宋" w:eastAsia="华文中宋" w:cs="华文中宋"/>
                <w:b/>
                <w:bCs/>
                <w:color w:val="auto"/>
                <w:sz w:val="24"/>
                <w:szCs w:val="24"/>
              </w:rPr>
            </w:pPr>
          </w:p>
        </w:tc>
      </w:tr>
      <w:tr w14:paraId="2696C270">
        <w:tblPrEx>
          <w:tblCellMar>
            <w:top w:w="0" w:type="dxa"/>
            <w:left w:w="108" w:type="dxa"/>
            <w:bottom w:w="0" w:type="dxa"/>
            <w:right w:w="108" w:type="dxa"/>
          </w:tblCellMar>
        </w:tblPrEx>
        <w:trPr>
          <w:trHeight w:val="438" w:hRule="atLeast"/>
          <w:jc w:val="center"/>
        </w:trPr>
        <w:tc>
          <w:tcPr>
            <w:tcW w:w="1379" w:type="dxa"/>
            <w:noWrap w:val="0"/>
            <w:vAlign w:val="center"/>
          </w:tcPr>
          <w:p w14:paraId="7E086221">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电    话：</w:t>
            </w:r>
          </w:p>
        </w:tc>
        <w:tc>
          <w:tcPr>
            <w:tcW w:w="3223" w:type="dxa"/>
            <w:gridSpan w:val="3"/>
            <w:noWrap w:val="0"/>
            <w:vAlign w:val="center"/>
          </w:tcPr>
          <w:p w14:paraId="0FC3E307">
            <w:pPr>
              <w:pageBreakBefore w:val="0"/>
              <w:kinsoku/>
              <w:wordWrap/>
              <w:overflowPunct/>
              <w:topLinePunct w:val="0"/>
              <w:bidi w:val="0"/>
              <w:snapToGrid/>
              <w:spacing w:line="360" w:lineRule="auto"/>
              <w:ind w:left="-63" w:leftChars="-30"/>
              <w:rPr>
                <w:rFonts w:hint="eastAsia" w:ascii="华文中宋" w:hAnsi="华文中宋" w:eastAsia="华文中宋" w:cs="华文中宋"/>
                <w:b/>
                <w:bCs/>
                <w:color w:val="auto"/>
                <w:sz w:val="24"/>
                <w:szCs w:val="24"/>
              </w:rPr>
            </w:pPr>
          </w:p>
        </w:tc>
        <w:tc>
          <w:tcPr>
            <w:tcW w:w="1414" w:type="dxa"/>
            <w:noWrap w:val="0"/>
            <w:vAlign w:val="center"/>
          </w:tcPr>
          <w:p w14:paraId="20F717EB">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电    话：</w:t>
            </w:r>
          </w:p>
        </w:tc>
        <w:tc>
          <w:tcPr>
            <w:tcW w:w="4005" w:type="dxa"/>
            <w:gridSpan w:val="3"/>
            <w:noWrap w:val="0"/>
            <w:vAlign w:val="center"/>
          </w:tcPr>
          <w:p w14:paraId="53AD752D">
            <w:pPr>
              <w:pageBreakBefore w:val="0"/>
              <w:kinsoku/>
              <w:wordWrap/>
              <w:overflowPunct/>
              <w:topLinePunct w:val="0"/>
              <w:bidi w:val="0"/>
              <w:snapToGrid/>
              <w:spacing w:line="360" w:lineRule="auto"/>
              <w:ind w:left="-63" w:leftChars="-30"/>
              <w:rPr>
                <w:rFonts w:hint="eastAsia" w:ascii="华文中宋" w:hAnsi="华文中宋" w:eastAsia="华文中宋" w:cs="华文中宋"/>
                <w:b/>
                <w:bCs/>
                <w:color w:val="auto"/>
                <w:sz w:val="24"/>
                <w:szCs w:val="24"/>
              </w:rPr>
            </w:pPr>
          </w:p>
        </w:tc>
      </w:tr>
      <w:tr w14:paraId="366CBB66">
        <w:tblPrEx>
          <w:tblCellMar>
            <w:top w:w="0" w:type="dxa"/>
            <w:left w:w="108" w:type="dxa"/>
            <w:bottom w:w="0" w:type="dxa"/>
            <w:right w:w="108" w:type="dxa"/>
          </w:tblCellMar>
        </w:tblPrEx>
        <w:trPr>
          <w:trHeight w:val="398" w:hRule="atLeast"/>
          <w:jc w:val="center"/>
        </w:trPr>
        <w:tc>
          <w:tcPr>
            <w:tcW w:w="1379" w:type="dxa"/>
            <w:noWrap w:val="0"/>
            <w:vAlign w:val="center"/>
          </w:tcPr>
          <w:p w14:paraId="46B69720">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传    真：</w:t>
            </w:r>
          </w:p>
        </w:tc>
        <w:tc>
          <w:tcPr>
            <w:tcW w:w="3223" w:type="dxa"/>
            <w:gridSpan w:val="3"/>
            <w:noWrap w:val="0"/>
            <w:vAlign w:val="center"/>
          </w:tcPr>
          <w:p w14:paraId="45BC201B">
            <w:pPr>
              <w:pageBreakBefore w:val="0"/>
              <w:kinsoku/>
              <w:wordWrap/>
              <w:overflowPunct/>
              <w:topLinePunct w:val="0"/>
              <w:bidi w:val="0"/>
              <w:snapToGrid/>
              <w:spacing w:line="360" w:lineRule="auto"/>
              <w:ind w:left="-63" w:leftChars="-30"/>
              <w:rPr>
                <w:rFonts w:hint="eastAsia" w:ascii="华文中宋" w:hAnsi="华文中宋" w:eastAsia="华文中宋" w:cs="华文中宋"/>
                <w:b/>
                <w:bCs/>
                <w:color w:val="auto"/>
                <w:sz w:val="24"/>
                <w:szCs w:val="24"/>
              </w:rPr>
            </w:pPr>
          </w:p>
        </w:tc>
        <w:tc>
          <w:tcPr>
            <w:tcW w:w="1414" w:type="dxa"/>
            <w:noWrap w:val="0"/>
            <w:vAlign w:val="center"/>
          </w:tcPr>
          <w:p w14:paraId="463DFFFB">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传    真：</w:t>
            </w:r>
          </w:p>
        </w:tc>
        <w:tc>
          <w:tcPr>
            <w:tcW w:w="4005" w:type="dxa"/>
            <w:gridSpan w:val="3"/>
            <w:noWrap w:val="0"/>
            <w:vAlign w:val="center"/>
          </w:tcPr>
          <w:p w14:paraId="60425A1F">
            <w:pPr>
              <w:pageBreakBefore w:val="0"/>
              <w:kinsoku/>
              <w:wordWrap/>
              <w:overflowPunct/>
              <w:topLinePunct w:val="0"/>
              <w:bidi w:val="0"/>
              <w:snapToGrid/>
              <w:spacing w:line="360" w:lineRule="auto"/>
              <w:ind w:left="-63" w:leftChars="-30"/>
              <w:rPr>
                <w:rFonts w:hint="eastAsia" w:ascii="华文中宋" w:hAnsi="华文中宋" w:eastAsia="华文中宋" w:cs="华文中宋"/>
                <w:b/>
                <w:bCs/>
                <w:color w:val="auto"/>
                <w:sz w:val="24"/>
                <w:szCs w:val="24"/>
              </w:rPr>
            </w:pPr>
          </w:p>
        </w:tc>
      </w:tr>
      <w:tr w14:paraId="60F0CB2D">
        <w:tblPrEx>
          <w:tblCellMar>
            <w:top w:w="0" w:type="dxa"/>
            <w:left w:w="108" w:type="dxa"/>
            <w:bottom w:w="0" w:type="dxa"/>
            <w:right w:w="108" w:type="dxa"/>
          </w:tblCellMar>
        </w:tblPrEx>
        <w:trPr>
          <w:trHeight w:val="399" w:hRule="atLeast"/>
          <w:jc w:val="center"/>
        </w:trPr>
        <w:tc>
          <w:tcPr>
            <w:tcW w:w="1379" w:type="dxa"/>
            <w:noWrap w:val="0"/>
            <w:vAlign w:val="center"/>
          </w:tcPr>
          <w:p w14:paraId="62F6F1FF">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电子信箱：</w:t>
            </w:r>
          </w:p>
        </w:tc>
        <w:tc>
          <w:tcPr>
            <w:tcW w:w="3223" w:type="dxa"/>
            <w:gridSpan w:val="3"/>
            <w:noWrap w:val="0"/>
            <w:vAlign w:val="center"/>
          </w:tcPr>
          <w:p w14:paraId="000D5CEA">
            <w:pPr>
              <w:pageBreakBefore w:val="0"/>
              <w:kinsoku/>
              <w:wordWrap/>
              <w:overflowPunct/>
              <w:topLinePunct w:val="0"/>
              <w:bidi w:val="0"/>
              <w:snapToGrid/>
              <w:spacing w:line="360" w:lineRule="auto"/>
              <w:ind w:left="-63" w:leftChars="-30"/>
              <w:rPr>
                <w:rFonts w:hint="eastAsia" w:ascii="华文中宋" w:hAnsi="华文中宋" w:eastAsia="华文中宋" w:cs="华文中宋"/>
                <w:b/>
                <w:bCs/>
                <w:color w:val="auto"/>
                <w:sz w:val="24"/>
                <w:szCs w:val="24"/>
              </w:rPr>
            </w:pPr>
          </w:p>
        </w:tc>
        <w:tc>
          <w:tcPr>
            <w:tcW w:w="1414" w:type="dxa"/>
            <w:noWrap w:val="0"/>
            <w:vAlign w:val="center"/>
          </w:tcPr>
          <w:p w14:paraId="780FFEE7">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电子信箱：</w:t>
            </w:r>
          </w:p>
        </w:tc>
        <w:tc>
          <w:tcPr>
            <w:tcW w:w="4005" w:type="dxa"/>
            <w:gridSpan w:val="3"/>
            <w:noWrap w:val="0"/>
            <w:vAlign w:val="center"/>
          </w:tcPr>
          <w:p w14:paraId="1F486B62">
            <w:pPr>
              <w:pageBreakBefore w:val="0"/>
              <w:kinsoku/>
              <w:wordWrap/>
              <w:overflowPunct/>
              <w:topLinePunct w:val="0"/>
              <w:bidi w:val="0"/>
              <w:snapToGrid/>
              <w:spacing w:line="360" w:lineRule="auto"/>
              <w:ind w:left="-63" w:leftChars="-30"/>
              <w:rPr>
                <w:rFonts w:hint="eastAsia" w:ascii="华文中宋" w:hAnsi="华文中宋" w:eastAsia="华文中宋" w:cs="华文中宋"/>
                <w:b/>
                <w:bCs/>
                <w:color w:val="auto"/>
                <w:sz w:val="24"/>
                <w:szCs w:val="24"/>
              </w:rPr>
            </w:pPr>
          </w:p>
        </w:tc>
      </w:tr>
      <w:tr w14:paraId="07E2983B">
        <w:tblPrEx>
          <w:tblCellMar>
            <w:top w:w="0" w:type="dxa"/>
            <w:left w:w="108" w:type="dxa"/>
            <w:bottom w:w="0" w:type="dxa"/>
            <w:right w:w="108" w:type="dxa"/>
          </w:tblCellMar>
        </w:tblPrEx>
        <w:trPr>
          <w:trHeight w:val="869" w:hRule="atLeast"/>
          <w:jc w:val="center"/>
        </w:trPr>
        <w:tc>
          <w:tcPr>
            <w:tcW w:w="1379" w:type="dxa"/>
            <w:noWrap w:val="0"/>
            <w:vAlign w:val="center"/>
          </w:tcPr>
          <w:p w14:paraId="1BB834E2">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开户银行：</w:t>
            </w:r>
          </w:p>
        </w:tc>
        <w:tc>
          <w:tcPr>
            <w:tcW w:w="3223" w:type="dxa"/>
            <w:gridSpan w:val="3"/>
            <w:noWrap w:val="0"/>
            <w:vAlign w:val="center"/>
          </w:tcPr>
          <w:p w14:paraId="09FDB0D2">
            <w:pPr>
              <w:pageBreakBefore w:val="0"/>
              <w:kinsoku/>
              <w:wordWrap/>
              <w:overflowPunct/>
              <w:topLinePunct w:val="0"/>
              <w:bidi w:val="0"/>
              <w:snapToGrid/>
              <w:spacing w:line="360" w:lineRule="auto"/>
              <w:ind w:left="-113" w:leftChars="-54"/>
              <w:rPr>
                <w:rFonts w:hint="eastAsia" w:ascii="华文中宋" w:hAnsi="华文中宋" w:eastAsia="华文中宋" w:cs="华文中宋"/>
                <w:color w:val="auto"/>
                <w:sz w:val="24"/>
                <w:szCs w:val="24"/>
              </w:rPr>
            </w:pPr>
          </w:p>
        </w:tc>
        <w:tc>
          <w:tcPr>
            <w:tcW w:w="1414" w:type="dxa"/>
            <w:noWrap w:val="0"/>
            <w:vAlign w:val="center"/>
          </w:tcPr>
          <w:p w14:paraId="5FA185F6">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开户银行：</w:t>
            </w:r>
          </w:p>
        </w:tc>
        <w:tc>
          <w:tcPr>
            <w:tcW w:w="4005" w:type="dxa"/>
            <w:gridSpan w:val="3"/>
            <w:noWrap w:val="0"/>
            <w:vAlign w:val="center"/>
          </w:tcPr>
          <w:p w14:paraId="14AB6BE0">
            <w:pPr>
              <w:pageBreakBefore w:val="0"/>
              <w:kinsoku/>
              <w:wordWrap/>
              <w:overflowPunct/>
              <w:topLinePunct w:val="0"/>
              <w:bidi w:val="0"/>
              <w:snapToGrid/>
              <w:spacing w:line="360" w:lineRule="auto"/>
              <w:ind w:left="-113" w:leftChars="-54"/>
              <w:rPr>
                <w:rFonts w:hint="eastAsia" w:ascii="华文中宋" w:hAnsi="华文中宋" w:eastAsia="华文中宋" w:cs="华文中宋"/>
                <w:b/>
                <w:color w:val="auto"/>
                <w:sz w:val="24"/>
                <w:szCs w:val="24"/>
              </w:rPr>
            </w:pPr>
          </w:p>
        </w:tc>
      </w:tr>
      <w:tr w14:paraId="4A76F84E">
        <w:tblPrEx>
          <w:tblCellMar>
            <w:top w:w="0" w:type="dxa"/>
            <w:left w:w="108" w:type="dxa"/>
            <w:bottom w:w="0" w:type="dxa"/>
            <w:right w:w="108" w:type="dxa"/>
          </w:tblCellMar>
        </w:tblPrEx>
        <w:trPr>
          <w:trHeight w:val="556" w:hRule="atLeast"/>
          <w:jc w:val="center"/>
        </w:trPr>
        <w:tc>
          <w:tcPr>
            <w:tcW w:w="1379" w:type="dxa"/>
            <w:noWrap w:val="0"/>
            <w:vAlign w:val="center"/>
          </w:tcPr>
          <w:p w14:paraId="452CA76B">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账    号：</w:t>
            </w:r>
          </w:p>
        </w:tc>
        <w:tc>
          <w:tcPr>
            <w:tcW w:w="3223" w:type="dxa"/>
            <w:gridSpan w:val="3"/>
            <w:noWrap w:val="0"/>
            <w:vAlign w:val="center"/>
          </w:tcPr>
          <w:p w14:paraId="2D44BD64">
            <w:pPr>
              <w:pageBreakBefore w:val="0"/>
              <w:kinsoku/>
              <w:wordWrap/>
              <w:overflowPunct/>
              <w:topLinePunct w:val="0"/>
              <w:bidi w:val="0"/>
              <w:snapToGrid/>
              <w:spacing w:line="360" w:lineRule="auto"/>
              <w:ind w:left="-67" w:leftChars="-32"/>
              <w:rPr>
                <w:rFonts w:hint="eastAsia" w:ascii="华文中宋" w:hAnsi="华文中宋" w:eastAsia="华文中宋" w:cs="华文中宋"/>
                <w:b/>
                <w:bCs/>
                <w:color w:val="auto"/>
                <w:sz w:val="24"/>
                <w:szCs w:val="24"/>
              </w:rPr>
            </w:pPr>
          </w:p>
        </w:tc>
        <w:tc>
          <w:tcPr>
            <w:tcW w:w="1414" w:type="dxa"/>
            <w:noWrap w:val="0"/>
            <w:vAlign w:val="center"/>
          </w:tcPr>
          <w:p w14:paraId="6243D53F">
            <w:pPr>
              <w:pageBreakBefore w:val="0"/>
              <w:kinsoku/>
              <w:wordWrap/>
              <w:overflowPunct/>
              <w:topLinePunct w:val="0"/>
              <w:bidi w:val="0"/>
              <w:snapToGrid/>
              <w:spacing w:line="360" w:lineRule="auto"/>
              <w:ind w:right="-107" w:rightChars="-51"/>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账    号：</w:t>
            </w:r>
          </w:p>
        </w:tc>
        <w:tc>
          <w:tcPr>
            <w:tcW w:w="4005" w:type="dxa"/>
            <w:gridSpan w:val="3"/>
            <w:noWrap w:val="0"/>
            <w:vAlign w:val="center"/>
          </w:tcPr>
          <w:p w14:paraId="4E0F4CFC">
            <w:pPr>
              <w:pageBreakBefore w:val="0"/>
              <w:kinsoku/>
              <w:wordWrap/>
              <w:overflowPunct/>
              <w:topLinePunct w:val="0"/>
              <w:bidi w:val="0"/>
              <w:snapToGrid/>
              <w:spacing w:line="360" w:lineRule="auto"/>
              <w:ind w:left="-67" w:leftChars="-32"/>
              <w:rPr>
                <w:rFonts w:hint="eastAsia" w:ascii="华文中宋" w:hAnsi="华文中宋" w:eastAsia="华文中宋" w:cs="华文中宋"/>
                <w:b/>
                <w:bCs/>
                <w:color w:val="auto"/>
                <w:sz w:val="24"/>
                <w:szCs w:val="24"/>
              </w:rPr>
            </w:pPr>
          </w:p>
        </w:tc>
      </w:tr>
    </w:tbl>
    <w:p w14:paraId="0ABCD780">
      <w:pPr>
        <w:pStyle w:val="4"/>
        <w:pageBreakBefore w:val="0"/>
        <w:kinsoku/>
        <w:wordWrap/>
        <w:overflowPunct/>
        <w:topLinePunct w:val="0"/>
        <w:bidi w:val="0"/>
        <w:snapToGrid/>
        <w:spacing w:before="0" w:after="0" w:line="360" w:lineRule="auto"/>
        <w:jc w:val="center"/>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br w:type="page"/>
      </w:r>
      <w:bookmarkStart w:id="105" w:name="_Toc375060709"/>
      <w:bookmarkStart w:id="106" w:name="_Toc27883"/>
      <w:bookmarkStart w:id="107" w:name="_Toc3596"/>
      <w:bookmarkStart w:id="108" w:name="_Toc375060645"/>
      <w:r>
        <w:rPr>
          <w:rFonts w:hint="eastAsia" w:ascii="华文中宋" w:hAnsi="华文中宋" w:eastAsia="华文中宋" w:cs="华文中宋"/>
          <w:b w:val="0"/>
          <w:color w:val="auto"/>
          <w:sz w:val="24"/>
          <w:szCs w:val="24"/>
        </w:rPr>
        <w:t>第二部分 通用合同条款</w:t>
      </w:r>
      <w:bookmarkEnd w:id="105"/>
      <w:bookmarkEnd w:id="106"/>
      <w:bookmarkEnd w:id="107"/>
      <w:bookmarkEnd w:id="108"/>
      <w:bookmarkStart w:id="109" w:name="_Toc337558727"/>
    </w:p>
    <w:p w14:paraId="448AA2B9">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10" w:name="_Toc375060710"/>
      <w:r>
        <w:rPr>
          <w:rFonts w:hint="eastAsia" w:ascii="华文中宋" w:hAnsi="华文中宋" w:eastAsia="华文中宋" w:cs="华文中宋"/>
          <w:b w:val="0"/>
          <w:color w:val="auto"/>
          <w:sz w:val="24"/>
          <w:szCs w:val="24"/>
        </w:rPr>
        <w:t>1.</w:t>
      </w:r>
      <w:bookmarkStart w:id="111" w:name="_Toc303538973"/>
      <w:bookmarkEnd w:id="111"/>
      <w:bookmarkStart w:id="112" w:name="_Toc303538975"/>
      <w:bookmarkEnd w:id="112"/>
      <w:bookmarkStart w:id="113" w:name="_Toc303538974"/>
      <w:bookmarkEnd w:id="113"/>
      <w:bookmarkStart w:id="114" w:name="_Toc303538972"/>
      <w:bookmarkEnd w:id="114"/>
      <w:bookmarkStart w:id="115" w:name="_Toc303538976"/>
      <w:bookmarkEnd w:id="115"/>
      <w:bookmarkStart w:id="116" w:name="_Toc296503027"/>
      <w:bookmarkStart w:id="117" w:name="_Toc296346528"/>
      <w:r>
        <w:rPr>
          <w:rFonts w:hint="eastAsia" w:ascii="华文中宋" w:hAnsi="华文中宋" w:eastAsia="华文中宋" w:cs="华文中宋"/>
          <w:b w:val="0"/>
          <w:color w:val="auto"/>
          <w:sz w:val="24"/>
          <w:szCs w:val="24"/>
        </w:rPr>
        <w:t xml:space="preserve"> 一般约定</w:t>
      </w:r>
      <w:bookmarkEnd w:id="109"/>
      <w:bookmarkEnd w:id="110"/>
      <w:bookmarkEnd w:id="116"/>
      <w:bookmarkEnd w:id="117"/>
    </w:p>
    <w:p w14:paraId="2DC5CF16">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18" w:name="_Toc296346529"/>
      <w:bookmarkStart w:id="119" w:name="_Toc296503028"/>
      <w:bookmarkStart w:id="120" w:name="_Toc337558728"/>
      <w:bookmarkStart w:id="121" w:name="_Toc375060711"/>
      <w:r>
        <w:rPr>
          <w:rFonts w:hint="eastAsia" w:ascii="华文中宋" w:hAnsi="华文中宋" w:eastAsia="华文中宋" w:cs="华文中宋"/>
          <w:b w:val="0"/>
          <w:color w:val="auto"/>
          <w:sz w:val="24"/>
          <w:szCs w:val="24"/>
        </w:rPr>
        <w:t>1.1词语定义</w:t>
      </w:r>
      <w:bookmarkEnd w:id="118"/>
      <w:bookmarkEnd w:id="119"/>
      <w:bookmarkEnd w:id="120"/>
      <w:r>
        <w:rPr>
          <w:rFonts w:hint="eastAsia" w:ascii="华文中宋" w:hAnsi="华文中宋" w:eastAsia="华文中宋" w:cs="华文中宋"/>
          <w:b w:val="0"/>
          <w:color w:val="auto"/>
          <w:sz w:val="24"/>
          <w:szCs w:val="24"/>
        </w:rPr>
        <w:t>与解释</w:t>
      </w:r>
      <w:bookmarkEnd w:id="121"/>
    </w:p>
    <w:p w14:paraId="201BEE9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合同协议书、通用合同条款、专用合同条款中的下列词语具有本款所赋予的含义：</w:t>
      </w:r>
    </w:p>
    <w:p w14:paraId="6F902C15">
      <w:pPr>
        <w:pageBreakBefore w:val="0"/>
        <w:kinsoku/>
        <w:wordWrap/>
        <w:overflowPunct/>
        <w:topLinePunct w:val="0"/>
        <w:autoSpaceDE w:val="0"/>
        <w:autoSpaceDN w:val="0"/>
        <w:bidi w:val="0"/>
        <w:adjustRightInd w:val="0"/>
        <w:snapToGrid/>
        <w:spacing w:line="360" w:lineRule="auto"/>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    1.1.1 合同</w:t>
      </w:r>
    </w:p>
    <w:p w14:paraId="0555A3D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华文中宋" w:hAnsi="华文中宋" w:eastAsia="华文中宋" w:cs="华文中宋"/>
          <w:color w:val="auto"/>
          <w:sz w:val="24"/>
          <w:szCs w:val="24"/>
        </w:rPr>
        <w:t>及其附件</w:t>
      </w:r>
      <w:r>
        <w:rPr>
          <w:rFonts w:hint="eastAsia" w:ascii="华文中宋" w:hAnsi="华文中宋" w:eastAsia="华文中宋" w:cs="华文中宋"/>
          <w:color w:val="auto"/>
          <w:kern w:val="0"/>
          <w:sz w:val="24"/>
          <w:szCs w:val="24"/>
        </w:rPr>
        <w:t>、通用合同条款、技术标准和要求、图纸、已标价工程量清单或预算书以及其他合同文件。</w:t>
      </w:r>
    </w:p>
    <w:p w14:paraId="1C07464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1.1.1.2 合同协议书：是指构成合同的由发包人和承包人共同签署的称为“合同协议书”的书面文件。</w:t>
      </w:r>
    </w:p>
    <w:p w14:paraId="023004C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1.1.1.3 中标通知书：是指构成合同的由发包人通知承包人中标的书面文件。</w:t>
      </w:r>
    </w:p>
    <w:p w14:paraId="75603F7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1.1.1.4 投标函：是指构成合同的由承包人填写并签署的用于投标的称为“投标函”的文件。</w:t>
      </w:r>
    </w:p>
    <w:p w14:paraId="564925B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1.1.1.5 投标函附录：是指构成合同的附在投标函后的称为“投标函附录”的文件。</w:t>
      </w:r>
    </w:p>
    <w:p w14:paraId="4A9310E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1.1.1.6 技术标准和要求：是指构成合同的施工应当遵守的或指导施工的国家、行业或地方的技术标准和要求，以及合同约定的技术标准和要求。</w:t>
      </w:r>
    </w:p>
    <w:p w14:paraId="5A3D707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327ABF82">
      <w:pPr>
        <w:pageBreakBefore w:val="0"/>
        <w:kinsoku/>
        <w:wordWrap/>
        <w:overflowPunct/>
        <w:topLinePunct w:val="0"/>
        <w:autoSpaceDE w:val="0"/>
        <w:autoSpaceDN w:val="0"/>
        <w:bidi w:val="0"/>
        <w:adjustRightInd w:val="0"/>
        <w:snapToGrid/>
        <w:spacing w:line="360" w:lineRule="auto"/>
        <w:ind w:firstLine="468" w:firstLineChars="195"/>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1.1.1.8 已标价工程量清单：是指构成合同的由承包人按照规定的格式和要求填写并标明价格的工程量清单，包括说明和表格。</w:t>
      </w:r>
    </w:p>
    <w:p w14:paraId="33CB0681">
      <w:pPr>
        <w:pageBreakBefore w:val="0"/>
        <w:kinsoku/>
        <w:wordWrap/>
        <w:overflowPunct/>
        <w:topLinePunct w:val="0"/>
        <w:autoSpaceDE w:val="0"/>
        <w:autoSpaceDN w:val="0"/>
        <w:bidi w:val="0"/>
        <w:adjustRightInd w:val="0"/>
        <w:snapToGrid/>
        <w:spacing w:line="360" w:lineRule="auto"/>
        <w:ind w:firstLine="468" w:firstLineChars="195"/>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1.1.1.9 预算书：是指构成合同的由承包人按照发包人规定的格式和要求编制的工程预算文件。</w:t>
      </w:r>
    </w:p>
    <w:p w14:paraId="0ACA768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1.1.1.10 其他合同文件：是指经合同当事人约定的与工程施工有关的具有合同约束力的文件或书面协议。合同当事人可以在专用合同条款中进行约定。</w:t>
      </w:r>
    </w:p>
    <w:p w14:paraId="210523DE">
      <w:pPr>
        <w:pageBreakBefore w:val="0"/>
        <w:kinsoku/>
        <w:wordWrap/>
        <w:overflowPunct/>
        <w:topLinePunct w:val="0"/>
        <w:autoSpaceDE w:val="0"/>
        <w:autoSpaceDN w:val="0"/>
        <w:bidi w:val="0"/>
        <w:adjustRightInd w:val="0"/>
        <w:snapToGrid/>
        <w:spacing w:line="360" w:lineRule="auto"/>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    1.1.2 合同当事人及其他相关方</w:t>
      </w:r>
    </w:p>
    <w:p w14:paraId="544BFD9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1.1.2.1 合同当事人：是指发包人和（或）承包人。</w:t>
      </w:r>
    </w:p>
    <w:p w14:paraId="595055F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1.1.2.2 发包人：是指与承包人签订合同协议书的当事人及取得该当事人资格的合法继承人。</w:t>
      </w:r>
    </w:p>
    <w:p w14:paraId="295A0DF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1.1.2.3 承包人：是指与发包人签订合同协议书的，具有相应工程施工承包资质的当事人及取得该当事人资格的合法继承人。</w:t>
      </w:r>
    </w:p>
    <w:p w14:paraId="0342EF6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1.1.2.4 监理人：是指在专用合同条款中指明的，受发包人委托按照法律规定进行工程监督管理的法人或其他组织。</w:t>
      </w:r>
    </w:p>
    <w:p w14:paraId="2CDF497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1.1.2.5 设计人：是指在专用合同条款中指明的，受发包人委托负责工程设计并具备相应工程设计资质的法人或其他组织。</w:t>
      </w:r>
    </w:p>
    <w:p w14:paraId="1EC94F62">
      <w:pPr>
        <w:pageBreakBefore w:val="0"/>
        <w:kinsoku/>
        <w:wordWrap/>
        <w:overflowPunct/>
        <w:topLinePunct w:val="0"/>
        <w:bidi w:val="0"/>
        <w:snapToGrid/>
        <w:spacing w:line="360" w:lineRule="auto"/>
        <w:ind w:firstLine="468" w:firstLineChars="195"/>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1.1.2.6 分包人：</w:t>
      </w:r>
      <w:bookmarkStart w:id="122" w:name="#go5"/>
      <w:bookmarkEnd w:id="122"/>
      <w:r>
        <w:rPr>
          <w:rFonts w:hint="eastAsia" w:ascii="华文中宋" w:hAnsi="华文中宋" w:eastAsia="华文中宋" w:cs="华文中宋"/>
          <w:color w:val="auto"/>
          <w:kern w:val="0"/>
          <w:sz w:val="24"/>
          <w:szCs w:val="24"/>
        </w:rPr>
        <w:t>是指按照法律规定和合同约定，分包部分工程或工作，并与承包人签订分包合同的具有相应资质的法人。</w:t>
      </w:r>
    </w:p>
    <w:p w14:paraId="76E16D9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1.1.2.7 发包人代表：是指由发包人任命并派驻施工现场在发包人授权范围内行使发包人权利的人。</w:t>
      </w:r>
    </w:p>
    <w:p w14:paraId="5254155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1.1.2.8 项目经理：是指由承包人任命并派驻施工现场，在承包人授权范围内负责合同履行，且按照法律规定具有相应资格的项目负责人。</w:t>
      </w:r>
    </w:p>
    <w:p w14:paraId="4DBD2F0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1.1.2.9 总监理工程师：是指由监理人任命并派驻施工现场进行工程监理的总负责人。</w:t>
      </w:r>
    </w:p>
    <w:p w14:paraId="4EE2B6D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 工程和设备</w:t>
      </w:r>
    </w:p>
    <w:p w14:paraId="28351F6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1.1.3.1 工程：是指与合同协议书中工程承包范围对应的永久工程和（或）临时工程。</w:t>
      </w:r>
    </w:p>
    <w:p w14:paraId="4E8D4AB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1.1.3.2 永久工程：是指按合同约定建造并移交给发包人的工程，包括工程设备。</w:t>
      </w:r>
    </w:p>
    <w:p w14:paraId="5C14645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1.1.3.3 临时工程：是指为完成合同约定的永久工程所修建的各类临时性工程，不包括施工设备。</w:t>
      </w:r>
    </w:p>
    <w:p w14:paraId="28597B4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1.1.3.4 单位工程：是指在合同协议书中指明的，具备独立施工条件并能形成独立使用功能的永久工程。</w:t>
      </w:r>
    </w:p>
    <w:p w14:paraId="128F066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1.1.3.5 工程设备：是指构成永久工程的机电设备、金属结构设备、仪器及其他类似的设备和装置。</w:t>
      </w:r>
    </w:p>
    <w:p w14:paraId="0B27BF8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1.1.3.6 施工设备：是指为完成合同约定的各项工作所需的设备、器具和其他物品，但不包括工程设备、临时工程和材料。</w:t>
      </w:r>
    </w:p>
    <w:p w14:paraId="2052070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1.1.3.7 施工现场：是指用于工程施工的场所，以及在专用合同条款中指明作为施工场所组成部分的其他场所，包括永久占地和临时占地。</w:t>
      </w:r>
    </w:p>
    <w:p w14:paraId="5EC5251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1.1.3.8 临时设施：是指为完成合同约定的各项工作所服务的临时性生产和生活设施。</w:t>
      </w:r>
    </w:p>
    <w:p w14:paraId="3DC4F58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1.1.3.9 永久占地：是指专用合同条款中指明为实施工程需永久占用的土地。</w:t>
      </w:r>
    </w:p>
    <w:p w14:paraId="770738A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1.1.3.10 临时占地：是指专用合同条款中指明为实施工程需要临时占用的土地。</w:t>
      </w:r>
    </w:p>
    <w:p w14:paraId="4C06D52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1.1.4 日期和期限</w:t>
      </w:r>
    </w:p>
    <w:p w14:paraId="6E7CD2A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873543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1.1.4.2 竣工日期：包括计划竣工日期和实际竣工日期。计划竣工日期是指合同协议书约定的竣工日期；实际竣工日期按照第13.2.3项〔竣工日期〕的约定确定。 </w:t>
      </w:r>
    </w:p>
    <w:p w14:paraId="6248E4EA">
      <w:pPr>
        <w:pageBreakBefore w:val="0"/>
        <w:kinsoku/>
        <w:wordWrap/>
        <w:overflowPunct/>
        <w:topLinePunct w:val="0"/>
        <w:bidi w:val="0"/>
        <w:snapToGrid/>
        <w:spacing w:line="360" w:lineRule="auto"/>
        <w:ind w:firstLine="487" w:firstLineChars="203"/>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1.1.4.3 工期：是指在合同协议书约定的承包人完成工程所需的期限，包括按照合同约定所作的期限变更。</w:t>
      </w:r>
    </w:p>
    <w:p w14:paraId="7CFDDC6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1.1.4.4 缺陷责任期：是指承包人按照合同约定承担缺陷修复义务，且发包人预留质量保证金（已缴纳履约保证金的除外）的期限，自工程实际竣工日期起计算。</w:t>
      </w:r>
    </w:p>
    <w:p w14:paraId="3CEF0FB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1.1.4.5 保修期：是指承包人按照合同约定对工程承担保修责任的期限，从工程竣工验收合格之日起计算。</w:t>
      </w:r>
    </w:p>
    <w:p w14:paraId="3DB913F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1.1.4.6 基准日期：招标发包的工程以投标截止日前28天的日期为基准日期，直接发包的工程以合同签订日前28天的日期为基准日期。</w:t>
      </w:r>
    </w:p>
    <w:p w14:paraId="134B0F6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1.1.4.7 天：除特别指明外，均指日历天。合同中按天计算时间的，开始当天不计入，从次日开始计算，期限最后一天的截止时间为当天24∶00时。</w:t>
      </w:r>
    </w:p>
    <w:p w14:paraId="2869764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1.1.5 合同价格和费用</w:t>
      </w:r>
    </w:p>
    <w:p w14:paraId="2D840A1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1.1.5.1 签约合同价：是指</w:t>
      </w:r>
      <w:r>
        <w:rPr>
          <w:rFonts w:hint="eastAsia" w:ascii="华文中宋" w:hAnsi="华文中宋" w:eastAsia="华文中宋" w:cs="华文中宋"/>
          <w:color w:val="auto"/>
          <w:sz w:val="24"/>
          <w:szCs w:val="24"/>
        </w:rPr>
        <w:t>发包人和承包人在合同协议书中确定的总金额，包括安全文明施工费、暂估价及暂列金额等。</w:t>
      </w:r>
    </w:p>
    <w:p w14:paraId="14922B3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1.1.5.2 合同价格：是指发包人用于支付承包人按照合同约定完成承包范围内全部工作的金额，包括合同履行过程中按合同约定发生的价格变化。</w:t>
      </w:r>
    </w:p>
    <w:p w14:paraId="2AB84FB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1.1.5.3 费用：是指为履行合同所发生的或将要发生的所有必需的开支，包括管理费和应分摊的其他费用，但不包括利润。</w:t>
      </w:r>
    </w:p>
    <w:p w14:paraId="28D5E57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1.1.5.4 暂估价：是指发包人在工程量清单或预算书中提供的用于支付必然发生但暂时不能确定价格的材料、工程设备的单价、专业工程以及服务工作的金额。</w:t>
      </w:r>
    </w:p>
    <w:p w14:paraId="2B20125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152CAA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1.1.5.6 计日工：是指合同履行过程中，承包人完成发包人提出的零星工作或需要采用计日工计价的变更工作时，按合同中约定的单价计价的一种方式。</w:t>
      </w:r>
    </w:p>
    <w:p w14:paraId="1E12A26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1.1.5.7 质量保证金</w:t>
      </w:r>
      <w:bookmarkStart w:id="123" w:name="#go2"/>
      <w:bookmarkEnd w:id="123"/>
      <w:r>
        <w:rPr>
          <w:rFonts w:hint="eastAsia" w:ascii="华文中宋" w:hAnsi="华文中宋" w:eastAsia="华文中宋" w:cs="华文中宋"/>
          <w:color w:val="auto"/>
          <w:kern w:val="0"/>
          <w:sz w:val="24"/>
          <w:szCs w:val="24"/>
        </w:rPr>
        <w:t>：是指按照第15.3款〔质量保证金〕约定承包人用于保证其在缺陷责任期内履行缺陷修补义务的担保</w:t>
      </w:r>
      <w:r>
        <w:rPr>
          <w:rFonts w:hint="eastAsia" w:ascii="华文中宋" w:hAnsi="华文中宋" w:eastAsia="华文中宋" w:cs="华文中宋"/>
          <w:color w:val="auto"/>
          <w:sz w:val="24"/>
          <w:szCs w:val="24"/>
        </w:rPr>
        <w:t>。</w:t>
      </w:r>
    </w:p>
    <w:p w14:paraId="0B377D3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1.1.5.8 总价项目：是指在现行国家、行业以及地方的计量规则中无工程量计算规则，在已标价工程量清单或预算书中以总价或以费率形式计算的项目。</w:t>
      </w:r>
    </w:p>
    <w:p w14:paraId="37AE31E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1.1.6 其他</w:t>
      </w:r>
    </w:p>
    <w:p w14:paraId="64BFF4B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1.1.6.1 书面形式：是指合同文件、信函、电报、传真等可以有形地表现所载内容的形式。</w:t>
      </w:r>
    </w:p>
    <w:p w14:paraId="544D473E">
      <w:pPr>
        <w:pStyle w:val="6"/>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r>
        <w:rPr>
          <w:rFonts w:hint="eastAsia" w:ascii="华文中宋" w:hAnsi="华文中宋" w:eastAsia="华文中宋" w:cs="华文中宋"/>
          <w:b w:val="0"/>
          <w:color w:val="auto"/>
          <w:sz w:val="24"/>
          <w:szCs w:val="24"/>
        </w:rPr>
        <w:t xml:space="preserve">    </w:t>
      </w:r>
      <w:bookmarkStart w:id="124" w:name="_Toc375060712"/>
      <w:bookmarkStart w:id="125" w:name="_Toc337558729"/>
      <w:bookmarkStart w:id="126" w:name="_Toc296346530"/>
      <w:bookmarkStart w:id="127" w:name="_Toc296503029"/>
      <w:r>
        <w:rPr>
          <w:rFonts w:hint="eastAsia" w:ascii="华文中宋" w:hAnsi="华文中宋" w:eastAsia="华文中宋" w:cs="华文中宋"/>
          <w:b w:val="0"/>
          <w:color w:val="auto"/>
          <w:sz w:val="24"/>
          <w:szCs w:val="24"/>
        </w:rPr>
        <w:t>1.2语言文字</w:t>
      </w:r>
      <w:bookmarkEnd w:id="124"/>
      <w:bookmarkEnd w:id="125"/>
      <w:bookmarkEnd w:id="126"/>
      <w:bookmarkEnd w:id="127"/>
    </w:p>
    <w:p w14:paraId="11E0DD9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合同以中国的汉语简体文字编写、解释和说明。合同当事人在专用合同条款中约定使用两种以上语言时，汉语为优先解释和说明合同的语言。</w:t>
      </w:r>
    </w:p>
    <w:p w14:paraId="1A58417D">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28" w:name="_Toc296346531"/>
      <w:bookmarkStart w:id="129" w:name="_Toc337558730"/>
      <w:bookmarkStart w:id="130" w:name="_Toc296503030"/>
      <w:bookmarkStart w:id="131" w:name="_Toc375060713"/>
      <w:r>
        <w:rPr>
          <w:rFonts w:hint="eastAsia" w:ascii="华文中宋" w:hAnsi="华文中宋" w:eastAsia="华文中宋" w:cs="华文中宋"/>
          <w:b w:val="0"/>
          <w:color w:val="auto"/>
          <w:sz w:val="24"/>
          <w:szCs w:val="24"/>
        </w:rPr>
        <w:t>1.3法律</w:t>
      </w:r>
      <w:bookmarkEnd w:id="128"/>
      <w:bookmarkEnd w:id="129"/>
      <w:bookmarkEnd w:id="130"/>
      <w:bookmarkEnd w:id="131"/>
    </w:p>
    <w:p w14:paraId="345044B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合同所称法律是指中华人民共和国法律、行政法规、部门规章，以及工程所在地的地方性法规、自治条例、单行条例和地方政府规章等。</w:t>
      </w:r>
    </w:p>
    <w:p w14:paraId="6936B34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合同当事人可以在专用合同条款中约定合同适用的其他规范性文件。</w:t>
      </w:r>
    </w:p>
    <w:p w14:paraId="448D66B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32" w:name="_Toc375060714"/>
      <w:r>
        <w:rPr>
          <w:rFonts w:hint="eastAsia" w:ascii="华文中宋" w:hAnsi="华文中宋" w:eastAsia="华文中宋" w:cs="华文中宋"/>
          <w:b w:val="0"/>
          <w:color w:val="auto"/>
          <w:sz w:val="24"/>
          <w:szCs w:val="24"/>
        </w:rPr>
        <w:t>1.4 标准和规范</w:t>
      </w:r>
      <w:bookmarkEnd w:id="132"/>
    </w:p>
    <w:p w14:paraId="6C3C2C16">
      <w:pPr>
        <w:pageBreakBefore w:val="0"/>
        <w:kinsoku/>
        <w:wordWrap/>
        <w:overflowPunct/>
        <w:topLinePunct w:val="0"/>
        <w:autoSpaceDE w:val="0"/>
        <w:autoSpaceDN w:val="0"/>
        <w:bidi w:val="0"/>
        <w:adjustRightInd w:val="0"/>
        <w:snapToGrid/>
        <w:spacing w:line="360" w:lineRule="auto"/>
        <w:ind w:firstLine="64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1.4.1 适用于工程的国家标准、行业标准、工程所在地的地方性标准，以及相应的规范、规程等，合同当事人有特别要求的，应在专用合同条款中约定。</w:t>
      </w:r>
    </w:p>
    <w:p w14:paraId="63ACF043">
      <w:pPr>
        <w:pageBreakBefore w:val="0"/>
        <w:kinsoku/>
        <w:wordWrap/>
        <w:overflowPunct/>
        <w:topLinePunct w:val="0"/>
        <w:autoSpaceDE w:val="0"/>
        <w:autoSpaceDN w:val="0"/>
        <w:bidi w:val="0"/>
        <w:adjustRightInd w:val="0"/>
        <w:snapToGrid/>
        <w:spacing w:line="360" w:lineRule="auto"/>
        <w:ind w:firstLine="64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1.4.2 发包人要求使用国外标准、规范的，发包人负责提供原文版本和中文译本，并在专用合同条款中约定提供标准规范的名称、份数和时间。</w:t>
      </w:r>
    </w:p>
    <w:p w14:paraId="68B26366">
      <w:pPr>
        <w:pageBreakBefore w:val="0"/>
        <w:kinsoku/>
        <w:wordWrap/>
        <w:overflowPunct/>
        <w:topLinePunct w:val="0"/>
        <w:autoSpaceDE w:val="0"/>
        <w:autoSpaceDN w:val="0"/>
        <w:bidi w:val="0"/>
        <w:adjustRightInd w:val="0"/>
        <w:snapToGrid/>
        <w:spacing w:line="360" w:lineRule="auto"/>
        <w:ind w:firstLine="64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0F00CC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33" w:name="_Toc375060715"/>
      <w:r>
        <w:rPr>
          <w:rFonts w:hint="eastAsia" w:ascii="华文中宋" w:hAnsi="华文中宋" w:eastAsia="华文中宋" w:cs="华文中宋"/>
          <w:b w:val="0"/>
          <w:color w:val="auto"/>
          <w:sz w:val="24"/>
          <w:szCs w:val="24"/>
        </w:rPr>
        <w:t>1</w:t>
      </w:r>
      <w:bookmarkStart w:id="134" w:name="_Toc296346532"/>
      <w:bookmarkStart w:id="135" w:name="_Toc296503031"/>
      <w:bookmarkStart w:id="136" w:name="_Toc337558731"/>
      <w:r>
        <w:rPr>
          <w:rFonts w:hint="eastAsia" w:ascii="华文中宋" w:hAnsi="华文中宋" w:eastAsia="华文中宋" w:cs="华文中宋"/>
          <w:b w:val="0"/>
          <w:color w:val="auto"/>
          <w:sz w:val="24"/>
          <w:szCs w:val="24"/>
        </w:rPr>
        <w:t>.5 合同文件的优先顺序</w:t>
      </w:r>
      <w:bookmarkEnd w:id="133"/>
    </w:p>
    <w:bookmarkEnd w:id="134"/>
    <w:bookmarkEnd w:id="135"/>
    <w:bookmarkEnd w:id="136"/>
    <w:p w14:paraId="716AC99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组成合同的各项文件应互相解释，互为说明。除专用合同条款另有约定外，解释合同文件的优先顺序如下：</w:t>
      </w:r>
    </w:p>
    <w:p w14:paraId="4DD47D1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（1）合同协议书；</w:t>
      </w:r>
    </w:p>
    <w:p w14:paraId="422540F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（2）中标通知书（如果有）；</w:t>
      </w:r>
    </w:p>
    <w:p w14:paraId="1AC898B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（3）投标函及其附录（如果有）；</w:t>
      </w:r>
    </w:p>
    <w:p w14:paraId="067B226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（4）专用合同条款</w:t>
      </w:r>
      <w:r>
        <w:rPr>
          <w:rFonts w:hint="eastAsia" w:ascii="华文中宋" w:hAnsi="华文中宋" w:eastAsia="华文中宋" w:cs="华文中宋"/>
          <w:color w:val="auto"/>
          <w:sz w:val="24"/>
          <w:szCs w:val="24"/>
        </w:rPr>
        <w:t>及其附件</w:t>
      </w:r>
      <w:r>
        <w:rPr>
          <w:rFonts w:hint="eastAsia" w:ascii="华文中宋" w:hAnsi="华文中宋" w:eastAsia="华文中宋" w:cs="华文中宋"/>
          <w:color w:val="auto"/>
          <w:kern w:val="0"/>
          <w:sz w:val="24"/>
          <w:szCs w:val="24"/>
        </w:rPr>
        <w:t>；</w:t>
      </w:r>
    </w:p>
    <w:p w14:paraId="270AA55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（5）通用合同条款；</w:t>
      </w:r>
    </w:p>
    <w:p w14:paraId="107A5D1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（6）技术标准和要求；</w:t>
      </w:r>
    </w:p>
    <w:p w14:paraId="32C4DF3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（7）图纸；</w:t>
      </w:r>
    </w:p>
    <w:p w14:paraId="19E9BCD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（8）已标价工程量清单或预算书；</w:t>
      </w:r>
    </w:p>
    <w:p w14:paraId="24F56F9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（9）其他合同文件。</w:t>
      </w:r>
    </w:p>
    <w:p w14:paraId="016A18E4">
      <w:pPr>
        <w:pageBreakBefore w:val="0"/>
        <w:kinsoku/>
        <w:wordWrap/>
        <w:overflowPunct/>
        <w:topLinePunct w:val="0"/>
        <w:bidi w:val="0"/>
        <w:snapToGrid/>
        <w:spacing w:line="360" w:lineRule="auto"/>
        <w:ind w:firstLine="511" w:firstLineChars="213"/>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上述各项合同文件包括合同当事人就该项合同文件所作出的补充和修改，属于同一类内容的文件，应以最新签署的为准。</w:t>
      </w:r>
    </w:p>
    <w:p w14:paraId="60EFDF7E">
      <w:pPr>
        <w:pageBreakBefore w:val="0"/>
        <w:kinsoku/>
        <w:wordWrap/>
        <w:overflowPunct/>
        <w:topLinePunct w:val="0"/>
        <w:bidi w:val="0"/>
        <w:snapToGrid/>
        <w:spacing w:line="360" w:lineRule="auto"/>
        <w:ind w:firstLine="511" w:firstLineChars="213"/>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在合同订立及履行过程中形成的与合同有关的文件均构成合同文件组成部分，并根据其性质确定优先解释顺序。</w:t>
      </w:r>
    </w:p>
    <w:p w14:paraId="4C6978D2">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37" w:name="_Toc375060716"/>
      <w:r>
        <w:rPr>
          <w:rFonts w:hint="eastAsia" w:ascii="华文中宋" w:hAnsi="华文中宋" w:eastAsia="华文中宋" w:cs="华文中宋"/>
          <w:b w:val="0"/>
          <w:color w:val="auto"/>
          <w:sz w:val="24"/>
          <w:szCs w:val="24"/>
        </w:rPr>
        <w:t>1</w:t>
      </w:r>
      <w:bookmarkStart w:id="138" w:name="_Toc337558732"/>
      <w:bookmarkStart w:id="139" w:name="_Toc296346533"/>
      <w:bookmarkStart w:id="140" w:name="_Toc296503032"/>
      <w:r>
        <w:rPr>
          <w:rFonts w:hint="eastAsia" w:ascii="华文中宋" w:hAnsi="华文中宋" w:eastAsia="华文中宋" w:cs="华文中宋"/>
          <w:b w:val="0"/>
          <w:color w:val="auto"/>
          <w:sz w:val="24"/>
          <w:szCs w:val="24"/>
        </w:rPr>
        <w:t>.6图纸和承包人文件</w:t>
      </w:r>
      <w:bookmarkEnd w:id="137"/>
    </w:p>
    <w:bookmarkEnd w:id="138"/>
    <w:bookmarkEnd w:id="139"/>
    <w:bookmarkEnd w:id="140"/>
    <w:p w14:paraId="56DA619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1.6.1 图纸的提供和交底</w:t>
      </w:r>
    </w:p>
    <w:p w14:paraId="4164494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32B27C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因发包人未按合同约定提供图纸导致承包人费用增加和（或）工期延误的，按照第7.5.1项〔因发包人原因导致工期延误〕约定办理。</w:t>
      </w:r>
    </w:p>
    <w:p w14:paraId="61F0E7F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1.6.2 图纸的错误</w:t>
      </w:r>
    </w:p>
    <w:p w14:paraId="7718BFD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3707DD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1.6.3 图纸的修改和补充</w:t>
      </w:r>
    </w:p>
    <w:p w14:paraId="329C347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6BB48A0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1.6.4 承包人文件</w:t>
      </w:r>
    </w:p>
    <w:p w14:paraId="5D5EB1F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承包人应按照专用合同条款的约定提供应当由其编制的与工程施工有关的文件，并按照专用合同条款约定的期限、数量和形式提交监理人，并由监理人报送发包人。</w:t>
      </w:r>
    </w:p>
    <w:p w14:paraId="2EF2BAE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3D5B93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1.6.5 图纸和承包人文件的保管</w:t>
      </w:r>
    </w:p>
    <w:p w14:paraId="10FE9B4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除专用合同条款另有约定外，承包人应在施工现场另外保存一套完整的图纸和承包人文件，供发包人、监理人及有关人员进行工程检查时使用。</w:t>
      </w:r>
    </w:p>
    <w:p w14:paraId="08634001">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41" w:name="_Toc375060717"/>
      <w:r>
        <w:rPr>
          <w:rFonts w:hint="eastAsia" w:ascii="华文中宋" w:hAnsi="华文中宋" w:eastAsia="华文中宋" w:cs="华文中宋"/>
          <w:b w:val="0"/>
          <w:color w:val="auto"/>
          <w:sz w:val="24"/>
          <w:szCs w:val="24"/>
        </w:rPr>
        <w:t>1</w:t>
      </w:r>
      <w:bookmarkStart w:id="142" w:name="_Toc296346534"/>
      <w:bookmarkStart w:id="143" w:name="_Toc337558733"/>
      <w:bookmarkStart w:id="144" w:name="_Toc296503033"/>
      <w:r>
        <w:rPr>
          <w:rFonts w:hint="eastAsia" w:ascii="华文中宋" w:hAnsi="华文中宋" w:eastAsia="华文中宋" w:cs="华文中宋"/>
          <w:b w:val="0"/>
          <w:color w:val="auto"/>
          <w:sz w:val="24"/>
          <w:szCs w:val="24"/>
        </w:rPr>
        <w:t>.7联络</w:t>
      </w:r>
      <w:bookmarkEnd w:id="141"/>
    </w:p>
    <w:bookmarkEnd w:id="142"/>
    <w:bookmarkEnd w:id="143"/>
    <w:bookmarkEnd w:id="144"/>
    <w:p w14:paraId="4C08553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1.7.1 与合同有关的通知、批准、证明、证书、指示、指令、要求、请求、同意、意见、确定和决定等，均应采用书面形式，并应在合同约定的期限内送达接收人和送达地点。</w:t>
      </w:r>
    </w:p>
    <w:p w14:paraId="0FF5245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1.7.2 发包人和承包人应在专用合同条款中约定各自的送达接收人和送达地点。任何一方合同当事人指定的接收人或送达地点发生变动的，应提前3天以书面形式通知对方。</w:t>
      </w:r>
    </w:p>
    <w:p w14:paraId="141B2FC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1.7.3 发包人和承包人应当及时签收另一方送达至送达地点和指定接收人的来往信函。拒不签收的，由此增加的费用和（或）延误的工期由拒绝接收一方承担。</w:t>
      </w:r>
    </w:p>
    <w:p w14:paraId="58BDD7AB">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45" w:name="_Toc375060718"/>
      <w:r>
        <w:rPr>
          <w:rFonts w:hint="eastAsia" w:ascii="华文中宋" w:hAnsi="华文中宋" w:eastAsia="华文中宋" w:cs="华文中宋"/>
          <w:b w:val="0"/>
          <w:color w:val="auto"/>
          <w:sz w:val="24"/>
          <w:szCs w:val="24"/>
        </w:rPr>
        <w:t>1</w:t>
      </w:r>
      <w:bookmarkStart w:id="146" w:name="_Toc296346536"/>
      <w:bookmarkStart w:id="147" w:name="_Toc296503035"/>
      <w:bookmarkStart w:id="148" w:name="_Toc337558734"/>
      <w:r>
        <w:rPr>
          <w:rFonts w:hint="eastAsia" w:ascii="华文中宋" w:hAnsi="华文中宋" w:eastAsia="华文中宋" w:cs="华文中宋"/>
          <w:b w:val="0"/>
          <w:color w:val="auto"/>
          <w:sz w:val="24"/>
          <w:szCs w:val="24"/>
        </w:rPr>
        <w:t>.8严禁贿赂</w:t>
      </w:r>
      <w:bookmarkEnd w:id="145"/>
    </w:p>
    <w:bookmarkEnd w:id="146"/>
    <w:bookmarkEnd w:id="147"/>
    <w:bookmarkEnd w:id="148"/>
    <w:p w14:paraId="6CCA8B4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合同当事人不得以贿赂或变相贿赂的方式，谋取非法利益或损害对方权益。因一方合同当事人的贿赂造成对方损失的，应赔偿损失，并承担相应的法律责任。</w:t>
      </w:r>
    </w:p>
    <w:p w14:paraId="3843F30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5E06A47B">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49" w:name="_Toc375060719"/>
      <w:r>
        <w:rPr>
          <w:rFonts w:hint="eastAsia" w:ascii="华文中宋" w:hAnsi="华文中宋" w:eastAsia="华文中宋" w:cs="华文中宋"/>
          <w:b w:val="0"/>
          <w:color w:val="auto"/>
          <w:sz w:val="24"/>
          <w:szCs w:val="24"/>
        </w:rPr>
        <w:t>1</w:t>
      </w:r>
      <w:bookmarkStart w:id="150" w:name="_Toc296503036"/>
      <w:bookmarkStart w:id="151" w:name="_Toc337558735"/>
      <w:bookmarkStart w:id="152" w:name="_Toc296346537"/>
      <w:r>
        <w:rPr>
          <w:rFonts w:hint="eastAsia" w:ascii="华文中宋" w:hAnsi="华文中宋" w:eastAsia="华文中宋" w:cs="华文中宋"/>
          <w:b w:val="0"/>
          <w:color w:val="auto"/>
          <w:sz w:val="24"/>
          <w:szCs w:val="24"/>
        </w:rPr>
        <w:t>.9化石、文物</w:t>
      </w:r>
      <w:bookmarkEnd w:id="149"/>
    </w:p>
    <w:bookmarkEnd w:id="150"/>
    <w:bookmarkEnd w:id="151"/>
    <w:bookmarkEnd w:id="152"/>
    <w:p w14:paraId="0BAF542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88AC26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发包人、监理人和承包人应按有关政府行政管理部门要求采取妥善的保护措施，由此增加的费用和（或）延误的工期由发包人承担。</w:t>
      </w:r>
    </w:p>
    <w:p w14:paraId="2DA1FCF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承包人发现文物后不及时报告或隐瞒不报，致使文物丢失或损坏的，应赔偿损失，并承担相应的法律责任。</w:t>
      </w:r>
    </w:p>
    <w:p w14:paraId="01686F7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53" w:name="_Toc375060720"/>
      <w:r>
        <w:rPr>
          <w:rFonts w:hint="eastAsia" w:ascii="华文中宋" w:hAnsi="华文中宋" w:eastAsia="华文中宋" w:cs="华文中宋"/>
          <w:b w:val="0"/>
          <w:color w:val="auto"/>
          <w:sz w:val="24"/>
          <w:szCs w:val="24"/>
        </w:rPr>
        <w:t>1</w:t>
      </w:r>
      <w:bookmarkStart w:id="154" w:name="_Toc337558736"/>
      <w:r>
        <w:rPr>
          <w:rFonts w:hint="eastAsia" w:ascii="华文中宋" w:hAnsi="华文中宋" w:eastAsia="华文中宋" w:cs="华文中宋"/>
          <w:b w:val="0"/>
          <w:color w:val="auto"/>
          <w:sz w:val="24"/>
          <w:szCs w:val="24"/>
        </w:rPr>
        <w:t>.10交通运输</w:t>
      </w:r>
      <w:bookmarkEnd w:id="153"/>
    </w:p>
    <w:bookmarkEnd w:id="154"/>
    <w:p w14:paraId="5256640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1.10.1 出入现场的权利</w:t>
      </w:r>
    </w:p>
    <w:p w14:paraId="0B1A0CA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B38054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6D92919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1.10.2 场外交通</w:t>
      </w:r>
    </w:p>
    <w:p w14:paraId="322D22F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8AC9AA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1.10.3场内交通</w:t>
      </w:r>
    </w:p>
    <w:p w14:paraId="503CAF9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80963A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95170E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场外交通和场内交通的边界由合同当事人在专用合同条款中约定。</w:t>
      </w:r>
    </w:p>
    <w:p w14:paraId="0C3735B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1.10.4 超大件和超重件的运输</w:t>
      </w:r>
    </w:p>
    <w:p w14:paraId="479A75D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1BD04C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1.10.5 道路和桥梁的损坏责任</w:t>
      </w:r>
    </w:p>
    <w:p w14:paraId="48E6E1D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因承包人运输造成施工场地内外公共道路和桥梁损坏的，由承包人承担修复损坏的全部费用和可能引起的赔偿。</w:t>
      </w:r>
    </w:p>
    <w:p w14:paraId="143EBAE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1.10.6 水路和航空运输</w:t>
      </w:r>
    </w:p>
    <w:p w14:paraId="00627F8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5A43588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55" w:name="_Toc375060721"/>
      <w:r>
        <w:rPr>
          <w:rFonts w:hint="eastAsia" w:ascii="华文中宋" w:hAnsi="华文中宋" w:eastAsia="华文中宋" w:cs="华文中宋"/>
          <w:b w:val="0"/>
          <w:color w:val="auto"/>
          <w:sz w:val="24"/>
          <w:szCs w:val="24"/>
        </w:rPr>
        <w:t>1</w:t>
      </w:r>
      <w:bookmarkStart w:id="156" w:name="_Toc337558737"/>
      <w:bookmarkStart w:id="157" w:name="_Toc296503037"/>
      <w:bookmarkStart w:id="158" w:name="_Toc296346538"/>
      <w:r>
        <w:rPr>
          <w:rFonts w:hint="eastAsia" w:ascii="华文中宋" w:hAnsi="华文中宋" w:eastAsia="华文中宋" w:cs="华文中宋"/>
          <w:b w:val="0"/>
          <w:color w:val="auto"/>
          <w:sz w:val="24"/>
          <w:szCs w:val="24"/>
        </w:rPr>
        <w:t>.11知识产权</w:t>
      </w:r>
      <w:bookmarkEnd w:id="155"/>
      <w:r>
        <w:rPr>
          <w:rFonts w:hint="eastAsia" w:ascii="华文中宋" w:hAnsi="华文中宋" w:eastAsia="华文中宋" w:cs="华文中宋"/>
          <w:b w:val="0"/>
          <w:color w:val="auto"/>
          <w:sz w:val="24"/>
          <w:szCs w:val="24"/>
        </w:rPr>
        <w:t xml:space="preserve"> </w:t>
      </w:r>
      <w:bookmarkEnd w:id="156"/>
    </w:p>
    <w:bookmarkEnd w:id="157"/>
    <w:bookmarkEnd w:id="158"/>
    <w:p w14:paraId="1E5805B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3AC0FD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A79D9D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38A8FC7">
      <w:pPr>
        <w:pageBreakBefore w:val="0"/>
        <w:kinsoku/>
        <w:wordWrap/>
        <w:overflowPunct/>
        <w:topLinePunct w:val="0"/>
        <w:bidi w:val="0"/>
        <w:snapToGrid/>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 xml:space="preserve">    </w:t>
      </w:r>
      <w:r>
        <w:rPr>
          <w:rFonts w:hint="eastAsia" w:ascii="华文中宋" w:hAnsi="华文中宋" w:eastAsia="华文中宋" w:cs="华文中宋"/>
          <w:color w:val="auto"/>
          <w:sz w:val="24"/>
          <w:szCs w:val="24"/>
        </w:rPr>
        <w:t>1.11.4 除专用合同条款另有约定外，承包人在合同签订前和签订时已确定采用的专利、专有技术、技术秘密的使用费已包含在签约合同价中。</w:t>
      </w:r>
    </w:p>
    <w:p w14:paraId="4A72824D">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59" w:name="_Toc375060722"/>
      <w:r>
        <w:rPr>
          <w:rFonts w:hint="eastAsia" w:ascii="华文中宋" w:hAnsi="华文中宋" w:eastAsia="华文中宋" w:cs="华文中宋"/>
          <w:b w:val="0"/>
          <w:color w:val="auto"/>
          <w:sz w:val="24"/>
          <w:szCs w:val="24"/>
        </w:rPr>
        <w:t>1</w:t>
      </w:r>
      <w:bookmarkStart w:id="160" w:name="_Toc337558738"/>
      <w:r>
        <w:rPr>
          <w:rFonts w:hint="eastAsia" w:ascii="华文中宋" w:hAnsi="华文中宋" w:eastAsia="华文中宋" w:cs="华文中宋"/>
          <w:b w:val="0"/>
          <w:color w:val="auto"/>
          <w:sz w:val="24"/>
          <w:szCs w:val="24"/>
        </w:rPr>
        <w:t>.12保密</w:t>
      </w:r>
      <w:bookmarkEnd w:id="159"/>
    </w:p>
    <w:bookmarkEnd w:id="160"/>
    <w:p w14:paraId="349CF6E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除法律规定或合同另有约定外，未经发包人同意，承包人不得将发包人提供的图纸、文件以及声明需要保密的资料信息等商业秘密泄露给第三方。</w:t>
      </w:r>
    </w:p>
    <w:p w14:paraId="09EB22F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除法律规定或合同另有约定外，未经承包人同意，发包人不得将承包人提供的技术秘密及声明需要保密的资料信息等商业秘密泄露给第三方。</w:t>
      </w:r>
    </w:p>
    <w:p w14:paraId="59ADF10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61" w:name="_Toc375060723"/>
      <w:r>
        <w:rPr>
          <w:rFonts w:hint="eastAsia" w:ascii="华文中宋" w:hAnsi="华文中宋" w:eastAsia="华文中宋" w:cs="华文中宋"/>
          <w:b w:val="0"/>
          <w:color w:val="auto"/>
          <w:sz w:val="24"/>
          <w:szCs w:val="24"/>
        </w:rPr>
        <w:t>1.13工程量清单错误的修正</w:t>
      </w:r>
      <w:bookmarkEnd w:id="161"/>
    </w:p>
    <w:p w14:paraId="3522B80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除专用合同条款另有约定外，发包人提供的工程量清单，应被认为是准确的和完整的。出现下列情形之一时，发包人应予以修正，并相应调整合同价格：</w:t>
      </w:r>
    </w:p>
    <w:p w14:paraId="428B73E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（1）工程量清单存在缺项、漏项的；</w:t>
      </w:r>
    </w:p>
    <w:p w14:paraId="005412B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（2）工程量清单偏差超出专用合同条款约定的工程量偏差范围的；</w:t>
      </w:r>
    </w:p>
    <w:p w14:paraId="16F6493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（3）未按照国家现行计量规范强制性规定计量的。</w:t>
      </w:r>
    </w:p>
    <w:p w14:paraId="09873534">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62" w:name="_Toc375060724"/>
      <w:r>
        <w:rPr>
          <w:rFonts w:hint="eastAsia" w:ascii="华文中宋" w:hAnsi="华文中宋" w:eastAsia="华文中宋" w:cs="华文中宋"/>
          <w:b w:val="0"/>
          <w:color w:val="auto"/>
          <w:sz w:val="24"/>
          <w:szCs w:val="24"/>
        </w:rPr>
        <w:t>2</w:t>
      </w:r>
      <w:bookmarkStart w:id="163" w:name="_Toc337558739"/>
      <w:bookmarkStart w:id="164" w:name="_Toc296503038"/>
      <w:bookmarkStart w:id="165" w:name="_Toc296346539"/>
      <w:bookmarkStart w:id="166" w:name="OLE_LINK2"/>
      <w:bookmarkStart w:id="167" w:name="OLE_LINK1"/>
      <w:r>
        <w:rPr>
          <w:rFonts w:hint="eastAsia" w:ascii="华文中宋" w:hAnsi="华文中宋" w:eastAsia="华文中宋" w:cs="华文中宋"/>
          <w:b w:val="0"/>
          <w:color w:val="auto"/>
          <w:sz w:val="24"/>
          <w:szCs w:val="24"/>
        </w:rPr>
        <w:t>. 发包人</w:t>
      </w:r>
      <w:bookmarkEnd w:id="162"/>
    </w:p>
    <w:bookmarkEnd w:id="163"/>
    <w:bookmarkEnd w:id="164"/>
    <w:bookmarkEnd w:id="165"/>
    <w:p w14:paraId="1ADFBF84">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68" w:name="_Toc375060725"/>
      <w:r>
        <w:rPr>
          <w:rFonts w:hint="eastAsia" w:ascii="华文中宋" w:hAnsi="华文中宋" w:eastAsia="华文中宋" w:cs="华文中宋"/>
          <w:b w:val="0"/>
          <w:color w:val="auto"/>
          <w:sz w:val="24"/>
          <w:szCs w:val="24"/>
        </w:rPr>
        <w:t>2</w:t>
      </w:r>
      <w:bookmarkStart w:id="169" w:name="_Toc296503039"/>
      <w:bookmarkStart w:id="170" w:name="_Toc337558740"/>
      <w:bookmarkStart w:id="171" w:name="_Toc296346540"/>
      <w:r>
        <w:rPr>
          <w:rFonts w:hint="eastAsia" w:ascii="华文中宋" w:hAnsi="华文中宋" w:eastAsia="华文中宋" w:cs="华文中宋"/>
          <w:b w:val="0"/>
          <w:color w:val="auto"/>
          <w:sz w:val="24"/>
          <w:szCs w:val="24"/>
        </w:rPr>
        <w:t>.1 许可或批准</w:t>
      </w:r>
      <w:bookmarkEnd w:id="168"/>
    </w:p>
    <w:p w14:paraId="394B877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C1812A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因发包人原因未能及时办理完毕前述许可、批准或备案，由发包人承担由此增加的费用和（或）延误的工期，并支付承包人合理的利润。</w:t>
      </w:r>
    </w:p>
    <w:p w14:paraId="10B8206D">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72" w:name="_Toc375060726"/>
      <w:r>
        <w:rPr>
          <w:rFonts w:hint="eastAsia" w:ascii="华文中宋" w:hAnsi="华文中宋" w:eastAsia="华文中宋" w:cs="华文中宋"/>
          <w:b w:val="0"/>
          <w:color w:val="auto"/>
          <w:sz w:val="24"/>
          <w:szCs w:val="24"/>
        </w:rPr>
        <w:t>2.2 发包人代表</w:t>
      </w:r>
      <w:bookmarkEnd w:id="172"/>
    </w:p>
    <w:p w14:paraId="0D7017B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7A06F1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发包人代表不能按照合同约定履行其职责及义务，并导致合同无法继续正常履行的，承包人可以要求发包人撤换发包人代表。</w:t>
      </w:r>
    </w:p>
    <w:p w14:paraId="220CB225">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不属于法定必须监理的工程，监理人的职权可以由发包人代表或发包人指定的其他人员行使。</w:t>
      </w:r>
    </w:p>
    <w:p w14:paraId="487AF6B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73" w:name="_Toc375060727"/>
      <w:r>
        <w:rPr>
          <w:rFonts w:hint="eastAsia" w:ascii="华文中宋" w:hAnsi="华文中宋" w:eastAsia="华文中宋" w:cs="华文中宋"/>
          <w:b w:val="0"/>
          <w:color w:val="auto"/>
          <w:sz w:val="24"/>
          <w:szCs w:val="24"/>
        </w:rPr>
        <w:t>2.3 发包人人员</w:t>
      </w:r>
      <w:bookmarkEnd w:id="173"/>
    </w:p>
    <w:p w14:paraId="076C40A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发包人应要求在施工现场的发包人人员遵守法律及有关安全、质量、环境保护、文明施工等规定，并保障承包人免于承受因发包人人员未遵守上述要求给承包人造成的损失和责任。</w:t>
      </w:r>
    </w:p>
    <w:p w14:paraId="196337C0">
      <w:pPr>
        <w:pageBreakBefore w:val="0"/>
        <w:kinsoku/>
        <w:wordWrap/>
        <w:overflowPunct/>
        <w:topLinePunct w:val="0"/>
        <w:bidi w:val="0"/>
        <w:snapToGrid/>
        <w:spacing w:line="360" w:lineRule="auto"/>
        <w:ind w:firstLine="64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发包人人员包括发包人代表及其他由发包人派驻施工现场的人员。</w:t>
      </w:r>
      <w:bookmarkEnd w:id="169"/>
      <w:bookmarkEnd w:id="170"/>
      <w:bookmarkEnd w:id="171"/>
    </w:p>
    <w:p w14:paraId="6E462677">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74" w:name="_Toc375060728"/>
      <w:r>
        <w:rPr>
          <w:rFonts w:hint="eastAsia" w:ascii="华文中宋" w:hAnsi="华文中宋" w:eastAsia="华文中宋" w:cs="华文中宋"/>
          <w:b w:val="0"/>
          <w:color w:val="auto"/>
          <w:sz w:val="24"/>
          <w:szCs w:val="24"/>
        </w:rPr>
        <w:t>2</w:t>
      </w:r>
      <w:bookmarkStart w:id="175" w:name="_Toc337558741"/>
      <w:bookmarkStart w:id="176" w:name="_Toc296346541"/>
      <w:bookmarkStart w:id="177" w:name="_Toc296503040"/>
      <w:r>
        <w:rPr>
          <w:rFonts w:hint="eastAsia" w:ascii="华文中宋" w:hAnsi="华文中宋" w:eastAsia="华文中宋" w:cs="华文中宋"/>
          <w:b w:val="0"/>
          <w:color w:val="auto"/>
          <w:sz w:val="24"/>
          <w:szCs w:val="24"/>
        </w:rPr>
        <w:t>.4 施工现场、施工条件和基础资料的提供</w:t>
      </w:r>
      <w:bookmarkEnd w:id="174"/>
      <w:r>
        <w:rPr>
          <w:rFonts w:hint="eastAsia" w:ascii="华文中宋" w:hAnsi="华文中宋" w:eastAsia="华文中宋" w:cs="华文中宋"/>
          <w:b w:val="0"/>
          <w:color w:val="auto"/>
          <w:sz w:val="24"/>
          <w:szCs w:val="24"/>
        </w:rPr>
        <w:t xml:space="preserve"> </w:t>
      </w:r>
      <w:bookmarkEnd w:id="175"/>
      <w:bookmarkEnd w:id="176"/>
      <w:bookmarkEnd w:id="177"/>
      <w:r>
        <w:rPr>
          <w:rFonts w:hint="eastAsia" w:ascii="华文中宋" w:hAnsi="华文中宋" w:eastAsia="华文中宋" w:cs="华文中宋"/>
          <w:b w:val="0"/>
          <w:color w:val="auto"/>
          <w:sz w:val="24"/>
          <w:szCs w:val="24"/>
        </w:rPr>
        <w:t xml:space="preserve"> </w:t>
      </w:r>
    </w:p>
    <w:p w14:paraId="7DB18BF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2.4.1 提供施工现场</w:t>
      </w:r>
    </w:p>
    <w:p w14:paraId="18D522D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w:t>
      </w:r>
      <w:bookmarkEnd w:id="166"/>
      <w:bookmarkEnd w:id="167"/>
      <w:r>
        <w:rPr>
          <w:rFonts w:hint="eastAsia" w:ascii="华文中宋" w:hAnsi="华文中宋" w:eastAsia="华文中宋" w:cs="华文中宋"/>
          <w:color w:val="auto"/>
          <w:kern w:val="0"/>
          <w:sz w:val="24"/>
          <w:szCs w:val="24"/>
        </w:rPr>
        <w:t>专用合同条款另有约定外，发包人应最迟于开工日期7天前向承包人移交施工现场。</w:t>
      </w:r>
    </w:p>
    <w:p w14:paraId="26F93BC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2.4.2 提供施工条件</w:t>
      </w:r>
    </w:p>
    <w:p w14:paraId="0BA85F0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除专用合同条款另有约定外，发包人应负责提供施工所需要的条件，包括：</w:t>
      </w:r>
    </w:p>
    <w:p w14:paraId="0D2EC55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（1）将施工用水、电力、通讯线路等施工所必需的条件接至施工现场内；</w:t>
      </w:r>
    </w:p>
    <w:p w14:paraId="37240CE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（2）保证向承包人提供正常施工所需要的进入施工现场的交通条件；</w:t>
      </w:r>
    </w:p>
    <w:p w14:paraId="755752C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（3）协调处理施工现场周围地下管线和邻近建筑物、构筑物、古树名木的保护工作，并承担相关费用；</w:t>
      </w:r>
    </w:p>
    <w:p w14:paraId="62F964E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（4）按照专用合同条款约定应提供的其他设施和条件。</w:t>
      </w:r>
    </w:p>
    <w:p w14:paraId="2FEDC6E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2.4.3 提供基础资料</w:t>
      </w:r>
    </w:p>
    <w:p w14:paraId="01DA323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40D3EA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按照法律规定确需在开工后方能提供的基础资料，发包人应尽其努力及时地在相应工程施工前的合理期限内提供，合理期限应以不影响承包人的正常施工为限。</w:t>
      </w:r>
    </w:p>
    <w:p w14:paraId="31851CB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2.4.4 逾期提供的责任</w:t>
      </w:r>
    </w:p>
    <w:p w14:paraId="6641160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因发包人原因未能按合同约定及时向承包人提供施工现场、施工条件、基础资料的，由发包人承担由此增加的费用和（或）延误的工期。</w:t>
      </w:r>
    </w:p>
    <w:p w14:paraId="167A60F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78" w:name="_Toc375060729"/>
      <w:r>
        <w:rPr>
          <w:rFonts w:hint="eastAsia" w:ascii="华文中宋" w:hAnsi="华文中宋" w:eastAsia="华文中宋" w:cs="华文中宋"/>
          <w:b w:val="0"/>
          <w:color w:val="auto"/>
          <w:sz w:val="24"/>
          <w:szCs w:val="24"/>
        </w:rPr>
        <w:t>2</w:t>
      </w:r>
      <w:bookmarkStart w:id="179" w:name="_Toc296346543"/>
      <w:bookmarkStart w:id="180" w:name="_Toc337558745"/>
      <w:bookmarkStart w:id="181" w:name="_Toc296503042"/>
      <w:r>
        <w:rPr>
          <w:rFonts w:hint="eastAsia" w:ascii="华文中宋" w:hAnsi="华文中宋" w:eastAsia="华文中宋" w:cs="华文中宋"/>
          <w:b w:val="0"/>
          <w:color w:val="auto"/>
          <w:sz w:val="24"/>
          <w:szCs w:val="24"/>
        </w:rPr>
        <w:t>.5 资</w:t>
      </w:r>
      <w:bookmarkEnd w:id="179"/>
      <w:bookmarkEnd w:id="180"/>
      <w:bookmarkEnd w:id="181"/>
      <w:r>
        <w:rPr>
          <w:rFonts w:hint="eastAsia" w:ascii="华文中宋" w:hAnsi="华文中宋" w:eastAsia="华文中宋" w:cs="华文中宋"/>
          <w:b w:val="0"/>
          <w:color w:val="auto"/>
          <w:sz w:val="24"/>
          <w:szCs w:val="24"/>
        </w:rPr>
        <w:t>金来源证明及支付担保</w:t>
      </w:r>
      <w:bookmarkEnd w:id="178"/>
    </w:p>
    <w:p w14:paraId="353B3ED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除专用合同条款另有约定外，发包人应在收到承包人要求提供资金来源证明的书面通知后28天内，向承包人提供能够按照合同约定支付合同价款的相应资金来源证明。</w:t>
      </w:r>
    </w:p>
    <w:p w14:paraId="38EBB38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276DA03D">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82" w:name="_Toc375060730"/>
      <w:r>
        <w:rPr>
          <w:rFonts w:hint="eastAsia" w:ascii="华文中宋" w:hAnsi="华文中宋" w:eastAsia="华文中宋" w:cs="华文中宋"/>
          <w:b w:val="0"/>
          <w:color w:val="auto"/>
          <w:sz w:val="24"/>
          <w:szCs w:val="24"/>
        </w:rPr>
        <w:t>2.6 支付合同价款</w:t>
      </w:r>
      <w:bookmarkEnd w:id="182"/>
    </w:p>
    <w:p w14:paraId="5B824DE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发包人应按合同约定向承包人及时支付合同价款。</w:t>
      </w:r>
    </w:p>
    <w:p w14:paraId="4564EAF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83" w:name="_Toc375060731"/>
      <w:r>
        <w:rPr>
          <w:rFonts w:hint="eastAsia" w:ascii="华文中宋" w:hAnsi="华文中宋" w:eastAsia="华文中宋" w:cs="华文中宋"/>
          <w:b w:val="0"/>
          <w:color w:val="auto"/>
          <w:sz w:val="24"/>
          <w:szCs w:val="24"/>
        </w:rPr>
        <w:t>2.7 组织竣工验收</w:t>
      </w:r>
      <w:bookmarkEnd w:id="183"/>
    </w:p>
    <w:p w14:paraId="3EC83C5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发包人应按合同约定及时组织竣工验收。</w:t>
      </w:r>
    </w:p>
    <w:p w14:paraId="7CDA2E1B">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84" w:name="_Toc375060732"/>
      <w:r>
        <w:rPr>
          <w:rFonts w:hint="eastAsia" w:ascii="华文中宋" w:hAnsi="华文中宋" w:eastAsia="华文中宋" w:cs="华文中宋"/>
          <w:b w:val="0"/>
          <w:color w:val="auto"/>
          <w:sz w:val="24"/>
          <w:szCs w:val="24"/>
        </w:rPr>
        <w:t>2.8 现场统一管理协议</w:t>
      </w:r>
      <w:bookmarkEnd w:id="184"/>
    </w:p>
    <w:p w14:paraId="7EC0BC8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发包人应与承包人、由发包人直接发包的专业工程的承包人签订施工现场统一管理协议，明确各方的权利义务。施工现场统一管理协议作为专用合同条款的附件。</w:t>
      </w:r>
    </w:p>
    <w:p w14:paraId="66C2F1A6">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85" w:name="_Toc375060733"/>
      <w:r>
        <w:rPr>
          <w:rFonts w:hint="eastAsia" w:ascii="华文中宋" w:hAnsi="华文中宋" w:eastAsia="华文中宋" w:cs="华文中宋"/>
          <w:b w:val="0"/>
          <w:color w:val="auto"/>
          <w:sz w:val="24"/>
          <w:szCs w:val="24"/>
        </w:rPr>
        <w:t>3</w:t>
      </w:r>
      <w:bookmarkStart w:id="186" w:name="_Toc296346546"/>
      <w:bookmarkStart w:id="187" w:name="_Toc296503045"/>
      <w:bookmarkStart w:id="188" w:name="_Toc337558746"/>
      <w:r>
        <w:rPr>
          <w:rFonts w:hint="eastAsia" w:ascii="华文中宋" w:hAnsi="华文中宋" w:eastAsia="华文中宋" w:cs="华文中宋"/>
          <w:b w:val="0"/>
          <w:color w:val="auto"/>
          <w:sz w:val="24"/>
          <w:szCs w:val="24"/>
        </w:rPr>
        <w:t>. 承包人</w:t>
      </w:r>
      <w:bookmarkEnd w:id="185"/>
    </w:p>
    <w:bookmarkEnd w:id="186"/>
    <w:bookmarkEnd w:id="187"/>
    <w:bookmarkEnd w:id="188"/>
    <w:p w14:paraId="56E0FC76">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89" w:name="_Toc375060734"/>
      <w:r>
        <w:rPr>
          <w:rFonts w:hint="eastAsia" w:ascii="华文中宋" w:hAnsi="华文中宋" w:eastAsia="华文中宋" w:cs="华文中宋"/>
          <w:b w:val="0"/>
          <w:color w:val="auto"/>
          <w:sz w:val="24"/>
          <w:szCs w:val="24"/>
        </w:rPr>
        <w:t>3</w:t>
      </w:r>
      <w:bookmarkStart w:id="190" w:name="_Toc296346547"/>
      <w:bookmarkStart w:id="191" w:name="_Toc296503046"/>
      <w:bookmarkStart w:id="192" w:name="_Toc337558747"/>
      <w:r>
        <w:rPr>
          <w:rFonts w:hint="eastAsia" w:ascii="华文中宋" w:hAnsi="华文中宋" w:eastAsia="华文中宋" w:cs="华文中宋"/>
          <w:b w:val="0"/>
          <w:color w:val="auto"/>
          <w:sz w:val="24"/>
          <w:szCs w:val="24"/>
        </w:rPr>
        <w:t>.1 承包人的一般义务</w:t>
      </w:r>
      <w:bookmarkEnd w:id="189"/>
    </w:p>
    <w:bookmarkEnd w:id="190"/>
    <w:bookmarkEnd w:id="191"/>
    <w:bookmarkEnd w:id="192"/>
    <w:p w14:paraId="4AE2C34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承包人在履行合同过程中应遵守法律和工程建设标准规范，并履行以下义务：</w:t>
      </w:r>
    </w:p>
    <w:p w14:paraId="58149B5B">
      <w:pPr>
        <w:pageBreakBefore w:val="0"/>
        <w:numPr>
          <w:ilvl w:val="0"/>
          <w:numId w:val="2"/>
        </w:numPr>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办理法律规定应由承包人办理的许可和批准，并将办理结果书面报送发包人留存；</w:t>
      </w:r>
    </w:p>
    <w:p w14:paraId="44A5A34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（2）按法律规定和合同约定完成工程，并在保修期内承担保修义务；</w:t>
      </w:r>
    </w:p>
    <w:p w14:paraId="45FF0A0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（3）按法律规定和合同约定采取施工安全和环境保护措施，办理工伤保险，确保工程及人员、材料、设备和设施的安全；</w:t>
      </w:r>
    </w:p>
    <w:p w14:paraId="3A1156A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（4）按合同约定的工作内容和施工进度要求，编制施工组织设计和施工措施计划，并对所有施工作业和施工方法的完备性和安全可靠性负责；</w:t>
      </w:r>
    </w:p>
    <w:p w14:paraId="5411455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7A4025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（6）按照第6.3款〔环境保护〕约定负责施工场地及其周边环境与生态的保护工作；</w:t>
      </w:r>
    </w:p>
    <w:p w14:paraId="2ADD3C6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（7）按第6.1款〔安全文明施工〕约定采取施工安全措施，确保工程及其人员、材料、设备和设施的安全，防止因工程施工造成的人身伤害和财产损失；</w:t>
      </w:r>
    </w:p>
    <w:p w14:paraId="7BA52A7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（8）将发包人按合同约定支付的各项价款专用于合同工程，且应及时支付其雇用人员工资，并及时向分包人支付合同价款；</w:t>
      </w:r>
    </w:p>
    <w:p w14:paraId="792F0DC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（9）按照法律规定和合同约定编制竣工资料，完成竣工资料立卷及归档，并按专用合同条款约定的竣工资料的套数、内容、时间等要求移交发包人；</w:t>
      </w:r>
    </w:p>
    <w:p w14:paraId="65E5823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（10）应履行的其他义务。</w:t>
      </w:r>
    </w:p>
    <w:p w14:paraId="14308646">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93" w:name="_Toc375060735"/>
      <w:r>
        <w:rPr>
          <w:rFonts w:hint="eastAsia" w:ascii="华文中宋" w:hAnsi="华文中宋" w:eastAsia="华文中宋" w:cs="华文中宋"/>
          <w:b w:val="0"/>
          <w:color w:val="auto"/>
          <w:sz w:val="24"/>
          <w:szCs w:val="24"/>
        </w:rPr>
        <w:t>3</w:t>
      </w:r>
      <w:bookmarkStart w:id="194" w:name="_Toc296346548"/>
      <w:bookmarkStart w:id="195" w:name="_Toc296503047"/>
      <w:bookmarkStart w:id="196" w:name="_Toc337558748"/>
      <w:r>
        <w:rPr>
          <w:rFonts w:hint="eastAsia" w:ascii="华文中宋" w:hAnsi="华文中宋" w:eastAsia="华文中宋" w:cs="华文中宋"/>
          <w:b w:val="0"/>
          <w:color w:val="auto"/>
          <w:sz w:val="24"/>
          <w:szCs w:val="24"/>
        </w:rPr>
        <w:t>.2 项目经理</w:t>
      </w:r>
      <w:bookmarkEnd w:id="193"/>
    </w:p>
    <w:bookmarkEnd w:id="194"/>
    <w:bookmarkEnd w:id="195"/>
    <w:bookmarkEnd w:id="196"/>
    <w:p w14:paraId="37A1F0D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3205B5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6E4E41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承包人违反上述约定的，应按照专用合同条款的约定，承担违约责任。</w:t>
      </w:r>
    </w:p>
    <w:p w14:paraId="0EC895B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603114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0AC1AC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FC7BC7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566D8985">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197" w:name="_Toc375060736"/>
      <w:r>
        <w:rPr>
          <w:rFonts w:hint="eastAsia" w:ascii="华文中宋" w:hAnsi="华文中宋" w:eastAsia="华文中宋" w:cs="华文中宋"/>
          <w:b w:val="0"/>
          <w:color w:val="auto"/>
          <w:sz w:val="24"/>
          <w:szCs w:val="24"/>
        </w:rPr>
        <w:t>3</w:t>
      </w:r>
      <w:bookmarkStart w:id="198" w:name="_Toc296503048"/>
      <w:bookmarkStart w:id="199" w:name="_Toc296346549"/>
      <w:bookmarkStart w:id="200" w:name="_Toc337558749"/>
      <w:r>
        <w:rPr>
          <w:rFonts w:hint="eastAsia" w:ascii="华文中宋" w:hAnsi="华文中宋" w:eastAsia="华文中宋" w:cs="华文中宋"/>
          <w:b w:val="0"/>
          <w:color w:val="auto"/>
          <w:sz w:val="24"/>
          <w:szCs w:val="24"/>
        </w:rPr>
        <w:t xml:space="preserve">.3 </w:t>
      </w:r>
      <w:bookmarkEnd w:id="198"/>
      <w:bookmarkEnd w:id="199"/>
      <w:r>
        <w:rPr>
          <w:rFonts w:hint="eastAsia" w:ascii="华文中宋" w:hAnsi="华文中宋" w:eastAsia="华文中宋" w:cs="华文中宋"/>
          <w:b w:val="0"/>
          <w:color w:val="auto"/>
          <w:sz w:val="24"/>
          <w:szCs w:val="24"/>
        </w:rPr>
        <w:t>承包人人员</w:t>
      </w:r>
      <w:bookmarkEnd w:id="197"/>
    </w:p>
    <w:bookmarkEnd w:id="200"/>
    <w:p w14:paraId="2D836D6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09C0C2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29A1EC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特殊工种作业人员均应持有相应的资格证明，监理人可以随时检查。</w:t>
      </w:r>
    </w:p>
    <w:p w14:paraId="0D35DCE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F8B5ED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F2ABED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3.3.5 承包人擅自更换主要施工管理人员，或前述人员未经监理人或发包人同意擅自离开施工现场的，应按照专用合同条款约定承担违约责任。</w:t>
      </w:r>
    </w:p>
    <w:p w14:paraId="1430A896">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01" w:name="_Toc375060737"/>
      <w:r>
        <w:rPr>
          <w:rFonts w:hint="eastAsia" w:ascii="华文中宋" w:hAnsi="华文中宋" w:eastAsia="华文中宋" w:cs="华文中宋"/>
          <w:b w:val="0"/>
          <w:color w:val="auto"/>
          <w:sz w:val="24"/>
          <w:szCs w:val="24"/>
        </w:rPr>
        <w:t>3</w:t>
      </w:r>
      <w:bookmarkStart w:id="202" w:name="_Toc296503050"/>
      <w:bookmarkStart w:id="203" w:name="_Toc296346551"/>
      <w:bookmarkStart w:id="204" w:name="_Toc337558750"/>
      <w:r>
        <w:rPr>
          <w:rFonts w:hint="eastAsia" w:ascii="华文中宋" w:hAnsi="华文中宋" w:eastAsia="华文中宋" w:cs="华文中宋"/>
          <w:b w:val="0"/>
          <w:color w:val="auto"/>
          <w:sz w:val="24"/>
          <w:szCs w:val="24"/>
        </w:rPr>
        <w:t>.4 承包人现场查勘</w:t>
      </w:r>
      <w:bookmarkEnd w:id="201"/>
    </w:p>
    <w:bookmarkEnd w:id="202"/>
    <w:bookmarkEnd w:id="203"/>
    <w:bookmarkEnd w:id="204"/>
    <w:p w14:paraId="58D90D8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承包人应对基于发包人按照第2.4.3项〔提供基础资料〕提交的基础资料所做出的解释和推断负责，但因基础资料存在错误、遗漏导致承包人解释或推断失实的，由发包人承担责任。</w:t>
      </w:r>
    </w:p>
    <w:p w14:paraId="4E4F020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367A1DF">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05" w:name="_Toc375060738"/>
      <w:r>
        <w:rPr>
          <w:rFonts w:hint="eastAsia" w:ascii="华文中宋" w:hAnsi="华文中宋" w:eastAsia="华文中宋" w:cs="华文中宋"/>
          <w:b w:val="0"/>
          <w:color w:val="auto"/>
          <w:sz w:val="24"/>
          <w:szCs w:val="24"/>
        </w:rPr>
        <w:t>3</w:t>
      </w:r>
      <w:bookmarkStart w:id="206" w:name="_Toc296346552"/>
      <w:bookmarkStart w:id="207" w:name="_Toc337558751"/>
      <w:bookmarkStart w:id="208" w:name="_Toc296503051"/>
      <w:r>
        <w:rPr>
          <w:rFonts w:hint="eastAsia" w:ascii="华文中宋" w:hAnsi="华文中宋" w:eastAsia="华文中宋" w:cs="华文中宋"/>
          <w:b w:val="0"/>
          <w:color w:val="auto"/>
          <w:sz w:val="24"/>
          <w:szCs w:val="24"/>
        </w:rPr>
        <w:t>.5 分包</w:t>
      </w:r>
      <w:bookmarkEnd w:id="205"/>
    </w:p>
    <w:bookmarkEnd w:id="206"/>
    <w:bookmarkEnd w:id="207"/>
    <w:bookmarkEnd w:id="208"/>
    <w:p w14:paraId="4E3A737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3.5.1 分包的一般约定</w:t>
      </w:r>
    </w:p>
    <w:p w14:paraId="432EED8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44C5D6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承包人不得以劳务分包的名义转包或违法分包工程。</w:t>
      </w:r>
    </w:p>
    <w:p w14:paraId="7DE61C7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3.5.2 分包的确定</w:t>
      </w:r>
    </w:p>
    <w:p w14:paraId="1143ADF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CCAE0E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3.5.3 分包管理</w:t>
      </w:r>
    </w:p>
    <w:p w14:paraId="6892210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承包人应向监理人提交分包人的主要施工管理人员表，并对分包人的施工人员进行实名制管理，包括但不限于进出场管理、登记造册以及各种证照的办理。</w:t>
      </w:r>
    </w:p>
    <w:p w14:paraId="380DB72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3.5.4 分包合同价款</w:t>
      </w:r>
    </w:p>
    <w:p w14:paraId="76ABDED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（1）除本项第（2）目约定的情况或专用合同条款另有约定外，分包合同价款由承包人与分包人结算，未经承包人同意，发包人不得向分包人支付分包工程价款；</w:t>
      </w:r>
    </w:p>
    <w:p w14:paraId="0BC96DC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（2）生效法律文书要求发包人向分包人支付分包合同价款的，发包人有权从应付承包人工程款中扣除该部分款项。</w:t>
      </w:r>
    </w:p>
    <w:p w14:paraId="14BA694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3.5.5 分包合同权益的转让</w:t>
      </w:r>
    </w:p>
    <w:p w14:paraId="5573FD0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19D2D1F4">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09" w:name="_Toc375060739"/>
      <w:r>
        <w:rPr>
          <w:rFonts w:hint="eastAsia" w:ascii="华文中宋" w:hAnsi="华文中宋" w:eastAsia="华文中宋" w:cs="华文中宋"/>
          <w:b w:val="0"/>
          <w:color w:val="auto"/>
          <w:sz w:val="24"/>
          <w:szCs w:val="24"/>
        </w:rPr>
        <w:t>3.6 工程照管与成品、半成品保护</w:t>
      </w:r>
      <w:bookmarkEnd w:id="209"/>
    </w:p>
    <w:p w14:paraId="37362A9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（1）除专用合同条款另有约定外，自发包人向承包人移交施工现场之日起，承包人应负责照管工程及工程相关的材料、工程设备，直到颁发工程接收证书之日止。</w:t>
      </w:r>
    </w:p>
    <w:p w14:paraId="7489F0C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（2）在承包人负责照管期间，因承包人原因造成工程、材料、工程设备损坏的，由承包人负责修复或更换，并承担由此增加的费用和（或）延误的工期。</w:t>
      </w:r>
    </w:p>
    <w:p w14:paraId="07A947B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0EB3A5C6">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10" w:name="_Toc375060740"/>
      <w:r>
        <w:rPr>
          <w:rFonts w:hint="eastAsia" w:ascii="华文中宋" w:hAnsi="华文中宋" w:eastAsia="华文中宋" w:cs="华文中宋"/>
          <w:b w:val="0"/>
          <w:color w:val="auto"/>
          <w:sz w:val="24"/>
          <w:szCs w:val="24"/>
        </w:rPr>
        <w:t>3</w:t>
      </w:r>
      <w:bookmarkStart w:id="211" w:name="_Toc337558752"/>
      <w:bookmarkStart w:id="212" w:name="_Toc296503052"/>
      <w:bookmarkStart w:id="213" w:name="_Toc296346553"/>
      <w:r>
        <w:rPr>
          <w:rFonts w:hint="eastAsia" w:ascii="华文中宋" w:hAnsi="华文中宋" w:eastAsia="华文中宋" w:cs="华文中宋"/>
          <w:b w:val="0"/>
          <w:color w:val="auto"/>
          <w:sz w:val="24"/>
          <w:szCs w:val="24"/>
        </w:rPr>
        <w:t>.7 履约担保</w:t>
      </w:r>
      <w:bookmarkEnd w:id="210"/>
    </w:p>
    <w:bookmarkEnd w:id="211"/>
    <w:bookmarkEnd w:id="212"/>
    <w:bookmarkEnd w:id="213"/>
    <w:p w14:paraId="4954324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A899A7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因承包人原因导致工期延长的，继续提供履约担保所增加的费用由承包人承担；非因承包人原因导致工期延长的，继续提供履约担保所增加的费用由发包人承担。</w:t>
      </w:r>
    </w:p>
    <w:p w14:paraId="3CDBB12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14" w:name="_Toc375060741"/>
      <w:r>
        <w:rPr>
          <w:rFonts w:hint="eastAsia" w:ascii="华文中宋" w:hAnsi="华文中宋" w:eastAsia="华文中宋" w:cs="华文中宋"/>
          <w:b w:val="0"/>
          <w:color w:val="auto"/>
          <w:sz w:val="24"/>
          <w:szCs w:val="24"/>
        </w:rPr>
        <w:t>3.8 联合体</w:t>
      </w:r>
      <w:bookmarkEnd w:id="214"/>
    </w:p>
    <w:p w14:paraId="7416BC8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3.8.1 联合体各方应共同与发包人签订合同协议书。联合体各方应为履行合同向发包人承担连带责任。</w:t>
      </w:r>
    </w:p>
    <w:p w14:paraId="793A427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3.8.2 联合体协议经发包人确认后作为合同附件。在履行合同过程中，未经发包人同意，不得修改联合体协议。</w:t>
      </w:r>
    </w:p>
    <w:p w14:paraId="48CD79D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3.8.3 联合体牵头人负责与发包人和监理人联系，并接受指示，负责组织联合体各成员全面履行合同。</w:t>
      </w:r>
    </w:p>
    <w:p w14:paraId="221C311B">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215" w:name="_Toc375060742"/>
      <w:r>
        <w:rPr>
          <w:rFonts w:hint="eastAsia" w:ascii="华文中宋" w:hAnsi="华文中宋" w:eastAsia="华文中宋" w:cs="华文中宋"/>
          <w:b w:val="0"/>
          <w:color w:val="auto"/>
          <w:sz w:val="24"/>
          <w:szCs w:val="24"/>
        </w:rPr>
        <w:t>4</w:t>
      </w:r>
      <w:bookmarkStart w:id="216" w:name="_Toc296346554"/>
      <w:bookmarkStart w:id="217" w:name="_Toc296503053"/>
      <w:bookmarkStart w:id="218" w:name="_Toc337558753"/>
      <w:r>
        <w:rPr>
          <w:rFonts w:hint="eastAsia" w:ascii="华文中宋" w:hAnsi="华文中宋" w:eastAsia="华文中宋" w:cs="华文中宋"/>
          <w:b w:val="0"/>
          <w:color w:val="auto"/>
          <w:sz w:val="24"/>
          <w:szCs w:val="24"/>
        </w:rPr>
        <w:t>. 监</w:t>
      </w:r>
      <w:bookmarkEnd w:id="216"/>
      <w:bookmarkEnd w:id="217"/>
      <w:r>
        <w:rPr>
          <w:rFonts w:hint="eastAsia" w:ascii="华文中宋" w:hAnsi="华文中宋" w:eastAsia="华文中宋" w:cs="华文中宋"/>
          <w:b w:val="0"/>
          <w:color w:val="auto"/>
          <w:sz w:val="24"/>
          <w:szCs w:val="24"/>
        </w:rPr>
        <w:t>理人</w:t>
      </w:r>
      <w:bookmarkEnd w:id="215"/>
    </w:p>
    <w:bookmarkEnd w:id="218"/>
    <w:p w14:paraId="2CD9F08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19" w:name="_Toc375060743"/>
      <w:r>
        <w:rPr>
          <w:rFonts w:hint="eastAsia" w:ascii="华文中宋" w:hAnsi="华文中宋" w:eastAsia="华文中宋" w:cs="华文中宋"/>
          <w:b w:val="0"/>
          <w:color w:val="auto"/>
          <w:sz w:val="24"/>
          <w:szCs w:val="24"/>
        </w:rPr>
        <w:t>4</w:t>
      </w:r>
      <w:bookmarkStart w:id="220" w:name="_Toc296346555"/>
      <w:bookmarkStart w:id="221" w:name="_Toc296503054"/>
      <w:bookmarkStart w:id="222" w:name="_Toc337558754"/>
      <w:r>
        <w:rPr>
          <w:rFonts w:hint="eastAsia" w:ascii="华文中宋" w:hAnsi="华文中宋" w:eastAsia="华文中宋" w:cs="华文中宋"/>
          <w:b w:val="0"/>
          <w:color w:val="auto"/>
          <w:sz w:val="24"/>
          <w:szCs w:val="24"/>
        </w:rPr>
        <w:t>.1监理人的一般规定</w:t>
      </w:r>
      <w:bookmarkEnd w:id="219"/>
    </w:p>
    <w:bookmarkEnd w:id="220"/>
    <w:bookmarkEnd w:id="221"/>
    <w:bookmarkEnd w:id="222"/>
    <w:p w14:paraId="10A134C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E9EC80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除专用合同条款另有约定外，监理人在施工现场的办公场所、生活场所由承包人提供，所发生的费用由发包人承担。</w:t>
      </w:r>
    </w:p>
    <w:p w14:paraId="3F4B87E2">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23" w:name="_Toc375060744"/>
      <w:r>
        <w:rPr>
          <w:rFonts w:hint="eastAsia" w:ascii="华文中宋" w:hAnsi="华文中宋" w:eastAsia="华文中宋" w:cs="华文中宋"/>
          <w:b w:val="0"/>
          <w:color w:val="auto"/>
          <w:sz w:val="24"/>
          <w:szCs w:val="24"/>
        </w:rPr>
        <w:t>4</w:t>
      </w:r>
      <w:bookmarkStart w:id="224" w:name="_Toc337558755"/>
      <w:r>
        <w:rPr>
          <w:rFonts w:hint="eastAsia" w:ascii="华文中宋" w:hAnsi="华文中宋" w:eastAsia="华文中宋" w:cs="华文中宋"/>
          <w:b w:val="0"/>
          <w:color w:val="auto"/>
          <w:sz w:val="24"/>
          <w:szCs w:val="24"/>
        </w:rPr>
        <w:t>.2监理人员</w:t>
      </w:r>
      <w:bookmarkEnd w:id="223"/>
    </w:p>
    <w:bookmarkEnd w:id="224"/>
    <w:p w14:paraId="6D96198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3699D86">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25" w:name="_Toc375060745"/>
      <w:r>
        <w:rPr>
          <w:rFonts w:hint="eastAsia" w:ascii="华文中宋" w:hAnsi="华文中宋" w:eastAsia="华文中宋" w:cs="华文中宋"/>
          <w:b w:val="0"/>
          <w:color w:val="auto"/>
          <w:sz w:val="24"/>
          <w:szCs w:val="24"/>
        </w:rPr>
        <w:t>4</w:t>
      </w:r>
      <w:bookmarkStart w:id="226" w:name="_Toc296346556"/>
      <w:bookmarkStart w:id="227" w:name="_Toc296503055"/>
      <w:bookmarkStart w:id="228" w:name="_Toc337558756"/>
      <w:r>
        <w:rPr>
          <w:rFonts w:hint="eastAsia" w:ascii="华文中宋" w:hAnsi="华文中宋" w:eastAsia="华文中宋" w:cs="华文中宋"/>
          <w:b w:val="0"/>
          <w:color w:val="auto"/>
          <w:sz w:val="24"/>
          <w:szCs w:val="24"/>
        </w:rPr>
        <w:t>.3</w:t>
      </w:r>
      <w:bookmarkEnd w:id="226"/>
      <w:bookmarkEnd w:id="227"/>
      <w:r>
        <w:rPr>
          <w:rFonts w:hint="eastAsia" w:ascii="华文中宋" w:hAnsi="华文中宋" w:eastAsia="华文中宋" w:cs="华文中宋"/>
          <w:b w:val="0"/>
          <w:color w:val="auto"/>
          <w:sz w:val="24"/>
          <w:szCs w:val="24"/>
        </w:rPr>
        <w:t>监理人的指</w:t>
      </w:r>
      <w:bookmarkEnd w:id="228"/>
      <w:r>
        <w:rPr>
          <w:rFonts w:hint="eastAsia" w:ascii="华文中宋" w:hAnsi="华文中宋" w:eastAsia="华文中宋" w:cs="华文中宋"/>
          <w:b w:val="0"/>
          <w:color w:val="auto"/>
          <w:sz w:val="24"/>
          <w:szCs w:val="24"/>
        </w:rPr>
        <w:t>示</w:t>
      </w:r>
      <w:bookmarkEnd w:id="225"/>
    </w:p>
    <w:p w14:paraId="7E1436E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B117DB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E2AE11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承包人对监理人发出的指示有疑问的，应向监理人提出书面异议，监理人应在48小时内对该指示予以确认、更改或撤销，监理人逾期未回复的，承包人有权拒绝执行上述指示。</w:t>
      </w:r>
    </w:p>
    <w:p w14:paraId="7F7A29B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4658EE12">
      <w:pPr>
        <w:pStyle w:val="5"/>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29" w:name="_Toc375060746"/>
      <w:r>
        <w:rPr>
          <w:rFonts w:hint="eastAsia" w:ascii="华文中宋" w:hAnsi="华文中宋" w:eastAsia="华文中宋" w:cs="华文中宋"/>
          <w:b w:val="0"/>
          <w:color w:val="auto"/>
          <w:sz w:val="24"/>
          <w:szCs w:val="24"/>
        </w:rPr>
        <w:t>4</w:t>
      </w:r>
      <w:bookmarkStart w:id="230" w:name="_Toc296503057"/>
      <w:bookmarkStart w:id="231" w:name="_Toc337558757"/>
      <w:bookmarkStart w:id="232" w:name="_Toc296346558"/>
      <w:r>
        <w:rPr>
          <w:rFonts w:hint="eastAsia" w:ascii="华文中宋" w:hAnsi="华文中宋" w:eastAsia="华文中宋" w:cs="华文中宋"/>
          <w:b w:val="0"/>
          <w:color w:val="auto"/>
          <w:sz w:val="24"/>
          <w:szCs w:val="24"/>
        </w:rPr>
        <w:t>.4 商定或确定</w:t>
      </w:r>
      <w:bookmarkEnd w:id="229"/>
    </w:p>
    <w:bookmarkEnd w:id="230"/>
    <w:bookmarkEnd w:id="231"/>
    <w:bookmarkEnd w:id="232"/>
    <w:p w14:paraId="3994609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合同当事人进行商定或确定时，总监理工程师应当会同合同当事人尽量通过协商达成一致，不能达成一致的，由总监理工程师按照合同约定审慎做出公正的确定。</w:t>
      </w:r>
    </w:p>
    <w:p w14:paraId="498E1B2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3DE4CDE">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233" w:name="_Toc375060747"/>
      <w:r>
        <w:rPr>
          <w:rFonts w:hint="eastAsia" w:ascii="华文中宋" w:hAnsi="华文中宋" w:eastAsia="华文中宋" w:cs="华文中宋"/>
          <w:b w:val="0"/>
          <w:color w:val="auto"/>
          <w:sz w:val="24"/>
          <w:szCs w:val="24"/>
        </w:rPr>
        <w:t>5</w:t>
      </w:r>
      <w:bookmarkStart w:id="234" w:name="_Toc337558758"/>
      <w:r>
        <w:rPr>
          <w:rFonts w:hint="eastAsia" w:ascii="华文中宋" w:hAnsi="华文中宋" w:eastAsia="华文中宋" w:cs="华文中宋"/>
          <w:b w:val="0"/>
          <w:color w:val="auto"/>
          <w:sz w:val="24"/>
          <w:szCs w:val="24"/>
        </w:rPr>
        <w:t>. 工程质量</w:t>
      </w:r>
      <w:bookmarkEnd w:id="233"/>
    </w:p>
    <w:bookmarkEnd w:id="234"/>
    <w:p w14:paraId="279D7B1B">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35" w:name="_Toc375060748"/>
      <w:r>
        <w:rPr>
          <w:rFonts w:hint="eastAsia" w:ascii="华文中宋" w:hAnsi="华文中宋" w:eastAsia="华文中宋" w:cs="华文中宋"/>
          <w:b w:val="0"/>
          <w:color w:val="auto"/>
          <w:sz w:val="24"/>
          <w:szCs w:val="24"/>
        </w:rPr>
        <w:t>5</w:t>
      </w:r>
      <w:bookmarkStart w:id="236" w:name="_Toc337558759"/>
      <w:r>
        <w:rPr>
          <w:rFonts w:hint="eastAsia" w:ascii="华文中宋" w:hAnsi="华文中宋" w:eastAsia="华文中宋" w:cs="华文中宋"/>
          <w:b w:val="0"/>
          <w:color w:val="auto"/>
          <w:sz w:val="24"/>
          <w:szCs w:val="24"/>
        </w:rPr>
        <w:t>.1质量要求</w:t>
      </w:r>
      <w:bookmarkEnd w:id="235"/>
    </w:p>
    <w:bookmarkEnd w:id="236"/>
    <w:p w14:paraId="2358815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5.1.1 工程质量标准必须符合现行国家有关工程施工质量验收规范和标准的要求。有关工程质量的特殊标准或要求由合同当事人在专用合同条款中约定。</w:t>
      </w:r>
    </w:p>
    <w:p w14:paraId="48F166E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5.1.2 因发包人原因造成工程质量未达到合同约定标准的，由发包人承担由此增加的费用和（或）延误的工期，并支付承包人合理的利润。</w:t>
      </w:r>
    </w:p>
    <w:p w14:paraId="6E2632B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5.1.3 因承包人原因造成工程质量未达到合同约定标准的，发包人有权要求承包人返工直至工程质量达到合同约定的标准为止，并由承包人承担由此增加的费用和（或）延误的工期。</w:t>
      </w:r>
    </w:p>
    <w:p w14:paraId="1C6A485C">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37" w:name="_Toc375060749"/>
      <w:r>
        <w:rPr>
          <w:rFonts w:hint="eastAsia" w:ascii="华文中宋" w:hAnsi="华文中宋" w:eastAsia="华文中宋" w:cs="华文中宋"/>
          <w:b w:val="0"/>
          <w:color w:val="auto"/>
          <w:sz w:val="24"/>
          <w:szCs w:val="24"/>
        </w:rPr>
        <w:t>5</w:t>
      </w:r>
      <w:bookmarkStart w:id="238" w:name="_Toc337558760"/>
      <w:r>
        <w:rPr>
          <w:rFonts w:hint="eastAsia" w:ascii="华文中宋" w:hAnsi="华文中宋" w:eastAsia="华文中宋" w:cs="华文中宋"/>
          <w:b w:val="0"/>
          <w:color w:val="auto"/>
          <w:sz w:val="24"/>
          <w:szCs w:val="24"/>
        </w:rPr>
        <w:t>.2质量保证措施</w:t>
      </w:r>
      <w:bookmarkEnd w:id="237"/>
    </w:p>
    <w:bookmarkEnd w:id="238"/>
    <w:p w14:paraId="21B55AD6">
      <w:pPr>
        <w:pageBreakBefore w:val="0"/>
        <w:kinsoku/>
        <w:wordWrap/>
        <w:overflowPunct/>
        <w:topLinePunct w:val="0"/>
        <w:autoSpaceDE w:val="0"/>
        <w:autoSpaceDN w:val="0"/>
        <w:bidi w:val="0"/>
        <w:adjustRightInd w:val="0"/>
        <w:snapToGrid/>
        <w:spacing w:line="360" w:lineRule="auto"/>
        <w:ind w:firstLine="480" w:firstLineChars="200"/>
        <w:jc w:val="left"/>
        <w:outlineLvl w:val="0"/>
        <w:rPr>
          <w:rFonts w:hint="eastAsia" w:ascii="华文中宋" w:hAnsi="华文中宋" w:eastAsia="华文中宋" w:cs="华文中宋"/>
          <w:color w:val="auto"/>
          <w:kern w:val="0"/>
          <w:sz w:val="24"/>
          <w:szCs w:val="24"/>
        </w:rPr>
      </w:pPr>
      <w:bookmarkStart w:id="239" w:name="_Toc375060750"/>
      <w:bookmarkStart w:id="240" w:name="_Toc375060646"/>
      <w:bookmarkStart w:id="241" w:name="_Toc5907"/>
      <w:bookmarkStart w:id="242" w:name="_Toc8936"/>
      <w:r>
        <w:rPr>
          <w:rFonts w:hint="eastAsia" w:ascii="华文中宋" w:hAnsi="华文中宋" w:eastAsia="华文中宋" w:cs="华文中宋"/>
          <w:color w:val="auto"/>
          <w:kern w:val="0"/>
          <w:sz w:val="24"/>
          <w:szCs w:val="24"/>
        </w:rPr>
        <w:t>5.2.1 发包人的质量管理</w:t>
      </w:r>
      <w:bookmarkEnd w:id="239"/>
      <w:bookmarkEnd w:id="240"/>
      <w:bookmarkEnd w:id="241"/>
      <w:bookmarkEnd w:id="242"/>
    </w:p>
    <w:p w14:paraId="1FC8A8C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发包人应按照法律规定及合同约定完成与工程质量有关的各项工作。</w:t>
      </w:r>
    </w:p>
    <w:p w14:paraId="1596B48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5.2.2 承包人的质量管理</w:t>
      </w:r>
    </w:p>
    <w:p w14:paraId="2896721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E58044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承包人应对施工人员进行质量教育和技术培训，定期考核施工人员的劳动技能，严格执行施工规范和操作规程。</w:t>
      </w:r>
    </w:p>
    <w:p w14:paraId="1A5C9A1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C5448CE">
      <w:pPr>
        <w:pageBreakBefore w:val="0"/>
        <w:kinsoku/>
        <w:wordWrap/>
        <w:overflowPunct/>
        <w:topLinePunct w:val="0"/>
        <w:autoSpaceDE w:val="0"/>
        <w:autoSpaceDN w:val="0"/>
        <w:bidi w:val="0"/>
        <w:adjustRightInd w:val="0"/>
        <w:snapToGrid/>
        <w:spacing w:line="360" w:lineRule="auto"/>
        <w:ind w:firstLine="480" w:firstLineChars="200"/>
        <w:jc w:val="left"/>
        <w:outlineLvl w:val="0"/>
        <w:rPr>
          <w:rFonts w:hint="eastAsia" w:ascii="华文中宋" w:hAnsi="华文中宋" w:eastAsia="华文中宋" w:cs="华文中宋"/>
          <w:color w:val="auto"/>
          <w:kern w:val="0"/>
          <w:sz w:val="24"/>
          <w:szCs w:val="24"/>
        </w:rPr>
      </w:pPr>
      <w:bookmarkStart w:id="243" w:name="_Toc375060751"/>
      <w:bookmarkStart w:id="244" w:name="_Toc3732"/>
      <w:bookmarkStart w:id="245" w:name="_Toc375060647"/>
      <w:bookmarkStart w:id="246" w:name="_Toc11430"/>
      <w:r>
        <w:rPr>
          <w:rFonts w:hint="eastAsia" w:ascii="华文中宋" w:hAnsi="华文中宋" w:eastAsia="华文中宋" w:cs="华文中宋"/>
          <w:color w:val="auto"/>
          <w:kern w:val="0"/>
          <w:sz w:val="24"/>
          <w:szCs w:val="24"/>
        </w:rPr>
        <w:t>5.2.3 监理人的质量检查和检验</w:t>
      </w:r>
      <w:bookmarkEnd w:id="243"/>
      <w:bookmarkEnd w:id="244"/>
      <w:bookmarkEnd w:id="245"/>
      <w:bookmarkEnd w:id="246"/>
    </w:p>
    <w:p w14:paraId="6B28C3F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7D06FD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2085790">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47" w:name="_Toc375060752"/>
      <w:r>
        <w:rPr>
          <w:rFonts w:hint="eastAsia" w:ascii="华文中宋" w:hAnsi="华文中宋" w:eastAsia="华文中宋" w:cs="华文中宋"/>
          <w:b w:val="0"/>
          <w:color w:val="auto"/>
          <w:sz w:val="24"/>
          <w:szCs w:val="24"/>
        </w:rPr>
        <w:t>5</w:t>
      </w:r>
      <w:bookmarkStart w:id="248" w:name="_Toc337558761"/>
      <w:r>
        <w:rPr>
          <w:rFonts w:hint="eastAsia" w:ascii="华文中宋" w:hAnsi="华文中宋" w:eastAsia="华文中宋" w:cs="华文中宋"/>
          <w:b w:val="0"/>
          <w:color w:val="auto"/>
          <w:sz w:val="24"/>
          <w:szCs w:val="24"/>
        </w:rPr>
        <w:t>.3 隐蔽工程检查</w:t>
      </w:r>
      <w:bookmarkEnd w:id="247"/>
    </w:p>
    <w:bookmarkEnd w:id="248"/>
    <w:p w14:paraId="23F258B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5.3.1承包人自检</w:t>
      </w:r>
    </w:p>
    <w:p w14:paraId="18FD5F3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承包人应当对工程隐蔽部位进行自检，并经自检确认是否具备覆盖条件。</w:t>
      </w:r>
    </w:p>
    <w:p w14:paraId="228122E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5.3.2检查程序</w:t>
      </w:r>
    </w:p>
    <w:p w14:paraId="10B7A2E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CE6C5B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1D2EEB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E8DB32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5.3.3 重新检查</w:t>
      </w:r>
    </w:p>
    <w:p w14:paraId="7E470CD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F70AC4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5.3.4 承包人私自覆盖</w:t>
      </w:r>
    </w:p>
    <w:p w14:paraId="6718C0B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3366BA91">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49" w:name="_Toc375060753"/>
      <w:r>
        <w:rPr>
          <w:rFonts w:hint="eastAsia" w:ascii="华文中宋" w:hAnsi="华文中宋" w:eastAsia="华文中宋" w:cs="华文中宋"/>
          <w:b w:val="0"/>
          <w:color w:val="auto"/>
          <w:sz w:val="24"/>
          <w:szCs w:val="24"/>
        </w:rPr>
        <w:t>5</w:t>
      </w:r>
      <w:bookmarkStart w:id="250" w:name="_Toc337558762"/>
      <w:r>
        <w:rPr>
          <w:rFonts w:hint="eastAsia" w:ascii="华文中宋" w:hAnsi="华文中宋" w:eastAsia="华文中宋" w:cs="华文中宋"/>
          <w:b w:val="0"/>
          <w:color w:val="auto"/>
          <w:sz w:val="24"/>
          <w:szCs w:val="24"/>
        </w:rPr>
        <w:t>.4不合格工程的处理</w:t>
      </w:r>
      <w:bookmarkEnd w:id="249"/>
    </w:p>
    <w:bookmarkEnd w:id="250"/>
    <w:p w14:paraId="6D02329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5834054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5.4.2 因发包人原因造成工程不合格的，由此增加的费用和（或）延误的工期由发包人承担，并支付承包人合理的利润。</w:t>
      </w:r>
    </w:p>
    <w:p w14:paraId="30F8CC6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51" w:name="_Toc375060754"/>
      <w:r>
        <w:rPr>
          <w:rFonts w:hint="eastAsia" w:ascii="华文中宋" w:hAnsi="华文中宋" w:eastAsia="华文中宋" w:cs="华文中宋"/>
          <w:b w:val="0"/>
          <w:color w:val="auto"/>
          <w:sz w:val="24"/>
          <w:szCs w:val="24"/>
        </w:rPr>
        <w:t>5.5 质量争议检测</w:t>
      </w:r>
      <w:bookmarkEnd w:id="251"/>
    </w:p>
    <w:p w14:paraId="3948690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合同当事人对工程质量有争议的，由双方协商确定的工程质量检测机构鉴定，由此产生的费用及因此造成的损失，由责任方承担。</w:t>
      </w:r>
    </w:p>
    <w:p w14:paraId="4830D14F">
      <w:pPr>
        <w:pageBreakBefore w:val="0"/>
        <w:kinsoku/>
        <w:wordWrap/>
        <w:overflowPunct/>
        <w:topLinePunct w:val="0"/>
        <w:autoSpaceDE w:val="0"/>
        <w:autoSpaceDN w:val="0"/>
        <w:bidi w:val="0"/>
        <w:adjustRightInd w:val="0"/>
        <w:snapToGrid/>
        <w:spacing w:line="360" w:lineRule="auto"/>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合同当事人均有责任的，由双方根据其责任分别承担。合同当事人无法达成一致的，按照第4.4款〔商定或确定〕执行。</w:t>
      </w:r>
    </w:p>
    <w:p w14:paraId="19D46185">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252" w:name="_Toc375060755"/>
      <w:r>
        <w:rPr>
          <w:rFonts w:hint="eastAsia" w:ascii="华文中宋" w:hAnsi="华文中宋" w:eastAsia="华文中宋" w:cs="华文中宋"/>
          <w:b w:val="0"/>
          <w:color w:val="auto"/>
          <w:sz w:val="24"/>
          <w:szCs w:val="24"/>
        </w:rPr>
        <w:t>6</w:t>
      </w:r>
      <w:bookmarkStart w:id="253" w:name="_Toc337558763"/>
      <w:r>
        <w:rPr>
          <w:rFonts w:hint="eastAsia" w:ascii="华文中宋" w:hAnsi="华文中宋" w:eastAsia="华文中宋" w:cs="华文中宋"/>
          <w:b w:val="0"/>
          <w:color w:val="auto"/>
          <w:sz w:val="24"/>
          <w:szCs w:val="24"/>
        </w:rPr>
        <w:t>. 安全文明施工与环境保护</w:t>
      </w:r>
      <w:bookmarkEnd w:id="252"/>
    </w:p>
    <w:bookmarkEnd w:id="253"/>
    <w:p w14:paraId="5048D632">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54" w:name="_Toc375060756"/>
      <w:r>
        <w:rPr>
          <w:rFonts w:hint="eastAsia" w:ascii="华文中宋" w:hAnsi="华文中宋" w:eastAsia="华文中宋" w:cs="华文中宋"/>
          <w:b w:val="0"/>
          <w:color w:val="auto"/>
          <w:sz w:val="24"/>
          <w:szCs w:val="24"/>
        </w:rPr>
        <w:t>6</w:t>
      </w:r>
      <w:bookmarkStart w:id="255" w:name="_Toc337558764"/>
      <w:r>
        <w:rPr>
          <w:rFonts w:hint="eastAsia" w:ascii="华文中宋" w:hAnsi="华文中宋" w:eastAsia="华文中宋" w:cs="华文中宋"/>
          <w:b w:val="0"/>
          <w:color w:val="auto"/>
          <w:sz w:val="24"/>
          <w:szCs w:val="24"/>
        </w:rPr>
        <w:t>.1安全文明施工</w:t>
      </w:r>
      <w:bookmarkEnd w:id="254"/>
    </w:p>
    <w:bookmarkEnd w:id="255"/>
    <w:p w14:paraId="548F54E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6.1.1安全生产要求</w:t>
      </w:r>
    </w:p>
    <w:p w14:paraId="5E67528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350E5D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在施工过程中，如遇到突发的地质变动、事先未知的地下施工障碍等影响施工安全的紧急情况，承包人应及时报告监理人和发包人，发包人应当及时下令停工并报</w:t>
      </w:r>
      <w:r>
        <w:rPr>
          <w:rFonts w:hint="eastAsia" w:ascii="华文中宋" w:hAnsi="华文中宋" w:eastAsia="华文中宋" w:cs="华文中宋"/>
          <w:color w:val="auto"/>
          <w:kern w:val="0"/>
          <w:sz w:val="24"/>
          <w:szCs w:val="24"/>
        </w:rPr>
        <w:t>政府有关行政管理部门</w:t>
      </w:r>
      <w:r>
        <w:rPr>
          <w:rFonts w:hint="eastAsia" w:ascii="华文中宋" w:hAnsi="华文中宋" w:eastAsia="华文中宋" w:cs="华文中宋"/>
          <w:color w:val="auto"/>
          <w:sz w:val="24"/>
          <w:szCs w:val="24"/>
        </w:rPr>
        <w:t>采取应急措施。</w:t>
      </w:r>
    </w:p>
    <w:p w14:paraId="6238D0A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因安全生产需要暂停施工的，按照第7.8款〔暂停施工〕的约定执行。</w:t>
      </w:r>
    </w:p>
    <w:p w14:paraId="5DDB3FA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6.1.2 安全生产保证措施</w:t>
      </w:r>
    </w:p>
    <w:p w14:paraId="42FEC4C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承包人应当按照有关</w:t>
      </w:r>
      <w:r>
        <w:rPr>
          <w:rFonts w:hint="eastAsia" w:ascii="华文中宋" w:hAnsi="华文中宋" w:eastAsia="华文中宋" w:cs="华文中宋"/>
          <w:color w:val="auto"/>
          <w:kern w:val="0"/>
          <w:sz w:val="24"/>
          <w:szCs w:val="24"/>
        </w:rPr>
        <w:t>规定编制安全技术措施或者专项施工方案，</w:t>
      </w:r>
      <w:r>
        <w:rPr>
          <w:rFonts w:hint="eastAsia" w:ascii="华文中宋" w:hAnsi="华文中宋" w:eastAsia="华文中宋" w:cs="华文中宋"/>
          <w:color w:val="auto"/>
          <w:sz w:val="24"/>
          <w:szCs w:val="24"/>
        </w:rPr>
        <w:t>建立安全生产责任制度、治安保卫制度及安全生产教育培训制度，并</w:t>
      </w:r>
      <w:r>
        <w:rPr>
          <w:rFonts w:hint="eastAsia" w:ascii="华文中宋" w:hAnsi="华文中宋" w:eastAsia="华文中宋" w:cs="华文中宋"/>
          <w:color w:val="auto"/>
          <w:kern w:val="0"/>
          <w:sz w:val="24"/>
          <w:szCs w:val="24"/>
        </w:rPr>
        <w:t>按安全生产法律规定及合同约定履行安全职责，如实</w:t>
      </w:r>
      <w:r>
        <w:rPr>
          <w:rFonts w:hint="eastAsia" w:ascii="华文中宋" w:hAnsi="华文中宋" w:eastAsia="华文中宋" w:cs="华文中宋"/>
          <w:color w:val="auto"/>
          <w:sz w:val="24"/>
          <w:szCs w:val="24"/>
        </w:rPr>
        <w:t>编制工程安全生产的有关记录，</w:t>
      </w:r>
      <w:r>
        <w:rPr>
          <w:rFonts w:hint="eastAsia" w:ascii="华文中宋" w:hAnsi="华文中宋" w:eastAsia="华文中宋" w:cs="华文中宋"/>
          <w:color w:val="auto"/>
          <w:kern w:val="0"/>
          <w:sz w:val="24"/>
          <w:szCs w:val="24"/>
        </w:rPr>
        <w:t>接受发包人、监理人及政府安全监督部门的检查与监督。</w:t>
      </w:r>
    </w:p>
    <w:p w14:paraId="39C5E5F5">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6.1.3特别安全生产事项</w:t>
      </w:r>
    </w:p>
    <w:p w14:paraId="5185B82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77D924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73A62DE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6012F04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需单独编制危险性较大分部分项专项工程施工方案的，及要求进行专家论证的超过一定规模的危险性较大的分部分项工程，承包人应及时编制和组织论证。</w:t>
      </w:r>
    </w:p>
    <w:p w14:paraId="4D316F7C">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6.1.4 治安保卫</w:t>
      </w:r>
    </w:p>
    <w:p w14:paraId="20B3643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除专用合同条款另有约定外，发包人应与当地公安部门协商，在现场建立治安管理机构或联防组织，统一管理施工场地的治安保卫事项，履行合同工程的治安保卫职责。</w:t>
      </w:r>
    </w:p>
    <w:p w14:paraId="578CC6A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发包人和承包人除应协助现场治安管理机构或联防组织维护施工场地的社会治安外，还应做好包括生活区在内的各自管辖区的治安保卫工作。</w:t>
      </w:r>
    </w:p>
    <w:p w14:paraId="638F7DF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23C0C5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6.1.5 文明施工</w:t>
      </w:r>
    </w:p>
    <w:p w14:paraId="38BABA8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DB9435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E22C36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6.1.6 安全文明施工费</w:t>
      </w:r>
    </w:p>
    <w:p w14:paraId="79F301C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安全文明施工费由发包人承担，发包人不得以任何形式扣减该部分费用。因基准日期后合同所适用的法律或政府有关规定发生变化，增加的安全文明施工费由发包人承担。</w:t>
      </w:r>
    </w:p>
    <w:p w14:paraId="6DC1461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366A43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发包人应在开工后28天内预付安全文明施工费。发包人逾期支付安全文明施工费超过7天的，承包人有权向发包人发出要求预付的催告通知，发包人收到通知后7天内仍未支付的，承包人有权暂停施工，并按第16.1.1项〔发包人违约的情形〕执行。</w:t>
      </w:r>
    </w:p>
    <w:p w14:paraId="3D4B93A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D5D55C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6.1.7 紧急情况处理</w:t>
      </w:r>
    </w:p>
    <w:p w14:paraId="311D503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46245C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6.1.8 事故处理</w:t>
      </w:r>
    </w:p>
    <w:p w14:paraId="3EB050A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C59458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6.1.9 安全生产责任</w:t>
      </w:r>
    </w:p>
    <w:p w14:paraId="6BFDF22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6.1.9.1 承包人的安全责任</w:t>
      </w:r>
    </w:p>
    <w:p w14:paraId="49BAF99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由于承包人原因在施工场地内及其毗邻地带造成的发包人、监理人以及第三者人员伤亡和财产损失，由承包人负责赔偿。</w:t>
      </w:r>
    </w:p>
    <w:p w14:paraId="3C94461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56" w:name="_Toc375060757"/>
      <w:r>
        <w:rPr>
          <w:rFonts w:hint="eastAsia" w:ascii="华文中宋" w:hAnsi="华文中宋" w:eastAsia="华文中宋" w:cs="华文中宋"/>
          <w:b w:val="0"/>
          <w:color w:val="auto"/>
          <w:sz w:val="24"/>
          <w:szCs w:val="24"/>
        </w:rPr>
        <w:t>6</w:t>
      </w:r>
      <w:bookmarkStart w:id="257" w:name="_Toc337558765"/>
      <w:r>
        <w:rPr>
          <w:rFonts w:hint="eastAsia" w:ascii="华文中宋" w:hAnsi="华文中宋" w:eastAsia="华文中宋" w:cs="华文中宋"/>
          <w:b w:val="0"/>
          <w:color w:val="auto"/>
          <w:sz w:val="24"/>
          <w:szCs w:val="24"/>
        </w:rPr>
        <w:t>.2 职业健康</w:t>
      </w:r>
      <w:bookmarkEnd w:id="256"/>
    </w:p>
    <w:bookmarkEnd w:id="257"/>
    <w:p w14:paraId="61988F0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6.2.1 劳动保护</w:t>
      </w:r>
    </w:p>
    <w:p w14:paraId="6B91B95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7ECA8A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25D3CE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5A2C958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6.2.2 生活条件</w:t>
      </w:r>
    </w:p>
    <w:p w14:paraId="5EA8CC3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38BB66D">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58" w:name="_Toc375060758"/>
      <w:r>
        <w:rPr>
          <w:rFonts w:hint="eastAsia" w:ascii="华文中宋" w:hAnsi="华文中宋" w:eastAsia="华文中宋" w:cs="华文中宋"/>
          <w:b w:val="0"/>
          <w:color w:val="auto"/>
          <w:sz w:val="24"/>
          <w:szCs w:val="24"/>
        </w:rPr>
        <w:t>6</w:t>
      </w:r>
      <w:bookmarkStart w:id="259" w:name="_Toc337558766"/>
      <w:r>
        <w:rPr>
          <w:rFonts w:hint="eastAsia" w:ascii="华文中宋" w:hAnsi="华文中宋" w:eastAsia="华文中宋" w:cs="华文中宋"/>
          <w:b w:val="0"/>
          <w:color w:val="auto"/>
          <w:sz w:val="24"/>
          <w:szCs w:val="24"/>
        </w:rPr>
        <w:t>.3 环境保护</w:t>
      </w:r>
      <w:bookmarkEnd w:id="258"/>
    </w:p>
    <w:bookmarkEnd w:id="259"/>
    <w:p w14:paraId="68FDEE1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BC5A80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承包人应当承担因其原因引起的环境污染侵权损害赔偿责任，因上述环境污染引起纠纷而导致暂停施工的，由此增加的费用和（或）延误的工期由承包人承担。</w:t>
      </w:r>
    </w:p>
    <w:p w14:paraId="1712BC44">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260" w:name="_Toc375060759"/>
      <w:r>
        <w:rPr>
          <w:rFonts w:hint="eastAsia" w:ascii="华文中宋" w:hAnsi="华文中宋" w:eastAsia="华文中宋" w:cs="华文中宋"/>
          <w:b w:val="0"/>
          <w:color w:val="auto"/>
          <w:sz w:val="24"/>
          <w:szCs w:val="24"/>
        </w:rPr>
        <w:t>7</w:t>
      </w:r>
      <w:bookmarkStart w:id="261" w:name="_Toc337558767"/>
      <w:r>
        <w:rPr>
          <w:rFonts w:hint="eastAsia" w:ascii="华文中宋" w:hAnsi="华文中宋" w:eastAsia="华文中宋" w:cs="华文中宋"/>
          <w:b w:val="0"/>
          <w:color w:val="auto"/>
          <w:sz w:val="24"/>
          <w:szCs w:val="24"/>
        </w:rPr>
        <w:t>. 工期和进度</w:t>
      </w:r>
      <w:bookmarkEnd w:id="260"/>
    </w:p>
    <w:bookmarkEnd w:id="261"/>
    <w:p w14:paraId="24A9A2C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62" w:name="_Toc375060760"/>
      <w:r>
        <w:rPr>
          <w:rFonts w:hint="eastAsia" w:ascii="华文中宋" w:hAnsi="华文中宋" w:eastAsia="华文中宋" w:cs="华文中宋"/>
          <w:b w:val="0"/>
          <w:color w:val="auto"/>
          <w:sz w:val="24"/>
          <w:szCs w:val="24"/>
        </w:rPr>
        <w:t>7</w:t>
      </w:r>
      <w:bookmarkStart w:id="263" w:name="_Toc337558768"/>
      <w:bookmarkStart w:id="264" w:name="_Toc296503066"/>
      <w:bookmarkStart w:id="265" w:name="_Toc296346567"/>
      <w:r>
        <w:rPr>
          <w:rFonts w:hint="eastAsia" w:ascii="华文中宋" w:hAnsi="华文中宋" w:eastAsia="华文中宋" w:cs="华文中宋"/>
          <w:b w:val="0"/>
          <w:color w:val="auto"/>
          <w:sz w:val="24"/>
          <w:szCs w:val="24"/>
        </w:rPr>
        <w:t>.1施工组织设计</w:t>
      </w:r>
      <w:bookmarkEnd w:id="262"/>
    </w:p>
    <w:bookmarkEnd w:id="263"/>
    <w:p w14:paraId="674925C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 xml:space="preserve">7.1.1 </w:t>
      </w:r>
      <w:r>
        <w:rPr>
          <w:rFonts w:hint="eastAsia" w:ascii="华文中宋" w:hAnsi="华文中宋" w:eastAsia="华文中宋" w:cs="华文中宋"/>
          <w:color w:val="auto"/>
          <w:kern w:val="0"/>
          <w:sz w:val="24"/>
          <w:szCs w:val="24"/>
        </w:rPr>
        <w:t>施工组织设计的内容</w:t>
      </w:r>
    </w:p>
    <w:p w14:paraId="4429A62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施工组织设计应包含以下内容：</w:t>
      </w:r>
    </w:p>
    <w:p w14:paraId="2C40FB7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（1）施工方案； </w:t>
      </w:r>
    </w:p>
    <w:p w14:paraId="3EDEE4B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（2）施工现场平面布置图；</w:t>
      </w:r>
    </w:p>
    <w:p w14:paraId="17F2E73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（3）施工进度计划和保证措施； </w:t>
      </w:r>
    </w:p>
    <w:p w14:paraId="33520BB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（4）劳动力及材料供应计划；</w:t>
      </w:r>
    </w:p>
    <w:p w14:paraId="42EAEC6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（5）施工机械设备的选用；</w:t>
      </w:r>
    </w:p>
    <w:p w14:paraId="611C4DE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（6）质量保证体系及措施；</w:t>
      </w:r>
    </w:p>
    <w:p w14:paraId="7942CB0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（7）安全生产、文明施工措施；</w:t>
      </w:r>
    </w:p>
    <w:p w14:paraId="3798E2C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（8）环境保护、成本控制措施；</w:t>
      </w:r>
    </w:p>
    <w:p w14:paraId="593E04C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（9）合同当事人约定的其他内容。</w:t>
      </w:r>
    </w:p>
    <w:p w14:paraId="7AD90FA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 xml:space="preserve">7.1.2 </w:t>
      </w:r>
      <w:r>
        <w:rPr>
          <w:rFonts w:hint="eastAsia" w:ascii="华文中宋" w:hAnsi="华文中宋" w:eastAsia="华文中宋" w:cs="华文中宋"/>
          <w:color w:val="auto"/>
          <w:kern w:val="0"/>
          <w:sz w:val="24"/>
          <w:szCs w:val="24"/>
        </w:rPr>
        <w:t>施工组织设计的提交和修改</w:t>
      </w:r>
    </w:p>
    <w:p w14:paraId="22ACF9D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E1719F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施工进度计划的编制和修改按照第7.2款〔施工进度计划〕执行。</w:t>
      </w:r>
    </w:p>
    <w:p w14:paraId="002788AD">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66" w:name="_Toc375060761"/>
      <w:r>
        <w:rPr>
          <w:rFonts w:hint="eastAsia" w:ascii="华文中宋" w:hAnsi="华文中宋" w:eastAsia="华文中宋" w:cs="华文中宋"/>
          <w:b w:val="0"/>
          <w:color w:val="auto"/>
          <w:sz w:val="24"/>
          <w:szCs w:val="24"/>
        </w:rPr>
        <w:t>7</w:t>
      </w:r>
      <w:bookmarkStart w:id="267" w:name="_Toc337558769"/>
      <w:r>
        <w:rPr>
          <w:rFonts w:hint="eastAsia" w:ascii="华文中宋" w:hAnsi="华文中宋" w:eastAsia="华文中宋" w:cs="华文中宋"/>
          <w:b w:val="0"/>
          <w:color w:val="auto"/>
          <w:sz w:val="24"/>
          <w:szCs w:val="24"/>
        </w:rPr>
        <w:t>.2 施工进度计划</w:t>
      </w:r>
      <w:bookmarkEnd w:id="266"/>
    </w:p>
    <w:bookmarkEnd w:id="267"/>
    <w:p w14:paraId="61064CA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7.2.1 施工进度计划的编制</w:t>
      </w:r>
    </w:p>
    <w:p w14:paraId="1E9346D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267C1B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7.2.2 施工进度计划的修订</w:t>
      </w:r>
    </w:p>
    <w:p w14:paraId="655137F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B8F8A7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68" w:name="_Toc375060762"/>
      <w:r>
        <w:rPr>
          <w:rFonts w:hint="eastAsia" w:ascii="华文中宋" w:hAnsi="华文中宋" w:eastAsia="华文中宋" w:cs="华文中宋"/>
          <w:b w:val="0"/>
          <w:color w:val="auto"/>
          <w:sz w:val="24"/>
          <w:szCs w:val="24"/>
        </w:rPr>
        <w:t>7</w:t>
      </w:r>
      <w:bookmarkStart w:id="269" w:name="_Toc337558770"/>
      <w:r>
        <w:rPr>
          <w:rFonts w:hint="eastAsia" w:ascii="华文中宋" w:hAnsi="华文中宋" w:eastAsia="华文中宋" w:cs="华文中宋"/>
          <w:b w:val="0"/>
          <w:color w:val="auto"/>
          <w:sz w:val="24"/>
          <w:szCs w:val="24"/>
        </w:rPr>
        <w:t>.3 开工</w:t>
      </w:r>
      <w:bookmarkEnd w:id="268"/>
    </w:p>
    <w:p w14:paraId="4F6710E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7.3.1 开工准备</w:t>
      </w:r>
    </w:p>
    <w:p w14:paraId="02F2680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4CC493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除专用合同条款另有约定外，合同当事人应按约定完成开工准备工作。</w:t>
      </w:r>
    </w:p>
    <w:p w14:paraId="3572583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7.3.2 开工通知</w:t>
      </w:r>
    </w:p>
    <w:bookmarkEnd w:id="269"/>
    <w:p w14:paraId="5A52937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经发包人同意后，监理人发出的开工通知应符合法律规定。监理人应在计划开工日期7天前向承包人发出开工通知，工期自开工通知中载明的开工日期起算。</w:t>
      </w:r>
    </w:p>
    <w:p w14:paraId="5C51F71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5FC2D2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70" w:name="_Toc375060763"/>
      <w:r>
        <w:rPr>
          <w:rFonts w:hint="eastAsia" w:ascii="华文中宋" w:hAnsi="华文中宋" w:eastAsia="华文中宋" w:cs="华文中宋"/>
          <w:b w:val="0"/>
          <w:color w:val="auto"/>
          <w:sz w:val="24"/>
          <w:szCs w:val="24"/>
        </w:rPr>
        <w:t>7.4测量放线</w:t>
      </w:r>
      <w:bookmarkEnd w:id="270"/>
    </w:p>
    <w:p w14:paraId="3D59322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85088C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E5F187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750AE1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施工过程中对施工现场内水准点等测量标志物的保护工作由承包人负责。</w:t>
      </w:r>
    </w:p>
    <w:p w14:paraId="08DF1820">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71" w:name="_Toc375060764"/>
      <w:r>
        <w:rPr>
          <w:rFonts w:hint="eastAsia" w:ascii="华文中宋" w:hAnsi="华文中宋" w:eastAsia="华文中宋" w:cs="华文中宋"/>
          <w:b w:val="0"/>
          <w:color w:val="auto"/>
          <w:sz w:val="24"/>
          <w:szCs w:val="24"/>
        </w:rPr>
        <w:t>7</w:t>
      </w:r>
      <w:bookmarkEnd w:id="264"/>
      <w:bookmarkEnd w:id="265"/>
      <w:bookmarkStart w:id="272" w:name="_Toc296346574"/>
      <w:bookmarkStart w:id="273" w:name="_Toc337558772"/>
      <w:bookmarkStart w:id="274" w:name="_Toc296503073"/>
      <w:r>
        <w:rPr>
          <w:rFonts w:hint="eastAsia" w:ascii="华文中宋" w:hAnsi="华文中宋" w:eastAsia="华文中宋" w:cs="华文中宋"/>
          <w:b w:val="0"/>
          <w:color w:val="auto"/>
          <w:sz w:val="24"/>
          <w:szCs w:val="24"/>
        </w:rPr>
        <w:t>.5 工期延误</w:t>
      </w:r>
      <w:bookmarkEnd w:id="271"/>
    </w:p>
    <w:bookmarkEnd w:id="272"/>
    <w:bookmarkEnd w:id="273"/>
    <w:bookmarkEnd w:id="274"/>
    <w:p w14:paraId="02E35CE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7.5.1 因发包人原因导致工期延误</w:t>
      </w:r>
    </w:p>
    <w:p w14:paraId="2F12FC1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在合同履行过程中，因下列情况导致工期延误和（或）费用增加的，由发包人承担由此延误的工期和（或）增加的费用，且发包人应支付承包人合理的利润： </w:t>
      </w:r>
    </w:p>
    <w:p w14:paraId="2978A1A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（1）发包人未能按合同约定提供图纸或所提供图纸不符合合同约定的；</w:t>
      </w:r>
    </w:p>
    <w:p w14:paraId="5A28BFF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（2）发包人未能按合同约定提供施工现场、施工条件、基础资料、许可、批准等开工条件的；</w:t>
      </w:r>
    </w:p>
    <w:p w14:paraId="354F592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（3）发包人提供的测量基准点、基准线和水准点及其书面资料存在错误或疏漏的；</w:t>
      </w:r>
    </w:p>
    <w:p w14:paraId="0A31224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（4）发包人未能在计划开工日期之日起7天内同意下达开工通知的；</w:t>
      </w:r>
    </w:p>
    <w:p w14:paraId="510042B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（5）发包人未能按合同约定日期支付工程预付款、进度款或竣工结算款的；</w:t>
      </w:r>
    </w:p>
    <w:p w14:paraId="3967AFD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（6）监理人未按合同约定发出指示、批准等文件的；</w:t>
      </w:r>
    </w:p>
    <w:p w14:paraId="5AC37BD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（7）专用合同条款中约定的其他情形。</w:t>
      </w:r>
    </w:p>
    <w:p w14:paraId="701D906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B54C50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7.5.2 因承包人原因导致工期延误</w:t>
      </w:r>
    </w:p>
    <w:p w14:paraId="4E2132A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bookmarkStart w:id="275" w:name="_Toc296346577"/>
      <w:bookmarkStart w:id="276" w:name="_Toc296503076"/>
      <w:r>
        <w:rPr>
          <w:rFonts w:hint="eastAsia" w:ascii="华文中宋" w:hAnsi="华文中宋" w:eastAsia="华文中宋" w:cs="华文中宋"/>
          <w:color w:val="auto"/>
          <w:kern w:val="0"/>
          <w:sz w:val="24"/>
          <w:szCs w:val="24"/>
        </w:rPr>
        <w:t>因</w:t>
      </w:r>
      <w:bookmarkEnd w:id="275"/>
      <w:bookmarkEnd w:id="276"/>
      <w:r>
        <w:rPr>
          <w:rFonts w:hint="eastAsia" w:ascii="华文中宋" w:hAnsi="华文中宋" w:eastAsia="华文中宋" w:cs="华文中宋"/>
          <w:color w:val="auto"/>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1FDD45DB">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77" w:name="_Toc375060765"/>
      <w:r>
        <w:rPr>
          <w:rFonts w:hint="eastAsia" w:ascii="华文中宋" w:hAnsi="华文中宋" w:eastAsia="华文中宋" w:cs="华文中宋"/>
          <w:b w:val="0"/>
          <w:color w:val="auto"/>
          <w:sz w:val="24"/>
          <w:szCs w:val="24"/>
        </w:rPr>
        <w:t>7</w:t>
      </w:r>
      <w:bookmarkStart w:id="278" w:name="_Toc296346575"/>
      <w:bookmarkStart w:id="279" w:name="_Toc296503074"/>
      <w:bookmarkStart w:id="280" w:name="_Toc337558773"/>
      <w:bookmarkStart w:id="281" w:name="_Toc296503077"/>
      <w:bookmarkStart w:id="282" w:name="_Toc296346578"/>
      <w:r>
        <w:rPr>
          <w:rFonts w:hint="eastAsia" w:ascii="华文中宋" w:hAnsi="华文中宋" w:eastAsia="华文中宋" w:cs="华文中宋"/>
          <w:b w:val="0"/>
          <w:color w:val="auto"/>
          <w:sz w:val="24"/>
          <w:szCs w:val="24"/>
        </w:rPr>
        <w:t>.6 不利物质条件</w:t>
      </w:r>
      <w:bookmarkEnd w:id="277"/>
    </w:p>
    <w:bookmarkEnd w:id="278"/>
    <w:bookmarkEnd w:id="279"/>
    <w:bookmarkEnd w:id="280"/>
    <w:p w14:paraId="026B40B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26410A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C47691F">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83" w:name="_Toc375060766"/>
      <w:r>
        <w:rPr>
          <w:rFonts w:hint="eastAsia" w:ascii="华文中宋" w:hAnsi="华文中宋" w:eastAsia="华文中宋" w:cs="华文中宋"/>
          <w:b w:val="0"/>
          <w:color w:val="auto"/>
          <w:sz w:val="24"/>
          <w:szCs w:val="24"/>
        </w:rPr>
        <w:t>7</w:t>
      </w:r>
      <w:bookmarkStart w:id="284" w:name="_Toc337558774"/>
      <w:bookmarkStart w:id="285" w:name="_Toc296503075"/>
      <w:bookmarkStart w:id="286" w:name="_Toc296346576"/>
      <w:r>
        <w:rPr>
          <w:rFonts w:hint="eastAsia" w:ascii="华文中宋" w:hAnsi="华文中宋" w:eastAsia="华文中宋" w:cs="华文中宋"/>
          <w:b w:val="0"/>
          <w:color w:val="auto"/>
          <w:sz w:val="24"/>
          <w:szCs w:val="24"/>
        </w:rPr>
        <w:t>.7 异常恶劣的气候条件</w:t>
      </w:r>
      <w:bookmarkEnd w:id="283"/>
    </w:p>
    <w:bookmarkEnd w:id="284"/>
    <w:bookmarkEnd w:id="285"/>
    <w:bookmarkEnd w:id="286"/>
    <w:p w14:paraId="00178F2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8BDAB0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21A51E1">
      <w:pPr>
        <w:pageBreakBefore w:val="0"/>
        <w:kinsoku/>
        <w:wordWrap/>
        <w:overflowPunct/>
        <w:topLinePunct w:val="0"/>
        <w:autoSpaceDE w:val="0"/>
        <w:autoSpaceDN w:val="0"/>
        <w:bidi w:val="0"/>
        <w:adjustRightInd w:val="0"/>
        <w:snapToGrid/>
        <w:spacing w:line="360" w:lineRule="auto"/>
        <w:ind w:firstLine="480" w:firstLineChars="200"/>
        <w:jc w:val="left"/>
        <w:outlineLvl w:val="0"/>
        <w:rPr>
          <w:rFonts w:hint="eastAsia" w:ascii="华文中宋" w:hAnsi="华文中宋" w:eastAsia="华文中宋" w:cs="华文中宋"/>
          <w:bCs/>
          <w:color w:val="auto"/>
          <w:sz w:val="24"/>
          <w:szCs w:val="24"/>
        </w:rPr>
      </w:pPr>
      <w:bookmarkStart w:id="287" w:name="_Toc375060648"/>
      <w:bookmarkStart w:id="288" w:name="_Toc375060767"/>
      <w:bookmarkStart w:id="289" w:name="_Toc27178"/>
      <w:bookmarkStart w:id="290" w:name="_Toc14293"/>
      <w:r>
        <w:rPr>
          <w:rFonts w:hint="eastAsia" w:ascii="华文中宋" w:hAnsi="华文中宋" w:eastAsia="华文中宋" w:cs="华文中宋"/>
          <w:bCs/>
          <w:color w:val="auto"/>
          <w:sz w:val="24"/>
          <w:szCs w:val="24"/>
        </w:rPr>
        <w:t>7</w:t>
      </w:r>
      <w:bookmarkStart w:id="291" w:name="_Toc337558775"/>
      <w:r>
        <w:rPr>
          <w:rFonts w:hint="eastAsia" w:ascii="华文中宋" w:hAnsi="华文中宋" w:eastAsia="华文中宋" w:cs="华文中宋"/>
          <w:bCs/>
          <w:color w:val="auto"/>
          <w:sz w:val="24"/>
          <w:szCs w:val="24"/>
        </w:rPr>
        <w:t>.8 暂停施工</w:t>
      </w:r>
      <w:bookmarkEnd w:id="287"/>
      <w:bookmarkEnd w:id="288"/>
      <w:bookmarkEnd w:id="289"/>
      <w:bookmarkEnd w:id="290"/>
    </w:p>
    <w:bookmarkEnd w:id="281"/>
    <w:bookmarkEnd w:id="282"/>
    <w:bookmarkEnd w:id="291"/>
    <w:p w14:paraId="51A9C63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7.8.1发包人原因引起的暂停施工</w:t>
      </w:r>
    </w:p>
    <w:p w14:paraId="1399EA3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因发包人原因引起暂停施工的，监理人经发包人同意后，应及时下达暂停施工指示。情况紧急且监理人未及时下达暂停施工指示的，按照第7.8.4项〔紧急情况下的暂停施工〕执行。</w:t>
      </w:r>
    </w:p>
    <w:p w14:paraId="616E98C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因发包人原因引起的暂停施工，发包人应承担由此增加的费用和（或）延误的工期，并支付承包人合理的利润。</w:t>
      </w:r>
    </w:p>
    <w:p w14:paraId="678521F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7.8.2 承包人原因引起的暂停施工</w:t>
      </w:r>
    </w:p>
    <w:p w14:paraId="460DB51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35DC22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7.8.3 指示暂停施工</w:t>
      </w:r>
    </w:p>
    <w:p w14:paraId="600C2F8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监理人认为有必要时，并经发包人批准后，可向承包人作出暂停施工的指示，承包人应按监理人指示暂停施工。</w:t>
      </w:r>
    </w:p>
    <w:p w14:paraId="0D0EEE5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7.8.4 紧急情况下的暂停施工</w:t>
      </w:r>
    </w:p>
    <w:p w14:paraId="39E455D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363026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7.8.5 暂停施工后的复工</w:t>
      </w:r>
    </w:p>
    <w:p w14:paraId="2BC78D7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D7DA81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承包人无故拖延和拒绝复工的，承包人承担由此增加的费用和（或）延误的工期；因发包人原因无法按时复工的，按照第7.5.1项〔因发包人原因导致工期延误〕约定办理。</w:t>
      </w:r>
    </w:p>
    <w:p w14:paraId="313ADB2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7.8.6 暂停施工持续56天以上</w:t>
      </w:r>
    </w:p>
    <w:p w14:paraId="7AA3EF05">
      <w:pPr>
        <w:pageBreakBefore w:val="0"/>
        <w:kinsoku/>
        <w:wordWrap/>
        <w:overflowPunct/>
        <w:topLinePunct w:val="0"/>
        <w:bidi w:val="0"/>
        <w:snapToGrid/>
        <w:spacing w:line="360" w:lineRule="auto"/>
        <w:ind w:firstLine="468" w:firstLineChars="195"/>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81EA8DF">
      <w:pPr>
        <w:pageBreakBefore w:val="0"/>
        <w:kinsoku/>
        <w:wordWrap/>
        <w:overflowPunct/>
        <w:topLinePunct w:val="0"/>
        <w:bidi w:val="0"/>
        <w:snapToGrid/>
        <w:spacing w:line="360" w:lineRule="auto"/>
        <w:ind w:firstLine="468" w:firstLineChars="195"/>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28AF21F">
      <w:pPr>
        <w:pageBreakBefore w:val="0"/>
        <w:kinsoku/>
        <w:wordWrap/>
        <w:overflowPunct/>
        <w:topLinePunct w:val="0"/>
        <w:bidi w:val="0"/>
        <w:snapToGrid/>
        <w:spacing w:line="360" w:lineRule="auto"/>
        <w:ind w:left="16" w:firstLine="468" w:firstLineChars="195"/>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7.8.7 暂停施工期间的工程照管</w:t>
      </w:r>
    </w:p>
    <w:p w14:paraId="5D47DD7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暂停施工期间，承包人应负责妥善照管工程并提供安全保障，由此增加的费用由责任方承担。</w:t>
      </w:r>
    </w:p>
    <w:p w14:paraId="47AF5A3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7.8.8 暂停施工的措施</w:t>
      </w:r>
    </w:p>
    <w:p w14:paraId="44D68AE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暂停施工期间，发包人和承包人均应采取必要的措施确保工程质量及安全，防止因暂停施工扩大损失。</w:t>
      </w:r>
    </w:p>
    <w:p w14:paraId="420172D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92" w:name="_Toc375060768"/>
      <w:r>
        <w:rPr>
          <w:rFonts w:hint="eastAsia" w:ascii="华文中宋" w:hAnsi="华文中宋" w:eastAsia="华文中宋" w:cs="华文中宋"/>
          <w:b w:val="0"/>
          <w:color w:val="auto"/>
          <w:sz w:val="24"/>
          <w:szCs w:val="24"/>
        </w:rPr>
        <w:t>7.9提前竣工</w:t>
      </w:r>
      <w:bookmarkEnd w:id="292"/>
    </w:p>
    <w:p w14:paraId="695DD81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6872D6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7.9.2 发包人要求承包人提前竣工，或承包人提出提前竣工的建议能够给发包人带来效益的，合同当事人可以在专用合同条款中约定提前竣工的奖励。</w:t>
      </w:r>
    </w:p>
    <w:p w14:paraId="140E5C6F">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293" w:name="_Toc375060769"/>
      <w:r>
        <w:rPr>
          <w:rFonts w:hint="eastAsia" w:ascii="华文中宋" w:hAnsi="华文中宋" w:eastAsia="华文中宋" w:cs="华文中宋"/>
          <w:b w:val="0"/>
          <w:color w:val="auto"/>
          <w:sz w:val="24"/>
          <w:szCs w:val="24"/>
        </w:rPr>
        <w:t>8</w:t>
      </w:r>
      <w:bookmarkStart w:id="294" w:name="_Toc337558776"/>
      <w:bookmarkStart w:id="295" w:name="_Toc296503058"/>
      <w:bookmarkStart w:id="296" w:name="_Toc296346559"/>
      <w:r>
        <w:rPr>
          <w:rFonts w:hint="eastAsia" w:ascii="华文中宋" w:hAnsi="华文中宋" w:eastAsia="华文中宋" w:cs="华文中宋"/>
          <w:b w:val="0"/>
          <w:color w:val="auto"/>
          <w:sz w:val="24"/>
          <w:szCs w:val="24"/>
        </w:rPr>
        <w:t>. 材料与设备</w:t>
      </w:r>
      <w:bookmarkEnd w:id="293"/>
    </w:p>
    <w:bookmarkEnd w:id="294"/>
    <w:bookmarkEnd w:id="295"/>
    <w:bookmarkEnd w:id="296"/>
    <w:p w14:paraId="70756C3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297" w:name="_Toc375060770"/>
      <w:r>
        <w:rPr>
          <w:rFonts w:hint="eastAsia" w:ascii="华文中宋" w:hAnsi="华文中宋" w:eastAsia="华文中宋" w:cs="华文中宋"/>
          <w:b w:val="0"/>
          <w:color w:val="auto"/>
          <w:sz w:val="24"/>
          <w:szCs w:val="24"/>
        </w:rPr>
        <w:t>8</w:t>
      </w:r>
      <w:bookmarkStart w:id="298" w:name="_Toc296346560"/>
      <w:bookmarkStart w:id="299" w:name="_Toc337558777"/>
      <w:bookmarkStart w:id="300" w:name="_Toc296503059"/>
      <w:bookmarkStart w:id="301" w:name="_Toc468936960"/>
      <w:r>
        <w:rPr>
          <w:rFonts w:hint="eastAsia" w:ascii="华文中宋" w:hAnsi="华文中宋" w:eastAsia="华文中宋" w:cs="华文中宋"/>
          <w:b w:val="0"/>
          <w:color w:val="auto"/>
          <w:sz w:val="24"/>
          <w:szCs w:val="24"/>
        </w:rPr>
        <w:t>.1发包人供应材料与工程设备</w:t>
      </w:r>
      <w:bookmarkEnd w:id="297"/>
    </w:p>
    <w:bookmarkEnd w:id="298"/>
    <w:bookmarkEnd w:id="299"/>
    <w:bookmarkEnd w:id="300"/>
    <w:p w14:paraId="5F56A57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发包人自行供应材料、工程设备的，应在签订合同时在专用合同条款的附件《发包人供应材料设备一览表》中明确材料、工程设备的品种、规格、型号、数量、单价、质量等级和送达地点。</w:t>
      </w:r>
    </w:p>
    <w:p w14:paraId="6677030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870DA5A">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color w:val="auto"/>
          <w:sz w:val="24"/>
          <w:szCs w:val="24"/>
        </w:rPr>
      </w:pPr>
      <w:bookmarkStart w:id="302" w:name="_Toc375060771"/>
      <w:r>
        <w:rPr>
          <w:rFonts w:hint="eastAsia" w:ascii="华文中宋" w:hAnsi="华文中宋" w:eastAsia="华文中宋" w:cs="华文中宋"/>
          <w:b w:val="0"/>
          <w:color w:val="auto"/>
          <w:sz w:val="24"/>
          <w:szCs w:val="24"/>
        </w:rPr>
        <w:t>8</w:t>
      </w:r>
      <w:bookmarkStart w:id="303" w:name="_Toc337558778"/>
      <w:bookmarkStart w:id="304" w:name="_Toc296503060"/>
      <w:bookmarkStart w:id="305" w:name="_Toc296346561"/>
      <w:r>
        <w:rPr>
          <w:rFonts w:hint="eastAsia" w:ascii="华文中宋" w:hAnsi="华文中宋" w:eastAsia="华文中宋" w:cs="华文中宋"/>
          <w:b w:val="0"/>
          <w:color w:val="auto"/>
          <w:sz w:val="24"/>
          <w:szCs w:val="24"/>
        </w:rPr>
        <w:t>.2承包人采购材料与工程设备</w:t>
      </w:r>
      <w:bookmarkEnd w:id="302"/>
    </w:p>
    <w:bookmarkEnd w:id="303"/>
    <w:bookmarkEnd w:id="304"/>
    <w:bookmarkEnd w:id="305"/>
    <w:p w14:paraId="7AF7BC0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D586C32">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06" w:name="_Toc375060772"/>
      <w:r>
        <w:rPr>
          <w:rFonts w:hint="eastAsia" w:ascii="华文中宋" w:hAnsi="华文中宋" w:eastAsia="华文中宋" w:cs="华文中宋"/>
          <w:b w:val="0"/>
          <w:color w:val="auto"/>
          <w:sz w:val="24"/>
          <w:szCs w:val="24"/>
        </w:rPr>
        <w:t>8</w:t>
      </w:r>
      <w:bookmarkStart w:id="307" w:name="_Toc296346562"/>
      <w:bookmarkStart w:id="308" w:name="_Toc337558779"/>
      <w:bookmarkStart w:id="309" w:name="_Toc296503061"/>
      <w:r>
        <w:rPr>
          <w:rFonts w:hint="eastAsia" w:ascii="华文中宋" w:hAnsi="华文中宋" w:eastAsia="华文中宋" w:cs="华文中宋"/>
          <w:b w:val="0"/>
          <w:color w:val="auto"/>
          <w:sz w:val="24"/>
          <w:szCs w:val="24"/>
        </w:rPr>
        <w:t>.3材料与工程设备的接收与拒收</w:t>
      </w:r>
      <w:bookmarkEnd w:id="306"/>
    </w:p>
    <w:bookmarkEnd w:id="307"/>
    <w:bookmarkEnd w:id="308"/>
    <w:bookmarkEnd w:id="309"/>
    <w:p w14:paraId="5CB68AB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BE06A4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发包人提供的材料和工程设备的规格、数量或质量不符合合同约定的，或因发包人原因导致交货日期延误或交货地点变更等情况的，按照第16.1款〔发包人违约〕约定办理。</w:t>
      </w:r>
    </w:p>
    <w:p w14:paraId="6999F4D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8.3.2 承包人采购的材料和工程设备，应保证产品质量合格，承包人应在材料和工程设备到货前24小时通知监理人检验。承</w:t>
      </w:r>
      <w:bookmarkStart w:id="310" w:name="_Toc250655469"/>
      <w:r>
        <w:rPr>
          <w:rFonts w:hint="eastAsia" w:ascii="华文中宋" w:hAnsi="华文中宋" w:eastAsia="华文中宋" w:cs="华文中宋"/>
          <w:color w:val="auto"/>
          <w:kern w:val="0"/>
          <w:sz w:val="24"/>
          <w:szCs w:val="24"/>
        </w:rPr>
        <w:t>包人进行永久设备、材料的制造和生产的，应符合相关质量标准，并向监理人提交材料的样本以及有关资料，并应在使用该材料或工程设备之前获得监理人同意。</w:t>
      </w:r>
    </w:p>
    <w:bookmarkEnd w:id="310"/>
    <w:p w14:paraId="431E0870">
      <w:pPr>
        <w:pageBreakBefore w:val="0"/>
        <w:kinsoku/>
        <w:wordWrap/>
        <w:overflowPunct/>
        <w:topLinePunct w:val="0"/>
        <w:autoSpaceDE w:val="0"/>
        <w:autoSpaceDN w:val="0"/>
        <w:bidi w:val="0"/>
        <w:adjustRightInd w:val="0"/>
        <w:snapToGrid/>
        <w:spacing w:line="360" w:lineRule="auto"/>
        <w:ind w:firstLine="360" w:firstLineChars="15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4B248D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11" w:name="_Toc375060773"/>
      <w:r>
        <w:rPr>
          <w:rFonts w:hint="eastAsia" w:ascii="华文中宋" w:hAnsi="华文中宋" w:eastAsia="华文中宋" w:cs="华文中宋"/>
          <w:b w:val="0"/>
          <w:color w:val="auto"/>
          <w:sz w:val="24"/>
          <w:szCs w:val="24"/>
        </w:rPr>
        <w:t>8</w:t>
      </w:r>
      <w:bookmarkStart w:id="312" w:name="_Toc337558780"/>
      <w:bookmarkStart w:id="313" w:name="_Toc296346563"/>
      <w:bookmarkStart w:id="314" w:name="_Toc296503062"/>
      <w:r>
        <w:rPr>
          <w:rFonts w:hint="eastAsia" w:ascii="华文中宋" w:hAnsi="华文中宋" w:eastAsia="华文中宋" w:cs="华文中宋"/>
          <w:b w:val="0"/>
          <w:color w:val="auto"/>
          <w:sz w:val="24"/>
          <w:szCs w:val="24"/>
        </w:rPr>
        <w:t>.4材料与工程设备的保管与使用</w:t>
      </w:r>
      <w:bookmarkEnd w:id="311"/>
    </w:p>
    <w:bookmarkEnd w:id="312"/>
    <w:bookmarkEnd w:id="313"/>
    <w:bookmarkEnd w:id="314"/>
    <w:p w14:paraId="7DE927F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8.4.1 发包人供应</w:t>
      </w:r>
      <w:r>
        <w:rPr>
          <w:rFonts w:hint="eastAsia" w:ascii="华文中宋" w:hAnsi="华文中宋" w:eastAsia="华文中宋" w:cs="华文中宋"/>
          <w:color w:val="auto"/>
          <w:sz w:val="24"/>
          <w:szCs w:val="24"/>
        </w:rPr>
        <w:t>材料与</w:t>
      </w:r>
      <w:r>
        <w:rPr>
          <w:rFonts w:hint="eastAsia" w:ascii="华文中宋" w:hAnsi="华文中宋" w:eastAsia="华文中宋" w:cs="华文中宋"/>
          <w:color w:val="auto"/>
          <w:kern w:val="0"/>
          <w:sz w:val="24"/>
          <w:szCs w:val="24"/>
        </w:rPr>
        <w:t>工程</w:t>
      </w:r>
      <w:r>
        <w:rPr>
          <w:rFonts w:hint="eastAsia" w:ascii="华文中宋" w:hAnsi="华文中宋" w:eastAsia="华文中宋" w:cs="华文中宋"/>
          <w:color w:val="auto"/>
          <w:sz w:val="24"/>
          <w:szCs w:val="24"/>
        </w:rPr>
        <w:t>设备的保管与使用</w:t>
      </w:r>
    </w:p>
    <w:p w14:paraId="51B18DB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64B74E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发包人供应的材料和工程设备使用前，由承包人负责检验，检验费用由发包人承担，不合格的不得使用。</w:t>
      </w:r>
    </w:p>
    <w:p w14:paraId="2A75BCF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8.4.2 承包人采购</w:t>
      </w:r>
      <w:r>
        <w:rPr>
          <w:rFonts w:hint="eastAsia" w:ascii="华文中宋" w:hAnsi="华文中宋" w:eastAsia="华文中宋" w:cs="华文中宋"/>
          <w:color w:val="auto"/>
          <w:sz w:val="24"/>
          <w:szCs w:val="24"/>
        </w:rPr>
        <w:t>材料与</w:t>
      </w:r>
      <w:r>
        <w:rPr>
          <w:rFonts w:hint="eastAsia" w:ascii="华文中宋" w:hAnsi="华文中宋" w:eastAsia="华文中宋" w:cs="华文中宋"/>
          <w:color w:val="auto"/>
          <w:kern w:val="0"/>
          <w:sz w:val="24"/>
          <w:szCs w:val="24"/>
        </w:rPr>
        <w:t>工程</w:t>
      </w:r>
      <w:r>
        <w:rPr>
          <w:rFonts w:hint="eastAsia" w:ascii="华文中宋" w:hAnsi="华文中宋" w:eastAsia="华文中宋" w:cs="华文中宋"/>
          <w:color w:val="auto"/>
          <w:sz w:val="24"/>
          <w:szCs w:val="24"/>
        </w:rPr>
        <w:t>设备的保管与使用</w:t>
      </w:r>
    </w:p>
    <w:p w14:paraId="2CD0ECD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3049CB6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发包人或监理人发现承包人使用不符合设计或有关标准要求的材料和工程设备时，有权要求承包人进行修复、拆除或重新采购，由此增加的费用和（或）延误的工期，由承包人承担。</w:t>
      </w:r>
    </w:p>
    <w:p w14:paraId="68B03B2F">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15" w:name="_Toc375060774"/>
      <w:r>
        <w:rPr>
          <w:rFonts w:hint="eastAsia" w:ascii="华文中宋" w:hAnsi="华文中宋" w:eastAsia="华文中宋" w:cs="华文中宋"/>
          <w:b w:val="0"/>
          <w:color w:val="auto"/>
          <w:sz w:val="24"/>
          <w:szCs w:val="24"/>
        </w:rPr>
        <w:t>8.5禁止使用不合格的材料和工程设备</w:t>
      </w:r>
      <w:bookmarkEnd w:id="315"/>
    </w:p>
    <w:p w14:paraId="6E2F9F8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8.5.1 监理人有权拒绝承包人提供的不合格材料或工程设备，并要求承包人立即进行更换。监理人应在更换后再次进行检查和检验，由此增加的费用和（或）延误的工期由承包人承担。</w:t>
      </w:r>
    </w:p>
    <w:p w14:paraId="69132B5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8.5.2 监理人发现承包人使用了不合格的材料和工程设备，承包人应按照监理人的指示立即改正，并禁止在工程中继续使用不合格的材料和工程设备。</w:t>
      </w:r>
    </w:p>
    <w:p w14:paraId="55A7A05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8.5.3 发包人提供的材料或工程设备不符合合同要求的，承包人有权拒绝，并可要求发包人更换，由此增加的费用和（或）延误的工期由发包人承担，并支付承包人合理的利润。</w:t>
      </w:r>
    </w:p>
    <w:p w14:paraId="23B5116D">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16" w:name="_Toc375060775"/>
      <w:r>
        <w:rPr>
          <w:rFonts w:hint="eastAsia" w:ascii="华文中宋" w:hAnsi="华文中宋" w:eastAsia="华文中宋" w:cs="华文中宋"/>
          <w:b w:val="0"/>
          <w:color w:val="auto"/>
          <w:sz w:val="24"/>
          <w:szCs w:val="24"/>
        </w:rPr>
        <w:t>8.6 样品</w:t>
      </w:r>
      <w:bookmarkEnd w:id="316"/>
    </w:p>
    <w:p w14:paraId="5E6825B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8.6.1</w:t>
      </w:r>
      <w:r>
        <w:rPr>
          <w:rFonts w:hint="eastAsia" w:ascii="华文中宋" w:hAnsi="华文中宋" w:eastAsia="华文中宋" w:cs="华文中宋"/>
          <w:color w:val="auto"/>
          <w:kern w:val="0"/>
          <w:sz w:val="24"/>
          <w:szCs w:val="24"/>
        </w:rPr>
        <w:tab/>
      </w:r>
      <w:r>
        <w:rPr>
          <w:rFonts w:hint="eastAsia" w:ascii="华文中宋" w:hAnsi="华文中宋" w:eastAsia="华文中宋" w:cs="华文中宋"/>
          <w:color w:val="auto"/>
          <w:kern w:val="0"/>
          <w:sz w:val="24"/>
          <w:szCs w:val="24"/>
        </w:rPr>
        <w:t>样品的报送与封存</w:t>
      </w:r>
    </w:p>
    <w:p w14:paraId="126FBAD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需要承包人报送样品的材料或工程设备，样品的种类、名称、规格、数量等要求均应在专用合同条款中约定。样品的报送程序如下：</w:t>
      </w:r>
    </w:p>
    <w:p w14:paraId="595AA9B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19CE43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6DD86B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（3）经发包人和监理人审批确认的样品应按约定的方法封样，封存的样品作为检验工程相关部分的标准之一。承包人在施工过程中不得使用与样品不符的材料或工程设备。</w:t>
      </w:r>
    </w:p>
    <w:p w14:paraId="7969D80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E4FD9A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8.6.2 样品的保管</w:t>
      </w:r>
    </w:p>
    <w:p w14:paraId="446C34D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经批准的样品应由监理人负责封存于现场，承包人应在现场为保存样品提供适当和固定的场所并保持适当和良好的存储环境条件。</w:t>
      </w:r>
    </w:p>
    <w:p w14:paraId="47A5ED54">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17" w:name="_Toc375060776"/>
      <w:r>
        <w:rPr>
          <w:rFonts w:hint="eastAsia" w:ascii="华文中宋" w:hAnsi="华文中宋" w:eastAsia="华文中宋" w:cs="华文中宋"/>
          <w:b w:val="0"/>
          <w:color w:val="auto"/>
          <w:sz w:val="24"/>
          <w:szCs w:val="24"/>
        </w:rPr>
        <w:t>8.7材料与工程设备的替代</w:t>
      </w:r>
      <w:bookmarkEnd w:id="317"/>
    </w:p>
    <w:p w14:paraId="4E6142E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8.7.1 出现下列情况需要使用替代材料和工程设备的，承包人应按照第8.7.2项约定的程序执行：</w:t>
      </w:r>
    </w:p>
    <w:p w14:paraId="549AAD1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（1）基准日期后生效的法律规定禁止使用的；</w:t>
      </w:r>
    </w:p>
    <w:p w14:paraId="1167CC2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（2）发包人要求使用替代品的；</w:t>
      </w:r>
    </w:p>
    <w:p w14:paraId="3EDAEEC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（3）因其他原因必须使用替代品的。</w:t>
      </w:r>
    </w:p>
    <w:p w14:paraId="590672E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8.7.2 承包人应在使用替代材料和工程设备28天前书面通知监理人，并附下列文件：</w:t>
      </w:r>
    </w:p>
    <w:p w14:paraId="74722A3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（1）被替代的材料和工程设备的名称、数量、规格、型号、品牌、性能、价格及其他相关资料；</w:t>
      </w:r>
    </w:p>
    <w:p w14:paraId="1580281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（2）替代品的名称、数量、规格、型号、品牌、性能、价格及其他相关资料；</w:t>
      </w:r>
    </w:p>
    <w:p w14:paraId="3B5B8AD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（3）替代品与被替代产品之间的差异以及使用替代品可能对工程产生的影响；</w:t>
      </w:r>
    </w:p>
    <w:p w14:paraId="2774460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（4）替代品与被替代产品的价格差异；</w:t>
      </w:r>
    </w:p>
    <w:p w14:paraId="06F78B8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（5）使用替代品的理由和原因说明；</w:t>
      </w:r>
    </w:p>
    <w:p w14:paraId="0568716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（6）监理人要求的其他文件。</w:t>
      </w:r>
    </w:p>
    <w:p w14:paraId="290C4C4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监理人应在收到通知后14天内向承包人发出经发包人签认的书面指示；监理人逾期发出书面指示的，视为发包人和监理人同意使用替代品。</w:t>
      </w:r>
    </w:p>
    <w:p w14:paraId="4AB7814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528832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18" w:name="_Toc375060777"/>
      <w:r>
        <w:rPr>
          <w:rFonts w:hint="eastAsia" w:ascii="华文中宋" w:hAnsi="华文中宋" w:eastAsia="华文中宋" w:cs="华文中宋"/>
          <w:b w:val="0"/>
          <w:color w:val="auto"/>
          <w:sz w:val="24"/>
          <w:szCs w:val="24"/>
        </w:rPr>
        <w:t>8.8施工设备和临时设施</w:t>
      </w:r>
      <w:bookmarkEnd w:id="318"/>
    </w:p>
    <w:p w14:paraId="5D76FA1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8.8.1 承包人提供的施工设备和临时设施</w:t>
      </w:r>
    </w:p>
    <w:p w14:paraId="652B485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5AD4CF4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除专用合同条款另有约定外，承包人应自行承担修建临时设施的费用，需要临时占地的，应由发包人办理申请手续并承担相应费用。</w:t>
      </w:r>
    </w:p>
    <w:p w14:paraId="531AD2F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8.8.2发包人提供的施工设备和临时设施</w:t>
      </w:r>
    </w:p>
    <w:p w14:paraId="43931FA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发包人提供的施工设备或临时设施在专用合同条款中约定。</w:t>
      </w:r>
    </w:p>
    <w:p w14:paraId="162F7CE4">
      <w:pPr>
        <w:pageBreakBefore w:val="0"/>
        <w:kinsoku/>
        <w:wordWrap/>
        <w:overflowPunct/>
        <w:topLinePunct w:val="0"/>
        <w:autoSpaceDE w:val="0"/>
        <w:autoSpaceDN w:val="0"/>
        <w:bidi w:val="0"/>
        <w:adjustRightInd w:val="0"/>
        <w:snapToGrid/>
        <w:spacing w:line="360" w:lineRule="auto"/>
        <w:ind w:firstLine="480" w:firstLineChars="200"/>
        <w:jc w:val="left"/>
        <w:outlineLvl w:val="0"/>
        <w:rPr>
          <w:rFonts w:hint="eastAsia" w:ascii="华文中宋" w:hAnsi="华文中宋" w:eastAsia="华文中宋" w:cs="华文中宋"/>
          <w:color w:val="auto"/>
          <w:kern w:val="0"/>
          <w:sz w:val="24"/>
          <w:szCs w:val="24"/>
        </w:rPr>
      </w:pPr>
      <w:bookmarkStart w:id="319" w:name="_Toc18005"/>
      <w:bookmarkStart w:id="320" w:name="_Toc375060778"/>
      <w:bookmarkStart w:id="321" w:name="_Toc375060649"/>
      <w:bookmarkStart w:id="322" w:name="_Toc30643"/>
      <w:r>
        <w:rPr>
          <w:rFonts w:hint="eastAsia" w:ascii="华文中宋" w:hAnsi="华文中宋" w:eastAsia="华文中宋" w:cs="华文中宋"/>
          <w:color w:val="auto"/>
          <w:kern w:val="0"/>
          <w:sz w:val="24"/>
          <w:szCs w:val="24"/>
        </w:rPr>
        <w:t>8.8.3要求承包人增加或更换施工设备</w:t>
      </w:r>
      <w:bookmarkEnd w:id="319"/>
      <w:bookmarkEnd w:id="320"/>
      <w:bookmarkEnd w:id="321"/>
      <w:bookmarkEnd w:id="322"/>
    </w:p>
    <w:p w14:paraId="3361050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49CF006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23" w:name="_Toc375060779"/>
      <w:r>
        <w:rPr>
          <w:rFonts w:hint="eastAsia" w:ascii="华文中宋" w:hAnsi="华文中宋" w:eastAsia="华文中宋" w:cs="华文中宋"/>
          <w:b w:val="0"/>
          <w:color w:val="auto"/>
          <w:sz w:val="24"/>
          <w:szCs w:val="24"/>
        </w:rPr>
        <w:t>8</w:t>
      </w:r>
      <w:bookmarkStart w:id="324" w:name="_Toc337558781"/>
      <w:bookmarkStart w:id="325" w:name="_Toc296346564"/>
      <w:bookmarkStart w:id="326" w:name="_Toc296503063"/>
      <w:r>
        <w:rPr>
          <w:rFonts w:hint="eastAsia" w:ascii="华文中宋" w:hAnsi="华文中宋" w:eastAsia="华文中宋" w:cs="华文中宋"/>
          <w:b w:val="0"/>
          <w:color w:val="auto"/>
          <w:sz w:val="24"/>
          <w:szCs w:val="24"/>
        </w:rPr>
        <w:t>.9材料与设备专用要求</w:t>
      </w:r>
      <w:bookmarkEnd w:id="323"/>
    </w:p>
    <w:bookmarkEnd w:id="324"/>
    <w:bookmarkEnd w:id="325"/>
    <w:bookmarkEnd w:id="326"/>
    <w:p w14:paraId="6F280A7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301"/>
      <w:r>
        <w:rPr>
          <w:rFonts w:hint="eastAsia" w:ascii="华文中宋" w:hAnsi="华文中宋" w:eastAsia="华文中宋" w:cs="华文中宋"/>
          <w:color w:val="auto"/>
          <w:kern w:val="0"/>
          <w:sz w:val="24"/>
          <w:szCs w:val="24"/>
        </w:rPr>
        <w:t>经发包人批准，承包人可以根据施工进度计划撤走闲置的施工设备和其他物品。</w:t>
      </w:r>
    </w:p>
    <w:p w14:paraId="325CCA72">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327" w:name="_Toc375060780"/>
      <w:r>
        <w:rPr>
          <w:rFonts w:hint="eastAsia" w:ascii="华文中宋" w:hAnsi="华文中宋" w:eastAsia="华文中宋" w:cs="华文中宋"/>
          <w:b w:val="0"/>
          <w:color w:val="auto"/>
          <w:sz w:val="24"/>
          <w:szCs w:val="24"/>
        </w:rPr>
        <w:t>9</w:t>
      </w:r>
      <w:bookmarkStart w:id="328" w:name="_Toc337558782"/>
      <w:bookmarkStart w:id="329" w:name="_Toc296346584"/>
      <w:bookmarkStart w:id="330" w:name="_Toc296503083"/>
      <w:r>
        <w:rPr>
          <w:rFonts w:hint="eastAsia" w:ascii="华文中宋" w:hAnsi="华文中宋" w:eastAsia="华文中宋" w:cs="华文中宋"/>
          <w:b w:val="0"/>
          <w:color w:val="auto"/>
          <w:sz w:val="24"/>
          <w:szCs w:val="24"/>
        </w:rPr>
        <w:t>. 试验与检验</w:t>
      </w:r>
      <w:bookmarkEnd w:id="327"/>
    </w:p>
    <w:bookmarkEnd w:id="328"/>
    <w:p w14:paraId="70ABA17F">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31" w:name="_Toc375060781"/>
      <w:r>
        <w:rPr>
          <w:rFonts w:hint="eastAsia" w:ascii="华文中宋" w:hAnsi="华文中宋" w:eastAsia="华文中宋" w:cs="华文中宋"/>
          <w:b w:val="0"/>
          <w:color w:val="auto"/>
          <w:sz w:val="24"/>
          <w:szCs w:val="24"/>
        </w:rPr>
        <w:t>9</w:t>
      </w:r>
      <w:bookmarkStart w:id="332" w:name="_Toc337558783"/>
      <w:r>
        <w:rPr>
          <w:rFonts w:hint="eastAsia" w:ascii="华文中宋" w:hAnsi="华文中宋" w:eastAsia="华文中宋" w:cs="华文中宋"/>
          <w:b w:val="0"/>
          <w:color w:val="auto"/>
          <w:sz w:val="24"/>
          <w:szCs w:val="24"/>
        </w:rPr>
        <w:t>.1试验设备与试验人员</w:t>
      </w:r>
      <w:bookmarkEnd w:id="331"/>
    </w:p>
    <w:bookmarkEnd w:id="332"/>
    <w:p w14:paraId="5B88980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AD8190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9.1.2 承包人应按专用合同条款的约定提供试验设备、取样装置、试验场所和试验条件，并向监理人提交相应进场计划表。</w:t>
      </w:r>
    </w:p>
    <w:p w14:paraId="27CFD2A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承包人配置的试验设备要符合相应试验规程的要求并经过具有资质的检测单位检测，且在正式使用该试验设备前，需要经过监理人与承包人共同校定。</w:t>
      </w:r>
    </w:p>
    <w:p w14:paraId="7B17FCA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9.1.3 承包人应向监理人提交试验人员的名单及其岗位、资格等证明资料，试验人员必须能够熟练进行相应的检测试验，承包人对试验人员的试验程序和试验结果的正确性负责。</w:t>
      </w:r>
    </w:p>
    <w:p w14:paraId="00F69881">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33" w:name="_Toc375060782"/>
      <w:r>
        <w:rPr>
          <w:rFonts w:hint="eastAsia" w:ascii="华文中宋" w:hAnsi="华文中宋" w:eastAsia="华文中宋" w:cs="华文中宋"/>
          <w:b w:val="0"/>
          <w:color w:val="auto"/>
          <w:sz w:val="24"/>
          <w:szCs w:val="24"/>
        </w:rPr>
        <w:t>9</w:t>
      </w:r>
      <w:bookmarkStart w:id="334" w:name="_Toc337558784"/>
      <w:r>
        <w:rPr>
          <w:rFonts w:hint="eastAsia" w:ascii="华文中宋" w:hAnsi="华文中宋" w:eastAsia="华文中宋" w:cs="华文中宋"/>
          <w:b w:val="0"/>
          <w:color w:val="auto"/>
          <w:sz w:val="24"/>
          <w:szCs w:val="24"/>
        </w:rPr>
        <w:t>.2取样</w:t>
      </w:r>
      <w:bookmarkEnd w:id="333"/>
    </w:p>
    <w:bookmarkEnd w:id="334"/>
    <w:p w14:paraId="15952A2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试验属于自检性质的，承包人可以单独取样。试验属于监理人抽检性质的，可由监理人取样，也可由承包人的试验人员在监理人的监督下取样。</w:t>
      </w:r>
    </w:p>
    <w:p w14:paraId="6CEBD014">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35" w:name="_Toc375060783"/>
      <w:r>
        <w:rPr>
          <w:rFonts w:hint="eastAsia" w:ascii="华文中宋" w:hAnsi="华文中宋" w:eastAsia="华文中宋" w:cs="华文中宋"/>
          <w:b w:val="0"/>
          <w:color w:val="auto"/>
          <w:sz w:val="24"/>
          <w:szCs w:val="24"/>
        </w:rPr>
        <w:t>9</w:t>
      </w:r>
      <w:bookmarkStart w:id="336" w:name="_Toc337558785"/>
      <w:r>
        <w:rPr>
          <w:rFonts w:hint="eastAsia" w:ascii="华文中宋" w:hAnsi="华文中宋" w:eastAsia="华文中宋" w:cs="华文中宋"/>
          <w:b w:val="0"/>
          <w:color w:val="auto"/>
          <w:sz w:val="24"/>
          <w:szCs w:val="24"/>
        </w:rPr>
        <w:t>.3材料、工程设备和工程的试验和检验</w:t>
      </w:r>
      <w:bookmarkEnd w:id="335"/>
    </w:p>
    <w:bookmarkEnd w:id="336"/>
    <w:p w14:paraId="274AC42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24E1A2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24485A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DC37626">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37" w:name="_Toc375060784"/>
      <w:r>
        <w:rPr>
          <w:rFonts w:hint="eastAsia" w:ascii="华文中宋" w:hAnsi="华文中宋" w:eastAsia="华文中宋" w:cs="华文中宋"/>
          <w:b w:val="0"/>
          <w:color w:val="auto"/>
          <w:sz w:val="24"/>
          <w:szCs w:val="24"/>
        </w:rPr>
        <w:t>9</w:t>
      </w:r>
      <w:bookmarkStart w:id="338" w:name="_Toc337558786"/>
      <w:r>
        <w:rPr>
          <w:rFonts w:hint="eastAsia" w:ascii="华文中宋" w:hAnsi="华文中宋" w:eastAsia="华文中宋" w:cs="华文中宋"/>
          <w:b w:val="0"/>
          <w:color w:val="auto"/>
          <w:sz w:val="24"/>
          <w:szCs w:val="24"/>
        </w:rPr>
        <w:t>.4现场工艺试验</w:t>
      </w:r>
      <w:bookmarkEnd w:id="337"/>
    </w:p>
    <w:bookmarkEnd w:id="338"/>
    <w:p w14:paraId="0A827D6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17253FA4">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339" w:name="_Toc375060785"/>
      <w:r>
        <w:rPr>
          <w:rFonts w:hint="eastAsia" w:ascii="华文中宋" w:hAnsi="华文中宋" w:eastAsia="华文中宋" w:cs="华文中宋"/>
          <w:b w:val="0"/>
          <w:color w:val="auto"/>
          <w:sz w:val="24"/>
          <w:szCs w:val="24"/>
        </w:rPr>
        <w:t>1</w:t>
      </w:r>
      <w:bookmarkStart w:id="340" w:name="_Toc337558787"/>
      <w:r>
        <w:rPr>
          <w:rFonts w:hint="eastAsia" w:ascii="华文中宋" w:hAnsi="华文中宋" w:eastAsia="华文中宋" w:cs="华文中宋"/>
          <w:b w:val="0"/>
          <w:color w:val="auto"/>
          <w:sz w:val="24"/>
          <w:szCs w:val="24"/>
        </w:rPr>
        <w:t>0. 变更</w:t>
      </w:r>
      <w:bookmarkEnd w:id="329"/>
      <w:bookmarkEnd w:id="330"/>
      <w:bookmarkEnd w:id="339"/>
    </w:p>
    <w:bookmarkEnd w:id="340"/>
    <w:p w14:paraId="73ED3142">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41" w:name="_Toc375060786"/>
      <w:r>
        <w:rPr>
          <w:rFonts w:hint="eastAsia" w:ascii="华文中宋" w:hAnsi="华文中宋" w:eastAsia="华文中宋" w:cs="华文中宋"/>
          <w:b w:val="0"/>
          <w:color w:val="auto"/>
          <w:sz w:val="24"/>
          <w:szCs w:val="24"/>
        </w:rPr>
        <w:t>1</w:t>
      </w:r>
      <w:bookmarkStart w:id="342" w:name="_Toc296346585"/>
      <w:bookmarkStart w:id="343" w:name="_Toc337558788"/>
      <w:bookmarkStart w:id="344" w:name="_Toc296503084"/>
      <w:r>
        <w:rPr>
          <w:rFonts w:hint="eastAsia" w:ascii="华文中宋" w:hAnsi="华文中宋" w:eastAsia="华文中宋" w:cs="华文中宋"/>
          <w:b w:val="0"/>
          <w:color w:val="auto"/>
          <w:sz w:val="24"/>
          <w:szCs w:val="24"/>
        </w:rPr>
        <w:t>0.1变更的范围</w:t>
      </w:r>
      <w:bookmarkEnd w:id="341"/>
    </w:p>
    <w:bookmarkEnd w:id="342"/>
    <w:bookmarkEnd w:id="343"/>
    <w:bookmarkEnd w:id="344"/>
    <w:p w14:paraId="666A8ED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除专用合同条款另有约定外，合同履行过程中发生以下情形的，应按照本条约定进行变更：</w:t>
      </w:r>
    </w:p>
    <w:p w14:paraId="69D8AAE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（1）增加或减少合同中任何工作，或追加额外的工作；</w:t>
      </w:r>
    </w:p>
    <w:p w14:paraId="04DF344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（2）取消合同中任何工作，但转由他人实施的工作除外；</w:t>
      </w:r>
    </w:p>
    <w:p w14:paraId="3A1942E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（3）改变合同中任何工作的质量标准或其他特性；</w:t>
      </w:r>
    </w:p>
    <w:p w14:paraId="637D9A9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（4）改变工程的基线、标高、位置和尺寸；</w:t>
      </w:r>
    </w:p>
    <w:p w14:paraId="1A546BD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（5）改变工程的时间安排或实施顺序。</w:t>
      </w:r>
    </w:p>
    <w:p w14:paraId="7812795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45" w:name="_Toc375060787"/>
      <w:r>
        <w:rPr>
          <w:rFonts w:hint="eastAsia" w:ascii="华文中宋" w:hAnsi="华文中宋" w:eastAsia="华文中宋" w:cs="华文中宋"/>
          <w:b w:val="0"/>
          <w:color w:val="auto"/>
          <w:sz w:val="24"/>
          <w:szCs w:val="24"/>
        </w:rPr>
        <w:t>1</w:t>
      </w:r>
      <w:bookmarkStart w:id="346" w:name="_Toc296503085"/>
      <w:bookmarkStart w:id="347" w:name="_Toc337558789"/>
      <w:bookmarkStart w:id="348" w:name="_Toc296346586"/>
      <w:r>
        <w:rPr>
          <w:rFonts w:hint="eastAsia" w:ascii="华文中宋" w:hAnsi="华文中宋" w:eastAsia="华文中宋" w:cs="华文中宋"/>
          <w:b w:val="0"/>
          <w:color w:val="auto"/>
          <w:sz w:val="24"/>
          <w:szCs w:val="24"/>
        </w:rPr>
        <w:t>0.2变更权</w:t>
      </w:r>
      <w:bookmarkEnd w:id="345"/>
    </w:p>
    <w:bookmarkEnd w:id="346"/>
    <w:bookmarkEnd w:id="347"/>
    <w:bookmarkEnd w:id="348"/>
    <w:p w14:paraId="1BBB5B7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4DFABA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涉及设计变更的，应由设计人提供变更后的图纸和说明。如变更超过原设计标准或批准的建设规模时，发包人应及时办理规划、设计变更等审批手续。</w:t>
      </w:r>
    </w:p>
    <w:p w14:paraId="40BAB317">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49" w:name="_Toc375060788"/>
      <w:r>
        <w:rPr>
          <w:rFonts w:hint="eastAsia" w:ascii="华文中宋" w:hAnsi="华文中宋" w:eastAsia="华文中宋" w:cs="华文中宋"/>
          <w:b w:val="0"/>
          <w:color w:val="auto"/>
          <w:sz w:val="24"/>
          <w:szCs w:val="24"/>
        </w:rPr>
        <w:t>1</w:t>
      </w:r>
      <w:bookmarkStart w:id="350" w:name="_Toc296346587"/>
      <w:bookmarkStart w:id="351" w:name="_Toc337558790"/>
      <w:bookmarkStart w:id="352" w:name="_Toc296503086"/>
      <w:r>
        <w:rPr>
          <w:rFonts w:hint="eastAsia" w:ascii="华文中宋" w:hAnsi="华文中宋" w:eastAsia="华文中宋" w:cs="华文中宋"/>
          <w:b w:val="0"/>
          <w:color w:val="auto"/>
          <w:sz w:val="24"/>
          <w:szCs w:val="24"/>
        </w:rPr>
        <w:t>0.3变更程序</w:t>
      </w:r>
      <w:bookmarkEnd w:id="349"/>
    </w:p>
    <w:bookmarkEnd w:id="350"/>
    <w:bookmarkEnd w:id="351"/>
    <w:bookmarkEnd w:id="352"/>
    <w:p w14:paraId="2E0F3D6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10</w:t>
      </w:r>
      <w:r>
        <w:rPr>
          <w:rFonts w:hint="eastAsia" w:ascii="华文中宋" w:hAnsi="华文中宋" w:eastAsia="华文中宋" w:cs="华文中宋"/>
          <w:color w:val="auto"/>
          <w:kern w:val="0"/>
          <w:sz w:val="24"/>
          <w:szCs w:val="24"/>
        </w:rPr>
        <w:t>.3.1 发包人提出变更</w:t>
      </w:r>
    </w:p>
    <w:p w14:paraId="5C4789D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发包人提出变更的，应通过监理人向承包人发出变更指示，变更指示应说明计划变更的工程范围和变更的内容。</w:t>
      </w:r>
    </w:p>
    <w:p w14:paraId="224EE59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10</w:t>
      </w:r>
      <w:r>
        <w:rPr>
          <w:rFonts w:hint="eastAsia" w:ascii="华文中宋" w:hAnsi="华文中宋" w:eastAsia="华文中宋" w:cs="华文中宋"/>
          <w:color w:val="auto"/>
          <w:kern w:val="0"/>
          <w:sz w:val="24"/>
          <w:szCs w:val="24"/>
        </w:rPr>
        <w:t>.3.2 监理人提出变更建议</w:t>
      </w:r>
    </w:p>
    <w:p w14:paraId="7476BC6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A5B59B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10.3.3 变更执行</w:t>
      </w:r>
    </w:p>
    <w:p w14:paraId="2533831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66DC1FF">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53" w:name="_Toc375060789"/>
      <w:r>
        <w:rPr>
          <w:rFonts w:hint="eastAsia" w:ascii="华文中宋" w:hAnsi="华文中宋" w:eastAsia="华文中宋" w:cs="华文中宋"/>
          <w:b w:val="0"/>
          <w:color w:val="auto"/>
          <w:sz w:val="24"/>
          <w:szCs w:val="24"/>
        </w:rPr>
        <w:t>1</w:t>
      </w:r>
      <w:bookmarkStart w:id="354" w:name="_Toc337558791"/>
      <w:bookmarkStart w:id="355" w:name="_Toc296503087"/>
      <w:bookmarkStart w:id="356" w:name="_Toc296346588"/>
      <w:r>
        <w:rPr>
          <w:rFonts w:hint="eastAsia" w:ascii="华文中宋" w:hAnsi="华文中宋" w:eastAsia="华文中宋" w:cs="华文中宋"/>
          <w:b w:val="0"/>
          <w:color w:val="auto"/>
          <w:sz w:val="24"/>
          <w:szCs w:val="24"/>
        </w:rPr>
        <w:t>0.4变更估价</w:t>
      </w:r>
      <w:bookmarkEnd w:id="353"/>
    </w:p>
    <w:bookmarkEnd w:id="354"/>
    <w:bookmarkEnd w:id="355"/>
    <w:bookmarkEnd w:id="356"/>
    <w:p w14:paraId="4A3CEBF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10.4.1 变更估价原则</w:t>
      </w:r>
    </w:p>
    <w:p w14:paraId="3C73BAD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除专用合同条款另有约定外，变更估价按照本款约定处理：</w:t>
      </w:r>
    </w:p>
    <w:p w14:paraId="48C738D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（1）已标价工程量清单或预算书有相同项目的，按照相同项目单价认定；</w:t>
      </w:r>
    </w:p>
    <w:p w14:paraId="6E5509F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（2）已标价工程量清单或预算书中无相同项目，但有类似项目的，参照类似项目的单价认定；</w:t>
      </w:r>
    </w:p>
    <w:p w14:paraId="788B73F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FADB1A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10.4.2 变更估价程序</w:t>
      </w:r>
    </w:p>
    <w:p w14:paraId="1E5286D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77ABBC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因变更引起的价格调整应计入最近一期的进度款中支付。</w:t>
      </w:r>
    </w:p>
    <w:p w14:paraId="3C4550EC">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57" w:name="_Toc375060790"/>
      <w:r>
        <w:rPr>
          <w:rFonts w:hint="eastAsia" w:ascii="华文中宋" w:hAnsi="华文中宋" w:eastAsia="华文中宋" w:cs="华文中宋"/>
          <w:b w:val="0"/>
          <w:color w:val="auto"/>
          <w:sz w:val="24"/>
          <w:szCs w:val="24"/>
        </w:rPr>
        <w:t>1</w:t>
      </w:r>
      <w:bookmarkStart w:id="358" w:name="_Toc296503094"/>
      <w:bookmarkStart w:id="359" w:name="_Toc337558792"/>
      <w:bookmarkStart w:id="360" w:name="_Toc296346595"/>
      <w:r>
        <w:rPr>
          <w:rFonts w:hint="eastAsia" w:ascii="华文中宋" w:hAnsi="华文中宋" w:eastAsia="华文中宋" w:cs="华文中宋"/>
          <w:b w:val="0"/>
          <w:color w:val="auto"/>
          <w:sz w:val="24"/>
          <w:szCs w:val="24"/>
        </w:rPr>
        <w:t>0.5承包人的合理化建议</w:t>
      </w:r>
      <w:bookmarkEnd w:id="357"/>
    </w:p>
    <w:bookmarkEnd w:id="358"/>
    <w:bookmarkEnd w:id="359"/>
    <w:bookmarkEnd w:id="360"/>
    <w:p w14:paraId="0CFEB57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承包人提出合理化建议的，应向监理人提交合理化建议说明，说明建议的内容和理由，以及实施该建议对合同价格和工期的影响。</w:t>
      </w:r>
    </w:p>
    <w:p w14:paraId="7D66AF7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3F009C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合理化建议降低了合同价格或者提高了工程经济效益的，发包人可对承包人给予奖励，奖励的方法和金额在专用合同条款中约定。</w:t>
      </w:r>
    </w:p>
    <w:p w14:paraId="190B1DA7">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color w:val="auto"/>
          <w:sz w:val="24"/>
          <w:szCs w:val="24"/>
        </w:rPr>
      </w:pPr>
      <w:bookmarkStart w:id="361" w:name="_Toc375060791"/>
      <w:r>
        <w:rPr>
          <w:rFonts w:hint="eastAsia" w:ascii="华文中宋" w:hAnsi="华文中宋" w:eastAsia="华文中宋" w:cs="华文中宋"/>
          <w:b w:val="0"/>
          <w:color w:val="auto"/>
          <w:sz w:val="24"/>
          <w:szCs w:val="24"/>
        </w:rPr>
        <w:t>1</w:t>
      </w:r>
      <w:bookmarkStart w:id="362" w:name="_Toc337558793"/>
      <w:r>
        <w:rPr>
          <w:rFonts w:hint="eastAsia" w:ascii="华文中宋" w:hAnsi="华文中宋" w:eastAsia="华文中宋" w:cs="华文中宋"/>
          <w:b w:val="0"/>
          <w:color w:val="auto"/>
          <w:sz w:val="24"/>
          <w:szCs w:val="24"/>
        </w:rPr>
        <w:t>0.6变更引起的工期调整</w:t>
      </w:r>
      <w:bookmarkEnd w:id="361"/>
      <w:r>
        <w:rPr>
          <w:rFonts w:hint="eastAsia" w:ascii="华文中宋" w:hAnsi="华文中宋" w:eastAsia="华文中宋" w:cs="华文中宋"/>
          <w:b w:val="0"/>
          <w:color w:val="auto"/>
          <w:sz w:val="24"/>
          <w:szCs w:val="24"/>
        </w:rPr>
        <w:t xml:space="preserve"> </w:t>
      </w:r>
      <w:bookmarkEnd w:id="362"/>
      <w:r>
        <w:rPr>
          <w:rFonts w:hint="eastAsia" w:ascii="华文中宋" w:hAnsi="华文中宋" w:eastAsia="华文中宋" w:cs="华文中宋"/>
          <w:b w:val="0"/>
          <w:color w:val="auto"/>
          <w:sz w:val="24"/>
          <w:szCs w:val="24"/>
        </w:rPr>
        <w:t xml:space="preserve"> </w:t>
      </w:r>
      <w:r>
        <w:rPr>
          <w:rFonts w:hint="eastAsia" w:ascii="华文中宋" w:hAnsi="华文中宋" w:eastAsia="华文中宋" w:cs="华文中宋"/>
          <w:color w:val="auto"/>
          <w:sz w:val="24"/>
          <w:szCs w:val="24"/>
        </w:rPr>
        <w:t xml:space="preserve"> </w:t>
      </w:r>
    </w:p>
    <w:p w14:paraId="33D15F4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因变更引起工期变化的，合同当事人均可要求调整合同工期，由合同当事人按照第4.4款〔商定或确定〕并参考工程所在地的工期定额标准确定增减工期天数。</w:t>
      </w:r>
    </w:p>
    <w:p w14:paraId="4D769A6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63" w:name="_Toc375060792"/>
      <w:r>
        <w:rPr>
          <w:rFonts w:hint="eastAsia" w:ascii="华文中宋" w:hAnsi="华文中宋" w:eastAsia="华文中宋" w:cs="华文中宋"/>
          <w:b w:val="0"/>
          <w:color w:val="auto"/>
          <w:sz w:val="24"/>
          <w:szCs w:val="24"/>
        </w:rPr>
        <w:t>10.7暂估价</w:t>
      </w:r>
      <w:bookmarkEnd w:id="363"/>
    </w:p>
    <w:p w14:paraId="0EFAA6C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暂估价专业分包工程、服务、材料和工程设备的明细由合同当事人在专用合同条款中约定。</w:t>
      </w:r>
    </w:p>
    <w:p w14:paraId="288333E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10.7.1</w:t>
      </w:r>
      <w:r>
        <w:rPr>
          <w:rFonts w:hint="eastAsia" w:ascii="华文中宋" w:hAnsi="华文中宋" w:eastAsia="华文中宋" w:cs="华文中宋"/>
          <w:color w:val="auto"/>
          <w:kern w:val="0"/>
          <w:sz w:val="24"/>
          <w:szCs w:val="24"/>
        </w:rPr>
        <w:t xml:space="preserve"> 依法必须招标的暂估价项目</w:t>
      </w:r>
    </w:p>
    <w:p w14:paraId="46C04F6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对于依法必须招标的暂估价项目，采取以下第1种方式确定。合同当事人也可以在专用合同条款中选择其他招标方式。</w:t>
      </w:r>
    </w:p>
    <w:p w14:paraId="45395AD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第1种方式：对于依法必须招标的暂估价项目，由承包人招标，对该暂估价项目的确认和批准按照以下约定执行：</w:t>
      </w:r>
    </w:p>
    <w:p w14:paraId="0F604C7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CDAE4E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3E48472">
      <w:pPr>
        <w:pageBreakBefore w:val="0"/>
        <w:kinsoku/>
        <w:wordWrap/>
        <w:overflowPunct/>
        <w:topLinePunct w:val="0"/>
        <w:bidi w:val="0"/>
        <w:snapToGrid/>
        <w:spacing w:line="360" w:lineRule="auto"/>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BA454B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B909A7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10.7.2</w:t>
      </w:r>
      <w:r>
        <w:rPr>
          <w:rFonts w:hint="eastAsia" w:ascii="华文中宋" w:hAnsi="华文中宋" w:eastAsia="华文中宋" w:cs="华文中宋"/>
          <w:color w:val="auto"/>
          <w:kern w:val="0"/>
          <w:sz w:val="24"/>
          <w:szCs w:val="24"/>
        </w:rPr>
        <w:t>不属于依法必须招标的暂估价项目</w:t>
      </w:r>
    </w:p>
    <w:p w14:paraId="07E0C89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除专用合同条款另有约定外，对于不属于依法必须招标的暂估价项目，采取以下第1种方式确定： </w:t>
      </w:r>
    </w:p>
    <w:p w14:paraId="751A915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第1种方式：对于不属于依法必须招标的暂估价项目，按本项约定确认和批准：</w:t>
      </w:r>
    </w:p>
    <w:p w14:paraId="5844F1A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A162F1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（2）发包人认为承包人确定的供应商、分包人无法满足工程质量或合同要求的，发包人可以要求承包人重新确定暂估价项目的供应商、分包人;</w:t>
      </w:r>
    </w:p>
    <w:p w14:paraId="03DAFFC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（3）承包人应当在签订暂估价合同后7天内，将暂估价合同副本报送发包人留存。</w:t>
      </w:r>
    </w:p>
    <w:p w14:paraId="4E833F0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第2种方式：承包人按照第10.7.1项〔依法必须招标的暂估价项目〕约定的第1种方式确定暂估价项目。</w:t>
      </w:r>
    </w:p>
    <w:p w14:paraId="5E698A5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第3种方式：</w:t>
      </w:r>
      <w:r>
        <w:rPr>
          <w:rFonts w:hint="eastAsia" w:ascii="华文中宋" w:hAnsi="华文中宋" w:eastAsia="华文中宋" w:cs="华文中宋"/>
          <w:color w:val="auto"/>
          <w:kern w:val="0"/>
          <w:sz w:val="24"/>
          <w:szCs w:val="24"/>
        </w:rPr>
        <w:t>承包人直接实施的暂估价项目</w:t>
      </w:r>
    </w:p>
    <w:p w14:paraId="5E24B61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承包人具备实施暂估价项目的资格和条件的，经发包人和承包人协商一致后，可由承包人自行实施暂估价项目，合同当事人可以在专用合同条款约定具体事项。</w:t>
      </w:r>
    </w:p>
    <w:p w14:paraId="318DC0B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2DECF2A">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64" w:name="_Toc375060793"/>
      <w:r>
        <w:rPr>
          <w:rFonts w:hint="eastAsia" w:ascii="华文中宋" w:hAnsi="华文中宋" w:eastAsia="华文中宋" w:cs="华文中宋"/>
          <w:b w:val="0"/>
          <w:color w:val="auto"/>
          <w:sz w:val="24"/>
          <w:szCs w:val="24"/>
        </w:rPr>
        <w:t>1</w:t>
      </w:r>
      <w:bookmarkStart w:id="365" w:name="_Toc337558794"/>
      <w:bookmarkStart w:id="366" w:name="_Toc296503090"/>
      <w:bookmarkStart w:id="367" w:name="_Toc296346591"/>
      <w:bookmarkStart w:id="368" w:name="_Toc322522561"/>
      <w:r>
        <w:rPr>
          <w:rFonts w:hint="eastAsia" w:ascii="华文中宋" w:hAnsi="华文中宋" w:eastAsia="华文中宋" w:cs="华文中宋"/>
          <w:b w:val="0"/>
          <w:color w:val="auto"/>
          <w:sz w:val="24"/>
          <w:szCs w:val="24"/>
        </w:rPr>
        <w:t>0.8暂列金额</w:t>
      </w:r>
      <w:bookmarkEnd w:id="364"/>
    </w:p>
    <w:bookmarkEnd w:id="365"/>
    <w:p w14:paraId="73BA197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暂列金额应按照发包人的要求使用，发包人的要求应通过监理人发出。合同当事人可以在专用合同条款中协商确定有关事项。</w:t>
      </w:r>
    </w:p>
    <w:bookmarkEnd w:id="366"/>
    <w:bookmarkEnd w:id="367"/>
    <w:bookmarkEnd w:id="368"/>
    <w:p w14:paraId="2175165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69" w:name="_Toc375060794"/>
      <w:r>
        <w:rPr>
          <w:rFonts w:hint="eastAsia" w:ascii="华文中宋" w:hAnsi="华文中宋" w:eastAsia="华文中宋" w:cs="华文中宋"/>
          <w:b w:val="0"/>
          <w:color w:val="auto"/>
          <w:sz w:val="24"/>
          <w:szCs w:val="24"/>
        </w:rPr>
        <w:t>1</w:t>
      </w:r>
      <w:bookmarkStart w:id="370" w:name="_Toc337558796"/>
      <w:bookmarkStart w:id="371" w:name="_Toc296346592"/>
      <w:bookmarkStart w:id="372" w:name="_Toc296503091"/>
      <w:r>
        <w:rPr>
          <w:rFonts w:hint="eastAsia" w:ascii="华文中宋" w:hAnsi="华文中宋" w:eastAsia="华文中宋" w:cs="华文中宋"/>
          <w:b w:val="0"/>
          <w:color w:val="auto"/>
          <w:sz w:val="24"/>
          <w:szCs w:val="24"/>
        </w:rPr>
        <w:t>0.9计日工</w:t>
      </w:r>
      <w:bookmarkEnd w:id="369"/>
      <w:r>
        <w:rPr>
          <w:rFonts w:hint="eastAsia" w:ascii="华文中宋" w:hAnsi="华文中宋" w:eastAsia="华文中宋" w:cs="华文中宋"/>
          <w:b w:val="0"/>
          <w:color w:val="auto"/>
          <w:sz w:val="24"/>
          <w:szCs w:val="24"/>
        </w:rPr>
        <w:t xml:space="preserve"> </w:t>
      </w:r>
      <w:bookmarkEnd w:id="370"/>
      <w:bookmarkEnd w:id="371"/>
      <w:bookmarkEnd w:id="372"/>
    </w:p>
    <w:p w14:paraId="2C6220E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617394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采用计日工计价的任何一项工作，承包人应在该项工作实施过程中，每天提交以下报表和有关凭证报送监理人审查：</w:t>
      </w:r>
    </w:p>
    <w:p w14:paraId="00A75F92">
      <w:pPr>
        <w:pageBreakBefore w:val="0"/>
        <w:kinsoku/>
        <w:wordWrap/>
        <w:overflowPunct/>
        <w:topLinePunct w:val="0"/>
        <w:bidi w:val="0"/>
        <w:snapToGrid/>
        <w:spacing w:line="360" w:lineRule="auto"/>
        <w:ind w:firstLine="360" w:firstLineChars="15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（1）工作名称、内容和数量；</w:t>
      </w:r>
    </w:p>
    <w:p w14:paraId="7E2F82A8">
      <w:pPr>
        <w:pageBreakBefore w:val="0"/>
        <w:kinsoku/>
        <w:wordWrap/>
        <w:overflowPunct/>
        <w:topLinePunct w:val="0"/>
        <w:bidi w:val="0"/>
        <w:snapToGrid/>
        <w:spacing w:line="360" w:lineRule="auto"/>
        <w:ind w:firstLine="360" w:firstLineChars="15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（2）投入该工作的所有人员的姓名、专业、工种、级别和耗用工时；</w:t>
      </w:r>
    </w:p>
    <w:p w14:paraId="6FD69E93">
      <w:pPr>
        <w:pageBreakBefore w:val="0"/>
        <w:kinsoku/>
        <w:wordWrap/>
        <w:overflowPunct/>
        <w:topLinePunct w:val="0"/>
        <w:bidi w:val="0"/>
        <w:snapToGrid/>
        <w:spacing w:line="360" w:lineRule="auto"/>
        <w:ind w:firstLine="360" w:firstLineChars="15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（3）投入该工作的材料类别和数量；</w:t>
      </w:r>
    </w:p>
    <w:p w14:paraId="74C2429E">
      <w:pPr>
        <w:pageBreakBefore w:val="0"/>
        <w:kinsoku/>
        <w:wordWrap/>
        <w:overflowPunct/>
        <w:topLinePunct w:val="0"/>
        <w:bidi w:val="0"/>
        <w:snapToGrid/>
        <w:spacing w:line="360" w:lineRule="auto"/>
        <w:ind w:firstLine="360" w:firstLineChars="15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（4）投入该工作的施工设备型号、台数和耗用台时；</w:t>
      </w:r>
    </w:p>
    <w:p w14:paraId="53EB43F8">
      <w:pPr>
        <w:pageBreakBefore w:val="0"/>
        <w:kinsoku/>
        <w:wordWrap/>
        <w:overflowPunct/>
        <w:topLinePunct w:val="0"/>
        <w:bidi w:val="0"/>
        <w:snapToGrid/>
        <w:spacing w:line="360" w:lineRule="auto"/>
        <w:ind w:firstLine="360" w:firstLineChars="15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（5）其他有关资料和凭证。</w:t>
      </w:r>
    </w:p>
    <w:p w14:paraId="1CAFC912">
      <w:pPr>
        <w:pageBreakBefore w:val="0"/>
        <w:kinsoku/>
        <w:wordWrap/>
        <w:overflowPunct/>
        <w:topLinePunct w:val="0"/>
        <w:bidi w:val="0"/>
        <w:snapToGrid/>
        <w:spacing w:line="360" w:lineRule="auto"/>
        <w:ind w:firstLine="360" w:firstLineChars="15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 计日工由承包人汇总后，列入最近一期进度付款申请单，由监理人审查并经发包人批准后列入进度付款。</w:t>
      </w:r>
    </w:p>
    <w:p w14:paraId="36EA38F1">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373" w:name="_Toc375060795"/>
      <w:r>
        <w:rPr>
          <w:rFonts w:hint="eastAsia" w:ascii="华文中宋" w:hAnsi="华文中宋" w:eastAsia="华文中宋" w:cs="华文中宋"/>
          <w:b w:val="0"/>
          <w:color w:val="auto"/>
          <w:sz w:val="24"/>
          <w:szCs w:val="24"/>
        </w:rPr>
        <w:t>11. 价格调整</w:t>
      </w:r>
      <w:bookmarkEnd w:id="373"/>
    </w:p>
    <w:p w14:paraId="44352D6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74" w:name="_Toc375060796"/>
      <w:bookmarkStart w:id="375" w:name="_Toc337558797"/>
      <w:bookmarkStart w:id="376" w:name="_Toc296503092"/>
      <w:bookmarkStart w:id="377" w:name="_Toc296346593"/>
      <w:r>
        <w:rPr>
          <w:rFonts w:hint="eastAsia" w:ascii="华文中宋" w:hAnsi="华文中宋" w:eastAsia="华文中宋" w:cs="华文中宋"/>
          <w:b w:val="0"/>
          <w:color w:val="auto"/>
          <w:sz w:val="24"/>
          <w:szCs w:val="24"/>
        </w:rPr>
        <w:t>11.1市场价格波动引起的调整</w:t>
      </w:r>
      <w:bookmarkEnd w:id="374"/>
    </w:p>
    <w:bookmarkEnd w:id="375"/>
    <w:bookmarkEnd w:id="376"/>
    <w:bookmarkEnd w:id="377"/>
    <w:p w14:paraId="68D24BC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除专用合同条款另有约定外，市场价格波动超过合同当事人约定的范围，合同价格应当调整。合同当事人可以在专用合同条款中约定选择以下一种方式对合同价格进行调整：</w:t>
      </w:r>
    </w:p>
    <w:p w14:paraId="0AF9703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第1种方式：采用价格指数进行价格调整。</w:t>
      </w:r>
    </w:p>
    <w:p w14:paraId="5947C394">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（1）价格调整公式</w:t>
      </w:r>
    </w:p>
    <w:p w14:paraId="21B18F71">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因人工、材料和设备等价格波动影响合同价格时，根据专用合同条款中约定的数据，按以下公式计算差额并调整合同价格：</w:t>
      </w:r>
    </w:p>
    <w:p w14:paraId="0E201F48">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position w:val="-30"/>
          <w:sz w:val="24"/>
          <w:szCs w:val="24"/>
        </w:rPr>
        <w:object>
          <v:shape id="_x0000_i1025" o:spt="75" type="#_x0000_t75" style="height:43.45pt;width:360pt;" o:ole="t" filled="f" o:preferrelative="t" stroked="f" coordsize="21600,21600">
            <v:path/>
            <v:fill on="f" focussize="0,0"/>
            <v:stroke on="f" joinstyle="miter"/>
            <v:imagedata r:id="rId17" o:title=""/>
            <o:lock v:ext="edit" aspectratio="t"/>
            <w10:wrap type="none"/>
            <w10:anchorlock/>
          </v:shape>
          <o:OLEObject Type="Embed" ProgID="Equations" ShapeID="_x0000_i1025" DrawAspect="Content" ObjectID="_1468075725" r:id="rId16">
            <o:LockedField>false</o:LockedField>
          </o:OLEObject>
        </w:object>
      </w:r>
    </w:p>
    <w:p w14:paraId="0D2FBD07">
      <w:pPr>
        <w:pageBreakBefore w:val="0"/>
        <w:tabs>
          <w:tab w:val="left" w:pos="0"/>
          <w:tab w:val="left" w:pos="360"/>
          <w:tab w:val="left" w:pos="540"/>
        </w:tabs>
        <w:kinsoku/>
        <w:wordWrap/>
        <w:overflowPunct/>
        <w:topLinePunct w:val="0"/>
        <w:bidi w:val="0"/>
        <w:snapToGrid/>
        <w:spacing w:line="360" w:lineRule="auto"/>
        <w:ind w:firstLine="64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公式中：ΔP——需调整的价格差额；</w:t>
      </w:r>
    </w:p>
    <w:p w14:paraId="71EE93C6">
      <w:pPr>
        <w:pageBreakBefore w:val="0"/>
        <w:tabs>
          <w:tab w:val="left" w:pos="0"/>
          <w:tab w:val="left" w:pos="360"/>
          <w:tab w:val="left" w:pos="540"/>
        </w:tabs>
        <w:kinsoku/>
        <w:wordWrap/>
        <w:overflowPunct/>
        <w:topLinePunct w:val="0"/>
        <w:bidi w:val="0"/>
        <w:snapToGrid/>
        <w:spacing w:line="360" w:lineRule="auto"/>
        <w:ind w:firstLine="1440" w:firstLineChars="600"/>
        <w:rPr>
          <w:rFonts w:hint="eastAsia" w:ascii="华文中宋" w:hAnsi="华文中宋" w:eastAsia="华文中宋" w:cs="华文中宋"/>
          <w:color w:val="auto"/>
          <w:sz w:val="24"/>
          <w:szCs w:val="24"/>
        </w:rPr>
      </w:pPr>
      <w:r>
        <w:rPr>
          <w:rFonts w:hint="eastAsia" w:ascii="华文中宋" w:hAnsi="华文中宋" w:eastAsia="华文中宋" w:cs="华文中宋"/>
          <w:color w:val="auto"/>
          <w:position w:val="-6"/>
          <w:sz w:val="24"/>
          <w:szCs w:val="24"/>
        </w:rPr>
        <w:object>
          <v:shape id="_x0000_i1026" o:spt="75" type="#_x0000_t75" style="height:17.4pt;width:17.4pt;" o:ole="t" filled="f" o:preferrelative="t" stroked="f" coordsize="21600,21600">
            <v:path/>
            <v:fill on="f" focussize="0,0"/>
            <v:stroke on="f" joinstyle="miter"/>
            <v:imagedata r:id="rId19" o:title=""/>
            <o:lock v:ext="edit" aspectratio="t"/>
            <w10:wrap type="none"/>
            <w10:anchorlock/>
          </v:shape>
          <o:OLEObject Type="Embed" ProgID="Equations" ShapeID="_x0000_i1026" DrawAspect="Content" ObjectID="_1468075726" r:id="rId18">
            <o:LockedField>false</o:LockedField>
          </o:OLEObject>
        </w:object>
      </w:r>
      <w:r>
        <w:rPr>
          <w:rFonts w:hint="eastAsia" w:ascii="华文中宋" w:hAnsi="华文中宋" w:eastAsia="华文中宋" w:cs="华文中宋"/>
          <w:color w:val="auto"/>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2333E557">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A——定值权重（即不调部分的权重）；</w:t>
      </w:r>
    </w:p>
    <w:p w14:paraId="62B3AF1B">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position w:val="-10"/>
          <w:sz w:val="24"/>
          <w:szCs w:val="24"/>
        </w:rPr>
        <w:object>
          <v:shape id="_x0000_i1027" o:spt="75" type="#_x0000_t75" style="height:21.1pt;width:100.55pt;" o:ole="t" filled="f" o:preferrelative="t" stroked="f" coordsize="21600,21600">
            <v:path/>
            <v:fill on="f" focussize="0,0"/>
            <v:stroke on="f" joinstyle="miter"/>
            <v:imagedata r:id="rId21" o:title=""/>
            <o:lock v:ext="edit" aspectratio="t"/>
            <w10:wrap type="none"/>
            <w10:anchorlock/>
          </v:shape>
          <o:OLEObject Type="Embed" ProgID="Equations" ShapeID="_x0000_i1027" DrawAspect="Content" ObjectID="_1468075727" r:id="rId20">
            <o:LockedField>false</o:LockedField>
          </o:OLEObject>
        </w:object>
      </w:r>
      <w:r>
        <w:rPr>
          <w:rFonts w:hint="eastAsia" w:ascii="华文中宋" w:hAnsi="华文中宋" w:eastAsia="华文中宋" w:cs="华文中宋"/>
          <w:color w:val="auto"/>
          <w:sz w:val="24"/>
          <w:szCs w:val="24"/>
        </w:rPr>
        <w:t>——各可调因子的变值权重（即可调部分的权重），为各可调因子在签约合同价中所占的比例；</w:t>
      </w:r>
    </w:p>
    <w:p w14:paraId="302F7401">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position w:val="-10"/>
          <w:sz w:val="24"/>
          <w:szCs w:val="24"/>
        </w:rPr>
        <w:object>
          <v:shape id="_x0000_i1028" o:spt="75" type="#_x0000_t75" style="height:21.1pt;width:101.8pt;" o:ole="t" filled="f" o:preferrelative="t" stroked="f" coordsize="21600,21600">
            <v:path/>
            <v:fill on="f" focussize="0,0"/>
            <v:stroke on="f" joinstyle="miter"/>
            <v:imagedata r:id="rId23" o:title=""/>
            <o:lock v:ext="edit" aspectratio="t"/>
            <w10:wrap type="none"/>
            <w10:anchorlock/>
          </v:shape>
          <o:OLEObject Type="Embed" ProgID="Equations" ShapeID="_x0000_i1028" DrawAspect="Content" ObjectID="_1468075728" r:id="rId22">
            <o:LockedField>false</o:LockedField>
          </o:OLEObject>
        </w:object>
      </w:r>
      <w:r>
        <w:rPr>
          <w:rFonts w:hint="eastAsia" w:ascii="华文中宋" w:hAnsi="华文中宋" w:eastAsia="华文中宋" w:cs="华文中宋"/>
          <w:color w:val="auto"/>
          <w:sz w:val="24"/>
          <w:szCs w:val="24"/>
        </w:rPr>
        <w:t>——各可调因子的现行价格指数，指约定的付款证书相关周期最后一天的前42天的各可调因子的价格指数；</w:t>
      </w:r>
    </w:p>
    <w:p w14:paraId="6A5C85EB">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position w:val="-10"/>
          <w:sz w:val="24"/>
          <w:szCs w:val="24"/>
        </w:rPr>
        <w:object>
          <v:shape id="_x0000_i1029" o:spt="75" type="#_x0000_t75" style="height:19.85pt;width:108pt;" o:ole="t" filled="f" o:preferrelative="t" stroked="f" coordsize="21600,21600">
            <v:path/>
            <v:fill on="f" focussize="0,0"/>
            <v:stroke on="f" joinstyle="miter"/>
            <v:imagedata r:id="rId25" o:title=""/>
            <o:lock v:ext="edit" aspectratio="t"/>
            <w10:wrap type="none"/>
            <w10:anchorlock/>
          </v:shape>
          <o:OLEObject Type="Embed" ProgID="Equations" ShapeID="_x0000_i1029" DrawAspect="Content" ObjectID="_1468075729" r:id="rId24">
            <o:LockedField>false</o:LockedField>
          </o:OLEObject>
        </w:object>
      </w:r>
      <w:r>
        <w:rPr>
          <w:rFonts w:hint="eastAsia" w:ascii="华文中宋" w:hAnsi="华文中宋" w:eastAsia="华文中宋" w:cs="华文中宋"/>
          <w:color w:val="auto"/>
          <w:sz w:val="24"/>
          <w:szCs w:val="24"/>
        </w:rPr>
        <w:t>——各可调因子的基本价格指数，指基准日期的各可调因子的价格指数。</w:t>
      </w:r>
    </w:p>
    <w:p w14:paraId="0C9186A0">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4284EA3">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（2）暂时确定调整差额</w:t>
      </w:r>
    </w:p>
    <w:p w14:paraId="4CCA86A9">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在计算调整差额时无现行价格指数的，合同当事人同意暂用前次价格指数计算。实际价格指数有调整的，合同当事人进行相应调整。</w:t>
      </w:r>
    </w:p>
    <w:p w14:paraId="77FBB2B7">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（3）权重的调整</w:t>
      </w:r>
    </w:p>
    <w:p w14:paraId="09F7F933">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因变更导致合同约定的权重不合理时，按照第4.4款〔商定或确定〕执行。</w:t>
      </w:r>
    </w:p>
    <w:p w14:paraId="553A3A90">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（4）因承包人原因工期延误后的价格调整</w:t>
      </w:r>
    </w:p>
    <w:p w14:paraId="1AEFADA0">
      <w:pPr>
        <w:pageBreakBefore w:val="0"/>
        <w:tabs>
          <w:tab w:val="left" w:pos="0"/>
          <w:tab w:val="left" w:pos="360"/>
          <w:tab w:val="left" w:pos="540"/>
        </w:tabs>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0C1B4B2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第2种方式：采用造价信息进行价格调整。</w:t>
      </w:r>
    </w:p>
    <w:p w14:paraId="4DDF5BF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8C0D27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B59E1C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（2）材料、工程设备价格变化的价款调整按照发包人提供的基准价格，按以下风险范围规定执行:</w:t>
      </w:r>
    </w:p>
    <w:p w14:paraId="1FC16F6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3B188BC">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B061D6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7954D59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2318EA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6514F9B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（3）施工机械台班单价或施工机械使用费发生变化超过省级或行业建设主管部门或其授权的工程造价管理机构规定的范围时，按规定调整合同价格。</w:t>
      </w:r>
    </w:p>
    <w:p w14:paraId="621B4B6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第3种方式：专用合同条款约定的其他方式。</w:t>
      </w:r>
    </w:p>
    <w:p w14:paraId="5AFE35F4">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78" w:name="_Toc375060797"/>
      <w:bookmarkStart w:id="379" w:name="_Toc296346594"/>
      <w:bookmarkStart w:id="380" w:name="_Toc337558798"/>
      <w:bookmarkStart w:id="381" w:name="_Toc296503093"/>
      <w:r>
        <w:rPr>
          <w:rFonts w:hint="eastAsia" w:ascii="华文中宋" w:hAnsi="华文中宋" w:eastAsia="华文中宋" w:cs="华文中宋"/>
          <w:b w:val="0"/>
          <w:color w:val="auto"/>
          <w:sz w:val="24"/>
          <w:szCs w:val="24"/>
        </w:rPr>
        <w:t>11.2法律变化引起的调整</w:t>
      </w:r>
      <w:bookmarkEnd w:id="378"/>
    </w:p>
    <w:bookmarkEnd w:id="379"/>
    <w:bookmarkEnd w:id="380"/>
    <w:bookmarkEnd w:id="381"/>
    <w:p w14:paraId="52E4B1E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475F04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因法律变化引起的合同价格和工期调整，合同当事人无法达成一致的，由总监理工程师按第4.4款〔商定或确定〕的约定处理。</w:t>
      </w:r>
    </w:p>
    <w:p w14:paraId="7226E73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因承包人原因造成工期延误，在工期延误期间出现法律变化的，由此增加的费用和（或）延误的工期由承包人承担。</w:t>
      </w:r>
    </w:p>
    <w:p w14:paraId="2617C0E3">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382" w:name="_Toc375060798"/>
      <w:bookmarkStart w:id="383" w:name="_Toc337558799"/>
      <w:bookmarkStart w:id="384" w:name="_Toc296503096"/>
      <w:bookmarkStart w:id="385" w:name="_Toc296346597"/>
      <w:r>
        <w:rPr>
          <w:rFonts w:hint="eastAsia" w:ascii="华文中宋" w:hAnsi="华文中宋" w:eastAsia="华文中宋" w:cs="华文中宋"/>
          <w:b w:val="0"/>
          <w:color w:val="auto"/>
          <w:sz w:val="24"/>
          <w:szCs w:val="24"/>
        </w:rPr>
        <w:t>12. 合同价格、计量与支付</w:t>
      </w:r>
      <w:bookmarkEnd w:id="382"/>
    </w:p>
    <w:bookmarkEnd w:id="383"/>
    <w:p w14:paraId="05959C3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86" w:name="_Toc375060799"/>
      <w:bookmarkStart w:id="387" w:name="_Toc337558800"/>
      <w:r>
        <w:rPr>
          <w:rFonts w:hint="eastAsia" w:ascii="华文中宋" w:hAnsi="华文中宋" w:eastAsia="华文中宋" w:cs="华文中宋"/>
          <w:b w:val="0"/>
          <w:color w:val="auto"/>
          <w:sz w:val="24"/>
          <w:szCs w:val="24"/>
        </w:rPr>
        <w:t>12.1 合同价</w:t>
      </w:r>
      <w:bookmarkEnd w:id="384"/>
      <w:bookmarkEnd w:id="385"/>
      <w:r>
        <w:rPr>
          <w:rFonts w:hint="eastAsia" w:ascii="华文中宋" w:hAnsi="华文中宋" w:eastAsia="华文中宋" w:cs="华文中宋"/>
          <w:b w:val="0"/>
          <w:color w:val="auto"/>
          <w:sz w:val="24"/>
          <w:szCs w:val="24"/>
        </w:rPr>
        <w:t>格形式</w:t>
      </w:r>
      <w:bookmarkEnd w:id="386"/>
    </w:p>
    <w:bookmarkEnd w:id="387"/>
    <w:p w14:paraId="7522806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发包人和承包人应在合同协议书中选择下列一种合同价格形式： </w:t>
      </w:r>
    </w:p>
    <w:p w14:paraId="18B5267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1、单价合同</w:t>
      </w:r>
    </w:p>
    <w:p w14:paraId="55038D0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单价合同是指合同当事人约定以工程量清单及其综合单价进行合同价格计算、调整和确认的建设工程施工合同，</w:t>
      </w:r>
      <w:r>
        <w:rPr>
          <w:rFonts w:hint="eastAsia" w:ascii="华文中宋" w:hAnsi="华文中宋" w:eastAsia="华文中宋" w:cs="华文中宋"/>
          <w:color w:val="auto"/>
          <w:sz w:val="24"/>
          <w:szCs w:val="24"/>
        </w:rPr>
        <w:t>在约定的范围内合同单价不作调整</w:t>
      </w:r>
      <w:r>
        <w:rPr>
          <w:rFonts w:hint="eastAsia" w:ascii="华文中宋" w:hAnsi="华文中宋" w:eastAsia="华文中宋" w:cs="华文中宋"/>
          <w:color w:val="auto"/>
          <w:kern w:val="0"/>
          <w:sz w:val="24"/>
          <w:szCs w:val="24"/>
        </w:rPr>
        <w:t>。合同当事人应在专用合同条款中约定综合单价包含的风险范围和风险费用的计算方法</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kern w:val="0"/>
          <w:sz w:val="24"/>
          <w:szCs w:val="24"/>
        </w:rPr>
        <w:t>并约定风险范围以外的合同价格的调整方法，其中因市场价格波动引起的调整按第11.1款〔市场价格波动引起的调整〕约定执行。</w:t>
      </w:r>
    </w:p>
    <w:p w14:paraId="71A2457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2、总价合同</w:t>
      </w:r>
    </w:p>
    <w:p w14:paraId="420EEBE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总价合同是指合同当事人约定以施工图、已标价工程量清单或预算书及有关条件进行合同价格计算、调整和确认的建设工程施工合同，</w:t>
      </w:r>
      <w:r>
        <w:rPr>
          <w:rFonts w:hint="eastAsia" w:ascii="华文中宋" w:hAnsi="华文中宋" w:eastAsia="华文中宋" w:cs="华文中宋"/>
          <w:color w:val="auto"/>
          <w:sz w:val="24"/>
          <w:szCs w:val="24"/>
        </w:rPr>
        <w:t>在约定的范围内合同总价不作调整</w:t>
      </w:r>
      <w:r>
        <w:rPr>
          <w:rFonts w:hint="eastAsia" w:ascii="华文中宋" w:hAnsi="华文中宋" w:eastAsia="华文中宋" w:cs="华文中宋"/>
          <w:color w:val="auto"/>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482C47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3、其它价格形式</w:t>
      </w:r>
    </w:p>
    <w:p w14:paraId="34D4A81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合同当事人可在专用合同条款中约定其他合同价格形式。</w:t>
      </w:r>
    </w:p>
    <w:p w14:paraId="6BEB538F">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88" w:name="_Toc296503097"/>
      <w:bookmarkStart w:id="389" w:name="_Toc296346598"/>
      <w:bookmarkStart w:id="390" w:name="_Toc375060800"/>
      <w:bookmarkStart w:id="391" w:name="_Toc337558801"/>
      <w:r>
        <w:rPr>
          <w:rFonts w:hint="eastAsia" w:ascii="华文中宋" w:hAnsi="华文中宋" w:eastAsia="华文中宋" w:cs="华文中宋"/>
          <w:b w:val="0"/>
          <w:color w:val="auto"/>
          <w:sz w:val="24"/>
          <w:szCs w:val="24"/>
        </w:rPr>
        <w:t>12.2预</w:t>
      </w:r>
      <w:bookmarkEnd w:id="388"/>
      <w:bookmarkEnd w:id="389"/>
      <w:bookmarkStart w:id="392" w:name="_Toc296503100"/>
      <w:bookmarkStart w:id="393" w:name="_Toc296346601"/>
      <w:r>
        <w:rPr>
          <w:rFonts w:hint="eastAsia" w:ascii="华文中宋" w:hAnsi="华文中宋" w:eastAsia="华文中宋" w:cs="华文中宋"/>
          <w:b w:val="0"/>
          <w:color w:val="auto"/>
          <w:sz w:val="24"/>
          <w:szCs w:val="24"/>
        </w:rPr>
        <w:t>付款</w:t>
      </w:r>
      <w:bookmarkEnd w:id="390"/>
    </w:p>
    <w:bookmarkEnd w:id="391"/>
    <w:bookmarkEnd w:id="392"/>
    <w:bookmarkEnd w:id="393"/>
    <w:p w14:paraId="3F9945C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12.2.</w:t>
      </w:r>
      <w:r>
        <w:rPr>
          <w:rFonts w:hint="eastAsia" w:ascii="华文中宋" w:hAnsi="华文中宋" w:eastAsia="华文中宋" w:cs="华文中宋"/>
          <w:color w:val="auto"/>
          <w:kern w:val="0"/>
          <w:sz w:val="24"/>
          <w:szCs w:val="24"/>
        </w:rPr>
        <w:t>1预付款的支付</w:t>
      </w:r>
    </w:p>
    <w:p w14:paraId="62427C9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14:paraId="65DC600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除专用合同条款另有约定外，预付款在进度付款中同比例扣回。在颁发工程接收证书前，提前解除合同的，尚未扣完的预付款应与合同价款一并结算。</w:t>
      </w:r>
    </w:p>
    <w:p w14:paraId="06CFE73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发包人逾期支付预付款超过7天的，承包人有权向发包人发出要求预付的催告通知，发包人收到通知后7天内仍未支付的，承包人有权暂停施工，并按第16.1.1项〔发包人违约的情形〕执行。</w:t>
      </w:r>
    </w:p>
    <w:p w14:paraId="4029986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12.2.2 预付款担保</w:t>
      </w:r>
    </w:p>
    <w:p w14:paraId="3FFD7D1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C2FEBE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发包人在工程款中逐期扣回预付款后，预付款担保额度应相应减少，但剩余的预付款担保金额不得低于未被扣回的预付款金额。</w:t>
      </w:r>
    </w:p>
    <w:p w14:paraId="12E3002C">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94" w:name="_Toc375060801"/>
      <w:bookmarkStart w:id="395" w:name="_Toc337558802"/>
      <w:r>
        <w:rPr>
          <w:rFonts w:hint="eastAsia" w:ascii="华文中宋" w:hAnsi="华文中宋" w:eastAsia="华文中宋" w:cs="华文中宋"/>
          <w:b w:val="0"/>
          <w:color w:val="auto"/>
          <w:sz w:val="24"/>
          <w:szCs w:val="24"/>
        </w:rPr>
        <w:t>12.3计量</w:t>
      </w:r>
      <w:bookmarkEnd w:id="394"/>
    </w:p>
    <w:bookmarkEnd w:id="395"/>
    <w:p w14:paraId="43FA342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12.3.1 计量原则</w:t>
      </w:r>
    </w:p>
    <w:p w14:paraId="32133E6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工程量计量按照合同约定的工程量计算规则、图纸及变更指示等进行计量。工程量计算规则应以相关的国家标准、行业标准等为依据，由合同当事人在专用合同条款中约定。</w:t>
      </w:r>
    </w:p>
    <w:p w14:paraId="3BDEE79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12.3.2 计量周期</w:t>
      </w:r>
    </w:p>
    <w:p w14:paraId="2AB56AF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除专用合同条款另有约定外，工程量的计量按月进行。</w:t>
      </w:r>
    </w:p>
    <w:p w14:paraId="335F317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12.3.3 单价合同的计量</w:t>
      </w:r>
    </w:p>
    <w:p w14:paraId="152D246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除专用合同条款另有约定外，单价合同的计量按照本项约定执行：</w:t>
      </w:r>
    </w:p>
    <w:p w14:paraId="2CA62BB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（1）承包人应于每月25日向监理人报送上月20日至当月19日已完成的工程量报告，并附具进度付款申请单、已完成工程量报表和有关资料。</w:t>
      </w:r>
    </w:p>
    <w:p w14:paraId="1C33D76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4697D6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（3）监理人未在收到承包人提交的工程量报表后的7天内完成审核的，承包人报送的工程量报告中的工程量视为承包人实际完成的工程量，据此计算工程价款。</w:t>
      </w:r>
    </w:p>
    <w:p w14:paraId="6BF704F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12.3.4 总价合同的计量</w:t>
      </w:r>
    </w:p>
    <w:p w14:paraId="41105ED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除专用合同条款另有约定外，按月计量支付的总价合同，按照本项约定执行：</w:t>
      </w:r>
    </w:p>
    <w:p w14:paraId="23213B2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（1）承包人应于每月25日向监理人报送上月20日至当月19日已完成的工程量报告，并附具进度付款申请单、已完成工程量报表和有关资料。</w:t>
      </w:r>
    </w:p>
    <w:p w14:paraId="107F655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2262B3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（3）监理人未在收到承包人提交的工程量报表后的7天内完成复核的，承包人提交的工程量报告中的工程量视为承包人实际完成的工程量。</w:t>
      </w:r>
    </w:p>
    <w:p w14:paraId="1867E7E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12.3.5 总价合同采用支付分解表计量支付的，可以按照第12.3.4项〔总价合同的计量〕约定进行计量，但合同价款按照支付分解表进行支付。</w:t>
      </w:r>
    </w:p>
    <w:p w14:paraId="5A62900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12.3.6 其他价格形式合同的计量</w:t>
      </w:r>
    </w:p>
    <w:p w14:paraId="4268032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合同当事人可在专用合同条款中约定其他价格形式合同的计量方式和程序。</w:t>
      </w:r>
    </w:p>
    <w:p w14:paraId="2CB228C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396" w:name="_Toc296346602"/>
      <w:bookmarkStart w:id="397" w:name="_Toc296503101"/>
      <w:bookmarkStart w:id="398" w:name="_Toc375060802"/>
      <w:bookmarkStart w:id="399" w:name="_Toc337558803"/>
      <w:r>
        <w:rPr>
          <w:rFonts w:hint="eastAsia" w:ascii="华文中宋" w:hAnsi="华文中宋" w:eastAsia="华文中宋" w:cs="华文中宋"/>
          <w:b w:val="0"/>
          <w:color w:val="auto"/>
          <w:sz w:val="24"/>
          <w:szCs w:val="24"/>
        </w:rPr>
        <w:t>12.4工程进度款支</w:t>
      </w:r>
      <w:bookmarkEnd w:id="396"/>
      <w:bookmarkEnd w:id="397"/>
      <w:r>
        <w:rPr>
          <w:rFonts w:hint="eastAsia" w:ascii="华文中宋" w:hAnsi="华文中宋" w:eastAsia="华文中宋" w:cs="华文中宋"/>
          <w:b w:val="0"/>
          <w:color w:val="auto"/>
          <w:sz w:val="24"/>
          <w:szCs w:val="24"/>
        </w:rPr>
        <w:t>付</w:t>
      </w:r>
      <w:bookmarkEnd w:id="398"/>
    </w:p>
    <w:bookmarkEnd w:id="399"/>
    <w:p w14:paraId="163DC0D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12.4</w:t>
      </w:r>
      <w:r>
        <w:rPr>
          <w:rFonts w:hint="eastAsia" w:ascii="华文中宋" w:hAnsi="华文中宋" w:eastAsia="华文中宋" w:cs="华文中宋"/>
          <w:color w:val="auto"/>
          <w:kern w:val="0"/>
          <w:sz w:val="24"/>
          <w:szCs w:val="24"/>
        </w:rPr>
        <w:t>.1 付款周期</w:t>
      </w:r>
    </w:p>
    <w:p w14:paraId="48E0304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除专用合同条款另有约定外，付款周期应按照第12.3.2项〔计量周期〕的约定与计量周期保持一致。</w:t>
      </w:r>
    </w:p>
    <w:p w14:paraId="18BACCC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12.4</w:t>
      </w:r>
      <w:r>
        <w:rPr>
          <w:rFonts w:hint="eastAsia" w:ascii="华文中宋" w:hAnsi="华文中宋" w:eastAsia="华文中宋" w:cs="华文中宋"/>
          <w:color w:val="auto"/>
          <w:kern w:val="0"/>
          <w:sz w:val="24"/>
          <w:szCs w:val="24"/>
        </w:rPr>
        <w:t>.2 进度付款申请单的编制</w:t>
      </w:r>
    </w:p>
    <w:p w14:paraId="1345C56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除专用合同条款另有约定外，进度付款申请单应包括下列内容：</w:t>
      </w:r>
    </w:p>
    <w:p w14:paraId="0F4DC5B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（1）截至本次付款周期已完成工作对应的金额；</w:t>
      </w:r>
    </w:p>
    <w:p w14:paraId="1CEA71A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（2）根据第10条〔变更〕应增加和扣减的变更金额；</w:t>
      </w:r>
    </w:p>
    <w:p w14:paraId="38A6D8B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（3）根据第12.2款〔预付款〕约定应支付的预付款和扣减的返还预付款；</w:t>
      </w:r>
    </w:p>
    <w:p w14:paraId="06F4856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（4）根据第15.3款〔质量保证金〕约定应扣减的质量保证金；</w:t>
      </w:r>
    </w:p>
    <w:p w14:paraId="06922A0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（5）根据第19条〔索赔〕应增加和扣减的索赔金额；</w:t>
      </w:r>
    </w:p>
    <w:p w14:paraId="6F6D77F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（6）对已签发的进度款支付证书中出现错误的修正，应在本次进度付款中支付或扣除的金额；</w:t>
      </w:r>
    </w:p>
    <w:p w14:paraId="1A5259B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（7）根据合同约定应增加和扣减的其他金额。</w:t>
      </w:r>
    </w:p>
    <w:p w14:paraId="7DA46D3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12.4.3 进度付款申请单的提交</w:t>
      </w:r>
    </w:p>
    <w:p w14:paraId="17F3B68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（1）单价合同进度付款申请单的提交</w:t>
      </w:r>
    </w:p>
    <w:p w14:paraId="07E0E23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509F99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（2）总价合同进度付款申请单的提交</w:t>
      </w:r>
    </w:p>
    <w:p w14:paraId="2D002EC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总价合同按月计量支付的，承包人按照第12.3.4项〔总价合同的计量〕约定的时间按月向监理人提交进度付款申请单，并附上已完成工程量报表和有关资料。</w:t>
      </w:r>
    </w:p>
    <w:p w14:paraId="44DE2F8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总价合同按支付分解表支付的，承包人应按照第12.4.6项〔支付分解表〕及第12.4.2项〔进度付款申请单的编制〕的约定向监理人提交进度付款申请单。</w:t>
      </w:r>
    </w:p>
    <w:p w14:paraId="067C7DC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（3）其他价格形式合同的进度付款申请单的提交</w:t>
      </w:r>
    </w:p>
    <w:p w14:paraId="3795ACC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合同当事人可在专用合同条款中约定其他价格形式合同的进度付款申请单的编制和提交程序。</w:t>
      </w:r>
    </w:p>
    <w:p w14:paraId="5762EFD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12.4</w:t>
      </w:r>
      <w:r>
        <w:rPr>
          <w:rFonts w:hint="eastAsia" w:ascii="华文中宋" w:hAnsi="华文中宋" w:eastAsia="华文中宋" w:cs="华文中宋"/>
          <w:color w:val="auto"/>
          <w:kern w:val="0"/>
          <w:sz w:val="24"/>
          <w:szCs w:val="24"/>
        </w:rPr>
        <w:t>.4 进度款审核和支付</w:t>
      </w:r>
    </w:p>
    <w:p w14:paraId="25CE62A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7D7E6C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2AB4EC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637F79E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（3）发包人签发进度款支付证书或临时进度款支付证书，不表明发包人已同意、批准或接受了承包人完成的相应部分的工作。</w:t>
      </w:r>
    </w:p>
    <w:p w14:paraId="4DC1DAE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12.4.5 进度付款的修正</w:t>
      </w:r>
    </w:p>
    <w:p w14:paraId="01D102E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603E487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12.4.6 支付分解表</w:t>
      </w:r>
    </w:p>
    <w:p w14:paraId="244F6B2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1、支付分解表的编制要求</w:t>
      </w:r>
    </w:p>
    <w:p w14:paraId="54A93E8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（1）支付分解表中所列的每期付款金额，应为第12.4.2项〔进度付款申请单的编制〕第（1）目的估算金额；</w:t>
      </w:r>
    </w:p>
    <w:p w14:paraId="7E8CB46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（2）实际进度与施工进度计划不一致的，合同当事人可按照第4.4款〔商定或确定〕修改支付分解表；</w:t>
      </w:r>
    </w:p>
    <w:p w14:paraId="3E74706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（3）不采用支付分解表的，承包人应向发包人和监理人提交按季度编制的支付估算分解表，用于支付参考。</w:t>
      </w:r>
    </w:p>
    <w:p w14:paraId="183C6BD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2、总价合同支付分解表的编制与审批</w:t>
      </w:r>
    </w:p>
    <w:p w14:paraId="28D4531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044D5A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14:paraId="464C0260">
      <w:pPr>
        <w:pageBreakBefore w:val="0"/>
        <w:kinsoku/>
        <w:wordWrap/>
        <w:overflowPunct/>
        <w:topLinePunct w:val="0"/>
        <w:bidi w:val="0"/>
        <w:snapToGrid/>
        <w:spacing w:line="360" w:lineRule="auto"/>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    （3）发包人逾期未完成支付分解表审批的，也未及时要求承包人进行修正和提供补充资料的，则承包人提交的支付分解表视为已经获得发包人批准。</w:t>
      </w:r>
    </w:p>
    <w:p w14:paraId="237F7A2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3、单价合同的总价项目支付分解表的编制与审批</w:t>
      </w:r>
    </w:p>
    <w:p w14:paraId="35A169C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2E9B277">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00" w:name="_Toc375060803"/>
      <w:r>
        <w:rPr>
          <w:rFonts w:hint="eastAsia" w:ascii="华文中宋" w:hAnsi="华文中宋" w:eastAsia="华文中宋" w:cs="华文中宋"/>
          <w:b w:val="0"/>
          <w:color w:val="auto"/>
          <w:sz w:val="24"/>
          <w:szCs w:val="24"/>
        </w:rPr>
        <w:t>12.5支付账户</w:t>
      </w:r>
      <w:bookmarkEnd w:id="400"/>
    </w:p>
    <w:p w14:paraId="2F4B6C5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发包人应将合同价款支付至合同协议书中约定的承包人账户。</w:t>
      </w:r>
    </w:p>
    <w:p w14:paraId="75DDE0C3">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401" w:name="_Toc375060804"/>
      <w:bookmarkStart w:id="402" w:name="_Toc296503106"/>
      <w:bookmarkStart w:id="403" w:name="_Toc322522574"/>
      <w:bookmarkStart w:id="404" w:name="_Toc296346607"/>
      <w:bookmarkStart w:id="405" w:name="_Toc337558804"/>
      <w:r>
        <w:rPr>
          <w:rFonts w:hint="eastAsia" w:ascii="华文中宋" w:hAnsi="华文中宋" w:eastAsia="华文中宋" w:cs="华文中宋"/>
          <w:b w:val="0"/>
          <w:color w:val="auto"/>
          <w:sz w:val="24"/>
          <w:szCs w:val="24"/>
        </w:rPr>
        <w:t>13. 验收和工程试车</w:t>
      </w:r>
      <w:bookmarkEnd w:id="401"/>
    </w:p>
    <w:bookmarkEnd w:id="402"/>
    <w:bookmarkEnd w:id="403"/>
    <w:bookmarkEnd w:id="404"/>
    <w:bookmarkEnd w:id="405"/>
    <w:p w14:paraId="5FDBA82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06" w:name="_Toc375060805"/>
      <w:bookmarkStart w:id="407" w:name="_Toc337558805"/>
      <w:bookmarkStart w:id="408" w:name="_Toc296346611"/>
      <w:bookmarkStart w:id="409" w:name="_Toc296503110"/>
      <w:r>
        <w:rPr>
          <w:rFonts w:hint="eastAsia" w:ascii="华文中宋" w:hAnsi="华文中宋" w:eastAsia="华文中宋" w:cs="华文中宋"/>
          <w:b w:val="0"/>
          <w:color w:val="auto"/>
          <w:sz w:val="24"/>
          <w:szCs w:val="24"/>
        </w:rPr>
        <w:t>13.1分部分项工程验收</w:t>
      </w:r>
      <w:bookmarkEnd w:id="406"/>
    </w:p>
    <w:bookmarkEnd w:id="407"/>
    <w:p w14:paraId="2B58FAF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13.1.1 分部分项工程质量应符合国家有关工程施工验收规范、标准及合同约定，承包人应按照施工组织设计的要求完成分部分项工程施工。</w:t>
      </w:r>
    </w:p>
    <w:p w14:paraId="4DB83295">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13.1.2 除专用合同条款另有约定外，分部分项工程经承包人自检合格并具备验收条件的，承包人应提前48小时通知监理人进行验收。</w:t>
      </w:r>
      <w:r>
        <w:rPr>
          <w:rFonts w:hint="eastAsia" w:ascii="华文中宋" w:hAnsi="华文中宋" w:eastAsia="华文中宋" w:cs="华文中宋"/>
          <w:color w:val="auto"/>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华文中宋" w:hAnsi="华文中宋" w:eastAsia="华文中宋" w:cs="华文中宋"/>
          <w:color w:val="auto"/>
          <w:sz w:val="24"/>
          <w:szCs w:val="24"/>
        </w:rPr>
        <w:t>分部分项工程未经验收的，不得进入下一道工序施工。</w:t>
      </w:r>
    </w:p>
    <w:p w14:paraId="02603B3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分部分项工程的验收资料应当作为竣工资料的组成部分。</w:t>
      </w:r>
    </w:p>
    <w:p w14:paraId="7BA32B40">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10" w:name="_Toc375060806"/>
      <w:bookmarkStart w:id="411" w:name="_Toc337558806"/>
      <w:r>
        <w:rPr>
          <w:rFonts w:hint="eastAsia" w:ascii="华文中宋" w:hAnsi="华文中宋" w:eastAsia="华文中宋" w:cs="华文中宋"/>
          <w:b w:val="0"/>
          <w:color w:val="auto"/>
          <w:sz w:val="24"/>
          <w:szCs w:val="24"/>
        </w:rPr>
        <w:t>13.2竣工验收</w:t>
      </w:r>
      <w:bookmarkEnd w:id="410"/>
    </w:p>
    <w:bookmarkEnd w:id="408"/>
    <w:bookmarkEnd w:id="409"/>
    <w:bookmarkEnd w:id="411"/>
    <w:p w14:paraId="0602DE3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13.2.1竣工验收条件</w:t>
      </w:r>
    </w:p>
    <w:p w14:paraId="104B19A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工程具备以下条件的，承包人可以申请竣工验收：</w:t>
      </w:r>
    </w:p>
    <w:p w14:paraId="1C3B0D2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（1）除发包人同意的甩项工作和缺陷修补工作外，合同范围内的全部工程以及有关工作，包括合同要求的试验、试运行以及检验均已完成，并符合合同要求；</w:t>
      </w:r>
    </w:p>
    <w:p w14:paraId="00EB995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（2）已按合同约定编制了甩项工作和缺陷修补工作清单以及相应的施工计划；</w:t>
      </w:r>
    </w:p>
    <w:p w14:paraId="2376CBC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（3）已按合同约定的内容和份数备齐竣工资料。</w:t>
      </w:r>
    </w:p>
    <w:p w14:paraId="50FD99E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13.2.2竣工验收程序</w:t>
      </w:r>
    </w:p>
    <w:p w14:paraId="30F38D1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除专用合同条款另有约定外，承包人申请竣工验收的，应当按照以下程序进行：</w:t>
      </w:r>
    </w:p>
    <w:p w14:paraId="5087417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7F2927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3A6DD0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（3）竣工验收合格的，发包人应在验收合格后14天内向承包人签发工程接收证书。发包人无正当理由逾期不颁发工程接收证书的，自验收合格后第15天起视为已颁发工程接收证书。</w:t>
      </w:r>
    </w:p>
    <w:p w14:paraId="3B2B27D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3983C4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96E947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0BCDB6D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13.2.3竣工日期</w:t>
      </w:r>
    </w:p>
    <w:p w14:paraId="5907CBA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12" w:name="#go14"/>
      <w:bookmarkEnd w:id="412"/>
      <w:r>
        <w:rPr>
          <w:rFonts w:hint="eastAsia" w:ascii="华文中宋" w:hAnsi="华文中宋" w:eastAsia="华文中宋" w:cs="华文中宋"/>
          <w:color w:val="auto"/>
          <w:kern w:val="0"/>
          <w:sz w:val="24"/>
          <w:szCs w:val="24"/>
        </w:rPr>
        <w:t>收申请报告的日期为实际竣工日期；工程未经竣工验收，发包人擅自使用的，以转移占有工程之日为实际竣工日期。</w:t>
      </w:r>
    </w:p>
    <w:p w14:paraId="196F8AC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13.2.4 拒绝接收全部或部分工程</w:t>
      </w:r>
    </w:p>
    <w:p w14:paraId="4C05579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6A2841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13.2.5 移交、接收全部与部分工程</w:t>
      </w:r>
    </w:p>
    <w:p w14:paraId="3365276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除专用合同条款另有约定外，合同当事人应当在颁发工程接收证书后7天内完成工程的移交。</w:t>
      </w:r>
    </w:p>
    <w:p w14:paraId="25D82E2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3BA0372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6D7393C2">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13" w:name="_Toc375060807"/>
      <w:bookmarkStart w:id="414" w:name="_Toc296503111"/>
      <w:bookmarkStart w:id="415" w:name="_Toc296346612"/>
      <w:bookmarkStart w:id="416" w:name="_Toc337558807"/>
      <w:r>
        <w:rPr>
          <w:rFonts w:hint="eastAsia" w:ascii="华文中宋" w:hAnsi="华文中宋" w:eastAsia="华文中宋" w:cs="华文中宋"/>
          <w:b w:val="0"/>
          <w:color w:val="auto"/>
          <w:sz w:val="24"/>
          <w:szCs w:val="24"/>
        </w:rPr>
        <w:t>13.3工程试车</w:t>
      </w:r>
      <w:bookmarkEnd w:id="413"/>
    </w:p>
    <w:bookmarkEnd w:id="414"/>
    <w:bookmarkEnd w:id="415"/>
    <w:bookmarkEnd w:id="416"/>
    <w:p w14:paraId="6C1746B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13.3.1试车程序</w:t>
      </w:r>
    </w:p>
    <w:p w14:paraId="406799F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工程需要试车的，除专用合同条款另有约定外，试车内容应与承包人承包范围相一致，试车费用由承包人承担。工程试车应按如下程序进行：</w:t>
      </w:r>
    </w:p>
    <w:p w14:paraId="13E0585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974021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6DFF1C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56D831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13.3.2 试车中的责任</w:t>
      </w:r>
    </w:p>
    <w:p w14:paraId="5E0BC65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C13DC8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FA33F0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13.3.3 投料试车</w:t>
      </w:r>
    </w:p>
    <w:p w14:paraId="4565F85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如需进行投料试车的，发包人应在工程竣工验收后组织投料试车。发包人要求在工程竣工验收前进行或需要承包人配合时，应征得承包人同意，并在专用合同条款中约定有关事项。</w:t>
      </w:r>
    </w:p>
    <w:p w14:paraId="035188C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8ED9AE9">
      <w:pPr>
        <w:pStyle w:val="6"/>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417" w:name="_Toc337558808"/>
      <w:r>
        <w:rPr>
          <w:rFonts w:hint="eastAsia" w:ascii="华文中宋" w:hAnsi="华文中宋" w:eastAsia="华文中宋" w:cs="华文中宋"/>
          <w:b w:val="0"/>
          <w:color w:val="auto"/>
          <w:sz w:val="24"/>
          <w:szCs w:val="24"/>
        </w:rPr>
        <w:t xml:space="preserve">    </w:t>
      </w:r>
      <w:bookmarkStart w:id="418" w:name="_Toc375060808"/>
      <w:r>
        <w:rPr>
          <w:rFonts w:hint="eastAsia" w:ascii="华文中宋" w:hAnsi="华文中宋" w:eastAsia="华文中宋" w:cs="华文中宋"/>
          <w:b w:val="0"/>
          <w:color w:val="auto"/>
          <w:sz w:val="24"/>
          <w:szCs w:val="24"/>
        </w:rPr>
        <w:t>13.4提前交付单位工程的验收</w:t>
      </w:r>
      <w:bookmarkEnd w:id="418"/>
    </w:p>
    <w:bookmarkEnd w:id="417"/>
    <w:p w14:paraId="7086876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14:paraId="009AB7F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5AE1A06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13.4.2 发包人要求在工程竣工前交付单位工程，由此导致承包人费用增加和（或）工期延误的，由发包人承担由此增加的费用和（或）延误的工期，并支付承包人合理的利润。</w:t>
      </w:r>
    </w:p>
    <w:p w14:paraId="455C0144">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19" w:name="_Toc375060809"/>
      <w:r>
        <w:rPr>
          <w:rFonts w:hint="eastAsia" w:ascii="华文中宋" w:hAnsi="华文中宋" w:eastAsia="华文中宋" w:cs="华文中宋"/>
          <w:b w:val="0"/>
          <w:color w:val="auto"/>
          <w:sz w:val="24"/>
          <w:szCs w:val="24"/>
        </w:rPr>
        <w:t>13.5 施工期运行</w:t>
      </w:r>
      <w:bookmarkEnd w:id="419"/>
    </w:p>
    <w:p w14:paraId="3D7A1C4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AA7B8A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13.5.2 在施工期运行中发现工程或工程设备损坏或存在缺陷的，由承包人按第15.2款〔缺陷责任期〕约定进行修复。</w:t>
      </w:r>
    </w:p>
    <w:p w14:paraId="0BFC10B7">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20" w:name="_Toc296503112"/>
      <w:bookmarkStart w:id="421" w:name="_Toc296346613"/>
      <w:bookmarkStart w:id="422" w:name="_Toc375060810"/>
      <w:bookmarkStart w:id="423" w:name="_Toc337558809"/>
      <w:r>
        <w:rPr>
          <w:rFonts w:hint="eastAsia" w:ascii="华文中宋" w:hAnsi="华文中宋" w:eastAsia="华文中宋" w:cs="华文中宋"/>
          <w:b w:val="0"/>
          <w:color w:val="auto"/>
          <w:sz w:val="24"/>
          <w:szCs w:val="24"/>
        </w:rPr>
        <w:t>13.6 竣工退</w:t>
      </w:r>
      <w:bookmarkEnd w:id="420"/>
      <w:bookmarkEnd w:id="421"/>
      <w:r>
        <w:rPr>
          <w:rFonts w:hint="eastAsia" w:ascii="华文中宋" w:hAnsi="华文中宋" w:eastAsia="华文中宋" w:cs="华文中宋"/>
          <w:b w:val="0"/>
          <w:color w:val="auto"/>
          <w:sz w:val="24"/>
          <w:szCs w:val="24"/>
        </w:rPr>
        <w:t>场</w:t>
      </w:r>
      <w:bookmarkEnd w:id="422"/>
    </w:p>
    <w:bookmarkEnd w:id="423"/>
    <w:p w14:paraId="40F7306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13.6.1 竣工退场</w:t>
      </w:r>
    </w:p>
    <w:p w14:paraId="71DEABB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颁发工程接收证书后，承包人应按以下要求对施工现场进行清理：</w:t>
      </w:r>
    </w:p>
    <w:p w14:paraId="3E65711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（1）施工现场内残留的垃圾已全部清除出场；</w:t>
      </w:r>
    </w:p>
    <w:p w14:paraId="7238C83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（2）临时工程已拆除，场地已进行清理、平整或复原；</w:t>
      </w:r>
    </w:p>
    <w:p w14:paraId="38923DF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（3）按合同约定应撤离的人员、承包人施工设备和剩余的材料，包括废弃的施工设备和材料，已按计划撤离施工现场；</w:t>
      </w:r>
    </w:p>
    <w:p w14:paraId="6F00AC8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（4）施工现场周边及其附近道路、河道的施工堆积物，已全部清理；</w:t>
      </w:r>
    </w:p>
    <w:p w14:paraId="1865D28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（5）施工现场其他场地清理工作已全部完成。</w:t>
      </w:r>
    </w:p>
    <w:p w14:paraId="41A4833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46D7EF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13.6.2 地表还原</w:t>
      </w:r>
    </w:p>
    <w:p w14:paraId="3116F77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7373887D">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424" w:name="_Toc375060811"/>
      <w:bookmarkStart w:id="425" w:name="_Toc337558810"/>
      <w:bookmarkStart w:id="426" w:name="_Toc296503113"/>
      <w:bookmarkStart w:id="427" w:name="_Toc296346614"/>
      <w:r>
        <w:rPr>
          <w:rFonts w:hint="eastAsia" w:ascii="华文中宋" w:hAnsi="华文中宋" w:eastAsia="华文中宋" w:cs="华文中宋"/>
          <w:b w:val="0"/>
          <w:color w:val="auto"/>
          <w:sz w:val="24"/>
          <w:szCs w:val="24"/>
        </w:rPr>
        <w:t>14. 竣工结算</w:t>
      </w:r>
      <w:bookmarkEnd w:id="424"/>
    </w:p>
    <w:bookmarkEnd w:id="425"/>
    <w:p w14:paraId="22F8C3BF">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28" w:name="_Toc375060812"/>
      <w:bookmarkStart w:id="429" w:name="_Toc337558811"/>
      <w:r>
        <w:rPr>
          <w:rFonts w:hint="eastAsia" w:ascii="华文中宋" w:hAnsi="华文中宋" w:eastAsia="华文中宋" w:cs="华文中宋"/>
          <w:b w:val="0"/>
          <w:color w:val="auto"/>
          <w:sz w:val="24"/>
          <w:szCs w:val="24"/>
        </w:rPr>
        <w:t>14.1 竣工结算申请</w:t>
      </w:r>
      <w:bookmarkEnd w:id="428"/>
    </w:p>
    <w:bookmarkEnd w:id="429"/>
    <w:p w14:paraId="0A9C703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除专用合同条款另有约定外，</w:t>
      </w:r>
      <w:r>
        <w:rPr>
          <w:rFonts w:hint="eastAsia" w:ascii="华文中宋" w:hAnsi="华文中宋" w:eastAsia="华文中宋" w:cs="华文中宋"/>
          <w:color w:val="auto"/>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14:paraId="500CF13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除专用合同条款另有约定外，竣工结算申请单应包括以下内容：</w:t>
      </w:r>
    </w:p>
    <w:p w14:paraId="6B303E6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（1）竣工结算合同价格；</w:t>
      </w:r>
    </w:p>
    <w:p w14:paraId="09188A6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（2）发包人已支付承包人的款项；</w:t>
      </w:r>
    </w:p>
    <w:p w14:paraId="646EBA8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（3）应扣留的质量保证金。已缴纳履约保证金的或提供其他工程质量担保方式的除外； </w:t>
      </w:r>
    </w:p>
    <w:p w14:paraId="4153D65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（4）发包人应支付承包人的合同价款。</w:t>
      </w:r>
    </w:p>
    <w:p w14:paraId="4730F86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30" w:name="_Toc375060813"/>
      <w:bookmarkStart w:id="431" w:name="_Toc337558812"/>
      <w:r>
        <w:rPr>
          <w:rFonts w:hint="eastAsia" w:ascii="华文中宋" w:hAnsi="华文中宋" w:eastAsia="华文中宋" w:cs="华文中宋"/>
          <w:b w:val="0"/>
          <w:color w:val="auto"/>
          <w:sz w:val="24"/>
          <w:szCs w:val="24"/>
        </w:rPr>
        <w:t>14.2 竣工结算审核</w:t>
      </w:r>
      <w:bookmarkEnd w:id="430"/>
    </w:p>
    <w:bookmarkEnd w:id="431"/>
    <w:p w14:paraId="4E227EE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华文中宋" w:hAnsi="华文中宋" w:eastAsia="华文中宋" w:cs="华文中宋"/>
          <w:color w:val="auto"/>
          <w:sz w:val="24"/>
          <w:szCs w:val="24"/>
        </w:rPr>
        <w:t>发包人对竣工</w:t>
      </w:r>
      <w:r>
        <w:rPr>
          <w:rFonts w:hint="eastAsia" w:ascii="华文中宋" w:hAnsi="华文中宋" w:eastAsia="华文中宋" w:cs="华文中宋"/>
          <w:color w:val="auto"/>
          <w:kern w:val="0"/>
          <w:sz w:val="24"/>
          <w:szCs w:val="24"/>
        </w:rPr>
        <w:t>结算</w:t>
      </w:r>
      <w:r>
        <w:rPr>
          <w:rFonts w:hint="eastAsia" w:ascii="华文中宋" w:hAnsi="华文中宋" w:eastAsia="华文中宋" w:cs="华文中宋"/>
          <w:color w:val="auto"/>
          <w:sz w:val="24"/>
          <w:szCs w:val="24"/>
        </w:rPr>
        <w:t>申请单有异议的，有权要求承包人进行修正和提供补充资料，承包人应提交修正后的竣工</w:t>
      </w:r>
      <w:r>
        <w:rPr>
          <w:rFonts w:hint="eastAsia" w:ascii="华文中宋" w:hAnsi="华文中宋" w:eastAsia="华文中宋" w:cs="华文中宋"/>
          <w:color w:val="auto"/>
          <w:kern w:val="0"/>
          <w:sz w:val="24"/>
          <w:szCs w:val="24"/>
        </w:rPr>
        <w:t>结算</w:t>
      </w:r>
      <w:r>
        <w:rPr>
          <w:rFonts w:hint="eastAsia" w:ascii="华文中宋" w:hAnsi="华文中宋" w:eastAsia="华文中宋" w:cs="华文中宋"/>
          <w:color w:val="auto"/>
          <w:sz w:val="24"/>
          <w:szCs w:val="24"/>
        </w:rPr>
        <w:t>申请单。</w:t>
      </w:r>
    </w:p>
    <w:p w14:paraId="444BA16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C0F8DF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67D761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442516F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32" w:name="_Toc375060814"/>
      <w:bookmarkStart w:id="433" w:name="_Toc337558813"/>
      <w:r>
        <w:rPr>
          <w:rFonts w:hint="eastAsia" w:ascii="华文中宋" w:hAnsi="华文中宋" w:eastAsia="华文中宋" w:cs="华文中宋"/>
          <w:b w:val="0"/>
          <w:color w:val="auto"/>
          <w:sz w:val="24"/>
          <w:szCs w:val="24"/>
        </w:rPr>
        <w:t>14.3 甩项竣工协议</w:t>
      </w:r>
      <w:bookmarkEnd w:id="432"/>
    </w:p>
    <w:bookmarkEnd w:id="433"/>
    <w:p w14:paraId="44D48790">
      <w:pPr>
        <w:pageBreakBefore w:val="0"/>
        <w:kinsoku/>
        <w:wordWrap/>
        <w:overflowPunct/>
        <w:topLinePunct w:val="0"/>
        <w:autoSpaceDE w:val="0"/>
        <w:autoSpaceDN w:val="0"/>
        <w:bidi w:val="0"/>
        <w:adjustRightInd w:val="0"/>
        <w:snapToGrid/>
        <w:spacing w:line="360" w:lineRule="auto"/>
        <w:ind w:firstLine="470" w:firstLineChars="196"/>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1E584077">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34" w:name="_Toc375060815"/>
      <w:bookmarkStart w:id="435" w:name="_Toc337558814"/>
      <w:r>
        <w:rPr>
          <w:rFonts w:hint="eastAsia" w:ascii="华文中宋" w:hAnsi="华文中宋" w:eastAsia="华文中宋" w:cs="华文中宋"/>
          <w:b w:val="0"/>
          <w:color w:val="auto"/>
          <w:sz w:val="24"/>
          <w:szCs w:val="24"/>
        </w:rPr>
        <w:t>14.4 最终结清</w:t>
      </w:r>
      <w:bookmarkEnd w:id="434"/>
    </w:p>
    <w:bookmarkEnd w:id="435"/>
    <w:p w14:paraId="6C060BC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14.4.1 最终结清申请单</w:t>
      </w:r>
    </w:p>
    <w:p w14:paraId="74ADE5B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（1）除专用合同条款另有约定外，承包人应在缺陷责任期终止证书颁发后7天内，按专用合同条款约定的份数向发包人提交最终结清申请单，并提供相关证明材料。</w:t>
      </w:r>
    </w:p>
    <w:p w14:paraId="238D2D6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除专用合同条款另有约定外，</w:t>
      </w:r>
      <w:r>
        <w:rPr>
          <w:rFonts w:hint="eastAsia" w:ascii="华文中宋" w:hAnsi="华文中宋" w:eastAsia="华文中宋" w:cs="华文中宋"/>
          <w:color w:val="auto"/>
          <w:kern w:val="0"/>
          <w:sz w:val="24"/>
          <w:szCs w:val="24"/>
        </w:rPr>
        <w:t>最终结清申请单</w:t>
      </w:r>
      <w:r>
        <w:rPr>
          <w:rFonts w:hint="eastAsia" w:ascii="华文中宋" w:hAnsi="华文中宋" w:eastAsia="华文中宋" w:cs="华文中宋"/>
          <w:color w:val="auto"/>
          <w:sz w:val="24"/>
          <w:szCs w:val="24"/>
        </w:rPr>
        <w:t>应列明质量保证金、应扣除的质量保证金、缺陷责任期内发生的增减费用。</w:t>
      </w:r>
    </w:p>
    <w:p w14:paraId="6A1F03A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（2）发包人对最终结清申请单内容有异议的，有权要求承包人进行修正和提供补充资料，承包人应向发包人提交修正后的最终结清申请单。</w:t>
      </w:r>
    </w:p>
    <w:p w14:paraId="6E83521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14.4.2 最终结清证书和支付</w:t>
      </w:r>
    </w:p>
    <w:p w14:paraId="74BB1D0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5E35D2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AA27B4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（3）承包人对发包人颁发的最终结清证书有异议的，按第20条〔争议解决〕的约定办理。</w:t>
      </w:r>
    </w:p>
    <w:p w14:paraId="474F2A87">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436" w:name="_Toc375060816"/>
      <w:bookmarkStart w:id="437" w:name="_Toc337558815"/>
      <w:r>
        <w:rPr>
          <w:rFonts w:hint="eastAsia" w:ascii="华文中宋" w:hAnsi="华文中宋" w:eastAsia="华文中宋" w:cs="华文中宋"/>
          <w:b w:val="0"/>
          <w:color w:val="auto"/>
          <w:sz w:val="24"/>
          <w:szCs w:val="24"/>
        </w:rPr>
        <w:t>15. 缺陷责任与保修</w:t>
      </w:r>
      <w:bookmarkEnd w:id="436"/>
    </w:p>
    <w:bookmarkEnd w:id="426"/>
    <w:bookmarkEnd w:id="427"/>
    <w:bookmarkEnd w:id="437"/>
    <w:p w14:paraId="5380D53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38" w:name="_Toc375060817"/>
      <w:bookmarkStart w:id="439" w:name="_Toc337558816"/>
      <w:bookmarkStart w:id="440" w:name="_Toc296346615"/>
      <w:bookmarkStart w:id="441" w:name="_Toc296503114"/>
      <w:r>
        <w:rPr>
          <w:rFonts w:hint="eastAsia" w:ascii="华文中宋" w:hAnsi="华文中宋" w:eastAsia="华文中宋" w:cs="华文中宋"/>
          <w:b w:val="0"/>
          <w:color w:val="auto"/>
          <w:sz w:val="24"/>
          <w:szCs w:val="24"/>
        </w:rPr>
        <w:t>15.1 工程保修的原则</w:t>
      </w:r>
      <w:bookmarkEnd w:id="438"/>
    </w:p>
    <w:bookmarkEnd w:id="439"/>
    <w:p w14:paraId="2AFE3B3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在工程移交发包人后，因承包人原因产生的质量缺陷，承包人应承担质量缺陷责任和保修义务。缺陷责任期届满，承包人仍应按合同约定的工程各部位保修年限承担保修义务。</w:t>
      </w:r>
    </w:p>
    <w:p w14:paraId="4F879361">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42" w:name="_Toc375060818"/>
      <w:bookmarkStart w:id="443" w:name="_Toc337558817"/>
      <w:r>
        <w:rPr>
          <w:rFonts w:hint="eastAsia" w:ascii="华文中宋" w:hAnsi="华文中宋" w:eastAsia="华文中宋" w:cs="华文中宋"/>
          <w:b w:val="0"/>
          <w:color w:val="auto"/>
          <w:sz w:val="24"/>
          <w:szCs w:val="24"/>
        </w:rPr>
        <w:t>15.2 缺陷责任期</w:t>
      </w:r>
      <w:bookmarkEnd w:id="440"/>
      <w:bookmarkEnd w:id="441"/>
      <w:bookmarkEnd w:id="442"/>
    </w:p>
    <w:bookmarkEnd w:id="443"/>
    <w:p w14:paraId="34AD00E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15.2.1 缺陷责任期从工程通过竣工验收之日起计算，合同当事人应在专用合同条款约定缺陷责任期的具体期限，但该期限最长不超过24个月。</w:t>
      </w:r>
    </w:p>
    <w:p w14:paraId="6629762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C99943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009D289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由他人原因造成的缺陷，发包人负责组织维修，承包人不承担费用，且发包人不得从保证金中扣除费用。</w:t>
      </w:r>
    </w:p>
    <w:p w14:paraId="4CDDFAC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15.2.3 任何一项缺陷或损坏修复后，经检查证明其影响了工程或工程设备的使用性能，承包人应重新进行合同约定的试验和试运行，试验和试运行的全部费用应由责任方承担。</w:t>
      </w:r>
    </w:p>
    <w:p w14:paraId="73D7462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9AFD41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44" w:name="_Toc375060819"/>
      <w:bookmarkStart w:id="445" w:name="_Toc337558818"/>
      <w:bookmarkStart w:id="446" w:name="_Toc296503115"/>
      <w:bookmarkStart w:id="447" w:name="_Toc296346616"/>
      <w:r>
        <w:rPr>
          <w:rFonts w:hint="eastAsia" w:ascii="华文中宋" w:hAnsi="华文中宋" w:eastAsia="华文中宋" w:cs="华文中宋"/>
          <w:b w:val="0"/>
          <w:color w:val="auto"/>
          <w:sz w:val="24"/>
          <w:szCs w:val="24"/>
        </w:rPr>
        <w:t>15.3 质量保证金</w:t>
      </w:r>
      <w:bookmarkEnd w:id="444"/>
    </w:p>
    <w:bookmarkEnd w:id="445"/>
    <w:p w14:paraId="09BDDE8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经合同当事人协商一致扣留质量保证金的，应在专用合同条款中予以明确。</w:t>
      </w:r>
    </w:p>
    <w:p w14:paraId="29C2B09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在工程项目竣工前，承包人已经提供履约担保的，发包人不得同时预留工程质量保证金。</w:t>
      </w:r>
    </w:p>
    <w:p w14:paraId="416F082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15.3.1 承包人提供质量保证金的方式</w:t>
      </w:r>
    </w:p>
    <w:p w14:paraId="15796AD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承包人提供质量保证金有以下三种方式：</w:t>
      </w:r>
    </w:p>
    <w:p w14:paraId="2E91BF0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（1）质量保证金保函； </w:t>
      </w:r>
    </w:p>
    <w:p w14:paraId="72B7BEF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（2）相应比例的工程款；</w:t>
      </w:r>
    </w:p>
    <w:p w14:paraId="5C37FE6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（3）双方约定的其他方式。</w:t>
      </w:r>
    </w:p>
    <w:p w14:paraId="0ED16AF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除专用合同条款另有约定外，质量保证金原则上采用上述第（1）种方式。</w:t>
      </w:r>
    </w:p>
    <w:p w14:paraId="15F18B9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15.3.2 质量保证金的扣留</w:t>
      </w:r>
    </w:p>
    <w:p w14:paraId="34C16AC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质量保证金的扣留有以下三种方式：</w:t>
      </w:r>
    </w:p>
    <w:p w14:paraId="3DCB136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（1）在支付工程进度款时逐次扣留，在此情形下，质量保证金的计算基数不包括预付款的支付、扣回以及价格调整的金额；</w:t>
      </w:r>
    </w:p>
    <w:p w14:paraId="5B14CB4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（2）工</w:t>
      </w:r>
      <w:bookmarkStart w:id="448" w:name="#go6"/>
      <w:bookmarkEnd w:id="448"/>
      <w:r>
        <w:rPr>
          <w:rFonts w:hint="eastAsia" w:ascii="华文中宋" w:hAnsi="华文中宋" w:eastAsia="华文中宋" w:cs="华文中宋"/>
          <w:color w:val="auto"/>
          <w:kern w:val="0"/>
          <w:sz w:val="24"/>
          <w:szCs w:val="24"/>
        </w:rPr>
        <w:t>程竣工结算时一次性扣留质量保证金；</w:t>
      </w:r>
    </w:p>
    <w:p w14:paraId="3B0E1C1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（3）双方约定的其他扣留方式。</w:t>
      </w:r>
    </w:p>
    <w:p w14:paraId="19F9F89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除专用合同条款另有约定外，质量保证金的扣留原则上采用上述第（1）种方式。</w:t>
      </w:r>
    </w:p>
    <w:p w14:paraId="36DF520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w:t>
      </w:r>
      <w:bookmarkStart w:id="449" w:name="#go4"/>
      <w:bookmarkEnd w:id="449"/>
      <w:r>
        <w:rPr>
          <w:rFonts w:hint="eastAsia" w:ascii="华文中宋" w:hAnsi="华文中宋" w:eastAsia="华文中宋" w:cs="华文中宋"/>
          <w:color w:val="auto"/>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5CDD90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发包人在退还质量保证金的同时按照中国人民银行发布的同期同类贷款基准利率支付利息。</w:t>
      </w:r>
    </w:p>
    <w:p w14:paraId="207731C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15.3.3 </w:t>
      </w:r>
      <w:r>
        <w:rPr>
          <w:rFonts w:hint="eastAsia" w:ascii="华文中宋" w:hAnsi="华文中宋" w:eastAsia="华文中宋" w:cs="华文中宋"/>
          <w:color w:val="auto"/>
          <w:sz w:val="24"/>
          <w:szCs w:val="24"/>
        </w:rPr>
        <w:t>质量保证金</w:t>
      </w:r>
      <w:r>
        <w:rPr>
          <w:rFonts w:hint="eastAsia" w:ascii="华文中宋" w:hAnsi="华文中宋" w:eastAsia="华文中宋" w:cs="华文中宋"/>
          <w:color w:val="auto"/>
          <w:kern w:val="0"/>
          <w:sz w:val="24"/>
          <w:szCs w:val="24"/>
        </w:rPr>
        <w:t>的退还</w:t>
      </w:r>
    </w:p>
    <w:p w14:paraId="375C5F4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缺陷责任期内，承包人认真履行合同约定的责任，到期后，承包人可向发包人申请返还保证金。</w:t>
      </w:r>
    </w:p>
    <w:p w14:paraId="1FA0D1A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B852FA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发包人和承包人对保证金预留、返还以及工程维修质量、费用有争议的，按本合同第20条约定的争议和纠纷解决程序处理。</w:t>
      </w:r>
    </w:p>
    <w:p w14:paraId="7F803DE5">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50" w:name="_Toc375060820"/>
      <w:bookmarkStart w:id="451" w:name="_Toc337558819"/>
      <w:r>
        <w:rPr>
          <w:rFonts w:hint="eastAsia" w:ascii="华文中宋" w:hAnsi="华文中宋" w:eastAsia="华文中宋" w:cs="华文中宋"/>
          <w:b w:val="0"/>
          <w:color w:val="auto"/>
          <w:sz w:val="24"/>
          <w:szCs w:val="24"/>
        </w:rPr>
        <w:t>15.4 保修</w:t>
      </w:r>
      <w:bookmarkEnd w:id="450"/>
    </w:p>
    <w:bookmarkEnd w:id="446"/>
    <w:bookmarkEnd w:id="447"/>
    <w:bookmarkEnd w:id="451"/>
    <w:p w14:paraId="4471ED6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15.4.1保修责任</w:t>
      </w:r>
    </w:p>
    <w:p w14:paraId="29ED3E7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4FB217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发包人未经竣工验收擅自使用工程的，保修期自</w:t>
      </w:r>
      <w:r>
        <w:rPr>
          <w:rFonts w:hint="eastAsia" w:ascii="华文中宋" w:hAnsi="华文中宋" w:eastAsia="华文中宋" w:cs="华文中宋"/>
          <w:color w:val="auto"/>
          <w:kern w:val="0"/>
          <w:sz w:val="24"/>
          <w:szCs w:val="24"/>
        </w:rPr>
        <w:t>转移占有之日起算</w:t>
      </w:r>
      <w:r>
        <w:rPr>
          <w:rFonts w:hint="eastAsia" w:ascii="华文中宋" w:hAnsi="华文中宋" w:eastAsia="华文中宋" w:cs="华文中宋"/>
          <w:color w:val="auto"/>
          <w:sz w:val="24"/>
          <w:szCs w:val="24"/>
        </w:rPr>
        <w:t>。</w:t>
      </w:r>
    </w:p>
    <w:p w14:paraId="0DCCF90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15.4.2 修复费用</w:t>
      </w:r>
    </w:p>
    <w:p w14:paraId="29F573E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保修期内，修复的费用按照以下约定处理：</w:t>
      </w:r>
    </w:p>
    <w:p w14:paraId="180C30F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（1）保修期内，因承包人原因造成工程的缺陷、损坏，承包人应负责修复，并承担修复的费用以及因工程的缺陷、损坏造成的人身伤害和财产损失；</w:t>
      </w:r>
    </w:p>
    <w:p w14:paraId="5CCC8D1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（2）保修期内，因发包人使用不当造成工程的缺陷、损坏，可以委托承包人修复，但发包人应承担修复的费用，并支付承包人合理利润；</w:t>
      </w:r>
    </w:p>
    <w:p w14:paraId="64C6419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（3）因其他原因造成工程的缺陷、损坏，可以委托承包人修复，发包人应承担修复的费用，并支付承包人合理的利润，因工程的缺陷、损坏造成的人身伤害和财产损失由责任方承担。</w:t>
      </w:r>
    </w:p>
    <w:p w14:paraId="0EC7531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15.4.3 修复通知</w:t>
      </w:r>
    </w:p>
    <w:p w14:paraId="65E2859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A71216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15.4.4 未能修复</w:t>
      </w:r>
    </w:p>
    <w:p w14:paraId="4BE022E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BB5053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15.4.5 承包人出入权</w:t>
      </w:r>
    </w:p>
    <w:p w14:paraId="291EE80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3853DFE">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452" w:name="_Toc375060821"/>
      <w:bookmarkStart w:id="453" w:name="_Toc337558820"/>
      <w:r>
        <w:rPr>
          <w:rFonts w:hint="eastAsia" w:ascii="华文中宋" w:hAnsi="华文中宋" w:eastAsia="华文中宋" w:cs="华文中宋"/>
          <w:b w:val="0"/>
          <w:color w:val="auto"/>
          <w:sz w:val="24"/>
          <w:szCs w:val="24"/>
        </w:rPr>
        <w:t>16. 违约</w:t>
      </w:r>
      <w:bookmarkEnd w:id="452"/>
    </w:p>
    <w:bookmarkEnd w:id="453"/>
    <w:p w14:paraId="2D1E2AC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54" w:name="_Toc296503129"/>
      <w:bookmarkStart w:id="455" w:name="_Toc296346630"/>
      <w:bookmarkStart w:id="456" w:name="_Toc375060822"/>
      <w:bookmarkStart w:id="457" w:name="_Toc337558821"/>
      <w:r>
        <w:rPr>
          <w:rFonts w:hint="eastAsia" w:ascii="华文中宋" w:hAnsi="华文中宋" w:eastAsia="华文中宋" w:cs="华文中宋"/>
          <w:b w:val="0"/>
          <w:color w:val="auto"/>
          <w:sz w:val="24"/>
          <w:szCs w:val="24"/>
        </w:rPr>
        <w:t>16.1 发</w:t>
      </w:r>
      <w:bookmarkEnd w:id="454"/>
      <w:bookmarkEnd w:id="455"/>
      <w:r>
        <w:rPr>
          <w:rFonts w:hint="eastAsia" w:ascii="华文中宋" w:hAnsi="华文中宋" w:eastAsia="华文中宋" w:cs="华文中宋"/>
          <w:b w:val="0"/>
          <w:color w:val="auto"/>
          <w:sz w:val="24"/>
          <w:szCs w:val="24"/>
        </w:rPr>
        <w:t>包人违约</w:t>
      </w:r>
      <w:bookmarkEnd w:id="456"/>
    </w:p>
    <w:bookmarkEnd w:id="457"/>
    <w:p w14:paraId="7B6C131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16.1.1 发包人违约的情形</w:t>
      </w:r>
    </w:p>
    <w:p w14:paraId="05463DA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在合同履行过程中发生的下列情形，属于发包人违约：</w:t>
      </w:r>
    </w:p>
    <w:p w14:paraId="2ECC8BA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（1）因发包人原因未能在计划开工日期前7天内下达开工通知的；</w:t>
      </w:r>
    </w:p>
    <w:p w14:paraId="58D6F88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（2）因发包人原因未能按合同约定支付合同价款的；</w:t>
      </w:r>
    </w:p>
    <w:p w14:paraId="7700312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（3）发包人违反第10.1款〔变更的范围〕第（2）项约定，自行实施被取消的工作或转由他人实施的；</w:t>
      </w:r>
    </w:p>
    <w:p w14:paraId="46708DA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（4）发包人提供的材料、工程设备的规格、数量或质量不符合合同约定，或因发包人原因导致交货日期延误或交货地点变更等情况的；</w:t>
      </w:r>
    </w:p>
    <w:p w14:paraId="07C8D6E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（5）因发包人违反合同约定造成暂停施工的；</w:t>
      </w:r>
    </w:p>
    <w:p w14:paraId="3D2FCEE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（6）发包人无正当理由没有在约定期限内发出复工指示，导致承包人无法复工的；</w:t>
      </w:r>
    </w:p>
    <w:p w14:paraId="66E6529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（7）发包人明确表示或者以其行为表明不履行合同主要义务的；</w:t>
      </w:r>
    </w:p>
    <w:p w14:paraId="2706A62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（8）发包人未能按照合同约定履行其他义务的。</w:t>
      </w:r>
    </w:p>
    <w:p w14:paraId="0891D9A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B3A10A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16.1.2 发包人违约的责任</w:t>
      </w:r>
    </w:p>
    <w:p w14:paraId="23F3CA6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发包人应承担因其违约给承包人增加的费用和（或）延误的工期，并支付承包人合理的利润。此外，合同当事人可在专用合同条款中另行约定发包人违约责任的承担方式和计算方法。</w:t>
      </w:r>
    </w:p>
    <w:p w14:paraId="791BB45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16.1.3 因发包人违约解除合同</w:t>
      </w:r>
    </w:p>
    <w:p w14:paraId="52F2988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624817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16.1.4 因发包人违约解除合同后的付款</w:t>
      </w:r>
    </w:p>
    <w:p w14:paraId="7E30AFF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承包人按照本款约定解除合同的，发包人应在解除合同后28天内支付下列款项，并解除履约担保：</w:t>
      </w:r>
    </w:p>
    <w:p w14:paraId="68C6D21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（1）合同解除前所完成工作的价款；</w:t>
      </w:r>
    </w:p>
    <w:p w14:paraId="5C2E959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（2）承包人为工程施工订购并已付款的材料、工程设备和其他物品的价款；</w:t>
      </w:r>
    </w:p>
    <w:p w14:paraId="0906472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（3）承包人撤离施工现场以及遣散承包人人员的款项；</w:t>
      </w:r>
    </w:p>
    <w:p w14:paraId="13C096B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（4）按照合同约定在合同解除前应支付的违约金；</w:t>
      </w:r>
    </w:p>
    <w:p w14:paraId="2FF7F0F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（5）按照合同约定应当支付给承包人的其他款项；</w:t>
      </w:r>
    </w:p>
    <w:p w14:paraId="1C365F4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（6）按照合同约定应退还的质量保证金；</w:t>
      </w:r>
    </w:p>
    <w:p w14:paraId="3678E61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（7）因解除合同给承包人造成的损失。</w:t>
      </w:r>
    </w:p>
    <w:p w14:paraId="196B86B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合同当事人未能就解除合同后的结清达成一致的，按照第20条〔争议解决〕的约定处理。</w:t>
      </w:r>
    </w:p>
    <w:p w14:paraId="0AF9619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承包人应妥善做好已完工程和与工程有关的已购材料、工程设备的保护和移交工作，并将施工设备和人员撤出施工现场，发包人应为承包人撤出提供必要条件。</w:t>
      </w:r>
    </w:p>
    <w:p w14:paraId="403C892A">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58" w:name="_Toc375060823"/>
      <w:bookmarkStart w:id="459" w:name="_Toc296346632"/>
      <w:bookmarkStart w:id="460" w:name="_Toc296503131"/>
      <w:bookmarkStart w:id="461" w:name="_Toc337558822"/>
      <w:r>
        <w:rPr>
          <w:rFonts w:hint="eastAsia" w:ascii="华文中宋" w:hAnsi="华文中宋" w:eastAsia="华文中宋" w:cs="华文中宋"/>
          <w:b w:val="0"/>
          <w:color w:val="auto"/>
          <w:sz w:val="24"/>
          <w:szCs w:val="24"/>
        </w:rPr>
        <w:t>16.2 承包人违约</w:t>
      </w:r>
      <w:bookmarkEnd w:id="458"/>
    </w:p>
    <w:bookmarkEnd w:id="459"/>
    <w:bookmarkEnd w:id="460"/>
    <w:bookmarkEnd w:id="461"/>
    <w:p w14:paraId="7EAA691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16.2.1 承包人违约的情形</w:t>
      </w:r>
    </w:p>
    <w:p w14:paraId="723C53A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在合同履行过程中发生的下列情形，属于承包人违约：</w:t>
      </w:r>
    </w:p>
    <w:p w14:paraId="6736D9A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（1）承包人违反合同约定进行转包或违法分包的；</w:t>
      </w:r>
    </w:p>
    <w:p w14:paraId="25F9800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（2）承包人违反合同约定采购和使用不合格的材料和工程设备的；</w:t>
      </w:r>
    </w:p>
    <w:p w14:paraId="6ADABD1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（3）因承包人原因导致工程质量不符合合同要求的； </w:t>
      </w:r>
    </w:p>
    <w:p w14:paraId="753FB24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（4）承包人违反第8.9款〔材料与设备专用要求〕的约定，未经批准，私自将已按照合同约定进入施工现场的材料或设备撤离施工现场的；</w:t>
      </w:r>
    </w:p>
    <w:p w14:paraId="4196A08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（5）承包人未能按施工进度计划及时完成合同约定的工作，造成工期延误的；</w:t>
      </w:r>
    </w:p>
    <w:p w14:paraId="3CC7298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（6）承包人在缺陷责任期及保修期内，未能在合理期限对工程缺陷进行修复，或拒绝按发包人要求进行修复的；</w:t>
      </w:r>
    </w:p>
    <w:p w14:paraId="4206A5E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（7）承包人明确表示或者以其行为表明不履行合同主要义务的；</w:t>
      </w:r>
    </w:p>
    <w:p w14:paraId="0A2BBA1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（8）承包人未能按照合同约定履行其他义务的。</w:t>
      </w:r>
    </w:p>
    <w:p w14:paraId="7062B83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承包人发生除本项第（7）目约定以外的其他违约情况时，监理人可向承包人发出整改通知，要求其在指定的期限内改正。</w:t>
      </w:r>
    </w:p>
    <w:p w14:paraId="438CE3B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16.2.2 承包人违约的责任</w:t>
      </w:r>
    </w:p>
    <w:p w14:paraId="77B7E2F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承包人应承担因其违约行为而增加的费用和（或）延误的工期。此外，合同当事人可在专用合同条款中另行约定承包人违约责任的承担方式和计算方法。</w:t>
      </w:r>
    </w:p>
    <w:p w14:paraId="6ADA1A9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16.2.3 因承包人违约解除合同</w:t>
      </w:r>
    </w:p>
    <w:p w14:paraId="7D9601B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037CB7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16.2.4因承包人违约解除合同后的处理</w:t>
      </w:r>
    </w:p>
    <w:p w14:paraId="7E88AB1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因承包人原因导致合同解除的，则合同当事人应在合同解除后28天内完成估价、付款和清算，并按以下约定执行：</w:t>
      </w:r>
    </w:p>
    <w:p w14:paraId="395C8FA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（1）合同解除后，按第4.4款〔商定或确定〕商定或确定承包人实际完成工作对应的合同价款，以及承包人已提供的材料、工程设备、施工设备和临时工程等的价值；</w:t>
      </w:r>
    </w:p>
    <w:p w14:paraId="1156925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（2）合同解除后，承包人应支付的违约金；</w:t>
      </w:r>
    </w:p>
    <w:p w14:paraId="6AC3A90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（3）合同解除后，因解除合同给发包人造成的损失；</w:t>
      </w:r>
    </w:p>
    <w:p w14:paraId="5D792B8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（4）合同解除后，承包人应按照发包人要求和监理人的指示完成现场的清理和撤离；</w:t>
      </w:r>
    </w:p>
    <w:p w14:paraId="6E55FD5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（5）发包人和承包人应在合同解除后进行清算，出具最终结清付款证书，结清全部款项。</w:t>
      </w:r>
    </w:p>
    <w:p w14:paraId="5DA8D2A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1553749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16.2.5采购合同权益转让</w:t>
      </w:r>
    </w:p>
    <w:p w14:paraId="11CB3FC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535F9BB">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62" w:name="_Toc375060824"/>
      <w:r>
        <w:rPr>
          <w:rFonts w:hint="eastAsia" w:ascii="华文中宋" w:hAnsi="华文中宋" w:eastAsia="华文中宋" w:cs="华文中宋"/>
          <w:b w:val="0"/>
          <w:color w:val="auto"/>
          <w:sz w:val="24"/>
          <w:szCs w:val="24"/>
        </w:rPr>
        <w:t>16.3 第三人造成的违约</w:t>
      </w:r>
      <w:bookmarkEnd w:id="462"/>
    </w:p>
    <w:p w14:paraId="1B29DAC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在履行合同过程中，一方当事人因第三人的原因造成违约的，应当向对方当事人承担违约责任。一方当事人和第三人之间的纠纷，依照法律规定或者按照约定解决。</w:t>
      </w:r>
    </w:p>
    <w:p w14:paraId="04958236">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463" w:name="_Toc375060825"/>
      <w:bookmarkStart w:id="464" w:name="_Toc337558823"/>
      <w:bookmarkStart w:id="465" w:name="_Toc296346617"/>
      <w:bookmarkStart w:id="466" w:name="_Toc296503116"/>
      <w:r>
        <w:rPr>
          <w:rFonts w:hint="eastAsia" w:ascii="华文中宋" w:hAnsi="华文中宋" w:eastAsia="华文中宋" w:cs="华文中宋"/>
          <w:b w:val="0"/>
          <w:color w:val="auto"/>
          <w:sz w:val="24"/>
          <w:szCs w:val="24"/>
        </w:rPr>
        <w:t>17. 不可抗力</w:t>
      </w:r>
      <w:bookmarkEnd w:id="463"/>
      <w:r>
        <w:rPr>
          <w:rFonts w:hint="eastAsia" w:ascii="华文中宋" w:hAnsi="华文中宋" w:eastAsia="华文中宋" w:cs="华文中宋"/>
          <w:b w:val="0"/>
          <w:color w:val="auto"/>
          <w:sz w:val="24"/>
          <w:szCs w:val="24"/>
        </w:rPr>
        <w:t xml:space="preserve"> </w:t>
      </w:r>
      <w:bookmarkEnd w:id="464"/>
      <w:bookmarkEnd w:id="465"/>
      <w:bookmarkEnd w:id="466"/>
    </w:p>
    <w:p w14:paraId="71C40564">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67" w:name="_Toc375060826"/>
      <w:bookmarkStart w:id="468" w:name="_Toc337558824"/>
      <w:bookmarkStart w:id="469" w:name="_Toc296346618"/>
      <w:bookmarkStart w:id="470" w:name="_Toc296503117"/>
      <w:r>
        <w:rPr>
          <w:rFonts w:hint="eastAsia" w:ascii="华文中宋" w:hAnsi="华文中宋" w:eastAsia="华文中宋" w:cs="华文中宋"/>
          <w:b w:val="0"/>
          <w:color w:val="auto"/>
          <w:sz w:val="24"/>
          <w:szCs w:val="24"/>
        </w:rPr>
        <w:t>17.1 不可抗力的确认</w:t>
      </w:r>
      <w:bookmarkEnd w:id="467"/>
    </w:p>
    <w:bookmarkEnd w:id="468"/>
    <w:bookmarkEnd w:id="469"/>
    <w:bookmarkEnd w:id="470"/>
    <w:p w14:paraId="034671D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6CA11A9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95F488B">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71" w:name="_Toc375060827"/>
      <w:bookmarkStart w:id="472" w:name="_Toc296503118"/>
      <w:bookmarkStart w:id="473" w:name="_Toc337558825"/>
      <w:bookmarkStart w:id="474" w:name="_Toc296346619"/>
      <w:r>
        <w:rPr>
          <w:rFonts w:hint="eastAsia" w:ascii="华文中宋" w:hAnsi="华文中宋" w:eastAsia="华文中宋" w:cs="华文中宋"/>
          <w:b w:val="0"/>
          <w:color w:val="auto"/>
          <w:sz w:val="24"/>
          <w:szCs w:val="24"/>
        </w:rPr>
        <w:t>17.2 不可抗力的通知</w:t>
      </w:r>
      <w:bookmarkEnd w:id="471"/>
    </w:p>
    <w:bookmarkEnd w:id="472"/>
    <w:bookmarkEnd w:id="473"/>
    <w:bookmarkEnd w:id="474"/>
    <w:p w14:paraId="2DC4137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合同一方当事人遇到不可抗力事件，使其履行合同义务受到阻碍时，应立即通知合同另一方当事人和监理人，书面说明不可抗力和受阻碍的详细情况，并提供必要的证明。</w:t>
      </w:r>
    </w:p>
    <w:p w14:paraId="2BB67CB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5741FD85">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75" w:name="_Toc375060828"/>
      <w:bookmarkStart w:id="476" w:name="_Toc296346620"/>
      <w:bookmarkStart w:id="477" w:name="_Toc296503119"/>
      <w:bookmarkStart w:id="478" w:name="_Toc337558826"/>
      <w:r>
        <w:rPr>
          <w:rFonts w:hint="eastAsia" w:ascii="华文中宋" w:hAnsi="华文中宋" w:eastAsia="华文中宋" w:cs="华文中宋"/>
          <w:b w:val="0"/>
          <w:color w:val="auto"/>
          <w:sz w:val="24"/>
          <w:szCs w:val="24"/>
        </w:rPr>
        <w:t>17.3 不可抗力后果的承担</w:t>
      </w:r>
      <w:bookmarkEnd w:id="475"/>
    </w:p>
    <w:bookmarkEnd w:id="476"/>
    <w:bookmarkEnd w:id="477"/>
    <w:bookmarkEnd w:id="478"/>
    <w:p w14:paraId="18B54800">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17.3.1 不可抗力引起的后果及造成的损失由合同当事人按照法律规定及合同约定各自承担。不可抗力发生前已完成的工程应当按照合同约定进行计量支付。</w:t>
      </w:r>
    </w:p>
    <w:p w14:paraId="302DE3D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17.3.2 不可抗力导致的人员伤亡、财产损失、费用增加和（或）工期延误等后果，由合同当事人按以下原则承担：</w:t>
      </w:r>
    </w:p>
    <w:p w14:paraId="672F834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（1）永久工程、已运至施工现场的材料和工程设备的损坏，以及因工程损坏造成的第三人人员伤亡和财产损失由发包人承担；</w:t>
      </w:r>
    </w:p>
    <w:p w14:paraId="1958683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（2）承包人施工设备的损坏由承包人承担；</w:t>
      </w:r>
    </w:p>
    <w:p w14:paraId="427D1B6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（3）发包人和承包人承担各自人员伤亡和财产的损失；</w:t>
      </w:r>
    </w:p>
    <w:p w14:paraId="40BBC1C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04C5A8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（5）因不可抗力引起或将引起工期延误，发包人要求赶工的，由此增加的赶工费用由发包人承担；</w:t>
      </w:r>
    </w:p>
    <w:p w14:paraId="290E7AB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（6）承包人在停工期间按照发包人要求照管、清理和修复工程的费用由发包人承担。</w:t>
      </w:r>
    </w:p>
    <w:p w14:paraId="4C8166E7">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不可抗力发生后，合同当事人均应采取措施尽量避免和减少损失的扩大，任何一方当事人没有采取有效措施导致损失扩大的，应对扩大的损失承担责任。</w:t>
      </w:r>
    </w:p>
    <w:p w14:paraId="7340684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因合同一方迟延履行合同义务，在迟延履行期间遭遇不可抗力的，不免除其违约责任。</w:t>
      </w:r>
    </w:p>
    <w:p w14:paraId="3B1335B1">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79" w:name="_Toc375060829"/>
      <w:bookmarkStart w:id="480" w:name="_Toc337558827"/>
      <w:r>
        <w:rPr>
          <w:rFonts w:hint="eastAsia" w:ascii="华文中宋" w:hAnsi="华文中宋" w:eastAsia="华文中宋" w:cs="华文中宋"/>
          <w:b w:val="0"/>
          <w:color w:val="auto"/>
          <w:sz w:val="24"/>
          <w:szCs w:val="24"/>
        </w:rPr>
        <w:t>17.4 因不可抗力解除合同</w:t>
      </w:r>
      <w:bookmarkEnd w:id="479"/>
    </w:p>
    <w:bookmarkEnd w:id="480"/>
    <w:p w14:paraId="449C9C7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3AA6D42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（1）合同解除前承包人已完成工作的价款；</w:t>
      </w:r>
    </w:p>
    <w:p w14:paraId="6163D5E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（2）承包人为工程订购的并已交付给承包人，或承包人有责任接受交付的材料、工程设备和其他物品的价款；</w:t>
      </w:r>
    </w:p>
    <w:p w14:paraId="00E630F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（3）发包人要求承包人退货或解除订货合同而产生的费用，或因不能退货或解除合同而产生的损失；</w:t>
      </w:r>
    </w:p>
    <w:p w14:paraId="1FCFD76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（4）承包人撤离施工现场以及遣散承包人人员的费用；</w:t>
      </w:r>
    </w:p>
    <w:p w14:paraId="0EC4B45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（5）按照合同约定在合同解除前应支付给承包人的其他款项；</w:t>
      </w:r>
    </w:p>
    <w:p w14:paraId="03C8182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（6）扣减承包人按照合同约定应向发包人支付的款项；</w:t>
      </w:r>
    </w:p>
    <w:p w14:paraId="1B60C33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（7）双方商定或确定的其他款项。</w:t>
      </w:r>
    </w:p>
    <w:p w14:paraId="2F0241C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除专用合同条款另有约定外，合同解除后，发包人应在商定或确定上述款项后28天内完成上述款项的支付。</w:t>
      </w:r>
    </w:p>
    <w:p w14:paraId="4E424DF6">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481" w:name="_Toc375060830"/>
      <w:bookmarkStart w:id="482" w:name="_Toc296346621"/>
      <w:bookmarkStart w:id="483" w:name="_Toc337558828"/>
      <w:bookmarkStart w:id="484" w:name="_Toc296503120"/>
      <w:r>
        <w:rPr>
          <w:rFonts w:hint="eastAsia" w:ascii="华文中宋" w:hAnsi="华文中宋" w:eastAsia="华文中宋" w:cs="华文中宋"/>
          <w:b w:val="0"/>
          <w:color w:val="auto"/>
          <w:sz w:val="24"/>
          <w:szCs w:val="24"/>
        </w:rPr>
        <w:t>18. 保险</w:t>
      </w:r>
      <w:bookmarkEnd w:id="481"/>
    </w:p>
    <w:bookmarkEnd w:id="482"/>
    <w:bookmarkEnd w:id="483"/>
    <w:bookmarkEnd w:id="484"/>
    <w:p w14:paraId="28E710EA">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85" w:name="_Toc375060831"/>
      <w:bookmarkStart w:id="486" w:name="_Toc296503121"/>
      <w:bookmarkStart w:id="487" w:name="_Toc337558829"/>
      <w:bookmarkStart w:id="488" w:name="_Toc296346622"/>
      <w:r>
        <w:rPr>
          <w:rFonts w:hint="eastAsia" w:ascii="华文中宋" w:hAnsi="华文中宋" w:eastAsia="华文中宋" w:cs="华文中宋"/>
          <w:b w:val="0"/>
          <w:color w:val="auto"/>
          <w:sz w:val="24"/>
          <w:szCs w:val="24"/>
        </w:rPr>
        <w:t>18.1 工程保险</w:t>
      </w:r>
      <w:bookmarkEnd w:id="485"/>
    </w:p>
    <w:bookmarkEnd w:id="486"/>
    <w:bookmarkEnd w:id="487"/>
    <w:bookmarkEnd w:id="488"/>
    <w:p w14:paraId="14ED2A8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除专用合同条款另有约定外，发包人应投保建筑工程一切险或安装工程一切险；发包人委托承包人投保的，因投保产生的保险费和其他相关费用由发包人承担。</w:t>
      </w:r>
    </w:p>
    <w:p w14:paraId="00025D1E">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89" w:name="_Toc375060832"/>
      <w:bookmarkStart w:id="490" w:name="_Toc337558830"/>
      <w:bookmarkStart w:id="491" w:name="_Toc296503122"/>
      <w:bookmarkStart w:id="492" w:name="_Toc296346623"/>
      <w:r>
        <w:rPr>
          <w:rFonts w:hint="eastAsia" w:ascii="华文中宋" w:hAnsi="华文中宋" w:eastAsia="华文中宋" w:cs="华文中宋"/>
          <w:b w:val="0"/>
          <w:color w:val="auto"/>
          <w:sz w:val="24"/>
          <w:szCs w:val="24"/>
        </w:rPr>
        <w:t>18.2 工伤保险</w:t>
      </w:r>
      <w:bookmarkEnd w:id="489"/>
    </w:p>
    <w:bookmarkEnd w:id="490"/>
    <w:bookmarkEnd w:id="491"/>
    <w:bookmarkEnd w:id="492"/>
    <w:p w14:paraId="7D5D704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18.2.1 承包人应依照法律规定参加工伤保险，并为其履行合同的全部员工办理工伤保险，缴纳工伤保险费，并要求分包人及由承包人为履行合同聘请的第三方依法参加工伤保险。</w:t>
      </w:r>
    </w:p>
    <w:p w14:paraId="721E3500">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93" w:name="_Toc375060833"/>
      <w:bookmarkStart w:id="494" w:name="_Toc296346626"/>
      <w:bookmarkStart w:id="495" w:name="_Toc337558831"/>
      <w:bookmarkStart w:id="496" w:name="_Toc296503125"/>
      <w:r>
        <w:rPr>
          <w:rFonts w:hint="eastAsia" w:ascii="华文中宋" w:hAnsi="华文中宋" w:eastAsia="华文中宋" w:cs="华文中宋"/>
          <w:b w:val="0"/>
          <w:color w:val="auto"/>
          <w:sz w:val="24"/>
          <w:szCs w:val="24"/>
        </w:rPr>
        <w:t>18.3其他保险</w:t>
      </w:r>
      <w:bookmarkEnd w:id="493"/>
    </w:p>
    <w:bookmarkEnd w:id="494"/>
    <w:bookmarkEnd w:id="495"/>
    <w:bookmarkEnd w:id="496"/>
    <w:p w14:paraId="57F549C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发包人和承包人可以为其施工现场的全部人员办理意外伤害保险并支付保险费，包括其员工及为履行合同聘请的第三方的人员，具体事项由合同当事人在专用合同条款约定。</w:t>
      </w:r>
    </w:p>
    <w:p w14:paraId="3F6D6F1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除专用合同条款另有约定外，承包人应为其施工设备等办理财产保险。</w:t>
      </w:r>
    </w:p>
    <w:p w14:paraId="665C91A0">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97" w:name="_Toc375060834"/>
      <w:r>
        <w:rPr>
          <w:rFonts w:hint="eastAsia" w:ascii="华文中宋" w:hAnsi="华文中宋" w:eastAsia="华文中宋" w:cs="华文中宋"/>
          <w:b w:val="0"/>
          <w:color w:val="auto"/>
          <w:sz w:val="24"/>
          <w:szCs w:val="24"/>
        </w:rPr>
        <w:t>18.4持续保险</w:t>
      </w:r>
      <w:bookmarkEnd w:id="497"/>
    </w:p>
    <w:p w14:paraId="1793FED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合同当事人应与保险人保持联系，使保险人能够随时了解工程实施中的变动，并确保按保险合同条款要求持续保险。</w:t>
      </w:r>
    </w:p>
    <w:p w14:paraId="0D048EE8">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498" w:name="_Toc375060835"/>
      <w:bookmarkStart w:id="499" w:name="_Toc296503126"/>
      <w:bookmarkStart w:id="500" w:name="_Toc337558832"/>
      <w:bookmarkStart w:id="501" w:name="_Toc296346627"/>
      <w:r>
        <w:rPr>
          <w:rFonts w:hint="eastAsia" w:ascii="华文中宋" w:hAnsi="华文中宋" w:eastAsia="华文中宋" w:cs="华文中宋"/>
          <w:b w:val="0"/>
          <w:color w:val="auto"/>
          <w:sz w:val="24"/>
          <w:szCs w:val="24"/>
        </w:rPr>
        <w:t>18.5 保险凭证</w:t>
      </w:r>
      <w:bookmarkEnd w:id="498"/>
    </w:p>
    <w:bookmarkEnd w:id="499"/>
    <w:bookmarkEnd w:id="500"/>
    <w:bookmarkEnd w:id="501"/>
    <w:p w14:paraId="45DD0D3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合同当事人应及时向另一方当事人提交其已投保的各项保险的凭证和保险单复印件。</w:t>
      </w:r>
    </w:p>
    <w:p w14:paraId="3F15F6CD">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02" w:name="_Toc375060836"/>
      <w:bookmarkStart w:id="503" w:name="_Toc337558833"/>
      <w:bookmarkStart w:id="504" w:name="_Toc296503127"/>
      <w:bookmarkStart w:id="505" w:name="_Toc296346628"/>
      <w:r>
        <w:rPr>
          <w:rFonts w:hint="eastAsia" w:ascii="华文中宋" w:hAnsi="华文中宋" w:eastAsia="华文中宋" w:cs="华文中宋"/>
          <w:b w:val="0"/>
          <w:color w:val="auto"/>
          <w:sz w:val="24"/>
          <w:szCs w:val="24"/>
        </w:rPr>
        <w:t>18.6 未按约定投保的补救</w:t>
      </w:r>
      <w:bookmarkEnd w:id="502"/>
    </w:p>
    <w:bookmarkEnd w:id="503"/>
    <w:bookmarkEnd w:id="504"/>
    <w:bookmarkEnd w:id="505"/>
    <w:p w14:paraId="3022E02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7EEAE19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6746FE35">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06" w:name="_Toc375060837"/>
      <w:bookmarkStart w:id="507" w:name="_Toc337558834"/>
      <w:r>
        <w:rPr>
          <w:rFonts w:hint="eastAsia" w:ascii="华文中宋" w:hAnsi="华文中宋" w:eastAsia="华文中宋" w:cs="华文中宋"/>
          <w:b w:val="0"/>
          <w:color w:val="auto"/>
          <w:sz w:val="24"/>
          <w:szCs w:val="24"/>
        </w:rPr>
        <w:t>18.7 通知义务</w:t>
      </w:r>
      <w:bookmarkEnd w:id="506"/>
    </w:p>
    <w:bookmarkEnd w:id="507"/>
    <w:p w14:paraId="25EA4A8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52994A8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保险事故发生时，投保人应按照保险合同规定的条件和期限及时向保险人报告。发包人和承包人应当在知道保险事故发生后及时通知对方。</w:t>
      </w:r>
    </w:p>
    <w:p w14:paraId="4893AA13">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508" w:name="_Toc375060838"/>
      <w:bookmarkStart w:id="509" w:name="_Toc337558835"/>
      <w:bookmarkStart w:id="510" w:name="_Toc296503140"/>
      <w:bookmarkStart w:id="511" w:name="_Toc296346641"/>
      <w:r>
        <w:rPr>
          <w:rFonts w:hint="eastAsia" w:ascii="华文中宋" w:hAnsi="华文中宋" w:eastAsia="华文中宋" w:cs="华文中宋"/>
          <w:b w:val="0"/>
          <w:color w:val="auto"/>
          <w:sz w:val="24"/>
          <w:szCs w:val="24"/>
        </w:rPr>
        <w:t>19. 索赔</w:t>
      </w:r>
      <w:bookmarkEnd w:id="508"/>
    </w:p>
    <w:bookmarkEnd w:id="509"/>
    <w:bookmarkEnd w:id="510"/>
    <w:bookmarkEnd w:id="511"/>
    <w:p w14:paraId="76CF6AA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12" w:name="_Toc375060839"/>
      <w:bookmarkStart w:id="513" w:name="_Toc296346642"/>
      <w:bookmarkStart w:id="514" w:name="_Toc296503141"/>
      <w:bookmarkStart w:id="515" w:name="_Toc337558836"/>
      <w:r>
        <w:rPr>
          <w:rFonts w:hint="eastAsia" w:ascii="华文中宋" w:hAnsi="华文中宋" w:eastAsia="华文中宋" w:cs="华文中宋"/>
          <w:b w:val="0"/>
          <w:color w:val="auto"/>
          <w:sz w:val="24"/>
          <w:szCs w:val="24"/>
        </w:rPr>
        <w:t>19.1承包人的索赔</w:t>
      </w:r>
      <w:bookmarkEnd w:id="512"/>
    </w:p>
    <w:bookmarkEnd w:id="513"/>
    <w:bookmarkEnd w:id="514"/>
    <w:bookmarkEnd w:id="515"/>
    <w:p w14:paraId="1E66916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根据合同约定，承包人认为有权得到追加付款和（或）延长工期的，应按以下程序向发包人提出索赔：</w:t>
      </w:r>
    </w:p>
    <w:p w14:paraId="51D1653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57DCF9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（2）承包人应在发出索赔意向通知书后28天内，向监理人正式递交索赔报告；索赔报告应详细说明索赔理由以及要求追加的付款金额和（或）延长的工期，并附必要的记录和证明材料；</w:t>
      </w:r>
    </w:p>
    <w:p w14:paraId="4403BF2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（3）索赔事件具有持续影响的，承包人应按合理时间间隔继续递交延续索赔通知，说明持续影响的实际情况和记录，列出累计的追加付款金额和（或）工期延长天数；</w:t>
      </w:r>
    </w:p>
    <w:p w14:paraId="3CC2FF9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（4）在索赔事件影响结束后28天内，承包人应向监理人递交最终索赔报告，说明最终要求索赔的追加付款金额和（或）延长的工期，并附必要的记录和证明材料。</w:t>
      </w:r>
    </w:p>
    <w:p w14:paraId="7731E624">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16" w:name="_Toc375060840"/>
      <w:bookmarkStart w:id="517" w:name="_Toc296503142"/>
      <w:bookmarkStart w:id="518" w:name="_Toc337558837"/>
      <w:bookmarkStart w:id="519" w:name="_Toc296346643"/>
      <w:r>
        <w:rPr>
          <w:rFonts w:hint="eastAsia" w:ascii="华文中宋" w:hAnsi="华文中宋" w:eastAsia="华文中宋" w:cs="华文中宋"/>
          <w:b w:val="0"/>
          <w:color w:val="auto"/>
          <w:sz w:val="24"/>
          <w:szCs w:val="24"/>
        </w:rPr>
        <w:t>19.2 对承包人索赔的处理</w:t>
      </w:r>
      <w:bookmarkEnd w:id="516"/>
    </w:p>
    <w:bookmarkEnd w:id="517"/>
    <w:bookmarkEnd w:id="518"/>
    <w:bookmarkEnd w:id="519"/>
    <w:p w14:paraId="0B04A3A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对承包人索赔的处理如下：</w:t>
      </w:r>
    </w:p>
    <w:p w14:paraId="45DB122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（1）监理人应在收到索赔报告后14天内完成审查并报送发包人。监理人对索赔报告存在异议的，有权要求承包人提交全部原始记录副本；</w:t>
      </w:r>
    </w:p>
    <w:p w14:paraId="4F487CF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320A031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（3）承包人接受索赔处理结果的，索赔款项在当期进度款中进行支付；承包人不接受索赔处理结果的，按照第20条〔争议解决〕约定处理。</w:t>
      </w:r>
    </w:p>
    <w:p w14:paraId="47298A33">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20" w:name="_Toc375060841"/>
      <w:bookmarkStart w:id="521" w:name="_Toc337558838"/>
      <w:bookmarkStart w:id="522" w:name="_Toc296503143"/>
      <w:bookmarkStart w:id="523" w:name="_Toc296346644"/>
      <w:r>
        <w:rPr>
          <w:rFonts w:hint="eastAsia" w:ascii="华文中宋" w:hAnsi="华文中宋" w:eastAsia="华文中宋" w:cs="华文中宋"/>
          <w:b w:val="0"/>
          <w:color w:val="auto"/>
          <w:sz w:val="24"/>
          <w:szCs w:val="24"/>
        </w:rPr>
        <w:t>19.3发包人的索赔</w:t>
      </w:r>
      <w:bookmarkEnd w:id="520"/>
    </w:p>
    <w:bookmarkEnd w:id="521"/>
    <w:bookmarkEnd w:id="522"/>
    <w:bookmarkEnd w:id="523"/>
    <w:p w14:paraId="2A2FA09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根据合同约定，发包人认为有权得到赔付金额和（或）延长缺陷责任期的，监理人应向承包人发出通知并附有详细的证明。</w:t>
      </w:r>
    </w:p>
    <w:p w14:paraId="581400B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E984F95">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24" w:name="_Toc375060842"/>
      <w:bookmarkStart w:id="525" w:name="_Toc296503144"/>
      <w:bookmarkStart w:id="526" w:name="_Toc296346645"/>
      <w:bookmarkStart w:id="527" w:name="_Toc337558839"/>
      <w:r>
        <w:rPr>
          <w:rFonts w:hint="eastAsia" w:ascii="华文中宋" w:hAnsi="华文中宋" w:eastAsia="华文中宋" w:cs="华文中宋"/>
          <w:b w:val="0"/>
          <w:color w:val="auto"/>
          <w:sz w:val="24"/>
          <w:szCs w:val="24"/>
        </w:rPr>
        <w:t>19.4 对发包人索赔的处理</w:t>
      </w:r>
      <w:bookmarkEnd w:id="524"/>
    </w:p>
    <w:bookmarkEnd w:id="525"/>
    <w:bookmarkEnd w:id="526"/>
    <w:bookmarkEnd w:id="527"/>
    <w:p w14:paraId="56E908B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对发包人索赔的处理如下：</w:t>
      </w:r>
    </w:p>
    <w:p w14:paraId="365CAE3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（1）承包人收到发包人提交的索赔报告后，应及时审查索赔报告的内容、查验发包人证明材料；</w:t>
      </w:r>
    </w:p>
    <w:p w14:paraId="735A9073">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（2）承包人应在收到索赔报告或有关索赔的进一步证明材料后28天内，将索赔处理结果答复发包人。如果承包人未在上述期限内作出答复的，则视为对发包人索赔要求的认可；</w:t>
      </w:r>
    </w:p>
    <w:p w14:paraId="15A37664">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（3）承包人接受索赔处理结果的，发包人可从应支付给承包人的合同价款中扣除赔付的金额或延长缺陷责任期；发包人不接受索赔处理结果的，按第20条〔争议解决〕约定处理。</w:t>
      </w:r>
    </w:p>
    <w:p w14:paraId="31117EE9">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28" w:name="_Toc375060843"/>
      <w:r>
        <w:rPr>
          <w:rFonts w:hint="eastAsia" w:ascii="华文中宋" w:hAnsi="华文中宋" w:eastAsia="华文中宋" w:cs="华文中宋"/>
          <w:b w:val="0"/>
          <w:color w:val="auto"/>
          <w:sz w:val="24"/>
          <w:szCs w:val="24"/>
        </w:rPr>
        <w:t>19.5 提出索赔的期限</w:t>
      </w:r>
      <w:bookmarkEnd w:id="528"/>
    </w:p>
    <w:p w14:paraId="6DF0AFF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（1）承包人按第14.2款〔竣工结算审核〕约定接收竣工付款证书后，应被视为已无权再提出在工程接收证书颁发前所发生的任何索赔。</w:t>
      </w:r>
    </w:p>
    <w:p w14:paraId="4F6F9B6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（2）承包人按第14.4款〔最终结清〕提交的最终结清申请单中，只限于提出工程接收证书颁发后发生的索赔。提出索赔的期限自接受最终结清证书时终止。</w:t>
      </w:r>
    </w:p>
    <w:p w14:paraId="6CA713BB">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29" w:name="_Toc375060844"/>
      <w:bookmarkStart w:id="530" w:name="_Toc296503146"/>
      <w:bookmarkStart w:id="531" w:name="_Toc296346647"/>
      <w:bookmarkStart w:id="532" w:name="_Toc337558840"/>
      <w:r>
        <w:rPr>
          <w:rFonts w:hint="eastAsia" w:ascii="华文中宋" w:hAnsi="华文中宋" w:eastAsia="华文中宋" w:cs="华文中宋"/>
          <w:b w:val="0"/>
          <w:color w:val="auto"/>
          <w:sz w:val="24"/>
          <w:szCs w:val="24"/>
        </w:rPr>
        <w:t>20.争议解决</w:t>
      </w:r>
      <w:bookmarkEnd w:id="529"/>
    </w:p>
    <w:bookmarkEnd w:id="530"/>
    <w:bookmarkEnd w:id="531"/>
    <w:bookmarkEnd w:id="532"/>
    <w:p w14:paraId="5A0D0951">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33" w:name="_Toc375060845"/>
      <w:bookmarkStart w:id="534" w:name="_Toc296346648"/>
      <w:bookmarkStart w:id="535" w:name="_Toc296503147"/>
      <w:bookmarkStart w:id="536" w:name="_Toc337558841"/>
      <w:r>
        <w:rPr>
          <w:rFonts w:hint="eastAsia" w:ascii="华文中宋" w:hAnsi="华文中宋" w:eastAsia="华文中宋" w:cs="华文中宋"/>
          <w:b w:val="0"/>
          <w:color w:val="auto"/>
          <w:sz w:val="24"/>
          <w:szCs w:val="24"/>
        </w:rPr>
        <w:t>20.1和解</w:t>
      </w:r>
      <w:bookmarkEnd w:id="533"/>
    </w:p>
    <w:bookmarkEnd w:id="534"/>
    <w:bookmarkEnd w:id="535"/>
    <w:bookmarkEnd w:id="536"/>
    <w:p w14:paraId="5636635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合同当事人可以就争议自行和解，自行和解达成协议的经双方签字并盖章后作为合同补充文件，双方均应遵照执行。</w:t>
      </w:r>
    </w:p>
    <w:p w14:paraId="44F80BA0">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37" w:name="_Toc375060846"/>
      <w:r>
        <w:rPr>
          <w:rFonts w:hint="eastAsia" w:ascii="华文中宋" w:hAnsi="华文中宋" w:eastAsia="华文中宋" w:cs="华文中宋"/>
          <w:b w:val="0"/>
          <w:color w:val="auto"/>
          <w:sz w:val="24"/>
          <w:szCs w:val="24"/>
        </w:rPr>
        <w:t>20</w:t>
      </w:r>
      <w:bookmarkStart w:id="538" w:name="_Toc296503148"/>
      <w:bookmarkStart w:id="539" w:name="_Toc296346649"/>
      <w:bookmarkStart w:id="540" w:name="_Toc337558842"/>
      <w:r>
        <w:rPr>
          <w:rFonts w:hint="eastAsia" w:ascii="华文中宋" w:hAnsi="华文中宋" w:eastAsia="华文中宋" w:cs="华文中宋"/>
          <w:b w:val="0"/>
          <w:color w:val="auto"/>
          <w:sz w:val="24"/>
          <w:szCs w:val="24"/>
        </w:rPr>
        <w:t>.2调解</w:t>
      </w:r>
      <w:bookmarkEnd w:id="537"/>
    </w:p>
    <w:bookmarkEnd w:id="538"/>
    <w:bookmarkEnd w:id="539"/>
    <w:bookmarkEnd w:id="540"/>
    <w:p w14:paraId="644461F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合同当事人可以就争议请求建设行政主管部门、行业协会或其他第三方进行调解，调解达成协议的，经双方签字并盖章后作为合同补充文件，双方均应遵照执行。</w:t>
      </w:r>
    </w:p>
    <w:p w14:paraId="6D1094AC">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41" w:name="_Toc375060847"/>
      <w:bookmarkStart w:id="542" w:name="_Toc296503149"/>
      <w:bookmarkStart w:id="543" w:name="_Toc337558843"/>
      <w:bookmarkStart w:id="544" w:name="_Toc296346650"/>
      <w:r>
        <w:rPr>
          <w:rFonts w:hint="eastAsia" w:ascii="华文中宋" w:hAnsi="华文中宋" w:eastAsia="华文中宋" w:cs="华文中宋"/>
          <w:b w:val="0"/>
          <w:color w:val="auto"/>
          <w:sz w:val="24"/>
          <w:szCs w:val="24"/>
        </w:rPr>
        <w:t>20.3争议评审</w:t>
      </w:r>
      <w:bookmarkEnd w:id="541"/>
    </w:p>
    <w:bookmarkEnd w:id="542"/>
    <w:bookmarkEnd w:id="543"/>
    <w:bookmarkEnd w:id="544"/>
    <w:p w14:paraId="49D6D59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合同当事人在专用合同条款中约定采取争议评审方式解决争议以及评审规则，并按下列约定执行： </w:t>
      </w:r>
    </w:p>
    <w:p w14:paraId="050919CB">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20.3.1 争议评审小组的确定</w:t>
      </w:r>
    </w:p>
    <w:p w14:paraId="331EC205">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52DDE59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6445AD2">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除专用合同条款另有约定外，评审员报酬由发包人和承包人各承担一半。</w:t>
      </w:r>
    </w:p>
    <w:p w14:paraId="2C854CA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20.3.2 争议评审小组的决定</w:t>
      </w:r>
    </w:p>
    <w:p w14:paraId="3AB15546">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1DA7AB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20.3.3 争议评审小组决定的效力</w:t>
      </w:r>
    </w:p>
    <w:p w14:paraId="31CA6E9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争议评审小组作出的书面决定经合同当事人签字确认后，对双方具有约束力，双方应遵照执行。</w:t>
      </w:r>
    </w:p>
    <w:p w14:paraId="08432E0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任何一方当事人不接受争议评审小组决定或不履行争议评审小组决定的，双方可选择采用其他争议解决方式。</w:t>
      </w:r>
    </w:p>
    <w:p w14:paraId="101A1962">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45" w:name="_Toc375060848"/>
      <w:bookmarkStart w:id="546" w:name="_Toc296346651"/>
      <w:bookmarkStart w:id="547" w:name="_Toc337558844"/>
      <w:bookmarkStart w:id="548" w:name="_Toc296503150"/>
      <w:r>
        <w:rPr>
          <w:rFonts w:hint="eastAsia" w:ascii="华文中宋" w:hAnsi="华文中宋" w:eastAsia="华文中宋" w:cs="华文中宋"/>
          <w:b w:val="0"/>
          <w:color w:val="auto"/>
          <w:sz w:val="24"/>
          <w:szCs w:val="24"/>
        </w:rPr>
        <w:t>20.4仲裁或诉讼</w:t>
      </w:r>
      <w:bookmarkEnd w:id="545"/>
    </w:p>
    <w:bookmarkEnd w:id="546"/>
    <w:bookmarkEnd w:id="547"/>
    <w:bookmarkEnd w:id="548"/>
    <w:p w14:paraId="6089545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因合同及合同有关事项产生的争议，合同当事人可以在专用合同条款中约定以下一种方式解决争议：</w:t>
      </w:r>
    </w:p>
    <w:p w14:paraId="1A78140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（1）向约定的仲裁委员会申请仲裁；</w:t>
      </w:r>
    </w:p>
    <w:p w14:paraId="5109E089">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（2）向有管辖权的人民法院起诉。</w:t>
      </w:r>
    </w:p>
    <w:p w14:paraId="52AC0B47">
      <w:pPr>
        <w:pStyle w:val="6"/>
        <w:pageBreakBefore w:val="0"/>
        <w:kinsoku/>
        <w:wordWrap/>
        <w:overflowPunct/>
        <w:topLinePunct w:val="0"/>
        <w:bidi w:val="0"/>
        <w:snapToGrid/>
        <w:spacing w:before="0" w:after="0" w:line="360" w:lineRule="auto"/>
        <w:ind w:firstLine="480" w:firstLineChars="200"/>
        <w:rPr>
          <w:rFonts w:hint="eastAsia" w:ascii="华文中宋" w:hAnsi="华文中宋" w:eastAsia="华文中宋" w:cs="华文中宋"/>
          <w:b w:val="0"/>
          <w:color w:val="auto"/>
          <w:sz w:val="24"/>
          <w:szCs w:val="24"/>
        </w:rPr>
      </w:pPr>
      <w:bookmarkStart w:id="549" w:name="_Toc375060849"/>
      <w:bookmarkStart w:id="550" w:name="_Toc337558845"/>
      <w:bookmarkStart w:id="551" w:name="_Toc296346653"/>
      <w:bookmarkStart w:id="552" w:name="_Toc296503152"/>
      <w:r>
        <w:rPr>
          <w:rFonts w:hint="eastAsia" w:ascii="华文中宋" w:hAnsi="华文中宋" w:eastAsia="华文中宋" w:cs="华文中宋"/>
          <w:b w:val="0"/>
          <w:color w:val="auto"/>
          <w:sz w:val="24"/>
          <w:szCs w:val="24"/>
        </w:rPr>
        <w:t>20.5争议解决条款效力</w:t>
      </w:r>
      <w:bookmarkEnd w:id="549"/>
    </w:p>
    <w:bookmarkEnd w:id="550"/>
    <w:bookmarkEnd w:id="551"/>
    <w:bookmarkEnd w:id="552"/>
    <w:p w14:paraId="48934BD8">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合同有关争议解决的条款独立存在，合同的变更、解除、终止、无效或者被撤销均不影响其效力。 </w:t>
      </w:r>
    </w:p>
    <w:p w14:paraId="2C119D27">
      <w:pPr>
        <w:pStyle w:val="4"/>
        <w:pageBreakBefore w:val="0"/>
        <w:kinsoku/>
        <w:wordWrap/>
        <w:overflowPunct/>
        <w:topLinePunct w:val="0"/>
        <w:bidi w:val="0"/>
        <w:snapToGrid/>
        <w:spacing w:before="0" w:after="0" w:line="360" w:lineRule="auto"/>
        <w:jc w:val="center"/>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br w:type="page"/>
      </w:r>
      <w:bookmarkStart w:id="553" w:name="_Toc375060850"/>
      <w:bookmarkStart w:id="554" w:name="_Toc17385"/>
      <w:bookmarkStart w:id="555" w:name="_Toc1371"/>
      <w:bookmarkStart w:id="556" w:name="_Toc375060650"/>
      <w:r>
        <w:rPr>
          <w:rFonts w:hint="eastAsia" w:ascii="华文中宋" w:hAnsi="华文中宋" w:eastAsia="华文中宋" w:cs="华文中宋"/>
          <w:b w:val="0"/>
          <w:color w:val="auto"/>
          <w:sz w:val="24"/>
          <w:szCs w:val="24"/>
        </w:rPr>
        <w:t>第三部分 专用合同条款</w:t>
      </w:r>
      <w:bookmarkEnd w:id="553"/>
      <w:bookmarkEnd w:id="554"/>
      <w:bookmarkEnd w:id="555"/>
      <w:bookmarkEnd w:id="556"/>
    </w:p>
    <w:p w14:paraId="085DD3F3">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557" w:name="_Toc375060851"/>
      <w:r>
        <w:rPr>
          <w:rFonts w:hint="eastAsia" w:ascii="华文中宋" w:hAnsi="华文中宋" w:eastAsia="华文中宋" w:cs="华文中宋"/>
          <w:b w:val="0"/>
          <w:color w:val="auto"/>
          <w:sz w:val="24"/>
          <w:szCs w:val="24"/>
        </w:rPr>
        <w:t>1</w:t>
      </w:r>
      <w:bookmarkStart w:id="558" w:name="_Toc296503156"/>
      <w:bookmarkStart w:id="559" w:name="_Toc296944495"/>
      <w:bookmarkStart w:id="560" w:name="_Toc292559361"/>
      <w:bookmarkStart w:id="561" w:name="_Toc296347155"/>
      <w:bookmarkStart w:id="562" w:name="_Toc296890984"/>
      <w:bookmarkStart w:id="563" w:name="_Toc296891196"/>
      <w:bookmarkStart w:id="564" w:name="_Toc296346657"/>
      <w:bookmarkStart w:id="565" w:name="_Toc297120456"/>
      <w:bookmarkStart w:id="566" w:name="_Toc297048342"/>
      <w:bookmarkStart w:id="567" w:name="_Toc292559866"/>
      <w:r>
        <w:rPr>
          <w:rFonts w:hint="eastAsia" w:ascii="华文中宋" w:hAnsi="华文中宋" w:eastAsia="华文中宋" w:cs="华文中宋"/>
          <w:b w:val="0"/>
          <w:color w:val="auto"/>
          <w:sz w:val="24"/>
          <w:szCs w:val="24"/>
        </w:rPr>
        <w:t>. 一般约定</w:t>
      </w:r>
      <w:bookmarkEnd w:id="557"/>
    </w:p>
    <w:bookmarkEnd w:id="558"/>
    <w:bookmarkEnd w:id="559"/>
    <w:bookmarkEnd w:id="560"/>
    <w:bookmarkEnd w:id="561"/>
    <w:bookmarkEnd w:id="562"/>
    <w:bookmarkEnd w:id="563"/>
    <w:bookmarkEnd w:id="564"/>
    <w:bookmarkEnd w:id="565"/>
    <w:bookmarkEnd w:id="566"/>
    <w:bookmarkEnd w:id="567"/>
    <w:p w14:paraId="2C51C3A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 词语定义</w:t>
      </w:r>
    </w:p>
    <w:p w14:paraId="63EC894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1.1.1合同</w:t>
      </w:r>
    </w:p>
    <w:p w14:paraId="242747F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1.1.1.10其他合同文件包括：</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lang w:val="en-US" w:eastAsia="zh-CN"/>
        </w:rPr>
        <w:t xml:space="preserve"> </w:t>
      </w:r>
      <w:r>
        <w:rPr>
          <w:rFonts w:hint="eastAsia" w:ascii="华文中宋" w:hAnsi="华文中宋" w:eastAsia="华文中宋" w:cs="华文中宋"/>
          <w:color w:val="auto"/>
          <w:sz w:val="24"/>
          <w:szCs w:val="24"/>
        </w:rPr>
        <w:t>。</w:t>
      </w:r>
    </w:p>
    <w:p w14:paraId="141BB42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1.1.2 合同当事人及其他相关方</w:t>
      </w:r>
    </w:p>
    <w:p w14:paraId="0A550E3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1.1.2.4监理人：</w:t>
      </w:r>
    </w:p>
    <w:p w14:paraId="3CD6E71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名    称：</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rPr>
        <w:t>；</w:t>
      </w:r>
    </w:p>
    <w:p w14:paraId="5540870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资质类别和等级：</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1135E8D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联系电话：</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kern w:val="0"/>
          <w:sz w:val="24"/>
          <w:szCs w:val="24"/>
          <w:u w:val="single"/>
        </w:rPr>
        <w:t xml:space="preserve"> </w:t>
      </w:r>
      <w:r>
        <w:rPr>
          <w:rFonts w:hint="eastAsia" w:ascii="华文中宋" w:hAnsi="华文中宋" w:eastAsia="华文中宋" w:cs="华文中宋"/>
          <w:b/>
          <w:bCs/>
          <w:color w:val="auto"/>
          <w:sz w:val="24"/>
          <w:szCs w:val="24"/>
        </w:rPr>
        <w:t>；</w:t>
      </w:r>
    </w:p>
    <w:p w14:paraId="7002657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kern w:val="0"/>
          <w:sz w:val="24"/>
          <w:szCs w:val="24"/>
          <w:u w:val="single"/>
        </w:rPr>
      </w:pPr>
      <w:r>
        <w:rPr>
          <w:rFonts w:hint="eastAsia" w:ascii="华文中宋" w:hAnsi="华文中宋" w:eastAsia="华文中宋" w:cs="华文中宋"/>
          <w:color w:val="auto"/>
          <w:sz w:val="24"/>
          <w:szCs w:val="24"/>
        </w:rPr>
        <w:t>电子信箱：</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kern w:val="0"/>
          <w:sz w:val="24"/>
          <w:szCs w:val="24"/>
        </w:rPr>
        <w:t>；</w:t>
      </w:r>
    </w:p>
    <w:p w14:paraId="41260996">
      <w:pPr>
        <w:pageBreakBefore w:val="0"/>
        <w:kinsoku/>
        <w:wordWrap/>
        <w:overflowPunct/>
        <w:topLinePunct w:val="0"/>
        <w:bidi w:val="0"/>
        <w:snapToGrid/>
        <w:spacing w:line="360" w:lineRule="auto"/>
        <w:ind w:left="1759" w:leftChars="266" w:hanging="1200" w:hangingChars="500"/>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通信地址：</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p>
    <w:p w14:paraId="187CFAC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1.1.2.5 设计人：</w:t>
      </w:r>
    </w:p>
    <w:p w14:paraId="2E55E1C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名    称：</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68062A4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资质类别和等级：</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bCs/>
          <w:color w:val="auto"/>
          <w:sz w:val="24"/>
          <w:szCs w:val="24"/>
        </w:rPr>
        <w:t>；</w:t>
      </w:r>
    </w:p>
    <w:p w14:paraId="0562230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联系电话：</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Cs/>
          <w:color w:val="auto"/>
          <w:sz w:val="24"/>
          <w:szCs w:val="24"/>
          <w:u w:val="single"/>
        </w:rPr>
        <w:t xml:space="preserve"> </w:t>
      </w:r>
      <w:r>
        <w:rPr>
          <w:rFonts w:hint="eastAsia" w:ascii="华文中宋" w:hAnsi="华文中宋" w:eastAsia="华文中宋" w:cs="华文中宋"/>
          <w:bCs/>
          <w:color w:val="auto"/>
          <w:sz w:val="24"/>
          <w:szCs w:val="24"/>
        </w:rPr>
        <w:t>；</w:t>
      </w:r>
    </w:p>
    <w:p w14:paraId="5F62B665">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电子信箱：</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w:t>
      </w:r>
    </w:p>
    <w:p w14:paraId="543CC6B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通信地址：</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w:t>
      </w:r>
    </w:p>
    <w:p w14:paraId="4F4661C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1.1.3 工程和设备</w:t>
      </w:r>
    </w:p>
    <w:p w14:paraId="411BAE75">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 xml:space="preserve">1.1.3.7 </w:t>
      </w:r>
      <w:r>
        <w:rPr>
          <w:rFonts w:hint="eastAsia" w:ascii="华文中宋" w:hAnsi="华文中宋" w:eastAsia="华文中宋" w:cs="华文中宋"/>
          <w:color w:val="auto"/>
          <w:kern w:val="0"/>
          <w:sz w:val="24"/>
          <w:szCs w:val="24"/>
        </w:rPr>
        <w:t>作为施工现场组成部分的其他场所包括</w:t>
      </w:r>
      <w:r>
        <w:rPr>
          <w:rFonts w:hint="eastAsia" w:ascii="华文中宋" w:hAnsi="华文中宋" w:eastAsia="华文中宋" w:cs="华文中宋"/>
          <w:color w:val="auto"/>
          <w:sz w:val="24"/>
          <w:szCs w:val="24"/>
        </w:rPr>
        <w:t>：</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Cs/>
          <w:color w:val="auto"/>
          <w:sz w:val="24"/>
          <w:szCs w:val="24"/>
        </w:rPr>
        <w:t>。</w:t>
      </w:r>
    </w:p>
    <w:p w14:paraId="5624D93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1.1.3.9 </w:t>
      </w:r>
      <w:r>
        <w:rPr>
          <w:rFonts w:hint="eastAsia" w:ascii="华文中宋" w:hAnsi="华文中宋" w:eastAsia="华文中宋" w:cs="华文中宋"/>
          <w:color w:val="auto"/>
          <w:sz w:val="24"/>
          <w:szCs w:val="24"/>
        </w:rPr>
        <w:t>永久占地包括</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4F4A342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 xml:space="preserve">1.1.3.10 </w:t>
      </w:r>
      <w:r>
        <w:rPr>
          <w:rFonts w:hint="eastAsia" w:ascii="华文中宋" w:hAnsi="华文中宋" w:eastAsia="华文中宋" w:cs="华文中宋"/>
          <w:color w:val="auto"/>
          <w:sz w:val="24"/>
          <w:szCs w:val="24"/>
        </w:rPr>
        <w:t>临时占地包括</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3A7C802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1.3法律 </w:t>
      </w:r>
    </w:p>
    <w:p w14:paraId="579A72E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适用于合同的其他规范性文件：</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7EECCD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 标准和规范</w:t>
      </w:r>
    </w:p>
    <w:p w14:paraId="771F542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1.4.1适用于工程的标准规范包括：</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C90843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1.4.2 </w:t>
      </w:r>
      <w:r>
        <w:rPr>
          <w:rFonts w:hint="eastAsia" w:ascii="华文中宋" w:hAnsi="华文中宋" w:eastAsia="华文中宋" w:cs="华文中宋"/>
          <w:color w:val="auto"/>
          <w:sz w:val="24"/>
          <w:szCs w:val="24"/>
        </w:rPr>
        <w:t>发包人提供国外标准</w:t>
      </w:r>
      <w:r>
        <w:rPr>
          <w:rFonts w:hint="eastAsia" w:ascii="华文中宋" w:hAnsi="华文中宋" w:eastAsia="华文中宋" w:cs="华文中宋"/>
          <w:color w:val="auto"/>
          <w:kern w:val="0"/>
          <w:sz w:val="24"/>
          <w:szCs w:val="24"/>
        </w:rPr>
        <w:t>、规范的名称：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kern w:val="0"/>
          <w:sz w:val="24"/>
          <w:szCs w:val="24"/>
        </w:rPr>
        <w:t>；</w:t>
      </w:r>
    </w:p>
    <w:p w14:paraId="423C9BF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发包人提供国外标准</w:t>
      </w:r>
      <w:r>
        <w:rPr>
          <w:rFonts w:hint="eastAsia" w:ascii="华文中宋" w:hAnsi="华文中宋" w:eastAsia="华文中宋" w:cs="华文中宋"/>
          <w:color w:val="auto"/>
          <w:kern w:val="0"/>
          <w:sz w:val="24"/>
          <w:szCs w:val="24"/>
        </w:rPr>
        <w:t>、规范的份数：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kern w:val="0"/>
          <w:sz w:val="24"/>
          <w:szCs w:val="24"/>
        </w:rPr>
        <w:t>；</w:t>
      </w:r>
    </w:p>
    <w:p w14:paraId="55F518A5">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发包人提供国外标准</w:t>
      </w:r>
      <w:r>
        <w:rPr>
          <w:rFonts w:hint="eastAsia" w:ascii="华文中宋" w:hAnsi="华文中宋" w:eastAsia="华文中宋" w:cs="华文中宋"/>
          <w:color w:val="auto"/>
          <w:kern w:val="0"/>
          <w:sz w:val="24"/>
          <w:szCs w:val="24"/>
        </w:rPr>
        <w:t>、规范的名称：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kern w:val="0"/>
          <w:sz w:val="24"/>
          <w:szCs w:val="24"/>
        </w:rPr>
        <w:t>。</w:t>
      </w:r>
    </w:p>
    <w:p w14:paraId="1DCB1FD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1.4.3发包人对工程的技术标准和功能要求的特殊要求：</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2437AD8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 合同文件的优先顺序</w:t>
      </w:r>
    </w:p>
    <w:p w14:paraId="22A968A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合同文件组成及优先顺序为：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6B3573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 图纸和承包人文件</w:t>
      </w:r>
    </w:p>
    <w:p w14:paraId="4C76BC7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1.6.1 图纸的提供</w:t>
      </w:r>
    </w:p>
    <w:p w14:paraId="6660551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发包人向承包人提供图纸的期限：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4A8149D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发包人向承包人提供图纸的数量：</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5EA5D7A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发包人向承包人提供图纸的内容：</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Cs/>
          <w:color w:val="auto"/>
          <w:sz w:val="24"/>
          <w:szCs w:val="24"/>
        </w:rPr>
        <w:t>。</w:t>
      </w:r>
    </w:p>
    <w:p w14:paraId="23B422A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1.6.4 承包人文件</w:t>
      </w:r>
    </w:p>
    <w:p w14:paraId="0C85F4F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需要由承包人提供的文件，包括：</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Cs/>
          <w:color w:val="auto"/>
          <w:sz w:val="24"/>
          <w:szCs w:val="24"/>
        </w:rPr>
        <w:t>；</w:t>
      </w:r>
    </w:p>
    <w:p w14:paraId="49EA381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承包人提供的文件的期限为：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6450B6F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承包人提供的文件的数量为：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DC8641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承包人提供的文件的形式为：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749360D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发包人审批承包人文件的期限：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A9B40B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1.6.5 </w:t>
      </w:r>
      <w:r>
        <w:rPr>
          <w:rFonts w:hint="eastAsia" w:ascii="华文中宋" w:hAnsi="华文中宋" w:eastAsia="华文中宋" w:cs="华文中宋"/>
          <w:color w:val="auto"/>
          <w:kern w:val="0"/>
          <w:sz w:val="24"/>
          <w:szCs w:val="24"/>
        </w:rPr>
        <w:t>现场图纸准备</w:t>
      </w:r>
    </w:p>
    <w:p w14:paraId="3832D0C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关于现场图纸准备的约定</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6D9B81A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1.7 联络</w:t>
      </w:r>
    </w:p>
    <w:p w14:paraId="7306401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1.7.1发包人和承包人应当在</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天内将与合同有关的通知、批准、证明、证书、指示、指令、</w:t>
      </w:r>
      <w:r>
        <w:rPr>
          <w:rFonts w:hint="eastAsia" w:ascii="华文中宋" w:hAnsi="华文中宋" w:eastAsia="华文中宋" w:cs="华文中宋"/>
          <w:color w:val="auto"/>
          <w:sz w:val="24"/>
          <w:szCs w:val="24"/>
        </w:rPr>
        <w:t>要求</w:t>
      </w:r>
      <w:r>
        <w:rPr>
          <w:rFonts w:hint="eastAsia" w:ascii="华文中宋" w:hAnsi="华文中宋" w:eastAsia="华文中宋" w:cs="华文中宋"/>
          <w:color w:val="auto"/>
          <w:kern w:val="0"/>
          <w:sz w:val="24"/>
          <w:szCs w:val="24"/>
        </w:rPr>
        <w:t>、请求、同意、意见、确定和决定等书面函件送达对方当事人。</w:t>
      </w:r>
    </w:p>
    <w:p w14:paraId="4342D3C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1.7.2</w:t>
      </w:r>
      <w:r>
        <w:rPr>
          <w:rFonts w:hint="eastAsia" w:ascii="华文中宋" w:hAnsi="华文中宋" w:eastAsia="华文中宋" w:cs="华文中宋"/>
          <w:color w:val="auto"/>
          <w:sz w:val="24"/>
          <w:szCs w:val="24"/>
        </w:rPr>
        <w:t>发包人接收文件的地点</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21CBE26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发包人指定的接收人为</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kern w:val="0"/>
          <w:sz w:val="24"/>
          <w:szCs w:val="24"/>
        </w:rPr>
        <w:t>。</w:t>
      </w:r>
    </w:p>
    <w:p w14:paraId="0264701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承包人接收文件的地点</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3E997B3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承包</w:t>
      </w:r>
      <w:r>
        <w:rPr>
          <w:rFonts w:hint="eastAsia" w:ascii="华文中宋" w:hAnsi="华文中宋" w:eastAsia="华文中宋" w:cs="华文中宋"/>
          <w:color w:val="auto"/>
          <w:sz w:val="24"/>
          <w:szCs w:val="24"/>
        </w:rPr>
        <w:t>人指定的接收人为：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4202F9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监理</w:t>
      </w:r>
      <w:r>
        <w:rPr>
          <w:rFonts w:hint="eastAsia" w:ascii="华文中宋" w:hAnsi="华文中宋" w:eastAsia="华文中宋" w:cs="华文中宋"/>
          <w:color w:val="auto"/>
          <w:kern w:val="0"/>
          <w:sz w:val="24"/>
          <w:szCs w:val="24"/>
        </w:rPr>
        <w:t>人接收文件的地点：</w:t>
      </w:r>
      <w:r>
        <w:rPr>
          <w:rFonts w:hint="eastAsia" w:ascii="华文中宋" w:hAnsi="华文中宋" w:eastAsia="华文中宋" w:cs="华文中宋"/>
          <w:color w:val="auto"/>
          <w:kern w:val="0"/>
          <w:sz w:val="24"/>
          <w:szCs w:val="24"/>
          <w:lang w:val="en-US" w:eastAsia="zh-CN"/>
        </w:rPr>
        <w:t xml:space="preserve"> </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2AFB59C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监理人指定的接收人为</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6A12F4D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bookmarkStart w:id="568" w:name="_Toc375060651"/>
      <w:bookmarkStart w:id="569" w:name="_Toc375060852"/>
      <w:r>
        <w:rPr>
          <w:rFonts w:hint="eastAsia" w:ascii="华文中宋" w:hAnsi="华文中宋" w:eastAsia="华文中宋" w:cs="华文中宋"/>
          <w:color w:val="auto"/>
          <w:sz w:val="24"/>
          <w:szCs w:val="24"/>
        </w:rPr>
        <w:t>1.10 交通运输</w:t>
      </w:r>
      <w:bookmarkEnd w:id="568"/>
      <w:bookmarkEnd w:id="569"/>
    </w:p>
    <w:p w14:paraId="2707428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bookmarkStart w:id="570" w:name="_Toc300934943"/>
      <w:bookmarkStart w:id="571" w:name="_Toc318581155"/>
      <w:bookmarkStart w:id="572" w:name="_Toc303539100"/>
      <w:bookmarkStart w:id="573" w:name="_Toc304295521"/>
      <w:bookmarkStart w:id="574" w:name="_Toc312677986"/>
      <w:r>
        <w:rPr>
          <w:rFonts w:hint="eastAsia" w:ascii="华文中宋" w:hAnsi="华文中宋" w:eastAsia="华文中宋" w:cs="华文中宋"/>
          <w:color w:val="auto"/>
          <w:sz w:val="24"/>
          <w:szCs w:val="24"/>
        </w:rPr>
        <w:t>.10.1 出入现场的权利</w:t>
      </w:r>
    </w:p>
    <w:p w14:paraId="3AD5604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关于出入现场的权利的约定：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bCs/>
          <w:color w:val="auto"/>
          <w:sz w:val="24"/>
          <w:szCs w:val="24"/>
        </w:rPr>
        <w:t>。</w:t>
      </w:r>
    </w:p>
    <w:bookmarkEnd w:id="570"/>
    <w:bookmarkEnd w:id="571"/>
    <w:bookmarkEnd w:id="572"/>
    <w:bookmarkEnd w:id="573"/>
    <w:bookmarkEnd w:id="574"/>
    <w:p w14:paraId="4213A77C">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bookmarkStart w:id="575" w:name="_Toc312677987"/>
      <w:bookmarkStart w:id="576" w:name="_Toc300934944"/>
      <w:bookmarkStart w:id="577" w:name="_Toc318581156"/>
      <w:bookmarkStart w:id="578" w:name="_Toc303539101"/>
      <w:bookmarkStart w:id="579" w:name="_Toc304295522"/>
      <w:r>
        <w:rPr>
          <w:rFonts w:hint="eastAsia" w:ascii="华文中宋" w:hAnsi="华文中宋" w:eastAsia="华文中宋" w:cs="华文中宋"/>
          <w:color w:val="auto"/>
          <w:sz w:val="24"/>
          <w:szCs w:val="24"/>
        </w:rPr>
        <w:t>.10.3 场内交通</w:t>
      </w:r>
    </w:p>
    <w:p w14:paraId="2DF1809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关于场外交通和场内交通的边界的约定</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bCs/>
          <w:color w:val="auto"/>
          <w:sz w:val="24"/>
          <w:szCs w:val="24"/>
        </w:rPr>
        <w:t>。</w:t>
      </w:r>
    </w:p>
    <w:p w14:paraId="50064F9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关于发包人向承包人免费提供满足工程施工需要的场内道路和交通设施的约定：</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bookmarkEnd w:id="575"/>
      <w:bookmarkEnd w:id="576"/>
      <w:bookmarkEnd w:id="577"/>
      <w:bookmarkEnd w:id="578"/>
      <w:bookmarkEnd w:id="579"/>
      <w:bookmarkStart w:id="580" w:name="_Toc318581157"/>
    </w:p>
    <w:p w14:paraId="11E7E7C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1.10.4超大件和超重件的运输</w:t>
      </w:r>
    </w:p>
    <w:p w14:paraId="756F020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运输超大件或超重件所需的道路和桥梁临时加固改造费用和其他有关费用</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bookmarkEnd w:id="580"/>
    <w:p w14:paraId="6E067FD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bookmarkStart w:id="581" w:name="_Toc375060853"/>
      <w:bookmarkStart w:id="582" w:name="_Toc375060652"/>
      <w:r>
        <w:rPr>
          <w:rFonts w:hint="eastAsia" w:ascii="华文中宋" w:hAnsi="华文中宋" w:eastAsia="华文中宋" w:cs="华文中宋"/>
          <w:color w:val="auto"/>
          <w:sz w:val="24"/>
          <w:szCs w:val="24"/>
        </w:rPr>
        <w:t>1.11 知识产权</w:t>
      </w:r>
      <w:bookmarkEnd w:id="581"/>
      <w:bookmarkEnd w:id="582"/>
    </w:p>
    <w:p w14:paraId="3CF8D29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4005D9D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关于发包人提供的上述文件的使用限制的要求：</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1E8F76D">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1.11.2 关于承包人为实施工程所编制文件的著作权的归属：</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7CE6955C">
      <w:pPr>
        <w:pageBreakBefore w:val="0"/>
        <w:kinsoku/>
        <w:wordWrap/>
        <w:overflowPunct/>
        <w:topLinePunct w:val="0"/>
        <w:bidi w:val="0"/>
        <w:snapToGrid/>
        <w:spacing w:line="360" w:lineRule="auto"/>
        <w:ind w:firstLine="516" w:firstLineChars="215"/>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关于承包人提供的上述文件的使用限制的要求：</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9EA663E">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1.11.4 承包人在施工过程中所采用的专利、专有技术、技术秘密的使用费的承担方式：</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kern w:val="0"/>
          <w:sz w:val="24"/>
          <w:szCs w:val="24"/>
        </w:rPr>
        <w:t>。</w:t>
      </w:r>
    </w:p>
    <w:p w14:paraId="57CA90BE">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1.13工程量清单错误的修正</w:t>
      </w:r>
    </w:p>
    <w:p w14:paraId="11EDB00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出现工程量清单错误时，是否调整合同价格：</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1C693F2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允许调整合同价格的工程量偏差范围：</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rPr>
        <w:t>。</w:t>
      </w:r>
    </w:p>
    <w:p w14:paraId="29F6A953">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583" w:name="_Toc375060854"/>
      <w:r>
        <w:rPr>
          <w:rFonts w:hint="eastAsia" w:ascii="华文中宋" w:hAnsi="华文中宋" w:eastAsia="华文中宋" w:cs="华文中宋"/>
          <w:b w:val="0"/>
          <w:color w:val="auto"/>
          <w:sz w:val="24"/>
          <w:szCs w:val="24"/>
        </w:rPr>
        <w:t>2</w:t>
      </w:r>
      <w:bookmarkStart w:id="584" w:name="_Toc296890985"/>
      <w:bookmarkStart w:id="585" w:name="_Toc296944496"/>
      <w:bookmarkStart w:id="586" w:name="_Toc297120457"/>
      <w:bookmarkStart w:id="587" w:name="_Toc297048343"/>
      <w:bookmarkStart w:id="588" w:name="_Toc292559867"/>
      <w:bookmarkStart w:id="589" w:name="_Toc296503157"/>
      <w:bookmarkStart w:id="590" w:name="_Toc292559362"/>
      <w:bookmarkStart w:id="591" w:name="_Toc296891197"/>
      <w:bookmarkStart w:id="592" w:name="_Toc296346658"/>
      <w:bookmarkStart w:id="593" w:name="_Toc296347156"/>
      <w:r>
        <w:rPr>
          <w:rFonts w:hint="eastAsia" w:ascii="华文中宋" w:hAnsi="华文中宋" w:eastAsia="华文中宋" w:cs="华文中宋"/>
          <w:b w:val="0"/>
          <w:color w:val="auto"/>
          <w:sz w:val="24"/>
          <w:szCs w:val="24"/>
        </w:rPr>
        <w:t>. 发包人</w:t>
      </w:r>
      <w:bookmarkEnd w:id="583"/>
    </w:p>
    <w:bookmarkEnd w:id="584"/>
    <w:bookmarkEnd w:id="585"/>
    <w:bookmarkEnd w:id="586"/>
    <w:bookmarkEnd w:id="587"/>
    <w:bookmarkEnd w:id="588"/>
    <w:bookmarkEnd w:id="589"/>
    <w:bookmarkEnd w:id="590"/>
    <w:bookmarkEnd w:id="591"/>
    <w:bookmarkEnd w:id="592"/>
    <w:bookmarkEnd w:id="593"/>
    <w:p w14:paraId="4334CB7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 发包人代表</w:t>
      </w:r>
    </w:p>
    <w:p w14:paraId="0775294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发包人代表：</w:t>
      </w:r>
    </w:p>
    <w:p w14:paraId="7300489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姓    名：</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rPr>
        <w:t>；</w:t>
      </w:r>
    </w:p>
    <w:p w14:paraId="4A54086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身份证号：</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rPr>
        <w:t>；</w:t>
      </w:r>
    </w:p>
    <w:p w14:paraId="2F5599A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职    务：</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rPr>
        <w:t>；</w:t>
      </w:r>
    </w:p>
    <w:p w14:paraId="7588442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联系电话：</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rPr>
        <w:t>；</w:t>
      </w:r>
    </w:p>
    <w:p w14:paraId="6C42EEA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电子信箱：</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w:t>
      </w:r>
    </w:p>
    <w:p w14:paraId="79D29C8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通信地址：</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rPr>
        <w:t>。</w:t>
      </w:r>
    </w:p>
    <w:p w14:paraId="09B6978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发包人对发包人代表的授权范围如下：</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DC3183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 施工现场、施工条件和基础资料的提供</w:t>
      </w:r>
    </w:p>
    <w:p w14:paraId="768E4EE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2.4.1 提供施工现场</w:t>
      </w:r>
    </w:p>
    <w:p w14:paraId="3B13737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关于发包人移交施工现场的期限要求：</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0A94D1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2.4.2 提供施工条件</w:t>
      </w:r>
    </w:p>
    <w:p w14:paraId="3DE2E53D">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关于发包人应负责提供施工所需要的条件，包括：</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74C02E9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2.5 资金来源证明及支付担保</w:t>
      </w:r>
    </w:p>
    <w:p w14:paraId="249579F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发包人提供资金来源证明的期限要求：</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49DE24C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发包人是否提供支付担保：</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3D21396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发包人提供支付担保的形式：</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722E0F2F">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594" w:name="_Toc375060855"/>
      <w:r>
        <w:rPr>
          <w:rFonts w:hint="eastAsia" w:ascii="华文中宋" w:hAnsi="华文中宋" w:eastAsia="华文中宋" w:cs="华文中宋"/>
          <w:b w:val="0"/>
          <w:color w:val="auto"/>
          <w:sz w:val="24"/>
          <w:szCs w:val="24"/>
        </w:rPr>
        <w:t>3</w:t>
      </w:r>
      <w:bookmarkStart w:id="595" w:name="_Toc297048344"/>
      <w:bookmarkStart w:id="596" w:name="_Toc297120458"/>
      <w:bookmarkStart w:id="597" w:name="_Toc296890986"/>
      <w:bookmarkStart w:id="598" w:name="_Toc292559868"/>
      <w:bookmarkStart w:id="599" w:name="_Toc296347157"/>
      <w:bookmarkStart w:id="600" w:name="_Toc296944497"/>
      <w:bookmarkStart w:id="601" w:name="_Toc296503158"/>
      <w:bookmarkStart w:id="602" w:name="_Toc296346659"/>
      <w:bookmarkStart w:id="603" w:name="_Toc296891198"/>
      <w:bookmarkStart w:id="604" w:name="_Toc292559363"/>
      <w:r>
        <w:rPr>
          <w:rFonts w:hint="eastAsia" w:ascii="华文中宋" w:hAnsi="华文中宋" w:eastAsia="华文中宋" w:cs="华文中宋"/>
          <w:b w:val="0"/>
          <w:color w:val="auto"/>
          <w:sz w:val="24"/>
          <w:szCs w:val="24"/>
        </w:rPr>
        <w:t>. 承包人</w:t>
      </w:r>
      <w:bookmarkEnd w:id="594"/>
    </w:p>
    <w:bookmarkEnd w:id="595"/>
    <w:bookmarkEnd w:id="596"/>
    <w:bookmarkEnd w:id="597"/>
    <w:bookmarkEnd w:id="598"/>
    <w:bookmarkEnd w:id="599"/>
    <w:bookmarkEnd w:id="600"/>
    <w:bookmarkEnd w:id="601"/>
    <w:bookmarkEnd w:id="602"/>
    <w:bookmarkEnd w:id="603"/>
    <w:bookmarkEnd w:id="604"/>
    <w:p w14:paraId="36AF3DD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3.1 承包人的一般义务</w:t>
      </w:r>
    </w:p>
    <w:p w14:paraId="322CFFD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（9）承包人提交的竣工资料的内容：</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E9E1FC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承包人需要提交的竣工资料套数：</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w:t>
      </w:r>
    </w:p>
    <w:p w14:paraId="5CAE20B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承包人提交的竣工资料的费用承担：</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7B816D6D">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承包人提交的竣工资料移交时间：</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52DDD7C">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承包人提交的竣工资料形式要求：</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96457FA">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（10）</w:t>
      </w:r>
      <w:r>
        <w:rPr>
          <w:rFonts w:hint="eastAsia" w:ascii="华文中宋" w:hAnsi="华文中宋" w:eastAsia="华文中宋" w:cs="华文中宋"/>
          <w:color w:val="auto"/>
          <w:sz w:val="24"/>
          <w:szCs w:val="24"/>
        </w:rPr>
        <w:t>承包人应履行的其他义务</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lang w:val="en-US" w:eastAsia="zh-CN"/>
        </w:rPr>
        <w:t xml:space="preserve"> </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13F28E6C">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 项目经理</w:t>
      </w:r>
    </w:p>
    <w:p w14:paraId="62FDCCF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 xml:space="preserve">3.2.1 </w:t>
      </w:r>
      <w:r>
        <w:rPr>
          <w:rFonts w:hint="eastAsia" w:ascii="华文中宋" w:hAnsi="华文中宋" w:eastAsia="华文中宋" w:cs="华文中宋"/>
          <w:color w:val="auto"/>
          <w:sz w:val="24"/>
          <w:szCs w:val="24"/>
        </w:rPr>
        <w:t>项目经理：</w:t>
      </w:r>
    </w:p>
    <w:p w14:paraId="34BDD94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姓    名：</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rPr>
        <w:t>；</w:t>
      </w:r>
    </w:p>
    <w:p w14:paraId="22BEA49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身份证号：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rPr>
        <w:t>；</w:t>
      </w:r>
    </w:p>
    <w:p w14:paraId="181394A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建造师执业资格等级：</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rPr>
        <w:t>；</w:t>
      </w:r>
    </w:p>
    <w:p w14:paraId="1382605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color w:val="auto"/>
          <w:sz w:val="24"/>
          <w:szCs w:val="24"/>
          <w:u w:val="single"/>
        </w:rPr>
      </w:pPr>
      <w:r>
        <w:rPr>
          <w:rFonts w:hint="eastAsia" w:ascii="华文中宋" w:hAnsi="华文中宋" w:eastAsia="华文中宋" w:cs="华文中宋"/>
          <w:color w:val="auto"/>
          <w:sz w:val="24"/>
          <w:szCs w:val="24"/>
        </w:rPr>
        <w:t>建造师注册证书号：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w:t>
      </w:r>
    </w:p>
    <w:p w14:paraId="5389EDC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color w:val="auto"/>
          <w:sz w:val="24"/>
          <w:szCs w:val="24"/>
          <w:u w:val="single"/>
        </w:rPr>
      </w:pPr>
      <w:r>
        <w:rPr>
          <w:rFonts w:hint="eastAsia" w:ascii="华文中宋" w:hAnsi="华文中宋" w:eastAsia="华文中宋" w:cs="华文中宋"/>
          <w:color w:val="auto"/>
          <w:sz w:val="24"/>
          <w:szCs w:val="24"/>
        </w:rPr>
        <w:t>建造师执业印章号</w:t>
      </w:r>
      <w:r>
        <w:rPr>
          <w:rFonts w:hint="eastAsia" w:ascii="华文中宋" w:hAnsi="华文中宋" w:eastAsia="华文中宋" w:cs="华文中宋"/>
          <w:bCs/>
          <w:color w:val="auto"/>
          <w:sz w:val="24"/>
          <w:szCs w:val="24"/>
        </w:rPr>
        <w:t>：</w:t>
      </w:r>
      <w:r>
        <w:rPr>
          <w:rFonts w:hint="eastAsia" w:ascii="华文中宋" w:hAnsi="华文中宋" w:eastAsia="华文中宋" w:cs="华文中宋"/>
          <w:bCs/>
          <w:color w:val="auto"/>
          <w:sz w:val="24"/>
          <w:szCs w:val="24"/>
          <w:u w:val="single"/>
        </w:rPr>
        <w:t xml:space="preserve"> </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bCs/>
          <w:color w:val="auto"/>
          <w:sz w:val="24"/>
          <w:szCs w:val="24"/>
          <w:u w:val="single"/>
        </w:rPr>
        <w:t xml:space="preserve">   </w:t>
      </w:r>
      <w:r>
        <w:rPr>
          <w:rFonts w:hint="eastAsia" w:ascii="华文中宋" w:hAnsi="华文中宋" w:eastAsia="华文中宋" w:cs="华文中宋"/>
          <w:b/>
          <w:color w:val="auto"/>
          <w:sz w:val="24"/>
          <w:szCs w:val="24"/>
          <w:u w:val="single"/>
        </w:rPr>
        <w:t>；</w:t>
      </w:r>
    </w:p>
    <w:p w14:paraId="61AE3A9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安全生产考核合格证书号：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rPr>
        <w:t>；</w:t>
      </w:r>
    </w:p>
    <w:p w14:paraId="659F950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联系电话：</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5E58E1A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电子信箱：</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5EBAD80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通信地址：</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6B47808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承包人对项目经理的授权范围如下：</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680DA0C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关于项目经理每月在施工现场的时间要求</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5821EA6A">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承包人未提交劳动合同，</w:t>
      </w:r>
      <w:r>
        <w:rPr>
          <w:rFonts w:hint="eastAsia" w:ascii="华文中宋" w:hAnsi="华文中宋" w:eastAsia="华文中宋" w:cs="华文中宋"/>
          <w:color w:val="auto"/>
          <w:sz w:val="24"/>
          <w:szCs w:val="24"/>
        </w:rPr>
        <w:t>以及没有为项目经理缴纳社会保险证明的违约责任</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51B3D95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kern w:val="0"/>
          <w:sz w:val="24"/>
          <w:szCs w:val="24"/>
        </w:rPr>
        <w:t>项目经理未经批准，</w:t>
      </w:r>
      <w:r>
        <w:rPr>
          <w:rFonts w:hint="eastAsia" w:ascii="华文中宋" w:hAnsi="华文中宋" w:eastAsia="华文中宋" w:cs="华文中宋"/>
          <w:color w:val="auto"/>
          <w:sz w:val="24"/>
          <w:szCs w:val="24"/>
        </w:rPr>
        <w:t>擅自离开施工现场的违约责任</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15CF92A3">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3.2.3 承包人擅自更换项目经理的违约责任：</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6C7760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3.2.4 承包人无正当理由拒绝更换项目经理的违约责任：</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5CEFF1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3.3 承包人人员</w:t>
      </w:r>
    </w:p>
    <w:p w14:paraId="54023C2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3.3.1 承包人提交项目管理机构及施工现场管理人员安排报告的期限</w:t>
      </w:r>
      <w:r>
        <w:rPr>
          <w:rFonts w:hint="eastAsia" w:ascii="华文中宋" w:hAnsi="华文中宋" w:eastAsia="华文中宋" w:cs="华文中宋"/>
          <w:color w:val="auto"/>
          <w:sz w:val="24"/>
          <w:szCs w:val="24"/>
          <w:u w:val="single"/>
        </w:rPr>
        <w:t>：。</w:t>
      </w:r>
    </w:p>
    <w:p w14:paraId="6DFC81E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3.3.3 承包人无正当理由拒绝撤换主要施工管理人员的违约责任</w:t>
      </w:r>
      <w:r>
        <w:rPr>
          <w:rFonts w:hint="eastAsia" w:ascii="华文中宋" w:hAnsi="华文中宋" w:eastAsia="华文中宋" w:cs="华文中宋"/>
          <w:color w:val="auto"/>
          <w:sz w:val="24"/>
          <w:szCs w:val="24"/>
          <w:u w:val="single"/>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w:t>
      </w:r>
    </w:p>
    <w:p w14:paraId="5D4604E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3.3.4 承包人主要施工管理人员离开施工现场的批准要求：</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w:t>
      </w:r>
    </w:p>
    <w:p w14:paraId="003821FA">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3.3.5承包人擅自更换主要施工管理人员的违约责任：</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w:t>
      </w:r>
    </w:p>
    <w:p w14:paraId="75AAC50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承包人主要施工管理人员擅自离开施工现场的违约责任：</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50DE573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w:t>
      </w:r>
      <w:bookmarkStart w:id="605" w:name="_Toc292559869"/>
      <w:bookmarkStart w:id="606" w:name="_Toc296347158"/>
      <w:bookmarkStart w:id="607" w:name="_Toc292559364"/>
      <w:bookmarkStart w:id="608" w:name="_Toc312677988"/>
      <w:bookmarkStart w:id="609" w:name="_Toc297120459"/>
      <w:bookmarkStart w:id="610" w:name="_Toc297048345"/>
      <w:bookmarkStart w:id="611" w:name="_Toc303539102"/>
      <w:bookmarkStart w:id="612" w:name="_Toc296891199"/>
      <w:bookmarkStart w:id="613" w:name="_Toc297123492"/>
      <w:bookmarkStart w:id="614" w:name="_Toc300934945"/>
      <w:bookmarkStart w:id="615" w:name="_Toc304295523"/>
      <w:bookmarkStart w:id="616" w:name="_Toc296346660"/>
      <w:bookmarkStart w:id="617" w:name="_Toc296944498"/>
      <w:bookmarkStart w:id="618" w:name="_Toc297216151"/>
      <w:bookmarkStart w:id="619" w:name="_Toc296890987"/>
      <w:bookmarkStart w:id="620" w:name="_Toc296503159"/>
      <w:r>
        <w:rPr>
          <w:rFonts w:hint="eastAsia" w:ascii="华文中宋" w:hAnsi="华文中宋" w:eastAsia="华文中宋" w:cs="华文中宋"/>
          <w:color w:val="auto"/>
          <w:sz w:val="24"/>
          <w:szCs w:val="24"/>
        </w:rPr>
        <w:t>.5 分包</w:t>
      </w:r>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3B06440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w:t>
      </w:r>
      <w:bookmarkStart w:id="621" w:name="_Toc292559365"/>
      <w:bookmarkStart w:id="622" w:name="_Toc296347159"/>
      <w:bookmarkStart w:id="623" w:name="_Toc304295524"/>
      <w:bookmarkStart w:id="624" w:name="_Toc303539103"/>
      <w:bookmarkStart w:id="625" w:name="_Toc297048346"/>
      <w:bookmarkStart w:id="626" w:name="_Toc296890988"/>
      <w:bookmarkStart w:id="627" w:name="_Toc296944499"/>
      <w:bookmarkStart w:id="628" w:name="_Toc297216152"/>
      <w:bookmarkStart w:id="629" w:name="_Toc296503160"/>
      <w:bookmarkStart w:id="630" w:name="_Toc296346661"/>
      <w:bookmarkStart w:id="631" w:name="_Toc292559870"/>
      <w:bookmarkStart w:id="632" w:name="_Toc296891200"/>
      <w:bookmarkStart w:id="633" w:name="_Toc300934946"/>
      <w:bookmarkStart w:id="634" w:name="_Toc297120460"/>
      <w:bookmarkStart w:id="635" w:name="_Toc297123493"/>
      <w:bookmarkStart w:id="636" w:name="_Toc318581158"/>
      <w:bookmarkStart w:id="637" w:name="_Toc312677989"/>
      <w:r>
        <w:rPr>
          <w:rFonts w:hint="eastAsia" w:ascii="华文中宋" w:hAnsi="华文中宋" w:eastAsia="华文中宋" w:cs="华文中宋"/>
          <w:color w:val="auto"/>
          <w:sz w:val="24"/>
          <w:szCs w:val="24"/>
        </w:rPr>
        <w:t>.5.1 分包的一般约定</w:t>
      </w:r>
    </w:p>
    <w:p w14:paraId="4E38328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禁止分包的工程包括</w:t>
      </w:r>
      <w:r>
        <w:rPr>
          <w:rFonts w:hint="eastAsia" w:ascii="华文中宋" w:hAnsi="华文中宋" w:eastAsia="华文中宋" w:cs="华文中宋"/>
          <w:color w:val="auto"/>
          <w:sz w:val="24"/>
          <w:szCs w:val="24"/>
        </w:rPr>
        <w:t>：</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C7680DA">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主体结构、</w:t>
      </w:r>
      <w:r>
        <w:rPr>
          <w:rFonts w:hint="eastAsia" w:ascii="华文中宋" w:hAnsi="华文中宋" w:eastAsia="华文中宋" w:cs="华文中宋"/>
          <w:color w:val="auto"/>
          <w:kern w:val="0"/>
          <w:sz w:val="24"/>
          <w:szCs w:val="24"/>
        </w:rPr>
        <w:t>关键性工作的范围</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Start w:id="638" w:name="_Toc297048347"/>
      <w:bookmarkStart w:id="639" w:name="_Toc296503161"/>
      <w:bookmarkStart w:id="640" w:name="_Toc296346662"/>
      <w:bookmarkStart w:id="641" w:name="_Toc296891201"/>
      <w:bookmarkStart w:id="642" w:name="_Toc300934947"/>
      <w:bookmarkStart w:id="643" w:name="_Toc296890989"/>
      <w:bookmarkStart w:id="644" w:name="_Toc297123494"/>
      <w:bookmarkStart w:id="645" w:name="_Toc297120461"/>
      <w:bookmarkStart w:id="646" w:name="_Toc304295525"/>
      <w:bookmarkStart w:id="647" w:name="_Toc297216153"/>
      <w:bookmarkStart w:id="648" w:name="_Toc303539104"/>
      <w:bookmarkStart w:id="649" w:name="_Toc296347160"/>
      <w:bookmarkStart w:id="650" w:name="_Toc296944500"/>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14:paraId="72CC3131">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w:t>
      </w:r>
      <w:bookmarkStart w:id="651" w:name="_Toc318581159"/>
      <w:bookmarkStart w:id="652" w:name="_Toc312677990"/>
      <w:r>
        <w:rPr>
          <w:rFonts w:hint="eastAsia" w:ascii="华文中宋" w:hAnsi="华文中宋" w:eastAsia="华文中宋" w:cs="华文中宋"/>
          <w:color w:val="auto"/>
          <w:sz w:val="24"/>
          <w:szCs w:val="24"/>
        </w:rPr>
        <w:t>.5.2</w:t>
      </w:r>
      <w:r>
        <w:rPr>
          <w:rFonts w:hint="eastAsia" w:ascii="华文中宋" w:hAnsi="华文中宋" w:eastAsia="华文中宋" w:cs="华文中宋"/>
          <w:color w:val="auto"/>
          <w:kern w:val="0"/>
          <w:sz w:val="24"/>
          <w:szCs w:val="24"/>
        </w:rPr>
        <w:t>分包的确定</w:t>
      </w:r>
    </w:p>
    <w:p w14:paraId="6E61486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kern w:val="0"/>
          <w:sz w:val="24"/>
          <w:szCs w:val="24"/>
        </w:rPr>
        <w:t>允许分包的专业工程包括</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0B7C75D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其他关于分包的约定</w:t>
      </w:r>
      <w:r>
        <w:rPr>
          <w:rFonts w:hint="eastAsia" w:ascii="华文中宋" w:hAnsi="华文中宋" w:eastAsia="华文中宋" w:cs="华文中宋"/>
          <w:color w:val="auto"/>
          <w:sz w:val="24"/>
          <w:szCs w:val="24"/>
        </w:rPr>
        <w:t>：</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276C086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3.5.4 </w:t>
      </w:r>
      <w:r>
        <w:rPr>
          <w:rFonts w:hint="eastAsia" w:ascii="华文中宋" w:hAnsi="华文中宋" w:eastAsia="华文中宋" w:cs="华文中宋"/>
          <w:color w:val="auto"/>
          <w:kern w:val="0"/>
          <w:sz w:val="24"/>
          <w:szCs w:val="24"/>
        </w:rPr>
        <w:t>分包合同价款</w:t>
      </w:r>
    </w:p>
    <w:p w14:paraId="6D3351D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关于分包合同价款支付的约定</w:t>
      </w:r>
      <w:r>
        <w:rPr>
          <w:rFonts w:hint="eastAsia" w:ascii="华文中宋" w:hAnsi="华文中宋" w:eastAsia="华文中宋" w:cs="华文中宋"/>
          <w:color w:val="auto"/>
          <w:sz w:val="24"/>
          <w:szCs w:val="24"/>
        </w:rPr>
        <w:t>：</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bookmarkEnd w:id="651"/>
    <w:bookmarkEnd w:id="652"/>
    <w:p w14:paraId="1C4BCEC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 工程照管与成品、半成品保护</w:t>
      </w:r>
    </w:p>
    <w:p w14:paraId="125040B3">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u w:val="single"/>
        </w:rPr>
      </w:pPr>
      <w:r>
        <w:rPr>
          <w:rFonts w:hint="eastAsia" w:ascii="华文中宋" w:hAnsi="华文中宋" w:eastAsia="华文中宋" w:cs="华文中宋"/>
          <w:color w:val="auto"/>
          <w:kern w:val="0"/>
          <w:sz w:val="24"/>
          <w:szCs w:val="24"/>
        </w:rPr>
        <w:t>承包人负责照管工程及工程相关的材料、</w:t>
      </w:r>
      <w:r>
        <w:rPr>
          <w:rFonts w:hint="eastAsia" w:ascii="华文中宋" w:hAnsi="华文中宋" w:eastAsia="华文中宋" w:cs="华文中宋"/>
          <w:color w:val="auto"/>
          <w:sz w:val="24"/>
          <w:szCs w:val="24"/>
        </w:rPr>
        <w:t>工程设备的起始时间</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u w:val="single"/>
        </w:rPr>
        <w:t>。</w:t>
      </w:r>
    </w:p>
    <w:p w14:paraId="3EDE1BC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3.7 履约担保</w:t>
      </w:r>
    </w:p>
    <w:p w14:paraId="6948FD0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承包人是否提供履约担保</w:t>
      </w:r>
      <w:r>
        <w:rPr>
          <w:rFonts w:hint="eastAsia" w:ascii="华文中宋" w:hAnsi="华文中宋" w:eastAsia="华文中宋" w:cs="华文中宋"/>
          <w:color w:val="auto"/>
          <w:sz w:val="24"/>
          <w:szCs w:val="24"/>
          <w:u w:val="single"/>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77570103">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承包人提供履约担保的形式、金额及期限的：</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32E31FA2">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653" w:name="_Toc375060856"/>
      <w:r>
        <w:rPr>
          <w:rFonts w:hint="eastAsia" w:ascii="华文中宋" w:hAnsi="华文中宋" w:eastAsia="华文中宋" w:cs="华文中宋"/>
          <w:b w:val="0"/>
          <w:color w:val="auto"/>
          <w:sz w:val="24"/>
          <w:szCs w:val="24"/>
        </w:rPr>
        <w:t>4</w:t>
      </w:r>
      <w:bookmarkStart w:id="654" w:name="_Toc292559871"/>
      <w:bookmarkStart w:id="655" w:name="_Toc296347161"/>
      <w:bookmarkStart w:id="656" w:name="_Toc296891202"/>
      <w:bookmarkStart w:id="657" w:name="_Toc296890990"/>
      <w:bookmarkStart w:id="658" w:name="_Toc296944501"/>
      <w:bookmarkStart w:id="659" w:name="_Toc297048348"/>
      <w:bookmarkStart w:id="660" w:name="_Toc296346663"/>
      <w:bookmarkStart w:id="661" w:name="_Toc292559366"/>
      <w:bookmarkStart w:id="662" w:name="_Toc267251413"/>
      <w:bookmarkStart w:id="663" w:name="_Toc296503162"/>
      <w:bookmarkStart w:id="664" w:name="_Toc297120462"/>
      <w:r>
        <w:rPr>
          <w:rFonts w:hint="eastAsia" w:ascii="华文中宋" w:hAnsi="华文中宋" w:eastAsia="华文中宋" w:cs="华文中宋"/>
          <w:b w:val="0"/>
          <w:color w:val="auto"/>
          <w:sz w:val="24"/>
          <w:szCs w:val="24"/>
        </w:rPr>
        <w:t>. 监</w:t>
      </w:r>
      <w:bookmarkEnd w:id="654"/>
      <w:bookmarkEnd w:id="655"/>
      <w:bookmarkEnd w:id="656"/>
      <w:bookmarkEnd w:id="657"/>
      <w:bookmarkEnd w:id="658"/>
      <w:bookmarkEnd w:id="659"/>
      <w:bookmarkEnd w:id="660"/>
      <w:bookmarkEnd w:id="661"/>
      <w:bookmarkEnd w:id="662"/>
      <w:bookmarkEnd w:id="663"/>
      <w:bookmarkEnd w:id="664"/>
      <w:r>
        <w:rPr>
          <w:rFonts w:hint="eastAsia" w:ascii="华文中宋" w:hAnsi="华文中宋" w:eastAsia="华文中宋" w:cs="华文中宋"/>
          <w:b w:val="0"/>
          <w:color w:val="auto"/>
          <w:sz w:val="24"/>
          <w:szCs w:val="24"/>
        </w:rPr>
        <w:t>理人</w:t>
      </w:r>
      <w:bookmarkEnd w:id="653"/>
    </w:p>
    <w:p w14:paraId="5733D0B5">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4.1监理人的一般规定</w:t>
      </w:r>
    </w:p>
    <w:p w14:paraId="7E5DDF6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关于监理人的监理内容：</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F9E0A1C">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关于监理人的监理权限：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FEC4E4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b/>
          <w:bCs/>
          <w:color w:val="auto"/>
          <w:sz w:val="24"/>
          <w:szCs w:val="24"/>
          <w:u w:val="single"/>
        </w:rPr>
      </w:pPr>
      <w:r>
        <w:rPr>
          <w:rFonts w:hint="eastAsia" w:ascii="华文中宋" w:hAnsi="华文中宋" w:eastAsia="华文中宋" w:cs="华文中宋"/>
          <w:color w:val="auto"/>
          <w:sz w:val="24"/>
          <w:szCs w:val="24"/>
        </w:rPr>
        <w:t>关于监理人在施工现场的办公场所、生活场所的提供和费用承担的约定</w:t>
      </w:r>
      <w:r>
        <w:rPr>
          <w:rFonts w:hint="eastAsia" w:ascii="华文中宋" w:hAnsi="华文中宋" w:eastAsia="华文中宋" w:cs="华文中宋"/>
          <w:color w:val="auto"/>
          <w:sz w:val="24"/>
          <w:szCs w:val="24"/>
          <w:u w:val="single"/>
        </w:rPr>
        <w:t>：</w:t>
      </w:r>
      <w:r>
        <w:rPr>
          <w:rFonts w:hint="eastAsia" w:ascii="华文中宋" w:hAnsi="华文中宋" w:eastAsia="华文中宋" w:cs="华文中宋"/>
          <w:bCs/>
          <w:color w:val="auto"/>
          <w:sz w:val="24"/>
          <w:szCs w:val="24"/>
          <w:u w:val="single"/>
        </w:rPr>
        <w:t>。</w:t>
      </w:r>
    </w:p>
    <w:p w14:paraId="4923BF3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4.2 监理人员</w:t>
      </w:r>
    </w:p>
    <w:p w14:paraId="1D62EB8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总监理工程师：</w:t>
      </w:r>
    </w:p>
    <w:p w14:paraId="2FB36AA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姓    名：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rPr>
        <w:t>；</w:t>
      </w:r>
    </w:p>
    <w:p w14:paraId="2A260A2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职    务：</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w:t>
      </w:r>
    </w:p>
    <w:p w14:paraId="6406650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监理工程师执业资格证书号：</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bCs/>
          <w:color w:val="auto"/>
          <w:sz w:val="24"/>
          <w:szCs w:val="24"/>
        </w:rPr>
        <w:t>；</w:t>
      </w:r>
    </w:p>
    <w:p w14:paraId="3BBE12B1">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联系电话：</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rPr>
        <w:t>；</w:t>
      </w:r>
    </w:p>
    <w:p w14:paraId="4610AA8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电子信箱：</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rPr>
        <w:t>；</w:t>
      </w:r>
    </w:p>
    <w:p w14:paraId="7C37256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通信地址：</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rPr>
        <w:t>；</w:t>
      </w:r>
    </w:p>
    <w:p w14:paraId="54C8190C">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关于监理人的其他约定：</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18486FC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4.4 商定或确定</w:t>
      </w:r>
    </w:p>
    <w:p w14:paraId="7340422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bookmarkStart w:id="665" w:name="_Toc267251418"/>
      <w:r>
        <w:rPr>
          <w:rFonts w:hint="eastAsia" w:ascii="华文中宋" w:hAnsi="华文中宋" w:eastAsia="华文中宋" w:cs="华文中宋"/>
          <w:color w:val="auto"/>
          <w:sz w:val="24"/>
          <w:szCs w:val="24"/>
        </w:rPr>
        <w:t>在</w:t>
      </w:r>
      <w:r>
        <w:rPr>
          <w:rFonts w:hint="eastAsia" w:ascii="华文中宋" w:hAnsi="华文中宋" w:eastAsia="华文中宋" w:cs="华文中宋"/>
          <w:color w:val="auto"/>
          <w:kern w:val="0"/>
          <w:sz w:val="24"/>
          <w:szCs w:val="24"/>
        </w:rPr>
        <w:t>发</w:t>
      </w:r>
      <w:r>
        <w:rPr>
          <w:rFonts w:hint="eastAsia" w:ascii="华文中宋" w:hAnsi="华文中宋" w:eastAsia="华文中宋" w:cs="华文中宋"/>
          <w:color w:val="auto"/>
          <w:sz w:val="24"/>
          <w:szCs w:val="24"/>
        </w:rPr>
        <w:t>包人和承包人不能通过协商达成一致意见时，发包人授权监理人对以下事项进行确定：</w:t>
      </w:r>
    </w:p>
    <w:p w14:paraId="7BF4309D">
      <w:pPr>
        <w:pageBreakBefore w:val="0"/>
        <w:numPr>
          <w:ilvl w:val="0"/>
          <w:numId w:val="3"/>
        </w:numPr>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82FDB90">
      <w:pPr>
        <w:pageBreakBefore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 xml:space="preserve"> </w:t>
      </w:r>
    </w:p>
    <w:p w14:paraId="3ABFC0C1">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7134BE8A">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666" w:name="_Toc375060857"/>
      <w:r>
        <w:rPr>
          <w:rFonts w:hint="eastAsia" w:ascii="华文中宋" w:hAnsi="华文中宋" w:eastAsia="华文中宋" w:cs="华文中宋"/>
          <w:b w:val="0"/>
          <w:color w:val="auto"/>
          <w:sz w:val="24"/>
          <w:szCs w:val="24"/>
        </w:rPr>
        <w:t>5</w:t>
      </w:r>
      <w:bookmarkEnd w:id="665"/>
      <w:bookmarkStart w:id="667" w:name="_Toc296890991"/>
      <w:bookmarkStart w:id="668" w:name="_Toc296347162"/>
      <w:bookmarkStart w:id="669" w:name="_Toc297048349"/>
      <w:bookmarkStart w:id="670" w:name="_Toc292559872"/>
      <w:bookmarkStart w:id="671" w:name="_Toc296891203"/>
      <w:bookmarkStart w:id="672" w:name="_Toc296346664"/>
      <w:bookmarkStart w:id="673" w:name="_Toc296944502"/>
      <w:bookmarkStart w:id="674" w:name="_Toc297120463"/>
      <w:bookmarkStart w:id="675" w:name="_Toc296503163"/>
      <w:bookmarkStart w:id="676" w:name="_Toc292559367"/>
      <w:r>
        <w:rPr>
          <w:rFonts w:hint="eastAsia" w:ascii="华文中宋" w:hAnsi="华文中宋" w:eastAsia="华文中宋" w:cs="华文中宋"/>
          <w:b w:val="0"/>
          <w:color w:val="auto"/>
          <w:sz w:val="24"/>
          <w:szCs w:val="24"/>
        </w:rPr>
        <w:t>. 工程质量</w:t>
      </w:r>
      <w:bookmarkEnd w:id="666"/>
    </w:p>
    <w:p w14:paraId="0A9F0D5C">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5.1 质量要求</w:t>
      </w:r>
    </w:p>
    <w:p w14:paraId="0398511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w:t>
      </w:r>
      <w:bookmarkStart w:id="677" w:name="_Toc297216155"/>
      <w:bookmarkStart w:id="678" w:name="_Toc297123496"/>
      <w:bookmarkStart w:id="679" w:name="_Toc318581164"/>
      <w:bookmarkStart w:id="680" w:name="_Toc312677997"/>
      <w:bookmarkStart w:id="681" w:name="_Toc304295527"/>
      <w:bookmarkStart w:id="682" w:name="_Toc303539106"/>
      <w:bookmarkStart w:id="683" w:name="_Toc300934949"/>
      <w:r>
        <w:rPr>
          <w:rFonts w:hint="eastAsia" w:ascii="华文中宋" w:hAnsi="华文中宋" w:eastAsia="华文中宋" w:cs="华文中宋"/>
          <w:color w:val="auto"/>
          <w:sz w:val="24"/>
          <w:szCs w:val="24"/>
        </w:rPr>
        <w:t xml:space="preserve">.1.1 </w:t>
      </w:r>
      <w:r>
        <w:rPr>
          <w:rFonts w:hint="eastAsia" w:ascii="华文中宋" w:hAnsi="华文中宋" w:eastAsia="华文中宋" w:cs="华文中宋"/>
          <w:color w:val="auto"/>
          <w:kern w:val="0"/>
          <w:sz w:val="24"/>
          <w:szCs w:val="24"/>
        </w:rPr>
        <w:t>特殊质量标准和要求</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AA5976B">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关于工程奖项的约定</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w:t>
      </w:r>
    </w:p>
    <w:p w14:paraId="44C789A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5.3 隐蔽工程检查</w:t>
      </w:r>
    </w:p>
    <w:p w14:paraId="1CFEA79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5.3.2</w:t>
      </w:r>
      <w:r>
        <w:rPr>
          <w:rFonts w:hint="eastAsia" w:ascii="华文中宋" w:hAnsi="华文中宋" w:eastAsia="华文中宋" w:cs="华文中宋"/>
          <w:color w:val="auto"/>
          <w:kern w:val="0"/>
          <w:sz w:val="24"/>
          <w:szCs w:val="24"/>
        </w:rPr>
        <w:t>承包人提前通知监理人隐蔽工程检查的期限的约定</w:t>
      </w:r>
      <w:r>
        <w:rPr>
          <w:rFonts w:hint="eastAsia" w:ascii="华文中宋" w:hAnsi="华文中宋" w:eastAsia="华文中宋" w:cs="华文中宋"/>
          <w:color w:val="auto"/>
          <w:sz w:val="24"/>
          <w:szCs w:val="24"/>
          <w:u w:val="single"/>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7A6BBC8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监理人不能按时进行检查时</w:t>
      </w:r>
      <w:r>
        <w:rPr>
          <w:rFonts w:hint="eastAsia" w:ascii="华文中宋" w:hAnsi="华文中宋" w:eastAsia="华文中宋" w:cs="华文中宋"/>
          <w:color w:val="auto"/>
          <w:sz w:val="24"/>
          <w:szCs w:val="24"/>
        </w:rPr>
        <w:t>，应提前</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color w:val="auto"/>
          <w:sz w:val="24"/>
          <w:szCs w:val="24"/>
        </w:rPr>
        <w:t>小时提交书面延期要求。</w:t>
      </w:r>
    </w:p>
    <w:p w14:paraId="01D2FE7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关于延期最长不得超过</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小时。</w:t>
      </w:r>
    </w:p>
    <w:p w14:paraId="0BFF435E">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684" w:name="_Toc375060858"/>
      <w:r>
        <w:rPr>
          <w:rFonts w:hint="eastAsia" w:ascii="华文中宋" w:hAnsi="华文中宋" w:eastAsia="华文中宋" w:cs="华文中宋"/>
          <w:b w:val="0"/>
          <w:color w:val="auto"/>
          <w:sz w:val="24"/>
          <w:szCs w:val="24"/>
        </w:rPr>
        <w:t>6. 安全文明施工与环境保护</w:t>
      </w:r>
      <w:bookmarkEnd w:id="684"/>
    </w:p>
    <w:p w14:paraId="5438FECA">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6.1安全文明施工</w:t>
      </w:r>
    </w:p>
    <w:p w14:paraId="72F74B7C">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 xml:space="preserve">6.1.1 </w:t>
      </w:r>
      <w:r>
        <w:rPr>
          <w:rFonts w:hint="eastAsia" w:ascii="华文中宋" w:hAnsi="华文中宋" w:eastAsia="华文中宋" w:cs="华文中宋"/>
          <w:color w:val="auto"/>
          <w:kern w:val="0"/>
          <w:sz w:val="24"/>
          <w:szCs w:val="24"/>
        </w:rPr>
        <w:t>项目安全生产的达标目标及相应事项的约定</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Cs/>
          <w:color w:val="auto"/>
          <w:sz w:val="24"/>
          <w:szCs w:val="24"/>
        </w:rPr>
        <w:t>。</w:t>
      </w:r>
    </w:p>
    <w:p w14:paraId="37D07C8E">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 xml:space="preserve">6.1.4 </w:t>
      </w:r>
      <w:r>
        <w:rPr>
          <w:rFonts w:hint="eastAsia" w:ascii="华文中宋" w:hAnsi="华文中宋" w:eastAsia="华文中宋" w:cs="华文中宋"/>
          <w:color w:val="auto"/>
          <w:kern w:val="0"/>
          <w:sz w:val="24"/>
          <w:szCs w:val="24"/>
        </w:rPr>
        <w:t>关于治安保卫的特别约定</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kern w:val="0"/>
          <w:sz w:val="24"/>
          <w:szCs w:val="24"/>
        </w:rPr>
        <w:t>发包人配合。</w:t>
      </w:r>
    </w:p>
    <w:p w14:paraId="2800CE9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关于编制施工场地治安管理计划的约定</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FB436BB">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6.1.5 </w:t>
      </w:r>
      <w:r>
        <w:rPr>
          <w:rFonts w:hint="eastAsia" w:ascii="华文中宋" w:hAnsi="华文中宋" w:eastAsia="华文中宋" w:cs="华文中宋"/>
          <w:color w:val="auto"/>
          <w:kern w:val="0"/>
          <w:sz w:val="24"/>
          <w:szCs w:val="24"/>
        </w:rPr>
        <w:t>文明施工</w:t>
      </w:r>
    </w:p>
    <w:p w14:paraId="7A85852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合同当事人对文明施工的要求</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E86A98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6.1.6 </w:t>
      </w:r>
      <w:r>
        <w:rPr>
          <w:rFonts w:hint="eastAsia" w:ascii="华文中宋" w:hAnsi="华文中宋" w:eastAsia="华文中宋" w:cs="华文中宋"/>
          <w:color w:val="auto"/>
          <w:kern w:val="0"/>
          <w:sz w:val="24"/>
          <w:szCs w:val="24"/>
        </w:rPr>
        <w:t>关于安全文明施工费支付比例和支付期限的约定</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bookmarkEnd w:id="677"/>
    <w:bookmarkEnd w:id="678"/>
    <w:bookmarkEnd w:id="679"/>
    <w:bookmarkEnd w:id="680"/>
    <w:bookmarkEnd w:id="681"/>
    <w:bookmarkEnd w:id="682"/>
    <w:bookmarkEnd w:id="683"/>
    <w:p w14:paraId="592297B9">
      <w:pPr>
        <w:pStyle w:val="5"/>
        <w:pageBreakBefore w:val="0"/>
        <w:kinsoku/>
        <w:wordWrap/>
        <w:overflowPunct/>
        <w:topLinePunct w:val="0"/>
        <w:bidi w:val="0"/>
        <w:snapToGrid/>
        <w:spacing w:before="0" w:after="0" w:line="360" w:lineRule="auto"/>
        <w:ind w:right="2"/>
        <w:rPr>
          <w:rFonts w:hint="eastAsia" w:ascii="华文中宋" w:hAnsi="华文中宋" w:eastAsia="华文中宋" w:cs="华文中宋"/>
          <w:b w:val="0"/>
          <w:color w:val="auto"/>
          <w:sz w:val="24"/>
          <w:szCs w:val="24"/>
        </w:rPr>
      </w:pPr>
      <w:bookmarkStart w:id="685" w:name="_Toc375060859"/>
      <w:r>
        <w:rPr>
          <w:rFonts w:hint="eastAsia" w:ascii="华文中宋" w:hAnsi="华文中宋" w:eastAsia="华文中宋" w:cs="华文中宋"/>
          <w:b w:val="0"/>
          <w:color w:val="auto"/>
          <w:sz w:val="24"/>
          <w:szCs w:val="24"/>
        </w:rPr>
        <w:t>7. 工期和进度</w:t>
      </w:r>
      <w:bookmarkEnd w:id="685"/>
    </w:p>
    <w:p w14:paraId="1EC402D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7.1 施工组织设计</w:t>
      </w:r>
    </w:p>
    <w:p w14:paraId="2B7444AD">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 xml:space="preserve">7.1.1 </w:t>
      </w:r>
      <w:r>
        <w:rPr>
          <w:rFonts w:hint="eastAsia" w:ascii="华文中宋" w:hAnsi="华文中宋" w:eastAsia="华文中宋" w:cs="华文中宋"/>
          <w:color w:val="auto"/>
          <w:kern w:val="0"/>
          <w:sz w:val="24"/>
          <w:szCs w:val="24"/>
        </w:rPr>
        <w:t>合同当事人约定的施工组织设计应包括的其他内容：</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1DF69D7B">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 xml:space="preserve">7.1.2 </w:t>
      </w:r>
      <w:r>
        <w:rPr>
          <w:rFonts w:hint="eastAsia" w:ascii="华文中宋" w:hAnsi="华文中宋" w:eastAsia="华文中宋" w:cs="华文中宋"/>
          <w:color w:val="auto"/>
          <w:kern w:val="0"/>
          <w:sz w:val="24"/>
          <w:szCs w:val="24"/>
        </w:rPr>
        <w:t>施工组织设计的提交和修改</w:t>
      </w:r>
    </w:p>
    <w:p w14:paraId="27F58B3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承包人提交详细施工组织设计的期限的约定：</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5D001C9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发包人和监理人在收到详细的施工组织设计后确认或提出修改意见的期限</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572F16F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w:t>
      </w:r>
      <w:bookmarkStart w:id="686" w:name="_Toc297216173"/>
      <w:bookmarkStart w:id="687" w:name="_Toc297123514"/>
      <w:bookmarkStart w:id="688" w:name="_Toc304295541"/>
      <w:bookmarkStart w:id="689" w:name="_Toc312677479"/>
      <w:bookmarkStart w:id="690" w:name="_Toc303539123"/>
      <w:bookmarkStart w:id="691" w:name="_Toc300934966"/>
      <w:bookmarkStart w:id="692" w:name="_Toc312678005"/>
      <w:r>
        <w:rPr>
          <w:rFonts w:hint="eastAsia" w:ascii="华文中宋" w:hAnsi="华文中宋" w:eastAsia="华文中宋" w:cs="华文中宋"/>
          <w:color w:val="auto"/>
          <w:sz w:val="24"/>
          <w:szCs w:val="24"/>
        </w:rPr>
        <w:t>.2 施工进度计划</w:t>
      </w:r>
    </w:p>
    <w:p w14:paraId="65C7914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7.2.2 </w:t>
      </w:r>
      <w:r>
        <w:rPr>
          <w:rFonts w:hint="eastAsia" w:ascii="华文中宋" w:hAnsi="华文中宋" w:eastAsia="华文中宋" w:cs="华文中宋"/>
          <w:color w:val="auto"/>
          <w:kern w:val="0"/>
          <w:sz w:val="24"/>
          <w:szCs w:val="24"/>
        </w:rPr>
        <w:t>施工进度计划的修订</w:t>
      </w:r>
    </w:p>
    <w:p w14:paraId="46D6DCAD">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发包人和监理人在收到修订的施工进度计划后确认或提出修改意见的期限</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51BE57B">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7.3 开工</w:t>
      </w:r>
    </w:p>
    <w:p w14:paraId="5690DD8C">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7.3.1 开工准备</w:t>
      </w:r>
    </w:p>
    <w:p w14:paraId="33D667AB">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b w:val="0"/>
          <w:bCs/>
          <w:color w:val="auto"/>
          <w:sz w:val="24"/>
          <w:szCs w:val="24"/>
          <w:u w:val="single"/>
        </w:rPr>
      </w:pPr>
      <w:r>
        <w:rPr>
          <w:rFonts w:hint="eastAsia" w:ascii="华文中宋" w:hAnsi="华文中宋" w:eastAsia="华文中宋" w:cs="华文中宋"/>
          <w:color w:val="auto"/>
          <w:sz w:val="24"/>
          <w:szCs w:val="24"/>
        </w:rPr>
        <w:t>关于承包人提交</w:t>
      </w:r>
      <w:r>
        <w:rPr>
          <w:rFonts w:hint="eastAsia" w:ascii="华文中宋" w:hAnsi="华文中宋" w:eastAsia="华文中宋" w:cs="华文中宋"/>
          <w:color w:val="auto"/>
          <w:kern w:val="0"/>
          <w:sz w:val="24"/>
          <w:szCs w:val="24"/>
        </w:rPr>
        <w:t>工程开工报审表的期限</w:t>
      </w:r>
      <w:r>
        <w:rPr>
          <w:rFonts w:hint="eastAsia" w:ascii="华文中宋" w:hAnsi="华文中宋" w:eastAsia="华文中宋" w:cs="华文中宋"/>
          <w:color w:val="auto"/>
          <w:kern w:val="0"/>
          <w:sz w:val="24"/>
          <w:szCs w:val="24"/>
          <w:u w:val="none"/>
        </w:rPr>
        <w:t>：</w:t>
      </w:r>
      <w:r>
        <w:rPr>
          <w:rFonts w:hint="eastAsia" w:ascii="华文中宋" w:hAnsi="华文中宋" w:eastAsia="华文中宋" w:cs="华文中宋"/>
          <w:b w:val="0"/>
          <w:bCs/>
          <w:color w:val="auto"/>
          <w:sz w:val="24"/>
          <w:szCs w:val="24"/>
          <w:u w:val="single"/>
          <w:lang w:val="en-US" w:eastAsia="zh-CN"/>
        </w:rPr>
        <w:t xml:space="preserve">              。</w:t>
      </w:r>
    </w:p>
    <w:p w14:paraId="6462876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关于发包人应完成的其他开工准备工作及期限：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4AADB1A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关于承包人应完成的其他开工准备工作及期限：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7FBDFD7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7.3.2开工通知</w:t>
      </w:r>
    </w:p>
    <w:p w14:paraId="708C667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因发包人原因造成监理人未能在计划开工日期之日起</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天内发出开工通知的，承包人有权提出价格调整要求，或者解除合同。</w:t>
      </w:r>
    </w:p>
    <w:bookmarkEnd w:id="686"/>
    <w:bookmarkEnd w:id="687"/>
    <w:bookmarkEnd w:id="688"/>
    <w:bookmarkEnd w:id="689"/>
    <w:bookmarkEnd w:id="690"/>
    <w:bookmarkEnd w:id="691"/>
    <w:bookmarkEnd w:id="692"/>
    <w:p w14:paraId="429B5BC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7.4 测量放线</w:t>
      </w:r>
    </w:p>
    <w:p w14:paraId="581E2A8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7.4.1发包人通过监理人向承包人提供测量基准点、基准线和水准点及其书面资料的期限：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D982FEA">
      <w:pPr>
        <w:pageBreakBefore w:val="0"/>
        <w:kinsoku/>
        <w:wordWrap/>
        <w:overflowPunct/>
        <w:topLinePunct w:val="0"/>
        <w:bidi w:val="0"/>
        <w:snapToGrid/>
        <w:spacing w:line="360" w:lineRule="auto"/>
        <w:ind w:firstLine="491" w:firstLineChars="205"/>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w:t>
      </w:r>
      <w:bookmarkStart w:id="693" w:name="_Toc304295546"/>
      <w:bookmarkStart w:id="694" w:name="_Toc312677484"/>
      <w:bookmarkStart w:id="695" w:name="_Toc303539125"/>
      <w:bookmarkStart w:id="696" w:name="_Toc297123516"/>
      <w:bookmarkStart w:id="697" w:name="_Toc312678010"/>
      <w:bookmarkStart w:id="698" w:name="_Toc297216175"/>
      <w:bookmarkStart w:id="699" w:name="_Toc300934968"/>
      <w:r>
        <w:rPr>
          <w:rFonts w:hint="eastAsia" w:ascii="华文中宋" w:hAnsi="华文中宋" w:eastAsia="华文中宋" w:cs="华文中宋"/>
          <w:color w:val="auto"/>
          <w:sz w:val="24"/>
          <w:szCs w:val="24"/>
        </w:rPr>
        <w:t>.5 工期延误</w:t>
      </w:r>
    </w:p>
    <w:bookmarkEnd w:id="693"/>
    <w:bookmarkEnd w:id="694"/>
    <w:bookmarkEnd w:id="695"/>
    <w:bookmarkEnd w:id="696"/>
    <w:bookmarkEnd w:id="697"/>
    <w:bookmarkEnd w:id="698"/>
    <w:bookmarkEnd w:id="699"/>
    <w:p w14:paraId="22461CF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7.5.1 因发包人原因导致工期延误：</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Cs/>
          <w:color w:val="auto"/>
          <w:sz w:val="24"/>
          <w:szCs w:val="24"/>
        </w:rPr>
        <w:t>。</w:t>
      </w:r>
    </w:p>
    <w:p w14:paraId="47EAB89A">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（7）因发包人原因导致工期延误的其他情形：</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Cs/>
          <w:color w:val="auto"/>
          <w:sz w:val="24"/>
          <w:szCs w:val="24"/>
        </w:rPr>
        <w:t>。</w:t>
      </w:r>
    </w:p>
    <w:p w14:paraId="150589D3">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w:t>
      </w:r>
      <w:bookmarkStart w:id="700" w:name="_Toc312678012"/>
      <w:bookmarkStart w:id="701" w:name="_Toc312677486"/>
      <w:bookmarkStart w:id="702" w:name="_Toc318581169"/>
      <w:bookmarkStart w:id="703" w:name="_Toc303539127"/>
      <w:bookmarkStart w:id="704" w:name="_Toc297216177"/>
      <w:bookmarkStart w:id="705" w:name="_Toc300934970"/>
      <w:bookmarkStart w:id="706" w:name="_Toc304295548"/>
      <w:bookmarkStart w:id="707" w:name="_Toc297123518"/>
      <w:r>
        <w:rPr>
          <w:rFonts w:hint="eastAsia" w:ascii="华文中宋" w:hAnsi="华文中宋" w:eastAsia="华文中宋" w:cs="华文中宋"/>
          <w:color w:val="auto"/>
          <w:sz w:val="24"/>
          <w:szCs w:val="24"/>
        </w:rPr>
        <w:t>.5.2 因承包人原因导致工期延误</w:t>
      </w:r>
    </w:p>
    <w:bookmarkEnd w:id="700"/>
    <w:bookmarkEnd w:id="701"/>
    <w:bookmarkEnd w:id="702"/>
    <w:p w14:paraId="1F3D3CF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w:t>
      </w:r>
      <w:bookmarkStart w:id="708" w:name="_Toc312678013"/>
      <w:bookmarkStart w:id="709" w:name="_Toc312677487"/>
      <w:bookmarkStart w:id="710" w:name="_Toc318581170"/>
      <w:r>
        <w:rPr>
          <w:rFonts w:hint="eastAsia" w:ascii="华文中宋" w:hAnsi="华文中宋" w:eastAsia="华文中宋" w:cs="华文中宋"/>
          <w:color w:val="auto"/>
          <w:sz w:val="24"/>
          <w:szCs w:val="24"/>
        </w:rPr>
        <w:t>承包人原因造成工期延误，逾期竣工违约金的计算方法为：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bookmarkEnd w:id="703"/>
      <w:bookmarkEnd w:id="704"/>
      <w:bookmarkEnd w:id="705"/>
      <w:bookmarkEnd w:id="706"/>
      <w:bookmarkEnd w:id="707"/>
      <w:bookmarkEnd w:id="708"/>
      <w:bookmarkEnd w:id="709"/>
    </w:p>
    <w:bookmarkEnd w:id="710"/>
    <w:p w14:paraId="6467C8B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因承包人原因造成工期延误，逾</w:t>
      </w:r>
      <w:bookmarkStart w:id="711" w:name="_Toc312678014"/>
      <w:bookmarkStart w:id="712" w:name="_Toc318581171"/>
      <w:r>
        <w:rPr>
          <w:rFonts w:hint="eastAsia" w:ascii="华文中宋" w:hAnsi="华文中宋" w:eastAsia="华文中宋" w:cs="华文中宋"/>
          <w:color w:val="auto"/>
          <w:sz w:val="24"/>
          <w:szCs w:val="24"/>
        </w:rPr>
        <w:t>期竣工违约金的上限：</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bookmarkEnd w:id="711"/>
    <w:bookmarkEnd w:id="712"/>
    <w:p w14:paraId="710C419A">
      <w:pPr>
        <w:pageBreakBefore w:val="0"/>
        <w:kinsoku/>
        <w:wordWrap/>
        <w:overflowPunct/>
        <w:topLinePunct w:val="0"/>
        <w:bidi w:val="0"/>
        <w:snapToGrid/>
        <w:spacing w:line="360" w:lineRule="auto"/>
        <w:ind w:firstLine="491" w:firstLineChars="205"/>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w:t>
      </w:r>
      <w:bookmarkStart w:id="713" w:name="_Toc304295549"/>
      <w:bookmarkStart w:id="714" w:name="_Toc303539128"/>
      <w:bookmarkStart w:id="715" w:name="_Toc297216178"/>
      <w:bookmarkStart w:id="716" w:name="_Toc312678015"/>
      <w:bookmarkStart w:id="717" w:name="_Toc297123519"/>
      <w:bookmarkStart w:id="718" w:name="_Toc300934971"/>
      <w:r>
        <w:rPr>
          <w:rFonts w:hint="eastAsia" w:ascii="华文中宋" w:hAnsi="华文中宋" w:eastAsia="华文中宋" w:cs="华文中宋"/>
          <w:color w:val="auto"/>
          <w:sz w:val="24"/>
          <w:szCs w:val="24"/>
        </w:rPr>
        <w:t>.6 不</w:t>
      </w:r>
      <w:bookmarkEnd w:id="713"/>
      <w:bookmarkEnd w:id="714"/>
      <w:bookmarkEnd w:id="715"/>
      <w:bookmarkEnd w:id="716"/>
      <w:bookmarkEnd w:id="717"/>
      <w:bookmarkEnd w:id="718"/>
      <w:r>
        <w:rPr>
          <w:rFonts w:hint="eastAsia" w:ascii="华文中宋" w:hAnsi="华文中宋" w:eastAsia="华文中宋" w:cs="华文中宋"/>
          <w:color w:val="auto"/>
          <w:sz w:val="24"/>
          <w:szCs w:val="24"/>
        </w:rPr>
        <w:t>利物质条件</w:t>
      </w:r>
    </w:p>
    <w:p w14:paraId="37940B0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bookmarkStart w:id="719" w:name="_Toc318581172"/>
      <w:bookmarkStart w:id="720" w:name="_Toc297216179"/>
      <w:bookmarkStart w:id="721" w:name="_Toc303539129"/>
      <w:bookmarkStart w:id="722" w:name="_Toc304295550"/>
      <w:bookmarkStart w:id="723" w:name="_Toc297123520"/>
      <w:bookmarkStart w:id="724" w:name="_Toc300934972"/>
      <w:bookmarkStart w:id="725" w:name="_Toc312678016"/>
      <w:r>
        <w:rPr>
          <w:rFonts w:hint="eastAsia" w:ascii="华文中宋" w:hAnsi="华文中宋" w:eastAsia="华文中宋" w:cs="华文中宋"/>
          <w:color w:val="auto"/>
          <w:sz w:val="24"/>
          <w:szCs w:val="24"/>
        </w:rPr>
        <w:t>不利物质条件的其他情形和有关约定：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bookmarkEnd w:id="719"/>
    <w:bookmarkEnd w:id="720"/>
    <w:bookmarkEnd w:id="721"/>
    <w:bookmarkEnd w:id="722"/>
    <w:bookmarkEnd w:id="723"/>
    <w:bookmarkEnd w:id="724"/>
    <w:bookmarkEnd w:id="725"/>
    <w:p w14:paraId="5634C316">
      <w:pPr>
        <w:pageBreakBefore w:val="0"/>
        <w:kinsoku/>
        <w:wordWrap/>
        <w:overflowPunct/>
        <w:topLinePunct w:val="0"/>
        <w:bidi w:val="0"/>
        <w:snapToGrid/>
        <w:spacing w:line="360" w:lineRule="auto"/>
        <w:ind w:firstLine="491" w:firstLineChars="205"/>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w:t>
      </w:r>
      <w:bookmarkStart w:id="726" w:name="_Toc303539130"/>
      <w:bookmarkStart w:id="727" w:name="_Toc300934973"/>
      <w:bookmarkStart w:id="728" w:name="_Toc304295551"/>
      <w:bookmarkStart w:id="729" w:name="_Toc312678017"/>
      <w:bookmarkStart w:id="730" w:name="_Toc297216180"/>
      <w:bookmarkStart w:id="731" w:name="_Toc297123521"/>
      <w:r>
        <w:rPr>
          <w:rFonts w:hint="eastAsia" w:ascii="华文中宋" w:hAnsi="华文中宋" w:eastAsia="华文中宋" w:cs="华文中宋"/>
          <w:color w:val="auto"/>
          <w:sz w:val="24"/>
          <w:szCs w:val="24"/>
        </w:rPr>
        <w:t>.7异常恶劣的气候条件</w:t>
      </w:r>
    </w:p>
    <w:bookmarkEnd w:id="726"/>
    <w:bookmarkEnd w:id="727"/>
    <w:bookmarkEnd w:id="728"/>
    <w:bookmarkEnd w:id="729"/>
    <w:bookmarkEnd w:id="730"/>
    <w:bookmarkEnd w:id="731"/>
    <w:p w14:paraId="4E107F7E">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发包人和承包人同意以下情形视为异常恶劣的气候条件：</w:t>
      </w:r>
    </w:p>
    <w:p w14:paraId="467A71BC">
      <w:pPr>
        <w:pageBreakBefore w:val="0"/>
        <w:numPr>
          <w:ilvl w:val="0"/>
          <w:numId w:val="4"/>
        </w:numPr>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6CB94E20">
      <w:pPr>
        <w:pageBreakBefore w:val="0"/>
        <w:numPr>
          <w:ilvl w:val="0"/>
          <w:numId w:val="4"/>
        </w:numPr>
        <w:kinsoku/>
        <w:wordWrap/>
        <w:overflowPunct/>
        <w:topLinePunct w:val="0"/>
        <w:bidi w:val="0"/>
        <w:snapToGrid/>
        <w:spacing w:line="360" w:lineRule="auto"/>
        <w:ind w:left="0" w:leftChars="0"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025FEC3">
      <w:pPr>
        <w:pageBreakBefore w:val="0"/>
        <w:numPr>
          <w:ilvl w:val="0"/>
          <w:numId w:val="4"/>
        </w:numPr>
        <w:kinsoku/>
        <w:wordWrap/>
        <w:overflowPunct/>
        <w:topLinePunct w:val="0"/>
        <w:bidi w:val="0"/>
        <w:snapToGrid/>
        <w:spacing w:line="360" w:lineRule="auto"/>
        <w:ind w:left="0" w:leftChars="0"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rPr>
        <w:t>。</w:t>
      </w:r>
    </w:p>
    <w:p w14:paraId="752043BB">
      <w:pPr>
        <w:pageBreakBefore w:val="0"/>
        <w:kinsoku/>
        <w:wordWrap/>
        <w:overflowPunct/>
        <w:topLinePunct w:val="0"/>
        <w:bidi w:val="0"/>
        <w:snapToGrid/>
        <w:spacing w:line="360" w:lineRule="auto"/>
        <w:ind w:firstLine="480" w:firstLineChars="200"/>
        <w:outlineLvl w:val="0"/>
        <w:rPr>
          <w:rFonts w:hint="eastAsia" w:ascii="华文中宋" w:hAnsi="华文中宋" w:eastAsia="华文中宋" w:cs="华文中宋"/>
          <w:color w:val="auto"/>
          <w:sz w:val="24"/>
          <w:szCs w:val="24"/>
        </w:rPr>
      </w:pPr>
      <w:bookmarkStart w:id="732" w:name="_Toc16325"/>
      <w:bookmarkStart w:id="733" w:name="_Toc22696"/>
      <w:bookmarkStart w:id="734" w:name="_Toc375060653"/>
      <w:bookmarkStart w:id="735" w:name="_Toc375060860"/>
      <w:r>
        <w:rPr>
          <w:rFonts w:hint="eastAsia" w:ascii="华文中宋" w:hAnsi="华文中宋" w:eastAsia="华文中宋" w:cs="华文中宋"/>
          <w:color w:val="auto"/>
          <w:sz w:val="24"/>
          <w:szCs w:val="24"/>
        </w:rPr>
        <w:t>7.9 提前竣工的奖励</w:t>
      </w:r>
      <w:bookmarkEnd w:id="732"/>
      <w:bookmarkEnd w:id="733"/>
      <w:bookmarkEnd w:id="734"/>
      <w:bookmarkEnd w:id="735"/>
    </w:p>
    <w:p w14:paraId="23F5FF1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7.9.2提前竣工的奖励：</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454E3C47">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736" w:name="_Toc375060861"/>
      <w:r>
        <w:rPr>
          <w:rFonts w:hint="eastAsia" w:ascii="华文中宋" w:hAnsi="华文中宋" w:eastAsia="华文中宋" w:cs="华文中宋"/>
          <w:b w:val="0"/>
          <w:color w:val="auto"/>
          <w:sz w:val="24"/>
          <w:szCs w:val="24"/>
        </w:rPr>
        <w:t>8. 材料与设备</w:t>
      </w:r>
      <w:bookmarkEnd w:id="736"/>
    </w:p>
    <w:bookmarkEnd w:id="667"/>
    <w:bookmarkEnd w:id="668"/>
    <w:bookmarkEnd w:id="669"/>
    <w:bookmarkEnd w:id="670"/>
    <w:bookmarkEnd w:id="671"/>
    <w:bookmarkEnd w:id="672"/>
    <w:bookmarkEnd w:id="673"/>
    <w:bookmarkEnd w:id="674"/>
    <w:bookmarkEnd w:id="675"/>
    <w:bookmarkEnd w:id="676"/>
    <w:p w14:paraId="0E006FF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w:t>
      </w:r>
      <w:bookmarkStart w:id="737" w:name="_Toc296503167"/>
      <w:bookmarkStart w:id="738" w:name="_Toc297120467"/>
      <w:bookmarkStart w:id="739" w:name="_Toc303539136"/>
      <w:bookmarkStart w:id="740" w:name="_Toc297123527"/>
      <w:bookmarkStart w:id="741" w:name="_Toc296890995"/>
      <w:bookmarkStart w:id="742" w:name="_Toc296346668"/>
      <w:bookmarkStart w:id="743" w:name="_Toc304295556"/>
      <w:bookmarkStart w:id="744" w:name="_Toc296891207"/>
      <w:bookmarkStart w:id="745" w:name="_Toc300934979"/>
      <w:bookmarkStart w:id="746" w:name="_Toc292559372"/>
      <w:bookmarkStart w:id="747" w:name="_Toc297216186"/>
      <w:bookmarkStart w:id="748" w:name="_Toc280868654"/>
      <w:bookmarkStart w:id="749" w:name="_Toc296944506"/>
      <w:bookmarkStart w:id="750" w:name="_Toc312678019"/>
      <w:bookmarkStart w:id="751" w:name="_Toc297048353"/>
      <w:bookmarkStart w:id="752" w:name="_Toc292559877"/>
      <w:bookmarkStart w:id="753" w:name="_Toc312677493"/>
      <w:bookmarkStart w:id="754" w:name="_Toc296347166"/>
      <w:bookmarkStart w:id="755" w:name="_Toc280868656"/>
      <w:bookmarkStart w:id="756" w:name="_Toc280868655"/>
      <w:bookmarkStart w:id="757" w:name="_Toc267251424"/>
      <w:r>
        <w:rPr>
          <w:rFonts w:hint="eastAsia" w:ascii="华文中宋" w:hAnsi="华文中宋" w:eastAsia="华文中宋" w:cs="华文中宋"/>
          <w:color w:val="auto"/>
          <w:sz w:val="24"/>
          <w:szCs w:val="24"/>
        </w:rPr>
        <w:t>.4材料与工程设备的保管与使用</w:t>
      </w:r>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1763838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w:t>
      </w:r>
      <w:bookmarkStart w:id="758" w:name="_Toc292559373"/>
      <w:bookmarkStart w:id="759" w:name="_Toc292559878"/>
      <w:bookmarkStart w:id="760" w:name="_Toc300934980"/>
      <w:bookmarkStart w:id="761" w:name="_Toc296503168"/>
      <w:bookmarkStart w:id="762" w:name="_Toc297120468"/>
      <w:bookmarkStart w:id="763" w:name="_Toc303539137"/>
      <w:bookmarkStart w:id="764" w:name="_Toc297048354"/>
      <w:bookmarkStart w:id="765" w:name="_Toc318581173"/>
      <w:bookmarkStart w:id="766" w:name="_Toc296891208"/>
      <w:bookmarkStart w:id="767" w:name="_Toc296890996"/>
      <w:bookmarkStart w:id="768" w:name="_Toc312677494"/>
      <w:bookmarkStart w:id="769" w:name="_Toc296347167"/>
      <w:bookmarkStart w:id="770" w:name="_Toc296944507"/>
      <w:bookmarkStart w:id="771" w:name="_Toc304295557"/>
      <w:bookmarkStart w:id="772" w:name="_Toc297216187"/>
      <w:bookmarkStart w:id="773" w:name="_Toc296346669"/>
      <w:bookmarkStart w:id="774" w:name="_Toc312678020"/>
      <w:bookmarkStart w:id="775" w:name="_Toc297123528"/>
      <w:r>
        <w:rPr>
          <w:rFonts w:hint="eastAsia" w:ascii="华文中宋" w:hAnsi="华文中宋" w:eastAsia="华文中宋" w:cs="华文中宋"/>
          <w:color w:val="auto"/>
          <w:sz w:val="24"/>
          <w:szCs w:val="24"/>
        </w:rPr>
        <w:t>.4.1发包人供应的材料设备的保管费用的承担：</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Cs/>
          <w:color w:val="auto"/>
          <w:sz w:val="24"/>
          <w:szCs w:val="24"/>
        </w:rPr>
        <w:t>。</w:t>
      </w:r>
    </w:p>
    <w:bookmarkEnd w:id="758"/>
    <w:bookmarkEnd w:id="759"/>
    <w:p w14:paraId="5C02634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8.6 样品</w:t>
      </w:r>
    </w:p>
    <w:p w14:paraId="4E311AB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8.6.1</w:t>
      </w:r>
      <w:r>
        <w:rPr>
          <w:rFonts w:hint="eastAsia" w:ascii="华文中宋" w:hAnsi="华文中宋" w:eastAsia="华文中宋" w:cs="华文中宋"/>
          <w:color w:val="auto"/>
          <w:kern w:val="0"/>
          <w:sz w:val="24"/>
          <w:szCs w:val="24"/>
        </w:rPr>
        <w:tab/>
      </w:r>
      <w:r>
        <w:rPr>
          <w:rFonts w:hint="eastAsia" w:ascii="华文中宋" w:hAnsi="华文中宋" w:eastAsia="华文中宋" w:cs="华文中宋"/>
          <w:color w:val="auto"/>
          <w:sz w:val="24"/>
          <w:szCs w:val="24"/>
        </w:rPr>
        <w:t>样品的报送与封存</w:t>
      </w:r>
    </w:p>
    <w:p w14:paraId="07E9A70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需要承包人报送样品的材料或工程设备</w:t>
      </w:r>
      <w:r>
        <w:rPr>
          <w:rFonts w:hint="eastAsia" w:ascii="华文中宋" w:hAnsi="华文中宋" w:eastAsia="华文中宋" w:cs="华文中宋"/>
          <w:color w:val="auto"/>
          <w:kern w:val="0"/>
          <w:sz w:val="24"/>
          <w:szCs w:val="24"/>
        </w:rPr>
        <w:t>，样品的种类、名称、规格、数量要求：</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1ECACA8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8.8 施工设备和临时设施</w:t>
      </w:r>
    </w:p>
    <w:p w14:paraId="0D383C8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8.8.1 承包人提供的施工设备和临时设施</w:t>
      </w:r>
    </w:p>
    <w:p w14:paraId="0FFD40D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关于修建临时设施费用承担的约定：</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14:paraId="61F6A9FA">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776" w:name="_Toc375060862"/>
      <w:r>
        <w:rPr>
          <w:rFonts w:hint="eastAsia" w:ascii="华文中宋" w:hAnsi="华文中宋" w:eastAsia="华文中宋" w:cs="华文中宋"/>
          <w:b w:val="0"/>
          <w:color w:val="auto"/>
          <w:sz w:val="24"/>
          <w:szCs w:val="24"/>
        </w:rPr>
        <w:t>9</w:t>
      </w:r>
      <w:bookmarkEnd w:id="755"/>
      <w:bookmarkEnd w:id="756"/>
      <w:bookmarkEnd w:id="757"/>
      <w:bookmarkStart w:id="777" w:name="_Toc304295559"/>
      <w:bookmarkStart w:id="778" w:name="_Toc300934982"/>
      <w:bookmarkStart w:id="779" w:name="_Toc303539139"/>
      <w:bookmarkStart w:id="780" w:name="_Toc297216192"/>
      <w:bookmarkStart w:id="781" w:name="_Toc297123533"/>
      <w:bookmarkStart w:id="782" w:name="_Toc312677495"/>
      <w:bookmarkStart w:id="783" w:name="_Toc312678021"/>
      <w:bookmarkStart w:id="784" w:name="_Toc297120473"/>
      <w:bookmarkStart w:id="785" w:name="_Toc296944512"/>
      <w:bookmarkStart w:id="786" w:name="_Toc297048359"/>
      <w:bookmarkStart w:id="787" w:name="_Toc296503173"/>
      <w:bookmarkStart w:id="788" w:name="_Toc296346674"/>
      <w:bookmarkStart w:id="789" w:name="_Toc267251427"/>
      <w:bookmarkStart w:id="790" w:name="_Toc296891001"/>
      <w:bookmarkStart w:id="791" w:name="_Toc292559883"/>
      <w:bookmarkStart w:id="792" w:name="_Toc267251428"/>
      <w:bookmarkStart w:id="793" w:name="_Toc296891213"/>
      <w:bookmarkStart w:id="794" w:name="_Toc296347172"/>
      <w:bookmarkStart w:id="795" w:name="_Toc292559378"/>
      <w:r>
        <w:rPr>
          <w:rFonts w:hint="eastAsia" w:ascii="华文中宋" w:hAnsi="华文中宋" w:eastAsia="华文中宋" w:cs="华文中宋"/>
          <w:b w:val="0"/>
          <w:color w:val="auto"/>
          <w:sz w:val="24"/>
          <w:szCs w:val="24"/>
        </w:rPr>
        <w:t>. 试验与检验</w:t>
      </w:r>
      <w:bookmarkEnd w:id="776"/>
    </w:p>
    <w:bookmarkEnd w:id="777"/>
    <w:bookmarkEnd w:id="778"/>
    <w:bookmarkEnd w:id="779"/>
    <w:bookmarkEnd w:id="780"/>
    <w:bookmarkEnd w:id="781"/>
    <w:bookmarkEnd w:id="782"/>
    <w:bookmarkEnd w:id="783"/>
    <w:p w14:paraId="5D5E3FFC">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bookmarkStart w:id="796" w:name="_Toc304295560"/>
      <w:bookmarkStart w:id="797" w:name="_Toc303539140"/>
      <w:bookmarkStart w:id="798" w:name="_Toc297216193"/>
      <w:bookmarkStart w:id="799" w:name="_Toc312677496"/>
      <w:bookmarkStart w:id="800" w:name="_Toc300934983"/>
      <w:bookmarkStart w:id="801" w:name="_Toc297123534"/>
      <w:bookmarkStart w:id="802" w:name="_Toc312678022"/>
      <w:r>
        <w:rPr>
          <w:rFonts w:hint="eastAsia" w:ascii="华文中宋" w:hAnsi="华文中宋" w:eastAsia="华文中宋" w:cs="华文中宋"/>
          <w:color w:val="auto"/>
          <w:sz w:val="24"/>
          <w:szCs w:val="24"/>
        </w:rPr>
        <w:t>.1试验设备与试验人员</w:t>
      </w:r>
    </w:p>
    <w:bookmarkEnd w:id="796"/>
    <w:bookmarkEnd w:id="797"/>
    <w:bookmarkEnd w:id="798"/>
    <w:bookmarkEnd w:id="799"/>
    <w:bookmarkEnd w:id="800"/>
    <w:bookmarkEnd w:id="801"/>
    <w:bookmarkEnd w:id="802"/>
    <w:p w14:paraId="2840CC5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bookmarkStart w:id="803" w:name="_Toc297216194"/>
      <w:bookmarkStart w:id="804" w:name="_Toc312678023"/>
      <w:bookmarkStart w:id="805" w:name="_Toc312677497"/>
      <w:bookmarkStart w:id="806" w:name="_Toc300934984"/>
      <w:bookmarkStart w:id="807" w:name="_Toc297123535"/>
      <w:bookmarkStart w:id="808" w:name="_Toc304295561"/>
      <w:bookmarkStart w:id="809" w:name="_Toc303539141"/>
      <w:bookmarkStart w:id="810" w:name="_Toc318581174"/>
      <w:r>
        <w:rPr>
          <w:rFonts w:hint="eastAsia" w:ascii="华文中宋" w:hAnsi="华文中宋" w:eastAsia="华文中宋" w:cs="华文中宋"/>
          <w:color w:val="auto"/>
          <w:sz w:val="24"/>
          <w:szCs w:val="24"/>
        </w:rPr>
        <w:t>.1.2 试验设备</w:t>
      </w:r>
    </w:p>
    <w:p w14:paraId="7D46783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施工现场需要配置的试验场所：</w:t>
      </w:r>
      <w:bookmarkEnd w:id="803"/>
      <w:bookmarkEnd w:id="804"/>
      <w:bookmarkEnd w:id="805"/>
      <w:bookmarkEnd w:id="806"/>
      <w:bookmarkEnd w:id="807"/>
      <w:bookmarkEnd w:id="808"/>
      <w:bookmarkEnd w:id="809"/>
      <w:bookmarkStart w:id="811" w:name="_Toc312677498"/>
      <w:bookmarkStart w:id="812" w:name="_Toc303539142"/>
      <w:bookmarkStart w:id="813" w:name="_Toc297123536"/>
      <w:bookmarkStart w:id="814" w:name="_Toc312678024"/>
      <w:bookmarkStart w:id="815" w:name="_Toc297216195"/>
      <w:bookmarkStart w:id="816" w:name="_Toc304295562"/>
      <w:bookmarkStart w:id="817" w:name="_Toc300934985"/>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2B05720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施工现场需要配备的试验设备：</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30C8763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施工现场需要具备的其他试验条件：</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755B08AA">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9.4 现场工艺试验 </w:t>
      </w:r>
    </w:p>
    <w:p w14:paraId="2319DBBA">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现场工艺试验的有关约定：</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bookmarkEnd w:id="810"/>
    <w:bookmarkEnd w:id="811"/>
    <w:bookmarkEnd w:id="812"/>
    <w:bookmarkEnd w:id="813"/>
    <w:bookmarkEnd w:id="814"/>
    <w:bookmarkEnd w:id="815"/>
    <w:bookmarkEnd w:id="816"/>
    <w:bookmarkEnd w:id="817"/>
    <w:p w14:paraId="480275EF">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818" w:name="_Toc375060863"/>
      <w:r>
        <w:rPr>
          <w:rFonts w:hint="eastAsia" w:ascii="华文中宋" w:hAnsi="华文中宋" w:eastAsia="华文中宋" w:cs="华文中宋"/>
          <w:b w:val="0"/>
          <w:color w:val="auto"/>
          <w:sz w:val="24"/>
          <w:szCs w:val="24"/>
        </w:rPr>
        <w:t>1</w:t>
      </w:r>
      <w:bookmarkEnd w:id="784"/>
      <w:bookmarkEnd w:id="785"/>
      <w:bookmarkEnd w:id="786"/>
      <w:bookmarkEnd w:id="787"/>
      <w:bookmarkEnd w:id="788"/>
      <w:bookmarkEnd w:id="789"/>
      <w:bookmarkEnd w:id="790"/>
      <w:bookmarkEnd w:id="791"/>
      <w:bookmarkEnd w:id="792"/>
      <w:bookmarkEnd w:id="793"/>
      <w:bookmarkEnd w:id="794"/>
      <w:bookmarkEnd w:id="795"/>
      <w:bookmarkStart w:id="819" w:name="_Toc303539146"/>
      <w:bookmarkStart w:id="820" w:name="_Toc296346694"/>
      <w:bookmarkStart w:id="821" w:name="_Toc297048379"/>
      <w:bookmarkStart w:id="822" w:name="_Toc296891233"/>
      <w:bookmarkStart w:id="823" w:name="_Toc297216199"/>
      <w:bookmarkStart w:id="824" w:name="_Toc297120493"/>
      <w:bookmarkStart w:id="825" w:name="_Toc300934989"/>
      <w:bookmarkStart w:id="826" w:name="_Toc292559903"/>
      <w:bookmarkStart w:id="827" w:name="_Toc297123540"/>
      <w:bookmarkStart w:id="828" w:name="_Toc304295566"/>
      <w:bookmarkStart w:id="829" w:name="_Toc292559398"/>
      <w:bookmarkStart w:id="830" w:name="_Toc296347192"/>
      <w:bookmarkStart w:id="831" w:name="_Toc296503193"/>
      <w:bookmarkStart w:id="832" w:name="_Toc296944532"/>
      <w:bookmarkStart w:id="833" w:name="_Toc296891021"/>
      <w:bookmarkStart w:id="834" w:name="_Toc312678025"/>
      <w:bookmarkStart w:id="835" w:name="_Toc312677499"/>
      <w:bookmarkStart w:id="836" w:name="_Toc267251437"/>
      <w:bookmarkStart w:id="837" w:name="_Toc267251439"/>
      <w:bookmarkStart w:id="838" w:name="_Toc267251435"/>
      <w:bookmarkStart w:id="839" w:name="_Toc267251441"/>
      <w:bookmarkStart w:id="840" w:name="_Toc267251440"/>
      <w:bookmarkStart w:id="841" w:name="_Toc267251433"/>
      <w:bookmarkStart w:id="842" w:name="_Toc267251442"/>
      <w:r>
        <w:rPr>
          <w:rFonts w:hint="eastAsia" w:ascii="华文中宋" w:hAnsi="华文中宋" w:eastAsia="华文中宋" w:cs="华文中宋"/>
          <w:b w:val="0"/>
          <w:color w:val="auto"/>
          <w:sz w:val="24"/>
          <w:szCs w:val="24"/>
        </w:rPr>
        <w:t>0. 变更</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bookmarkEnd w:id="834"/>
    <w:bookmarkEnd w:id="835"/>
    <w:p w14:paraId="5FD99CC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bookmarkStart w:id="843" w:name="_Toc296346695"/>
      <w:bookmarkStart w:id="844" w:name="_Toc312677500"/>
      <w:bookmarkStart w:id="845" w:name="_Toc297120494"/>
      <w:bookmarkStart w:id="846" w:name="_Toc292559904"/>
      <w:bookmarkStart w:id="847" w:name="_Toc297216200"/>
      <w:bookmarkStart w:id="848" w:name="_Toc297123541"/>
      <w:bookmarkStart w:id="849" w:name="_Toc296891022"/>
      <w:bookmarkStart w:id="850" w:name="_Toc296891234"/>
      <w:bookmarkStart w:id="851" w:name="_Toc296503194"/>
      <w:bookmarkStart w:id="852" w:name="_Toc296347193"/>
      <w:bookmarkStart w:id="853" w:name="_Toc304295567"/>
      <w:bookmarkStart w:id="854" w:name="_Toc300934990"/>
      <w:bookmarkStart w:id="855" w:name="_Toc292559399"/>
      <w:bookmarkStart w:id="856" w:name="_Toc296944533"/>
      <w:bookmarkStart w:id="857" w:name="_Toc312678026"/>
      <w:bookmarkStart w:id="858" w:name="_Toc297048380"/>
      <w:bookmarkStart w:id="859" w:name="_Toc303539147"/>
      <w:r>
        <w:rPr>
          <w:rFonts w:hint="eastAsia" w:ascii="华文中宋" w:hAnsi="华文中宋" w:eastAsia="华文中宋" w:cs="华文中宋"/>
          <w:color w:val="auto"/>
          <w:sz w:val="24"/>
          <w:szCs w:val="24"/>
        </w:rPr>
        <w:t>0.1变更的范围</w:t>
      </w:r>
    </w:p>
    <w:p w14:paraId="6B75DF8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关于变更的范围的约定：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476936C9">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10.4 变更估价</w:t>
      </w:r>
    </w:p>
    <w:p w14:paraId="01B6898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10.4.1 变更估价原则</w:t>
      </w:r>
    </w:p>
    <w:p w14:paraId="5F8A992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关于变更估价的约定：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4EC714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Start w:id="860" w:name="_Toc297048383"/>
      <w:bookmarkStart w:id="861" w:name="_Toc296944536"/>
      <w:bookmarkStart w:id="862" w:name="_Toc297123544"/>
      <w:bookmarkStart w:id="863" w:name="_Toc296891237"/>
      <w:bookmarkStart w:id="864" w:name="_Toc296347196"/>
      <w:bookmarkStart w:id="865" w:name="_Toc296503197"/>
      <w:bookmarkStart w:id="866" w:name="_Toc296346698"/>
      <w:bookmarkStart w:id="867" w:name="_Toc292559907"/>
      <w:bookmarkStart w:id="868" w:name="_Toc300934993"/>
      <w:bookmarkStart w:id="869" w:name="_Toc297120497"/>
      <w:bookmarkStart w:id="870" w:name="_Toc303539150"/>
      <w:bookmarkStart w:id="871" w:name="_Toc297216203"/>
      <w:bookmarkStart w:id="872" w:name="_Toc292559402"/>
      <w:bookmarkStart w:id="873" w:name="_Toc296891025"/>
      <w:bookmarkStart w:id="874" w:name="_Toc312677503"/>
      <w:bookmarkStart w:id="875" w:name="_Toc304295570"/>
      <w:bookmarkStart w:id="876" w:name="_Toc312678029"/>
      <w:r>
        <w:rPr>
          <w:rFonts w:hint="eastAsia" w:ascii="华文中宋" w:hAnsi="华文中宋" w:eastAsia="华文中宋" w:cs="华文中宋"/>
          <w:color w:val="auto"/>
          <w:sz w:val="24"/>
          <w:szCs w:val="24"/>
        </w:rPr>
        <w:t>0.5承</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Start w:id="877" w:name="_Toc296503203"/>
      <w:bookmarkStart w:id="878" w:name="_Toc303539151"/>
      <w:bookmarkStart w:id="879" w:name="_Toc292559408"/>
      <w:bookmarkStart w:id="880" w:name="_Toc297048389"/>
      <w:bookmarkStart w:id="881" w:name="_Toc296346704"/>
      <w:bookmarkStart w:id="882" w:name="_Toc300934994"/>
      <w:bookmarkStart w:id="883" w:name="_Toc296891031"/>
      <w:bookmarkStart w:id="884" w:name="_Toc296347202"/>
      <w:bookmarkStart w:id="885" w:name="_Toc296944542"/>
      <w:bookmarkStart w:id="886" w:name="_Toc292559913"/>
      <w:bookmarkStart w:id="887" w:name="_Toc297120503"/>
      <w:bookmarkStart w:id="888" w:name="_Toc297123545"/>
      <w:bookmarkStart w:id="889" w:name="_Toc297216204"/>
      <w:bookmarkStart w:id="890" w:name="_Toc296891243"/>
      <w:r>
        <w:rPr>
          <w:rFonts w:hint="eastAsia" w:ascii="华文中宋" w:hAnsi="华文中宋" w:eastAsia="华文中宋" w:cs="华文中宋"/>
          <w:color w:val="auto"/>
          <w:sz w:val="24"/>
          <w:szCs w:val="24"/>
        </w:rPr>
        <w:t>包人的合理化建议</w:t>
      </w:r>
    </w:p>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14:paraId="04E6190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监理人审查承包人合理化建议的期限：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5F28A6C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发包人审批承包人合理化建议的期限：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73A51FD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承</w:t>
      </w:r>
      <w:bookmarkStart w:id="891" w:name="_Toc296346705"/>
      <w:bookmarkStart w:id="892" w:name="_Toc296944543"/>
      <w:bookmarkStart w:id="893" w:name="_Toc296891244"/>
      <w:bookmarkStart w:id="894" w:name="_Toc297123546"/>
      <w:bookmarkStart w:id="895" w:name="_Toc312678030"/>
      <w:bookmarkStart w:id="896" w:name="_Toc297216205"/>
      <w:bookmarkStart w:id="897" w:name="_Toc304295571"/>
      <w:bookmarkStart w:id="898" w:name="_Toc312677504"/>
      <w:bookmarkStart w:id="899" w:name="_Toc300934995"/>
      <w:bookmarkStart w:id="900" w:name="_Toc292559914"/>
      <w:bookmarkStart w:id="901" w:name="_Toc292559409"/>
      <w:bookmarkStart w:id="902" w:name="_Toc296347203"/>
      <w:bookmarkStart w:id="903" w:name="_Toc318581175"/>
      <w:bookmarkStart w:id="904" w:name="_Toc296891032"/>
      <w:bookmarkStart w:id="905" w:name="_Toc297048390"/>
      <w:bookmarkStart w:id="906" w:name="_Toc303539152"/>
      <w:bookmarkStart w:id="907" w:name="_Toc297120504"/>
      <w:bookmarkStart w:id="908" w:name="_Toc296503204"/>
      <w:r>
        <w:rPr>
          <w:rFonts w:hint="eastAsia" w:ascii="华文中宋" w:hAnsi="华文中宋" w:eastAsia="华文中宋" w:cs="华文中宋"/>
          <w:color w:val="auto"/>
          <w:sz w:val="24"/>
          <w:szCs w:val="24"/>
        </w:rPr>
        <w:t>包人提出的合理化建议降低了合同价格或者提高了工程经济效益的奖励的方法和金额为：</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w:t>
      </w:r>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14:paraId="0C68209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bookmarkStart w:id="909" w:name="_Toc296891239"/>
      <w:bookmarkStart w:id="910" w:name="_Toc297123548"/>
      <w:bookmarkStart w:id="911" w:name="_Toc292559909"/>
      <w:bookmarkStart w:id="912" w:name="_Toc312678033"/>
      <w:bookmarkStart w:id="913" w:name="_Toc297216207"/>
      <w:bookmarkStart w:id="914" w:name="_Toc303539154"/>
      <w:bookmarkStart w:id="915" w:name="_Toc297048385"/>
      <w:bookmarkStart w:id="916" w:name="_Toc304295574"/>
      <w:bookmarkStart w:id="917" w:name="_Toc296944538"/>
      <w:bookmarkStart w:id="918" w:name="_Toc296891027"/>
      <w:bookmarkStart w:id="919" w:name="_Toc296346700"/>
      <w:bookmarkStart w:id="920" w:name="_Toc312677507"/>
      <w:bookmarkStart w:id="921" w:name="_Toc292559404"/>
      <w:bookmarkStart w:id="922" w:name="_Toc297120499"/>
      <w:bookmarkStart w:id="923" w:name="_Toc296503199"/>
      <w:bookmarkStart w:id="924" w:name="_Toc296347198"/>
      <w:bookmarkStart w:id="925" w:name="_Toc300934997"/>
      <w:r>
        <w:rPr>
          <w:rFonts w:hint="eastAsia" w:ascii="华文中宋" w:hAnsi="华文中宋" w:eastAsia="华文中宋" w:cs="华文中宋"/>
          <w:color w:val="auto"/>
          <w:sz w:val="24"/>
          <w:szCs w:val="24"/>
        </w:rPr>
        <w:t>0.7 暂估价</w:t>
      </w:r>
    </w:p>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14:paraId="640AE3F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暂</w:t>
      </w:r>
      <w:bookmarkStart w:id="926" w:name="_Toc312677508"/>
      <w:bookmarkStart w:id="927" w:name="_Toc318581176"/>
      <w:bookmarkStart w:id="928" w:name="_Toc312678034"/>
      <w:r>
        <w:rPr>
          <w:rFonts w:hint="eastAsia" w:ascii="华文中宋" w:hAnsi="华文中宋" w:eastAsia="华文中宋" w:cs="华文中宋"/>
          <w:color w:val="auto"/>
          <w:kern w:val="0"/>
          <w:sz w:val="24"/>
          <w:szCs w:val="24"/>
        </w:rPr>
        <w:t>估价材料和工程设备的明细详见附件11：《</w:t>
      </w:r>
      <w:r>
        <w:rPr>
          <w:rFonts w:hint="eastAsia" w:ascii="华文中宋" w:hAnsi="华文中宋" w:eastAsia="华文中宋" w:cs="华文中宋"/>
          <w:color w:val="auto"/>
          <w:sz w:val="24"/>
          <w:szCs w:val="24"/>
        </w:rPr>
        <w:t>暂估价一览表》</w:t>
      </w:r>
      <w:r>
        <w:rPr>
          <w:rFonts w:hint="eastAsia" w:ascii="华文中宋" w:hAnsi="华文中宋" w:eastAsia="华文中宋" w:cs="华文中宋"/>
          <w:color w:val="auto"/>
          <w:kern w:val="0"/>
          <w:sz w:val="24"/>
          <w:szCs w:val="24"/>
        </w:rPr>
        <w:t>。</w:t>
      </w:r>
    </w:p>
    <w:bookmarkEnd w:id="926"/>
    <w:bookmarkEnd w:id="927"/>
    <w:bookmarkEnd w:id="928"/>
    <w:p w14:paraId="3A49809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bookmarkStart w:id="929" w:name="_Toc318581177"/>
      <w:bookmarkStart w:id="930" w:name="_Toc312678035"/>
      <w:bookmarkStart w:id="931" w:name="_Toc312677509"/>
      <w:r>
        <w:rPr>
          <w:rFonts w:hint="eastAsia" w:ascii="华文中宋" w:hAnsi="华文中宋" w:eastAsia="华文中宋" w:cs="华文中宋"/>
          <w:color w:val="auto"/>
          <w:sz w:val="24"/>
          <w:szCs w:val="24"/>
        </w:rPr>
        <w:t>0.7.1 依法必须招标的暂估价项目</w:t>
      </w:r>
    </w:p>
    <w:bookmarkEnd w:id="929"/>
    <w:bookmarkEnd w:id="930"/>
    <w:bookmarkEnd w:id="931"/>
    <w:p w14:paraId="4E23F8B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对于依法必须招标的暂估价项目的确认和批准采取第</w:t>
      </w:r>
      <w:r>
        <w:rPr>
          <w:rFonts w:hint="eastAsia" w:ascii="华文中宋" w:hAnsi="华文中宋" w:eastAsia="华文中宋" w:cs="华文中宋"/>
          <w:b/>
          <w:color w:val="auto"/>
          <w:sz w:val="24"/>
          <w:szCs w:val="24"/>
          <w:u w:val="single"/>
        </w:rPr>
        <w:t>2</w:t>
      </w:r>
      <w:r>
        <w:rPr>
          <w:rFonts w:hint="eastAsia" w:ascii="华文中宋" w:hAnsi="华文中宋" w:eastAsia="华文中宋" w:cs="华文中宋"/>
          <w:color w:val="auto"/>
          <w:sz w:val="24"/>
          <w:szCs w:val="24"/>
        </w:rPr>
        <w:t>种方式确定。</w:t>
      </w:r>
    </w:p>
    <w:p w14:paraId="79925ED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10.7.2 不属于依法必须招标的暂估价项目</w:t>
      </w:r>
    </w:p>
    <w:p w14:paraId="4147B67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对于不属于依法必须招标的暂估价项目的确认和批准采取第</w:t>
      </w:r>
      <w:r>
        <w:rPr>
          <w:rFonts w:hint="eastAsia" w:ascii="华文中宋" w:hAnsi="华文中宋" w:eastAsia="华文中宋" w:cs="华文中宋"/>
          <w:b/>
          <w:color w:val="auto"/>
          <w:sz w:val="24"/>
          <w:szCs w:val="24"/>
          <w:u w:val="single"/>
        </w:rPr>
        <w:t>3</w:t>
      </w:r>
      <w:r>
        <w:rPr>
          <w:rFonts w:hint="eastAsia" w:ascii="华文中宋" w:hAnsi="华文中宋" w:eastAsia="华文中宋" w:cs="华文中宋"/>
          <w:color w:val="auto"/>
          <w:sz w:val="24"/>
          <w:szCs w:val="24"/>
        </w:rPr>
        <w:t>种方式确定。</w:t>
      </w:r>
    </w:p>
    <w:p w14:paraId="33EB9FA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第3种方式：</w:t>
      </w:r>
      <w:r>
        <w:rPr>
          <w:rFonts w:hint="eastAsia" w:ascii="华文中宋" w:hAnsi="华文中宋" w:eastAsia="华文中宋" w:cs="华文中宋"/>
          <w:color w:val="auto"/>
          <w:kern w:val="0"/>
          <w:sz w:val="24"/>
          <w:szCs w:val="24"/>
        </w:rPr>
        <w:t>承包人直接实施的暂估价项目</w:t>
      </w:r>
    </w:p>
    <w:p w14:paraId="157DAAA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承包人直接实施的暂估价项目的约定：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08DB8F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10.8 暂列金额</w:t>
      </w:r>
    </w:p>
    <w:p w14:paraId="7EACE71D">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合同当事人关于暂列金额使用的约定：</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196EA0E2">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932" w:name="_Toc375060864"/>
      <w:r>
        <w:rPr>
          <w:rFonts w:hint="eastAsia" w:ascii="华文中宋" w:hAnsi="华文中宋" w:eastAsia="华文中宋" w:cs="华文中宋"/>
          <w:b w:val="0"/>
          <w:color w:val="auto"/>
          <w:sz w:val="24"/>
          <w:szCs w:val="24"/>
        </w:rPr>
        <w:t>11. 价格调整</w:t>
      </w:r>
      <w:bookmarkEnd w:id="932"/>
    </w:p>
    <w:p w14:paraId="68A7322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bookmarkStart w:id="933" w:name="_Toc297120501"/>
      <w:bookmarkStart w:id="934" w:name="_Toc300935000"/>
      <w:bookmarkStart w:id="935" w:name="_Toc296503201"/>
      <w:bookmarkStart w:id="936" w:name="_Toc296891241"/>
      <w:bookmarkStart w:id="937" w:name="_Toc296944540"/>
      <w:bookmarkStart w:id="938" w:name="_Toc292559911"/>
      <w:bookmarkStart w:id="939" w:name="_Toc296347200"/>
      <w:bookmarkStart w:id="940" w:name="_Toc292559406"/>
      <w:bookmarkStart w:id="941" w:name="_Toc297216209"/>
      <w:bookmarkStart w:id="942" w:name="_Toc297048387"/>
      <w:bookmarkStart w:id="943" w:name="_Toc296891029"/>
      <w:bookmarkStart w:id="944" w:name="_Toc296346702"/>
      <w:bookmarkStart w:id="945" w:name="_Toc304295577"/>
      <w:bookmarkStart w:id="946" w:name="_Toc297123550"/>
      <w:bookmarkStart w:id="947" w:name="_Toc312678039"/>
      <w:bookmarkStart w:id="948" w:name="_Toc303539157"/>
      <w:r>
        <w:rPr>
          <w:rFonts w:hint="eastAsia" w:ascii="华文中宋" w:hAnsi="华文中宋" w:eastAsia="华文中宋" w:cs="华文中宋"/>
          <w:color w:val="auto"/>
          <w:sz w:val="24"/>
          <w:szCs w:val="24"/>
        </w:rPr>
        <w:t>11.1 市场价格波动引起的调整</w:t>
      </w:r>
    </w:p>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14:paraId="1BEAA4A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bCs/>
          <w:color w:val="auto"/>
          <w:sz w:val="24"/>
          <w:szCs w:val="24"/>
        </w:rPr>
      </w:pPr>
      <w:r>
        <w:rPr>
          <w:rFonts w:hint="eastAsia" w:ascii="华文中宋" w:hAnsi="华文中宋" w:eastAsia="华文中宋" w:cs="华文中宋"/>
          <w:color w:val="auto"/>
          <w:kern w:val="0"/>
          <w:sz w:val="24"/>
          <w:szCs w:val="24"/>
        </w:rPr>
        <w:t>市场价格波动是否调整合同价格的约定：</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bCs/>
          <w:color w:val="auto"/>
          <w:sz w:val="24"/>
          <w:szCs w:val="24"/>
        </w:rPr>
        <w:t>。</w:t>
      </w:r>
    </w:p>
    <w:p w14:paraId="38C956F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因市场价格波动调整合同价格，采用以下第</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种方式对合同价格进行调整：</w:t>
      </w:r>
    </w:p>
    <w:p w14:paraId="4767FD2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第1种方式：采用价格指数进行价格调整。</w:t>
      </w:r>
    </w:p>
    <w:p w14:paraId="6EA0E98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关于各可调因子、定值和变值权重，以及基本价格指数及其来源的约定：</w:t>
      </w:r>
    </w:p>
    <w:p w14:paraId="67DA1B96">
      <w:pPr>
        <w:pageBreakBefore w:val="0"/>
        <w:kinsoku/>
        <w:wordWrap/>
        <w:overflowPunct/>
        <w:topLinePunct w:val="0"/>
        <w:bidi w:val="0"/>
        <w:snapToGrid/>
        <w:spacing w:line="360" w:lineRule="auto"/>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 xml:space="preserve">；  </w:t>
      </w:r>
    </w:p>
    <w:p w14:paraId="263A3CF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第2种方式：采用造价信息进行价格调整。</w:t>
      </w:r>
    </w:p>
    <w:p w14:paraId="1CE08DA3">
      <w:pPr>
        <w:pageBreakBefore w:val="0"/>
        <w:numPr>
          <w:ilvl w:val="0"/>
          <w:numId w:val="2"/>
        </w:numPr>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关于基准价格的约定：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72D23B0B">
      <w:pPr>
        <w:pStyle w:val="28"/>
        <w:pageBreakBefore w:val="0"/>
        <w:kinsoku/>
        <w:wordWrap/>
        <w:overflowPunct/>
        <w:topLinePunct w:val="0"/>
        <w:bidi w:val="0"/>
        <w:snapToGrid/>
        <w:spacing w:after="0" w:line="360" w:lineRule="auto"/>
        <w:ind w:left="420" w:leftChars="200" w:firstLine="240" w:firstLineChars="1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专用合同条款①承包人在已标价工程量清单或预算书中载明的材料单价低于基准价格的：专用合同条款履行期间材料单价涨幅以基准价格为基础超</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时，或材料单价跌幅以已标价工程量清单或预算书中载明材料单价为基础超过</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时，其超过部分据实调整。</w:t>
      </w:r>
    </w:p>
    <w:p w14:paraId="6D539855">
      <w:pPr>
        <w:pStyle w:val="28"/>
        <w:pageBreakBefore w:val="0"/>
        <w:kinsoku/>
        <w:wordWrap/>
        <w:overflowPunct/>
        <w:topLinePunct w:val="0"/>
        <w:bidi w:val="0"/>
        <w:snapToGrid/>
        <w:spacing w:after="0" w:line="360" w:lineRule="auto"/>
        <w:ind w:left="420" w:leftChars="200" w:firstLine="240" w:firstLineChars="1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②承包人在已标价工程量清单或预算书中载明的材料单价高于基准价格的：专用合同条款合同履行期间材料单价跌幅以基准价格为基础超过</w:t>
      </w:r>
    </w:p>
    <w:p w14:paraId="2FEDDA71">
      <w:pPr>
        <w:pStyle w:val="28"/>
        <w:pageBreakBefore w:val="0"/>
        <w:kinsoku/>
        <w:wordWrap/>
        <w:overflowPunct/>
        <w:topLinePunct w:val="0"/>
        <w:bidi w:val="0"/>
        <w:snapToGrid/>
        <w:spacing w:after="0" w:line="360" w:lineRule="auto"/>
        <w:ind w:left="559" w:leftChars="266" w:firstLine="0" w:firstLineChars="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时，材料单价涨幅以已标价工程量清单或预算书中载明材料单价为基础超过</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时，其超过部分据实调整。</w:t>
      </w:r>
    </w:p>
    <w:p w14:paraId="7CFD7219">
      <w:pPr>
        <w:pStyle w:val="28"/>
        <w:pageBreakBefore w:val="0"/>
        <w:kinsoku/>
        <w:wordWrap/>
        <w:overflowPunct/>
        <w:topLinePunct w:val="0"/>
        <w:bidi w:val="0"/>
        <w:snapToGrid/>
        <w:spacing w:after="0" w:line="360" w:lineRule="auto"/>
        <w:ind w:left="420" w:leftChars="200" w:firstLine="240" w:firstLineChars="100"/>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rPr>
        <w:t>③承包人在已标价工程量清单或预算书中载明的材料单价等于基准单价的：专用合同条款合同履行期间材料单价涨跌幅以基准单价为基础超过</w:t>
      </w:r>
      <w:r>
        <w:rPr>
          <w:rFonts w:hint="eastAsia" w:ascii="华文中宋" w:hAnsi="华文中宋" w:eastAsia="华文中宋" w:cs="华文中宋"/>
          <w:color w:val="auto"/>
          <w:sz w:val="24"/>
          <w:szCs w:val="24"/>
          <w:lang w:val="en-US" w:eastAsia="zh-CN"/>
        </w:rPr>
        <w:t xml:space="preserve">          </w:t>
      </w:r>
    </w:p>
    <w:p w14:paraId="223B6D86">
      <w:pPr>
        <w:pStyle w:val="28"/>
        <w:pageBreakBefore w:val="0"/>
        <w:kinsoku/>
        <w:wordWrap/>
        <w:overflowPunct/>
        <w:topLinePunct w:val="0"/>
        <w:bidi w:val="0"/>
        <w:snapToGrid/>
        <w:spacing w:after="0" w:line="360" w:lineRule="auto"/>
        <w:ind w:left="0" w:leftChars="0"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时，其超过部分据实调整。</w:t>
      </w:r>
    </w:p>
    <w:p w14:paraId="2EF76BB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第3种方式：其他价格调整方式：</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bookmarkEnd w:id="836"/>
    <w:bookmarkEnd w:id="837"/>
    <w:bookmarkEnd w:id="838"/>
    <w:bookmarkEnd w:id="839"/>
    <w:bookmarkEnd w:id="840"/>
    <w:bookmarkEnd w:id="841"/>
    <w:p w14:paraId="78068F84">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949" w:name="_Toc292559410"/>
      <w:bookmarkStart w:id="950" w:name="_Toc296503205"/>
      <w:bookmarkStart w:id="951" w:name="_Toc297120505"/>
      <w:bookmarkStart w:id="952" w:name="_Toc292559915"/>
      <w:bookmarkStart w:id="953" w:name="_Toc297048391"/>
      <w:bookmarkStart w:id="954" w:name="_Toc296891245"/>
      <w:bookmarkStart w:id="955" w:name="_Toc296944544"/>
      <w:bookmarkStart w:id="956" w:name="_Toc296891033"/>
      <w:bookmarkStart w:id="957" w:name="_Toc296347204"/>
      <w:bookmarkStart w:id="958" w:name="_Toc296346706"/>
      <w:bookmarkStart w:id="959" w:name="_Toc375060865"/>
      <w:bookmarkStart w:id="960" w:name="_Toc300935002"/>
      <w:bookmarkStart w:id="961" w:name="_Toc312678040"/>
      <w:bookmarkStart w:id="962" w:name="_Toc297123552"/>
      <w:bookmarkStart w:id="963" w:name="_Toc297216211"/>
      <w:bookmarkStart w:id="964" w:name="_Toc303539159"/>
      <w:bookmarkStart w:id="965" w:name="_Toc304295579"/>
      <w:r>
        <w:rPr>
          <w:rFonts w:hint="eastAsia" w:ascii="华文中宋" w:hAnsi="华文中宋" w:eastAsia="华文中宋" w:cs="华文中宋"/>
          <w:b w:val="0"/>
          <w:color w:val="auto"/>
          <w:sz w:val="24"/>
          <w:szCs w:val="24"/>
        </w:rPr>
        <w:t xml:space="preserve">12. </w:t>
      </w:r>
      <w:bookmarkEnd w:id="949"/>
      <w:bookmarkEnd w:id="950"/>
      <w:bookmarkEnd w:id="951"/>
      <w:bookmarkEnd w:id="952"/>
      <w:bookmarkEnd w:id="953"/>
      <w:bookmarkEnd w:id="954"/>
      <w:bookmarkEnd w:id="955"/>
      <w:bookmarkEnd w:id="956"/>
      <w:bookmarkEnd w:id="957"/>
      <w:bookmarkEnd w:id="958"/>
      <w:r>
        <w:rPr>
          <w:rFonts w:hint="eastAsia" w:ascii="华文中宋" w:hAnsi="华文中宋" w:eastAsia="华文中宋" w:cs="华文中宋"/>
          <w:b w:val="0"/>
          <w:color w:val="auto"/>
          <w:sz w:val="24"/>
          <w:szCs w:val="24"/>
        </w:rPr>
        <w:t>合同价格、计量与支付</w:t>
      </w:r>
      <w:bookmarkEnd w:id="959"/>
    </w:p>
    <w:bookmarkEnd w:id="960"/>
    <w:bookmarkEnd w:id="961"/>
    <w:bookmarkEnd w:id="962"/>
    <w:bookmarkEnd w:id="963"/>
    <w:bookmarkEnd w:id="964"/>
    <w:bookmarkEnd w:id="965"/>
    <w:p w14:paraId="5C83F1E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bookmarkStart w:id="966" w:name="_Toc267251461"/>
      <w:bookmarkStart w:id="967" w:name="_Toc292559411"/>
      <w:bookmarkStart w:id="968" w:name="_Toc292559916"/>
      <w:bookmarkStart w:id="969" w:name="_Toc296347205"/>
      <w:bookmarkStart w:id="970" w:name="_Toc296891034"/>
      <w:bookmarkStart w:id="971" w:name="_Toc296891246"/>
      <w:bookmarkStart w:id="972" w:name="_Toc296503206"/>
      <w:bookmarkStart w:id="973" w:name="_Toc297120506"/>
      <w:bookmarkStart w:id="974" w:name="_Toc296346707"/>
      <w:bookmarkStart w:id="975" w:name="_Toc296944545"/>
      <w:bookmarkStart w:id="976" w:name="_Toc297048392"/>
      <w:bookmarkStart w:id="977" w:name="_Toc312678041"/>
      <w:bookmarkStart w:id="978" w:name="_Toc304295580"/>
      <w:bookmarkStart w:id="979" w:name="_Toc297216212"/>
      <w:bookmarkStart w:id="980" w:name="_Toc297123553"/>
      <w:bookmarkStart w:id="981" w:name="_Toc303539160"/>
      <w:bookmarkStart w:id="982" w:name="_Toc300935003"/>
      <w:r>
        <w:rPr>
          <w:rFonts w:hint="eastAsia" w:ascii="华文中宋" w:hAnsi="华文中宋" w:eastAsia="华文中宋" w:cs="华文中宋"/>
          <w:color w:val="auto"/>
          <w:sz w:val="24"/>
          <w:szCs w:val="24"/>
        </w:rPr>
        <w:t>12.1 合</w:t>
      </w:r>
      <w:bookmarkEnd w:id="966"/>
      <w:bookmarkEnd w:id="967"/>
      <w:bookmarkEnd w:id="968"/>
      <w:r>
        <w:rPr>
          <w:rFonts w:hint="eastAsia" w:ascii="华文中宋" w:hAnsi="华文中宋" w:eastAsia="华文中宋" w:cs="华文中宋"/>
          <w:color w:val="auto"/>
          <w:sz w:val="24"/>
          <w:szCs w:val="24"/>
        </w:rPr>
        <w:t>同价</w:t>
      </w:r>
      <w:bookmarkEnd w:id="969"/>
      <w:bookmarkEnd w:id="970"/>
      <w:bookmarkEnd w:id="971"/>
      <w:bookmarkEnd w:id="972"/>
      <w:bookmarkEnd w:id="973"/>
      <w:bookmarkEnd w:id="974"/>
      <w:bookmarkEnd w:id="975"/>
      <w:bookmarkEnd w:id="976"/>
      <w:r>
        <w:rPr>
          <w:rFonts w:hint="eastAsia" w:ascii="华文中宋" w:hAnsi="华文中宋" w:eastAsia="华文中宋" w:cs="华文中宋"/>
          <w:color w:val="auto"/>
          <w:sz w:val="24"/>
          <w:szCs w:val="24"/>
        </w:rPr>
        <w:t>格形式</w:t>
      </w:r>
    </w:p>
    <w:bookmarkEnd w:id="977"/>
    <w:bookmarkEnd w:id="978"/>
    <w:bookmarkEnd w:id="979"/>
    <w:bookmarkEnd w:id="980"/>
    <w:bookmarkEnd w:id="981"/>
    <w:bookmarkEnd w:id="982"/>
    <w:p w14:paraId="5D6F57B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1、单价合同。</w:t>
      </w:r>
    </w:p>
    <w:p w14:paraId="08CB4A5C">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综合单价包含的风险范围：</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530E00FE">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风险费用的计算方法：</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C47668B">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风险范围以外合同价格的调整方法：</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FFC0D8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2、总价合同。</w:t>
      </w:r>
    </w:p>
    <w:p w14:paraId="6847A81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总价包含的风险范围：</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18CF3DF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风险费用的计算方法：</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56E4B5A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风险范围以外合同价格的调整方法：</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233F72E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3、其他价格方式：</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7DE8C70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bookmarkStart w:id="983" w:name="_Toc312678042"/>
      <w:bookmarkStart w:id="984" w:name="_Toc304295581"/>
      <w:bookmarkStart w:id="985" w:name="_Toc297123554"/>
      <w:bookmarkStart w:id="986" w:name="_Toc300935004"/>
      <w:bookmarkStart w:id="987" w:name="_Toc303539161"/>
      <w:bookmarkStart w:id="988" w:name="_Toc297216213"/>
      <w:bookmarkStart w:id="989" w:name="_Toc297120507"/>
      <w:bookmarkStart w:id="990" w:name="_Toc296891247"/>
      <w:bookmarkStart w:id="991" w:name="_Toc296347206"/>
      <w:bookmarkStart w:id="992" w:name="_Toc296346708"/>
      <w:bookmarkStart w:id="993" w:name="_Toc292559917"/>
      <w:bookmarkStart w:id="994" w:name="_Toc296891035"/>
      <w:bookmarkStart w:id="995" w:name="_Toc292559412"/>
      <w:bookmarkStart w:id="996" w:name="_Toc297048393"/>
      <w:bookmarkStart w:id="997" w:name="_Toc296944546"/>
      <w:bookmarkStart w:id="998" w:name="_Toc296503207"/>
      <w:r>
        <w:rPr>
          <w:rFonts w:hint="eastAsia" w:ascii="华文中宋" w:hAnsi="华文中宋" w:eastAsia="华文中宋" w:cs="华文中宋"/>
          <w:color w:val="auto"/>
          <w:sz w:val="24"/>
          <w:szCs w:val="24"/>
        </w:rPr>
        <w:t>12.2 预付款</w:t>
      </w:r>
    </w:p>
    <w:bookmarkEnd w:id="983"/>
    <w:bookmarkEnd w:id="984"/>
    <w:bookmarkEnd w:id="985"/>
    <w:bookmarkEnd w:id="986"/>
    <w:bookmarkEnd w:id="987"/>
    <w:bookmarkEnd w:id="988"/>
    <w:p w14:paraId="02DEE2A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12.2.1 预付款的支付</w:t>
      </w:r>
    </w:p>
    <w:p w14:paraId="1F7410D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预付款支付比例或金额：</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w:t>
      </w:r>
    </w:p>
    <w:p w14:paraId="3DA6186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预付款支付期限：</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rPr>
        <w:t>。</w:t>
      </w:r>
    </w:p>
    <w:p w14:paraId="42433A0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预付款扣回的方式：</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5F6E1A1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12.2.2 预付款担保</w:t>
      </w:r>
    </w:p>
    <w:p w14:paraId="7100838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承包人提交预付款担保的期限：</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3861F15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预付款担保的形式为：</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bookmarkEnd w:id="989"/>
    <w:bookmarkEnd w:id="990"/>
    <w:bookmarkEnd w:id="991"/>
    <w:bookmarkEnd w:id="992"/>
    <w:bookmarkEnd w:id="993"/>
    <w:bookmarkEnd w:id="994"/>
    <w:bookmarkEnd w:id="995"/>
    <w:bookmarkEnd w:id="996"/>
    <w:bookmarkEnd w:id="997"/>
    <w:bookmarkEnd w:id="998"/>
    <w:p w14:paraId="6FA4FE7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12.3 计量</w:t>
      </w:r>
    </w:p>
    <w:p w14:paraId="1A7B678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12.3.1 计量原则</w:t>
      </w:r>
    </w:p>
    <w:p w14:paraId="04A859B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工程量计算规则：</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ACAA94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12.3.2 计量周期</w:t>
      </w:r>
    </w:p>
    <w:p w14:paraId="27F796DA">
      <w:pPr>
        <w:pageBreakBefore w:val="0"/>
        <w:kinsoku/>
        <w:wordWrap/>
        <w:overflowPunct/>
        <w:topLinePunct w:val="0"/>
        <w:bidi w:val="0"/>
        <w:snapToGrid/>
        <w:spacing w:line="360" w:lineRule="auto"/>
        <w:ind w:right="-256" w:rightChars="-122"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关于计量周期的约定：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rPr>
        <w:t>。</w:t>
      </w:r>
    </w:p>
    <w:p w14:paraId="329F6A8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12.3.3 单价合同的计量</w:t>
      </w:r>
    </w:p>
    <w:p w14:paraId="5C24089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关于单价合同计量的约定：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5B393C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12.3.4 总价合同的计量</w:t>
      </w:r>
    </w:p>
    <w:p w14:paraId="2F3F19A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关于总价合同计量的约定：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5CEF50E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12.3.5总价合同采用支付分解表计量支付的，是否适用第</w:t>
      </w:r>
      <w:r>
        <w:rPr>
          <w:rFonts w:hint="eastAsia" w:ascii="华文中宋" w:hAnsi="华文中宋" w:eastAsia="华文中宋" w:cs="华文中宋"/>
          <w:color w:val="auto"/>
          <w:kern w:val="0"/>
          <w:sz w:val="24"/>
          <w:szCs w:val="24"/>
        </w:rPr>
        <w:t xml:space="preserve">12.3.4 </w:t>
      </w:r>
      <w:r>
        <w:rPr>
          <w:rFonts w:hint="eastAsia" w:ascii="华文中宋" w:hAnsi="华文中宋" w:eastAsia="华文中宋" w:cs="华文中宋"/>
          <w:color w:val="auto"/>
          <w:sz w:val="24"/>
          <w:szCs w:val="24"/>
        </w:rPr>
        <w:t>项</w:t>
      </w:r>
      <w:r>
        <w:rPr>
          <w:rFonts w:hint="eastAsia" w:ascii="华文中宋" w:hAnsi="华文中宋" w:eastAsia="华文中宋" w:cs="华文中宋"/>
          <w:color w:val="auto"/>
          <w:kern w:val="0"/>
          <w:sz w:val="24"/>
          <w:szCs w:val="24"/>
        </w:rPr>
        <w:t>〔总价合同的计量〕</w:t>
      </w:r>
      <w:r>
        <w:rPr>
          <w:rFonts w:hint="eastAsia" w:ascii="华文中宋" w:hAnsi="华文中宋" w:eastAsia="华文中宋" w:cs="华文中宋"/>
          <w:color w:val="auto"/>
          <w:sz w:val="24"/>
          <w:szCs w:val="24"/>
        </w:rPr>
        <w:t>约定进行计量：</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1383F3B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12.3.6 其他价格形式合同的计量</w:t>
      </w:r>
    </w:p>
    <w:p w14:paraId="1F90F68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其他价格形式的计量方式和程序：</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4FD39A9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12.4 工程进度款支付</w:t>
      </w:r>
    </w:p>
    <w:p w14:paraId="0BCC039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bookmarkStart w:id="999" w:name="_Toc297216215"/>
      <w:bookmarkStart w:id="1000" w:name="_Toc303539163"/>
      <w:bookmarkStart w:id="1001" w:name="_Toc300935006"/>
      <w:bookmarkStart w:id="1002" w:name="_Toc296891039"/>
      <w:bookmarkStart w:id="1003" w:name="_Toc292559416"/>
      <w:bookmarkStart w:id="1004" w:name="_Toc296346712"/>
      <w:bookmarkStart w:id="1005" w:name="_Toc296347210"/>
      <w:bookmarkStart w:id="1006" w:name="_Toc296944550"/>
      <w:bookmarkStart w:id="1007" w:name="_Toc297123556"/>
      <w:bookmarkStart w:id="1008" w:name="_Toc296891251"/>
      <w:bookmarkStart w:id="1009" w:name="_Toc292559921"/>
      <w:bookmarkStart w:id="1010" w:name="_Toc296503211"/>
      <w:bookmarkStart w:id="1011" w:name="_Toc297048397"/>
      <w:bookmarkStart w:id="1012" w:name="_Toc297120511"/>
      <w:r>
        <w:rPr>
          <w:rFonts w:hint="eastAsia" w:ascii="华文中宋" w:hAnsi="华文中宋" w:eastAsia="华文中宋" w:cs="华文中宋"/>
          <w:color w:val="auto"/>
          <w:sz w:val="24"/>
          <w:szCs w:val="24"/>
        </w:rPr>
        <w:t>12.4.1 付款周期</w:t>
      </w:r>
    </w:p>
    <w:p w14:paraId="4E806753">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highlight w:val="yellow"/>
        </w:rPr>
      </w:pPr>
      <w:r>
        <w:rPr>
          <w:rFonts w:hint="eastAsia" w:ascii="华文中宋" w:hAnsi="华文中宋" w:eastAsia="华文中宋" w:cs="华文中宋"/>
          <w:color w:val="auto"/>
          <w:sz w:val="24"/>
          <w:szCs w:val="24"/>
        </w:rPr>
        <w:t>关于付款周期的约定：</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013EFC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12.4.2 进度付款申请单的编制</w:t>
      </w:r>
    </w:p>
    <w:p w14:paraId="32AC30B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关于进度付款申请单编制的约定：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05442F3">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Pr>
          <w:rFonts w:hint="eastAsia" w:ascii="华文中宋" w:hAnsi="华文中宋" w:eastAsia="华文中宋" w:cs="华文中宋"/>
          <w:color w:val="auto"/>
          <w:sz w:val="24"/>
          <w:szCs w:val="24"/>
        </w:rPr>
        <w:t>2.4.3 进度付款申请单的提交</w:t>
      </w:r>
    </w:p>
    <w:p w14:paraId="6E7232C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（1）单价合同进度付款申请单提交的约定：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59046FB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（2）总价合同进度付款申请单提交的约定：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237CD4C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（3）其他价格形式合同进度付款申请单提交的约定：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0F0C6A2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12.4.4 进度款审核和支付</w:t>
      </w:r>
    </w:p>
    <w:p w14:paraId="7F29925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（1）监理人审查并报送发包人的期限：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18F649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发包人完成审批并签发进度款支付证书的期限：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1E1458D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（2）发包人支付进度款的期限：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6FAAB96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发包人逾期支付进度款的违约金的计算方式：</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5C259177">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12.4.6 支付分解表的编制</w:t>
      </w:r>
    </w:p>
    <w:p w14:paraId="48B8126E">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2、总价合同支付分解表的编制与审批：</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62F13BE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highlight w:val="cyan"/>
          <w:u w:val="single"/>
        </w:rPr>
      </w:pPr>
      <w:r>
        <w:rPr>
          <w:rFonts w:hint="eastAsia" w:ascii="华文中宋" w:hAnsi="华文中宋" w:eastAsia="华文中宋" w:cs="华文中宋"/>
          <w:color w:val="auto"/>
          <w:sz w:val="24"/>
          <w:szCs w:val="24"/>
        </w:rPr>
        <w:t>3、单价合同的总价项目支付分解表的编制与审批：</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bookmarkEnd w:id="842"/>
    <w:p w14:paraId="7F48AE68">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013" w:name="_Toc375060866"/>
      <w:bookmarkStart w:id="1014" w:name="_Toc297216223"/>
      <w:bookmarkStart w:id="1015" w:name="_Toc297048405"/>
      <w:bookmarkStart w:id="1016" w:name="_Toc296891259"/>
      <w:bookmarkStart w:id="1017" w:name="_Toc297120519"/>
      <w:bookmarkStart w:id="1018" w:name="_Toc296346720"/>
      <w:bookmarkStart w:id="1019" w:name="_Toc297123564"/>
      <w:bookmarkStart w:id="1020" w:name="_Toc292559424"/>
      <w:bookmarkStart w:id="1021" w:name="_Toc296347218"/>
      <w:bookmarkStart w:id="1022" w:name="_Toc304295593"/>
      <w:bookmarkStart w:id="1023" w:name="_Toc296503219"/>
      <w:bookmarkStart w:id="1024" w:name="_Toc296944558"/>
      <w:bookmarkStart w:id="1025" w:name="_Toc312678053"/>
      <w:bookmarkStart w:id="1026" w:name="_Toc296891047"/>
      <w:bookmarkStart w:id="1027" w:name="_Toc300935015"/>
      <w:bookmarkStart w:id="1028" w:name="_Toc292559929"/>
      <w:bookmarkStart w:id="1029" w:name="_Toc303539172"/>
      <w:r>
        <w:rPr>
          <w:rFonts w:hint="eastAsia" w:ascii="华文中宋" w:hAnsi="华文中宋" w:eastAsia="华文中宋" w:cs="华文中宋"/>
          <w:b w:val="0"/>
          <w:color w:val="auto"/>
          <w:sz w:val="24"/>
          <w:szCs w:val="24"/>
        </w:rPr>
        <w:t>13. 验收和工程试车</w:t>
      </w:r>
      <w:bookmarkEnd w:id="1013"/>
      <w:r>
        <w:rPr>
          <w:rFonts w:hint="eastAsia" w:ascii="华文中宋" w:hAnsi="华文中宋" w:eastAsia="华文中宋" w:cs="华文中宋"/>
          <w:b w:val="0"/>
          <w:color w:val="auto"/>
          <w:sz w:val="24"/>
          <w:szCs w:val="24"/>
        </w:rPr>
        <w:t xml:space="preserve"> </w:t>
      </w:r>
    </w:p>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14:paraId="44FD9996">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13.1 分部分项工程验收</w:t>
      </w:r>
    </w:p>
    <w:p w14:paraId="709F939B">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13.1.2监理人不能按时进行验收时，应提前</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小时提交书面延期要求。</w:t>
      </w:r>
    </w:p>
    <w:p w14:paraId="6678558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sz w:val="24"/>
          <w:szCs w:val="24"/>
        </w:rPr>
        <w:t>关于延期最长不得超过：</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小时。</w:t>
      </w:r>
    </w:p>
    <w:p w14:paraId="208A9B6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bookmarkStart w:id="1030" w:name="_Toc303539173"/>
      <w:bookmarkStart w:id="1031" w:name="_Toc312678056"/>
      <w:bookmarkStart w:id="1032" w:name="_Toc292559933"/>
      <w:bookmarkStart w:id="1033" w:name="_Toc297123565"/>
      <w:bookmarkStart w:id="1034" w:name="_Toc296891051"/>
      <w:bookmarkStart w:id="1035" w:name="_Toc297120523"/>
      <w:bookmarkStart w:id="1036" w:name="_Toc296944562"/>
      <w:bookmarkStart w:id="1037" w:name="_Toc296891263"/>
      <w:bookmarkStart w:id="1038" w:name="_Toc296503223"/>
      <w:bookmarkStart w:id="1039" w:name="_Toc296347222"/>
      <w:bookmarkStart w:id="1040" w:name="_Toc300935016"/>
      <w:bookmarkStart w:id="1041" w:name="_Toc297048409"/>
      <w:bookmarkStart w:id="1042" w:name="_Toc304295596"/>
      <w:bookmarkStart w:id="1043" w:name="_Toc296346724"/>
      <w:bookmarkStart w:id="1044" w:name="_Toc297216224"/>
      <w:bookmarkStart w:id="1045" w:name="_Toc292559428"/>
      <w:bookmarkStart w:id="1046" w:name="_Toc267251470"/>
      <w:bookmarkStart w:id="1047" w:name="_Toc267251474"/>
      <w:bookmarkStart w:id="1048" w:name="_Toc267251475"/>
      <w:bookmarkStart w:id="1049" w:name="_Toc267251473"/>
      <w:bookmarkStart w:id="1050" w:name="_Toc267251471"/>
      <w:bookmarkStart w:id="1051" w:name="_Toc267251472"/>
      <w:bookmarkStart w:id="1052" w:name="_Toc267251476"/>
      <w:r>
        <w:rPr>
          <w:rFonts w:hint="eastAsia" w:ascii="华文中宋" w:hAnsi="华文中宋" w:eastAsia="华文中宋" w:cs="华文中宋"/>
          <w:color w:val="auto"/>
          <w:sz w:val="24"/>
          <w:szCs w:val="24"/>
        </w:rPr>
        <w:t>13.2 竣工验收</w:t>
      </w:r>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1C31745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bookmarkStart w:id="1053" w:name="_Toc280868704"/>
      <w:bookmarkStart w:id="1054" w:name="_Toc280868705"/>
      <w:bookmarkStart w:id="1055" w:name="_Toc280868706"/>
      <w:bookmarkStart w:id="1056" w:name="_Toc280868707"/>
      <w:bookmarkStart w:id="1057" w:name="_Toc280868708"/>
      <w:bookmarkStart w:id="1058" w:name="_Toc280868709"/>
      <w:r>
        <w:rPr>
          <w:rFonts w:hint="eastAsia" w:ascii="华文中宋" w:hAnsi="华文中宋" w:eastAsia="华文中宋" w:cs="华文中宋"/>
          <w:color w:val="auto"/>
          <w:sz w:val="24"/>
          <w:szCs w:val="24"/>
        </w:rPr>
        <w:t>13.2.2竣工验收程序</w:t>
      </w:r>
    </w:p>
    <w:bookmarkEnd w:id="1053"/>
    <w:p w14:paraId="05FC2556">
      <w:pPr>
        <w:pageBreakBefore w:val="0"/>
        <w:kinsoku/>
        <w:wordWrap/>
        <w:overflowPunct/>
        <w:topLinePunct w:val="0"/>
        <w:bidi w:val="0"/>
        <w:snapToGrid/>
        <w:spacing w:line="360" w:lineRule="auto"/>
        <w:ind w:right="-361" w:rightChars="-172"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关于竣工验收程序的约定</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2443829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发包人不按照本项约定组织竣工验收</w:t>
      </w:r>
      <w:r>
        <w:rPr>
          <w:rFonts w:hint="eastAsia" w:ascii="华文中宋" w:hAnsi="华文中宋" w:eastAsia="华文中宋" w:cs="华文中宋"/>
          <w:color w:val="auto"/>
          <w:kern w:val="0"/>
          <w:sz w:val="24"/>
          <w:szCs w:val="24"/>
        </w:rPr>
        <w:t>、颁发工程接收证书的违约金的计算方法：</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bookmarkEnd w:id="1054"/>
    <w:p w14:paraId="38EA30A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13.2.5移交、接收全部与部分工程</w:t>
      </w:r>
    </w:p>
    <w:bookmarkEnd w:id="1055"/>
    <w:p w14:paraId="71FC31C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承包人向发包人移交工程的期限</w:t>
      </w:r>
      <w:r>
        <w:rPr>
          <w:rFonts w:hint="eastAsia" w:ascii="华文中宋" w:hAnsi="华文中宋" w:eastAsia="华文中宋" w:cs="华文中宋"/>
          <w:bCs/>
          <w:color w:val="auto"/>
          <w:sz w:val="24"/>
          <w:szCs w:val="24"/>
        </w:rPr>
        <w:t>：</w:t>
      </w:r>
      <w:r>
        <w:rPr>
          <w:rFonts w:hint="eastAsia" w:ascii="华文中宋" w:hAnsi="华文中宋" w:eastAsia="华文中宋" w:cs="华文中宋"/>
          <w:bCs/>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78F649E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b/>
          <w:color w:val="auto"/>
          <w:sz w:val="24"/>
          <w:szCs w:val="24"/>
          <w:u w:val="single"/>
        </w:rPr>
      </w:pPr>
      <w:r>
        <w:rPr>
          <w:rFonts w:hint="eastAsia" w:ascii="华文中宋" w:hAnsi="华文中宋" w:eastAsia="华文中宋" w:cs="华文中宋"/>
          <w:color w:val="auto"/>
          <w:sz w:val="24"/>
          <w:szCs w:val="24"/>
        </w:rPr>
        <w:t>发包人未按本合同约定接收全部或部分工程的</w:t>
      </w:r>
      <w:r>
        <w:rPr>
          <w:rFonts w:hint="eastAsia" w:ascii="华文中宋" w:hAnsi="华文中宋" w:eastAsia="华文中宋" w:cs="华文中宋"/>
          <w:color w:val="auto"/>
          <w:kern w:val="0"/>
          <w:sz w:val="24"/>
          <w:szCs w:val="24"/>
        </w:rPr>
        <w:t>，违约金的计算方法为：</w:t>
      </w:r>
    </w:p>
    <w:p w14:paraId="503E495A">
      <w:pPr>
        <w:pageBreakBefore w:val="0"/>
        <w:kinsoku/>
        <w:wordWrap/>
        <w:overflowPunct/>
        <w:topLinePunct w:val="0"/>
        <w:bidi w:val="0"/>
        <w:snapToGrid/>
        <w:spacing w:line="360" w:lineRule="auto"/>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bookmarkEnd w:id="1056"/>
    <w:p w14:paraId="3E4BFA0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承包人未按时移交工程的，违约金的计算方法为：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014D17F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13.3 工程试车</w:t>
      </w:r>
    </w:p>
    <w:bookmarkEnd w:id="1057"/>
    <w:p w14:paraId="63B2E56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13.3.1 试车程序</w:t>
      </w:r>
    </w:p>
    <w:p w14:paraId="3A1435B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工程试车内容：</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23E3080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（1）单机无负荷试车费用由</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kern w:val="0"/>
          <w:sz w:val="24"/>
          <w:szCs w:val="24"/>
        </w:rPr>
        <w:t>承担；</w:t>
      </w:r>
    </w:p>
    <w:p w14:paraId="408C1D04">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（2）无负荷联动试车费用由</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kern w:val="0"/>
          <w:sz w:val="24"/>
          <w:szCs w:val="24"/>
        </w:rPr>
        <w:t>承担。</w:t>
      </w:r>
    </w:p>
    <w:p w14:paraId="611ED06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13.3.3 投料试车</w:t>
      </w:r>
    </w:p>
    <w:p w14:paraId="39C2903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kern w:val="0"/>
          <w:sz w:val="24"/>
          <w:szCs w:val="24"/>
        </w:rPr>
        <w:t>关于投料试车相关事项的约定：</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425ACF7D">
      <w:pPr>
        <w:pageBreakBefore w:val="0"/>
        <w:kinsoku/>
        <w:wordWrap/>
        <w:overflowPunct/>
        <w:topLinePunct w:val="0"/>
        <w:bidi w:val="0"/>
        <w:snapToGrid/>
        <w:spacing w:line="360" w:lineRule="auto"/>
        <w:ind w:firstLine="480" w:firstLineChars="200"/>
        <w:outlineLvl w:val="0"/>
        <w:rPr>
          <w:rFonts w:hint="eastAsia" w:ascii="华文中宋" w:hAnsi="华文中宋" w:eastAsia="华文中宋" w:cs="华文中宋"/>
          <w:color w:val="auto"/>
          <w:sz w:val="24"/>
          <w:szCs w:val="24"/>
        </w:rPr>
      </w:pPr>
      <w:bookmarkStart w:id="1059" w:name="_Toc375060654"/>
      <w:bookmarkStart w:id="1060" w:name="_Toc375060867"/>
      <w:bookmarkStart w:id="1061" w:name="_Toc19670"/>
      <w:bookmarkStart w:id="1062" w:name="_Toc24293"/>
      <w:r>
        <w:rPr>
          <w:rFonts w:hint="eastAsia" w:ascii="华文中宋" w:hAnsi="华文中宋" w:eastAsia="华文中宋" w:cs="华文中宋"/>
          <w:color w:val="auto"/>
          <w:sz w:val="24"/>
          <w:szCs w:val="24"/>
        </w:rPr>
        <w:t>13.6 竣工退场</w:t>
      </w:r>
      <w:bookmarkEnd w:id="1059"/>
      <w:bookmarkEnd w:id="1060"/>
      <w:bookmarkEnd w:id="1061"/>
      <w:bookmarkEnd w:id="1062"/>
    </w:p>
    <w:p w14:paraId="1E3AE70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13.6.1 竣工退场</w:t>
      </w:r>
    </w:p>
    <w:p w14:paraId="4B20848D">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承包人完成竣工退场的期限：</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w:t>
      </w:r>
    </w:p>
    <w:p w14:paraId="21354D91">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063" w:name="_Toc375060868"/>
      <w:r>
        <w:rPr>
          <w:rFonts w:hint="eastAsia" w:ascii="华文中宋" w:hAnsi="华文中宋" w:eastAsia="华文中宋" w:cs="华文中宋"/>
          <w:b w:val="0"/>
          <w:color w:val="auto"/>
          <w:sz w:val="24"/>
          <w:szCs w:val="24"/>
        </w:rPr>
        <w:t>14. 竣工结算</w:t>
      </w:r>
      <w:bookmarkEnd w:id="1063"/>
    </w:p>
    <w:p w14:paraId="542C5FFD">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14.1 竣工结算申请</w:t>
      </w:r>
    </w:p>
    <w:p w14:paraId="646DB84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承包人提交竣工结算申请单的期限：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B2E23F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竣工结算申请单应包括的内容：</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C53CE1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14.2 竣工结算审核</w:t>
      </w:r>
    </w:p>
    <w:p w14:paraId="5292E18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承包人竣工结算以乡宁县政府委托的审计机构审计结果为竣工结算。</w:t>
      </w:r>
    </w:p>
    <w:p w14:paraId="165A516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发包人审批竣工付款申请单的期限：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08E7C28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发包人完成竣工付款的期限：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3F08543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关于竣工付款证书异议部分复核的方式和程序：</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1A2785BC">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14.4 最终结清</w:t>
      </w:r>
    </w:p>
    <w:p w14:paraId="7815898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14.4.1 最终结清申请单</w:t>
      </w:r>
    </w:p>
    <w:p w14:paraId="22E6A990">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承包人提交最终结清申请单的份数：</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2F79E36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承包人提交最终结算申请单的期限：</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58ECCE8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14.4.2 最终结清证书和支付</w:t>
      </w:r>
    </w:p>
    <w:p w14:paraId="66B9C1F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（1）发包人完成最终结清申请单的审批并颁发最终结清证书的期限</w:t>
      </w:r>
      <w:r>
        <w:rPr>
          <w:rFonts w:hint="eastAsia" w:ascii="华文中宋" w:hAnsi="华文中宋" w:eastAsia="华文中宋" w:cs="华文中宋"/>
          <w:color w:val="auto"/>
          <w:sz w:val="24"/>
          <w:szCs w:val="24"/>
          <w:u w:val="single"/>
        </w:rPr>
        <w:t>：。</w:t>
      </w:r>
    </w:p>
    <w:p w14:paraId="01642C2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（2）发包人完成支付的期限：</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w:t>
      </w:r>
    </w:p>
    <w:bookmarkEnd w:id="1046"/>
    <w:bookmarkEnd w:id="1047"/>
    <w:bookmarkEnd w:id="1048"/>
    <w:bookmarkEnd w:id="1049"/>
    <w:bookmarkEnd w:id="1050"/>
    <w:bookmarkEnd w:id="1051"/>
    <w:bookmarkEnd w:id="1052"/>
    <w:bookmarkEnd w:id="1058"/>
    <w:p w14:paraId="2FDF1995">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064" w:name="_Toc375060869"/>
      <w:bookmarkStart w:id="1065" w:name="_Toc267251483"/>
      <w:bookmarkStart w:id="1066" w:name="_Toc267251484"/>
      <w:bookmarkStart w:id="1067" w:name="_Toc267251482"/>
      <w:bookmarkStart w:id="1068" w:name="_Toc267251485"/>
      <w:bookmarkStart w:id="1069" w:name="_Toc267251486"/>
      <w:bookmarkStart w:id="1070" w:name="_Toc267251488"/>
      <w:bookmarkStart w:id="1071" w:name="_Toc267251490"/>
      <w:bookmarkStart w:id="1072" w:name="_Toc267251489"/>
      <w:bookmarkStart w:id="1073" w:name="_Toc267251497"/>
      <w:bookmarkStart w:id="1074" w:name="_Toc267251503"/>
      <w:bookmarkStart w:id="1075" w:name="_Toc267251493"/>
      <w:bookmarkStart w:id="1076" w:name="_Toc267251498"/>
      <w:bookmarkStart w:id="1077" w:name="_Toc267251501"/>
      <w:bookmarkStart w:id="1078" w:name="_Toc267251496"/>
      <w:bookmarkStart w:id="1079" w:name="_Toc267251494"/>
      <w:bookmarkStart w:id="1080" w:name="_Toc267251491"/>
      <w:bookmarkStart w:id="1081" w:name="_Toc267251495"/>
      <w:bookmarkStart w:id="1082" w:name="_Toc267251499"/>
      <w:bookmarkStart w:id="1083" w:name="_Toc267251502"/>
      <w:bookmarkStart w:id="1084" w:name="_Toc267251492"/>
      <w:bookmarkStart w:id="1085" w:name="_Toc267251506"/>
      <w:bookmarkStart w:id="1086" w:name="_Toc267251504"/>
      <w:bookmarkStart w:id="1087" w:name="_Toc267251507"/>
      <w:bookmarkStart w:id="1088" w:name="_Toc267251508"/>
      <w:bookmarkStart w:id="1089" w:name="_Toc267251510"/>
      <w:bookmarkStart w:id="1090" w:name="_Toc267251513"/>
      <w:bookmarkStart w:id="1091" w:name="_Toc267251514"/>
      <w:bookmarkStart w:id="1092" w:name="_Toc267251515"/>
      <w:bookmarkStart w:id="1093" w:name="_Toc267251511"/>
      <w:bookmarkStart w:id="1094" w:name="_Toc267251509"/>
      <w:r>
        <w:rPr>
          <w:rFonts w:hint="eastAsia" w:ascii="华文中宋" w:hAnsi="华文中宋" w:eastAsia="华文中宋" w:cs="华文中宋"/>
          <w:b w:val="0"/>
          <w:color w:val="auto"/>
          <w:sz w:val="24"/>
          <w:szCs w:val="24"/>
        </w:rPr>
        <w:t>15. 缺陷责任期与保修</w:t>
      </w:r>
      <w:bookmarkEnd w:id="1064"/>
    </w:p>
    <w:p w14:paraId="7EE9BE04">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15.2缺陷责任期</w:t>
      </w:r>
      <w:bookmarkEnd w:id="1065"/>
    </w:p>
    <w:p w14:paraId="755BB493">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缺陷责任期的具体期限</w:t>
      </w:r>
      <w:r>
        <w:rPr>
          <w:rFonts w:hint="eastAsia" w:ascii="华文中宋" w:hAnsi="华文中宋" w:eastAsia="华文中宋" w:cs="华文中宋"/>
          <w:color w:val="auto"/>
          <w:sz w:val="24"/>
          <w:szCs w:val="24"/>
          <w:u w:val="single"/>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w:t>
      </w:r>
    </w:p>
    <w:p w14:paraId="2BF1CFA3">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15.3 质量保证金</w:t>
      </w:r>
    </w:p>
    <w:p w14:paraId="5DDC7E8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关于是否扣留质量保证金的约定</w:t>
      </w:r>
      <w:r>
        <w:rPr>
          <w:rFonts w:hint="eastAsia" w:ascii="华文中宋" w:hAnsi="华文中宋" w:eastAsia="华文中宋" w:cs="华文中宋"/>
          <w:color w:val="auto"/>
          <w:sz w:val="24"/>
          <w:szCs w:val="24"/>
          <w:u w:val="single"/>
        </w:rPr>
        <w:t>：</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w:t>
      </w:r>
    </w:p>
    <w:p w14:paraId="4BD1754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在工程项目竣工前，承包人按专用合同条款第3.7条提供履约担保的，发包人不得同时预留工程质量保证金。</w:t>
      </w:r>
    </w:p>
    <w:p w14:paraId="64055C29">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15.3.1 承包人提供质量保证金的方式</w:t>
      </w:r>
    </w:p>
    <w:p w14:paraId="03AEBA02">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质量保证金采用以下第</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种方式：</w:t>
      </w:r>
    </w:p>
    <w:p w14:paraId="4FDCA07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（1）质量保证金保函，保证金额为：</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kern w:val="0"/>
          <w:sz w:val="24"/>
          <w:szCs w:val="24"/>
        </w:rPr>
        <w:t xml:space="preserve">； </w:t>
      </w:r>
    </w:p>
    <w:p w14:paraId="531815AE">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rPr>
        <w:t>%的工程款；</w:t>
      </w:r>
    </w:p>
    <w:p w14:paraId="241A292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（3）其他方式：</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0D16930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15.3.2 质量保证金的扣留 </w:t>
      </w:r>
    </w:p>
    <w:p w14:paraId="2BEB7BE1">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质量保证金的扣留采取以下第</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种方式：</w:t>
      </w:r>
    </w:p>
    <w:p w14:paraId="7D153F9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r>
        <w:rPr>
          <w:rFonts w:hint="eastAsia" w:ascii="华文中宋" w:hAnsi="华文中宋" w:eastAsia="华文中宋" w:cs="华文中宋"/>
          <w:color w:val="auto"/>
          <w:sz w:val="24"/>
          <w:szCs w:val="24"/>
        </w:rPr>
        <w:t>在支付工程进度款时逐次扣留</w:t>
      </w:r>
      <w:r>
        <w:rPr>
          <w:rFonts w:hint="eastAsia" w:ascii="华文中宋" w:hAnsi="华文中宋" w:eastAsia="华文中宋" w:cs="华文中宋"/>
          <w:color w:val="auto"/>
          <w:kern w:val="0"/>
          <w:sz w:val="24"/>
          <w:szCs w:val="24"/>
        </w:rPr>
        <w:t>，在此情形下，质量保证金的计算基数不包括预付款的支付、扣回以及价格调整的金额；</w:t>
      </w:r>
    </w:p>
    <w:p w14:paraId="04C0403F">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（2）工程竣工结算时一次性扣留质量保证金；</w:t>
      </w:r>
    </w:p>
    <w:p w14:paraId="6517417A">
      <w:pPr>
        <w:pageBreakBefore w:val="0"/>
        <w:kinsoku/>
        <w:wordWrap/>
        <w:overflowPunct/>
        <w:topLinePunct w:val="0"/>
        <w:autoSpaceDE w:val="0"/>
        <w:autoSpaceDN w:val="0"/>
        <w:bidi w:val="0"/>
        <w:adjustRightInd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（3）其他扣留方式：</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kern w:val="0"/>
          <w:sz w:val="24"/>
          <w:szCs w:val="24"/>
        </w:rPr>
        <w:t>。</w:t>
      </w:r>
    </w:p>
    <w:p w14:paraId="622253A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关于质量保证金的补充约定：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kern w:val="0"/>
          <w:sz w:val="24"/>
          <w:szCs w:val="24"/>
        </w:rPr>
        <w:t>。</w:t>
      </w:r>
    </w:p>
    <w:bookmarkEnd w:id="1066"/>
    <w:bookmarkEnd w:id="1067"/>
    <w:p w14:paraId="3C33A74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15.4保修</w:t>
      </w:r>
    </w:p>
    <w:bookmarkEnd w:id="1068"/>
    <w:p w14:paraId="13BFDCB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15.4.1 保修责任</w:t>
      </w:r>
    </w:p>
    <w:p w14:paraId="73E7F66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工程保修期为：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kern w:val="0"/>
          <w:sz w:val="24"/>
          <w:szCs w:val="24"/>
          <w:u w:val="single"/>
        </w:rPr>
        <w:t>。</w:t>
      </w:r>
    </w:p>
    <w:p w14:paraId="6D73E7B1">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15.4.3 修复通知</w:t>
      </w:r>
    </w:p>
    <w:p w14:paraId="664A646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u w:val="single"/>
        </w:rPr>
      </w:pPr>
      <w:r>
        <w:rPr>
          <w:rFonts w:hint="eastAsia" w:ascii="华文中宋" w:hAnsi="华文中宋" w:eastAsia="华文中宋" w:cs="华文中宋"/>
          <w:color w:val="auto"/>
          <w:sz w:val="24"/>
          <w:szCs w:val="24"/>
        </w:rPr>
        <w:t>承包人收到保修通知并到达工程现场的合理时间</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kern w:val="0"/>
          <w:sz w:val="24"/>
          <w:szCs w:val="24"/>
          <w:u w:val="single"/>
        </w:rPr>
        <w:t>。</w:t>
      </w:r>
    </w:p>
    <w:bookmarkEnd w:id="1069"/>
    <w:bookmarkEnd w:id="1070"/>
    <w:bookmarkEnd w:id="1071"/>
    <w:bookmarkEnd w:id="1072"/>
    <w:p w14:paraId="50DA878A">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095" w:name="_Toc375060870"/>
      <w:bookmarkStart w:id="1096" w:name="_Toc280868717"/>
      <w:bookmarkStart w:id="1097" w:name="_Toc280868718"/>
      <w:r>
        <w:rPr>
          <w:rFonts w:hint="eastAsia" w:ascii="华文中宋" w:hAnsi="华文中宋" w:eastAsia="华文中宋" w:cs="华文中宋"/>
          <w:b w:val="0"/>
          <w:color w:val="auto"/>
          <w:sz w:val="24"/>
          <w:szCs w:val="24"/>
        </w:rPr>
        <w:t>16. 违约</w:t>
      </w:r>
      <w:bookmarkEnd w:id="1095"/>
    </w:p>
    <w:p w14:paraId="40403CCB">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16.1 发包人违约</w:t>
      </w:r>
    </w:p>
    <w:p w14:paraId="0E32D23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16.1.1发包人违约的情形</w:t>
      </w:r>
    </w:p>
    <w:p w14:paraId="0B3A653C">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u w:val="single"/>
        </w:rPr>
      </w:pPr>
      <w:r>
        <w:rPr>
          <w:rFonts w:hint="eastAsia" w:ascii="华文中宋" w:hAnsi="华文中宋" w:eastAsia="华文中宋" w:cs="华文中宋"/>
          <w:color w:val="auto"/>
          <w:kern w:val="0"/>
          <w:sz w:val="24"/>
          <w:szCs w:val="24"/>
        </w:rPr>
        <w:t>发包人违约的其他情形：</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0D5036DD">
      <w:pPr>
        <w:pageBreakBefore w:val="0"/>
        <w:kinsoku/>
        <w:wordWrap/>
        <w:overflowPunct/>
        <w:topLinePunct w:val="0"/>
        <w:bidi w:val="0"/>
        <w:snapToGrid/>
        <w:spacing w:line="360" w:lineRule="auto"/>
        <w:ind w:left="1400" w:hanging="1200" w:hangingChars="5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    16.1.2 发包人违约的责任</w:t>
      </w:r>
    </w:p>
    <w:p w14:paraId="64DDDCF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发包人违约责任的承担方式和计算方法</w:t>
      </w:r>
      <w:r>
        <w:rPr>
          <w:rFonts w:hint="eastAsia" w:ascii="华文中宋" w:hAnsi="华文中宋" w:eastAsia="华文中宋" w:cs="华文中宋"/>
          <w:color w:val="auto"/>
          <w:kern w:val="0"/>
          <w:sz w:val="24"/>
          <w:szCs w:val="24"/>
        </w:rPr>
        <w:t>：</w:t>
      </w:r>
    </w:p>
    <w:p w14:paraId="22C3096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u w:val="single"/>
        </w:rPr>
      </w:pPr>
      <w:r>
        <w:rPr>
          <w:rFonts w:hint="eastAsia" w:ascii="华文中宋" w:hAnsi="华文中宋" w:eastAsia="华文中宋" w:cs="华文中宋"/>
          <w:color w:val="auto"/>
          <w:kern w:val="0"/>
          <w:sz w:val="24"/>
          <w:szCs w:val="24"/>
        </w:rPr>
        <w:t>（1）</w:t>
      </w:r>
      <w:r>
        <w:rPr>
          <w:rFonts w:hint="eastAsia" w:ascii="华文中宋" w:hAnsi="华文中宋" w:eastAsia="华文中宋" w:cs="华文中宋"/>
          <w:color w:val="auto"/>
          <w:sz w:val="24"/>
          <w:szCs w:val="24"/>
        </w:rPr>
        <w:t>因发包人原因未能在计划开工日期前</w:t>
      </w:r>
      <w:r>
        <w:rPr>
          <w:rFonts w:hint="eastAsia" w:ascii="华文中宋" w:hAnsi="华文中宋" w:eastAsia="华文中宋" w:cs="华文中宋"/>
          <w:color w:val="auto"/>
          <w:kern w:val="0"/>
          <w:sz w:val="24"/>
          <w:szCs w:val="24"/>
        </w:rPr>
        <w:t>7天内下达开工通知的违约责任：</w:t>
      </w:r>
      <w:r>
        <w:rPr>
          <w:rFonts w:hint="eastAsia" w:ascii="华文中宋" w:hAnsi="华文中宋" w:eastAsia="华文中宋" w:cs="华文中宋"/>
          <w:color w:val="auto"/>
          <w:kern w:val="0"/>
          <w:sz w:val="24"/>
          <w:szCs w:val="24"/>
          <w:u w:val="single"/>
        </w:rPr>
        <w:t>发包人不承担违约责任</w:t>
      </w:r>
      <w:r>
        <w:rPr>
          <w:rFonts w:hint="eastAsia" w:ascii="华文中宋" w:hAnsi="华文中宋" w:eastAsia="华文中宋" w:cs="华文中宋"/>
          <w:color w:val="auto"/>
          <w:sz w:val="24"/>
          <w:szCs w:val="24"/>
        </w:rPr>
        <w:t>。</w:t>
      </w:r>
    </w:p>
    <w:p w14:paraId="42B2B515">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w:t>
      </w:r>
      <w:r>
        <w:rPr>
          <w:rFonts w:hint="eastAsia" w:ascii="华文中宋" w:hAnsi="华文中宋" w:eastAsia="华文中宋" w:cs="华文中宋"/>
          <w:color w:val="auto"/>
          <w:sz w:val="24"/>
          <w:szCs w:val="24"/>
        </w:rPr>
        <w:t>因发包人原因未能按合同约定支付合同价款的违约责任</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u w:val="single"/>
        </w:rPr>
        <w:t>发包人不承担违约责任</w:t>
      </w:r>
      <w:r>
        <w:rPr>
          <w:rFonts w:hint="eastAsia" w:ascii="华文中宋" w:hAnsi="华文中宋" w:eastAsia="华文中宋" w:cs="华文中宋"/>
          <w:color w:val="auto"/>
          <w:sz w:val="24"/>
          <w:szCs w:val="24"/>
        </w:rPr>
        <w:t>。</w:t>
      </w:r>
    </w:p>
    <w:p w14:paraId="4DB2403A">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（3）发包人违反第</w:t>
      </w:r>
      <w:r>
        <w:rPr>
          <w:rFonts w:hint="eastAsia" w:ascii="华文中宋" w:hAnsi="华文中宋" w:eastAsia="华文中宋" w:cs="华文中宋"/>
          <w:color w:val="auto"/>
          <w:sz w:val="24"/>
          <w:szCs w:val="24"/>
        </w:rPr>
        <w:t>10</w:t>
      </w:r>
      <w:r>
        <w:rPr>
          <w:rFonts w:hint="eastAsia" w:ascii="华文中宋" w:hAnsi="华文中宋" w:eastAsia="华文中宋" w:cs="华文中宋"/>
          <w:color w:val="auto"/>
          <w:kern w:val="0"/>
          <w:sz w:val="24"/>
          <w:szCs w:val="24"/>
        </w:rPr>
        <w:t>.1款〔变更的范围〕第（2）项约定，自行实施被取消的工作或转由他人实施的违约责任：</w:t>
      </w:r>
      <w:r>
        <w:rPr>
          <w:rFonts w:hint="eastAsia" w:ascii="华文中宋" w:hAnsi="华文中宋" w:eastAsia="华文中宋" w:cs="华文中宋"/>
          <w:color w:val="auto"/>
          <w:kern w:val="0"/>
          <w:sz w:val="24"/>
          <w:szCs w:val="24"/>
          <w:u w:val="single"/>
        </w:rPr>
        <w:t>发包人不承担违约责任</w:t>
      </w:r>
      <w:r>
        <w:rPr>
          <w:rFonts w:hint="eastAsia" w:ascii="华文中宋" w:hAnsi="华文中宋" w:eastAsia="华文中宋" w:cs="华文中宋"/>
          <w:color w:val="auto"/>
          <w:sz w:val="24"/>
          <w:szCs w:val="24"/>
        </w:rPr>
        <w:t>。</w:t>
      </w:r>
    </w:p>
    <w:p w14:paraId="44799B8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w:t>
      </w:r>
      <w:r>
        <w:rPr>
          <w:rFonts w:hint="eastAsia" w:ascii="华文中宋" w:hAnsi="华文中宋" w:eastAsia="华文中宋" w:cs="华文中宋"/>
          <w:color w:val="auto"/>
          <w:sz w:val="24"/>
          <w:szCs w:val="24"/>
        </w:rPr>
        <w:t>发包人提供的材料</w:t>
      </w:r>
      <w:r>
        <w:rPr>
          <w:rFonts w:hint="eastAsia" w:ascii="华文中宋" w:hAnsi="华文中宋" w:eastAsia="华文中宋" w:cs="华文中宋"/>
          <w:color w:val="auto"/>
          <w:kern w:val="0"/>
          <w:sz w:val="24"/>
          <w:szCs w:val="24"/>
        </w:rPr>
        <w:t>、工程设备的规格、数量或质量不符合合同约定，或因发包人原因导致交货日期延误或交货地点变更等情况的违约责任：</w:t>
      </w:r>
      <w:r>
        <w:rPr>
          <w:rFonts w:hint="eastAsia" w:ascii="华文中宋" w:hAnsi="华文中宋" w:eastAsia="华文中宋" w:cs="华文中宋"/>
          <w:color w:val="auto"/>
          <w:kern w:val="0"/>
          <w:sz w:val="24"/>
          <w:szCs w:val="24"/>
          <w:u w:val="single"/>
        </w:rPr>
        <w:t>发包人不承担违约责任</w:t>
      </w:r>
      <w:r>
        <w:rPr>
          <w:rFonts w:hint="eastAsia" w:ascii="华文中宋" w:hAnsi="华文中宋" w:eastAsia="华文中宋" w:cs="华文中宋"/>
          <w:color w:val="auto"/>
          <w:sz w:val="24"/>
          <w:szCs w:val="24"/>
        </w:rPr>
        <w:t>。</w:t>
      </w:r>
    </w:p>
    <w:p w14:paraId="350C554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u w:val="single"/>
        </w:rPr>
      </w:pPr>
      <w:r>
        <w:rPr>
          <w:rFonts w:hint="eastAsia" w:ascii="华文中宋" w:hAnsi="华文中宋" w:eastAsia="华文中宋" w:cs="华文中宋"/>
          <w:color w:val="auto"/>
          <w:kern w:val="0"/>
          <w:sz w:val="24"/>
          <w:szCs w:val="24"/>
        </w:rPr>
        <w:t>（5）</w:t>
      </w:r>
      <w:r>
        <w:rPr>
          <w:rFonts w:hint="eastAsia" w:ascii="华文中宋" w:hAnsi="华文中宋" w:eastAsia="华文中宋" w:cs="华文中宋"/>
          <w:color w:val="auto"/>
          <w:sz w:val="24"/>
          <w:szCs w:val="24"/>
        </w:rPr>
        <w:t>因发包人违反合同约定造成暂停施工的违约责任</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color w:val="auto"/>
          <w:kern w:val="0"/>
          <w:sz w:val="24"/>
          <w:szCs w:val="24"/>
          <w:lang w:val="en-US" w:eastAsia="zh-CN"/>
        </w:rPr>
        <w:t xml:space="preserve"> </w:t>
      </w:r>
      <w:r>
        <w:rPr>
          <w:rFonts w:hint="eastAsia" w:ascii="华文中宋" w:hAnsi="华文中宋" w:eastAsia="华文中宋" w:cs="华文中宋"/>
          <w:color w:val="auto"/>
          <w:kern w:val="0"/>
          <w:sz w:val="24"/>
          <w:szCs w:val="24"/>
          <w:u w:val="single"/>
        </w:rPr>
        <w:t>发包人不承担违约责任</w:t>
      </w:r>
      <w:r>
        <w:rPr>
          <w:rFonts w:hint="eastAsia" w:ascii="华文中宋" w:hAnsi="华文中宋" w:eastAsia="华文中宋" w:cs="华文中宋"/>
          <w:color w:val="auto"/>
          <w:sz w:val="24"/>
          <w:szCs w:val="24"/>
        </w:rPr>
        <w:t>。</w:t>
      </w:r>
    </w:p>
    <w:p w14:paraId="5229623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（6）</w:t>
      </w:r>
      <w:r>
        <w:rPr>
          <w:rFonts w:hint="eastAsia" w:ascii="华文中宋" w:hAnsi="华文中宋" w:eastAsia="华文中宋" w:cs="华文中宋"/>
          <w:color w:val="auto"/>
          <w:sz w:val="24"/>
          <w:szCs w:val="24"/>
        </w:rPr>
        <w:t>发包人无正当理由没有在约定期限内发出复工指示</w:t>
      </w:r>
      <w:r>
        <w:rPr>
          <w:rFonts w:hint="eastAsia" w:ascii="华文中宋" w:hAnsi="华文中宋" w:eastAsia="华文中宋" w:cs="华文中宋"/>
          <w:color w:val="auto"/>
          <w:kern w:val="0"/>
          <w:sz w:val="24"/>
          <w:szCs w:val="24"/>
        </w:rPr>
        <w:t>，导致承包人无法复工的违约责任：</w:t>
      </w:r>
      <w:r>
        <w:rPr>
          <w:rFonts w:hint="eastAsia" w:ascii="华文中宋" w:hAnsi="华文中宋" w:eastAsia="华文中宋" w:cs="华文中宋"/>
          <w:color w:val="auto"/>
          <w:kern w:val="0"/>
          <w:sz w:val="24"/>
          <w:szCs w:val="24"/>
          <w:u w:val="single"/>
        </w:rPr>
        <w:t>发包人不承担违约责任</w:t>
      </w:r>
      <w:r>
        <w:rPr>
          <w:rFonts w:hint="eastAsia" w:ascii="华文中宋" w:hAnsi="华文中宋" w:eastAsia="华文中宋" w:cs="华文中宋"/>
          <w:color w:val="auto"/>
          <w:sz w:val="24"/>
          <w:szCs w:val="24"/>
        </w:rPr>
        <w:t>。</w:t>
      </w:r>
    </w:p>
    <w:p w14:paraId="17145B5F">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（7）其他：</w:t>
      </w:r>
      <w:r>
        <w:rPr>
          <w:rFonts w:hint="eastAsia" w:ascii="华文中宋" w:hAnsi="华文中宋" w:eastAsia="华文中宋" w:cs="华文中宋"/>
          <w:color w:val="auto"/>
          <w:kern w:val="0"/>
          <w:sz w:val="24"/>
          <w:szCs w:val="24"/>
          <w:u w:val="single"/>
        </w:rPr>
        <w:t>发包人不承担违约责任</w:t>
      </w:r>
      <w:r>
        <w:rPr>
          <w:rFonts w:hint="eastAsia" w:ascii="华文中宋" w:hAnsi="华文中宋" w:eastAsia="华文中宋" w:cs="华文中宋"/>
          <w:color w:val="auto"/>
          <w:sz w:val="24"/>
          <w:szCs w:val="24"/>
        </w:rPr>
        <w:t>。</w:t>
      </w:r>
    </w:p>
    <w:p w14:paraId="6C1D1D1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16.1.3 因发包人违约解除合同</w:t>
      </w:r>
    </w:p>
    <w:p w14:paraId="64EC0D20">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承包人按16.1.1项〔</w:t>
      </w:r>
      <w:r>
        <w:rPr>
          <w:rFonts w:hint="eastAsia" w:ascii="华文中宋" w:hAnsi="华文中宋" w:eastAsia="华文中宋" w:cs="华文中宋"/>
          <w:color w:val="auto"/>
          <w:sz w:val="24"/>
          <w:szCs w:val="24"/>
        </w:rPr>
        <w:t>发包人违约的情形</w:t>
      </w:r>
      <w:r>
        <w:rPr>
          <w:rFonts w:hint="eastAsia" w:ascii="华文中宋" w:hAnsi="华文中宋" w:eastAsia="华文中宋" w:cs="华文中宋"/>
          <w:color w:val="auto"/>
          <w:kern w:val="0"/>
          <w:sz w:val="24"/>
          <w:szCs w:val="24"/>
        </w:rPr>
        <w:t>〕约定暂停施工满</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kern w:val="0"/>
          <w:sz w:val="24"/>
          <w:szCs w:val="24"/>
        </w:rPr>
        <w:t>天后发包人仍不纠正其违约行为并致使合同目的不能实现的，承包人有权解除合同。</w:t>
      </w:r>
    </w:p>
    <w:p w14:paraId="14C41F58">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16.2 承包人违约</w:t>
      </w:r>
    </w:p>
    <w:p w14:paraId="67CA0B08">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16.2.1 承包人违约的情形</w:t>
      </w:r>
    </w:p>
    <w:p w14:paraId="416CF92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u w:val="single"/>
        </w:rPr>
      </w:pPr>
      <w:r>
        <w:rPr>
          <w:rFonts w:hint="eastAsia" w:ascii="华文中宋" w:hAnsi="华文中宋" w:eastAsia="华文中宋" w:cs="华文中宋"/>
          <w:color w:val="auto"/>
          <w:kern w:val="0"/>
          <w:sz w:val="24"/>
          <w:szCs w:val="24"/>
        </w:rPr>
        <w:t>承包人违约的其他情形：</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626BECF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16.2.2</w:t>
      </w:r>
      <w:r>
        <w:rPr>
          <w:rFonts w:hint="eastAsia" w:ascii="华文中宋" w:hAnsi="华文中宋" w:eastAsia="华文中宋" w:cs="华文中宋"/>
          <w:color w:val="auto"/>
          <w:sz w:val="24"/>
          <w:szCs w:val="24"/>
        </w:rPr>
        <w:t>承包人违约的责任</w:t>
      </w:r>
    </w:p>
    <w:p w14:paraId="50C27205">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u w:val="single"/>
        </w:rPr>
      </w:pPr>
      <w:r>
        <w:rPr>
          <w:rFonts w:hint="eastAsia" w:ascii="华文中宋" w:hAnsi="华文中宋" w:eastAsia="华文中宋" w:cs="华文中宋"/>
          <w:color w:val="auto"/>
          <w:kern w:val="0"/>
          <w:sz w:val="24"/>
          <w:szCs w:val="24"/>
        </w:rPr>
        <w:t>承包人违约责任的承担方式和计算方法：</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rPr>
        <w:t>。</w:t>
      </w:r>
    </w:p>
    <w:p w14:paraId="3E96AA46">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16.2.3 因承包人违约解除合同</w:t>
      </w:r>
    </w:p>
    <w:p w14:paraId="4DAF4AD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u w:val="single"/>
        </w:rPr>
      </w:pPr>
      <w:r>
        <w:rPr>
          <w:rFonts w:hint="eastAsia" w:ascii="华文中宋" w:hAnsi="华文中宋" w:eastAsia="华文中宋" w:cs="华文中宋"/>
          <w:color w:val="auto"/>
          <w:sz w:val="24"/>
          <w:szCs w:val="24"/>
        </w:rPr>
        <w:t>关于承包人违约解除合同的特别约定</w:t>
      </w:r>
      <w:r>
        <w:rPr>
          <w:rFonts w:hint="eastAsia" w:ascii="华文中宋" w:hAnsi="华文中宋" w:eastAsia="华文中宋" w:cs="华文中宋"/>
          <w:color w:val="auto"/>
          <w:kern w:val="0"/>
          <w:sz w:val="24"/>
          <w:szCs w:val="24"/>
        </w:rPr>
        <w:t>：</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30146566">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发包人继续使用承包人在施工现场的材料</w:t>
      </w:r>
      <w:r>
        <w:rPr>
          <w:rFonts w:hint="eastAsia" w:ascii="华文中宋" w:hAnsi="华文中宋" w:eastAsia="华文中宋" w:cs="华文中宋"/>
          <w:color w:val="auto"/>
          <w:kern w:val="0"/>
          <w:sz w:val="24"/>
          <w:szCs w:val="24"/>
        </w:rPr>
        <w:t>、设备、临时工程、承包人文件和由承包人或以其名义编制的其他文件的费用承担方式：</w:t>
      </w:r>
      <w:r>
        <w:rPr>
          <w:rFonts w:hint="eastAsia" w:ascii="华文中宋" w:hAnsi="华文中宋" w:eastAsia="华文中宋" w:cs="华文中宋"/>
          <w:color w:val="auto"/>
          <w:kern w:val="0"/>
          <w:sz w:val="24"/>
          <w:szCs w:val="24"/>
          <w:u w:val="single"/>
          <w:lang w:val="en-US" w:eastAsia="zh-CN"/>
        </w:rPr>
        <w:t xml:space="preserve">          </w:t>
      </w:r>
      <w:r>
        <w:rPr>
          <w:rFonts w:hint="eastAsia" w:ascii="华文中宋" w:hAnsi="华文中宋" w:eastAsia="华文中宋" w:cs="华文中宋"/>
          <w:color w:val="auto"/>
          <w:sz w:val="24"/>
          <w:szCs w:val="24"/>
          <w:u w:val="single"/>
        </w:rPr>
        <w:t>。</w:t>
      </w:r>
    </w:p>
    <w:p w14:paraId="14E8DE1A">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098" w:name="_Toc375060871"/>
      <w:r>
        <w:rPr>
          <w:rFonts w:hint="eastAsia" w:ascii="华文中宋" w:hAnsi="华文中宋" w:eastAsia="华文中宋" w:cs="华文中宋"/>
          <w:b w:val="0"/>
          <w:color w:val="auto"/>
          <w:sz w:val="24"/>
          <w:szCs w:val="24"/>
        </w:rPr>
        <w:t>17. 不可抗力</w:t>
      </w:r>
      <w:bookmarkEnd w:id="1098"/>
      <w:r>
        <w:rPr>
          <w:rFonts w:hint="eastAsia" w:ascii="华文中宋" w:hAnsi="华文中宋" w:eastAsia="华文中宋" w:cs="华文中宋"/>
          <w:b w:val="0"/>
          <w:color w:val="auto"/>
          <w:sz w:val="24"/>
          <w:szCs w:val="24"/>
        </w:rPr>
        <w:t xml:space="preserve"> </w:t>
      </w:r>
      <w:bookmarkEnd w:id="1096"/>
    </w:p>
    <w:p w14:paraId="35AB08D7">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17.1 不可抗力的确认</w:t>
      </w:r>
    </w:p>
    <w:p w14:paraId="46B34750">
      <w:pPr>
        <w:pageBreakBefore w:val="0"/>
        <w:kinsoku/>
        <w:wordWrap/>
        <w:overflowPunct/>
        <w:topLinePunct w:val="0"/>
        <w:bidi w:val="0"/>
        <w:snapToGrid/>
        <w:spacing w:line="360" w:lineRule="auto"/>
        <w:ind w:left="279" w:leftChars="133" w:right="2" w:rightChars="1" w:firstLine="240" w:firstLineChars="1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除通用合同条款约定的不可抗力事件之外，视为不可抗力的其他情形：</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color w:val="auto"/>
          <w:sz w:val="24"/>
          <w:szCs w:val="24"/>
        </w:rPr>
        <w:t>。</w:t>
      </w:r>
      <w:r>
        <w:rPr>
          <w:rFonts w:hint="eastAsia" w:ascii="华文中宋" w:hAnsi="华文中宋" w:eastAsia="华文中宋" w:cs="华文中宋"/>
          <w:b/>
          <w:color w:val="auto"/>
          <w:sz w:val="24"/>
          <w:szCs w:val="24"/>
        </w:rPr>
        <w:t xml:space="preserve"> </w:t>
      </w:r>
      <w:r>
        <w:rPr>
          <w:rFonts w:hint="eastAsia" w:ascii="华文中宋" w:hAnsi="华文中宋" w:eastAsia="华文中宋" w:cs="华文中宋"/>
          <w:bCs/>
          <w:color w:val="auto"/>
          <w:sz w:val="24"/>
          <w:szCs w:val="24"/>
        </w:rPr>
        <w:t xml:space="preserve">   </w:t>
      </w:r>
    </w:p>
    <w:p w14:paraId="1AF91C3E">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17.4因不可抗力解除合同</w:t>
      </w:r>
    </w:p>
    <w:p w14:paraId="00FD2FDD">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合同解除后，发包人应在商定或确定发包人应支付款项后</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天内完成款项的支付。</w:t>
      </w:r>
    </w:p>
    <w:p w14:paraId="19256511">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099" w:name="_Toc375060872"/>
      <w:r>
        <w:rPr>
          <w:rFonts w:hint="eastAsia" w:ascii="华文中宋" w:hAnsi="华文中宋" w:eastAsia="华文中宋" w:cs="华文中宋"/>
          <w:b w:val="0"/>
          <w:color w:val="auto"/>
          <w:sz w:val="24"/>
          <w:szCs w:val="24"/>
        </w:rPr>
        <w:t>18. 保险</w:t>
      </w:r>
      <w:bookmarkEnd w:id="1099"/>
    </w:p>
    <w:bookmarkEnd w:id="1097"/>
    <w:p w14:paraId="181DD0E2">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18.1 工程保险</w:t>
      </w:r>
    </w:p>
    <w:p w14:paraId="620896C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关于工程保险的特别约定：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7318EB2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rPr>
        <w:t>18.3 其他保险</w:t>
      </w:r>
      <w:r>
        <w:rPr>
          <w:rFonts w:hint="eastAsia" w:ascii="华文中宋" w:hAnsi="华文中宋" w:eastAsia="华文中宋" w:cs="华文中宋"/>
          <w:color w:val="auto"/>
          <w:sz w:val="24"/>
          <w:szCs w:val="24"/>
          <w:lang w:val="en-US" w:eastAsia="zh-CN"/>
        </w:rPr>
        <w:t xml:space="preserve"> </w:t>
      </w:r>
    </w:p>
    <w:p w14:paraId="56C933B9">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sz w:val="24"/>
          <w:szCs w:val="24"/>
        </w:rPr>
        <w:t>关于其他保险的约定：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7113BCCA">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承包人是否应为其施工设备等办理财产保险：</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60C5ECB0">
      <w:pPr>
        <w:pageBreakBefore w:val="0"/>
        <w:kinsoku/>
        <w:wordWrap/>
        <w:overflowPunct/>
        <w:topLinePunct w:val="0"/>
        <w:bidi w:val="0"/>
        <w:snapToGrid/>
        <w:spacing w:line="360" w:lineRule="auto"/>
        <w:ind w:firstLine="480" w:firstLineChars="200"/>
        <w:outlineLvl w:val="0"/>
        <w:rPr>
          <w:rFonts w:hint="eastAsia" w:ascii="华文中宋" w:hAnsi="华文中宋" w:eastAsia="华文中宋" w:cs="华文中宋"/>
          <w:color w:val="auto"/>
          <w:sz w:val="24"/>
          <w:szCs w:val="24"/>
        </w:rPr>
      </w:pPr>
      <w:bookmarkStart w:id="1100" w:name="_Toc375060873"/>
      <w:bookmarkStart w:id="1101" w:name="_Toc27871"/>
      <w:bookmarkStart w:id="1102" w:name="_Toc2172"/>
      <w:bookmarkStart w:id="1103" w:name="_Toc375060655"/>
      <w:r>
        <w:rPr>
          <w:rFonts w:hint="eastAsia" w:ascii="华文中宋" w:hAnsi="华文中宋" w:eastAsia="华文中宋" w:cs="华文中宋"/>
          <w:color w:val="auto"/>
          <w:sz w:val="24"/>
          <w:szCs w:val="24"/>
        </w:rPr>
        <w:t>18.7 通知义务</w:t>
      </w:r>
      <w:bookmarkEnd w:id="1100"/>
      <w:bookmarkEnd w:id="1101"/>
      <w:bookmarkEnd w:id="1102"/>
      <w:bookmarkEnd w:id="1103"/>
    </w:p>
    <w:p w14:paraId="00C764F8">
      <w:pPr>
        <w:pageBreakBefore w:val="0"/>
        <w:kinsoku/>
        <w:wordWrap/>
        <w:overflowPunct/>
        <w:topLinePunct w:val="0"/>
        <w:bidi w:val="0"/>
        <w:snapToGrid/>
        <w:spacing w:line="360" w:lineRule="auto"/>
        <w:ind w:firstLine="480" w:firstLineChars="200"/>
        <w:jc w:val="left"/>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kern w:val="0"/>
          <w:sz w:val="24"/>
          <w:szCs w:val="24"/>
        </w:rPr>
        <w:t>关于变更保险合同时的通知义务的约定：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bookmarkEnd w:id="1073"/>
    <w:bookmarkEnd w:id="1074"/>
    <w:bookmarkEnd w:id="1075"/>
    <w:bookmarkEnd w:id="1076"/>
    <w:bookmarkEnd w:id="1077"/>
    <w:bookmarkEnd w:id="1078"/>
    <w:bookmarkEnd w:id="1079"/>
    <w:bookmarkEnd w:id="1080"/>
    <w:bookmarkEnd w:id="1081"/>
    <w:bookmarkEnd w:id="1082"/>
    <w:bookmarkEnd w:id="1083"/>
    <w:bookmarkEnd w:id="1084"/>
    <w:p w14:paraId="31C1F68B">
      <w:pPr>
        <w:pStyle w:val="5"/>
        <w:pageBreakBefore w:val="0"/>
        <w:kinsoku/>
        <w:wordWrap/>
        <w:overflowPunct/>
        <w:topLinePunct w:val="0"/>
        <w:bidi w:val="0"/>
        <w:snapToGrid/>
        <w:spacing w:before="0" w:after="0" w:line="360" w:lineRule="auto"/>
        <w:rPr>
          <w:rFonts w:hint="eastAsia" w:ascii="华文中宋" w:hAnsi="华文中宋" w:eastAsia="华文中宋" w:cs="华文中宋"/>
          <w:b w:val="0"/>
          <w:color w:val="auto"/>
          <w:sz w:val="24"/>
          <w:szCs w:val="24"/>
        </w:rPr>
      </w:pPr>
      <w:bookmarkStart w:id="1104" w:name="_Toc375060874"/>
      <w:r>
        <w:rPr>
          <w:rFonts w:hint="eastAsia" w:ascii="华文中宋" w:hAnsi="华文中宋" w:eastAsia="华文中宋" w:cs="华文中宋"/>
          <w:b w:val="0"/>
          <w:color w:val="auto"/>
          <w:sz w:val="24"/>
          <w:szCs w:val="24"/>
        </w:rPr>
        <w:t>20. 争议解决</w:t>
      </w:r>
      <w:bookmarkEnd w:id="1104"/>
    </w:p>
    <w:bookmarkEnd w:id="1085"/>
    <w:bookmarkEnd w:id="1086"/>
    <w:p w14:paraId="62A6B280">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20.3 争</w:t>
      </w:r>
      <w:bookmarkEnd w:id="1087"/>
      <w:r>
        <w:rPr>
          <w:rFonts w:hint="eastAsia" w:ascii="华文中宋" w:hAnsi="华文中宋" w:eastAsia="华文中宋" w:cs="华文中宋"/>
          <w:color w:val="auto"/>
          <w:sz w:val="24"/>
          <w:szCs w:val="24"/>
        </w:rPr>
        <w:t>议评审</w:t>
      </w:r>
    </w:p>
    <w:p w14:paraId="78A4BACD">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合同当事人是否同意将工程争议提交争议评审小组决定：</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773F835E">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20.3.1 争议评审小组的确定</w:t>
      </w:r>
    </w:p>
    <w:p w14:paraId="0B9666F3">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争议评审小组成员的确定：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06AC3F21">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选定争议评审员的期限：</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590CEDC9">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争议评审小组成员的报酬承担方式：</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4316DDE3">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其他事项的约定：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215FFEA7">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20.3.2 </w:t>
      </w:r>
      <w:r>
        <w:rPr>
          <w:rFonts w:hint="eastAsia" w:ascii="华文中宋" w:hAnsi="华文中宋" w:eastAsia="华文中宋" w:cs="华文中宋"/>
          <w:color w:val="auto"/>
          <w:sz w:val="24"/>
          <w:szCs w:val="24"/>
        </w:rPr>
        <w:t>争议评审小组的决定</w:t>
      </w:r>
    </w:p>
    <w:p w14:paraId="6579AC0D">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合同当事人关于本项的约定：</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3FA80FAF">
      <w:pPr>
        <w:pageBreakBefore w:val="0"/>
        <w:kinsoku/>
        <w:wordWrap/>
        <w:overflowPunct/>
        <w:topLinePunct w:val="0"/>
        <w:bidi w:val="0"/>
        <w:snapToGrid/>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20.4仲裁或诉讼</w:t>
      </w:r>
      <w:bookmarkEnd w:id="1088"/>
    </w:p>
    <w:p w14:paraId="35694624">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因合同及合同有关事项发生的争议，按下列第</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种方式解决：</w:t>
      </w:r>
    </w:p>
    <w:p w14:paraId="460F0E91">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（1）向</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仲裁委员会申请仲裁；</w:t>
      </w:r>
    </w:p>
    <w:p w14:paraId="0001B79F">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（2）向</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人民法院起诉。</w:t>
      </w:r>
      <w:bookmarkEnd w:id="1089"/>
      <w:bookmarkEnd w:id="1090"/>
      <w:bookmarkEnd w:id="1091"/>
      <w:bookmarkEnd w:id="1092"/>
      <w:bookmarkEnd w:id="1093"/>
      <w:bookmarkEnd w:id="1094"/>
    </w:p>
    <w:p w14:paraId="5FD169B2">
      <w:pPr>
        <w:pageBreakBefore w:val="0"/>
        <w:kinsoku/>
        <w:wordWrap/>
        <w:overflowPunct/>
        <w:topLinePunct w:val="0"/>
        <w:bidi w:val="0"/>
        <w:snapToGrid/>
        <w:spacing w:line="360" w:lineRule="auto"/>
        <w:ind w:right="2" w:rightChars="1" w:firstLine="480"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（本页以下无正文内容）</w:t>
      </w:r>
    </w:p>
    <w:p w14:paraId="012E9FDB">
      <w:pPr>
        <w:pageBreakBefore w:val="0"/>
        <w:kinsoku/>
        <w:wordWrap/>
        <w:overflowPunct/>
        <w:topLinePunct w:val="0"/>
        <w:bidi w:val="0"/>
        <w:snapToGrid/>
        <w:spacing w:line="360" w:lineRule="auto"/>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br w:type="page"/>
      </w:r>
      <w:r>
        <w:rPr>
          <w:rFonts w:hint="eastAsia" w:ascii="华文中宋" w:hAnsi="华文中宋" w:eastAsia="华文中宋" w:cs="华文中宋"/>
          <w:color w:val="auto"/>
          <w:sz w:val="24"/>
          <w:szCs w:val="24"/>
        </w:rPr>
        <w:t>附件</w:t>
      </w:r>
    </w:p>
    <w:p w14:paraId="55929C6D">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协议书附件：</w:t>
      </w:r>
    </w:p>
    <w:p w14:paraId="3C0B863D">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附件1：承包人承揽工程项目一览表</w:t>
      </w:r>
    </w:p>
    <w:p w14:paraId="4C055B39">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专用合同条款附件：</w:t>
      </w:r>
    </w:p>
    <w:p w14:paraId="0A09D749">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附件2：发包人供应材料设备一览表</w:t>
      </w:r>
    </w:p>
    <w:p w14:paraId="70F0E8C8">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附件3：工程质量保修书</w:t>
      </w:r>
    </w:p>
    <w:p w14:paraId="4F85EAEE">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附件4：主要建设工程文件目录</w:t>
      </w:r>
    </w:p>
    <w:p w14:paraId="1E0973CE">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附件5：承包人用于本工程施工的机械设备表</w:t>
      </w:r>
    </w:p>
    <w:p w14:paraId="5725FE4F">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附件6：承包人主要施工管理人员表</w:t>
      </w:r>
    </w:p>
    <w:p w14:paraId="4B116059">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附件7：分包人主要施工管理人员表</w:t>
      </w:r>
    </w:p>
    <w:p w14:paraId="0EA28AA6">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附件8：履约担保格式</w:t>
      </w:r>
    </w:p>
    <w:p w14:paraId="1817D9D2">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附件9：预付款担保格式</w:t>
      </w:r>
    </w:p>
    <w:p w14:paraId="108D5F7A">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附件10：支付担保格式</w:t>
      </w:r>
    </w:p>
    <w:p w14:paraId="4A5FB85F">
      <w:pPr>
        <w:pageBreakBefore w:val="0"/>
        <w:kinsoku/>
        <w:wordWrap/>
        <w:overflowPunct/>
        <w:topLinePunct w:val="0"/>
        <w:bidi w:val="0"/>
        <w:snapToGrid/>
        <w:spacing w:line="360" w:lineRule="auto"/>
        <w:ind w:left="630" w:leftChars="300"/>
        <w:jc w:val="left"/>
        <w:rPr>
          <w:rFonts w:hint="eastAsia" w:ascii="华文中宋" w:hAnsi="华文中宋" w:eastAsia="华文中宋" w:cs="华文中宋"/>
          <w:color w:val="auto"/>
          <w:sz w:val="24"/>
          <w:szCs w:val="24"/>
        </w:rPr>
        <w:sectPr>
          <w:pgSz w:w="11906" w:h="16838"/>
          <w:pgMar w:top="1418" w:right="1304" w:bottom="1418" w:left="1304" w:header="851" w:footer="992" w:gutter="0"/>
          <w:pgNumType w:fmt="decimal"/>
          <w:cols w:space="720" w:num="1"/>
          <w:titlePg/>
          <w:docGrid w:linePitch="312" w:charSpace="0"/>
        </w:sectPr>
      </w:pPr>
      <w:r>
        <w:rPr>
          <w:rFonts w:hint="eastAsia" w:ascii="华文中宋" w:hAnsi="华文中宋" w:eastAsia="华文中宋" w:cs="华文中宋"/>
          <w:color w:val="auto"/>
          <w:sz w:val="24"/>
          <w:szCs w:val="24"/>
        </w:rPr>
        <w:t>附件11：暂估价一览表</w:t>
      </w:r>
    </w:p>
    <w:p w14:paraId="4AC33230">
      <w:pPr>
        <w:spacing w:beforeLines="50" w:afterLines="50" w:line="440" w:lineRule="exact"/>
        <w:ind w:left="-391" w:leftChars="-186" w:firstLine="120" w:firstLineChars="50"/>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附件1：</w:t>
      </w:r>
    </w:p>
    <w:p w14:paraId="39BBA790">
      <w:pPr>
        <w:spacing w:beforeLines="50" w:afterLines="50" w:line="440" w:lineRule="exact"/>
        <w:jc w:val="center"/>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承包人承揽工程项目一览表</w:t>
      </w:r>
    </w:p>
    <w:tbl>
      <w:tblPr>
        <w:tblStyle w:val="29"/>
        <w:tblW w:w="146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632"/>
        <w:gridCol w:w="1568"/>
        <w:gridCol w:w="1316"/>
        <w:gridCol w:w="840"/>
        <w:gridCol w:w="420"/>
        <w:gridCol w:w="1155"/>
        <w:gridCol w:w="1575"/>
        <w:gridCol w:w="1510"/>
        <w:gridCol w:w="1288"/>
        <w:gridCol w:w="1297"/>
      </w:tblGrid>
      <w:tr w14:paraId="07DB4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632" w:type="dxa"/>
            <w:tcBorders>
              <w:top w:val="single" w:color="auto" w:sz="12" w:space="0"/>
              <w:bottom w:val="double" w:color="auto" w:sz="6" w:space="0"/>
            </w:tcBorders>
            <w:noWrap w:val="0"/>
            <w:vAlign w:val="center"/>
          </w:tcPr>
          <w:p w14:paraId="41D66E15">
            <w:pPr>
              <w:pStyle w:val="14"/>
              <w:keepNext/>
              <w:spacing w:line="4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单位工程名称</w:t>
            </w:r>
          </w:p>
        </w:tc>
        <w:tc>
          <w:tcPr>
            <w:tcW w:w="1568" w:type="dxa"/>
            <w:tcBorders>
              <w:top w:val="single" w:color="auto" w:sz="12" w:space="0"/>
              <w:bottom w:val="double" w:color="auto" w:sz="6" w:space="0"/>
            </w:tcBorders>
            <w:noWrap w:val="0"/>
            <w:vAlign w:val="center"/>
          </w:tcPr>
          <w:p w14:paraId="6F8BA70B">
            <w:pPr>
              <w:pStyle w:val="14"/>
              <w:keepNext/>
              <w:spacing w:line="4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建设规模</w:t>
            </w:r>
          </w:p>
        </w:tc>
        <w:tc>
          <w:tcPr>
            <w:tcW w:w="1316" w:type="dxa"/>
            <w:tcBorders>
              <w:top w:val="single" w:color="auto" w:sz="12" w:space="0"/>
              <w:bottom w:val="double" w:color="auto" w:sz="6" w:space="0"/>
            </w:tcBorders>
            <w:noWrap w:val="0"/>
            <w:vAlign w:val="center"/>
          </w:tcPr>
          <w:p w14:paraId="0F643604">
            <w:pPr>
              <w:pStyle w:val="14"/>
              <w:keepNext/>
              <w:spacing w:line="3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建筑面积</w:t>
            </w:r>
          </w:p>
          <w:p w14:paraId="59891C4D">
            <w:pPr>
              <w:pStyle w:val="14"/>
              <w:keepNext/>
              <w:spacing w:line="3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（平方米）</w:t>
            </w:r>
          </w:p>
        </w:tc>
        <w:tc>
          <w:tcPr>
            <w:tcW w:w="840" w:type="dxa"/>
            <w:tcBorders>
              <w:top w:val="single" w:color="auto" w:sz="12" w:space="0"/>
              <w:bottom w:val="double" w:color="auto" w:sz="6" w:space="0"/>
            </w:tcBorders>
            <w:noWrap w:val="0"/>
            <w:vAlign w:val="center"/>
          </w:tcPr>
          <w:p w14:paraId="4F2F9DAB">
            <w:pPr>
              <w:pStyle w:val="14"/>
              <w:keepNext/>
              <w:spacing w:line="3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结构</w:t>
            </w:r>
          </w:p>
          <w:p w14:paraId="12727DDB">
            <w:pPr>
              <w:pStyle w:val="14"/>
              <w:keepNext/>
              <w:spacing w:line="3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形式</w:t>
            </w:r>
          </w:p>
        </w:tc>
        <w:tc>
          <w:tcPr>
            <w:tcW w:w="420" w:type="dxa"/>
            <w:tcBorders>
              <w:top w:val="single" w:color="auto" w:sz="12" w:space="0"/>
              <w:bottom w:val="double" w:color="auto" w:sz="6" w:space="0"/>
            </w:tcBorders>
            <w:noWrap w:val="0"/>
            <w:vAlign w:val="center"/>
          </w:tcPr>
          <w:p w14:paraId="484DA882">
            <w:pPr>
              <w:pStyle w:val="14"/>
              <w:keepNext/>
              <w:spacing w:line="3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层</w:t>
            </w:r>
          </w:p>
          <w:p w14:paraId="040181D7">
            <w:pPr>
              <w:pStyle w:val="14"/>
              <w:keepNext/>
              <w:spacing w:line="3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数</w:t>
            </w:r>
          </w:p>
        </w:tc>
        <w:tc>
          <w:tcPr>
            <w:tcW w:w="1155" w:type="dxa"/>
            <w:tcBorders>
              <w:top w:val="single" w:color="auto" w:sz="12" w:space="0"/>
              <w:bottom w:val="double" w:color="auto" w:sz="6" w:space="0"/>
            </w:tcBorders>
            <w:noWrap w:val="0"/>
            <w:vAlign w:val="center"/>
          </w:tcPr>
          <w:p w14:paraId="72A172B8">
            <w:pPr>
              <w:pStyle w:val="14"/>
              <w:keepNext/>
              <w:spacing w:line="4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生产能力</w:t>
            </w:r>
          </w:p>
        </w:tc>
        <w:tc>
          <w:tcPr>
            <w:tcW w:w="1575" w:type="dxa"/>
            <w:tcBorders>
              <w:top w:val="single" w:color="auto" w:sz="12" w:space="0"/>
              <w:bottom w:val="double" w:color="auto" w:sz="6" w:space="0"/>
            </w:tcBorders>
            <w:noWrap w:val="0"/>
            <w:vAlign w:val="center"/>
          </w:tcPr>
          <w:p w14:paraId="00B1D152">
            <w:pPr>
              <w:pStyle w:val="14"/>
              <w:keepNext/>
              <w:spacing w:line="4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设备安装内容</w:t>
            </w:r>
          </w:p>
        </w:tc>
        <w:tc>
          <w:tcPr>
            <w:tcW w:w="1510" w:type="dxa"/>
            <w:tcBorders>
              <w:top w:val="single" w:color="auto" w:sz="12" w:space="0"/>
              <w:bottom w:val="double" w:color="auto" w:sz="6" w:space="0"/>
            </w:tcBorders>
            <w:noWrap w:val="0"/>
            <w:vAlign w:val="center"/>
          </w:tcPr>
          <w:p w14:paraId="11A86153">
            <w:pPr>
              <w:pStyle w:val="14"/>
              <w:keepNext/>
              <w:spacing w:line="3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合同价格</w:t>
            </w:r>
          </w:p>
          <w:p w14:paraId="3F228E3F">
            <w:pPr>
              <w:pStyle w:val="14"/>
              <w:keepNext/>
              <w:spacing w:line="3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（元）</w:t>
            </w:r>
          </w:p>
        </w:tc>
        <w:tc>
          <w:tcPr>
            <w:tcW w:w="1288" w:type="dxa"/>
            <w:tcBorders>
              <w:top w:val="single" w:color="auto" w:sz="12" w:space="0"/>
              <w:bottom w:val="double" w:color="auto" w:sz="6" w:space="0"/>
            </w:tcBorders>
            <w:noWrap w:val="0"/>
            <w:vAlign w:val="center"/>
          </w:tcPr>
          <w:p w14:paraId="36654C77">
            <w:pPr>
              <w:pStyle w:val="14"/>
              <w:keepNext/>
              <w:spacing w:line="4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开工日期</w:t>
            </w:r>
          </w:p>
        </w:tc>
        <w:tc>
          <w:tcPr>
            <w:tcW w:w="1297" w:type="dxa"/>
            <w:tcBorders>
              <w:top w:val="single" w:color="auto" w:sz="12" w:space="0"/>
              <w:bottom w:val="double" w:color="auto" w:sz="6" w:space="0"/>
            </w:tcBorders>
            <w:noWrap w:val="0"/>
            <w:vAlign w:val="center"/>
          </w:tcPr>
          <w:p w14:paraId="0764D8DA">
            <w:pPr>
              <w:pStyle w:val="14"/>
              <w:keepNext/>
              <w:spacing w:line="440" w:lineRule="exact"/>
              <w:ind w:left="-13" w:leftChars="-6" w:right="-6" w:rightChars="-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竣工日期</w:t>
            </w:r>
          </w:p>
        </w:tc>
      </w:tr>
      <w:tr w14:paraId="21ABD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tcBorders>
              <w:top w:val="double" w:color="auto" w:sz="6" w:space="0"/>
              <w:bottom w:val="single" w:color="auto" w:sz="6" w:space="0"/>
            </w:tcBorders>
            <w:noWrap w:val="0"/>
            <w:vAlign w:val="center"/>
          </w:tcPr>
          <w:p w14:paraId="7B0A6497">
            <w:pPr>
              <w:pStyle w:val="14"/>
              <w:keepNext/>
              <w:spacing w:line="440" w:lineRule="exact"/>
              <w:ind w:left="4" w:leftChars="2" w:right="-13" w:rightChars="-6"/>
              <w:rPr>
                <w:rFonts w:hint="eastAsia" w:ascii="华文中宋" w:hAnsi="华文中宋" w:eastAsia="华文中宋" w:cs="华文中宋"/>
                <w:b/>
                <w:color w:val="auto"/>
                <w:kern w:val="2"/>
                <w:sz w:val="21"/>
                <w:szCs w:val="21"/>
              </w:rPr>
            </w:pPr>
          </w:p>
        </w:tc>
        <w:tc>
          <w:tcPr>
            <w:tcW w:w="1568" w:type="dxa"/>
            <w:tcBorders>
              <w:top w:val="double" w:color="auto" w:sz="6" w:space="0"/>
              <w:bottom w:val="single" w:color="auto" w:sz="6" w:space="0"/>
            </w:tcBorders>
            <w:noWrap w:val="0"/>
            <w:vAlign w:val="center"/>
          </w:tcPr>
          <w:p w14:paraId="0155A35B">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tcBorders>
              <w:top w:val="double" w:color="auto" w:sz="6" w:space="0"/>
              <w:bottom w:val="single" w:color="auto" w:sz="6" w:space="0"/>
            </w:tcBorders>
            <w:noWrap w:val="0"/>
            <w:vAlign w:val="center"/>
          </w:tcPr>
          <w:p w14:paraId="32112A2F">
            <w:pPr>
              <w:pStyle w:val="14"/>
              <w:keepNext/>
              <w:spacing w:line="440" w:lineRule="exact"/>
              <w:ind w:left="63" w:right="63"/>
              <w:rPr>
                <w:rFonts w:hint="eastAsia" w:ascii="华文中宋" w:hAnsi="华文中宋" w:eastAsia="华文中宋" w:cs="华文中宋"/>
                <w:b/>
                <w:color w:val="auto"/>
                <w:kern w:val="2"/>
                <w:sz w:val="21"/>
                <w:szCs w:val="21"/>
              </w:rPr>
            </w:pPr>
          </w:p>
        </w:tc>
        <w:tc>
          <w:tcPr>
            <w:tcW w:w="840" w:type="dxa"/>
            <w:tcBorders>
              <w:top w:val="double" w:color="auto" w:sz="6" w:space="0"/>
              <w:bottom w:val="single" w:color="auto" w:sz="6" w:space="0"/>
            </w:tcBorders>
            <w:noWrap w:val="0"/>
            <w:vAlign w:val="center"/>
          </w:tcPr>
          <w:p w14:paraId="25E84C3C">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c>
          <w:tcPr>
            <w:tcW w:w="420" w:type="dxa"/>
            <w:tcBorders>
              <w:top w:val="double" w:color="auto" w:sz="6" w:space="0"/>
              <w:bottom w:val="single" w:color="auto" w:sz="6" w:space="0"/>
            </w:tcBorders>
            <w:noWrap w:val="0"/>
            <w:vAlign w:val="center"/>
          </w:tcPr>
          <w:p w14:paraId="0256773A">
            <w:pPr>
              <w:pStyle w:val="14"/>
              <w:keepNext/>
              <w:spacing w:line="440" w:lineRule="exact"/>
              <w:ind w:left="63" w:right="63"/>
              <w:rPr>
                <w:rFonts w:hint="eastAsia" w:ascii="华文中宋" w:hAnsi="华文中宋" w:eastAsia="华文中宋" w:cs="华文中宋"/>
                <w:b/>
                <w:color w:val="auto"/>
                <w:kern w:val="2"/>
                <w:sz w:val="21"/>
                <w:szCs w:val="21"/>
                <w:highlight w:val="cyan"/>
              </w:rPr>
            </w:pPr>
          </w:p>
        </w:tc>
        <w:tc>
          <w:tcPr>
            <w:tcW w:w="1155" w:type="dxa"/>
            <w:tcBorders>
              <w:top w:val="double" w:color="auto" w:sz="6" w:space="0"/>
              <w:bottom w:val="single" w:color="auto" w:sz="6" w:space="0"/>
            </w:tcBorders>
            <w:noWrap w:val="0"/>
            <w:vAlign w:val="center"/>
          </w:tcPr>
          <w:p w14:paraId="32EFAFEF">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c>
          <w:tcPr>
            <w:tcW w:w="1575" w:type="dxa"/>
            <w:tcBorders>
              <w:top w:val="double" w:color="auto" w:sz="6" w:space="0"/>
              <w:bottom w:val="single" w:color="auto" w:sz="6" w:space="0"/>
            </w:tcBorders>
            <w:noWrap w:val="0"/>
            <w:vAlign w:val="center"/>
          </w:tcPr>
          <w:p w14:paraId="68D41C7C">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c>
          <w:tcPr>
            <w:tcW w:w="1510" w:type="dxa"/>
            <w:tcBorders>
              <w:top w:val="double" w:color="auto" w:sz="6" w:space="0"/>
              <w:bottom w:val="single" w:color="auto" w:sz="6" w:space="0"/>
            </w:tcBorders>
            <w:noWrap w:val="0"/>
            <w:vAlign w:val="center"/>
          </w:tcPr>
          <w:p w14:paraId="465C0B73">
            <w:pPr>
              <w:pStyle w:val="14"/>
              <w:keepNext/>
              <w:spacing w:line="440" w:lineRule="exact"/>
              <w:ind w:left="-27" w:leftChars="-13" w:right="-27" w:rightChars="-13"/>
              <w:rPr>
                <w:rFonts w:hint="eastAsia" w:ascii="华文中宋" w:hAnsi="华文中宋" w:eastAsia="华文中宋" w:cs="华文中宋"/>
                <w:b/>
                <w:color w:val="auto"/>
                <w:kern w:val="2"/>
                <w:sz w:val="21"/>
                <w:szCs w:val="21"/>
                <w:highlight w:val="cyan"/>
              </w:rPr>
            </w:pPr>
          </w:p>
        </w:tc>
        <w:tc>
          <w:tcPr>
            <w:tcW w:w="1288" w:type="dxa"/>
            <w:tcBorders>
              <w:top w:val="double" w:color="auto" w:sz="6" w:space="0"/>
              <w:bottom w:val="single" w:color="auto" w:sz="6" w:space="0"/>
            </w:tcBorders>
            <w:noWrap w:val="0"/>
            <w:vAlign w:val="center"/>
          </w:tcPr>
          <w:p w14:paraId="4D94D459">
            <w:pPr>
              <w:pStyle w:val="14"/>
              <w:keepNext/>
              <w:spacing w:line="440" w:lineRule="exact"/>
              <w:ind w:left="-21" w:leftChars="-10" w:right="-31" w:rightChars="-15"/>
              <w:rPr>
                <w:rFonts w:hint="eastAsia" w:ascii="华文中宋" w:hAnsi="华文中宋" w:eastAsia="华文中宋" w:cs="华文中宋"/>
                <w:b/>
                <w:color w:val="auto"/>
                <w:kern w:val="2"/>
                <w:sz w:val="21"/>
                <w:szCs w:val="21"/>
              </w:rPr>
            </w:pPr>
          </w:p>
        </w:tc>
        <w:tc>
          <w:tcPr>
            <w:tcW w:w="1297" w:type="dxa"/>
            <w:tcBorders>
              <w:top w:val="double" w:color="auto" w:sz="6" w:space="0"/>
              <w:bottom w:val="single" w:color="auto" w:sz="6" w:space="0"/>
            </w:tcBorders>
            <w:noWrap w:val="0"/>
            <w:vAlign w:val="center"/>
          </w:tcPr>
          <w:p w14:paraId="67B855D8">
            <w:pPr>
              <w:pStyle w:val="14"/>
              <w:keepNext/>
              <w:spacing w:line="440" w:lineRule="exact"/>
              <w:ind w:left="-21" w:leftChars="-10" w:right="-31" w:rightChars="-15"/>
              <w:rPr>
                <w:rFonts w:hint="eastAsia" w:ascii="华文中宋" w:hAnsi="华文中宋" w:eastAsia="华文中宋" w:cs="华文中宋"/>
                <w:b/>
                <w:color w:val="auto"/>
                <w:kern w:val="2"/>
                <w:sz w:val="21"/>
                <w:szCs w:val="21"/>
              </w:rPr>
            </w:pPr>
          </w:p>
        </w:tc>
      </w:tr>
      <w:tr w14:paraId="7F380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tcBorders>
              <w:top w:val="nil"/>
            </w:tcBorders>
            <w:noWrap w:val="0"/>
            <w:vAlign w:val="center"/>
          </w:tcPr>
          <w:p w14:paraId="5C8C9951">
            <w:pPr>
              <w:pStyle w:val="14"/>
              <w:keepNext/>
              <w:spacing w:line="440" w:lineRule="exact"/>
              <w:ind w:left="63" w:right="63"/>
              <w:jc w:val="both"/>
              <w:rPr>
                <w:rFonts w:hint="eastAsia" w:ascii="华文中宋" w:hAnsi="华文中宋" w:eastAsia="华文中宋" w:cs="华文中宋"/>
                <w:b/>
                <w:color w:val="auto"/>
                <w:kern w:val="2"/>
                <w:sz w:val="21"/>
                <w:szCs w:val="21"/>
              </w:rPr>
            </w:pPr>
          </w:p>
        </w:tc>
        <w:tc>
          <w:tcPr>
            <w:tcW w:w="1568" w:type="dxa"/>
            <w:tcBorders>
              <w:top w:val="nil"/>
            </w:tcBorders>
            <w:noWrap w:val="0"/>
            <w:vAlign w:val="center"/>
          </w:tcPr>
          <w:p w14:paraId="28D63956">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tcBorders>
              <w:top w:val="nil"/>
            </w:tcBorders>
            <w:noWrap w:val="0"/>
            <w:vAlign w:val="center"/>
          </w:tcPr>
          <w:p w14:paraId="6B7F7CF9">
            <w:pPr>
              <w:pStyle w:val="14"/>
              <w:keepNext/>
              <w:spacing w:line="440" w:lineRule="exact"/>
              <w:ind w:left="63" w:right="63"/>
              <w:rPr>
                <w:rFonts w:hint="eastAsia" w:ascii="华文中宋" w:hAnsi="华文中宋" w:eastAsia="华文中宋" w:cs="华文中宋"/>
                <w:b/>
                <w:color w:val="auto"/>
                <w:kern w:val="2"/>
                <w:sz w:val="21"/>
                <w:szCs w:val="21"/>
              </w:rPr>
            </w:pPr>
          </w:p>
        </w:tc>
        <w:tc>
          <w:tcPr>
            <w:tcW w:w="840" w:type="dxa"/>
            <w:tcBorders>
              <w:top w:val="nil"/>
            </w:tcBorders>
            <w:noWrap w:val="0"/>
            <w:vAlign w:val="center"/>
          </w:tcPr>
          <w:p w14:paraId="6D393C50">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tcBorders>
              <w:top w:val="nil"/>
            </w:tcBorders>
            <w:noWrap w:val="0"/>
            <w:vAlign w:val="center"/>
          </w:tcPr>
          <w:p w14:paraId="18BF8EAE">
            <w:pPr>
              <w:pStyle w:val="14"/>
              <w:keepNext/>
              <w:spacing w:line="440" w:lineRule="exact"/>
              <w:ind w:left="63" w:right="63"/>
              <w:rPr>
                <w:rFonts w:hint="eastAsia" w:ascii="华文中宋" w:hAnsi="华文中宋" w:eastAsia="华文中宋" w:cs="华文中宋"/>
                <w:b/>
                <w:color w:val="auto"/>
                <w:kern w:val="2"/>
                <w:sz w:val="21"/>
                <w:szCs w:val="21"/>
              </w:rPr>
            </w:pPr>
          </w:p>
        </w:tc>
        <w:tc>
          <w:tcPr>
            <w:tcW w:w="1155" w:type="dxa"/>
            <w:tcBorders>
              <w:top w:val="nil"/>
            </w:tcBorders>
            <w:noWrap w:val="0"/>
            <w:vAlign w:val="center"/>
          </w:tcPr>
          <w:p w14:paraId="764272CF">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tcBorders>
              <w:top w:val="nil"/>
            </w:tcBorders>
            <w:noWrap w:val="0"/>
            <w:vAlign w:val="center"/>
          </w:tcPr>
          <w:p w14:paraId="1A80055B">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tcBorders>
              <w:top w:val="nil"/>
            </w:tcBorders>
            <w:noWrap w:val="0"/>
            <w:vAlign w:val="center"/>
          </w:tcPr>
          <w:p w14:paraId="54C2D465">
            <w:pPr>
              <w:pStyle w:val="14"/>
              <w:keepNext/>
              <w:spacing w:line="440" w:lineRule="exact"/>
              <w:ind w:left="-27" w:leftChars="-13" w:right="-27" w:rightChars="-13"/>
              <w:rPr>
                <w:rFonts w:hint="eastAsia" w:ascii="华文中宋" w:hAnsi="华文中宋" w:eastAsia="华文中宋" w:cs="华文中宋"/>
                <w:b/>
                <w:color w:val="auto"/>
                <w:kern w:val="2"/>
                <w:sz w:val="21"/>
                <w:szCs w:val="21"/>
              </w:rPr>
            </w:pPr>
          </w:p>
        </w:tc>
        <w:tc>
          <w:tcPr>
            <w:tcW w:w="1288" w:type="dxa"/>
            <w:tcBorders>
              <w:top w:val="nil"/>
            </w:tcBorders>
            <w:noWrap w:val="0"/>
            <w:vAlign w:val="center"/>
          </w:tcPr>
          <w:p w14:paraId="720EDDE4">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tcBorders>
              <w:top w:val="nil"/>
            </w:tcBorders>
            <w:noWrap w:val="0"/>
            <w:vAlign w:val="center"/>
          </w:tcPr>
          <w:p w14:paraId="23CF6095">
            <w:pPr>
              <w:pStyle w:val="14"/>
              <w:keepNext/>
              <w:spacing w:line="440" w:lineRule="exact"/>
              <w:ind w:left="63" w:right="63"/>
              <w:rPr>
                <w:rFonts w:hint="eastAsia" w:ascii="华文中宋" w:hAnsi="华文中宋" w:eastAsia="华文中宋" w:cs="华文中宋"/>
                <w:color w:val="auto"/>
                <w:kern w:val="2"/>
                <w:sz w:val="21"/>
                <w:szCs w:val="21"/>
              </w:rPr>
            </w:pPr>
          </w:p>
        </w:tc>
      </w:tr>
      <w:tr w14:paraId="4FFA9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tcBorders>
              <w:top w:val="nil"/>
            </w:tcBorders>
            <w:noWrap w:val="0"/>
            <w:vAlign w:val="center"/>
          </w:tcPr>
          <w:p w14:paraId="6E2BBADD">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tcBorders>
              <w:top w:val="nil"/>
            </w:tcBorders>
            <w:noWrap w:val="0"/>
            <w:vAlign w:val="center"/>
          </w:tcPr>
          <w:p w14:paraId="4B84536F">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tcBorders>
              <w:top w:val="nil"/>
            </w:tcBorders>
            <w:noWrap w:val="0"/>
            <w:vAlign w:val="center"/>
          </w:tcPr>
          <w:p w14:paraId="4EF0F3DE">
            <w:pPr>
              <w:pStyle w:val="14"/>
              <w:keepNext/>
              <w:spacing w:line="440" w:lineRule="exact"/>
              <w:ind w:left="63" w:right="63"/>
              <w:rPr>
                <w:rFonts w:hint="eastAsia" w:ascii="华文中宋" w:hAnsi="华文中宋" w:eastAsia="华文中宋" w:cs="华文中宋"/>
                <w:b/>
                <w:color w:val="auto"/>
                <w:kern w:val="2"/>
                <w:sz w:val="21"/>
                <w:szCs w:val="21"/>
              </w:rPr>
            </w:pPr>
          </w:p>
        </w:tc>
        <w:tc>
          <w:tcPr>
            <w:tcW w:w="840" w:type="dxa"/>
            <w:tcBorders>
              <w:top w:val="nil"/>
            </w:tcBorders>
            <w:noWrap w:val="0"/>
            <w:vAlign w:val="center"/>
          </w:tcPr>
          <w:p w14:paraId="1D0942D7">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tcBorders>
              <w:top w:val="nil"/>
            </w:tcBorders>
            <w:noWrap w:val="0"/>
            <w:vAlign w:val="center"/>
          </w:tcPr>
          <w:p w14:paraId="6ACB3DE1">
            <w:pPr>
              <w:pStyle w:val="14"/>
              <w:keepNext/>
              <w:spacing w:line="440" w:lineRule="exact"/>
              <w:ind w:left="63" w:right="63"/>
              <w:rPr>
                <w:rFonts w:hint="eastAsia" w:ascii="华文中宋" w:hAnsi="华文中宋" w:eastAsia="华文中宋" w:cs="华文中宋"/>
                <w:b/>
                <w:color w:val="auto"/>
                <w:kern w:val="2"/>
                <w:sz w:val="21"/>
                <w:szCs w:val="21"/>
              </w:rPr>
            </w:pPr>
          </w:p>
        </w:tc>
        <w:tc>
          <w:tcPr>
            <w:tcW w:w="1155" w:type="dxa"/>
            <w:tcBorders>
              <w:top w:val="nil"/>
            </w:tcBorders>
            <w:noWrap w:val="0"/>
            <w:vAlign w:val="center"/>
          </w:tcPr>
          <w:p w14:paraId="7A0D0324">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tcBorders>
              <w:top w:val="nil"/>
            </w:tcBorders>
            <w:noWrap w:val="0"/>
            <w:vAlign w:val="center"/>
          </w:tcPr>
          <w:p w14:paraId="31487BF4">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tcBorders>
              <w:top w:val="nil"/>
            </w:tcBorders>
            <w:noWrap w:val="0"/>
            <w:vAlign w:val="center"/>
          </w:tcPr>
          <w:p w14:paraId="02B94F43">
            <w:pPr>
              <w:pStyle w:val="14"/>
              <w:keepNext/>
              <w:spacing w:line="440" w:lineRule="exact"/>
              <w:ind w:left="-27" w:leftChars="-13" w:right="-27" w:rightChars="-13"/>
              <w:rPr>
                <w:rFonts w:hint="eastAsia" w:ascii="华文中宋" w:hAnsi="华文中宋" w:eastAsia="华文中宋" w:cs="华文中宋"/>
                <w:b/>
                <w:color w:val="auto"/>
                <w:kern w:val="2"/>
                <w:sz w:val="21"/>
                <w:szCs w:val="21"/>
              </w:rPr>
            </w:pPr>
          </w:p>
        </w:tc>
        <w:tc>
          <w:tcPr>
            <w:tcW w:w="1288" w:type="dxa"/>
            <w:tcBorders>
              <w:top w:val="nil"/>
            </w:tcBorders>
            <w:noWrap w:val="0"/>
            <w:vAlign w:val="center"/>
          </w:tcPr>
          <w:p w14:paraId="6FCE7D11">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tcBorders>
              <w:top w:val="nil"/>
            </w:tcBorders>
            <w:noWrap w:val="0"/>
            <w:vAlign w:val="center"/>
          </w:tcPr>
          <w:p w14:paraId="49F7243D">
            <w:pPr>
              <w:pStyle w:val="14"/>
              <w:keepNext/>
              <w:spacing w:line="440" w:lineRule="exact"/>
              <w:ind w:left="63" w:right="63"/>
              <w:rPr>
                <w:rFonts w:hint="eastAsia" w:ascii="华文中宋" w:hAnsi="华文中宋" w:eastAsia="华文中宋" w:cs="华文中宋"/>
                <w:color w:val="auto"/>
                <w:kern w:val="2"/>
                <w:sz w:val="21"/>
                <w:szCs w:val="21"/>
              </w:rPr>
            </w:pPr>
          </w:p>
        </w:tc>
      </w:tr>
      <w:tr w14:paraId="7975E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noWrap w:val="0"/>
            <w:vAlign w:val="center"/>
          </w:tcPr>
          <w:p w14:paraId="031087C4">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noWrap w:val="0"/>
            <w:vAlign w:val="center"/>
          </w:tcPr>
          <w:p w14:paraId="4A72669A">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noWrap w:val="0"/>
            <w:vAlign w:val="center"/>
          </w:tcPr>
          <w:p w14:paraId="13AF6F84">
            <w:pPr>
              <w:pStyle w:val="14"/>
              <w:keepNext/>
              <w:spacing w:line="440" w:lineRule="exact"/>
              <w:ind w:left="63" w:right="63"/>
              <w:rPr>
                <w:rFonts w:hint="eastAsia" w:ascii="华文中宋" w:hAnsi="华文中宋" w:eastAsia="华文中宋" w:cs="华文中宋"/>
                <w:b/>
                <w:color w:val="auto"/>
                <w:kern w:val="2"/>
                <w:sz w:val="21"/>
                <w:szCs w:val="21"/>
              </w:rPr>
            </w:pPr>
          </w:p>
        </w:tc>
        <w:tc>
          <w:tcPr>
            <w:tcW w:w="840" w:type="dxa"/>
            <w:noWrap w:val="0"/>
            <w:vAlign w:val="center"/>
          </w:tcPr>
          <w:p w14:paraId="32CF8ED9">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noWrap w:val="0"/>
            <w:vAlign w:val="center"/>
          </w:tcPr>
          <w:p w14:paraId="26FA709A">
            <w:pPr>
              <w:pStyle w:val="14"/>
              <w:keepNext/>
              <w:spacing w:line="440" w:lineRule="exact"/>
              <w:ind w:left="63" w:right="63"/>
              <w:rPr>
                <w:rFonts w:hint="eastAsia" w:ascii="华文中宋" w:hAnsi="华文中宋" w:eastAsia="华文中宋" w:cs="华文中宋"/>
                <w:b/>
                <w:color w:val="auto"/>
                <w:kern w:val="2"/>
                <w:sz w:val="21"/>
                <w:szCs w:val="21"/>
              </w:rPr>
            </w:pPr>
          </w:p>
        </w:tc>
        <w:tc>
          <w:tcPr>
            <w:tcW w:w="1155" w:type="dxa"/>
            <w:noWrap w:val="0"/>
            <w:vAlign w:val="center"/>
          </w:tcPr>
          <w:p w14:paraId="4EEABA01">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noWrap w:val="0"/>
            <w:vAlign w:val="center"/>
          </w:tcPr>
          <w:p w14:paraId="51022199">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noWrap w:val="0"/>
            <w:vAlign w:val="center"/>
          </w:tcPr>
          <w:p w14:paraId="43001EEE">
            <w:pPr>
              <w:pStyle w:val="14"/>
              <w:keepNext/>
              <w:spacing w:line="440" w:lineRule="exact"/>
              <w:ind w:left="-27" w:leftChars="-13" w:right="-27" w:rightChars="-13"/>
              <w:rPr>
                <w:rFonts w:hint="eastAsia" w:ascii="华文中宋" w:hAnsi="华文中宋" w:eastAsia="华文中宋" w:cs="华文中宋"/>
                <w:b/>
                <w:color w:val="auto"/>
                <w:kern w:val="2"/>
                <w:sz w:val="21"/>
                <w:szCs w:val="21"/>
              </w:rPr>
            </w:pPr>
          </w:p>
        </w:tc>
        <w:tc>
          <w:tcPr>
            <w:tcW w:w="1288" w:type="dxa"/>
            <w:noWrap w:val="0"/>
            <w:vAlign w:val="center"/>
          </w:tcPr>
          <w:p w14:paraId="5C629A3D">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noWrap w:val="0"/>
            <w:vAlign w:val="center"/>
          </w:tcPr>
          <w:p w14:paraId="6563124E">
            <w:pPr>
              <w:pStyle w:val="14"/>
              <w:keepNext/>
              <w:spacing w:line="440" w:lineRule="exact"/>
              <w:ind w:left="63" w:right="63"/>
              <w:rPr>
                <w:rFonts w:hint="eastAsia" w:ascii="华文中宋" w:hAnsi="华文中宋" w:eastAsia="华文中宋" w:cs="华文中宋"/>
                <w:color w:val="auto"/>
                <w:kern w:val="2"/>
                <w:sz w:val="21"/>
                <w:szCs w:val="21"/>
              </w:rPr>
            </w:pPr>
          </w:p>
        </w:tc>
      </w:tr>
      <w:tr w14:paraId="231C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tcBorders>
              <w:top w:val="nil"/>
            </w:tcBorders>
            <w:noWrap w:val="0"/>
            <w:vAlign w:val="center"/>
          </w:tcPr>
          <w:p w14:paraId="30997B11">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tcBorders>
              <w:top w:val="nil"/>
            </w:tcBorders>
            <w:noWrap w:val="0"/>
            <w:vAlign w:val="center"/>
          </w:tcPr>
          <w:p w14:paraId="7CB9BE8A">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tcBorders>
              <w:top w:val="nil"/>
            </w:tcBorders>
            <w:noWrap w:val="0"/>
            <w:vAlign w:val="center"/>
          </w:tcPr>
          <w:p w14:paraId="6B49F428">
            <w:pPr>
              <w:pStyle w:val="14"/>
              <w:keepNext/>
              <w:spacing w:line="440" w:lineRule="exact"/>
              <w:ind w:left="63" w:right="63"/>
              <w:rPr>
                <w:rFonts w:hint="eastAsia" w:ascii="华文中宋" w:hAnsi="华文中宋" w:eastAsia="华文中宋" w:cs="华文中宋"/>
                <w:b/>
                <w:color w:val="auto"/>
                <w:kern w:val="2"/>
                <w:sz w:val="21"/>
                <w:szCs w:val="21"/>
              </w:rPr>
            </w:pPr>
          </w:p>
        </w:tc>
        <w:tc>
          <w:tcPr>
            <w:tcW w:w="840" w:type="dxa"/>
            <w:tcBorders>
              <w:top w:val="nil"/>
            </w:tcBorders>
            <w:noWrap w:val="0"/>
            <w:vAlign w:val="center"/>
          </w:tcPr>
          <w:p w14:paraId="16BB8689">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tcBorders>
              <w:top w:val="nil"/>
            </w:tcBorders>
            <w:noWrap w:val="0"/>
            <w:vAlign w:val="center"/>
          </w:tcPr>
          <w:p w14:paraId="4E7AF13B">
            <w:pPr>
              <w:pStyle w:val="14"/>
              <w:keepNext/>
              <w:spacing w:line="440" w:lineRule="exact"/>
              <w:ind w:left="63" w:right="63"/>
              <w:rPr>
                <w:rFonts w:hint="eastAsia" w:ascii="华文中宋" w:hAnsi="华文中宋" w:eastAsia="华文中宋" w:cs="华文中宋"/>
                <w:b/>
                <w:color w:val="auto"/>
                <w:kern w:val="2"/>
                <w:sz w:val="21"/>
                <w:szCs w:val="21"/>
              </w:rPr>
            </w:pPr>
          </w:p>
        </w:tc>
        <w:tc>
          <w:tcPr>
            <w:tcW w:w="1155" w:type="dxa"/>
            <w:tcBorders>
              <w:top w:val="nil"/>
            </w:tcBorders>
            <w:noWrap w:val="0"/>
            <w:vAlign w:val="center"/>
          </w:tcPr>
          <w:p w14:paraId="68A373AF">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tcBorders>
              <w:top w:val="nil"/>
            </w:tcBorders>
            <w:noWrap w:val="0"/>
            <w:vAlign w:val="center"/>
          </w:tcPr>
          <w:p w14:paraId="35866C76">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tcBorders>
              <w:top w:val="nil"/>
            </w:tcBorders>
            <w:noWrap w:val="0"/>
            <w:vAlign w:val="center"/>
          </w:tcPr>
          <w:p w14:paraId="30460183">
            <w:pPr>
              <w:pStyle w:val="14"/>
              <w:keepNext/>
              <w:spacing w:line="440" w:lineRule="exact"/>
              <w:ind w:left="-27" w:leftChars="-13" w:right="-27" w:rightChars="-13"/>
              <w:rPr>
                <w:rFonts w:hint="eastAsia" w:ascii="华文中宋" w:hAnsi="华文中宋" w:eastAsia="华文中宋" w:cs="华文中宋"/>
                <w:b/>
                <w:color w:val="auto"/>
                <w:kern w:val="2"/>
                <w:sz w:val="21"/>
                <w:szCs w:val="21"/>
              </w:rPr>
            </w:pPr>
          </w:p>
        </w:tc>
        <w:tc>
          <w:tcPr>
            <w:tcW w:w="1288" w:type="dxa"/>
            <w:tcBorders>
              <w:top w:val="nil"/>
            </w:tcBorders>
            <w:noWrap w:val="0"/>
            <w:vAlign w:val="center"/>
          </w:tcPr>
          <w:p w14:paraId="13262AB1">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tcBorders>
              <w:top w:val="nil"/>
            </w:tcBorders>
            <w:noWrap w:val="0"/>
            <w:vAlign w:val="center"/>
          </w:tcPr>
          <w:p w14:paraId="7ED86A22">
            <w:pPr>
              <w:pStyle w:val="14"/>
              <w:keepNext/>
              <w:spacing w:line="440" w:lineRule="exact"/>
              <w:ind w:left="63" w:right="63"/>
              <w:rPr>
                <w:rFonts w:hint="eastAsia" w:ascii="华文中宋" w:hAnsi="华文中宋" w:eastAsia="华文中宋" w:cs="华文中宋"/>
                <w:color w:val="auto"/>
                <w:kern w:val="2"/>
                <w:sz w:val="21"/>
                <w:szCs w:val="21"/>
              </w:rPr>
            </w:pPr>
          </w:p>
        </w:tc>
      </w:tr>
      <w:tr w14:paraId="4DCE5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noWrap w:val="0"/>
            <w:vAlign w:val="center"/>
          </w:tcPr>
          <w:p w14:paraId="0B591E03">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noWrap w:val="0"/>
            <w:vAlign w:val="center"/>
          </w:tcPr>
          <w:p w14:paraId="7DB5FE0F">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noWrap w:val="0"/>
            <w:vAlign w:val="center"/>
          </w:tcPr>
          <w:p w14:paraId="27BF23F9">
            <w:pPr>
              <w:pStyle w:val="14"/>
              <w:keepNext/>
              <w:spacing w:line="440" w:lineRule="exact"/>
              <w:ind w:left="63" w:right="63"/>
              <w:rPr>
                <w:rFonts w:hint="eastAsia" w:ascii="华文中宋" w:hAnsi="华文中宋" w:eastAsia="华文中宋" w:cs="华文中宋"/>
                <w:b/>
                <w:color w:val="auto"/>
                <w:kern w:val="2"/>
                <w:sz w:val="21"/>
                <w:szCs w:val="21"/>
              </w:rPr>
            </w:pPr>
          </w:p>
        </w:tc>
        <w:tc>
          <w:tcPr>
            <w:tcW w:w="840" w:type="dxa"/>
            <w:noWrap w:val="0"/>
            <w:vAlign w:val="center"/>
          </w:tcPr>
          <w:p w14:paraId="4D002B3F">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noWrap w:val="0"/>
            <w:vAlign w:val="center"/>
          </w:tcPr>
          <w:p w14:paraId="07D6A7D0">
            <w:pPr>
              <w:pStyle w:val="14"/>
              <w:keepNext/>
              <w:spacing w:line="440" w:lineRule="exact"/>
              <w:ind w:left="63" w:right="63"/>
              <w:rPr>
                <w:rFonts w:hint="eastAsia" w:ascii="华文中宋" w:hAnsi="华文中宋" w:eastAsia="华文中宋" w:cs="华文中宋"/>
                <w:b/>
                <w:color w:val="auto"/>
                <w:kern w:val="2"/>
                <w:sz w:val="21"/>
                <w:szCs w:val="21"/>
              </w:rPr>
            </w:pPr>
          </w:p>
        </w:tc>
        <w:tc>
          <w:tcPr>
            <w:tcW w:w="1155" w:type="dxa"/>
            <w:noWrap w:val="0"/>
            <w:vAlign w:val="center"/>
          </w:tcPr>
          <w:p w14:paraId="0DF6EDBD">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noWrap w:val="0"/>
            <w:vAlign w:val="center"/>
          </w:tcPr>
          <w:p w14:paraId="5B583A90">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noWrap w:val="0"/>
            <w:vAlign w:val="center"/>
          </w:tcPr>
          <w:p w14:paraId="78309A2C">
            <w:pPr>
              <w:pStyle w:val="14"/>
              <w:keepNext/>
              <w:spacing w:line="440" w:lineRule="exact"/>
              <w:ind w:left="-27" w:leftChars="-13" w:right="-27" w:rightChars="-13"/>
              <w:rPr>
                <w:rFonts w:hint="eastAsia" w:ascii="华文中宋" w:hAnsi="华文中宋" w:eastAsia="华文中宋" w:cs="华文中宋"/>
                <w:b/>
                <w:color w:val="auto"/>
                <w:kern w:val="2"/>
                <w:sz w:val="21"/>
                <w:szCs w:val="21"/>
              </w:rPr>
            </w:pPr>
          </w:p>
        </w:tc>
        <w:tc>
          <w:tcPr>
            <w:tcW w:w="1288" w:type="dxa"/>
            <w:noWrap w:val="0"/>
            <w:vAlign w:val="center"/>
          </w:tcPr>
          <w:p w14:paraId="0AA1BE8A">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noWrap w:val="0"/>
            <w:vAlign w:val="center"/>
          </w:tcPr>
          <w:p w14:paraId="00B09E1E">
            <w:pPr>
              <w:pStyle w:val="14"/>
              <w:keepNext/>
              <w:spacing w:line="440" w:lineRule="exact"/>
              <w:ind w:left="63" w:right="63"/>
              <w:rPr>
                <w:rFonts w:hint="eastAsia" w:ascii="华文中宋" w:hAnsi="华文中宋" w:eastAsia="华文中宋" w:cs="华文中宋"/>
                <w:color w:val="auto"/>
                <w:kern w:val="2"/>
                <w:sz w:val="21"/>
                <w:szCs w:val="21"/>
              </w:rPr>
            </w:pPr>
          </w:p>
        </w:tc>
      </w:tr>
      <w:tr w14:paraId="63B28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tcBorders>
              <w:top w:val="nil"/>
            </w:tcBorders>
            <w:noWrap w:val="0"/>
            <w:vAlign w:val="center"/>
          </w:tcPr>
          <w:p w14:paraId="32EAF9EB">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tcBorders>
              <w:top w:val="nil"/>
            </w:tcBorders>
            <w:noWrap w:val="0"/>
            <w:vAlign w:val="center"/>
          </w:tcPr>
          <w:p w14:paraId="0BF483F3">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tcBorders>
              <w:top w:val="nil"/>
            </w:tcBorders>
            <w:noWrap w:val="0"/>
            <w:vAlign w:val="center"/>
          </w:tcPr>
          <w:p w14:paraId="188B5AF6">
            <w:pPr>
              <w:pStyle w:val="14"/>
              <w:keepNext/>
              <w:spacing w:line="440" w:lineRule="exact"/>
              <w:ind w:left="63" w:right="63"/>
              <w:rPr>
                <w:rFonts w:hint="eastAsia" w:ascii="华文中宋" w:hAnsi="华文中宋" w:eastAsia="华文中宋" w:cs="华文中宋"/>
                <w:b/>
                <w:color w:val="auto"/>
                <w:kern w:val="2"/>
                <w:sz w:val="21"/>
                <w:szCs w:val="21"/>
              </w:rPr>
            </w:pPr>
          </w:p>
        </w:tc>
        <w:tc>
          <w:tcPr>
            <w:tcW w:w="840" w:type="dxa"/>
            <w:tcBorders>
              <w:top w:val="nil"/>
            </w:tcBorders>
            <w:noWrap w:val="0"/>
            <w:vAlign w:val="center"/>
          </w:tcPr>
          <w:p w14:paraId="7982C906">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tcBorders>
              <w:top w:val="nil"/>
            </w:tcBorders>
            <w:noWrap w:val="0"/>
            <w:vAlign w:val="center"/>
          </w:tcPr>
          <w:p w14:paraId="39BA03B2">
            <w:pPr>
              <w:pStyle w:val="14"/>
              <w:keepNext/>
              <w:spacing w:line="440" w:lineRule="exact"/>
              <w:ind w:left="63" w:right="63"/>
              <w:rPr>
                <w:rFonts w:hint="eastAsia" w:ascii="华文中宋" w:hAnsi="华文中宋" w:eastAsia="华文中宋" w:cs="华文中宋"/>
                <w:b/>
                <w:color w:val="auto"/>
                <w:kern w:val="2"/>
                <w:sz w:val="21"/>
                <w:szCs w:val="21"/>
              </w:rPr>
            </w:pPr>
          </w:p>
        </w:tc>
        <w:tc>
          <w:tcPr>
            <w:tcW w:w="1155" w:type="dxa"/>
            <w:tcBorders>
              <w:top w:val="nil"/>
            </w:tcBorders>
            <w:noWrap w:val="0"/>
            <w:vAlign w:val="center"/>
          </w:tcPr>
          <w:p w14:paraId="36C261EC">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tcBorders>
              <w:top w:val="nil"/>
            </w:tcBorders>
            <w:noWrap w:val="0"/>
            <w:vAlign w:val="center"/>
          </w:tcPr>
          <w:p w14:paraId="6258BA1B">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tcBorders>
              <w:top w:val="nil"/>
            </w:tcBorders>
            <w:noWrap w:val="0"/>
            <w:vAlign w:val="center"/>
          </w:tcPr>
          <w:p w14:paraId="138B25C1">
            <w:pPr>
              <w:pStyle w:val="14"/>
              <w:keepNext/>
              <w:spacing w:line="440" w:lineRule="exact"/>
              <w:ind w:left="-27" w:leftChars="-13" w:right="-27" w:rightChars="-13"/>
              <w:rPr>
                <w:rFonts w:hint="eastAsia" w:ascii="华文中宋" w:hAnsi="华文中宋" w:eastAsia="华文中宋" w:cs="华文中宋"/>
                <w:b/>
                <w:color w:val="auto"/>
                <w:kern w:val="2"/>
                <w:sz w:val="21"/>
                <w:szCs w:val="21"/>
              </w:rPr>
            </w:pPr>
          </w:p>
        </w:tc>
        <w:tc>
          <w:tcPr>
            <w:tcW w:w="1288" w:type="dxa"/>
            <w:tcBorders>
              <w:top w:val="nil"/>
            </w:tcBorders>
            <w:noWrap w:val="0"/>
            <w:vAlign w:val="center"/>
          </w:tcPr>
          <w:p w14:paraId="3CD71CFB">
            <w:pPr>
              <w:pStyle w:val="14"/>
              <w:keepNext/>
              <w:spacing w:line="440" w:lineRule="exact"/>
              <w:ind w:left="-21" w:leftChars="-10" w:right="-31" w:rightChars="-15"/>
              <w:rPr>
                <w:rFonts w:hint="eastAsia" w:ascii="华文中宋" w:hAnsi="华文中宋" w:eastAsia="华文中宋" w:cs="华文中宋"/>
                <w:b/>
                <w:color w:val="auto"/>
                <w:kern w:val="2"/>
                <w:sz w:val="21"/>
                <w:szCs w:val="21"/>
              </w:rPr>
            </w:pPr>
          </w:p>
        </w:tc>
        <w:tc>
          <w:tcPr>
            <w:tcW w:w="1297" w:type="dxa"/>
            <w:tcBorders>
              <w:top w:val="nil"/>
            </w:tcBorders>
            <w:noWrap w:val="0"/>
            <w:vAlign w:val="center"/>
          </w:tcPr>
          <w:p w14:paraId="60F69DA2">
            <w:pPr>
              <w:pStyle w:val="14"/>
              <w:keepNext/>
              <w:spacing w:line="440" w:lineRule="exact"/>
              <w:ind w:left="-21" w:leftChars="-10" w:right="-31" w:rightChars="-15"/>
              <w:rPr>
                <w:rFonts w:hint="eastAsia" w:ascii="华文中宋" w:hAnsi="华文中宋" w:eastAsia="华文中宋" w:cs="华文中宋"/>
                <w:b/>
                <w:color w:val="auto"/>
                <w:kern w:val="2"/>
                <w:sz w:val="21"/>
                <w:szCs w:val="21"/>
              </w:rPr>
            </w:pPr>
          </w:p>
        </w:tc>
      </w:tr>
      <w:tr w14:paraId="48CF7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tcBorders>
              <w:top w:val="nil"/>
            </w:tcBorders>
            <w:noWrap w:val="0"/>
            <w:vAlign w:val="center"/>
          </w:tcPr>
          <w:p w14:paraId="4D3D4A29">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tcBorders>
              <w:top w:val="nil"/>
            </w:tcBorders>
            <w:noWrap w:val="0"/>
            <w:vAlign w:val="center"/>
          </w:tcPr>
          <w:p w14:paraId="71C4F976">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tcBorders>
              <w:top w:val="nil"/>
            </w:tcBorders>
            <w:noWrap w:val="0"/>
            <w:vAlign w:val="center"/>
          </w:tcPr>
          <w:p w14:paraId="30253B3C">
            <w:pPr>
              <w:pStyle w:val="14"/>
              <w:keepNext/>
              <w:spacing w:line="440" w:lineRule="exact"/>
              <w:ind w:left="63" w:right="63"/>
              <w:rPr>
                <w:rFonts w:hint="eastAsia" w:ascii="华文中宋" w:hAnsi="华文中宋" w:eastAsia="华文中宋" w:cs="华文中宋"/>
                <w:color w:val="auto"/>
                <w:kern w:val="2"/>
                <w:sz w:val="21"/>
                <w:szCs w:val="21"/>
              </w:rPr>
            </w:pPr>
          </w:p>
        </w:tc>
        <w:tc>
          <w:tcPr>
            <w:tcW w:w="840" w:type="dxa"/>
            <w:tcBorders>
              <w:top w:val="nil"/>
            </w:tcBorders>
            <w:noWrap w:val="0"/>
            <w:vAlign w:val="center"/>
          </w:tcPr>
          <w:p w14:paraId="3D854D9C">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tcBorders>
              <w:top w:val="nil"/>
            </w:tcBorders>
            <w:noWrap w:val="0"/>
            <w:vAlign w:val="center"/>
          </w:tcPr>
          <w:p w14:paraId="2DDFD7A2">
            <w:pPr>
              <w:pStyle w:val="14"/>
              <w:keepNext/>
              <w:spacing w:line="440" w:lineRule="exact"/>
              <w:ind w:left="63" w:right="63"/>
              <w:rPr>
                <w:rFonts w:hint="eastAsia" w:ascii="华文中宋" w:hAnsi="华文中宋" w:eastAsia="华文中宋" w:cs="华文中宋"/>
                <w:b/>
                <w:color w:val="auto"/>
                <w:kern w:val="2"/>
                <w:sz w:val="21"/>
                <w:szCs w:val="21"/>
              </w:rPr>
            </w:pPr>
          </w:p>
        </w:tc>
        <w:tc>
          <w:tcPr>
            <w:tcW w:w="1155" w:type="dxa"/>
            <w:tcBorders>
              <w:top w:val="nil"/>
            </w:tcBorders>
            <w:noWrap w:val="0"/>
            <w:vAlign w:val="center"/>
          </w:tcPr>
          <w:p w14:paraId="3847FF6E">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tcBorders>
              <w:top w:val="nil"/>
            </w:tcBorders>
            <w:noWrap w:val="0"/>
            <w:vAlign w:val="center"/>
          </w:tcPr>
          <w:p w14:paraId="374D2247">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tcBorders>
              <w:top w:val="nil"/>
            </w:tcBorders>
            <w:noWrap w:val="0"/>
            <w:vAlign w:val="center"/>
          </w:tcPr>
          <w:p w14:paraId="40B0DCB1">
            <w:pPr>
              <w:pStyle w:val="14"/>
              <w:keepNext/>
              <w:spacing w:line="440" w:lineRule="exact"/>
              <w:ind w:left="63" w:right="63"/>
              <w:rPr>
                <w:rFonts w:hint="eastAsia" w:ascii="华文中宋" w:hAnsi="华文中宋" w:eastAsia="华文中宋" w:cs="华文中宋"/>
                <w:color w:val="auto"/>
                <w:kern w:val="2"/>
                <w:sz w:val="21"/>
                <w:szCs w:val="21"/>
              </w:rPr>
            </w:pPr>
          </w:p>
        </w:tc>
        <w:tc>
          <w:tcPr>
            <w:tcW w:w="1288" w:type="dxa"/>
            <w:tcBorders>
              <w:top w:val="nil"/>
            </w:tcBorders>
            <w:noWrap w:val="0"/>
            <w:vAlign w:val="center"/>
          </w:tcPr>
          <w:p w14:paraId="6E581DB0">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tcBorders>
              <w:top w:val="nil"/>
            </w:tcBorders>
            <w:noWrap w:val="0"/>
            <w:vAlign w:val="center"/>
          </w:tcPr>
          <w:p w14:paraId="1A310050">
            <w:pPr>
              <w:pStyle w:val="14"/>
              <w:keepNext/>
              <w:spacing w:line="440" w:lineRule="exact"/>
              <w:ind w:left="63" w:right="63"/>
              <w:rPr>
                <w:rFonts w:hint="eastAsia" w:ascii="华文中宋" w:hAnsi="华文中宋" w:eastAsia="华文中宋" w:cs="华文中宋"/>
                <w:color w:val="auto"/>
                <w:kern w:val="2"/>
                <w:sz w:val="21"/>
                <w:szCs w:val="21"/>
              </w:rPr>
            </w:pPr>
          </w:p>
        </w:tc>
      </w:tr>
      <w:tr w14:paraId="1D5D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noWrap w:val="0"/>
            <w:vAlign w:val="center"/>
          </w:tcPr>
          <w:p w14:paraId="1E69FD73">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noWrap w:val="0"/>
            <w:vAlign w:val="center"/>
          </w:tcPr>
          <w:p w14:paraId="6FA49B2B">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noWrap w:val="0"/>
            <w:vAlign w:val="center"/>
          </w:tcPr>
          <w:p w14:paraId="44A94BAC">
            <w:pPr>
              <w:pStyle w:val="14"/>
              <w:keepNext/>
              <w:spacing w:line="440" w:lineRule="exact"/>
              <w:ind w:left="63" w:right="63"/>
              <w:rPr>
                <w:rFonts w:hint="eastAsia" w:ascii="华文中宋" w:hAnsi="华文中宋" w:eastAsia="华文中宋" w:cs="华文中宋"/>
                <w:color w:val="auto"/>
                <w:kern w:val="2"/>
                <w:sz w:val="21"/>
                <w:szCs w:val="21"/>
              </w:rPr>
            </w:pPr>
          </w:p>
        </w:tc>
        <w:tc>
          <w:tcPr>
            <w:tcW w:w="840" w:type="dxa"/>
            <w:noWrap w:val="0"/>
            <w:vAlign w:val="center"/>
          </w:tcPr>
          <w:p w14:paraId="784A3D8F">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noWrap w:val="0"/>
            <w:vAlign w:val="center"/>
          </w:tcPr>
          <w:p w14:paraId="6EFF92D8">
            <w:pPr>
              <w:pStyle w:val="14"/>
              <w:keepNext/>
              <w:spacing w:line="440" w:lineRule="exact"/>
              <w:ind w:left="63" w:right="63"/>
              <w:rPr>
                <w:rFonts w:hint="eastAsia" w:ascii="华文中宋" w:hAnsi="华文中宋" w:eastAsia="华文中宋" w:cs="华文中宋"/>
                <w:color w:val="auto"/>
                <w:kern w:val="2"/>
                <w:sz w:val="21"/>
                <w:szCs w:val="21"/>
              </w:rPr>
            </w:pPr>
          </w:p>
        </w:tc>
        <w:tc>
          <w:tcPr>
            <w:tcW w:w="1155" w:type="dxa"/>
            <w:noWrap w:val="0"/>
            <w:vAlign w:val="center"/>
          </w:tcPr>
          <w:p w14:paraId="79325E8B">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noWrap w:val="0"/>
            <w:vAlign w:val="center"/>
          </w:tcPr>
          <w:p w14:paraId="169039FA">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noWrap w:val="0"/>
            <w:vAlign w:val="center"/>
          </w:tcPr>
          <w:p w14:paraId="1ACA6BB1">
            <w:pPr>
              <w:pStyle w:val="14"/>
              <w:keepNext/>
              <w:spacing w:line="440" w:lineRule="exact"/>
              <w:ind w:left="63" w:right="63"/>
              <w:rPr>
                <w:rFonts w:hint="eastAsia" w:ascii="华文中宋" w:hAnsi="华文中宋" w:eastAsia="华文中宋" w:cs="华文中宋"/>
                <w:color w:val="auto"/>
                <w:kern w:val="2"/>
                <w:sz w:val="21"/>
                <w:szCs w:val="21"/>
              </w:rPr>
            </w:pPr>
          </w:p>
        </w:tc>
        <w:tc>
          <w:tcPr>
            <w:tcW w:w="1288" w:type="dxa"/>
            <w:noWrap w:val="0"/>
            <w:vAlign w:val="center"/>
          </w:tcPr>
          <w:p w14:paraId="38F5DE6B">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noWrap w:val="0"/>
            <w:vAlign w:val="center"/>
          </w:tcPr>
          <w:p w14:paraId="5A01EFD6">
            <w:pPr>
              <w:pStyle w:val="14"/>
              <w:keepNext/>
              <w:spacing w:line="440" w:lineRule="exact"/>
              <w:ind w:left="63" w:right="63"/>
              <w:rPr>
                <w:rFonts w:hint="eastAsia" w:ascii="华文中宋" w:hAnsi="华文中宋" w:eastAsia="华文中宋" w:cs="华文中宋"/>
                <w:color w:val="auto"/>
                <w:kern w:val="2"/>
                <w:sz w:val="21"/>
                <w:szCs w:val="21"/>
              </w:rPr>
            </w:pPr>
          </w:p>
        </w:tc>
      </w:tr>
      <w:tr w14:paraId="2B927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tcBorders>
              <w:top w:val="nil"/>
            </w:tcBorders>
            <w:noWrap w:val="0"/>
            <w:vAlign w:val="center"/>
          </w:tcPr>
          <w:p w14:paraId="2B58448B">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tcBorders>
              <w:top w:val="nil"/>
            </w:tcBorders>
            <w:noWrap w:val="0"/>
            <w:vAlign w:val="center"/>
          </w:tcPr>
          <w:p w14:paraId="35CF0194">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tcBorders>
              <w:top w:val="nil"/>
            </w:tcBorders>
            <w:noWrap w:val="0"/>
            <w:vAlign w:val="center"/>
          </w:tcPr>
          <w:p w14:paraId="4EA2D363">
            <w:pPr>
              <w:pStyle w:val="14"/>
              <w:keepNext/>
              <w:spacing w:line="440" w:lineRule="exact"/>
              <w:ind w:left="63" w:right="63"/>
              <w:rPr>
                <w:rFonts w:hint="eastAsia" w:ascii="华文中宋" w:hAnsi="华文中宋" w:eastAsia="华文中宋" w:cs="华文中宋"/>
                <w:color w:val="auto"/>
                <w:kern w:val="2"/>
                <w:sz w:val="21"/>
                <w:szCs w:val="21"/>
              </w:rPr>
            </w:pPr>
          </w:p>
        </w:tc>
        <w:tc>
          <w:tcPr>
            <w:tcW w:w="840" w:type="dxa"/>
            <w:tcBorders>
              <w:top w:val="nil"/>
            </w:tcBorders>
            <w:noWrap w:val="0"/>
            <w:vAlign w:val="center"/>
          </w:tcPr>
          <w:p w14:paraId="2CDC4592">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tcBorders>
              <w:top w:val="nil"/>
            </w:tcBorders>
            <w:noWrap w:val="0"/>
            <w:vAlign w:val="center"/>
          </w:tcPr>
          <w:p w14:paraId="769107E1">
            <w:pPr>
              <w:pStyle w:val="14"/>
              <w:keepNext/>
              <w:spacing w:line="440" w:lineRule="exact"/>
              <w:ind w:left="63" w:right="63"/>
              <w:rPr>
                <w:rFonts w:hint="eastAsia" w:ascii="华文中宋" w:hAnsi="华文中宋" w:eastAsia="华文中宋" w:cs="华文中宋"/>
                <w:color w:val="auto"/>
                <w:kern w:val="2"/>
                <w:sz w:val="21"/>
                <w:szCs w:val="21"/>
              </w:rPr>
            </w:pPr>
          </w:p>
        </w:tc>
        <w:tc>
          <w:tcPr>
            <w:tcW w:w="1155" w:type="dxa"/>
            <w:tcBorders>
              <w:top w:val="nil"/>
            </w:tcBorders>
            <w:noWrap w:val="0"/>
            <w:vAlign w:val="center"/>
          </w:tcPr>
          <w:p w14:paraId="6F65877A">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tcBorders>
              <w:top w:val="nil"/>
            </w:tcBorders>
            <w:noWrap w:val="0"/>
            <w:vAlign w:val="center"/>
          </w:tcPr>
          <w:p w14:paraId="11D81AEA">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tcBorders>
              <w:top w:val="nil"/>
            </w:tcBorders>
            <w:noWrap w:val="0"/>
            <w:vAlign w:val="center"/>
          </w:tcPr>
          <w:p w14:paraId="3832279E">
            <w:pPr>
              <w:pStyle w:val="14"/>
              <w:keepNext/>
              <w:spacing w:line="440" w:lineRule="exact"/>
              <w:ind w:left="63" w:right="63"/>
              <w:rPr>
                <w:rFonts w:hint="eastAsia" w:ascii="华文中宋" w:hAnsi="华文中宋" w:eastAsia="华文中宋" w:cs="华文中宋"/>
                <w:color w:val="auto"/>
                <w:kern w:val="2"/>
                <w:sz w:val="21"/>
                <w:szCs w:val="21"/>
              </w:rPr>
            </w:pPr>
          </w:p>
        </w:tc>
        <w:tc>
          <w:tcPr>
            <w:tcW w:w="1288" w:type="dxa"/>
            <w:tcBorders>
              <w:top w:val="nil"/>
            </w:tcBorders>
            <w:noWrap w:val="0"/>
            <w:vAlign w:val="center"/>
          </w:tcPr>
          <w:p w14:paraId="7DECAF82">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tcBorders>
              <w:top w:val="nil"/>
            </w:tcBorders>
            <w:noWrap w:val="0"/>
            <w:vAlign w:val="center"/>
          </w:tcPr>
          <w:p w14:paraId="78325745">
            <w:pPr>
              <w:pStyle w:val="14"/>
              <w:keepNext/>
              <w:spacing w:line="440" w:lineRule="exact"/>
              <w:ind w:left="63" w:right="63"/>
              <w:rPr>
                <w:rFonts w:hint="eastAsia" w:ascii="华文中宋" w:hAnsi="华文中宋" w:eastAsia="华文中宋" w:cs="华文中宋"/>
                <w:color w:val="auto"/>
                <w:kern w:val="2"/>
                <w:sz w:val="21"/>
                <w:szCs w:val="21"/>
              </w:rPr>
            </w:pPr>
          </w:p>
        </w:tc>
      </w:tr>
      <w:tr w14:paraId="512FD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632" w:type="dxa"/>
            <w:noWrap w:val="0"/>
            <w:vAlign w:val="center"/>
          </w:tcPr>
          <w:p w14:paraId="1945FC21">
            <w:pPr>
              <w:pStyle w:val="14"/>
              <w:keepNext/>
              <w:spacing w:line="440" w:lineRule="exact"/>
              <w:ind w:left="63" w:right="63"/>
              <w:rPr>
                <w:rFonts w:hint="eastAsia" w:ascii="华文中宋" w:hAnsi="华文中宋" w:eastAsia="华文中宋" w:cs="华文中宋"/>
                <w:b/>
                <w:color w:val="auto"/>
                <w:kern w:val="2"/>
                <w:sz w:val="21"/>
                <w:szCs w:val="21"/>
              </w:rPr>
            </w:pPr>
          </w:p>
        </w:tc>
        <w:tc>
          <w:tcPr>
            <w:tcW w:w="1568" w:type="dxa"/>
            <w:noWrap w:val="0"/>
            <w:vAlign w:val="center"/>
          </w:tcPr>
          <w:p w14:paraId="7CD3B330">
            <w:pPr>
              <w:pStyle w:val="14"/>
              <w:keepNext/>
              <w:spacing w:line="440" w:lineRule="exact"/>
              <w:ind w:left="63" w:right="63"/>
              <w:rPr>
                <w:rFonts w:hint="eastAsia" w:ascii="华文中宋" w:hAnsi="华文中宋" w:eastAsia="华文中宋" w:cs="华文中宋"/>
                <w:color w:val="auto"/>
                <w:kern w:val="2"/>
                <w:sz w:val="21"/>
                <w:szCs w:val="21"/>
              </w:rPr>
            </w:pPr>
          </w:p>
        </w:tc>
        <w:tc>
          <w:tcPr>
            <w:tcW w:w="1316" w:type="dxa"/>
            <w:noWrap w:val="0"/>
            <w:vAlign w:val="center"/>
          </w:tcPr>
          <w:p w14:paraId="109AB93C">
            <w:pPr>
              <w:pStyle w:val="14"/>
              <w:keepNext/>
              <w:spacing w:line="440" w:lineRule="exact"/>
              <w:ind w:left="63" w:right="63"/>
              <w:rPr>
                <w:rFonts w:hint="eastAsia" w:ascii="华文中宋" w:hAnsi="华文中宋" w:eastAsia="华文中宋" w:cs="华文中宋"/>
                <w:color w:val="auto"/>
                <w:kern w:val="2"/>
                <w:sz w:val="21"/>
                <w:szCs w:val="21"/>
              </w:rPr>
            </w:pPr>
          </w:p>
        </w:tc>
        <w:tc>
          <w:tcPr>
            <w:tcW w:w="840" w:type="dxa"/>
            <w:noWrap w:val="0"/>
            <w:vAlign w:val="center"/>
          </w:tcPr>
          <w:p w14:paraId="59581A8D">
            <w:pPr>
              <w:pStyle w:val="14"/>
              <w:keepNext/>
              <w:spacing w:line="440" w:lineRule="exact"/>
              <w:ind w:left="63" w:right="63"/>
              <w:rPr>
                <w:rFonts w:hint="eastAsia" w:ascii="华文中宋" w:hAnsi="华文中宋" w:eastAsia="华文中宋" w:cs="华文中宋"/>
                <w:color w:val="auto"/>
                <w:kern w:val="2"/>
                <w:sz w:val="21"/>
                <w:szCs w:val="21"/>
              </w:rPr>
            </w:pPr>
          </w:p>
        </w:tc>
        <w:tc>
          <w:tcPr>
            <w:tcW w:w="420" w:type="dxa"/>
            <w:noWrap w:val="0"/>
            <w:vAlign w:val="center"/>
          </w:tcPr>
          <w:p w14:paraId="4A0F1FD7">
            <w:pPr>
              <w:pStyle w:val="14"/>
              <w:keepNext/>
              <w:spacing w:line="440" w:lineRule="exact"/>
              <w:ind w:left="63" w:right="63"/>
              <w:rPr>
                <w:rFonts w:hint="eastAsia" w:ascii="华文中宋" w:hAnsi="华文中宋" w:eastAsia="华文中宋" w:cs="华文中宋"/>
                <w:color w:val="auto"/>
                <w:kern w:val="2"/>
                <w:sz w:val="21"/>
                <w:szCs w:val="21"/>
              </w:rPr>
            </w:pPr>
          </w:p>
        </w:tc>
        <w:tc>
          <w:tcPr>
            <w:tcW w:w="1155" w:type="dxa"/>
            <w:noWrap w:val="0"/>
            <w:vAlign w:val="center"/>
          </w:tcPr>
          <w:p w14:paraId="7D6F1CE3">
            <w:pPr>
              <w:pStyle w:val="14"/>
              <w:keepNext/>
              <w:spacing w:line="440" w:lineRule="exact"/>
              <w:ind w:left="63" w:right="63"/>
              <w:rPr>
                <w:rFonts w:hint="eastAsia" w:ascii="华文中宋" w:hAnsi="华文中宋" w:eastAsia="华文中宋" w:cs="华文中宋"/>
                <w:color w:val="auto"/>
                <w:kern w:val="2"/>
                <w:sz w:val="21"/>
                <w:szCs w:val="21"/>
              </w:rPr>
            </w:pPr>
          </w:p>
        </w:tc>
        <w:tc>
          <w:tcPr>
            <w:tcW w:w="1575" w:type="dxa"/>
            <w:noWrap w:val="0"/>
            <w:vAlign w:val="center"/>
          </w:tcPr>
          <w:p w14:paraId="535B6CBB">
            <w:pPr>
              <w:pStyle w:val="14"/>
              <w:keepNext/>
              <w:spacing w:line="440" w:lineRule="exact"/>
              <w:ind w:left="63" w:right="63"/>
              <w:rPr>
                <w:rFonts w:hint="eastAsia" w:ascii="华文中宋" w:hAnsi="华文中宋" w:eastAsia="华文中宋" w:cs="华文中宋"/>
                <w:color w:val="auto"/>
                <w:kern w:val="2"/>
                <w:sz w:val="21"/>
                <w:szCs w:val="21"/>
              </w:rPr>
            </w:pPr>
          </w:p>
        </w:tc>
        <w:tc>
          <w:tcPr>
            <w:tcW w:w="1510" w:type="dxa"/>
            <w:noWrap w:val="0"/>
            <w:vAlign w:val="center"/>
          </w:tcPr>
          <w:p w14:paraId="58DF317A">
            <w:pPr>
              <w:pStyle w:val="14"/>
              <w:keepNext/>
              <w:spacing w:line="440" w:lineRule="exact"/>
              <w:ind w:left="63" w:right="63"/>
              <w:rPr>
                <w:rFonts w:hint="eastAsia" w:ascii="华文中宋" w:hAnsi="华文中宋" w:eastAsia="华文中宋" w:cs="华文中宋"/>
                <w:color w:val="auto"/>
                <w:kern w:val="2"/>
                <w:sz w:val="21"/>
                <w:szCs w:val="21"/>
              </w:rPr>
            </w:pPr>
          </w:p>
        </w:tc>
        <w:tc>
          <w:tcPr>
            <w:tcW w:w="1288" w:type="dxa"/>
            <w:noWrap w:val="0"/>
            <w:vAlign w:val="center"/>
          </w:tcPr>
          <w:p w14:paraId="56DBA0AD">
            <w:pPr>
              <w:pStyle w:val="14"/>
              <w:keepNext/>
              <w:spacing w:line="440" w:lineRule="exact"/>
              <w:ind w:left="63" w:right="63"/>
              <w:rPr>
                <w:rFonts w:hint="eastAsia" w:ascii="华文中宋" w:hAnsi="华文中宋" w:eastAsia="华文中宋" w:cs="华文中宋"/>
                <w:color w:val="auto"/>
                <w:kern w:val="2"/>
                <w:sz w:val="21"/>
                <w:szCs w:val="21"/>
              </w:rPr>
            </w:pPr>
          </w:p>
        </w:tc>
        <w:tc>
          <w:tcPr>
            <w:tcW w:w="1297" w:type="dxa"/>
            <w:noWrap w:val="0"/>
            <w:vAlign w:val="center"/>
          </w:tcPr>
          <w:p w14:paraId="007A6318">
            <w:pPr>
              <w:pStyle w:val="14"/>
              <w:keepNext/>
              <w:spacing w:line="440" w:lineRule="exact"/>
              <w:ind w:left="63" w:right="63"/>
              <w:rPr>
                <w:rFonts w:hint="eastAsia" w:ascii="华文中宋" w:hAnsi="华文中宋" w:eastAsia="华文中宋" w:cs="华文中宋"/>
                <w:color w:val="auto"/>
                <w:kern w:val="2"/>
                <w:sz w:val="21"/>
                <w:szCs w:val="21"/>
              </w:rPr>
            </w:pPr>
          </w:p>
        </w:tc>
      </w:tr>
    </w:tbl>
    <w:p w14:paraId="734D2C7B">
      <w:pPr>
        <w:spacing w:line="440" w:lineRule="exact"/>
        <w:rPr>
          <w:rFonts w:hint="eastAsia" w:ascii="华文中宋" w:hAnsi="华文中宋" w:eastAsia="华文中宋" w:cs="华文中宋"/>
          <w:b/>
          <w:color w:val="auto"/>
          <w:sz w:val="30"/>
          <w:szCs w:val="30"/>
        </w:rPr>
        <w:sectPr>
          <w:pgSz w:w="16838" w:h="11906" w:orient="landscape"/>
          <w:pgMar w:top="1554" w:right="1418" w:bottom="1531" w:left="1418" w:header="851" w:footer="992" w:gutter="0"/>
          <w:pgNumType w:fmt="decimal"/>
          <w:cols w:space="720" w:num="1"/>
          <w:titlePg/>
          <w:docGrid w:linePitch="312" w:charSpace="0"/>
        </w:sectPr>
      </w:pPr>
    </w:p>
    <w:p w14:paraId="72ED4DEA">
      <w:pPr>
        <w:spacing w:line="440" w:lineRule="exact"/>
        <w:ind w:left="-840" w:leftChars="-400" w:right="-6" w:firstLine="360" w:firstLineChars="15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w:t>
      </w:r>
      <w:bookmarkStart w:id="1105" w:name="_Toc267261692"/>
      <w:bookmarkStart w:id="1106" w:name="_Toc296346726"/>
      <w:bookmarkStart w:id="1107" w:name="_Toc296891053"/>
      <w:bookmarkStart w:id="1108" w:name="_Toc296891265"/>
      <w:bookmarkStart w:id="1109" w:name="_Toc296347224"/>
      <w:bookmarkStart w:id="1110" w:name="_Toc296503225"/>
      <w:bookmarkStart w:id="1111" w:name="_Toc296944564"/>
      <w:r>
        <w:rPr>
          <w:rFonts w:hint="eastAsia" w:ascii="华文中宋" w:hAnsi="华文中宋" w:eastAsia="华文中宋" w:cs="华文中宋"/>
          <w:color w:val="auto"/>
          <w:sz w:val="24"/>
          <w:szCs w:val="24"/>
        </w:rPr>
        <w:t>件2：</w:t>
      </w:r>
    </w:p>
    <w:bookmarkEnd w:id="1105"/>
    <w:bookmarkEnd w:id="1106"/>
    <w:bookmarkEnd w:id="1107"/>
    <w:bookmarkEnd w:id="1108"/>
    <w:bookmarkEnd w:id="1109"/>
    <w:bookmarkEnd w:id="1110"/>
    <w:bookmarkEnd w:id="1111"/>
    <w:p w14:paraId="522E4A66">
      <w:pPr>
        <w:spacing w:beforeLines="50" w:afterLines="50" w:line="440" w:lineRule="exact"/>
        <w:jc w:val="center"/>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发包人供应材料设备一览表</w:t>
      </w:r>
    </w:p>
    <w:tbl>
      <w:tblPr>
        <w:tblStyle w:val="29"/>
        <w:tblW w:w="101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0"/>
        <w:gridCol w:w="1276"/>
        <w:gridCol w:w="1418"/>
        <w:gridCol w:w="940"/>
        <w:gridCol w:w="851"/>
        <w:gridCol w:w="1044"/>
        <w:gridCol w:w="992"/>
        <w:gridCol w:w="851"/>
        <w:gridCol w:w="1350"/>
        <w:gridCol w:w="852"/>
      </w:tblGrid>
      <w:tr w14:paraId="2037D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540" w:type="dxa"/>
            <w:tcBorders>
              <w:top w:val="single" w:color="auto" w:sz="12" w:space="0"/>
              <w:bottom w:val="double" w:color="auto" w:sz="6" w:space="0"/>
            </w:tcBorders>
            <w:noWrap w:val="0"/>
            <w:vAlign w:val="center"/>
          </w:tcPr>
          <w:p w14:paraId="3519EFD1">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序号</w:t>
            </w:r>
          </w:p>
        </w:tc>
        <w:tc>
          <w:tcPr>
            <w:tcW w:w="1276" w:type="dxa"/>
            <w:tcBorders>
              <w:top w:val="single" w:color="auto" w:sz="12" w:space="0"/>
              <w:bottom w:val="double" w:color="auto" w:sz="6" w:space="0"/>
            </w:tcBorders>
            <w:noWrap w:val="0"/>
            <w:vAlign w:val="center"/>
          </w:tcPr>
          <w:p w14:paraId="46D547A0">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材料、</w:t>
            </w:r>
          </w:p>
          <w:p w14:paraId="408C7BC8">
            <w:pPr>
              <w:pStyle w:val="14"/>
              <w:keepNext/>
              <w:spacing w:line="300" w:lineRule="exact"/>
              <w:ind w:left="0" w:leftChars="0"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设备品种</w:t>
            </w:r>
          </w:p>
        </w:tc>
        <w:tc>
          <w:tcPr>
            <w:tcW w:w="1418" w:type="dxa"/>
            <w:tcBorders>
              <w:top w:val="single" w:color="auto" w:sz="12" w:space="0"/>
              <w:bottom w:val="double" w:color="auto" w:sz="6" w:space="0"/>
            </w:tcBorders>
            <w:noWrap w:val="0"/>
            <w:vAlign w:val="center"/>
          </w:tcPr>
          <w:p w14:paraId="61394EAB">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规格型号</w:t>
            </w:r>
          </w:p>
        </w:tc>
        <w:tc>
          <w:tcPr>
            <w:tcW w:w="940" w:type="dxa"/>
            <w:tcBorders>
              <w:top w:val="single" w:color="auto" w:sz="12" w:space="0"/>
              <w:bottom w:val="double" w:color="auto" w:sz="6" w:space="0"/>
            </w:tcBorders>
            <w:noWrap w:val="0"/>
            <w:vAlign w:val="center"/>
          </w:tcPr>
          <w:p w14:paraId="5601AF03">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单位</w:t>
            </w:r>
          </w:p>
        </w:tc>
        <w:tc>
          <w:tcPr>
            <w:tcW w:w="851" w:type="dxa"/>
            <w:tcBorders>
              <w:top w:val="single" w:color="auto" w:sz="12" w:space="0"/>
              <w:bottom w:val="double" w:color="auto" w:sz="6" w:space="0"/>
            </w:tcBorders>
            <w:noWrap w:val="0"/>
            <w:vAlign w:val="center"/>
          </w:tcPr>
          <w:p w14:paraId="5D2DD75E">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数量</w:t>
            </w:r>
          </w:p>
        </w:tc>
        <w:tc>
          <w:tcPr>
            <w:tcW w:w="1044" w:type="dxa"/>
            <w:tcBorders>
              <w:top w:val="single" w:color="auto" w:sz="12" w:space="0"/>
              <w:bottom w:val="double" w:color="auto" w:sz="6" w:space="0"/>
            </w:tcBorders>
            <w:noWrap w:val="0"/>
            <w:vAlign w:val="center"/>
          </w:tcPr>
          <w:p w14:paraId="04F5828D">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单价</w:t>
            </w:r>
          </w:p>
          <w:p w14:paraId="0D865312">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（元）</w:t>
            </w:r>
          </w:p>
        </w:tc>
        <w:tc>
          <w:tcPr>
            <w:tcW w:w="992" w:type="dxa"/>
            <w:tcBorders>
              <w:top w:val="single" w:color="auto" w:sz="12" w:space="0"/>
              <w:bottom w:val="double" w:color="auto" w:sz="6" w:space="0"/>
            </w:tcBorders>
            <w:noWrap w:val="0"/>
            <w:vAlign w:val="center"/>
          </w:tcPr>
          <w:p w14:paraId="255BA5CF">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质量</w:t>
            </w:r>
          </w:p>
          <w:p w14:paraId="5F07DA98">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等级</w:t>
            </w:r>
          </w:p>
        </w:tc>
        <w:tc>
          <w:tcPr>
            <w:tcW w:w="851" w:type="dxa"/>
            <w:tcBorders>
              <w:top w:val="single" w:color="auto" w:sz="12" w:space="0"/>
              <w:bottom w:val="double" w:color="auto" w:sz="6" w:space="0"/>
            </w:tcBorders>
            <w:noWrap w:val="0"/>
            <w:vAlign w:val="center"/>
          </w:tcPr>
          <w:p w14:paraId="6C1B3749">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供应时间</w:t>
            </w:r>
          </w:p>
        </w:tc>
        <w:tc>
          <w:tcPr>
            <w:tcW w:w="1350" w:type="dxa"/>
            <w:tcBorders>
              <w:top w:val="single" w:color="auto" w:sz="12" w:space="0"/>
              <w:bottom w:val="double" w:color="auto" w:sz="6" w:space="0"/>
            </w:tcBorders>
            <w:noWrap w:val="0"/>
            <w:vAlign w:val="center"/>
          </w:tcPr>
          <w:p w14:paraId="7891A809">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送达地点</w:t>
            </w:r>
          </w:p>
        </w:tc>
        <w:tc>
          <w:tcPr>
            <w:tcW w:w="852" w:type="dxa"/>
            <w:tcBorders>
              <w:top w:val="single" w:color="auto" w:sz="12" w:space="0"/>
              <w:bottom w:val="double" w:color="auto" w:sz="6" w:space="0"/>
            </w:tcBorders>
            <w:noWrap w:val="0"/>
            <w:vAlign w:val="center"/>
          </w:tcPr>
          <w:p w14:paraId="08D2C7E3">
            <w:pPr>
              <w:pStyle w:val="14"/>
              <w:keepNext/>
              <w:spacing w:line="300" w:lineRule="exact"/>
              <w:ind w:left="63" w:right="63"/>
              <w:jc w:val="center"/>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备注</w:t>
            </w:r>
          </w:p>
        </w:tc>
      </w:tr>
      <w:tr w14:paraId="03918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double" w:color="auto" w:sz="6" w:space="0"/>
              <w:bottom w:val="single" w:color="auto" w:sz="6" w:space="0"/>
            </w:tcBorders>
            <w:noWrap w:val="0"/>
            <w:vAlign w:val="center"/>
          </w:tcPr>
          <w:p w14:paraId="2C7F5E88">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tcBorders>
              <w:top w:val="double" w:color="auto" w:sz="6" w:space="0"/>
              <w:bottom w:val="single" w:color="auto" w:sz="6" w:space="0"/>
            </w:tcBorders>
            <w:noWrap w:val="0"/>
            <w:vAlign w:val="center"/>
          </w:tcPr>
          <w:p w14:paraId="10EC354D">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tcBorders>
              <w:top w:val="double" w:color="auto" w:sz="6" w:space="0"/>
              <w:bottom w:val="single" w:color="auto" w:sz="6" w:space="0"/>
            </w:tcBorders>
            <w:noWrap w:val="0"/>
            <w:vAlign w:val="center"/>
          </w:tcPr>
          <w:p w14:paraId="0671B535">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tcBorders>
              <w:top w:val="double" w:color="auto" w:sz="6" w:space="0"/>
              <w:bottom w:val="single" w:color="auto" w:sz="6" w:space="0"/>
            </w:tcBorders>
            <w:noWrap w:val="0"/>
            <w:vAlign w:val="center"/>
          </w:tcPr>
          <w:p w14:paraId="007BACB9">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tcBorders>
              <w:top w:val="double" w:color="auto" w:sz="6" w:space="0"/>
              <w:bottom w:val="single" w:color="auto" w:sz="6" w:space="0"/>
            </w:tcBorders>
            <w:noWrap w:val="0"/>
            <w:vAlign w:val="center"/>
          </w:tcPr>
          <w:p w14:paraId="68B58857">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tcBorders>
              <w:top w:val="double" w:color="auto" w:sz="6" w:space="0"/>
              <w:bottom w:val="single" w:color="auto" w:sz="6" w:space="0"/>
            </w:tcBorders>
            <w:noWrap w:val="0"/>
            <w:vAlign w:val="center"/>
          </w:tcPr>
          <w:p w14:paraId="0E4CAC1D">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tcBorders>
              <w:top w:val="double" w:color="auto" w:sz="6" w:space="0"/>
              <w:bottom w:val="single" w:color="auto" w:sz="6" w:space="0"/>
            </w:tcBorders>
            <w:noWrap w:val="0"/>
            <w:vAlign w:val="center"/>
          </w:tcPr>
          <w:p w14:paraId="7043F53E">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tcBorders>
              <w:top w:val="double" w:color="auto" w:sz="6" w:space="0"/>
              <w:bottom w:val="single" w:color="auto" w:sz="6" w:space="0"/>
            </w:tcBorders>
            <w:noWrap w:val="0"/>
            <w:vAlign w:val="center"/>
          </w:tcPr>
          <w:p w14:paraId="22D5FB8A">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tcBorders>
              <w:top w:val="double" w:color="auto" w:sz="6" w:space="0"/>
              <w:bottom w:val="single" w:color="auto" w:sz="6" w:space="0"/>
            </w:tcBorders>
            <w:noWrap w:val="0"/>
            <w:vAlign w:val="center"/>
          </w:tcPr>
          <w:p w14:paraId="53382485">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tcBorders>
              <w:top w:val="double" w:color="auto" w:sz="6" w:space="0"/>
              <w:bottom w:val="single" w:color="auto" w:sz="6" w:space="0"/>
            </w:tcBorders>
            <w:noWrap w:val="0"/>
            <w:vAlign w:val="center"/>
          </w:tcPr>
          <w:p w14:paraId="10BD902D">
            <w:pPr>
              <w:pStyle w:val="14"/>
              <w:keepNext/>
              <w:spacing w:line="440" w:lineRule="exact"/>
              <w:ind w:left="63" w:right="63"/>
              <w:rPr>
                <w:rFonts w:hint="eastAsia" w:ascii="华文中宋" w:hAnsi="华文中宋" w:eastAsia="华文中宋" w:cs="华文中宋"/>
                <w:color w:val="auto"/>
                <w:kern w:val="2"/>
                <w:sz w:val="30"/>
                <w:szCs w:val="30"/>
              </w:rPr>
            </w:pPr>
          </w:p>
        </w:tc>
      </w:tr>
      <w:tr w14:paraId="1CAB3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nil"/>
            </w:tcBorders>
            <w:noWrap w:val="0"/>
            <w:vAlign w:val="center"/>
          </w:tcPr>
          <w:p w14:paraId="45DCADC3">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tcBorders>
              <w:top w:val="nil"/>
            </w:tcBorders>
            <w:noWrap w:val="0"/>
            <w:vAlign w:val="center"/>
          </w:tcPr>
          <w:p w14:paraId="5B617D6E">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tcBorders>
              <w:top w:val="nil"/>
            </w:tcBorders>
            <w:noWrap w:val="0"/>
            <w:vAlign w:val="center"/>
          </w:tcPr>
          <w:p w14:paraId="4BF6FFB2">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tcBorders>
              <w:top w:val="nil"/>
            </w:tcBorders>
            <w:noWrap w:val="0"/>
            <w:vAlign w:val="center"/>
          </w:tcPr>
          <w:p w14:paraId="77EADE49">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tcBorders>
              <w:top w:val="nil"/>
            </w:tcBorders>
            <w:noWrap w:val="0"/>
            <w:vAlign w:val="center"/>
          </w:tcPr>
          <w:p w14:paraId="27440E2C">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tcBorders>
              <w:top w:val="nil"/>
            </w:tcBorders>
            <w:noWrap w:val="0"/>
            <w:vAlign w:val="center"/>
          </w:tcPr>
          <w:p w14:paraId="78BF0327">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tcBorders>
              <w:top w:val="nil"/>
            </w:tcBorders>
            <w:noWrap w:val="0"/>
            <w:vAlign w:val="center"/>
          </w:tcPr>
          <w:p w14:paraId="49A34F93">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tcBorders>
              <w:top w:val="nil"/>
            </w:tcBorders>
            <w:noWrap w:val="0"/>
            <w:vAlign w:val="center"/>
          </w:tcPr>
          <w:p w14:paraId="46E6DC2F">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tcBorders>
              <w:top w:val="nil"/>
            </w:tcBorders>
            <w:noWrap w:val="0"/>
            <w:vAlign w:val="center"/>
          </w:tcPr>
          <w:p w14:paraId="6ABCED3D">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tcBorders>
              <w:top w:val="nil"/>
            </w:tcBorders>
            <w:noWrap w:val="0"/>
            <w:vAlign w:val="center"/>
          </w:tcPr>
          <w:p w14:paraId="6AEAE006">
            <w:pPr>
              <w:pStyle w:val="14"/>
              <w:keepNext/>
              <w:spacing w:line="440" w:lineRule="exact"/>
              <w:ind w:left="63" w:right="63"/>
              <w:rPr>
                <w:rFonts w:hint="eastAsia" w:ascii="华文中宋" w:hAnsi="华文中宋" w:eastAsia="华文中宋" w:cs="华文中宋"/>
                <w:color w:val="auto"/>
                <w:kern w:val="2"/>
                <w:sz w:val="30"/>
                <w:szCs w:val="30"/>
              </w:rPr>
            </w:pPr>
          </w:p>
        </w:tc>
      </w:tr>
      <w:tr w14:paraId="76E68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4FE533BE">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noWrap w:val="0"/>
            <w:vAlign w:val="center"/>
          </w:tcPr>
          <w:p w14:paraId="250E33CD">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noWrap w:val="0"/>
            <w:vAlign w:val="center"/>
          </w:tcPr>
          <w:p w14:paraId="61E69C4C">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noWrap w:val="0"/>
            <w:vAlign w:val="center"/>
          </w:tcPr>
          <w:p w14:paraId="70EA30E0">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7DFD225C">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noWrap w:val="0"/>
            <w:vAlign w:val="center"/>
          </w:tcPr>
          <w:p w14:paraId="285909C2">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noWrap w:val="0"/>
            <w:vAlign w:val="center"/>
          </w:tcPr>
          <w:p w14:paraId="2B6AE75F">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0DD862DE">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noWrap w:val="0"/>
            <w:vAlign w:val="center"/>
          </w:tcPr>
          <w:p w14:paraId="2D0976AC">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noWrap w:val="0"/>
            <w:vAlign w:val="center"/>
          </w:tcPr>
          <w:p w14:paraId="1AB62F39">
            <w:pPr>
              <w:pStyle w:val="14"/>
              <w:keepNext/>
              <w:spacing w:line="440" w:lineRule="exact"/>
              <w:ind w:left="63" w:right="63"/>
              <w:rPr>
                <w:rFonts w:hint="eastAsia" w:ascii="华文中宋" w:hAnsi="华文中宋" w:eastAsia="华文中宋" w:cs="华文中宋"/>
                <w:color w:val="auto"/>
                <w:kern w:val="2"/>
                <w:sz w:val="30"/>
                <w:szCs w:val="30"/>
              </w:rPr>
            </w:pPr>
          </w:p>
        </w:tc>
      </w:tr>
      <w:tr w14:paraId="31216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01544479">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noWrap w:val="0"/>
            <w:vAlign w:val="center"/>
          </w:tcPr>
          <w:p w14:paraId="564CA5C3">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noWrap w:val="0"/>
            <w:vAlign w:val="center"/>
          </w:tcPr>
          <w:p w14:paraId="1AC28BE8">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noWrap w:val="0"/>
            <w:vAlign w:val="center"/>
          </w:tcPr>
          <w:p w14:paraId="76CCF5FE">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2A82F499">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noWrap w:val="0"/>
            <w:vAlign w:val="center"/>
          </w:tcPr>
          <w:p w14:paraId="10D90AC7">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noWrap w:val="0"/>
            <w:vAlign w:val="center"/>
          </w:tcPr>
          <w:p w14:paraId="095AE58A">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0C89F55B">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noWrap w:val="0"/>
            <w:vAlign w:val="center"/>
          </w:tcPr>
          <w:p w14:paraId="5A8DCCD9">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noWrap w:val="0"/>
            <w:vAlign w:val="center"/>
          </w:tcPr>
          <w:p w14:paraId="3D404BF5">
            <w:pPr>
              <w:pStyle w:val="14"/>
              <w:keepNext/>
              <w:spacing w:line="440" w:lineRule="exact"/>
              <w:ind w:left="63" w:right="63"/>
              <w:rPr>
                <w:rFonts w:hint="eastAsia" w:ascii="华文中宋" w:hAnsi="华文中宋" w:eastAsia="华文中宋" w:cs="华文中宋"/>
                <w:color w:val="auto"/>
                <w:kern w:val="2"/>
                <w:sz w:val="30"/>
                <w:szCs w:val="30"/>
              </w:rPr>
            </w:pPr>
          </w:p>
        </w:tc>
      </w:tr>
      <w:tr w14:paraId="6A653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35AB21D9">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noWrap w:val="0"/>
            <w:vAlign w:val="center"/>
          </w:tcPr>
          <w:p w14:paraId="0FE5958D">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noWrap w:val="0"/>
            <w:vAlign w:val="center"/>
          </w:tcPr>
          <w:p w14:paraId="745DB4D8">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noWrap w:val="0"/>
            <w:vAlign w:val="center"/>
          </w:tcPr>
          <w:p w14:paraId="7FFD7E6F">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40AE0D11">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noWrap w:val="0"/>
            <w:vAlign w:val="center"/>
          </w:tcPr>
          <w:p w14:paraId="5C603E45">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noWrap w:val="0"/>
            <w:vAlign w:val="center"/>
          </w:tcPr>
          <w:p w14:paraId="3C1690CE">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5408D5F6">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noWrap w:val="0"/>
            <w:vAlign w:val="center"/>
          </w:tcPr>
          <w:p w14:paraId="7942D8BF">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noWrap w:val="0"/>
            <w:vAlign w:val="center"/>
          </w:tcPr>
          <w:p w14:paraId="4305F0FB">
            <w:pPr>
              <w:pStyle w:val="14"/>
              <w:keepNext/>
              <w:spacing w:line="440" w:lineRule="exact"/>
              <w:ind w:left="63" w:right="63"/>
              <w:rPr>
                <w:rFonts w:hint="eastAsia" w:ascii="华文中宋" w:hAnsi="华文中宋" w:eastAsia="华文中宋" w:cs="华文中宋"/>
                <w:color w:val="auto"/>
                <w:kern w:val="2"/>
                <w:sz w:val="30"/>
                <w:szCs w:val="30"/>
              </w:rPr>
            </w:pPr>
          </w:p>
        </w:tc>
      </w:tr>
      <w:tr w14:paraId="73FB9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44CC7230">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noWrap w:val="0"/>
            <w:vAlign w:val="center"/>
          </w:tcPr>
          <w:p w14:paraId="6B9971DF">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noWrap w:val="0"/>
            <w:vAlign w:val="center"/>
          </w:tcPr>
          <w:p w14:paraId="62710F6F">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noWrap w:val="0"/>
            <w:vAlign w:val="center"/>
          </w:tcPr>
          <w:p w14:paraId="28694CC0">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7A2CA407">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noWrap w:val="0"/>
            <w:vAlign w:val="center"/>
          </w:tcPr>
          <w:p w14:paraId="473777D2">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noWrap w:val="0"/>
            <w:vAlign w:val="center"/>
          </w:tcPr>
          <w:p w14:paraId="223F64B2">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738F2F32">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noWrap w:val="0"/>
            <w:vAlign w:val="center"/>
          </w:tcPr>
          <w:p w14:paraId="5DADED50">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noWrap w:val="0"/>
            <w:vAlign w:val="center"/>
          </w:tcPr>
          <w:p w14:paraId="72FD418C">
            <w:pPr>
              <w:pStyle w:val="14"/>
              <w:keepNext/>
              <w:spacing w:line="440" w:lineRule="exact"/>
              <w:ind w:left="63" w:right="63"/>
              <w:rPr>
                <w:rFonts w:hint="eastAsia" w:ascii="华文中宋" w:hAnsi="华文中宋" w:eastAsia="华文中宋" w:cs="华文中宋"/>
                <w:color w:val="auto"/>
                <w:kern w:val="2"/>
                <w:sz w:val="30"/>
                <w:szCs w:val="30"/>
              </w:rPr>
            </w:pPr>
          </w:p>
        </w:tc>
      </w:tr>
      <w:tr w14:paraId="6767E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53BED87A">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noWrap w:val="0"/>
            <w:vAlign w:val="center"/>
          </w:tcPr>
          <w:p w14:paraId="4968F129">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noWrap w:val="0"/>
            <w:vAlign w:val="center"/>
          </w:tcPr>
          <w:p w14:paraId="16BEA3FC">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noWrap w:val="0"/>
            <w:vAlign w:val="center"/>
          </w:tcPr>
          <w:p w14:paraId="7FD4E42B">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1D9AE3BF">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noWrap w:val="0"/>
            <w:vAlign w:val="center"/>
          </w:tcPr>
          <w:p w14:paraId="624FC757">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noWrap w:val="0"/>
            <w:vAlign w:val="center"/>
          </w:tcPr>
          <w:p w14:paraId="4D1258F5">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2212D6C8">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noWrap w:val="0"/>
            <w:vAlign w:val="center"/>
          </w:tcPr>
          <w:p w14:paraId="645F5263">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noWrap w:val="0"/>
            <w:vAlign w:val="center"/>
          </w:tcPr>
          <w:p w14:paraId="361F627F">
            <w:pPr>
              <w:pStyle w:val="14"/>
              <w:keepNext/>
              <w:spacing w:line="440" w:lineRule="exact"/>
              <w:ind w:left="63" w:right="63"/>
              <w:rPr>
                <w:rFonts w:hint="eastAsia" w:ascii="华文中宋" w:hAnsi="华文中宋" w:eastAsia="华文中宋" w:cs="华文中宋"/>
                <w:color w:val="auto"/>
                <w:kern w:val="2"/>
                <w:sz w:val="30"/>
                <w:szCs w:val="30"/>
              </w:rPr>
            </w:pPr>
          </w:p>
        </w:tc>
      </w:tr>
      <w:tr w14:paraId="339A6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23564BC1">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noWrap w:val="0"/>
            <w:vAlign w:val="center"/>
          </w:tcPr>
          <w:p w14:paraId="0523D9C8">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noWrap w:val="0"/>
            <w:vAlign w:val="center"/>
          </w:tcPr>
          <w:p w14:paraId="42B57BC0">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noWrap w:val="0"/>
            <w:vAlign w:val="center"/>
          </w:tcPr>
          <w:p w14:paraId="492B833B">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4F5943EC">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noWrap w:val="0"/>
            <w:vAlign w:val="center"/>
          </w:tcPr>
          <w:p w14:paraId="7C4A74C0">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noWrap w:val="0"/>
            <w:vAlign w:val="center"/>
          </w:tcPr>
          <w:p w14:paraId="5123B168">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5282937F">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noWrap w:val="0"/>
            <w:vAlign w:val="center"/>
          </w:tcPr>
          <w:p w14:paraId="35F3646F">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noWrap w:val="0"/>
            <w:vAlign w:val="center"/>
          </w:tcPr>
          <w:p w14:paraId="7F4F3B4A">
            <w:pPr>
              <w:pStyle w:val="14"/>
              <w:keepNext/>
              <w:spacing w:line="440" w:lineRule="exact"/>
              <w:ind w:left="63" w:right="63"/>
              <w:rPr>
                <w:rFonts w:hint="eastAsia" w:ascii="华文中宋" w:hAnsi="华文中宋" w:eastAsia="华文中宋" w:cs="华文中宋"/>
                <w:color w:val="auto"/>
                <w:kern w:val="2"/>
                <w:sz w:val="30"/>
                <w:szCs w:val="30"/>
              </w:rPr>
            </w:pPr>
          </w:p>
        </w:tc>
      </w:tr>
      <w:tr w14:paraId="3CFBB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1287D386">
            <w:pPr>
              <w:jc w:val="center"/>
              <w:rPr>
                <w:rFonts w:hint="eastAsia" w:ascii="华文中宋" w:hAnsi="华文中宋" w:eastAsia="华文中宋" w:cs="华文中宋"/>
                <w:color w:val="auto"/>
                <w:sz w:val="30"/>
                <w:szCs w:val="30"/>
              </w:rPr>
            </w:pPr>
          </w:p>
        </w:tc>
        <w:tc>
          <w:tcPr>
            <w:tcW w:w="1276" w:type="dxa"/>
            <w:noWrap w:val="0"/>
            <w:vAlign w:val="center"/>
          </w:tcPr>
          <w:p w14:paraId="32C583C6">
            <w:pPr>
              <w:jc w:val="center"/>
              <w:rPr>
                <w:rFonts w:hint="eastAsia" w:ascii="华文中宋" w:hAnsi="华文中宋" w:eastAsia="华文中宋" w:cs="华文中宋"/>
                <w:color w:val="auto"/>
                <w:sz w:val="30"/>
                <w:szCs w:val="30"/>
              </w:rPr>
            </w:pPr>
          </w:p>
        </w:tc>
        <w:tc>
          <w:tcPr>
            <w:tcW w:w="1418" w:type="dxa"/>
            <w:noWrap w:val="0"/>
            <w:vAlign w:val="center"/>
          </w:tcPr>
          <w:p w14:paraId="319BF046">
            <w:pPr>
              <w:jc w:val="center"/>
              <w:rPr>
                <w:rFonts w:hint="eastAsia" w:ascii="华文中宋" w:hAnsi="华文中宋" w:eastAsia="华文中宋" w:cs="华文中宋"/>
                <w:color w:val="auto"/>
                <w:sz w:val="30"/>
                <w:szCs w:val="30"/>
              </w:rPr>
            </w:pPr>
          </w:p>
        </w:tc>
        <w:tc>
          <w:tcPr>
            <w:tcW w:w="940" w:type="dxa"/>
            <w:noWrap w:val="0"/>
            <w:vAlign w:val="center"/>
          </w:tcPr>
          <w:p w14:paraId="094E0350">
            <w:pPr>
              <w:jc w:val="center"/>
              <w:rPr>
                <w:rFonts w:hint="eastAsia" w:ascii="华文中宋" w:hAnsi="华文中宋" w:eastAsia="华文中宋" w:cs="华文中宋"/>
                <w:color w:val="auto"/>
                <w:sz w:val="30"/>
                <w:szCs w:val="30"/>
              </w:rPr>
            </w:pPr>
          </w:p>
        </w:tc>
        <w:tc>
          <w:tcPr>
            <w:tcW w:w="851" w:type="dxa"/>
            <w:noWrap w:val="0"/>
            <w:vAlign w:val="center"/>
          </w:tcPr>
          <w:p w14:paraId="60185C1F">
            <w:pPr>
              <w:jc w:val="center"/>
              <w:rPr>
                <w:rFonts w:hint="eastAsia" w:ascii="华文中宋" w:hAnsi="华文中宋" w:eastAsia="华文中宋" w:cs="华文中宋"/>
                <w:color w:val="auto"/>
                <w:sz w:val="30"/>
                <w:szCs w:val="30"/>
              </w:rPr>
            </w:pPr>
          </w:p>
        </w:tc>
        <w:tc>
          <w:tcPr>
            <w:tcW w:w="1044" w:type="dxa"/>
            <w:noWrap w:val="0"/>
            <w:vAlign w:val="center"/>
          </w:tcPr>
          <w:p w14:paraId="3B778673">
            <w:pPr>
              <w:jc w:val="center"/>
              <w:rPr>
                <w:rFonts w:hint="eastAsia" w:ascii="华文中宋" w:hAnsi="华文中宋" w:eastAsia="华文中宋" w:cs="华文中宋"/>
                <w:color w:val="auto"/>
                <w:sz w:val="30"/>
                <w:szCs w:val="30"/>
              </w:rPr>
            </w:pPr>
          </w:p>
        </w:tc>
        <w:tc>
          <w:tcPr>
            <w:tcW w:w="992" w:type="dxa"/>
            <w:noWrap w:val="0"/>
            <w:vAlign w:val="center"/>
          </w:tcPr>
          <w:p w14:paraId="441D344E">
            <w:pPr>
              <w:jc w:val="center"/>
              <w:rPr>
                <w:rFonts w:hint="eastAsia" w:ascii="华文中宋" w:hAnsi="华文中宋" w:eastAsia="华文中宋" w:cs="华文中宋"/>
                <w:color w:val="auto"/>
                <w:sz w:val="30"/>
                <w:szCs w:val="30"/>
              </w:rPr>
            </w:pPr>
          </w:p>
        </w:tc>
        <w:tc>
          <w:tcPr>
            <w:tcW w:w="851" w:type="dxa"/>
            <w:noWrap w:val="0"/>
            <w:vAlign w:val="center"/>
          </w:tcPr>
          <w:p w14:paraId="174F8DE9">
            <w:pPr>
              <w:jc w:val="center"/>
              <w:rPr>
                <w:rFonts w:hint="eastAsia" w:ascii="华文中宋" w:hAnsi="华文中宋" w:eastAsia="华文中宋" w:cs="华文中宋"/>
                <w:color w:val="auto"/>
                <w:sz w:val="30"/>
                <w:szCs w:val="30"/>
              </w:rPr>
            </w:pPr>
          </w:p>
        </w:tc>
        <w:tc>
          <w:tcPr>
            <w:tcW w:w="1350" w:type="dxa"/>
            <w:noWrap w:val="0"/>
            <w:vAlign w:val="center"/>
          </w:tcPr>
          <w:p w14:paraId="0C0BDD71">
            <w:pPr>
              <w:jc w:val="center"/>
              <w:rPr>
                <w:rFonts w:hint="eastAsia" w:ascii="华文中宋" w:hAnsi="华文中宋" w:eastAsia="华文中宋" w:cs="华文中宋"/>
                <w:color w:val="auto"/>
                <w:sz w:val="30"/>
                <w:szCs w:val="30"/>
              </w:rPr>
            </w:pPr>
          </w:p>
        </w:tc>
        <w:tc>
          <w:tcPr>
            <w:tcW w:w="852" w:type="dxa"/>
            <w:noWrap w:val="0"/>
            <w:vAlign w:val="center"/>
          </w:tcPr>
          <w:p w14:paraId="2AF46366">
            <w:pPr>
              <w:jc w:val="center"/>
              <w:rPr>
                <w:rFonts w:hint="eastAsia" w:ascii="华文中宋" w:hAnsi="华文中宋" w:eastAsia="华文中宋" w:cs="华文中宋"/>
                <w:color w:val="auto"/>
                <w:sz w:val="30"/>
                <w:szCs w:val="30"/>
              </w:rPr>
            </w:pPr>
          </w:p>
        </w:tc>
      </w:tr>
      <w:tr w14:paraId="67AA1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34D150F3">
            <w:pPr>
              <w:pStyle w:val="14"/>
              <w:keepNext/>
              <w:spacing w:line="440" w:lineRule="exact"/>
              <w:ind w:left="63" w:right="63"/>
              <w:rPr>
                <w:rFonts w:hint="eastAsia" w:ascii="华文中宋" w:hAnsi="华文中宋" w:eastAsia="华文中宋" w:cs="华文中宋"/>
                <w:color w:val="auto"/>
                <w:kern w:val="2"/>
                <w:sz w:val="30"/>
                <w:szCs w:val="30"/>
              </w:rPr>
            </w:pPr>
          </w:p>
        </w:tc>
        <w:tc>
          <w:tcPr>
            <w:tcW w:w="1276" w:type="dxa"/>
            <w:noWrap w:val="0"/>
            <w:vAlign w:val="center"/>
          </w:tcPr>
          <w:p w14:paraId="575C5189">
            <w:pPr>
              <w:pStyle w:val="14"/>
              <w:keepNext/>
              <w:spacing w:line="440" w:lineRule="exact"/>
              <w:ind w:left="63" w:right="63"/>
              <w:rPr>
                <w:rFonts w:hint="eastAsia" w:ascii="华文中宋" w:hAnsi="华文中宋" w:eastAsia="华文中宋" w:cs="华文中宋"/>
                <w:color w:val="auto"/>
                <w:kern w:val="2"/>
                <w:sz w:val="30"/>
                <w:szCs w:val="30"/>
              </w:rPr>
            </w:pPr>
          </w:p>
        </w:tc>
        <w:tc>
          <w:tcPr>
            <w:tcW w:w="1418" w:type="dxa"/>
            <w:noWrap w:val="0"/>
            <w:vAlign w:val="center"/>
          </w:tcPr>
          <w:p w14:paraId="4BC5336F">
            <w:pPr>
              <w:pStyle w:val="14"/>
              <w:keepNext/>
              <w:spacing w:line="440" w:lineRule="exact"/>
              <w:ind w:left="63" w:right="63"/>
              <w:rPr>
                <w:rFonts w:hint="eastAsia" w:ascii="华文中宋" w:hAnsi="华文中宋" w:eastAsia="华文中宋" w:cs="华文中宋"/>
                <w:color w:val="auto"/>
                <w:kern w:val="2"/>
                <w:sz w:val="30"/>
                <w:szCs w:val="30"/>
              </w:rPr>
            </w:pPr>
          </w:p>
        </w:tc>
        <w:tc>
          <w:tcPr>
            <w:tcW w:w="940" w:type="dxa"/>
            <w:noWrap w:val="0"/>
            <w:vAlign w:val="center"/>
          </w:tcPr>
          <w:p w14:paraId="783E0D33">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7FE326D3">
            <w:pPr>
              <w:pStyle w:val="14"/>
              <w:keepNext/>
              <w:spacing w:line="440" w:lineRule="exact"/>
              <w:ind w:left="63" w:right="63"/>
              <w:rPr>
                <w:rFonts w:hint="eastAsia" w:ascii="华文中宋" w:hAnsi="华文中宋" w:eastAsia="华文中宋" w:cs="华文中宋"/>
                <w:color w:val="auto"/>
                <w:kern w:val="2"/>
                <w:sz w:val="30"/>
                <w:szCs w:val="30"/>
              </w:rPr>
            </w:pPr>
          </w:p>
        </w:tc>
        <w:tc>
          <w:tcPr>
            <w:tcW w:w="1044" w:type="dxa"/>
            <w:noWrap w:val="0"/>
            <w:vAlign w:val="center"/>
          </w:tcPr>
          <w:p w14:paraId="1A892811">
            <w:pPr>
              <w:pStyle w:val="14"/>
              <w:keepNext/>
              <w:spacing w:line="440" w:lineRule="exact"/>
              <w:ind w:left="63" w:right="63"/>
              <w:rPr>
                <w:rFonts w:hint="eastAsia" w:ascii="华文中宋" w:hAnsi="华文中宋" w:eastAsia="华文中宋" w:cs="华文中宋"/>
                <w:color w:val="auto"/>
                <w:kern w:val="2"/>
                <w:sz w:val="30"/>
                <w:szCs w:val="30"/>
              </w:rPr>
            </w:pPr>
          </w:p>
        </w:tc>
        <w:tc>
          <w:tcPr>
            <w:tcW w:w="992" w:type="dxa"/>
            <w:noWrap w:val="0"/>
            <w:vAlign w:val="center"/>
          </w:tcPr>
          <w:p w14:paraId="0AB65718">
            <w:pPr>
              <w:pStyle w:val="14"/>
              <w:keepNext/>
              <w:spacing w:line="440" w:lineRule="exact"/>
              <w:ind w:left="63" w:right="63"/>
              <w:rPr>
                <w:rFonts w:hint="eastAsia" w:ascii="华文中宋" w:hAnsi="华文中宋" w:eastAsia="华文中宋" w:cs="华文中宋"/>
                <w:color w:val="auto"/>
                <w:kern w:val="2"/>
                <w:sz w:val="30"/>
                <w:szCs w:val="30"/>
              </w:rPr>
            </w:pPr>
          </w:p>
        </w:tc>
        <w:tc>
          <w:tcPr>
            <w:tcW w:w="851" w:type="dxa"/>
            <w:noWrap w:val="0"/>
            <w:vAlign w:val="center"/>
          </w:tcPr>
          <w:p w14:paraId="38F7BB65">
            <w:pPr>
              <w:pStyle w:val="14"/>
              <w:keepNext/>
              <w:spacing w:line="440" w:lineRule="exact"/>
              <w:ind w:left="63" w:right="63"/>
              <w:rPr>
                <w:rFonts w:hint="eastAsia" w:ascii="华文中宋" w:hAnsi="华文中宋" w:eastAsia="华文中宋" w:cs="华文中宋"/>
                <w:color w:val="auto"/>
                <w:kern w:val="2"/>
                <w:sz w:val="30"/>
                <w:szCs w:val="30"/>
              </w:rPr>
            </w:pPr>
          </w:p>
        </w:tc>
        <w:tc>
          <w:tcPr>
            <w:tcW w:w="1350" w:type="dxa"/>
            <w:noWrap w:val="0"/>
            <w:vAlign w:val="center"/>
          </w:tcPr>
          <w:p w14:paraId="159E585F">
            <w:pPr>
              <w:pStyle w:val="14"/>
              <w:keepNext/>
              <w:spacing w:line="440" w:lineRule="exact"/>
              <w:ind w:left="63" w:right="63"/>
              <w:rPr>
                <w:rFonts w:hint="eastAsia" w:ascii="华文中宋" w:hAnsi="华文中宋" w:eastAsia="华文中宋" w:cs="华文中宋"/>
                <w:color w:val="auto"/>
                <w:kern w:val="2"/>
                <w:sz w:val="30"/>
                <w:szCs w:val="30"/>
              </w:rPr>
            </w:pPr>
          </w:p>
        </w:tc>
        <w:tc>
          <w:tcPr>
            <w:tcW w:w="852" w:type="dxa"/>
            <w:noWrap w:val="0"/>
            <w:vAlign w:val="center"/>
          </w:tcPr>
          <w:p w14:paraId="6B70C1DF">
            <w:pPr>
              <w:pStyle w:val="14"/>
              <w:keepNext/>
              <w:spacing w:line="440" w:lineRule="exact"/>
              <w:ind w:left="63" w:right="63"/>
              <w:rPr>
                <w:rFonts w:hint="eastAsia" w:ascii="华文中宋" w:hAnsi="华文中宋" w:eastAsia="华文中宋" w:cs="华文中宋"/>
                <w:color w:val="auto"/>
                <w:kern w:val="2"/>
                <w:sz w:val="30"/>
                <w:szCs w:val="30"/>
              </w:rPr>
            </w:pPr>
          </w:p>
        </w:tc>
      </w:tr>
      <w:tr w14:paraId="33C87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295ED404">
            <w:pPr>
              <w:jc w:val="center"/>
              <w:rPr>
                <w:rFonts w:hint="eastAsia" w:ascii="华文中宋" w:hAnsi="华文中宋" w:eastAsia="华文中宋" w:cs="华文中宋"/>
                <w:color w:val="auto"/>
                <w:sz w:val="30"/>
                <w:szCs w:val="30"/>
              </w:rPr>
            </w:pPr>
          </w:p>
        </w:tc>
        <w:tc>
          <w:tcPr>
            <w:tcW w:w="1276" w:type="dxa"/>
            <w:noWrap w:val="0"/>
            <w:vAlign w:val="center"/>
          </w:tcPr>
          <w:p w14:paraId="0B48EB9E">
            <w:pPr>
              <w:jc w:val="center"/>
              <w:rPr>
                <w:rFonts w:hint="eastAsia" w:ascii="华文中宋" w:hAnsi="华文中宋" w:eastAsia="华文中宋" w:cs="华文中宋"/>
                <w:color w:val="auto"/>
                <w:sz w:val="30"/>
                <w:szCs w:val="30"/>
              </w:rPr>
            </w:pPr>
          </w:p>
        </w:tc>
        <w:tc>
          <w:tcPr>
            <w:tcW w:w="1418" w:type="dxa"/>
            <w:noWrap w:val="0"/>
            <w:vAlign w:val="center"/>
          </w:tcPr>
          <w:p w14:paraId="75D7446C">
            <w:pPr>
              <w:jc w:val="center"/>
              <w:rPr>
                <w:rFonts w:hint="eastAsia" w:ascii="华文中宋" w:hAnsi="华文中宋" w:eastAsia="华文中宋" w:cs="华文中宋"/>
                <w:color w:val="auto"/>
                <w:sz w:val="30"/>
                <w:szCs w:val="30"/>
              </w:rPr>
            </w:pPr>
          </w:p>
        </w:tc>
        <w:tc>
          <w:tcPr>
            <w:tcW w:w="940" w:type="dxa"/>
            <w:noWrap w:val="0"/>
            <w:vAlign w:val="center"/>
          </w:tcPr>
          <w:p w14:paraId="46A9A144">
            <w:pPr>
              <w:jc w:val="center"/>
              <w:rPr>
                <w:rFonts w:hint="eastAsia" w:ascii="华文中宋" w:hAnsi="华文中宋" w:eastAsia="华文中宋" w:cs="华文中宋"/>
                <w:color w:val="auto"/>
                <w:sz w:val="30"/>
                <w:szCs w:val="30"/>
              </w:rPr>
            </w:pPr>
          </w:p>
        </w:tc>
        <w:tc>
          <w:tcPr>
            <w:tcW w:w="851" w:type="dxa"/>
            <w:noWrap w:val="0"/>
            <w:vAlign w:val="center"/>
          </w:tcPr>
          <w:p w14:paraId="038CF9B7">
            <w:pPr>
              <w:jc w:val="center"/>
              <w:rPr>
                <w:rFonts w:hint="eastAsia" w:ascii="华文中宋" w:hAnsi="华文中宋" w:eastAsia="华文中宋" w:cs="华文中宋"/>
                <w:color w:val="auto"/>
                <w:sz w:val="30"/>
                <w:szCs w:val="30"/>
              </w:rPr>
            </w:pPr>
          </w:p>
        </w:tc>
        <w:tc>
          <w:tcPr>
            <w:tcW w:w="1044" w:type="dxa"/>
            <w:noWrap w:val="0"/>
            <w:vAlign w:val="center"/>
          </w:tcPr>
          <w:p w14:paraId="3AC3365C">
            <w:pPr>
              <w:jc w:val="center"/>
              <w:rPr>
                <w:rFonts w:hint="eastAsia" w:ascii="华文中宋" w:hAnsi="华文中宋" w:eastAsia="华文中宋" w:cs="华文中宋"/>
                <w:color w:val="auto"/>
                <w:sz w:val="30"/>
                <w:szCs w:val="30"/>
              </w:rPr>
            </w:pPr>
          </w:p>
        </w:tc>
        <w:tc>
          <w:tcPr>
            <w:tcW w:w="992" w:type="dxa"/>
            <w:noWrap w:val="0"/>
            <w:vAlign w:val="center"/>
          </w:tcPr>
          <w:p w14:paraId="4D5375F5">
            <w:pPr>
              <w:jc w:val="center"/>
              <w:rPr>
                <w:rFonts w:hint="eastAsia" w:ascii="华文中宋" w:hAnsi="华文中宋" w:eastAsia="华文中宋" w:cs="华文中宋"/>
                <w:color w:val="auto"/>
                <w:sz w:val="30"/>
                <w:szCs w:val="30"/>
              </w:rPr>
            </w:pPr>
          </w:p>
        </w:tc>
        <w:tc>
          <w:tcPr>
            <w:tcW w:w="851" w:type="dxa"/>
            <w:noWrap w:val="0"/>
            <w:vAlign w:val="center"/>
          </w:tcPr>
          <w:p w14:paraId="79BA8B9D">
            <w:pPr>
              <w:jc w:val="center"/>
              <w:rPr>
                <w:rFonts w:hint="eastAsia" w:ascii="华文中宋" w:hAnsi="华文中宋" w:eastAsia="华文中宋" w:cs="华文中宋"/>
                <w:color w:val="auto"/>
                <w:sz w:val="30"/>
                <w:szCs w:val="30"/>
              </w:rPr>
            </w:pPr>
          </w:p>
        </w:tc>
        <w:tc>
          <w:tcPr>
            <w:tcW w:w="1350" w:type="dxa"/>
            <w:noWrap w:val="0"/>
            <w:vAlign w:val="center"/>
          </w:tcPr>
          <w:p w14:paraId="2484B5BF">
            <w:pPr>
              <w:jc w:val="center"/>
              <w:rPr>
                <w:rFonts w:hint="eastAsia" w:ascii="华文中宋" w:hAnsi="华文中宋" w:eastAsia="华文中宋" w:cs="华文中宋"/>
                <w:color w:val="auto"/>
                <w:sz w:val="30"/>
                <w:szCs w:val="30"/>
              </w:rPr>
            </w:pPr>
          </w:p>
        </w:tc>
        <w:tc>
          <w:tcPr>
            <w:tcW w:w="852" w:type="dxa"/>
            <w:noWrap w:val="0"/>
            <w:vAlign w:val="center"/>
          </w:tcPr>
          <w:p w14:paraId="51DE1CD6">
            <w:pPr>
              <w:jc w:val="center"/>
              <w:rPr>
                <w:rFonts w:hint="eastAsia" w:ascii="华文中宋" w:hAnsi="华文中宋" w:eastAsia="华文中宋" w:cs="华文中宋"/>
                <w:color w:val="auto"/>
                <w:sz w:val="30"/>
                <w:szCs w:val="30"/>
              </w:rPr>
            </w:pPr>
          </w:p>
        </w:tc>
      </w:tr>
      <w:tr w14:paraId="171AC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6887CEEE">
            <w:pPr>
              <w:jc w:val="center"/>
              <w:rPr>
                <w:rFonts w:hint="eastAsia" w:ascii="华文中宋" w:hAnsi="华文中宋" w:eastAsia="华文中宋" w:cs="华文中宋"/>
                <w:color w:val="auto"/>
                <w:sz w:val="30"/>
                <w:szCs w:val="30"/>
              </w:rPr>
            </w:pPr>
          </w:p>
        </w:tc>
        <w:tc>
          <w:tcPr>
            <w:tcW w:w="1276" w:type="dxa"/>
            <w:noWrap w:val="0"/>
            <w:vAlign w:val="center"/>
          </w:tcPr>
          <w:p w14:paraId="69FF5480">
            <w:pPr>
              <w:jc w:val="center"/>
              <w:rPr>
                <w:rFonts w:hint="eastAsia" w:ascii="华文中宋" w:hAnsi="华文中宋" w:eastAsia="华文中宋" w:cs="华文中宋"/>
                <w:color w:val="auto"/>
                <w:sz w:val="30"/>
                <w:szCs w:val="30"/>
              </w:rPr>
            </w:pPr>
          </w:p>
        </w:tc>
        <w:tc>
          <w:tcPr>
            <w:tcW w:w="1418" w:type="dxa"/>
            <w:noWrap w:val="0"/>
            <w:vAlign w:val="center"/>
          </w:tcPr>
          <w:p w14:paraId="56750C07">
            <w:pPr>
              <w:jc w:val="center"/>
              <w:rPr>
                <w:rFonts w:hint="eastAsia" w:ascii="华文中宋" w:hAnsi="华文中宋" w:eastAsia="华文中宋" w:cs="华文中宋"/>
                <w:color w:val="auto"/>
                <w:sz w:val="30"/>
                <w:szCs w:val="30"/>
              </w:rPr>
            </w:pPr>
          </w:p>
        </w:tc>
        <w:tc>
          <w:tcPr>
            <w:tcW w:w="940" w:type="dxa"/>
            <w:noWrap w:val="0"/>
            <w:vAlign w:val="center"/>
          </w:tcPr>
          <w:p w14:paraId="108CF955">
            <w:pPr>
              <w:jc w:val="center"/>
              <w:rPr>
                <w:rFonts w:hint="eastAsia" w:ascii="华文中宋" w:hAnsi="华文中宋" w:eastAsia="华文中宋" w:cs="华文中宋"/>
                <w:color w:val="auto"/>
                <w:sz w:val="30"/>
                <w:szCs w:val="30"/>
              </w:rPr>
            </w:pPr>
          </w:p>
        </w:tc>
        <w:tc>
          <w:tcPr>
            <w:tcW w:w="851" w:type="dxa"/>
            <w:noWrap w:val="0"/>
            <w:vAlign w:val="center"/>
          </w:tcPr>
          <w:p w14:paraId="116BC81B">
            <w:pPr>
              <w:jc w:val="center"/>
              <w:rPr>
                <w:rFonts w:hint="eastAsia" w:ascii="华文中宋" w:hAnsi="华文中宋" w:eastAsia="华文中宋" w:cs="华文中宋"/>
                <w:color w:val="auto"/>
                <w:sz w:val="30"/>
                <w:szCs w:val="30"/>
              </w:rPr>
            </w:pPr>
          </w:p>
        </w:tc>
        <w:tc>
          <w:tcPr>
            <w:tcW w:w="1044" w:type="dxa"/>
            <w:noWrap w:val="0"/>
            <w:vAlign w:val="center"/>
          </w:tcPr>
          <w:p w14:paraId="1579F8D9">
            <w:pPr>
              <w:jc w:val="center"/>
              <w:rPr>
                <w:rFonts w:hint="eastAsia" w:ascii="华文中宋" w:hAnsi="华文中宋" w:eastAsia="华文中宋" w:cs="华文中宋"/>
                <w:color w:val="auto"/>
                <w:sz w:val="30"/>
                <w:szCs w:val="30"/>
              </w:rPr>
            </w:pPr>
          </w:p>
        </w:tc>
        <w:tc>
          <w:tcPr>
            <w:tcW w:w="992" w:type="dxa"/>
            <w:noWrap w:val="0"/>
            <w:vAlign w:val="center"/>
          </w:tcPr>
          <w:p w14:paraId="44CEB946">
            <w:pPr>
              <w:jc w:val="center"/>
              <w:rPr>
                <w:rFonts w:hint="eastAsia" w:ascii="华文中宋" w:hAnsi="华文中宋" w:eastAsia="华文中宋" w:cs="华文中宋"/>
                <w:color w:val="auto"/>
                <w:sz w:val="30"/>
                <w:szCs w:val="30"/>
              </w:rPr>
            </w:pPr>
          </w:p>
        </w:tc>
        <w:tc>
          <w:tcPr>
            <w:tcW w:w="851" w:type="dxa"/>
            <w:noWrap w:val="0"/>
            <w:vAlign w:val="center"/>
          </w:tcPr>
          <w:p w14:paraId="58908BD4">
            <w:pPr>
              <w:jc w:val="center"/>
              <w:rPr>
                <w:rFonts w:hint="eastAsia" w:ascii="华文中宋" w:hAnsi="华文中宋" w:eastAsia="华文中宋" w:cs="华文中宋"/>
                <w:color w:val="auto"/>
                <w:sz w:val="30"/>
                <w:szCs w:val="30"/>
              </w:rPr>
            </w:pPr>
          </w:p>
        </w:tc>
        <w:tc>
          <w:tcPr>
            <w:tcW w:w="1350" w:type="dxa"/>
            <w:noWrap w:val="0"/>
            <w:vAlign w:val="center"/>
          </w:tcPr>
          <w:p w14:paraId="2FF40B53">
            <w:pPr>
              <w:jc w:val="center"/>
              <w:rPr>
                <w:rFonts w:hint="eastAsia" w:ascii="华文中宋" w:hAnsi="华文中宋" w:eastAsia="华文中宋" w:cs="华文中宋"/>
                <w:color w:val="auto"/>
                <w:sz w:val="30"/>
                <w:szCs w:val="30"/>
              </w:rPr>
            </w:pPr>
          </w:p>
        </w:tc>
        <w:tc>
          <w:tcPr>
            <w:tcW w:w="852" w:type="dxa"/>
            <w:noWrap w:val="0"/>
            <w:vAlign w:val="center"/>
          </w:tcPr>
          <w:p w14:paraId="35BCC776">
            <w:pPr>
              <w:jc w:val="center"/>
              <w:rPr>
                <w:rFonts w:hint="eastAsia" w:ascii="华文中宋" w:hAnsi="华文中宋" w:eastAsia="华文中宋" w:cs="华文中宋"/>
                <w:color w:val="auto"/>
                <w:sz w:val="30"/>
                <w:szCs w:val="30"/>
              </w:rPr>
            </w:pPr>
          </w:p>
        </w:tc>
      </w:tr>
      <w:tr w14:paraId="2D437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2801A6B0">
            <w:pPr>
              <w:jc w:val="center"/>
              <w:rPr>
                <w:rFonts w:hint="eastAsia" w:ascii="华文中宋" w:hAnsi="华文中宋" w:eastAsia="华文中宋" w:cs="华文中宋"/>
                <w:color w:val="auto"/>
                <w:sz w:val="30"/>
                <w:szCs w:val="30"/>
              </w:rPr>
            </w:pPr>
          </w:p>
        </w:tc>
        <w:tc>
          <w:tcPr>
            <w:tcW w:w="1276" w:type="dxa"/>
            <w:noWrap w:val="0"/>
            <w:vAlign w:val="center"/>
          </w:tcPr>
          <w:p w14:paraId="6C37E3F8">
            <w:pPr>
              <w:jc w:val="center"/>
              <w:rPr>
                <w:rFonts w:hint="eastAsia" w:ascii="华文中宋" w:hAnsi="华文中宋" w:eastAsia="华文中宋" w:cs="华文中宋"/>
                <w:color w:val="auto"/>
                <w:sz w:val="30"/>
                <w:szCs w:val="30"/>
              </w:rPr>
            </w:pPr>
          </w:p>
        </w:tc>
        <w:tc>
          <w:tcPr>
            <w:tcW w:w="1418" w:type="dxa"/>
            <w:noWrap w:val="0"/>
            <w:vAlign w:val="center"/>
          </w:tcPr>
          <w:p w14:paraId="5865A63D">
            <w:pPr>
              <w:jc w:val="center"/>
              <w:rPr>
                <w:rFonts w:hint="eastAsia" w:ascii="华文中宋" w:hAnsi="华文中宋" w:eastAsia="华文中宋" w:cs="华文中宋"/>
                <w:color w:val="auto"/>
                <w:sz w:val="30"/>
                <w:szCs w:val="30"/>
              </w:rPr>
            </w:pPr>
          </w:p>
        </w:tc>
        <w:tc>
          <w:tcPr>
            <w:tcW w:w="940" w:type="dxa"/>
            <w:noWrap w:val="0"/>
            <w:vAlign w:val="center"/>
          </w:tcPr>
          <w:p w14:paraId="10052189">
            <w:pPr>
              <w:jc w:val="center"/>
              <w:rPr>
                <w:rFonts w:hint="eastAsia" w:ascii="华文中宋" w:hAnsi="华文中宋" w:eastAsia="华文中宋" w:cs="华文中宋"/>
                <w:color w:val="auto"/>
                <w:sz w:val="30"/>
                <w:szCs w:val="30"/>
              </w:rPr>
            </w:pPr>
          </w:p>
        </w:tc>
        <w:tc>
          <w:tcPr>
            <w:tcW w:w="851" w:type="dxa"/>
            <w:noWrap w:val="0"/>
            <w:vAlign w:val="center"/>
          </w:tcPr>
          <w:p w14:paraId="428C67C2">
            <w:pPr>
              <w:jc w:val="center"/>
              <w:rPr>
                <w:rFonts w:hint="eastAsia" w:ascii="华文中宋" w:hAnsi="华文中宋" w:eastAsia="华文中宋" w:cs="华文中宋"/>
                <w:color w:val="auto"/>
                <w:sz w:val="30"/>
                <w:szCs w:val="30"/>
              </w:rPr>
            </w:pPr>
          </w:p>
        </w:tc>
        <w:tc>
          <w:tcPr>
            <w:tcW w:w="1044" w:type="dxa"/>
            <w:noWrap w:val="0"/>
            <w:vAlign w:val="center"/>
          </w:tcPr>
          <w:p w14:paraId="49E8BCDD">
            <w:pPr>
              <w:jc w:val="center"/>
              <w:rPr>
                <w:rFonts w:hint="eastAsia" w:ascii="华文中宋" w:hAnsi="华文中宋" w:eastAsia="华文中宋" w:cs="华文中宋"/>
                <w:color w:val="auto"/>
                <w:sz w:val="30"/>
                <w:szCs w:val="30"/>
              </w:rPr>
            </w:pPr>
          </w:p>
        </w:tc>
        <w:tc>
          <w:tcPr>
            <w:tcW w:w="992" w:type="dxa"/>
            <w:noWrap w:val="0"/>
            <w:vAlign w:val="center"/>
          </w:tcPr>
          <w:p w14:paraId="2CFAE1BD">
            <w:pPr>
              <w:jc w:val="center"/>
              <w:rPr>
                <w:rFonts w:hint="eastAsia" w:ascii="华文中宋" w:hAnsi="华文中宋" w:eastAsia="华文中宋" w:cs="华文中宋"/>
                <w:color w:val="auto"/>
                <w:sz w:val="30"/>
                <w:szCs w:val="30"/>
              </w:rPr>
            </w:pPr>
          </w:p>
        </w:tc>
        <w:tc>
          <w:tcPr>
            <w:tcW w:w="851" w:type="dxa"/>
            <w:noWrap w:val="0"/>
            <w:vAlign w:val="center"/>
          </w:tcPr>
          <w:p w14:paraId="4A2F6BBB">
            <w:pPr>
              <w:jc w:val="center"/>
              <w:rPr>
                <w:rFonts w:hint="eastAsia" w:ascii="华文中宋" w:hAnsi="华文中宋" w:eastAsia="华文中宋" w:cs="华文中宋"/>
                <w:color w:val="auto"/>
                <w:sz w:val="30"/>
                <w:szCs w:val="30"/>
              </w:rPr>
            </w:pPr>
          </w:p>
        </w:tc>
        <w:tc>
          <w:tcPr>
            <w:tcW w:w="1350" w:type="dxa"/>
            <w:noWrap w:val="0"/>
            <w:vAlign w:val="center"/>
          </w:tcPr>
          <w:p w14:paraId="6673B665">
            <w:pPr>
              <w:jc w:val="center"/>
              <w:rPr>
                <w:rFonts w:hint="eastAsia" w:ascii="华文中宋" w:hAnsi="华文中宋" w:eastAsia="华文中宋" w:cs="华文中宋"/>
                <w:color w:val="auto"/>
                <w:sz w:val="30"/>
                <w:szCs w:val="30"/>
              </w:rPr>
            </w:pPr>
          </w:p>
        </w:tc>
        <w:tc>
          <w:tcPr>
            <w:tcW w:w="852" w:type="dxa"/>
            <w:noWrap w:val="0"/>
            <w:vAlign w:val="center"/>
          </w:tcPr>
          <w:p w14:paraId="24AA0A14">
            <w:pPr>
              <w:jc w:val="center"/>
              <w:rPr>
                <w:rFonts w:hint="eastAsia" w:ascii="华文中宋" w:hAnsi="华文中宋" w:eastAsia="华文中宋" w:cs="华文中宋"/>
                <w:color w:val="auto"/>
                <w:sz w:val="30"/>
                <w:szCs w:val="30"/>
              </w:rPr>
            </w:pPr>
          </w:p>
        </w:tc>
      </w:tr>
      <w:tr w14:paraId="337C2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14B50280">
            <w:pPr>
              <w:jc w:val="center"/>
              <w:rPr>
                <w:rFonts w:hint="eastAsia" w:ascii="华文中宋" w:hAnsi="华文中宋" w:eastAsia="华文中宋" w:cs="华文中宋"/>
                <w:color w:val="auto"/>
                <w:sz w:val="30"/>
                <w:szCs w:val="30"/>
              </w:rPr>
            </w:pPr>
          </w:p>
        </w:tc>
        <w:tc>
          <w:tcPr>
            <w:tcW w:w="1276" w:type="dxa"/>
            <w:noWrap w:val="0"/>
            <w:vAlign w:val="center"/>
          </w:tcPr>
          <w:p w14:paraId="010F639F">
            <w:pPr>
              <w:jc w:val="center"/>
              <w:rPr>
                <w:rFonts w:hint="eastAsia" w:ascii="华文中宋" w:hAnsi="华文中宋" w:eastAsia="华文中宋" w:cs="华文中宋"/>
                <w:color w:val="auto"/>
                <w:sz w:val="30"/>
                <w:szCs w:val="30"/>
              </w:rPr>
            </w:pPr>
          </w:p>
        </w:tc>
        <w:tc>
          <w:tcPr>
            <w:tcW w:w="1418" w:type="dxa"/>
            <w:noWrap w:val="0"/>
            <w:vAlign w:val="center"/>
          </w:tcPr>
          <w:p w14:paraId="37BB6AEB">
            <w:pPr>
              <w:jc w:val="center"/>
              <w:rPr>
                <w:rFonts w:hint="eastAsia" w:ascii="华文中宋" w:hAnsi="华文中宋" w:eastAsia="华文中宋" w:cs="华文中宋"/>
                <w:color w:val="auto"/>
                <w:sz w:val="30"/>
                <w:szCs w:val="30"/>
              </w:rPr>
            </w:pPr>
          </w:p>
        </w:tc>
        <w:tc>
          <w:tcPr>
            <w:tcW w:w="940" w:type="dxa"/>
            <w:noWrap w:val="0"/>
            <w:vAlign w:val="center"/>
          </w:tcPr>
          <w:p w14:paraId="54285945">
            <w:pPr>
              <w:jc w:val="center"/>
              <w:rPr>
                <w:rFonts w:hint="eastAsia" w:ascii="华文中宋" w:hAnsi="华文中宋" w:eastAsia="华文中宋" w:cs="华文中宋"/>
                <w:color w:val="auto"/>
                <w:sz w:val="30"/>
                <w:szCs w:val="30"/>
              </w:rPr>
            </w:pPr>
          </w:p>
        </w:tc>
        <w:tc>
          <w:tcPr>
            <w:tcW w:w="851" w:type="dxa"/>
            <w:noWrap w:val="0"/>
            <w:vAlign w:val="center"/>
          </w:tcPr>
          <w:p w14:paraId="2EC0A555">
            <w:pPr>
              <w:jc w:val="center"/>
              <w:rPr>
                <w:rFonts w:hint="eastAsia" w:ascii="华文中宋" w:hAnsi="华文中宋" w:eastAsia="华文中宋" w:cs="华文中宋"/>
                <w:color w:val="auto"/>
                <w:sz w:val="30"/>
                <w:szCs w:val="30"/>
              </w:rPr>
            </w:pPr>
          </w:p>
        </w:tc>
        <w:tc>
          <w:tcPr>
            <w:tcW w:w="1044" w:type="dxa"/>
            <w:noWrap w:val="0"/>
            <w:vAlign w:val="center"/>
          </w:tcPr>
          <w:p w14:paraId="49E5A2FF">
            <w:pPr>
              <w:jc w:val="center"/>
              <w:rPr>
                <w:rFonts w:hint="eastAsia" w:ascii="华文中宋" w:hAnsi="华文中宋" w:eastAsia="华文中宋" w:cs="华文中宋"/>
                <w:color w:val="auto"/>
                <w:sz w:val="30"/>
                <w:szCs w:val="30"/>
              </w:rPr>
            </w:pPr>
          </w:p>
        </w:tc>
        <w:tc>
          <w:tcPr>
            <w:tcW w:w="992" w:type="dxa"/>
            <w:noWrap w:val="0"/>
            <w:vAlign w:val="center"/>
          </w:tcPr>
          <w:p w14:paraId="67DEF3D3">
            <w:pPr>
              <w:jc w:val="center"/>
              <w:rPr>
                <w:rFonts w:hint="eastAsia" w:ascii="华文中宋" w:hAnsi="华文中宋" w:eastAsia="华文中宋" w:cs="华文中宋"/>
                <w:color w:val="auto"/>
                <w:sz w:val="30"/>
                <w:szCs w:val="30"/>
              </w:rPr>
            </w:pPr>
          </w:p>
        </w:tc>
        <w:tc>
          <w:tcPr>
            <w:tcW w:w="851" w:type="dxa"/>
            <w:noWrap w:val="0"/>
            <w:vAlign w:val="center"/>
          </w:tcPr>
          <w:p w14:paraId="2118C934">
            <w:pPr>
              <w:jc w:val="center"/>
              <w:rPr>
                <w:rFonts w:hint="eastAsia" w:ascii="华文中宋" w:hAnsi="华文中宋" w:eastAsia="华文中宋" w:cs="华文中宋"/>
                <w:color w:val="auto"/>
                <w:sz w:val="30"/>
                <w:szCs w:val="30"/>
              </w:rPr>
            </w:pPr>
          </w:p>
        </w:tc>
        <w:tc>
          <w:tcPr>
            <w:tcW w:w="1350" w:type="dxa"/>
            <w:noWrap w:val="0"/>
            <w:vAlign w:val="center"/>
          </w:tcPr>
          <w:p w14:paraId="621F009B">
            <w:pPr>
              <w:jc w:val="center"/>
              <w:rPr>
                <w:rFonts w:hint="eastAsia" w:ascii="华文中宋" w:hAnsi="华文中宋" w:eastAsia="华文中宋" w:cs="华文中宋"/>
                <w:color w:val="auto"/>
                <w:sz w:val="30"/>
                <w:szCs w:val="30"/>
              </w:rPr>
            </w:pPr>
          </w:p>
        </w:tc>
        <w:tc>
          <w:tcPr>
            <w:tcW w:w="852" w:type="dxa"/>
            <w:noWrap w:val="0"/>
            <w:vAlign w:val="center"/>
          </w:tcPr>
          <w:p w14:paraId="0A956560">
            <w:pPr>
              <w:jc w:val="center"/>
              <w:rPr>
                <w:rFonts w:hint="eastAsia" w:ascii="华文中宋" w:hAnsi="华文中宋" w:eastAsia="华文中宋" w:cs="华文中宋"/>
                <w:color w:val="auto"/>
                <w:sz w:val="30"/>
                <w:szCs w:val="30"/>
              </w:rPr>
            </w:pPr>
          </w:p>
        </w:tc>
      </w:tr>
      <w:tr w14:paraId="0CF96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1AE434C6">
            <w:pPr>
              <w:jc w:val="center"/>
              <w:rPr>
                <w:rFonts w:hint="eastAsia" w:ascii="华文中宋" w:hAnsi="华文中宋" w:eastAsia="华文中宋" w:cs="华文中宋"/>
                <w:color w:val="auto"/>
                <w:sz w:val="30"/>
                <w:szCs w:val="30"/>
              </w:rPr>
            </w:pPr>
          </w:p>
        </w:tc>
        <w:tc>
          <w:tcPr>
            <w:tcW w:w="1276" w:type="dxa"/>
            <w:noWrap w:val="0"/>
            <w:vAlign w:val="center"/>
          </w:tcPr>
          <w:p w14:paraId="5D48EF0D">
            <w:pPr>
              <w:jc w:val="center"/>
              <w:rPr>
                <w:rFonts w:hint="eastAsia" w:ascii="华文中宋" w:hAnsi="华文中宋" w:eastAsia="华文中宋" w:cs="华文中宋"/>
                <w:color w:val="auto"/>
                <w:sz w:val="30"/>
                <w:szCs w:val="30"/>
              </w:rPr>
            </w:pPr>
          </w:p>
        </w:tc>
        <w:tc>
          <w:tcPr>
            <w:tcW w:w="1418" w:type="dxa"/>
            <w:noWrap w:val="0"/>
            <w:vAlign w:val="center"/>
          </w:tcPr>
          <w:p w14:paraId="5FB9D277">
            <w:pPr>
              <w:jc w:val="center"/>
              <w:rPr>
                <w:rFonts w:hint="eastAsia" w:ascii="华文中宋" w:hAnsi="华文中宋" w:eastAsia="华文中宋" w:cs="华文中宋"/>
                <w:color w:val="auto"/>
                <w:sz w:val="30"/>
                <w:szCs w:val="30"/>
              </w:rPr>
            </w:pPr>
          </w:p>
        </w:tc>
        <w:tc>
          <w:tcPr>
            <w:tcW w:w="940" w:type="dxa"/>
            <w:noWrap w:val="0"/>
            <w:vAlign w:val="center"/>
          </w:tcPr>
          <w:p w14:paraId="74D2986B">
            <w:pPr>
              <w:jc w:val="center"/>
              <w:rPr>
                <w:rFonts w:hint="eastAsia" w:ascii="华文中宋" w:hAnsi="华文中宋" w:eastAsia="华文中宋" w:cs="华文中宋"/>
                <w:color w:val="auto"/>
                <w:sz w:val="30"/>
                <w:szCs w:val="30"/>
              </w:rPr>
            </w:pPr>
          </w:p>
        </w:tc>
        <w:tc>
          <w:tcPr>
            <w:tcW w:w="851" w:type="dxa"/>
            <w:noWrap w:val="0"/>
            <w:vAlign w:val="center"/>
          </w:tcPr>
          <w:p w14:paraId="4F770CD2">
            <w:pPr>
              <w:jc w:val="center"/>
              <w:rPr>
                <w:rFonts w:hint="eastAsia" w:ascii="华文中宋" w:hAnsi="华文中宋" w:eastAsia="华文中宋" w:cs="华文中宋"/>
                <w:color w:val="auto"/>
                <w:sz w:val="30"/>
                <w:szCs w:val="30"/>
              </w:rPr>
            </w:pPr>
          </w:p>
        </w:tc>
        <w:tc>
          <w:tcPr>
            <w:tcW w:w="1044" w:type="dxa"/>
            <w:noWrap w:val="0"/>
            <w:vAlign w:val="center"/>
          </w:tcPr>
          <w:p w14:paraId="58421135">
            <w:pPr>
              <w:jc w:val="center"/>
              <w:rPr>
                <w:rFonts w:hint="eastAsia" w:ascii="华文中宋" w:hAnsi="华文中宋" w:eastAsia="华文中宋" w:cs="华文中宋"/>
                <w:color w:val="auto"/>
                <w:sz w:val="30"/>
                <w:szCs w:val="30"/>
              </w:rPr>
            </w:pPr>
          </w:p>
        </w:tc>
        <w:tc>
          <w:tcPr>
            <w:tcW w:w="992" w:type="dxa"/>
            <w:noWrap w:val="0"/>
            <w:vAlign w:val="center"/>
          </w:tcPr>
          <w:p w14:paraId="676D4248">
            <w:pPr>
              <w:jc w:val="center"/>
              <w:rPr>
                <w:rFonts w:hint="eastAsia" w:ascii="华文中宋" w:hAnsi="华文中宋" w:eastAsia="华文中宋" w:cs="华文中宋"/>
                <w:color w:val="auto"/>
                <w:sz w:val="30"/>
                <w:szCs w:val="30"/>
              </w:rPr>
            </w:pPr>
          </w:p>
        </w:tc>
        <w:tc>
          <w:tcPr>
            <w:tcW w:w="851" w:type="dxa"/>
            <w:noWrap w:val="0"/>
            <w:vAlign w:val="center"/>
          </w:tcPr>
          <w:p w14:paraId="4BED5740">
            <w:pPr>
              <w:jc w:val="center"/>
              <w:rPr>
                <w:rFonts w:hint="eastAsia" w:ascii="华文中宋" w:hAnsi="华文中宋" w:eastAsia="华文中宋" w:cs="华文中宋"/>
                <w:color w:val="auto"/>
                <w:sz w:val="30"/>
                <w:szCs w:val="30"/>
              </w:rPr>
            </w:pPr>
          </w:p>
        </w:tc>
        <w:tc>
          <w:tcPr>
            <w:tcW w:w="1350" w:type="dxa"/>
            <w:noWrap w:val="0"/>
            <w:vAlign w:val="center"/>
          </w:tcPr>
          <w:p w14:paraId="617CFB2A">
            <w:pPr>
              <w:jc w:val="center"/>
              <w:rPr>
                <w:rFonts w:hint="eastAsia" w:ascii="华文中宋" w:hAnsi="华文中宋" w:eastAsia="华文中宋" w:cs="华文中宋"/>
                <w:color w:val="auto"/>
                <w:sz w:val="30"/>
                <w:szCs w:val="30"/>
              </w:rPr>
            </w:pPr>
          </w:p>
        </w:tc>
        <w:tc>
          <w:tcPr>
            <w:tcW w:w="852" w:type="dxa"/>
            <w:noWrap w:val="0"/>
            <w:vAlign w:val="center"/>
          </w:tcPr>
          <w:p w14:paraId="43E9FAA2">
            <w:pPr>
              <w:jc w:val="center"/>
              <w:rPr>
                <w:rFonts w:hint="eastAsia" w:ascii="华文中宋" w:hAnsi="华文中宋" w:eastAsia="华文中宋" w:cs="华文中宋"/>
                <w:color w:val="auto"/>
                <w:sz w:val="30"/>
                <w:szCs w:val="30"/>
              </w:rPr>
            </w:pPr>
          </w:p>
        </w:tc>
      </w:tr>
      <w:tr w14:paraId="390B2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488CD65B">
            <w:pPr>
              <w:jc w:val="center"/>
              <w:rPr>
                <w:rFonts w:hint="eastAsia" w:ascii="华文中宋" w:hAnsi="华文中宋" w:eastAsia="华文中宋" w:cs="华文中宋"/>
                <w:color w:val="auto"/>
                <w:sz w:val="30"/>
                <w:szCs w:val="30"/>
              </w:rPr>
            </w:pPr>
          </w:p>
        </w:tc>
        <w:tc>
          <w:tcPr>
            <w:tcW w:w="1276" w:type="dxa"/>
            <w:noWrap w:val="0"/>
            <w:vAlign w:val="center"/>
          </w:tcPr>
          <w:p w14:paraId="16E32390">
            <w:pPr>
              <w:jc w:val="center"/>
              <w:rPr>
                <w:rFonts w:hint="eastAsia" w:ascii="华文中宋" w:hAnsi="华文中宋" w:eastAsia="华文中宋" w:cs="华文中宋"/>
                <w:color w:val="auto"/>
                <w:sz w:val="30"/>
                <w:szCs w:val="30"/>
              </w:rPr>
            </w:pPr>
          </w:p>
        </w:tc>
        <w:tc>
          <w:tcPr>
            <w:tcW w:w="1418" w:type="dxa"/>
            <w:noWrap w:val="0"/>
            <w:vAlign w:val="center"/>
          </w:tcPr>
          <w:p w14:paraId="27DD16BF">
            <w:pPr>
              <w:jc w:val="center"/>
              <w:rPr>
                <w:rFonts w:hint="eastAsia" w:ascii="华文中宋" w:hAnsi="华文中宋" w:eastAsia="华文中宋" w:cs="华文中宋"/>
                <w:color w:val="auto"/>
                <w:sz w:val="30"/>
                <w:szCs w:val="30"/>
              </w:rPr>
            </w:pPr>
          </w:p>
        </w:tc>
        <w:tc>
          <w:tcPr>
            <w:tcW w:w="940" w:type="dxa"/>
            <w:noWrap w:val="0"/>
            <w:vAlign w:val="center"/>
          </w:tcPr>
          <w:p w14:paraId="01B37DCF">
            <w:pPr>
              <w:jc w:val="center"/>
              <w:rPr>
                <w:rFonts w:hint="eastAsia" w:ascii="华文中宋" w:hAnsi="华文中宋" w:eastAsia="华文中宋" w:cs="华文中宋"/>
                <w:color w:val="auto"/>
                <w:sz w:val="30"/>
                <w:szCs w:val="30"/>
              </w:rPr>
            </w:pPr>
          </w:p>
        </w:tc>
        <w:tc>
          <w:tcPr>
            <w:tcW w:w="851" w:type="dxa"/>
            <w:noWrap w:val="0"/>
            <w:vAlign w:val="center"/>
          </w:tcPr>
          <w:p w14:paraId="40C48840">
            <w:pPr>
              <w:jc w:val="center"/>
              <w:rPr>
                <w:rFonts w:hint="eastAsia" w:ascii="华文中宋" w:hAnsi="华文中宋" w:eastAsia="华文中宋" w:cs="华文中宋"/>
                <w:color w:val="auto"/>
                <w:sz w:val="30"/>
                <w:szCs w:val="30"/>
              </w:rPr>
            </w:pPr>
          </w:p>
        </w:tc>
        <w:tc>
          <w:tcPr>
            <w:tcW w:w="1044" w:type="dxa"/>
            <w:noWrap w:val="0"/>
            <w:vAlign w:val="center"/>
          </w:tcPr>
          <w:p w14:paraId="0F7C2879">
            <w:pPr>
              <w:jc w:val="center"/>
              <w:rPr>
                <w:rFonts w:hint="eastAsia" w:ascii="华文中宋" w:hAnsi="华文中宋" w:eastAsia="华文中宋" w:cs="华文中宋"/>
                <w:color w:val="auto"/>
                <w:sz w:val="30"/>
                <w:szCs w:val="30"/>
              </w:rPr>
            </w:pPr>
          </w:p>
        </w:tc>
        <w:tc>
          <w:tcPr>
            <w:tcW w:w="992" w:type="dxa"/>
            <w:noWrap w:val="0"/>
            <w:vAlign w:val="center"/>
          </w:tcPr>
          <w:p w14:paraId="6551AD72">
            <w:pPr>
              <w:jc w:val="center"/>
              <w:rPr>
                <w:rFonts w:hint="eastAsia" w:ascii="华文中宋" w:hAnsi="华文中宋" w:eastAsia="华文中宋" w:cs="华文中宋"/>
                <w:color w:val="auto"/>
                <w:sz w:val="30"/>
                <w:szCs w:val="30"/>
              </w:rPr>
            </w:pPr>
          </w:p>
        </w:tc>
        <w:tc>
          <w:tcPr>
            <w:tcW w:w="851" w:type="dxa"/>
            <w:noWrap w:val="0"/>
            <w:vAlign w:val="center"/>
          </w:tcPr>
          <w:p w14:paraId="42101C47">
            <w:pPr>
              <w:jc w:val="center"/>
              <w:rPr>
                <w:rFonts w:hint="eastAsia" w:ascii="华文中宋" w:hAnsi="华文中宋" w:eastAsia="华文中宋" w:cs="华文中宋"/>
                <w:color w:val="auto"/>
                <w:sz w:val="30"/>
                <w:szCs w:val="30"/>
              </w:rPr>
            </w:pPr>
          </w:p>
        </w:tc>
        <w:tc>
          <w:tcPr>
            <w:tcW w:w="1350" w:type="dxa"/>
            <w:noWrap w:val="0"/>
            <w:vAlign w:val="center"/>
          </w:tcPr>
          <w:p w14:paraId="633016FC">
            <w:pPr>
              <w:jc w:val="center"/>
              <w:rPr>
                <w:rFonts w:hint="eastAsia" w:ascii="华文中宋" w:hAnsi="华文中宋" w:eastAsia="华文中宋" w:cs="华文中宋"/>
                <w:color w:val="auto"/>
                <w:sz w:val="30"/>
                <w:szCs w:val="30"/>
              </w:rPr>
            </w:pPr>
          </w:p>
        </w:tc>
        <w:tc>
          <w:tcPr>
            <w:tcW w:w="852" w:type="dxa"/>
            <w:noWrap w:val="0"/>
            <w:vAlign w:val="center"/>
          </w:tcPr>
          <w:p w14:paraId="078F98DB">
            <w:pPr>
              <w:jc w:val="center"/>
              <w:rPr>
                <w:rFonts w:hint="eastAsia" w:ascii="华文中宋" w:hAnsi="华文中宋" w:eastAsia="华文中宋" w:cs="华文中宋"/>
                <w:color w:val="auto"/>
                <w:sz w:val="30"/>
                <w:szCs w:val="30"/>
              </w:rPr>
            </w:pPr>
          </w:p>
        </w:tc>
      </w:tr>
      <w:tr w14:paraId="0F23A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183B1904">
            <w:pPr>
              <w:jc w:val="center"/>
              <w:rPr>
                <w:rFonts w:hint="eastAsia" w:ascii="华文中宋" w:hAnsi="华文中宋" w:eastAsia="华文中宋" w:cs="华文中宋"/>
                <w:color w:val="auto"/>
                <w:sz w:val="30"/>
                <w:szCs w:val="30"/>
              </w:rPr>
            </w:pPr>
          </w:p>
        </w:tc>
        <w:tc>
          <w:tcPr>
            <w:tcW w:w="1276" w:type="dxa"/>
            <w:noWrap w:val="0"/>
            <w:vAlign w:val="center"/>
          </w:tcPr>
          <w:p w14:paraId="1A5D5871">
            <w:pPr>
              <w:jc w:val="center"/>
              <w:rPr>
                <w:rFonts w:hint="eastAsia" w:ascii="华文中宋" w:hAnsi="华文中宋" w:eastAsia="华文中宋" w:cs="华文中宋"/>
                <w:color w:val="auto"/>
                <w:sz w:val="30"/>
                <w:szCs w:val="30"/>
              </w:rPr>
            </w:pPr>
          </w:p>
        </w:tc>
        <w:tc>
          <w:tcPr>
            <w:tcW w:w="1418" w:type="dxa"/>
            <w:noWrap w:val="0"/>
            <w:vAlign w:val="center"/>
          </w:tcPr>
          <w:p w14:paraId="4C3CFB18">
            <w:pPr>
              <w:jc w:val="center"/>
              <w:rPr>
                <w:rFonts w:hint="eastAsia" w:ascii="华文中宋" w:hAnsi="华文中宋" w:eastAsia="华文中宋" w:cs="华文中宋"/>
                <w:color w:val="auto"/>
                <w:sz w:val="30"/>
                <w:szCs w:val="30"/>
              </w:rPr>
            </w:pPr>
          </w:p>
        </w:tc>
        <w:tc>
          <w:tcPr>
            <w:tcW w:w="940" w:type="dxa"/>
            <w:noWrap w:val="0"/>
            <w:vAlign w:val="center"/>
          </w:tcPr>
          <w:p w14:paraId="512E7F70">
            <w:pPr>
              <w:jc w:val="center"/>
              <w:rPr>
                <w:rFonts w:hint="eastAsia" w:ascii="华文中宋" w:hAnsi="华文中宋" w:eastAsia="华文中宋" w:cs="华文中宋"/>
                <w:color w:val="auto"/>
                <w:sz w:val="30"/>
                <w:szCs w:val="30"/>
              </w:rPr>
            </w:pPr>
          </w:p>
        </w:tc>
        <w:tc>
          <w:tcPr>
            <w:tcW w:w="851" w:type="dxa"/>
            <w:noWrap w:val="0"/>
            <w:vAlign w:val="center"/>
          </w:tcPr>
          <w:p w14:paraId="6A7974C9">
            <w:pPr>
              <w:jc w:val="center"/>
              <w:rPr>
                <w:rFonts w:hint="eastAsia" w:ascii="华文中宋" w:hAnsi="华文中宋" w:eastAsia="华文中宋" w:cs="华文中宋"/>
                <w:color w:val="auto"/>
                <w:sz w:val="30"/>
                <w:szCs w:val="30"/>
              </w:rPr>
            </w:pPr>
          </w:p>
        </w:tc>
        <w:tc>
          <w:tcPr>
            <w:tcW w:w="1044" w:type="dxa"/>
            <w:noWrap w:val="0"/>
            <w:vAlign w:val="center"/>
          </w:tcPr>
          <w:p w14:paraId="4DE18EC4">
            <w:pPr>
              <w:jc w:val="center"/>
              <w:rPr>
                <w:rFonts w:hint="eastAsia" w:ascii="华文中宋" w:hAnsi="华文中宋" w:eastAsia="华文中宋" w:cs="华文中宋"/>
                <w:color w:val="auto"/>
                <w:sz w:val="30"/>
                <w:szCs w:val="30"/>
              </w:rPr>
            </w:pPr>
          </w:p>
        </w:tc>
        <w:tc>
          <w:tcPr>
            <w:tcW w:w="992" w:type="dxa"/>
            <w:noWrap w:val="0"/>
            <w:vAlign w:val="center"/>
          </w:tcPr>
          <w:p w14:paraId="10669311">
            <w:pPr>
              <w:jc w:val="center"/>
              <w:rPr>
                <w:rFonts w:hint="eastAsia" w:ascii="华文中宋" w:hAnsi="华文中宋" w:eastAsia="华文中宋" w:cs="华文中宋"/>
                <w:color w:val="auto"/>
                <w:sz w:val="30"/>
                <w:szCs w:val="30"/>
              </w:rPr>
            </w:pPr>
          </w:p>
        </w:tc>
        <w:tc>
          <w:tcPr>
            <w:tcW w:w="851" w:type="dxa"/>
            <w:noWrap w:val="0"/>
            <w:vAlign w:val="center"/>
          </w:tcPr>
          <w:p w14:paraId="45BF42B8">
            <w:pPr>
              <w:jc w:val="center"/>
              <w:rPr>
                <w:rFonts w:hint="eastAsia" w:ascii="华文中宋" w:hAnsi="华文中宋" w:eastAsia="华文中宋" w:cs="华文中宋"/>
                <w:color w:val="auto"/>
                <w:sz w:val="30"/>
                <w:szCs w:val="30"/>
              </w:rPr>
            </w:pPr>
          </w:p>
        </w:tc>
        <w:tc>
          <w:tcPr>
            <w:tcW w:w="1350" w:type="dxa"/>
            <w:noWrap w:val="0"/>
            <w:vAlign w:val="center"/>
          </w:tcPr>
          <w:p w14:paraId="244A2B4B">
            <w:pPr>
              <w:jc w:val="center"/>
              <w:rPr>
                <w:rFonts w:hint="eastAsia" w:ascii="华文中宋" w:hAnsi="华文中宋" w:eastAsia="华文中宋" w:cs="华文中宋"/>
                <w:color w:val="auto"/>
                <w:sz w:val="30"/>
                <w:szCs w:val="30"/>
              </w:rPr>
            </w:pPr>
          </w:p>
        </w:tc>
        <w:tc>
          <w:tcPr>
            <w:tcW w:w="852" w:type="dxa"/>
            <w:noWrap w:val="0"/>
            <w:vAlign w:val="center"/>
          </w:tcPr>
          <w:p w14:paraId="01407AB5">
            <w:pPr>
              <w:jc w:val="center"/>
              <w:rPr>
                <w:rFonts w:hint="eastAsia" w:ascii="华文中宋" w:hAnsi="华文中宋" w:eastAsia="华文中宋" w:cs="华文中宋"/>
                <w:color w:val="auto"/>
                <w:sz w:val="30"/>
                <w:szCs w:val="30"/>
              </w:rPr>
            </w:pPr>
          </w:p>
        </w:tc>
      </w:tr>
      <w:tr w14:paraId="66F77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0E0B2A69">
            <w:pPr>
              <w:jc w:val="center"/>
              <w:rPr>
                <w:rFonts w:hint="eastAsia" w:ascii="华文中宋" w:hAnsi="华文中宋" w:eastAsia="华文中宋" w:cs="华文中宋"/>
                <w:color w:val="auto"/>
                <w:sz w:val="30"/>
                <w:szCs w:val="30"/>
              </w:rPr>
            </w:pPr>
          </w:p>
        </w:tc>
        <w:tc>
          <w:tcPr>
            <w:tcW w:w="1276" w:type="dxa"/>
            <w:noWrap w:val="0"/>
            <w:vAlign w:val="center"/>
          </w:tcPr>
          <w:p w14:paraId="5B22261E">
            <w:pPr>
              <w:jc w:val="center"/>
              <w:rPr>
                <w:rFonts w:hint="eastAsia" w:ascii="华文中宋" w:hAnsi="华文中宋" w:eastAsia="华文中宋" w:cs="华文中宋"/>
                <w:color w:val="auto"/>
                <w:sz w:val="30"/>
                <w:szCs w:val="30"/>
              </w:rPr>
            </w:pPr>
          </w:p>
        </w:tc>
        <w:tc>
          <w:tcPr>
            <w:tcW w:w="1418" w:type="dxa"/>
            <w:noWrap w:val="0"/>
            <w:vAlign w:val="center"/>
          </w:tcPr>
          <w:p w14:paraId="187D7F8C">
            <w:pPr>
              <w:jc w:val="center"/>
              <w:rPr>
                <w:rFonts w:hint="eastAsia" w:ascii="华文中宋" w:hAnsi="华文中宋" w:eastAsia="华文中宋" w:cs="华文中宋"/>
                <w:color w:val="auto"/>
                <w:sz w:val="30"/>
                <w:szCs w:val="30"/>
              </w:rPr>
            </w:pPr>
          </w:p>
        </w:tc>
        <w:tc>
          <w:tcPr>
            <w:tcW w:w="940" w:type="dxa"/>
            <w:noWrap w:val="0"/>
            <w:vAlign w:val="center"/>
          </w:tcPr>
          <w:p w14:paraId="30A04727">
            <w:pPr>
              <w:jc w:val="center"/>
              <w:rPr>
                <w:rFonts w:hint="eastAsia" w:ascii="华文中宋" w:hAnsi="华文中宋" w:eastAsia="华文中宋" w:cs="华文中宋"/>
                <w:color w:val="auto"/>
                <w:sz w:val="30"/>
                <w:szCs w:val="30"/>
              </w:rPr>
            </w:pPr>
          </w:p>
        </w:tc>
        <w:tc>
          <w:tcPr>
            <w:tcW w:w="851" w:type="dxa"/>
            <w:noWrap w:val="0"/>
            <w:vAlign w:val="center"/>
          </w:tcPr>
          <w:p w14:paraId="4DADE575">
            <w:pPr>
              <w:jc w:val="center"/>
              <w:rPr>
                <w:rFonts w:hint="eastAsia" w:ascii="华文中宋" w:hAnsi="华文中宋" w:eastAsia="华文中宋" w:cs="华文中宋"/>
                <w:color w:val="auto"/>
                <w:sz w:val="30"/>
                <w:szCs w:val="30"/>
              </w:rPr>
            </w:pPr>
          </w:p>
        </w:tc>
        <w:tc>
          <w:tcPr>
            <w:tcW w:w="1044" w:type="dxa"/>
            <w:noWrap w:val="0"/>
            <w:vAlign w:val="center"/>
          </w:tcPr>
          <w:p w14:paraId="65BA005B">
            <w:pPr>
              <w:jc w:val="center"/>
              <w:rPr>
                <w:rFonts w:hint="eastAsia" w:ascii="华文中宋" w:hAnsi="华文中宋" w:eastAsia="华文中宋" w:cs="华文中宋"/>
                <w:color w:val="auto"/>
                <w:sz w:val="30"/>
                <w:szCs w:val="30"/>
              </w:rPr>
            </w:pPr>
          </w:p>
        </w:tc>
        <w:tc>
          <w:tcPr>
            <w:tcW w:w="992" w:type="dxa"/>
            <w:noWrap w:val="0"/>
            <w:vAlign w:val="center"/>
          </w:tcPr>
          <w:p w14:paraId="68AE66D3">
            <w:pPr>
              <w:jc w:val="center"/>
              <w:rPr>
                <w:rFonts w:hint="eastAsia" w:ascii="华文中宋" w:hAnsi="华文中宋" w:eastAsia="华文中宋" w:cs="华文中宋"/>
                <w:color w:val="auto"/>
                <w:sz w:val="30"/>
                <w:szCs w:val="30"/>
              </w:rPr>
            </w:pPr>
          </w:p>
        </w:tc>
        <w:tc>
          <w:tcPr>
            <w:tcW w:w="851" w:type="dxa"/>
            <w:noWrap w:val="0"/>
            <w:vAlign w:val="center"/>
          </w:tcPr>
          <w:p w14:paraId="04E9A3ED">
            <w:pPr>
              <w:jc w:val="center"/>
              <w:rPr>
                <w:rFonts w:hint="eastAsia" w:ascii="华文中宋" w:hAnsi="华文中宋" w:eastAsia="华文中宋" w:cs="华文中宋"/>
                <w:color w:val="auto"/>
                <w:sz w:val="30"/>
                <w:szCs w:val="30"/>
              </w:rPr>
            </w:pPr>
          </w:p>
        </w:tc>
        <w:tc>
          <w:tcPr>
            <w:tcW w:w="1350" w:type="dxa"/>
            <w:noWrap w:val="0"/>
            <w:vAlign w:val="center"/>
          </w:tcPr>
          <w:p w14:paraId="70EE50D7">
            <w:pPr>
              <w:jc w:val="center"/>
              <w:rPr>
                <w:rFonts w:hint="eastAsia" w:ascii="华文中宋" w:hAnsi="华文中宋" w:eastAsia="华文中宋" w:cs="华文中宋"/>
                <w:color w:val="auto"/>
                <w:sz w:val="30"/>
                <w:szCs w:val="30"/>
              </w:rPr>
            </w:pPr>
          </w:p>
        </w:tc>
        <w:tc>
          <w:tcPr>
            <w:tcW w:w="852" w:type="dxa"/>
            <w:noWrap w:val="0"/>
            <w:vAlign w:val="center"/>
          </w:tcPr>
          <w:p w14:paraId="601C305A">
            <w:pPr>
              <w:jc w:val="center"/>
              <w:rPr>
                <w:rFonts w:hint="eastAsia" w:ascii="华文中宋" w:hAnsi="华文中宋" w:eastAsia="华文中宋" w:cs="华文中宋"/>
                <w:color w:val="auto"/>
                <w:sz w:val="30"/>
                <w:szCs w:val="30"/>
              </w:rPr>
            </w:pPr>
          </w:p>
        </w:tc>
      </w:tr>
      <w:tr w14:paraId="283D0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48C1C7CD">
            <w:pPr>
              <w:jc w:val="center"/>
              <w:rPr>
                <w:rFonts w:hint="eastAsia" w:ascii="华文中宋" w:hAnsi="华文中宋" w:eastAsia="华文中宋" w:cs="华文中宋"/>
                <w:color w:val="auto"/>
                <w:sz w:val="30"/>
                <w:szCs w:val="30"/>
              </w:rPr>
            </w:pPr>
          </w:p>
        </w:tc>
        <w:tc>
          <w:tcPr>
            <w:tcW w:w="1276" w:type="dxa"/>
            <w:noWrap w:val="0"/>
            <w:vAlign w:val="center"/>
          </w:tcPr>
          <w:p w14:paraId="6935F543">
            <w:pPr>
              <w:jc w:val="center"/>
              <w:rPr>
                <w:rFonts w:hint="eastAsia" w:ascii="华文中宋" w:hAnsi="华文中宋" w:eastAsia="华文中宋" w:cs="华文中宋"/>
                <w:color w:val="auto"/>
                <w:sz w:val="30"/>
                <w:szCs w:val="30"/>
              </w:rPr>
            </w:pPr>
          </w:p>
        </w:tc>
        <w:tc>
          <w:tcPr>
            <w:tcW w:w="1418" w:type="dxa"/>
            <w:noWrap w:val="0"/>
            <w:vAlign w:val="center"/>
          </w:tcPr>
          <w:p w14:paraId="41A63030">
            <w:pPr>
              <w:jc w:val="center"/>
              <w:rPr>
                <w:rFonts w:hint="eastAsia" w:ascii="华文中宋" w:hAnsi="华文中宋" w:eastAsia="华文中宋" w:cs="华文中宋"/>
                <w:color w:val="auto"/>
                <w:sz w:val="30"/>
                <w:szCs w:val="30"/>
              </w:rPr>
            </w:pPr>
          </w:p>
        </w:tc>
        <w:tc>
          <w:tcPr>
            <w:tcW w:w="940" w:type="dxa"/>
            <w:noWrap w:val="0"/>
            <w:vAlign w:val="center"/>
          </w:tcPr>
          <w:p w14:paraId="2B844448">
            <w:pPr>
              <w:jc w:val="center"/>
              <w:rPr>
                <w:rFonts w:hint="eastAsia" w:ascii="华文中宋" w:hAnsi="华文中宋" w:eastAsia="华文中宋" w:cs="华文中宋"/>
                <w:color w:val="auto"/>
                <w:sz w:val="30"/>
                <w:szCs w:val="30"/>
              </w:rPr>
            </w:pPr>
          </w:p>
        </w:tc>
        <w:tc>
          <w:tcPr>
            <w:tcW w:w="851" w:type="dxa"/>
            <w:noWrap w:val="0"/>
            <w:vAlign w:val="center"/>
          </w:tcPr>
          <w:p w14:paraId="6C901BEA">
            <w:pPr>
              <w:jc w:val="center"/>
              <w:rPr>
                <w:rFonts w:hint="eastAsia" w:ascii="华文中宋" w:hAnsi="华文中宋" w:eastAsia="华文中宋" w:cs="华文中宋"/>
                <w:color w:val="auto"/>
                <w:sz w:val="30"/>
                <w:szCs w:val="30"/>
              </w:rPr>
            </w:pPr>
          </w:p>
        </w:tc>
        <w:tc>
          <w:tcPr>
            <w:tcW w:w="1044" w:type="dxa"/>
            <w:noWrap w:val="0"/>
            <w:vAlign w:val="center"/>
          </w:tcPr>
          <w:p w14:paraId="6029829B">
            <w:pPr>
              <w:jc w:val="center"/>
              <w:rPr>
                <w:rFonts w:hint="eastAsia" w:ascii="华文中宋" w:hAnsi="华文中宋" w:eastAsia="华文中宋" w:cs="华文中宋"/>
                <w:color w:val="auto"/>
                <w:sz w:val="30"/>
                <w:szCs w:val="30"/>
              </w:rPr>
            </w:pPr>
          </w:p>
        </w:tc>
        <w:tc>
          <w:tcPr>
            <w:tcW w:w="992" w:type="dxa"/>
            <w:noWrap w:val="0"/>
            <w:vAlign w:val="center"/>
          </w:tcPr>
          <w:p w14:paraId="35D277EE">
            <w:pPr>
              <w:jc w:val="center"/>
              <w:rPr>
                <w:rFonts w:hint="eastAsia" w:ascii="华文中宋" w:hAnsi="华文中宋" w:eastAsia="华文中宋" w:cs="华文中宋"/>
                <w:color w:val="auto"/>
                <w:sz w:val="30"/>
                <w:szCs w:val="30"/>
              </w:rPr>
            </w:pPr>
          </w:p>
        </w:tc>
        <w:tc>
          <w:tcPr>
            <w:tcW w:w="851" w:type="dxa"/>
            <w:noWrap w:val="0"/>
            <w:vAlign w:val="center"/>
          </w:tcPr>
          <w:p w14:paraId="4D20B4D8">
            <w:pPr>
              <w:jc w:val="center"/>
              <w:rPr>
                <w:rFonts w:hint="eastAsia" w:ascii="华文中宋" w:hAnsi="华文中宋" w:eastAsia="华文中宋" w:cs="华文中宋"/>
                <w:color w:val="auto"/>
                <w:sz w:val="30"/>
                <w:szCs w:val="30"/>
              </w:rPr>
            </w:pPr>
          </w:p>
        </w:tc>
        <w:tc>
          <w:tcPr>
            <w:tcW w:w="1350" w:type="dxa"/>
            <w:noWrap w:val="0"/>
            <w:vAlign w:val="center"/>
          </w:tcPr>
          <w:p w14:paraId="16F0D715">
            <w:pPr>
              <w:jc w:val="center"/>
              <w:rPr>
                <w:rFonts w:hint="eastAsia" w:ascii="华文中宋" w:hAnsi="华文中宋" w:eastAsia="华文中宋" w:cs="华文中宋"/>
                <w:color w:val="auto"/>
                <w:sz w:val="30"/>
                <w:szCs w:val="30"/>
              </w:rPr>
            </w:pPr>
          </w:p>
        </w:tc>
        <w:tc>
          <w:tcPr>
            <w:tcW w:w="852" w:type="dxa"/>
            <w:noWrap w:val="0"/>
            <w:vAlign w:val="center"/>
          </w:tcPr>
          <w:p w14:paraId="7FF98045">
            <w:pPr>
              <w:jc w:val="center"/>
              <w:rPr>
                <w:rFonts w:hint="eastAsia" w:ascii="华文中宋" w:hAnsi="华文中宋" w:eastAsia="华文中宋" w:cs="华文中宋"/>
                <w:color w:val="auto"/>
                <w:sz w:val="30"/>
                <w:szCs w:val="30"/>
              </w:rPr>
            </w:pPr>
          </w:p>
        </w:tc>
      </w:tr>
      <w:tr w14:paraId="4374D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089B44D4">
            <w:pPr>
              <w:jc w:val="center"/>
              <w:rPr>
                <w:rFonts w:hint="eastAsia" w:ascii="华文中宋" w:hAnsi="华文中宋" w:eastAsia="华文中宋" w:cs="华文中宋"/>
                <w:color w:val="auto"/>
                <w:sz w:val="30"/>
                <w:szCs w:val="30"/>
              </w:rPr>
            </w:pPr>
          </w:p>
        </w:tc>
        <w:tc>
          <w:tcPr>
            <w:tcW w:w="1276" w:type="dxa"/>
            <w:noWrap w:val="0"/>
            <w:vAlign w:val="center"/>
          </w:tcPr>
          <w:p w14:paraId="5AB9E57B">
            <w:pPr>
              <w:jc w:val="center"/>
              <w:rPr>
                <w:rFonts w:hint="eastAsia" w:ascii="华文中宋" w:hAnsi="华文中宋" w:eastAsia="华文中宋" w:cs="华文中宋"/>
                <w:color w:val="auto"/>
                <w:sz w:val="30"/>
                <w:szCs w:val="30"/>
              </w:rPr>
            </w:pPr>
          </w:p>
        </w:tc>
        <w:tc>
          <w:tcPr>
            <w:tcW w:w="1418" w:type="dxa"/>
            <w:noWrap w:val="0"/>
            <w:vAlign w:val="center"/>
          </w:tcPr>
          <w:p w14:paraId="50BE6332">
            <w:pPr>
              <w:jc w:val="center"/>
              <w:rPr>
                <w:rFonts w:hint="eastAsia" w:ascii="华文中宋" w:hAnsi="华文中宋" w:eastAsia="华文中宋" w:cs="华文中宋"/>
                <w:color w:val="auto"/>
                <w:sz w:val="30"/>
                <w:szCs w:val="30"/>
              </w:rPr>
            </w:pPr>
          </w:p>
        </w:tc>
        <w:tc>
          <w:tcPr>
            <w:tcW w:w="940" w:type="dxa"/>
            <w:noWrap w:val="0"/>
            <w:vAlign w:val="center"/>
          </w:tcPr>
          <w:p w14:paraId="4542DA93">
            <w:pPr>
              <w:jc w:val="center"/>
              <w:rPr>
                <w:rFonts w:hint="eastAsia" w:ascii="华文中宋" w:hAnsi="华文中宋" w:eastAsia="华文中宋" w:cs="华文中宋"/>
                <w:color w:val="auto"/>
                <w:sz w:val="30"/>
                <w:szCs w:val="30"/>
              </w:rPr>
            </w:pPr>
          </w:p>
        </w:tc>
        <w:tc>
          <w:tcPr>
            <w:tcW w:w="851" w:type="dxa"/>
            <w:noWrap w:val="0"/>
            <w:vAlign w:val="center"/>
          </w:tcPr>
          <w:p w14:paraId="5B1ED511">
            <w:pPr>
              <w:jc w:val="center"/>
              <w:rPr>
                <w:rFonts w:hint="eastAsia" w:ascii="华文中宋" w:hAnsi="华文中宋" w:eastAsia="华文中宋" w:cs="华文中宋"/>
                <w:color w:val="auto"/>
                <w:sz w:val="30"/>
                <w:szCs w:val="30"/>
              </w:rPr>
            </w:pPr>
          </w:p>
        </w:tc>
        <w:tc>
          <w:tcPr>
            <w:tcW w:w="1044" w:type="dxa"/>
            <w:noWrap w:val="0"/>
            <w:vAlign w:val="center"/>
          </w:tcPr>
          <w:p w14:paraId="145260C4">
            <w:pPr>
              <w:jc w:val="center"/>
              <w:rPr>
                <w:rFonts w:hint="eastAsia" w:ascii="华文中宋" w:hAnsi="华文中宋" w:eastAsia="华文中宋" w:cs="华文中宋"/>
                <w:color w:val="auto"/>
                <w:sz w:val="30"/>
                <w:szCs w:val="30"/>
              </w:rPr>
            </w:pPr>
          </w:p>
        </w:tc>
        <w:tc>
          <w:tcPr>
            <w:tcW w:w="992" w:type="dxa"/>
            <w:noWrap w:val="0"/>
            <w:vAlign w:val="center"/>
          </w:tcPr>
          <w:p w14:paraId="49FE1F56">
            <w:pPr>
              <w:jc w:val="center"/>
              <w:rPr>
                <w:rFonts w:hint="eastAsia" w:ascii="华文中宋" w:hAnsi="华文中宋" w:eastAsia="华文中宋" w:cs="华文中宋"/>
                <w:color w:val="auto"/>
                <w:sz w:val="30"/>
                <w:szCs w:val="30"/>
              </w:rPr>
            </w:pPr>
          </w:p>
        </w:tc>
        <w:tc>
          <w:tcPr>
            <w:tcW w:w="851" w:type="dxa"/>
            <w:noWrap w:val="0"/>
            <w:vAlign w:val="center"/>
          </w:tcPr>
          <w:p w14:paraId="56880B4D">
            <w:pPr>
              <w:jc w:val="center"/>
              <w:rPr>
                <w:rFonts w:hint="eastAsia" w:ascii="华文中宋" w:hAnsi="华文中宋" w:eastAsia="华文中宋" w:cs="华文中宋"/>
                <w:color w:val="auto"/>
                <w:sz w:val="30"/>
                <w:szCs w:val="30"/>
              </w:rPr>
            </w:pPr>
          </w:p>
        </w:tc>
        <w:tc>
          <w:tcPr>
            <w:tcW w:w="1350" w:type="dxa"/>
            <w:noWrap w:val="0"/>
            <w:vAlign w:val="center"/>
          </w:tcPr>
          <w:p w14:paraId="03BFBC1C">
            <w:pPr>
              <w:jc w:val="center"/>
              <w:rPr>
                <w:rFonts w:hint="eastAsia" w:ascii="华文中宋" w:hAnsi="华文中宋" w:eastAsia="华文中宋" w:cs="华文中宋"/>
                <w:color w:val="auto"/>
                <w:sz w:val="30"/>
                <w:szCs w:val="30"/>
              </w:rPr>
            </w:pPr>
          </w:p>
        </w:tc>
        <w:tc>
          <w:tcPr>
            <w:tcW w:w="852" w:type="dxa"/>
            <w:noWrap w:val="0"/>
            <w:vAlign w:val="center"/>
          </w:tcPr>
          <w:p w14:paraId="0682387E">
            <w:pPr>
              <w:jc w:val="center"/>
              <w:rPr>
                <w:rFonts w:hint="eastAsia" w:ascii="华文中宋" w:hAnsi="华文中宋" w:eastAsia="华文中宋" w:cs="华文中宋"/>
                <w:color w:val="auto"/>
                <w:sz w:val="30"/>
                <w:szCs w:val="30"/>
              </w:rPr>
            </w:pPr>
          </w:p>
        </w:tc>
      </w:tr>
    </w:tbl>
    <w:p w14:paraId="4ADB0243">
      <w:pPr>
        <w:spacing w:line="440" w:lineRule="exact"/>
        <w:rPr>
          <w:rFonts w:hint="eastAsia" w:ascii="华文中宋" w:hAnsi="华文中宋" w:eastAsia="华文中宋" w:cs="华文中宋"/>
          <w:color w:val="auto"/>
          <w:sz w:val="30"/>
          <w:szCs w:val="30"/>
        </w:rPr>
        <w:sectPr>
          <w:pgSz w:w="11906" w:h="16838"/>
          <w:pgMar w:top="1418" w:right="1304" w:bottom="1418" w:left="1304" w:header="851" w:footer="992" w:gutter="0"/>
          <w:pgNumType w:fmt="decimal"/>
          <w:cols w:space="720" w:num="1"/>
          <w:titlePg/>
          <w:docGrid w:linePitch="312" w:charSpace="0"/>
        </w:sectPr>
      </w:pPr>
    </w:p>
    <w:p w14:paraId="2A6288C1">
      <w:pPr>
        <w:spacing w:line="440" w:lineRule="exac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w:t>
      </w:r>
      <w:bookmarkStart w:id="1112" w:name="_Toc296347225"/>
      <w:bookmarkStart w:id="1113" w:name="_Toc296503226"/>
      <w:bookmarkStart w:id="1114" w:name="_Toc296944565"/>
      <w:bookmarkStart w:id="1115" w:name="_Toc296891054"/>
      <w:bookmarkStart w:id="1116" w:name="_Toc296891266"/>
      <w:bookmarkStart w:id="1117" w:name="_Toc296346727"/>
      <w:bookmarkStart w:id="1118" w:name="_Toc267261693"/>
      <w:r>
        <w:rPr>
          <w:rFonts w:hint="eastAsia" w:ascii="华文中宋" w:hAnsi="华文中宋" w:eastAsia="华文中宋" w:cs="华文中宋"/>
          <w:color w:val="auto"/>
          <w:sz w:val="24"/>
          <w:szCs w:val="24"/>
        </w:rPr>
        <w:t>件3</w:t>
      </w:r>
      <w:bookmarkEnd w:id="1112"/>
      <w:bookmarkEnd w:id="1113"/>
      <w:bookmarkEnd w:id="1114"/>
      <w:bookmarkEnd w:id="1115"/>
      <w:bookmarkEnd w:id="1116"/>
      <w:bookmarkEnd w:id="1117"/>
      <w:bookmarkEnd w:id="1118"/>
      <w:r>
        <w:rPr>
          <w:rFonts w:hint="eastAsia" w:ascii="华文中宋" w:hAnsi="华文中宋" w:eastAsia="华文中宋" w:cs="华文中宋"/>
          <w:color w:val="auto"/>
          <w:sz w:val="24"/>
          <w:szCs w:val="24"/>
        </w:rPr>
        <w:t>：</w:t>
      </w:r>
    </w:p>
    <w:p w14:paraId="1D2BFB2A">
      <w:pPr>
        <w:spacing w:beforeLines="50" w:afterLines="50" w:line="440" w:lineRule="exact"/>
        <w:jc w:val="center"/>
        <w:rPr>
          <w:rFonts w:hint="eastAsia" w:ascii="华文中宋" w:hAnsi="华文中宋" w:eastAsia="华文中宋" w:cs="华文中宋"/>
          <w:color w:val="auto"/>
          <w:sz w:val="24"/>
          <w:szCs w:val="24"/>
        </w:rPr>
      </w:pPr>
      <w:r>
        <w:rPr>
          <w:rFonts w:hint="eastAsia" w:ascii="华文中宋" w:hAnsi="华文中宋" w:eastAsia="华文中宋" w:cs="华文中宋"/>
          <w:color w:val="auto"/>
          <w:spacing w:val="100"/>
          <w:sz w:val="24"/>
          <w:szCs w:val="24"/>
        </w:rPr>
        <w:t>工程质量保修</w:t>
      </w:r>
      <w:r>
        <w:rPr>
          <w:rFonts w:hint="eastAsia" w:ascii="华文中宋" w:hAnsi="华文中宋" w:eastAsia="华文中宋" w:cs="华文中宋"/>
          <w:color w:val="auto"/>
          <w:sz w:val="24"/>
          <w:szCs w:val="24"/>
        </w:rPr>
        <w:t>书</w:t>
      </w:r>
    </w:p>
    <w:p w14:paraId="6B44D91C">
      <w:pPr>
        <w:spacing w:beforeLines="100" w:line="490" w:lineRule="exact"/>
        <w:ind w:right="-27" w:firstLine="470" w:firstLineChars="196"/>
        <w:rPr>
          <w:rFonts w:hint="eastAsia" w:ascii="华文中宋" w:hAnsi="华文中宋" w:eastAsia="华文中宋" w:cs="华文中宋"/>
          <w:b/>
          <w:color w:val="auto"/>
          <w:sz w:val="24"/>
          <w:szCs w:val="24"/>
          <w:u w:val="single"/>
          <w:lang w:val="en-US" w:eastAsia="zh-CN"/>
        </w:rPr>
      </w:pPr>
      <w:r>
        <w:rPr>
          <w:rFonts w:hint="eastAsia" w:ascii="华文中宋" w:hAnsi="华文中宋" w:eastAsia="华文中宋" w:cs="华文中宋"/>
          <w:color w:val="auto"/>
          <w:sz w:val="24"/>
          <w:szCs w:val="24"/>
        </w:rPr>
        <w:t>发包人（全称）：</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p>
    <w:p w14:paraId="030E686C">
      <w:pPr>
        <w:spacing w:line="480" w:lineRule="exact"/>
        <w:ind w:firstLine="480" w:firstLineChars="200"/>
        <w:rPr>
          <w:rFonts w:hint="eastAsia" w:ascii="华文中宋" w:hAnsi="华文中宋" w:eastAsia="华文中宋" w:cs="华文中宋"/>
          <w:b/>
          <w:color w:val="auto"/>
          <w:sz w:val="24"/>
          <w:szCs w:val="24"/>
          <w:u w:val="single"/>
          <w:lang w:val="en-US" w:eastAsia="zh-CN"/>
        </w:rPr>
      </w:pPr>
      <w:r>
        <w:rPr>
          <w:rFonts w:hint="eastAsia" w:ascii="华文中宋" w:hAnsi="华文中宋" w:eastAsia="华文中宋" w:cs="华文中宋"/>
          <w:color w:val="auto"/>
          <w:sz w:val="24"/>
          <w:szCs w:val="24"/>
        </w:rPr>
        <w:t>承包人（全称）：</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p>
    <w:p w14:paraId="7307437D">
      <w:pPr>
        <w:autoSpaceDE w:val="0"/>
        <w:autoSpaceDN w:val="0"/>
        <w:adjustRightInd w:val="0"/>
        <w:spacing w:beforeLines="50" w:line="480" w:lineRule="exact"/>
        <w:ind w:firstLine="470" w:firstLineChars="196"/>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rPr>
        <w:t>发包人和承包人根据</w:t>
      </w:r>
      <w:r>
        <w:rPr>
          <w:rFonts w:hint="eastAsia" w:ascii="华文中宋" w:hAnsi="华文中宋" w:eastAsia="华文中宋" w:cs="华文中宋"/>
          <w:color w:val="auto"/>
          <w:sz w:val="24"/>
          <w:szCs w:val="24"/>
        </w:rPr>
        <w:t>《中华人民共和国建筑法》和《建设工程质量管理条例》，经协商一致就</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（工程全称）签订工程质量保修书。</w:t>
      </w:r>
    </w:p>
    <w:p w14:paraId="717BF000">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一、工程质量保修范围和内容</w:t>
      </w:r>
    </w:p>
    <w:p w14:paraId="0A2CF7A8">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承包人在质量保修期内，按照有关法律规定和合同约定，承担工程质量保修责任。</w:t>
      </w:r>
    </w:p>
    <w:p w14:paraId="6419E591">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27650A92">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二、质量保修期</w:t>
      </w:r>
    </w:p>
    <w:p w14:paraId="3D324A0B">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根据《建设工程质量管理条例》及有关规定，工程的质量保修期如下：</w:t>
      </w:r>
    </w:p>
    <w:p w14:paraId="2EA121F9">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1.地基基础工程和主体结构工程为设计文件规定的工程合理使用年限；</w:t>
      </w:r>
    </w:p>
    <w:p w14:paraId="3693D813">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2.屋面防水工程、有防水要求的卫生间、房间和外墙面的防渗</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年；</w:t>
      </w:r>
    </w:p>
    <w:p w14:paraId="2BBC2E79">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3.装修工程为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年；</w:t>
      </w:r>
    </w:p>
    <w:p w14:paraId="5883A73F">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4.电气管线、给排水管道、设备安装工程为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年；</w:t>
      </w:r>
    </w:p>
    <w:p w14:paraId="7CA0F825">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5.供热与供冷系统为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个采暖期、供冷期；</w:t>
      </w:r>
    </w:p>
    <w:p w14:paraId="375997EC">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6.住宅小区内的给排水设施、道路等配套工程为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年；</w:t>
      </w:r>
    </w:p>
    <w:p w14:paraId="01F3892D">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7.其他项目保修期限约定如下：</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w:t>
      </w:r>
    </w:p>
    <w:p w14:paraId="0DA01893">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质量保修期自工程竣工验收合格之日起计算。</w:t>
      </w:r>
    </w:p>
    <w:p w14:paraId="6FFA232E">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三、缺陷责任期</w:t>
      </w:r>
    </w:p>
    <w:p w14:paraId="7E944906">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工程缺陷责任期为</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个月，缺陷责任期自工程通过竣工验收之日起计算。单位工程先于全部工程进行验收，单位工程缺陷责任期自单位工程验收合格之日起算。</w:t>
      </w:r>
    </w:p>
    <w:p w14:paraId="7D78E481">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缺陷责任期终止后，发包人应退还剩余的质量保证金。</w:t>
      </w:r>
    </w:p>
    <w:p w14:paraId="5E2BB9EA">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四、质量保修责任</w:t>
      </w:r>
    </w:p>
    <w:p w14:paraId="3A575F4D">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1.属于保修范围、内容的项目，承包人应当在接到保修通知之日起7天内派人保修。承包人不在约定期限内派人保修的，发包人可以委托他人修理。</w:t>
      </w:r>
    </w:p>
    <w:p w14:paraId="0A372AE4">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2.发生紧急事故需抢修的，承包人在接到事故通知后，应当立即到达事故现场抢修。</w:t>
      </w:r>
    </w:p>
    <w:p w14:paraId="72188513">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88A89C">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4.质量保修完成后，由发包人组织验收。</w:t>
      </w:r>
    </w:p>
    <w:p w14:paraId="50F634C8">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五、保修费用</w:t>
      </w:r>
    </w:p>
    <w:p w14:paraId="1F0810B7">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保修费用由造成质量缺陷的责任方承担。</w:t>
      </w:r>
    </w:p>
    <w:p w14:paraId="23582874">
      <w:pPr>
        <w:spacing w:line="480" w:lineRule="exact"/>
        <w:ind w:firstLine="470" w:firstLineChars="196"/>
        <w:jc w:val="lef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六、双方约定的其他工程质量保修事项：</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w:t>
      </w:r>
    </w:p>
    <w:p w14:paraId="5C141A18">
      <w:pPr>
        <w:spacing w:line="480" w:lineRule="exact"/>
        <w:ind w:firstLine="470" w:firstLineChars="196"/>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工程质量保修书由发包人、承包人在工程竣工验收前共同签署，作为施工合同附件，其有效期限至保修期满。</w:t>
      </w:r>
    </w:p>
    <w:p w14:paraId="40672BB2">
      <w:pPr>
        <w:spacing w:line="480" w:lineRule="exact"/>
        <w:ind w:firstLine="471" w:firstLineChars="196"/>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（本页以下无正文内容）</w:t>
      </w:r>
    </w:p>
    <w:p w14:paraId="509E309C">
      <w:pPr>
        <w:keepNext w:val="0"/>
        <w:keepLines w:val="0"/>
        <w:pageBreakBefore w:val="0"/>
        <w:widowControl w:val="0"/>
        <w:kinsoku/>
        <w:wordWrap/>
        <w:overflowPunct/>
        <w:topLinePunct w:val="0"/>
        <w:autoSpaceDE/>
        <w:autoSpaceDN/>
        <w:bidi w:val="0"/>
        <w:snapToGrid/>
        <w:spacing w:line="600" w:lineRule="exac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发包人（公章）：</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 xml:space="preserve">   承包人（公章）：</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p>
    <w:p w14:paraId="4AA5C7CA">
      <w:pPr>
        <w:keepNext w:val="0"/>
        <w:keepLines w:val="0"/>
        <w:pageBreakBefore w:val="0"/>
        <w:widowControl w:val="0"/>
        <w:tabs>
          <w:tab w:val="left" w:pos="1260"/>
        </w:tabs>
        <w:kinsoku/>
        <w:wordWrap/>
        <w:overflowPunct/>
        <w:topLinePunct w:val="0"/>
        <w:autoSpaceDE/>
        <w:autoSpaceDN/>
        <w:bidi w:val="0"/>
        <w:adjustRightInd w:val="0"/>
        <w:snapToGrid/>
        <w:spacing w:line="600" w:lineRule="exact"/>
        <w:jc w:val="left"/>
        <w:textAlignment w:val="baseline"/>
        <w:rPr>
          <w:rFonts w:hint="eastAsia" w:ascii="华文中宋" w:hAnsi="华文中宋" w:eastAsia="华文中宋" w:cs="华文中宋"/>
          <w:b/>
          <w:color w:val="auto"/>
          <w:w w:val="75"/>
          <w:sz w:val="24"/>
          <w:szCs w:val="24"/>
          <w:u w:val="single"/>
          <w:lang w:val="en-US" w:eastAsia="zh-CN"/>
        </w:rPr>
      </w:pPr>
      <w:r>
        <w:rPr>
          <w:rFonts w:hint="eastAsia" w:ascii="华文中宋" w:hAnsi="华文中宋" w:eastAsia="华文中宋" w:cs="华文中宋"/>
          <w:color w:val="auto"/>
          <w:sz w:val="24"/>
          <w:szCs w:val="24"/>
        </w:rPr>
        <w:t>地  址：</w:t>
      </w:r>
      <w:r>
        <w:rPr>
          <w:rFonts w:hint="eastAsia" w:ascii="华文中宋" w:hAnsi="华文中宋" w:eastAsia="华文中宋" w:cs="华文中宋"/>
          <w:b/>
          <w:color w:val="auto"/>
          <w:w w:val="75"/>
          <w:sz w:val="24"/>
          <w:szCs w:val="24"/>
          <w:u w:val="single"/>
        </w:rPr>
        <w:t xml:space="preserve">   </w:t>
      </w:r>
      <w:r>
        <w:rPr>
          <w:rFonts w:hint="eastAsia" w:ascii="华文中宋" w:hAnsi="华文中宋" w:eastAsia="华文中宋" w:cs="华文中宋"/>
          <w:b/>
          <w:color w:val="auto"/>
          <w:w w:val="75"/>
          <w:sz w:val="24"/>
          <w:szCs w:val="24"/>
          <w:u w:val="single"/>
          <w:lang w:val="en-US" w:eastAsia="zh-CN"/>
        </w:rPr>
        <w:t xml:space="preserve">                        </w:t>
      </w:r>
      <w:r>
        <w:rPr>
          <w:rFonts w:hint="eastAsia" w:ascii="华文中宋" w:hAnsi="华文中宋" w:eastAsia="华文中宋" w:cs="华文中宋"/>
          <w:b/>
          <w:color w:val="auto"/>
          <w:w w:val="75"/>
          <w:sz w:val="24"/>
          <w:szCs w:val="24"/>
          <w:u w:val="none"/>
          <w:lang w:val="en-US" w:eastAsia="zh-CN"/>
        </w:rPr>
        <w:t xml:space="preserve">       </w:t>
      </w:r>
      <w:r>
        <w:rPr>
          <w:rFonts w:hint="eastAsia" w:ascii="华文中宋" w:hAnsi="华文中宋" w:eastAsia="华文中宋" w:cs="华文中宋"/>
          <w:b/>
          <w:color w:val="auto"/>
          <w:w w:val="75"/>
          <w:sz w:val="24"/>
          <w:szCs w:val="24"/>
        </w:rPr>
        <w:t xml:space="preserve"> </w:t>
      </w:r>
      <w:r>
        <w:rPr>
          <w:rFonts w:hint="eastAsia" w:ascii="华文中宋" w:hAnsi="华文中宋" w:eastAsia="华文中宋" w:cs="华文中宋"/>
          <w:color w:val="auto"/>
          <w:sz w:val="24"/>
          <w:szCs w:val="24"/>
        </w:rPr>
        <w:t>地  址：</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p>
    <w:p w14:paraId="3FBCB0F0">
      <w:pPr>
        <w:keepNext w:val="0"/>
        <w:keepLines w:val="0"/>
        <w:pageBreakBefore w:val="0"/>
        <w:widowControl w:val="0"/>
        <w:kinsoku/>
        <w:wordWrap/>
        <w:overflowPunct/>
        <w:topLinePunct w:val="0"/>
        <w:autoSpaceDE/>
        <w:autoSpaceDN/>
        <w:bidi w:val="0"/>
        <w:snapToGrid/>
        <w:spacing w:line="600" w:lineRule="exac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法定代表人（签字）：</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 xml:space="preserve">    法定代表人（签字）：</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p>
    <w:p w14:paraId="27CF2048">
      <w:pPr>
        <w:keepNext w:val="0"/>
        <w:keepLines w:val="0"/>
        <w:pageBreakBefore w:val="0"/>
        <w:widowControl w:val="0"/>
        <w:kinsoku/>
        <w:wordWrap/>
        <w:overflowPunct/>
        <w:topLinePunct w:val="0"/>
        <w:autoSpaceDE/>
        <w:autoSpaceDN/>
        <w:bidi w:val="0"/>
        <w:snapToGrid/>
        <w:spacing w:line="600" w:lineRule="exac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委托代理人（签字）：</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 xml:space="preserve">    委托代理人（签字）：</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p>
    <w:p w14:paraId="67873D6A">
      <w:pPr>
        <w:keepNext w:val="0"/>
        <w:keepLines w:val="0"/>
        <w:pageBreakBefore w:val="0"/>
        <w:widowControl w:val="0"/>
        <w:kinsoku/>
        <w:wordWrap/>
        <w:overflowPunct/>
        <w:topLinePunct w:val="0"/>
        <w:autoSpaceDE/>
        <w:autoSpaceDN/>
        <w:bidi w:val="0"/>
        <w:snapToGrid/>
        <w:spacing w:line="600" w:lineRule="exact"/>
        <w:rPr>
          <w:rFonts w:hint="eastAsia" w:ascii="华文中宋" w:hAnsi="华文中宋" w:eastAsia="华文中宋" w:cs="华文中宋"/>
          <w:b/>
          <w:color w:val="auto"/>
          <w:sz w:val="24"/>
          <w:szCs w:val="24"/>
          <w:u w:val="single"/>
          <w:lang w:val="en-US" w:eastAsia="zh-CN"/>
        </w:rPr>
      </w:pPr>
      <w:r>
        <w:rPr>
          <w:rFonts w:hint="eastAsia" w:ascii="华文中宋" w:hAnsi="华文中宋" w:eastAsia="华文中宋" w:cs="华文中宋"/>
          <w:color w:val="auto"/>
          <w:sz w:val="24"/>
          <w:szCs w:val="24"/>
        </w:rPr>
        <w:t>电  话：</w:t>
      </w:r>
      <w:r>
        <w:rPr>
          <w:rFonts w:hint="eastAsia" w:ascii="华文中宋" w:hAnsi="华文中宋" w:eastAsia="华文中宋" w:cs="华文中宋"/>
          <w:b/>
          <w:bCs/>
          <w:color w:val="auto"/>
          <w:sz w:val="24"/>
          <w:szCs w:val="24"/>
          <w:u w:val="single"/>
        </w:rPr>
        <w:t xml:space="preserve">   </w:t>
      </w:r>
      <w:r>
        <w:rPr>
          <w:rFonts w:hint="eastAsia" w:ascii="华文中宋" w:hAnsi="华文中宋" w:eastAsia="华文中宋" w:cs="华文中宋"/>
          <w:b/>
          <w:bCs/>
          <w:color w:val="auto"/>
          <w:sz w:val="24"/>
          <w:szCs w:val="24"/>
          <w:u w:val="single"/>
          <w:lang w:val="en-US" w:eastAsia="zh-CN"/>
        </w:rPr>
        <w:t xml:space="preserve">                </w:t>
      </w:r>
      <w:r>
        <w:rPr>
          <w:rFonts w:hint="eastAsia" w:ascii="华文中宋" w:hAnsi="华文中宋" w:eastAsia="华文中宋" w:cs="华文中宋"/>
          <w:color w:val="auto"/>
          <w:sz w:val="24"/>
          <w:szCs w:val="24"/>
        </w:rPr>
        <w:t xml:space="preserve">       电  话：</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u w:val="single"/>
          <w:lang w:val="en-US" w:eastAsia="zh-CN"/>
        </w:rPr>
        <w:t xml:space="preserve">                </w:t>
      </w:r>
    </w:p>
    <w:p w14:paraId="63BDE22F">
      <w:pPr>
        <w:keepNext w:val="0"/>
        <w:keepLines w:val="0"/>
        <w:pageBreakBefore w:val="0"/>
        <w:widowControl w:val="0"/>
        <w:kinsoku/>
        <w:wordWrap/>
        <w:overflowPunct/>
        <w:topLinePunct w:val="0"/>
        <w:autoSpaceDE/>
        <w:autoSpaceDN/>
        <w:bidi w:val="0"/>
        <w:snapToGrid/>
        <w:spacing w:line="600" w:lineRule="exact"/>
        <w:rPr>
          <w:rFonts w:hint="eastAsia" w:ascii="华文中宋" w:hAnsi="华文中宋" w:eastAsia="华文中宋" w:cs="华文中宋"/>
          <w:color w:val="auto"/>
          <w:sz w:val="24"/>
          <w:szCs w:val="24"/>
          <w:highlight w:val="cyan"/>
          <w:u w:val="single"/>
        </w:rPr>
      </w:pPr>
      <w:r>
        <w:rPr>
          <w:rFonts w:hint="eastAsia" w:ascii="华文中宋" w:hAnsi="华文中宋" w:eastAsia="华文中宋" w:cs="华文中宋"/>
          <w:color w:val="auto"/>
          <w:sz w:val="24"/>
          <w:szCs w:val="24"/>
        </w:rPr>
        <w:t>传  真：</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rPr>
        <w:t xml:space="preserve"> 传  真：</w:t>
      </w:r>
      <w:r>
        <w:rPr>
          <w:rFonts w:hint="eastAsia" w:ascii="华文中宋" w:hAnsi="华文中宋" w:eastAsia="华文中宋" w:cs="华文中宋"/>
          <w:color w:val="auto"/>
          <w:sz w:val="24"/>
          <w:szCs w:val="24"/>
          <w:u w:val="single"/>
        </w:rPr>
        <w:t xml:space="preserve">                </w:t>
      </w:r>
    </w:p>
    <w:p w14:paraId="5C043DF5">
      <w:pPr>
        <w:keepNext w:val="0"/>
        <w:keepLines w:val="0"/>
        <w:pageBreakBefore w:val="0"/>
        <w:widowControl w:val="0"/>
        <w:tabs>
          <w:tab w:val="left" w:pos="1260"/>
        </w:tabs>
        <w:kinsoku/>
        <w:wordWrap/>
        <w:overflowPunct/>
        <w:topLinePunct w:val="0"/>
        <w:autoSpaceDE/>
        <w:autoSpaceDN/>
        <w:bidi w:val="0"/>
        <w:adjustRightInd w:val="0"/>
        <w:snapToGrid/>
        <w:spacing w:line="600" w:lineRule="exact"/>
        <w:textAlignment w:val="baseline"/>
        <w:rPr>
          <w:rFonts w:hint="eastAsia" w:ascii="华文中宋" w:hAnsi="华文中宋" w:eastAsia="华文中宋" w:cs="华文中宋"/>
          <w:b/>
          <w:color w:val="auto"/>
          <w:w w:val="75"/>
          <w:sz w:val="24"/>
          <w:szCs w:val="24"/>
          <w:u w:val="single"/>
          <w:lang w:val="en-US" w:eastAsia="zh-CN"/>
        </w:rPr>
      </w:pPr>
      <w:r>
        <w:rPr>
          <w:rFonts w:hint="eastAsia" w:ascii="华文中宋" w:hAnsi="华文中宋" w:eastAsia="华文中宋" w:cs="华文中宋"/>
          <w:color w:val="auto"/>
          <w:sz w:val="24"/>
          <w:szCs w:val="24"/>
        </w:rPr>
        <w:t>开户银行：</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none"/>
        </w:rPr>
        <w:t xml:space="preserve">  </w:t>
      </w:r>
      <w:r>
        <w:rPr>
          <w:rFonts w:hint="eastAsia"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rPr>
        <w:t>开户银行</w:t>
      </w:r>
      <w:r>
        <w:rPr>
          <w:rFonts w:hint="eastAsia" w:ascii="华文中宋" w:hAnsi="华文中宋" w:eastAsia="华文中宋" w:cs="华文中宋"/>
          <w:b/>
          <w:color w:val="auto"/>
          <w:w w:val="75"/>
          <w:sz w:val="24"/>
          <w:szCs w:val="24"/>
          <w:u w:val="single"/>
        </w:rPr>
        <w:t>：</w:t>
      </w:r>
      <w:r>
        <w:rPr>
          <w:rFonts w:hint="eastAsia" w:ascii="华文中宋" w:hAnsi="华文中宋" w:eastAsia="华文中宋" w:cs="华文中宋"/>
          <w:b/>
          <w:color w:val="auto"/>
          <w:w w:val="75"/>
          <w:sz w:val="24"/>
          <w:szCs w:val="24"/>
          <w:u w:val="single"/>
          <w:lang w:val="en-US" w:eastAsia="zh-CN"/>
        </w:rPr>
        <w:t xml:space="preserve">                         </w:t>
      </w:r>
    </w:p>
    <w:p w14:paraId="55D06A33">
      <w:pPr>
        <w:keepNext w:val="0"/>
        <w:keepLines w:val="0"/>
        <w:pageBreakBefore w:val="0"/>
        <w:widowControl w:val="0"/>
        <w:kinsoku/>
        <w:wordWrap/>
        <w:overflowPunct/>
        <w:topLinePunct w:val="0"/>
        <w:autoSpaceDE/>
        <w:autoSpaceDN/>
        <w:bidi w:val="0"/>
        <w:snapToGrid/>
        <w:spacing w:line="600" w:lineRule="exac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账  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none"/>
        </w:rPr>
        <w:t xml:space="preserve">   </w:t>
      </w:r>
      <w:r>
        <w:rPr>
          <w:rFonts w:hint="eastAsia"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rPr>
        <w:t>账  号：</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color w:val="auto"/>
          <w:sz w:val="24"/>
          <w:szCs w:val="24"/>
        </w:rPr>
        <w:t xml:space="preserve"> </w:t>
      </w:r>
    </w:p>
    <w:p w14:paraId="45D1D95B">
      <w:pPr>
        <w:keepNext w:val="0"/>
        <w:keepLines w:val="0"/>
        <w:pageBreakBefore w:val="0"/>
        <w:widowControl w:val="0"/>
        <w:kinsoku/>
        <w:wordWrap/>
        <w:overflowPunct/>
        <w:topLinePunct w:val="0"/>
        <w:autoSpaceDE/>
        <w:autoSpaceDN/>
        <w:bidi w:val="0"/>
        <w:snapToGrid/>
        <w:spacing w:line="600" w:lineRule="exact"/>
        <w:rPr>
          <w:rFonts w:hint="eastAsia" w:ascii="华文中宋" w:hAnsi="华文中宋" w:eastAsia="华文中宋" w:cs="华文中宋"/>
          <w:color w:val="auto"/>
          <w:sz w:val="28"/>
          <w:szCs w:val="28"/>
          <w:u w:val="none"/>
        </w:rPr>
      </w:pPr>
      <w:r>
        <w:rPr>
          <w:rFonts w:hint="eastAsia" w:ascii="华文中宋" w:hAnsi="华文中宋" w:eastAsia="华文中宋" w:cs="华文中宋"/>
          <w:color w:val="auto"/>
          <w:sz w:val="24"/>
          <w:szCs w:val="24"/>
        </w:rPr>
        <w:t>邮政编码：</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lang w:val="en-US" w:eastAsia="zh-CN"/>
        </w:rPr>
        <w:t xml:space="preserve">       </w:t>
      </w:r>
      <w:r>
        <w:rPr>
          <w:rFonts w:hint="eastAsia" w:ascii="华文中宋" w:hAnsi="华文中宋" w:eastAsia="华文中宋" w:cs="华文中宋"/>
          <w:color w:val="auto"/>
          <w:sz w:val="24"/>
          <w:szCs w:val="24"/>
        </w:rPr>
        <w:t xml:space="preserve">  邮政编码：</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b/>
          <w:color w:val="auto"/>
          <w:sz w:val="24"/>
          <w:szCs w:val="24"/>
          <w:u w:val="single"/>
          <w:lang w:val="en-US" w:eastAsia="zh-CN"/>
        </w:rPr>
        <w:t xml:space="preserve">              </w:t>
      </w:r>
      <w:r>
        <w:rPr>
          <w:rFonts w:hint="eastAsia" w:ascii="华文中宋" w:hAnsi="华文中宋" w:eastAsia="华文中宋" w:cs="华文中宋"/>
          <w:b/>
          <w:color w:val="auto"/>
          <w:sz w:val="24"/>
          <w:szCs w:val="24"/>
          <w:u w:val="none"/>
          <w:lang w:val="en-US" w:eastAsia="zh-CN"/>
        </w:rPr>
        <w:t xml:space="preserve">  </w:t>
      </w:r>
      <w:r>
        <w:rPr>
          <w:rFonts w:hint="eastAsia" w:ascii="华文中宋" w:hAnsi="华文中宋" w:eastAsia="华文中宋" w:cs="华文中宋"/>
          <w:b/>
          <w:color w:val="auto"/>
          <w:sz w:val="28"/>
          <w:szCs w:val="28"/>
          <w:u w:val="none"/>
          <w:lang w:val="en-US" w:eastAsia="zh-CN"/>
        </w:rPr>
        <w:t xml:space="preserve">    </w:t>
      </w:r>
      <w:r>
        <w:rPr>
          <w:rFonts w:hint="eastAsia" w:ascii="华文中宋" w:hAnsi="华文中宋" w:eastAsia="华文中宋" w:cs="华文中宋"/>
          <w:color w:val="auto"/>
          <w:sz w:val="28"/>
          <w:szCs w:val="28"/>
          <w:u w:val="none"/>
        </w:rPr>
        <w:t xml:space="preserve"> </w:t>
      </w:r>
    </w:p>
    <w:p w14:paraId="03888015">
      <w:pPr>
        <w:keepNext w:val="0"/>
        <w:keepLines w:val="0"/>
        <w:pageBreakBefore w:val="0"/>
        <w:widowControl w:val="0"/>
        <w:kinsoku/>
        <w:wordWrap/>
        <w:overflowPunct/>
        <w:topLinePunct w:val="0"/>
        <w:autoSpaceDE/>
        <w:autoSpaceDN/>
        <w:bidi w:val="0"/>
        <w:snapToGrid/>
        <w:spacing w:line="600" w:lineRule="exact"/>
        <w:rPr>
          <w:rFonts w:hint="eastAsia" w:ascii="华文中宋" w:hAnsi="华文中宋" w:eastAsia="华文中宋" w:cs="华文中宋"/>
          <w:color w:val="auto"/>
          <w:sz w:val="28"/>
          <w:szCs w:val="28"/>
        </w:rPr>
      </w:pPr>
    </w:p>
    <w:p w14:paraId="68986477">
      <w:pPr>
        <w:pStyle w:val="28"/>
        <w:rPr>
          <w:rFonts w:hint="eastAsia" w:ascii="华文中宋" w:hAnsi="华文中宋" w:eastAsia="华文中宋" w:cs="华文中宋"/>
          <w:color w:val="auto"/>
          <w:sz w:val="28"/>
          <w:szCs w:val="28"/>
        </w:rPr>
      </w:pPr>
    </w:p>
    <w:p w14:paraId="4B883C29">
      <w:pPr>
        <w:pStyle w:val="27"/>
        <w:rPr>
          <w:rFonts w:hint="eastAsia" w:ascii="华文中宋" w:hAnsi="华文中宋" w:eastAsia="华文中宋" w:cs="华文中宋"/>
          <w:color w:val="auto"/>
          <w:sz w:val="28"/>
          <w:szCs w:val="28"/>
        </w:rPr>
      </w:pPr>
    </w:p>
    <w:p w14:paraId="0DE92464">
      <w:pPr>
        <w:pStyle w:val="27"/>
        <w:rPr>
          <w:rFonts w:hint="eastAsia" w:ascii="华文中宋" w:hAnsi="华文中宋" w:eastAsia="华文中宋" w:cs="华文中宋"/>
          <w:color w:val="auto"/>
          <w:sz w:val="28"/>
          <w:szCs w:val="28"/>
        </w:rPr>
      </w:pPr>
    </w:p>
    <w:p w14:paraId="1AA72945">
      <w:pPr>
        <w:spacing w:line="440" w:lineRule="exac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附件4：</w:t>
      </w:r>
    </w:p>
    <w:p w14:paraId="1A28F21D">
      <w:pPr>
        <w:spacing w:beforeLines="50" w:afterLines="50" w:line="440" w:lineRule="exact"/>
        <w:jc w:val="center"/>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主要建设工程文件目录</w:t>
      </w:r>
    </w:p>
    <w:tbl>
      <w:tblPr>
        <w:tblStyle w:val="29"/>
        <w:tblW w:w="98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460"/>
        <w:gridCol w:w="1276"/>
        <w:gridCol w:w="1450"/>
        <w:gridCol w:w="1243"/>
        <w:gridCol w:w="1810"/>
        <w:gridCol w:w="1595"/>
      </w:tblGrid>
      <w:tr w14:paraId="52731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2460" w:type="dxa"/>
            <w:tcBorders>
              <w:top w:val="single" w:color="auto" w:sz="12" w:space="0"/>
              <w:bottom w:val="double" w:color="auto" w:sz="6" w:space="0"/>
            </w:tcBorders>
            <w:noWrap w:val="0"/>
            <w:vAlign w:val="center"/>
          </w:tcPr>
          <w:p w14:paraId="69A2766C">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文件名称</w:t>
            </w:r>
          </w:p>
        </w:tc>
        <w:tc>
          <w:tcPr>
            <w:tcW w:w="1276" w:type="dxa"/>
            <w:tcBorders>
              <w:top w:val="single" w:color="auto" w:sz="12" w:space="0"/>
              <w:bottom w:val="double" w:color="auto" w:sz="6" w:space="0"/>
            </w:tcBorders>
            <w:noWrap w:val="0"/>
            <w:vAlign w:val="center"/>
          </w:tcPr>
          <w:p w14:paraId="53AD0E28">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套数</w:t>
            </w:r>
          </w:p>
        </w:tc>
        <w:tc>
          <w:tcPr>
            <w:tcW w:w="1450" w:type="dxa"/>
            <w:tcBorders>
              <w:top w:val="single" w:color="auto" w:sz="12" w:space="0"/>
              <w:bottom w:val="double" w:color="auto" w:sz="6" w:space="0"/>
            </w:tcBorders>
            <w:noWrap w:val="0"/>
            <w:vAlign w:val="center"/>
          </w:tcPr>
          <w:p w14:paraId="11655870">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费用（元）</w:t>
            </w:r>
          </w:p>
        </w:tc>
        <w:tc>
          <w:tcPr>
            <w:tcW w:w="1243" w:type="dxa"/>
            <w:tcBorders>
              <w:top w:val="single" w:color="auto" w:sz="12" w:space="0"/>
              <w:bottom w:val="double" w:color="auto" w:sz="6" w:space="0"/>
            </w:tcBorders>
            <w:noWrap w:val="0"/>
            <w:vAlign w:val="center"/>
          </w:tcPr>
          <w:p w14:paraId="378136F6">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质量</w:t>
            </w:r>
          </w:p>
        </w:tc>
        <w:tc>
          <w:tcPr>
            <w:tcW w:w="1810" w:type="dxa"/>
            <w:tcBorders>
              <w:top w:val="single" w:color="auto" w:sz="12" w:space="0"/>
              <w:bottom w:val="double" w:color="auto" w:sz="6" w:space="0"/>
            </w:tcBorders>
            <w:noWrap w:val="0"/>
            <w:vAlign w:val="top"/>
          </w:tcPr>
          <w:p w14:paraId="2FDFBD2A">
            <w:pPr>
              <w:spacing w:line="440" w:lineRule="exact"/>
              <w:jc w:val="cente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移交时间</w:t>
            </w:r>
          </w:p>
        </w:tc>
        <w:tc>
          <w:tcPr>
            <w:tcW w:w="1595" w:type="dxa"/>
            <w:tcBorders>
              <w:top w:val="single" w:color="auto" w:sz="12" w:space="0"/>
              <w:bottom w:val="double" w:color="auto" w:sz="6" w:space="0"/>
            </w:tcBorders>
            <w:noWrap w:val="0"/>
            <w:vAlign w:val="top"/>
          </w:tcPr>
          <w:p w14:paraId="5E5C0CBD">
            <w:pPr>
              <w:spacing w:line="440" w:lineRule="exact"/>
              <w:jc w:val="cente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责任人</w:t>
            </w:r>
          </w:p>
        </w:tc>
      </w:tr>
      <w:tr w14:paraId="77096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460" w:type="dxa"/>
            <w:tcBorders>
              <w:top w:val="double" w:color="auto" w:sz="6" w:space="0"/>
              <w:bottom w:val="single" w:color="auto" w:sz="6" w:space="0"/>
            </w:tcBorders>
            <w:noWrap w:val="0"/>
            <w:vAlign w:val="center"/>
          </w:tcPr>
          <w:p w14:paraId="662495D2">
            <w:pPr>
              <w:pStyle w:val="14"/>
              <w:keepNext/>
              <w:spacing w:line="440" w:lineRule="exact"/>
              <w:ind w:left="63" w:right="63"/>
              <w:rPr>
                <w:rFonts w:hint="eastAsia" w:ascii="华文中宋" w:hAnsi="华文中宋" w:eastAsia="华文中宋" w:cs="华文中宋"/>
                <w:color w:val="auto"/>
                <w:kern w:val="2"/>
                <w:sz w:val="24"/>
                <w:szCs w:val="24"/>
              </w:rPr>
            </w:pPr>
          </w:p>
        </w:tc>
        <w:tc>
          <w:tcPr>
            <w:tcW w:w="1276" w:type="dxa"/>
            <w:tcBorders>
              <w:top w:val="double" w:color="auto" w:sz="6" w:space="0"/>
              <w:bottom w:val="single" w:color="auto" w:sz="6" w:space="0"/>
            </w:tcBorders>
            <w:noWrap w:val="0"/>
            <w:vAlign w:val="center"/>
          </w:tcPr>
          <w:p w14:paraId="5386D067">
            <w:pPr>
              <w:pStyle w:val="14"/>
              <w:keepNext/>
              <w:spacing w:line="440" w:lineRule="exact"/>
              <w:ind w:left="63" w:right="63"/>
              <w:rPr>
                <w:rFonts w:hint="eastAsia" w:ascii="华文中宋" w:hAnsi="华文中宋" w:eastAsia="华文中宋" w:cs="华文中宋"/>
                <w:color w:val="auto"/>
                <w:kern w:val="2"/>
                <w:sz w:val="24"/>
                <w:szCs w:val="24"/>
              </w:rPr>
            </w:pPr>
          </w:p>
        </w:tc>
        <w:tc>
          <w:tcPr>
            <w:tcW w:w="1450" w:type="dxa"/>
            <w:tcBorders>
              <w:top w:val="double" w:color="auto" w:sz="6" w:space="0"/>
              <w:bottom w:val="single" w:color="auto" w:sz="6" w:space="0"/>
            </w:tcBorders>
            <w:noWrap w:val="0"/>
            <w:vAlign w:val="center"/>
          </w:tcPr>
          <w:p w14:paraId="76571B0A">
            <w:pPr>
              <w:pStyle w:val="14"/>
              <w:keepNext/>
              <w:spacing w:line="440" w:lineRule="exact"/>
              <w:ind w:left="63" w:right="63"/>
              <w:rPr>
                <w:rFonts w:hint="eastAsia" w:ascii="华文中宋" w:hAnsi="华文中宋" w:eastAsia="华文中宋" w:cs="华文中宋"/>
                <w:color w:val="auto"/>
                <w:kern w:val="2"/>
                <w:sz w:val="24"/>
                <w:szCs w:val="24"/>
              </w:rPr>
            </w:pPr>
          </w:p>
        </w:tc>
        <w:tc>
          <w:tcPr>
            <w:tcW w:w="1243" w:type="dxa"/>
            <w:tcBorders>
              <w:top w:val="double" w:color="auto" w:sz="6" w:space="0"/>
              <w:bottom w:val="single" w:color="auto" w:sz="6" w:space="0"/>
            </w:tcBorders>
            <w:noWrap w:val="0"/>
            <w:vAlign w:val="center"/>
          </w:tcPr>
          <w:p w14:paraId="0BAC8315">
            <w:pPr>
              <w:pStyle w:val="14"/>
              <w:keepNext/>
              <w:spacing w:line="440" w:lineRule="exact"/>
              <w:ind w:left="63" w:right="63"/>
              <w:rPr>
                <w:rFonts w:hint="eastAsia" w:ascii="华文中宋" w:hAnsi="华文中宋" w:eastAsia="华文中宋" w:cs="华文中宋"/>
                <w:color w:val="auto"/>
                <w:kern w:val="2"/>
                <w:sz w:val="24"/>
                <w:szCs w:val="24"/>
              </w:rPr>
            </w:pPr>
          </w:p>
        </w:tc>
        <w:tc>
          <w:tcPr>
            <w:tcW w:w="1810" w:type="dxa"/>
            <w:tcBorders>
              <w:top w:val="double" w:color="auto" w:sz="6" w:space="0"/>
              <w:bottom w:val="single" w:color="auto" w:sz="6" w:space="0"/>
            </w:tcBorders>
            <w:noWrap w:val="0"/>
            <w:vAlign w:val="center"/>
          </w:tcPr>
          <w:p w14:paraId="04938520">
            <w:pPr>
              <w:pStyle w:val="14"/>
              <w:keepNext/>
              <w:spacing w:line="440" w:lineRule="exact"/>
              <w:ind w:left="63" w:right="63"/>
              <w:rPr>
                <w:rFonts w:hint="eastAsia" w:ascii="华文中宋" w:hAnsi="华文中宋" w:eastAsia="华文中宋" w:cs="华文中宋"/>
                <w:color w:val="auto"/>
                <w:kern w:val="2"/>
                <w:sz w:val="24"/>
                <w:szCs w:val="24"/>
              </w:rPr>
            </w:pPr>
          </w:p>
        </w:tc>
        <w:tc>
          <w:tcPr>
            <w:tcW w:w="1595" w:type="dxa"/>
            <w:tcBorders>
              <w:top w:val="double" w:color="auto" w:sz="6" w:space="0"/>
              <w:bottom w:val="single" w:color="auto" w:sz="6" w:space="0"/>
            </w:tcBorders>
            <w:noWrap w:val="0"/>
            <w:vAlign w:val="center"/>
          </w:tcPr>
          <w:p w14:paraId="1A15550B">
            <w:pPr>
              <w:pStyle w:val="14"/>
              <w:keepNext/>
              <w:spacing w:line="440" w:lineRule="exact"/>
              <w:ind w:left="63" w:right="63"/>
              <w:rPr>
                <w:rFonts w:hint="eastAsia" w:ascii="华文中宋" w:hAnsi="华文中宋" w:eastAsia="华文中宋" w:cs="华文中宋"/>
                <w:color w:val="auto"/>
                <w:kern w:val="2"/>
                <w:sz w:val="24"/>
                <w:szCs w:val="24"/>
              </w:rPr>
            </w:pPr>
          </w:p>
        </w:tc>
      </w:tr>
      <w:tr w14:paraId="38067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460" w:type="dxa"/>
            <w:noWrap w:val="0"/>
            <w:vAlign w:val="center"/>
          </w:tcPr>
          <w:p w14:paraId="037A3F81">
            <w:pPr>
              <w:pStyle w:val="14"/>
              <w:keepNext/>
              <w:spacing w:line="440" w:lineRule="exact"/>
              <w:ind w:left="63" w:right="63"/>
              <w:rPr>
                <w:rFonts w:hint="eastAsia" w:ascii="华文中宋" w:hAnsi="华文中宋" w:eastAsia="华文中宋" w:cs="华文中宋"/>
                <w:color w:val="auto"/>
                <w:kern w:val="2"/>
                <w:sz w:val="24"/>
                <w:szCs w:val="24"/>
              </w:rPr>
            </w:pPr>
          </w:p>
        </w:tc>
        <w:tc>
          <w:tcPr>
            <w:tcW w:w="1276" w:type="dxa"/>
            <w:noWrap w:val="0"/>
            <w:vAlign w:val="center"/>
          </w:tcPr>
          <w:p w14:paraId="04777FFE">
            <w:pPr>
              <w:pStyle w:val="14"/>
              <w:keepNext/>
              <w:spacing w:line="440" w:lineRule="exact"/>
              <w:ind w:left="63" w:right="63"/>
              <w:rPr>
                <w:rFonts w:hint="eastAsia" w:ascii="华文中宋" w:hAnsi="华文中宋" w:eastAsia="华文中宋" w:cs="华文中宋"/>
                <w:color w:val="auto"/>
                <w:kern w:val="2"/>
                <w:sz w:val="24"/>
                <w:szCs w:val="24"/>
              </w:rPr>
            </w:pPr>
          </w:p>
        </w:tc>
        <w:tc>
          <w:tcPr>
            <w:tcW w:w="1450" w:type="dxa"/>
            <w:noWrap w:val="0"/>
            <w:vAlign w:val="center"/>
          </w:tcPr>
          <w:p w14:paraId="041FE6C1">
            <w:pPr>
              <w:pStyle w:val="14"/>
              <w:keepNext/>
              <w:spacing w:line="440" w:lineRule="exact"/>
              <w:ind w:left="63" w:right="63"/>
              <w:rPr>
                <w:rFonts w:hint="eastAsia" w:ascii="华文中宋" w:hAnsi="华文中宋" w:eastAsia="华文中宋" w:cs="华文中宋"/>
                <w:color w:val="auto"/>
                <w:kern w:val="2"/>
                <w:sz w:val="24"/>
                <w:szCs w:val="24"/>
              </w:rPr>
            </w:pPr>
          </w:p>
        </w:tc>
        <w:tc>
          <w:tcPr>
            <w:tcW w:w="1243" w:type="dxa"/>
            <w:noWrap w:val="0"/>
            <w:vAlign w:val="center"/>
          </w:tcPr>
          <w:p w14:paraId="295F4641">
            <w:pPr>
              <w:pStyle w:val="14"/>
              <w:keepNext/>
              <w:spacing w:line="440" w:lineRule="exact"/>
              <w:ind w:left="63" w:right="63"/>
              <w:rPr>
                <w:rFonts w:hint="eastAsia" w:ascii="华文中宋" w:hAnsi="华文中宋" w:eastAsia="华文中宋" w:cs="华文中宋"/>
                <w:color w:val="auto"/>
                <w:kern w:val="2"/>
                <w:sz w:val="24"/>
                <w:szCs w:val="24"/>
              </w:rPr>
            </w:pPr>
          </w:p>
        </w:tc>
        <w:tc>
          <w:tcPr>
            <w:tcW w:w="1810" w:type="dxa"/>
            <w:noWrap w:val="0"/>
            <w:vAlign w:val="center"/>
          </w:tcPr>
          <w:p w14:paraId="235A7AB1">
            <w:pPr>
              <w:pStyle w:val="14"/>
              <w:keepNext/>
              <w:spacing w:line="440" w:lineRule="exact"/>
              <w:ind w:left="63" w:right="63"/>
              <w:rPr>
                <w:rFonts w:hint="eastAsia" w:ascii="华文中宋" w:hAnsi="华文中宋" w:eastAsia="华文中宋" w:cs="华文中宋"/>
                <w:color w:val="auto"/>
                <w:kern w:val="2"/>
                <w:sz w:val="24"/>
                <w:szCs w:val="24"/>
              </w:rPr>
            </w:pPr>
          </w:p>
        </w:tc>
        <w:tc>
          <w:tcPr>
            <w:tcW w:w="1595" w:type="dxa"/>
            <w:noWrap w:val="0"/>
            <w:vAlign w:val="center"/>
          </w:tcPr>
          <w:p w14:paraId="2BA56BD3">
            <w:pPr>
              <w:pStyle w:val="14"/>
              <w:keepNext/>
              <w:spacing w:line="440" w:lineRule="exact"/>
              <w:ind w:left="63" w:right="63"/>
              <w:rPr>
                <w:rFonts w:hint="eastAsia" w:ascii="华文中宋" w:hAnsi="华文中宋" w:eastAsia="华文中宋" w:cs="华文中宋"/>
                <w:color w:val="auto"/>
                <w:kern w:val="2"/>
                <w:sz w:val="24"/>
                <w:szCs w:val="24"/>
              </w:rPr>
            </w:pPr>
          </w:p>
        </w:tc>
      </w:tr>
      <w:tr w14:paraId="2F4C4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460" w:type="dxa"/>
            <w:noWrap w:val="0"/>
            <w:vAlign w:val="center"/>
          </w:tcPr>
          <w:p w14:paraId="44E8828A">
            <w:pPr>
              <w:pStyle w:val="14"/>
              <w:keepNext/>
              <w:spacing w:line="440" w:lineRule="exact"/>
              <w:ind w:left="63" w:right="63"/>
              <w:rPr>
                <w:rFonts w:hint="eastAsia" w:ascii="华文中宋" w:hAnsi="华文中宋" w:eastAsia="华文中宋" w:cs="华文中宋"/>
                <w:color w:val="auto"/>
                <w:kern w:val="2"/>
                <w:sz w:val="24"/>
                <w:szCs w:val="24"/>
              </w:rPr>
            </w:pPr>
          </w:p>
        </w:tc>
        <w:tc>
          <w:tcPr>
            <w:tcW w:w="1276" w:type="dxa"/>
            <w:noWrap w:val="0"/>
            <w:vAlign w:val="center"/>
          </w:tcPr>
          <w:p w14:paraId="2980CA87">
            <w:pPr>
              <w:pStyle w:val="14"/>
              <w:keepNext/>
              <w:spacing w:line="440" w:lineRule="exact"/>
              <w:ind w:left="63" w:right="63"/>
              <w:rPr>
                <w:rFonts w:hint="eastAsia" w:ascii="华文中宋" w:hAnsi="华文中宋" w:eastAsia="华文中宋" w:cs="华文中宋"/>
                <w:color w:val="auto"/>
                <w:kern w:val="2"/>
                <w:sz w:val="24"/>
                <w:szCs w:val="24"/>
              </w:rPr>
            </w:pPr>
          </w:p>
        </w:tc>
        <w:tc>
          <w:tcPr>
            <w:tcW w:w="1450" w:type="dxa"/>
            <w:noWrap w:val="0"/>
            <w:vAlign w:val="center"/>
          </w:tcPr>
          <w:p w14:paraId="104ECA1F">
            <w:pPr>
              <w:pStyle w:val="14"/>
              <w:keepNext/>
              <w:spacing w:line="440" w:lineRule="exact"/>
              <w:ind w:left="63" w:right="63"/>
              <w:rPr>
                <w:rFonts w:hint="eastAsia" w:ascii="华文中宋" w:hAnsi="华文中宋" w:eastAsia="华文中宋" w:cs="华文中宋"/>
                <w:color w:val="auto"/>
                <w:kern w:val="2"/>
                <w:sz w:val="24"/>
                <w:szCs w:val="24"/>
              </w:rPr>
            </w:pPr>
          </w:p>
        </w:tc>
        <w:tc>
          <w:tcPr>
            <w:tcW w:w="1243" w:type="dxa"/>
            <w:noWrap w:val="0"/>
            <w:vAlign w:val="center"/>
          </w:tcPr>
          <w:p w14:paraId="319BFE5A">
            <w:pPr>
              <w:pStyle w:val="14"/>
              <w:keepNext/>
              <w:spacing w:line="440" w:lineRule="exact"/>
              <w:ind w:left="63" w:right="63"/>
              <w:rPr>
                <w:rFonts w:hint="eastAsia" w:ascii="华文中宋" w:hAnsi="华文中宋" w:eastAsia="华文中宋" w:cs="华文中宋"/>
                <w:color w:val="auto"/>
                <w:kern w:val="2"/>
                <w:sz w:val="24"/>
                <w:szCs w:val="24"/>
              </w:rPr>
            </w:pPr>
          </w:p>
        </w:tc>
        <w:tc>
          <w:tcPr>
            <w:tcW w:w="1810" w:type="dxa"/>
            <w:noWrap w:val="0"/>
            <w:vAlign w:val="center"/>
          </w:tcPr>
          <w:p w14:paraId="5889A29B">
            <w:pPr>
              <w:pStyle w:val="14"/>
              <w:keepNext/>
              <w:spacing w:line="440" w:lineRule="exact"/>
              <w:ind w:left="63" w:right="63"/>
              <w:rPr>
                <w:rFonts w:hint="eastAsia" w:ascii="华文中宋" w:hAnsi="华文中宋" w:eastAsia="华文中宋" w:cs="华文中宋"/>
                <w:color w:val="auto"/>
                <w:kern w:val="2"/>
                <w:sz w:val="24"/>
                <w:szCs w:val="24"/>
              </w:rPr>
            </w:pPr>
          </w:p>
        </w:tc>
        <w:tc>
          <w:tcPr>
            <w:tcW w:w="1595" w:type="dxa"/>
            <w:noWrap w:val="0"/>
            <w:vAlign w:val="center"/>
          </w:tcPr>
          <w:p w14:paraId="11264479">
            <w:pPr>
              <w:pStyle w:val="14"/>
              <w:keepNext/>
              <w:spacing w:line="440" w:lineRule="exact"/>
              <w:ind w:left="63" w:right="63"/>
              <w:rPr>
                <w:rFonts w:hint="eastAsia" w:ascii="华文中宋" w:hAnsi="华文中宋" w:eastAsia="华文中宋" w:cs="华文中宋"/>
                <w:color w:val="auto"/>
                <w:kern w:val="2"/>
                <w:sz w:val="24"/>
                <w:szCs w:val="24"/>
              </w:rPr>
            </w:pPr>
          </w:p>
        </w:tc>
      </w:tr>
    </w:tbl>
    <w:p w14:paraId="6797E10B">
      <w:pPr>
        <w:spacing w:line="440" w:lineRule="exact"/>
        <w:rPr>
          <w:rFonts w:hint="eastAsia" w:ascii="华文中宋" w:hAnsi="华文中宋" w:eastAsia="华文中宋" w:cs="华文中宋"/>
          <w:color w:val="auto"/>
          <w:sz w:val="30"/>
          <w:szCs w:val="30"/>
        </w:rPr>
      </w:pPr>
    </w:p>
    <w:p w14:paraId="5BEA4F7C">
      <w:pPr>
        <w:keepNext w:val="0"/>
        <w:keepLines w:val="0"/>
        <w:pageBreakBefore w:val="0"/>
        <w:widowControl w:val="0"/>
        <w:kinsoku/>
        <w:wordWrap/>
        <w:overflowPunct/>
        <w:topLinePunct w:val="0"/>
        <w:autoSpaceDE/>
        <w:autoSpaceDN/>
        <w:bidi w:val="0"/>
        <w:adjustRightInd/>
        <w:snapToGrid/>
        <w:spacing w:line="240" w:lineRule="auto"/>
        <w:ind w:left="-489" w:leftChars="-233" w:firstLine="237" w:firstLineChars="99"/>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附</w:t>
      </w:r>
      <w:bookmarkStart w:id="1119" w:name="_Toc296347226"/>
      <w:bookmarkStart w:id="1120" w:name="_Toc296944566"/>
      <w:bookmarkStart w:id="1121" w:name="_Toc296891055"/>
      <w:bookmarkStart w:id="1122" w:name="_Toc296346728"/>
      <w:bookmarkStart w:id="1123" w:name="_Toc296891267"/>
      <w:bookmarkStart w:id="1124" w:name="_Toc267261698"/>
      <w:bookmarkStart w:id="1125" w:name="_Toc296503227"/>
      <w:r>
        <w:rPr>
          <w:rFonts w:hint="eastAsia" w:ascii="华文中宋" w:hAnsi="华文中宋" w:eastAsia="华文中宋" w:cs="华文中宋"/>
          <w:color w:val="auto"/>
          <w:sz w:val="24"/>
          <w:szCs w:val="24"/>
        </w:rPr>
        <w:t>件5：</w:t>
      </w:r>
    </w:p>
    <w:bookmarkEnd w:id="1119"/>
    <w:bookmarkEnd w:id="1120"/>
    <w:bookmarkEnd w:id="1121"/>
    <w:bookmarkEnd w:id="1122"/>
    <w:bookmarkEnd w:id="1123"/>
    <w:bookmarkEnd w:id="1124"/>
    <w:bookmarkEnd w:id="1125"/>
    <w:p w14:paraId="4D86439B">
      <w:pPr>
        <w:spacing w:beforeLines="50" w:afterLines="50" w:line="440" w:lineRule="exact"/>
        <w:jc w:val="center"/>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承包人用于本工程施工的机械设备表</w:t>
      </w:r>
    </w:p>
    <w:tbl>
      <w:tblPr>
        <w:tblStyle w:val="2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0"/>
        <w:gridCol w:w="2040"/>
        <w:gridCol w:w="1645"/>
        <w:gridCol w:w="613"/>
        <w:gridCol w:w="900"/>
        <w:gridCol w:w="870"/>
        <w:gridCol w:w="1395"/>
        <w:gridCol w:w="885"/>
        <w:gridCol w:w="921"/>
      </w:tblGrid>
      <w:tr w14:paraId="22A1D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5" w:hRule="atLeast"/>
          <w:jc w:val="center"/>
        </w:trPr>
        <w:tc>
          <w:tcPr>
            <w:tcW w:w="540" w:type="dxa"/>
            <w:tcBorders>
              <w:top w:val="single" w:color="auto" w:sz="12" w:space="0"/>
              <w:bottom w:val="double" w:color="auto" w:sz="6" w:space="0"/>
            </w:tcBorders>
            <w:noWrap w:val="0"/>
            <w:vAlign w:val="center"/>
          </w:tcPr>
          <w:p w14:paraId="03E299CB">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序</w:t>
            </w:r>
          </w:p>
          <w:p w14:paraId="7D139EEB">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号</w:t>
            </w:r>
          </w:p>
        </w:tc>
        <w:tc>
          <w:tcPr>
            <w:tcW w:w="2040" w:type="dxa"/>
            <w:tcBorders>
              <w:top w:val="single" w:color="auto" w:sz="12" w:space="0"/>
              <w:bottom w:val="double" w:color="auto" w:sz="6" w:space="0"/>
            </w:tcBorders>
            <w:noWrap w:val="0"/>
            <w:vAlign w:val="center"/>
          </w:tcPr>
          <w:p w14:paraId="21EDFDD4">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机械或</w:t>
            </w:r>
          </w:p>
          <w:p w14:paraId="5F458BAF">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设备名称</w:t>
            </w:r>
          </w:p>
        </w:tc>
        <w:tc>
          <w:tcPr>
            <w:tcW w:w="1645" w:type="dxa"/>
            <w:tcBorders>
              <w:top w:val="single" w:color="auto" w:sz="12" w:space="0"/>
              <w:bottom w:val="double" w:color="auto" w:sz="6" w:space="0"/>
            </w:tcBorders>
            <w:noWrap w:val="0"/>
            <w:vAlign w:val="center"/>
          </w:tcPr>
          <w:p w14:paraId="10864FC1">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规格型号</w:t>
            </w:r>
          </w:p>
        </w:tc>
        <w:tc>
          <w:tcPr>
            <w:tcW w:w="613" w:type="dxa"/>
            <w:tcBorders>
              <w:top w:val="single" w:color="auto" w:sz="12" w:space="0"/>
              <w:bottom w:val="double" w:color="auto" w:sz="6" w:space="0"/>
            </w:tcBorders>
            <w:noWrap w:val="0"/>
            <w:vAlign w:val="center"/>
          </w:tcPr>
          <w:p w14:paraId="01305A50">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数</w:t>
            </w:r>
          </w:p>
          <w:p w14:paraId="1DBCB4FB">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量</w:t>
            </w:r>
          </w:p>
        </w:tc>
        <w:tc>
          <w:tcPr>
            <w:tcW w:w="900" w:type="dxa"/>
            <w:tcBorders>
              <w:top w:val="single" w:color="auto" w:sz="12" w:space="0"/>
              <w:bottom w:val="double" w:color="auto" w:sz="6" w:space="0"/>
            </w:tcBorders>
            <w:noWrap w:val="0"/>
            <w:vAlign w:val="center"/>
          </w:tcPr>
          <w:p w14:paraId="547F06CB">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产地</w:t>
            </w:r>
          </w:p>
        </w:tc>
        <w:tc>
          <w:tcPr>
            <w:tcW w:w="870" w:type="dxa"/>
            <w:tcBorders>
              <w:top w:val="single" w:color="auto" w:sz="12" w:space="0"/>
              <w:bottom w:val="double" w:color="auto" w:sz="6" w:space="0"/>
            </w:tcBorders>
            <w:noWrap w:val="0"/>
            <w:vAlign w:val="center"/>
          </w:tcPr>
          <w:p w14:paraId="4A97F0C1">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制造</w:t>
            </w:r>
          </w:p>
          <w:p w14:paraId="69CC5A28">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年份</w:t>
            </w:r>
          </w:p>
        </w:tc>
        <w:tc>
          <w:tcPr>
            <w:tcW w:w="1395" w:type="dxa"/>
            <w:tcBorders>
              <w:top w:val="single" w:color="auto" w:sz="12" w:space="0"/>
              <w:bottom w:val="double" w:color="auto" w:sz="6" w:space="0"/>
            </w:tcBorders>
            <w:noWrap w:val="0"/>
            <w:vAlign w:val="center"/>
          </w:tcPr>
          <w:p w14:paraId="2137ADF5">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额定功率</w:t>
            </w:r>
          </w:p>
          <w:p w14:paraId="02D6F5CB">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（Kw）</w:t>
            </w:r>
          </w:p>
        </w:tc>
        <w:tc>
          <w:tcPr>
            <w:tcW w:w="885" w:type="dxa"/>
            <w:tcBorders>
              <w:top w:val="single" w:color="auto" w:sz="12" w:space="0"/>
              <w:bottom w:val="double" w:color="auto" w:sz="6" w:space="0"/>
            </w:tcBorders>
            <w:noWrap w:val="0"/>
            <w:vAlign w:val="center"/>
          </w:tcPr>
          <w:p w14:paraId="4E6619A7">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生产</w:t>
            </w:r>
          </w:p>
          <w:p w14:paraId="038E9D97">
            <w:pPr>
              <w:pStyle w:val="14"/>
              <w:keepNext/>
              <w:spacing w:line="36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能力</w:t>
            </w:r>
          </w:p>
        </w:tc>
        <w:tc>
          <w:tcPr>
            <w:tcW w:w="921" w:type="dxa"/>
            <w:tcBorders>
              <w:top w:val="single" w:color="auto" w:sz="12" w:space="0"/>
              <w:bottom w:val="double" w:color="auto" w:sz="6" w:space="0"/>
            </w:tcBorders>
            <w:noWrap w:val="0"/>
            <w:vAlign w:val="center"/>
          </w:tcPr>
          <w:p w14:paraId="237A84B4">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备注</w:t>
            </w:r>
          </w:p>
        </w:tc>
      </w:tr>
      <w:tr w14:paraId="531E2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double" w:color="auto" w:sz="6" w:space="0"/>
              <w:bottom w:val="single" w:color="auto" w:sz="6" w:space="0"/>
            </w:tcBorders>
            <w:noWrap w:val="0"/>
            <w:vAlign w:val="center"/>
          </w:tcPr>
          <w:p w14:paraId="7D8A4036">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1</w:t>
            </w:r>
          </w:p>
        </w:tc>
        <w:tc>
          <w:tcPr>
            <w:tcW w:w="2040" w:type="dxa"/>
            <w:tcBorders>
              <w:top w:val="double" w:color="auto" w:sz="6" w:space="0"/>
              <w:bottom w:val="single" w:color="auto" w:sz="6" w:space="0"/>
            </w:tcBorders>
            <w:noWrap w:val="0"/>
            <w:vAlign w:val="center"/>
          </w:tcPr>
          <w:p w14:paraId="320AD420">
            <w:pPr>
              <w:spacing w:line="480" w:lineRule="exact"/>
              <w:jc w:val="center"/>
              <w:rPr>
                <w:rFonts w:hint="eastAsia" w:ascii="华文中宋" w:hAnsi="华文中宋" w:eastAsia="华文中宋" w:cs="华文中宋"/>
                <w:b/>
                <w:color w:val="auto"/>
                <w:sz w:val="21"/>
                <w:szCs w:val="21"/>
                <w:highlight w:val="cyan"/>
              </w:rPr>
            </w:pPr>
          </w:p>
        </w:tc>
        <w:tc>
          <w:tcPr>
            <w:tcW w:w="1645" w:type="dxa"/>
            <w:tcBorders>
              <w:top w:val="double" w:color="auto" w:sz="6" w:space="0"/>
              <w:bottom w:val="single" w:color="auto" w:sz="6" w:space="0"/>
            </w:tcBorders>
            <w:noWrap w:val="0"/>
            <w:vAlign w:val="center"/>
          </w:tcPr>
          <w:p w14:paraId="7D2E89A7">
            <w:pPr>
              <w:spacing w:line="480" w:lineRule="exact"/>
              <w:jc w:val="center"/>
              <w:rPr>
                <w:rFonts w:hint="eastAsia" w:ascii="华文中宋" w:hAnsi="华文中宋" w:eastAsia="华文中宋" w:cs="华文中宋"/>
                <w:b/>
                <w:color w:val="auto"/>
                <w:sz w:val="21"/>
                <w:szCs w:val="21"/>
                <w:highlight w:val="cyan"/>
              </w:rPr>
            </w:pPr>
          </w:p>
        </w:tc>
        <w:tc>
          <w:tcPr>
            <w:tcW w:w="613" w:type="dxa"/>
            <w:tcBorders>
              <w:top w:val="double" w:color="auto" w:sz="6" w:space="0"/>
              <w:bottom w:val="single" w:color="auto" w:sz="6" w:space="0"/>
            </w:tcBorders>
            <w:noWrap w:val="0"/>
            <w:vAlign w:val="center"/>
          </w:tcPr>
          <w:p w14:paraId="05D3D1D7">
            <w:pPr>
              <w:spacing w:line="480" w:lineRule="exact"/>
              <w:jc w:val="center"/>
              <w:rPr>
                <w:rFonts w:hint="eastAsia" w:ascii="华文中宋" w:hAnsi="华文中宋" w:eastAsia="华文中宋" w:cs="华文中宋"/>
                <w:b/>
                <w:color w:val="auto"/>
                <w:sz w:val="21"/>
                <w:szCs w:val="21"/>
                <w:highlight w:val="cyan"/>
              </w:rPr>
            </w:pPr>
          </w:p>
        </w:tc>
        <w:tc>
          <w:tcPr>
            <w:tcW w:w="900" w:type="dxa"/>
            <w:tcBorders>
              <w:top w:val="double" w:color="auto" w:sz="6" w:space="0"/>
              <w:bottom w:val="single" w:color="auto" w:sz="6" w:space="0"/>
            </w:tcBorders>
            <w:noWrap w:val="0"/>
            <w:vAlign w:val="center"/>
          </w:tcPr>
          <w:p w14:paraId="27164579">
            <w:pPr>
              <w:spacing w:line="480" w:lineRule="exact"/>
              <w:jc w:val="center"/>
              <w:rPr>
                <w:rFonts w:hint="eastAsia" w:ascii="华文中宋" w:hAnsi="华文中宋" w:eastAsia="华文中宋" w:cs="华文中宋"/>
                <w:b/>
                <w:color w:val="auto"/>
                <w:sz w:val="21"/>
                <w:szCs w:val="21"/>
                <w:highlight w:val="cyan"/>
              </w:rPr>
            </w:pPr>
          </w:p>
        </w:tc>
        <w:tc>
          <w:tcPr>
            <w:tcW w:w="870" w:type="dxa"/>
            <w:tcBorders>
              <w:top w:val="double" w:color="auto" w:sz="6" w:space="0"/>
              <w:bottom w:val="single" w:color="auto" w:sz="6" w:space="0"/>
            </w:tcBorders>
            <w:noWrap w:val="0"/>
            <w:vAlign w:val="center"/>
          </w:tcPr>
          <w:p w14:paraId="64A9490B">
            <w:pPr>
              <w:spacing w:line="480" w:lineRule="exact"/>
              <w:jc w:val="center"/>
              <w:rPr>
                <w:rFonts w:hint="eastAsia" w:ascii="华文中宋" w:hAnsi="华文中宋" w:eastAsia="华文中宋" w:cs="华文中宋"/>
                <w:b/>
                <w:color w:val="auto"/>
                <w:sz w:val="21"/>
                <w:szCs w:val="21"/>
                <w:highlight w:val="cyan"/>
              </w:rPr>
            </w:pPr>
          </w:p>
        </w:tc>
        <w:tc>
          <w:tcPr>
            <w:tcW w:w="1395" w:type="dxa"/>
            <w:tcBorders>
              <w:top w:val="double" w:color="auto" w:sz="6" w:space="0"/>
              <w:bottom w:val="single" w:color="auto" w:sz="6" w:space="0"/>
            </w:tcBorders>
            <w:noWrap w:val="0"/>
            <w:vAlign w:val="center"/>
          </w:tcPr>
          <w:p w14:paraId="474325A9">
            <w:pPr>
              <w:spacing w:line="480" w:lineRule="exact"/>
              <w:jc w:val="center"/>
              <w:rPr>
                <w:rFonts w:hint="eastAsia" w:ascii="华文中宋" w:hAnsi="华文中宋" w:eastAsia="华文中宋" w:cs="华文中宋"/>
                <w:b/>
                <w:color w:val="auto"/>
                <w:sz w:val="21"/>
                <w:szCs w:val="21"/>
                <w:highlight w:val="cyan"/>
              </w:rPr>
            </w:pPr>
          </w:p>
        </w:tc>
        <w:tc>
          <w:tcPr>
            <w:tcW w:w="885" w:type="dxa"/>
            <w:tcBorders>
              <w:top w:val="double" w:color="auto" w:sz="6" w:space="0"/>
              <w:bottom w:val="single" w:color="auto" w:sz="6" w:space="0"/>
            </w:tcBorders>
            <w:noWrap w:val="0"/>
            <w:vAlign w:val="center"/>
          </w:tcPr>
          <w:p w14:paraId="7FB18C2D">
            <w:pPr>
              <w:spacing w:line="480" w:lineRule="exact"/>
              <w:jc w:val="center"/>
              <w:rPr>
                <w:rFonts w:hint="eastAsia" w:ascii="华文中宋" w:hAnsi="华文中宋" w:eastAsia="华文中宋" w:cs="华文中宋"/>
                <w:b/>
                <w:color w:val="auto"/>
                <w:sz w:val="21"/>
                <w:szCs w:val="21"/>
                <w:highlight w:val="cyan"/>
              </w:rPr>
            </w:pPr>
          </w:p>
        </w:tc>
        <w:tc>
          <w:tcPr>
            <w:tcW w:w="921" w:type="dxa"/>
            <w:tcBorders>
              <w:top w:val="double" w:color="auto" w:sz="6" w:space="0"/>
              <w:bottom w:val="single" w:color="auto" w:sz="6" w:space="0"/>
            </w:tcBorders>
            <w:noWrap w:val="0"/>
            <w:vAlign w:val="center"/>
          </w:tcPr>
          <w:p w14:paraId="34841606">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297F1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nil"/>
            </w:tcBorders>
            <w:noWrap w:val="0"/>
            <w:vAlign w:val="center"/>
          </w:tcPr>
          <w:p w14:paraId="70BC9420">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2</w:t>
            </w:r>
          </w:p>
        </w:tc>
        <w:tc>
          <w:tcPr>
            <w:tcW w:w="2040" w:type="dxa"/>
            <w:tcBorders>
              <w:top w:val="nil"/>
            </w:tcBorders>
            <w:noWrap w:val="0"/>
            <w:vAlign w:val="center"/>
          </w:tcPr>
          <w:p w14:paraId="0DA34108">
            <w:pPr>
              <w:spacing w:line="480" w:lineRule="exact"/>
              <w:jc w:val="center"/>
              <w:rPr>
                <w:rFonts w:hint="eastAsia" w:ascii="华文中宋" w:hAnsi="华文中宋" w:eastAsia="华文中宋" w:cs="华文中宋"/>
                <w:b/>
                <w:color w:val="auto"/>
                <w:sz w:val="21"/>
                <w:szCs w:val="21"/>
                <w:highlight w:val="cyan"/>
              </w:rPr>
            </w:pPr>
          </w:p>
        </w:tc>
        <w:tc>
          <w:tcPr>
            <w:tcW w:w="1645" w:type="dxa"/>
            <w:tcBorders>
              <w:top w:val="nil"/>
            </w:tcBorders>
            <w:noWrap w:val="0"/>
            <w:vAlign w:val="center"/>
          </w:tcPr>
          <w:p w14:paraId="4D732052">
            <w:pPr>
              <w:spacing w:line="480" w:lineRule="exact"/>
              <w:jc w:val="center"/>
              <w:rPr>
                <w:rFonts w:hint="eastAsia" w:ascii="华文中宋" w:hAnsi="华文中宋" w:eastAsia="华文中宋" w:cs="华文中宋"/>
                <w:b/>
                <w:color w:val="auto"/>
                <w:sz w:val="21"/>
                <w:szCs w:val="21"/>
                <w:highlight w:val="cyan"/>
              </w:rPr>
            </w:pPr>
          </w:p>
        </w:tc>
        <w:tc>
          <w:tcPr>
            <w:tcW w:w="613" w:type="dxa"/>
            <w:tcBorders>
              <w:top w:val="nil"/>
            </w:tcBorders>
            <w:noWrap w:val="0"/>
            <w:vAlign w:val="center"/>
          </w:tcPr>
          <w:p w14:paraId="0D0FA862">
            <w:pPr>
              <w:spacing w:line="480" w:lineRule="exact"/>
              <w:jc w:val="center"/>
              <w:rPr>
                <w:rFonts w:hint="eastAsia" w:ascii="华文中宋" w:hAnsi="华文中宋" w:eastAsia="华文中宋" w:cs="华文中宋"/>
                <w:b/>
                <w:color w:val="auto"/>
                <w:sz w:val="21"/>
                <w:szCs w:val="21"/>
                <w:highlight w:val="cyan"/>
              </w:rPr>
            </w:pPr>
          </w:p>
        </w:tc>
        <w:tc>
          <w:tcPr>
            <w:tcW w:w="900" w:type="dxa"/>
            <w:tcBorders>
              <w:top w:val="nil"/>
            </w:tcBorders>
            <w:noWrap w:val="0"/>
            <w:vAlign w:val="center"/>
          </w:tcPr>
          <w:p w14:paraId="52AEA7D6">
            <w:pPr>
              <w:spacing w:line="480" w:lineRule="exact"/>
              <w:jc w:val="center"/>
              <w:rPr>
                <w:rFonts w:hint="eastAsia" w:ascii="华文中宋" w:hAnsi="华文中宋" w:eastAsia="华文中宋" w:cs="华文中宋"/>
                <w:b/>
                <w:color w:val="auto"/>
                <w:sz w:val="21"/>
                <w:szCs w:val="21"/>
                <w:highlight w:val="cyan"/>
              </w:rPr>
            </w:pPr>
          </w:p>
        </w:tc>
        <w:tc>
          <w:tcPr>
            <w:tcW w:w="870" w:type="dxa"/>
            <w:tcBorders>
              <w:top w:val="nil"/>
            </w:tcBorders>
            <w:noWrap w:val="0"/>
            <w:vAlign w:val="center"/>
          </w:tcPr>
          <w:p w14:paraId="5F7590F5">
            <w:pPr>
              <w:spacing w:line="480" w:lineRule="exact"/>
              <w:jc w:val="center"/>
              <w:rPr>
                <w:rFonts w:hint="eastAsia" w:ascii="华文中宋" w:hAnsi="华文中宋" w:eastAsia="华文中宋" w:cs="华文中宋"/>
                <w:b/>
                <w:color w:val="auto"/>
                <w:sz w:val="21"/>
                <w:szCs w:val="21"/>
                <w:highlight w:val="cyan"/>
              </w:rPr>
            </w:pPr>
          </w:p>
        </w:tc>
        <w:tc>
          <w:tcPr>
            <w:tcW w:w="1395" w:type="dxa"/>
            <w:tcBorders>
              <w:top w:val="nil"/>
            </w:tcBorders>
            <w:noWrap w:val="0"/>
            <w:vAlign w:val="center"/>
          </w:tcPr>
          <w:p w14:paraId="24AA43DA">
            <w:pPr>
              <w:spacing w:line="480" w:lineRule="exact"/>
              <w:jc w:val="center"/>
              <w:rPr>
                <w:rFonts w:hint="eastAsia" w:ascii="华文中宋" w:hAnsi="华文中宋" w:eastAsia="华文中宋" w:cs="华文中宋"/>
                <w:b/>
                <w:color w:val="auto"/>
                <w:sz w:val="21"/>
                <w:szCs w:val="21"/>
                <w:highlight w:val="cyan"/>
              </w:rPr>
            </w:pPr>
          </w:p>
        </w:tc>
        <w:tc>
          <w:tcPr>
            <w:tcW w:w="885" w:type="dxa"/>
            <w:tcBorders>
              <w:top w:val="nil"/>
            </w:tcBorders>
            <w:noWrap w:val="0"/>
            <w:vAlign w:val="center"/>
          </w:tcPr>
          <w:p w14:paraId="446BB04C">
            <w:pPr>
              <w:spacing w:line="480" w:lineRule="exact"/>
              <w:jc w:val="center"/>
              <w:rPr>
                <w:rFonts w:hint="eastAsia" w:ascii="华文中宋" w:hAnsi="华文中宋" w:eastAsia="华文中宋" w:cs="华文中宋"/>
                <w:b/>
                <w:color w:val="auto"/>
                <w:sz w:val="21"/>
                <w:szCs w:val="21"/>
                <w:highlight w:val="cyan"/>
              </w:rPr>
            </w:pPr>
          </w:p>
        </w:tc>
        <w:tc>
          <w:tcPr>
            <w:tcW w:w="921" w:type="dxa"/>
            <w:tcBorders>
              <w:top w:val="nil"/>
            </w:tcBorders>
            <w:noWrap w:val="0"/>
            <w:vAlign w:val="center"/>
          </w:tcPr>
          <w:p w14:paraId="7C880B45">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27633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53657940">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3</w:t>
            </w:r>
          </w:p>
        </w:tc>
        <w:tc>
          <w:tcPr>
            <w:tcW w:w="2040" w:type="dxa"/>
            <w:noWrap w:val="0"/>
            <w:vAlign w:val="center"/>
          </w:tcPr>
          <w:p w14:paraId="7BEAB8B4">
            <w:pPr>
              <w:spacing w:line="48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430FE72D">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663D79CE">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1A572AAB">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2EF4F036">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75E091F3">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413EC316">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center"/>
          </w:tcPr>
          <w:p w14:paraId="656F2343">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1ABE0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31352372">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4</w:t>
            </w:r>
          </w:p>
        </w:tc>
        <w:tc>
          <w:tcPr>
            <w:tcW w:w="2040" w:type="dxa"/>
            <w:noWrap w:val="0"/>
            <w:vAlign w:val="center"/>
          </w:tcPr>
          <w:p w14:paraId="229BF6EE">
            <w:pPr>
              <w:spacing w:line="48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0C9A5F7D">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0B7E3FF4">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7FA0C5FB">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42FE9B2B">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76A85F8F">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2CEC1AFA">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center"/>
          </w:tcPr>
          <w:p w14:paraId="3A09B980">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09F73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63EE7E7C">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5</w:t>
            </w:r>
          </w:p>
        </w:tc>
        <w:tc>
          <w:tcPr>
            <w:tcW w:w="2040" w:type="dxa"/>
            <w:noWrap w:val="0"/>
            <w:vAlign w:val="center"/>
          </w:tcPr>
          <w:p w14:paraId="79C0EED7">
            <w:pPr>
              <w:spacing w:line="48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5CCCC349">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7950E533">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36DF154D">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46A399C9">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79EA5B73">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4D88E8A9">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center"/>
          </w:tcPr>
          <w:p w14:paraId="0C4752E2">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4CA1F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540" w:type="dxa"/>
            <w:noWrap w:val="0"/>
            <w:vAlign w:val="center"/>
          </w:tcPr>
          <w:p w14:paraId="539F6150">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6</w:t>
            </w:r>
          </w:p>
        </w:tc>
        <w:tc>
          <w:tcPr>
            <w:tcW w:w="2040" w:type="dxa"/>
            <w:noWrap w:val="0"/>
            <w:vAlign w:val="center"/>
          </w:tcPr>
          <w:p w14:paraId="2FF964A5">
            <w:pPr>
              <w:spacing w:line="48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4121238B">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60EC87A8">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56B37E91">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200405B7">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2CAF72A2">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2AABB8FC">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center"/>
          </w:tcPr>
          <w:p w14:paraId="29A4A3A4">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6891C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57238214">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7</w:t>
            </w:r>
          </w:p>
        </w:tc>
        <w:tc>
          <w:tcPr>
            <w:tcW w:w="2040" w:type="dxa"/>
            <w:noWrap w:val="0"/>
            <w:vAlign w:val="center"/>
          </w:tcPr>
          <w:p w14:paraId="5F54A023">
            <w:pPr>
              <w:spacing w:line="48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2C894C39">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4536594E">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141F411E">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3380A902">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7B00E09B">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18A1CDD3">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center"/>
          </w:tcPr>
          <w:p w14:paraId="0A67EFDD">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244F7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4124239D">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8</w:t>
            </w:r>
          </w:p>
        </w:tc>
        <w:tc>
          <w:tcPr>
            <w:tcW w:w="2040" w:type="dxa"/>
            <w:noWrap w:val="0"/>
            <w:vAlign w:val="center"/>
          </w:tcPr>
          <w:p w14:paraId="4D1D9ADE">
            <w:pPr>
              <w:spacing w:line="48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54AB4FB8">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62F4CEF7">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7B9F7F77">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50CBAAD3">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03560832">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1A0BB27B">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center"/>
          </w:tcPr>
          <w:p w14:paraId="742736E2">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0B29C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12FFB88E">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9</w:t>
            </w:r>
          </w:p>
        </w:tc>
        <w:tc>
          <w:tcPr>
            <w:tcW w:w="2040" w:type="dxa"/>
            <w:noWrap w:val="0"/>
            <w:vAlign w:val="center"/>
          </w:tcPr>
          <w:p w14:paraId="050A3288">
            <w:pPr>
              <w:spacing w:line="48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652A2D54">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59073B1C">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0273F485">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6FCC5E45">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69EF4475">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02722EB1">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top"/>
          </w:tcPr>
          <w:p w14:paraId="4AB4CBA0">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27FEC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68D58201">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10</w:t>
            </w:r>
          </w:p>
        </w:tc>
        <w:tc>
          <w:tcPr>
            <w:tcW w:w="2040" w:type="dxa"/>
            <w:noWrap w:val="0"/>
            <w:vAlign w:val="center"/>
          </w:tcPr>
          <w:p w14:paraId="76F42A17">
            <w:pPr>
              <w:spacing w:line="32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3628CB01">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7234FDD1">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3FF5385B">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64C1C2ED">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549624E9">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4165E46D">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top"/>
          </w:tcPr>
          <w:p w14:paraId="30A40C79">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r w14:paraId="092C3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3B6B861A">
            <w:pPr>
              <w:spacing w:line="480" w:lineRule="exact"/>
              <w:jc w:val="center"/>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11</w:t>
            </w:r>
          </w:p>
        </w:tc>
        <w:tc>
          <w:tcPr>
            <w:tcW w:w="2040" w:type="dxa"/>
            <w:noWrap w:val="0"/>
            <w:vAlign w:val="center"/>
          </w:tcPr>
          <w:p w14:paraId="7DCCEA56">
            <w:pPr>
              <w:spacing w:line="480" w:lineRule="exact"/>
              <w:jc w:val="center"/>
              <w:rPr>
                <w:rFonts w:hint="eastAsia" w:ascii="华文中宋" w:hAnsi="华文中宋" w:eastAsia="华文中宋" w:cs="华文中宋"/>
                <w:b/>
                <w:color w:val="auto"/>
                <w:sz w:val="21"/>
                <w:szCs w:val="21"/>
                <w:highlight w:val="cyan"/>
              </w:rPr>
            </w:pPr>
          </w:p>
        </w:tc>
        <w:tc>
          <w:tcPr>
            <w:tcW w:w="1645" w:type="dxa"/>
            <w:noWrap w:val="0"/>
            <w:vAlign w:val="center"/>
          </w:tcPr>
          <w:p w14:paraId="56E97E58">
            <w:pPr>
              <w:spacing w:line="480" w:lineRule="exact"/>
              <w:jc w:val="center"/>
              <w:rPr>
                <w:rFonts w:hint="eastAsia" w:ascii="华文中宋" w:hAnsi="华文中宋" w:eastAsia="华文中宋" w:cs="华文中宋"/>
                <w:b/>
                <w:color w:val="auto"/>
                <w:sz w:val="21"/>
                <w:szCs w:val="21"/>
                <w:highlight w:val="cyan"/>
              </w:rPr>
            </w:pPr>
          </w:p>
        </w:tc>
        <w:tc>
          <w:tcPr>
            <w:tcW w:w="613" w:type="dxa"/>
            <w:noWrap w:val="0"/>
            <w:vAlign w:val="center"/>
          </w:tcPr>
          <w:p w14:paraId="671ABA8D">
            <w:pPr>
              <w:spacing w:line="480" w:lineRule="exact"/>
              <w:jc w:val="center"/>
              <w:rPr>
                <w:rFonts w:hint="eastAsia" w:ascii="华文中宋" w:hAnsi="华文中宋" w:eastAsia="华文中宋" w:cs="华文中宋"/>
                <w:b/>
                <w:color w:val="auto"/>
                <w:sz w:val="21"/>
                <w:szCs w:val="21"/>
                <w:highlight w:val="cyan"/>
              </w:rPr>
            </w:pPr>
          </w:p>
        </w:tc>
        <w:tc>
          <w:tcPr>
            <w:tcW w:w="900" w:type="dxa"/>
            <w:noWrap w:val="0"/>
            <w:vAlign w:val="center"/>
          </w:tcPr>
          <w:p w14:paraId="702D26A7">
            <w:pPr>
              <w:spacing w:line="480" w:lineRule="exact"/>
              <w:jc w:val="center"/>
              <w:rPr>
                <w:rFonts w:hint="eastAsia" w:ascii="华文中宋" w:hAnsi="华文中宋" w:eastAsia="华文中宋" w:cs="华文中宋"/>
                <w:b/>
                <w:color w:val="auto"/>
                <w:sz w:val="21"/>
                <w:szCs w:val="21"/>
                <w:highlight w:val="cyan"/>
              </w:rPr>
            </w:pPr>
          </w:p>
        </w:tc>
        <w:tc>
          <w:tcPr>
            <w:tcW w:w="870" w:type="dxa"/>
            <w:noWrap w:val="0"/>
            <w:vAlign w:val="center"/>
          </w:tcPr>
          <w:p w14:paraId="16F81CD5">
            <w:pPr>
              <w:spacing w:line="480" w:lineRule="exact"/>
              <w:jc w:val="center"/>
              <w:rPr>
                <w:rFonts w:hint="eastAsia" w:ascii="华文中宋" w:hAnsi="华文中宋" w:eastAsia="华文中宋" w:cs="华文中宋"/>
                <w:b/>
                <w:color w:val="auto"/>
                <w:sz w:val="21"/>
                <w:szCs w:val="21"/>
                <w:highlight w:val="cyan"/>
              </w:rPr>
            </w:pPr>
          </w:p>
        </w:tc>
        <w:tc>
          <w:tcPr>
            <w:tcW w:w="1395" w:type="dxa"/>
            <w:noWrap w:val="0"/>
            <w:vAlign w:val="center"/>
          </w:tcPr>
          <w:p w14:paraId="2D16EBCF">
            <w:pPr>
              <w:spacing w:line="480" w:lineRule="exact"/>
              <w:jc w:val="center"/>
              <w:rPr>
                <w:rFonts w:hint="eastAsia" w:ascii="华文中宋" w:hAnsi="华文中宋" w:eastAsia="华文中宋" w:cs="华文中宋"/>
                <w:b/>
                <w:color w:val="auto"/>
                <w:sz w:val="21"/>
                <w:szCs w:val="21"/>
                <w:highlight w:val="cyan"/>
              </w:rPr>
            </w:pPr>
          </w:p>
        </w:tc>
        <w:tc>
          <w:tcPr>
            <w:tcW w:w="885" w:type="dxa"/>
            <w:noWrap w:val="0"/>
            <w:vAlign w:val="center"/>
          </w:tcPr>
          <w:p w14:paraId="37D48F2C">
            <w:pPr>
              <w:spacing w:line="480" w:lineRule="exact"/>
              <w:jc w:val="center"/>
              <w:rPr>
                <w:rFonts w:hint="eastAsia" w:ascii="华文中宋" w:hAnsi="华文中宋" w:eastAsia="华文中宋" w:cs="华文中宋"/>
                <w:b/>
                <w:color w:val="auto"/>
                <w:sz w:val="21"/>
                <w:szCs w:val="21"/>
                <w:highlight w:val="cyan"/>
              </w:rPr>
            </w:pPr>
          </w:p>
        </w:tc>
        <w:tc>
          <w:tcPr>
            <w:tcW w:w="921" w:type="dxa"/>
            <w:noWrap w:val="0"/>
            <w:vAlign w:val="top"/>
          </w:tcPr>
          <w:p w14:paraId="58379FDA">
            <w:pPr>
              <w:pStyle w:val="14"/>
              <w:keepNext/>
              <w:spacing w:line="440" w:lineRule="exact"/>
              <w:ind w:left="63" w:right="63"/>
              <w:rPr>
                <w:rFonts w:hint="eastAsia" w:ascii="华文中宋" w:hAnsi="华文中宋" w:eastAsia="华文中宋" w:cs="华文中宋"/>
                <w:color w:val="auto"/>
                <w:kern w:val="2"/>
                <w:sz w:val="21"/>
                <w:szCs w:val="21"/>
                <w:highlight w:val="cyan"/>
              </w:rPr>
            </w:pPr>
          </w:p>
        </w:tc>
      </w:tr>
    </w:tbl>
    <w:p w14:paraId="1956966A">
      <w:pPr>
        <w:spacing w:line="440" w:lineRule="exact"/>
        <w:ind w:left="-489" w:leftChars="-233" w:firstLine="297" w:firstLineChars="9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30"/>
          <w:szCs w:val="30"/>
        </w:rPr>
        <w:br w:type="page"/>
      </w:r>
      <w:r>
        <w:rPr>
          <w:rFonts w:hint="eastAsia" w:ascii="华文中宋" w:hAnsi="华文中宋" w:eastAsia="华文中宋" w:cs="华文中宋"/>
          <w:color w:val="auto"/>
          <w:sz w:val="24"/>
          <w:szCs w:val="24"/>
        </w:rPr>
        <w:t>附</w:t>
      </w:r>
      <w:bookmarkStart w:id="1126" w:name="_Toc267261699"/>
      <w:bookmarkStart w:id="1127" w:name="_Toc296891268"/>
      <w:bookmarkStart w:id="1128" w:name="_Toc296944567"/>
      <w:bookmarkStart w:id="1129" w:name="_Toc296347227"/>
      <w:bookmarkStart w:id="1130" w:name="_Toc296503228"/>
      <w:bookmarkStart w:id="1131" w:name="_Toc296346729"/>
      <w:bookmarkStart w:id="1132" w:name="_Toc296891056"/>
      <w:r>
        <w:rPr>
          <w:rFonts w:hint="eastAsia" w:ascii="华文中宋" w:hAnsi="华文中宋" w:eastAsia="华文中宋" w:cs="华文中宋"/>
          <w:color w:val="auto"/>
          <w:sz w:val="24"/>
          <w:szCs w:val="24"/>
        </w:rPr>
        <w:t>件6：</w:t>
      </w:r>
    </w:p>
    <w:bookmarkEnd w:id="1126"/>
    <w:bookmarkEnd w:id="1127"/>
    <w:bookmarkEnd w:id="1128"/>
    <w:bookmarkEnd w:id="1129"/>
    <w:bookmarkEnd w:id="1130"/>
    <w:bookmarkEnd w:id="1131"/>
    <w:bookmarkEnd w:id="1132"/>
    <w:p w14:paraId="58E15E65">
      <w:pPr>
        <w:spacing w:beforeLines="50" w:afterLines="50" w:line="440" w:lineRule="exact"/>
        <w:jc w:val="center"/>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承包人主要施工管理人员表</w:t>
      </w:r>
    </w:p>
    <w:tbl>
      <w:tblPr>
        <w:tblStyle w:val="29"/>
        <w:tblW w:w="95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283"/>
        <w:gridCol w:w="1640"/>
        <w:gridCol w:w="1317"/>
        <w:gridCol w:w="3438"/>
      </w:tblGrid>
      <w:tr w14:paraId="66ED0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907C4F">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名    称</w:t>
            </w:r>
          </w:p>
        </w:tc>
        <w:tc>
          <w:tcPr>
            <w:tcW w:w="1283" w:type="dxa"/>
            <w:tcBorders>
              <w:top w:val="single" w:color="auto" w:sz="12" w:space="0"/>
              <w:bottom w:val="double" w:color="auto" w:sz="6" w:space="0"/>
            </w:tcBorders>
            <w:noWrap w:val="0"/>
            <w:vAlign w:val="center"/>
          </w:tcPr>
          <w:p w14:paraId="43F6E4B2">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姓名</w:t>
            </w:r>
          </w:p>
        </w:tc>
        <w:tc>
          <w:tcPr>
            <w:tcW w:w="1640" w:type="dxa"/>
            <w:tcBorders>
              <w:top w:val="single" w:color="auto" w:sz="12" w:space="0"/>
              <w:bottom w:val="double" w:color="auto" w:sz="6" w:space="0"/>
            </w:tcBorders>
            <w:noWrap w:val="0"/>
            <w:vAlign w:val="center"/>
          </w:tcPr>
          <w:p w14:paraId="73023902">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职务</w:t>
            </w:r>
          </w:p>
        </w:tc>
        <w:tc>
          <w:tcPr>
            <w:tcW w:w="1317" w:type="dxa"/>
            <w:tcBorders>
              <w:top w:val="single" w:color="auto" w:sz="12" w:space="0"/>
              <w:bottom w:val="double" w:color="auto" w:sz="6" w:space="0"/>
            </w:tcBorders>
            <w:noWrap w:val="0"/>
            <w:vAlign w:val="center"/>
          </w:tcPr>
          <w:p w14:paraId="251052DC">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职称</w:t>
            </w:r>
          </w:p>
        </w:tc>
        <w:tc>
          <w:tcPr>
            <w:tcW w:w="3438" w:type="dxa"/>
            <w:tcBorders>
              <w:top w:val="single" w:color="auto" w:sz="12" w:space="0"/>
              <w:bottom w:val="double" w:color="auto" w:sz="6" w:space="0"/>
            </w:tcBorders>
            <w:noWrap w:val="0"/>
            <w:vAlign w:val="center"/>
          </w:tcPr>
          <w:p w14:paraId="77BBF6E5">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主要资历、经验及承担过的项目</w:t>
            </w:r>
          </w:p>
        </w:tc>
      </w:tr>
      <w:tr w14:paraId="6025D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9" w:type="dxa"/>
            <w:gridSpan w:val="5"/>
            <w:tcBorders>
              <w:top w:val="double" w:color="auto" w:sz="6" w:space="0"/>
              <w:bottom w:val="single" w:color="auto" w:sz="6" w:space="0"/>
            </w:tcBorders>
            <w:noWrap w:val="0"/>
            <w:vAlign w:val="center"/>
          </w:tcPr>
          <w:p w14:paraId="5279AD15">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一、总部人员</w:t>
            </w:r>
          </w:p>
        </w:tc>
      </w:tr>
      <w:tr w14:paraId="6FEEE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81FB7A1">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项目主管</w:t>
            </w:r>
          </w:p>
        </w:tc>
        <w:tc>
          <w:tcPr>
            <w:tcW w:w="1283" w:type="dxa"/>
            <w:tcBorders>
              <w:top w:val="nil"/>
            </w:tcBorders>
            <w:noWrap w:val="0"/>
            <w:vAlign w:val="center"/>
          </w:tcPr>
          <w:p w14:paraId="27B9334C">
            <w:pPr>
              <w:spacing w:line="440" w:lineRule="exact"/>
              <w:jc w:val="center"/>
              <w:rPr>
                <w:rFonts w:hint="eastAsia" w:ascii="华文中宋" w:hAnsi="华文中宋" w:eastAsia="华文中宋" w:cs="华文中宋"/>
                <w:b/>
                <w:color w:val="auto"/>
                <w:sz w:val="24"/>
                <w:szCs w:val="24"/>
              </w:rPr>
            </w:pPr>
          </w:p>
        </w:tc>
        <w:tc>
          <w:tcPr>
            <w:tcW w:w="1640" w:type="dxa"/>
            <w:tcBorders>
              <w:top w:val="nil"/>
            </w:tcBorders>
            <w:noWrap w:val="0"/>
            <w:vAlign w:val="center"/>
          </w:tcPr>
          <w:p w14:paraId="4F568079">
            <w:pPr>
              <w:pStyle w:val="14"/>
              <w:keepNext/>
              <w:spacing w:line="440" w:lineRule="exact"/>
              <w:ind w:left="63" w:right="63"/>
              <w:rPr>
                <w:rFonts w:hint="eastAsia" w:ascii="华文中宋" w:hAnsi="华文中宋" w:eastAsia="华文中宋" w:cs="华文中宋"/>
                <w:color w:val="auto"/>
                <w:kern w:val="2"/>
                <w:sz w:val="24"/>
                <w:szCs w:val="24"/>
              </w:rPr>
            </w:pPr>
          </w:p>
        </w:tc>
        <w:tc>
          <w:tcPr>
            <w:tcW w:w="1317" w:type="dxa"/>
            <w:tcBorders>
              <w:top w:val="nil"/>
            </w:tcBorders>
            <w:noWrap w:val="0"/>
            <w:vAlign w:val="center"/>
          </w:tcPr>
          <w:p w14:paraId="614BE3AB">
            <w:pPr>
              <w:pStyle w:val="14"/>
              <w:keepNext/>
              <w:spacing w:line="440" w:lineRule="exact"/>
              <w:ind w:left="63" w:right="63"/>
              <w:rPr>
                <w:rFonts w:hint="eastAsia" w:ascii="华文中宋" w:hAnsi="华文中宋" w:eastAsia="华文中宋" w:cs="华文中宋"/>
                <w:color w:val="auto"/>
                <w:kern w:val="2"/>
                <w:sz w:val="24"/>
                <w:szCs w:val="24"/>
              </w:rPr>
            </w:pPr>
          </w:p>
        </w:tc>
        <w:tc>
          <w:tcPr>
            <w:tcW w:w="3438" w:type="dxa"/>
            <w:tcBorders>
              <w:top w:val="nil"/>
            </w:tcBorders>
            <w:noWrap w:val="0"/>
            <w:vAlign w:val="center"/>
          </w:tcPr>
          <w:p w14:paraId="6DA7DAF9">
            <w:pPr>
              <w:pStyle w:val="14"/>
              <w:keepNext/>
              <w:spacing w:line="440" w:lineRule="exact"/>
              <w:ind w:left="63" w:right="63"/>
              <w:rPr>
                <w:rFonts w:hint="eastAsia" w:ascii="华文中宋" w:hAnsi="华文中宋" w:eastAsia="华文中宋" w:cs="华文中宋"/>
                <w:color w:val="auto"/>
                <w:kern w:val="2"/>
                <w:sz w:val="24"/>
                <w:szCs w:val="24"/>
              </w:rPr>
            </w:pPr>
          </w:p>
        </w:tc>
      </w:tr>
      <w:tr w14:paraId="3E2C6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21553A9">
            <w:pPr>
              <w:pStyle w:val="14"/>
              <w:keepNext/>
              <w:spacing w:line="440" w:lineRule="exact"/>
              <w:ind w:left="63" w:right="63"/>
              <w:rPr>
                <w:rFonts w:hint="eastAsia" w:ascii="华文中宋" w:hAnsi="华文中宋" w:eastAsia="华文中宋" w:cs="华文中宋"/>
                <w:color w:val="auto"/>
                <w:kern w:val="2"/>
                <w:sz w:val="24"/>
                <w:szCs w:val="24"/>
              </w:rPr>
            </w:pPr>
          </w:p>
        </w:tc>
        <w:tc>
          <w:tcPr>
            <w:tcW w:w="1283" w:type="dxa"/>
            <w:noWrap w:val="0"/>
            <w:vAlign w:val="center"/>
          </w:tcPr>
          <w:p w14:paraId="62524045">
            <w:pPr>
              <w:spacing w:line="480" w:lineRule="exact"/>
              <w:jc w:val="center"/>
              <w:rPr>
                <w:rFonts w:hint="eastAsia" w:ascii="华文中宋" w:hAnsi="华文中宋" w:eastAsia="华文中宋" w:cs="华文中宋"/>
                <w:b/>
                <w:color w:val="auto"/>
                <w:sz w:val="24"/>
                <w:szCs w:val="24"/>
              </w:rPr>
            </w:pPr>
          </w:p>
        </w:tc>
        <w:tc>
          <w:tcPr>
            <w:tcW w:w="1640" w:type="dxa"/>
            <w:noWrap w:val="0"/>
            <w:vAlign w:val="center"/>
          </w:tcPr>
          <w:p w14:paraId="7798D0DB">
            <w:pPr>
              <w:pStyle w:val="14"/>
              <w:keepNext/>
              <w:spacing w:line="440" w:lineRule="exact"/>
              <w:ind w:left="63" w:right="63"/>
              <w:rPr>
                <w:rFonts w:hint="eastAsia" w:ascii="华文中宋" w:hAnsi="华文中宋" w:eastAsia="华文中宋" w:cs="华文中宋"/>
                <w:color w:val="auto"/>
                <w:kern w:val="2"/>
                <w:sz w:val="24"/>
                <w:szCs w:val="24"/>
              </w:rPr>
            </w:pPr>
          </w:p>
        </w:tc>
        <w:tc>
          <w:tcPr>
            <w:tcW w:w="1317" w:type="dxa"/>
            <w:noWrap w:val="0"/>
            <w:vAlign w:val="center"/>
          </w:tcPr>
          <w:p w14:paraId="782CA422">
            <w:pPr>
              <w:pStyle w:val="14"/>
              <w:keepNext/>
              <w:spacing w:line="440" w:lineRule="exact"/>
              <w:ind w:left="63" w:right="63"/>
              <w:rPr>
                <w:rFonts w:hint="eastAsia" w:ascii="华文中宋" w:hAnsi="华文中宋" w:eastAsia="华文中宋" w:cs="华文中宋"/>
                <w:color w:val="auto"/>
                <w:kern w:val="2"/>
                <w:sz w:val="24"/>
                <w:szCs w:val="24"/>
              </w:rPr>
            </w:pPr>
          </w:p>
        </w:tc>
        <w:tc>
          <w:tcPr>
            <w:tcW w:w="3438" w:type="dxa"/>
            <w:noWrap w:val="0"/>
            <w:vAlign w:val="center"/>
          </w:tcPr>
          <w:p w14:paraId="15EDEEF2">
            <w:pPr>
              <w:pStyle w:val="14"/>
              <w:keepNext/>
              <w:spacing w:line="440" w:lineRule="exact"/>
              <w:ind w:left="63" w:right="63"/>
              <w:rPr>
                <w:rFonts w:hint="eastAsia" w:ascii="华文中宋" w:hAnsi="华文中宋" w:eastAsia="华文中宋" w:cs="华文中宋"/>
                <w:color w:val="auto"/>
                <w:kern w:val="2"/>
                <w:sz w:val="24"/>
                <w:szCs w:val="24"/>
              </w:rPr>
            </w:pPr>
          </w:p>
        </w:tc>
      </w:tr>
      <w:tr w14:paraId="1DAB1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FA26B3A">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其他人员</w:t>
            </w:r>
          </w:p>
        </w:tc>
        <w:tc>
          <w:tcPr>
            <w:tcW w:w="1283" w:type="dxa"/>
            <w:noWrap w:val="0"/>
            <w:vAlign w:val="center"/>
          </w:tcPr>
          <w:p w14:paraId="772BA46E">
            <w:pPr>
              <w:spacing w:line="440" w:lineRule="exact"/>
              <w:jc w:val="center"/>
              <w:rPr>
                <w:rFonts w:hint="eastAsia" w:ascii="华文中宋" w:hAnsi="华文中宋" w:eastAsia="华文中宋" w:cs="华文中宋"/>
                <w:b/>
                <w:color w:val="auto"/>
                <w:sz w:val="24"/>
                <w:szCs w:val="24"/>
              </w:rPr>
            </w:pPr>
          </w:p>
        </w:tc>
        <w:tc>
          <w:tcPr>
            <w:tcW w:w="1640" w:type="dxa"/>
            <w:noWrap w:val="0"/>
            <w:vAlign w:val="center"/>
          </w:tcPr>
          <w:p w14:paraId="699B0184">
            <w:pPr>
              <w:pStyle w:val="14"/>
              <w:keepNext/>
              <w:spacing w:line="440" w:lineRule="exact"/>
              <w:ind w:left="63" w:right="63"/>
              <w:rPr>
                <w:rFonts w:hint="eastAsia" w:ascii="华文中宋" w:hAnsi="华文中宋" w:eastAsia="华文中宋" w:cs="华文中宋"/>
                <w:color w:val="auto"/>
                <w:kern w:val="2"/>
                <w:sz w:val="24"/>
                <w:szCs w:val="24"/>
              </w:rPr>
            </w:pPr>
          </w:p>
        </w:tc>
        <w:tc>
          <w:tcPr>
            <w:tcW w:w="1317" w:type="dxa"/>
            <w:noWrap w:val="0"/>
            <w:vAlign w:val="center"/>
          </w:tcPr>
          <w:p w14:paraId="034FAB26">
            <w:pPr>
              <w:pStyle w:val="14"/>
              <w:keepNext/>
              <w:spacing w:line="440" w:lineRule="exact"/>
              <w:ind w:left="63" w:right="63"/>
              <w:rPr>
                <w:rFonts w:hint="eastAsia" w:ascii="华文中宋" w:hAnsi="华文中宋" w:eastAsia="华文中宋" w:cs="华文中宋"/>
                <w:color w:val="auto"/>
                <w:kern w:val="2"/>
                <w:sz w:val="24"/>
                <w:szCs w:val="24"/>
              </w:rPr>
            </w:pPr>
          </w:p>
        </w:tc>
        <w:tc>
          <w:tcPr>
            <w:tcW w:w="3438" w:type="dxa"/>
            <w:noWrap w:val="0"/>
            <w:vAlign w:val="center"/>
          </w:tcPr>
          <w:p w14:paraId="0C16D779">
            <w:pPr>
              <w:pStyle w:val="14"/>
              <w:keepNext/>
              <w:spacing w:line="440" w:lineRule="exact"/>
              <w:ind w:left="63" w:right="63"/>
              <w:rPr>
                <w:rFonts w:hint="eastAsia" w:ascii="华文中宋" w:hAnsi="华文中宋" w:eastAsia="华文中宋" w:cs="华文中宋"/>
                <w:color w:val="auto"/>
                <w:kern w:val="2"/>
                <w:sz w:val="24"/>
                <w:szCs w:val="24"/>
              </w:rPr>
            </w:pPr>
          </w:p>
        </w:tc>
      </w:tr>
      <w:tr w14:paraId="3DF98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771D83E">
            <w:pPr>
              <w:pStyle w:val="14"/>
              <w:keepNext/>
              <w:spacing w:line="440" w:lineRule="exact"/>
              <w:ind w:left="63" w:right="63"/>
              <w:rPr>
                <w:rFonts w:hint="eastAsia" w:ascii="华文中宋" w:hAnsi="华文中宋" w:eastAsia="华文中宋" w:cs="华文中宋"/>
                <w:color w:val="auto"/>
                <w:kern w:val="2"/>
                <w:sz w:val="24"/>
                <w:szCs w:val="24"/>
              </w:rPr>
            </w:pPr>
          </w:p>
        </w:tc>
        <w:tc>
          <w:tcPr>
            <w:tcW w:w="1283" w:type="dxa"/>
            <w:noWrap w:val="0"/>
            <w:vAlign w:val="center"/>
          </w:tcPr>
          <w:p w14:paraId="5BC5AC72">
            <w:pPr>
              <w:spacing w:line="440" w:lineRule="exact"/>
              <w:rPr>
                <w:rFonts w:hint="eastAsia" w:ascii="华文中宋" w:hAnsi="华文中宋" w:eastAsia="华文中宋" w:cs="华文中宋"/>
                <w:b/>
                <w:color w:val="auto"/>
                <w:sz w:val="24"/>
                <w:szCs w:val="24"/>
              </w:rPr>
            </w:pPr>
          </w:p>
        </w:tc>
        <w:tc>
          <w:tcPr>
            <w:tcW w:w="1640" w:type="dxa"/>
            <w:noWrap w:val="0"/>
            <w:vAlign w:val="center"/>
          </w:tcPr>
          <w:p w14:paraId="0957B370">
            <w:pPr>
              <w:pStyle w:val="14"/>
              <w:keepNext/>
              <w:spacing w:line="440" w:lineRule="exact"/>
              <w:ind w:left="63" w:right="63"/>
              <w:rPr>
                <w:rFonts w:hint="eastAsia" w:ascii="华文中宋" w:hAnsi="华文中宋" w:eastAsia="华文中宋" w:cs="华文中宋"/>
                <w:color w:val="auto"/>
                <w:kern w:val="2"/>
                <w:sz w:val="24"/>
                <w:szCs w:val="24"/>
              </w:rPr>
            </w:pPr>
          </w:p>
        </w:tc>
        <w:tc>
          <w:tcPr>
            <w:tcW w:w="1317" w:type="dxa"/>
            <w:noWrap w:val="0"/>
            <w:vAlign w:val="center"/>
          </w:tcPr>
          <w:p w14:paraId="6B1AA6B4">
            <w:pPr>
              <w:pStyle w:val="14"/>
              <w:keepNext/>
              <w:spacing w:line="440" w:lineRule="exact"/>
              <w:ind w:left="63" w:right="63"/>
              <w:rPr>
                <w:rFonts w:hint="eastAsia" w:ascii="华文中宋" w:hAnsi="华文中宋" w:eastAsia="华文中宋" w:cs="华文中宋"/>
                <w:color w:val="auto"/>
                <w:kern w:val="2"/>
                <w:sz w:val="24"/>
                <w:szCs w:val="24"/>
              </w:rPr>
            </w:pPr>
          </w:p>
        </w:tc>
        <w:tc>
          <w:tcPr>
            <w:tcW w:w="3438" w:type="dxa"/>
            <w:noWrap w:val="0"/>
            <w:vAlign w:val="center"/>
          </w:tcPr>
          <w:p w14:paraId="4823E68D">
            <w:pPr>
              <w:pStyle w:val="14"/>
              <w:keepNext/>
              <w:spacing w:line="440" w:lineRule="exact"/>
              <w:ind w:left="63" w:right="63"/>
              <w:rPr>
                <w:rFonts w:hint="eastAsia" w:ascii="华文中宋" w:hAnsi="华文中宋" w:eastAsia="华文中宋" w:cs="华文中宋"/>
                <w:color w:val="auto"/>
                <w:kern w:val="2"/>
                <w:sz w:val="24"/>
                <w:szCs w:val="24"/>
              </w:rPr>
            </w:pPr>
          </w:p>
        </w:tc>
      </w:tr>
      <w:tr w14:paraId="11F31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549" w:type="dxa"/>
            <w:gridSpan w:val="5"/>
            <w:tcBorders>
              <w:top w:val="single" w:color="auto" w:sz="6" w:space="0"/>
              <w:bottom w:val="single" w:color="auto" w:sz="6" w:space="0"/>
            </w:tcBorders>
            <w:noWrap w:val="0"/>
            <w:vAlign w:val="center"/>
          </w:tcPr>
          <w:p w14:paraId="30CD8567">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二、现场人员</w:t>
            </w:r>
          </w:p>
        </w:tc>
      </w:tr>
      <w:tr w14:paraId="35F8B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noWrap w:val="0"/>
            <w:vAlign w:val="center"/>
          </w:tcPr>
          <w:p w14:paraId="524FB524">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项目经理</w:t>
            </w:r>
          </w:p>
        </w:tc>
        <w:tc>
          <w:tcPr>
            <w:tcW w:w="1283" w:type="dxa"/>
            <w:noWrap w:val="0"/>
            <w:vAlign w:val="center"/>
          </w:tcPr>
          <w:p w14:paraId="2B611F07">
            <w:pPr>
              <w:spacing w:line="440" w:lineRule="exact"/>
              <w:jc w:val="center"/>
              <w:rPr>
                <w:rFonts w:hint="eastAsia" w:ascii="华文中宋" w:hAnsi="华文中宋" w:eastAsia="华文中宋" w:cs="华文中宋"/>
                <w:b/>
                <w:color w:val="auto"/>
                <w:sz w:val="24"/>
                <w:szCs w:val="24"/>
              </w:rPr>
            </w:pPr>
          </w:p>
        </w:tc>
        <w:tc>
          <w:tcPr>
            <w:tcW w:w="1640" w:type="dxa"/>
            <w:noWrap w:val="0"/>
            <w:vAlign w:val="center"/>
          </w:tcPr>
          <w:p w14:paraId="0402C5AB">
            <w:pPr>
              <w:spacing w:line="440" w:lineRule="exact"/>
              <w:jc w:val="center"/>
              <w:rPr>
                <w:rFonts w:hint="eastAsia" w:ascii="华文中宋" w:hAnsi="华文中宋" w:eastAsia="华文中宋" w:cs="华文中宋"/>
                <w:b/>
                <w:bCs/>
                <w:color w:val="auto"/>
                <w:sz w:val="24"/>
                <w:szCs w:val="24"/>
              </w:rPr>
            </w:pPr>
          </w:p>
        </w:tc>
        <w:tc>
          <w:tcPr>
            <w:tcW w:w="1317" w:type="dxa"/>
            <w:noWrap w:val="0"/>
            <w:vAlign w:val="center"/>
          </w:tcPr>
          <w:p w14:paraId="68889257">
            <w:pPr>
              <w:spacing w:line="440" w:lineRule="exact"/>
              <w:jc w:val="center"/>
              <w:rPr>
                <w:rFonts w:hint="eastAsia" w:ascii="华文中宋" w:hAnsi="华文中宋" w:eastAsia="华文中宋" w:cs="华文中宋"/>
                <w:b/>
                <w:color w:val="auto"/>
                <w:sz w:val="24"/>
                <w:szCs w:val="24"/>
              </w:rPr>
            </w:pPr>
          </w:p>
        </w:tc>
        <w:tc>
          <w:tcPr>
            <w:tcW w:w="3438" w:type="dxa"/>
            <w:noWrap w:val="0"/>
            <w:vAlign w:val="center"/>
          </w:tcPr>
          <w:p w14:paraId="3F8C01EC">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2CE47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noWrap w:val="0"/>
            <w:vAlign w:val="center"/>
          </w:tcPr>
          <w:p w14:paraId="0F44D4EE">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项目副经理</w:t>
            </w:r>
          </w:p>
        </w:tc>
        <w:tc>
          <w:tcPr>
            <w:tcW w:w="1283" w:type="dxa"/>
            <w:noWrap w:val="0"/>
            <w:vAlign w:val="center"/>
          </w:tcPr>
          <w:p w14:paraId="6CFA852D">
            <w:pPr>
              <w:spacing w:line="440" w:lineRule="exact"/>
              <w:jc w:val="center"/>
              <w:rPr>
                <w:rFonts w:hint="eastAsia" w:ascii="华文中宋" w:hAnsi="华文中宋" w:eastAsia="华文中宋" w:cs="华文中宋"/>
                <w:b/>
                <w:color w:val="auto"/>
                <w:sz w:val="24"/>
                <w:szCs w:val="24"/>
              </w:rPr>
            </w:pPr>
          </w:p>
        </w:tc>
        <w:tc>
          <w:tcPr>
            <w:tcW w:w="1640" w:type="dxa"/>
            <w:noWrap w:val="0"/>
            <w:vAlign w:val="center"/>
          </w:tcPr>
          <w:p w14:paraId="1C6290D1">
            <w:pPr>
              <w:pStyle w:val="46"/>
              <w:widowControl/>
              <w:snapToGrid w:val="0"/>
              <w:spacing w:after="0" w:line="440" w:lineRule="exact"/>
              <w:ind w:left="63" w:right="63"/>
              <w:rPr>
                <w:rFonts w:hint="eastAsia" w:ascii="华文中宋" w:hAnsi="华文中宋" w:eastAsia="华文中宋" w:cs="华文中宋"/>
                <w:b/>
                <w:bCs/>
                <w:color w:val="auto"/>
                <w:kern w:val="2"/>
                <w:sz w:val="24"/>
                <w:szCs w:val="24"/>
              </w:rPr>
            </w:pPr>
          </w:p>
        </w:tc>
        <w:tc>
          <w:tcPr>
            <w:tcW w:w="1317" w:type="dxa"/>
            <w:noWrap w:val="0"/>
            <w:vAlign w:val="center"/>
          </w:tcPr>
          <w:p w14:paraId="397310DB">
            <w:pPr>
              <w:spacing w:line="440" w:lineRule="exact"/>
              <w:jc w:val="center"/>
              <w:rPr>
                <w:rFonts w:hint="eastAsia" w:ascii="华文中宋" w:hAnsi="华文中宋" w:eastAsia="华文中宋" w:cs="华文中宋"/>
                <w:b/>
                <w:color w:val="auto"/>
                <w:sz w:val="24"/>
                <w:szCs w:val="24"/>
              </w:rPr>
            </w:pPr>
          </w:p>
        </w:tc>
        <w:tc>
          <w:tcPr>
            <w:tcW w:w="3438" w:type="dxa"/>
            <w:noWrap w:val="0"/>
            <w:vAlign w:val="center"/>
          </w:tcPr>
          <w:p w14:paraId="26808184">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3CF2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1871" w:type="dxa"/>
            <w:tcBorders>
              <w:top w:val="single" w:color="auto" w:sz="6" w:space="0"/>
              <w:bottom w:val="single" w:color="auto" w:sz="6" w:space="0"/>
            </w:tcBorders>
            <w:noWrap w:val="0"/>
            <w:vAlign w:val="center"/>
          </w:tcPr>
          <w:p w14:paraId="49E8B9BE">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技术负责人</w:t>
            </w:r>
          </w:p>
        </w:tc>
        <w:tc>
          <w:tcPr>
            <w:tcW w:w="1283" w:type="dxa"/>
            <w:noWrap w:val="0"/>
            <w:vAlign w:val="center"/>
          </w:tcPr>
          <w:p w14:paraId="027270FF">
            <w:pPr>
              <w:spacing w:line="440" w:lineRule="exact"/>
              <w:jc w:val="center"/>
              <w:rPr>
                <w:rFonts w:hint="eastAsia" w:ascii="华文中宋" w:hAnsi="华文中宋" w:eastAsia="华文中宋" w:cs="华文中宋"/>
                <w:b/>
                <w:color w:val="auto"/>
                <w:sz w:val="24"/>
                <w:szCs w:val="24"/>
              </w:rPr>
            </w:pPr>
          </w:p>
        </w:tc>
        <w:tc>
          <w:tcPr>
            <w:tcW w:w="1640" w:type="dxa"/>
            <w:noWrap w:val="0"/>
            <w:vAlign w:val="center"/>
          </w:tcPr>
          <w:p w14:paraId="773668DA">
            <w:pPr>
              <w:spacing w:line="320" w:lineRule="exact"/>
              <w:jc w:val="center"/>
              <w:rPr>
                <w:rFonts w:hint="eastAsia" w:ascii="华文中宋" w:hAnsi="华文中宋" w:eastAsia="华文中宋" w:cs="华文中宋"/>
                <w:b/>
                <w:color w:val="auto"/>
                <w:sz w:val="24"/>
                <w:szCs w:val="24"/>
              </w:rPr>
            </w:pPr>
          </w:p>
        </w:tc>
        <w:tc>
          <w:tcPr>
            <w:tcW w:w="1317" w:type="dxa"/>
            <w:noWrap w:val="0"/>
            <w:vAlign w:val="center"/>
          </w:tcPr>
          <w:p w14:paraId="0C2DB7BD">
            <w:pPr>
              <w:spacing w:line="440" w:lineRule="exact"/>
              <w:jc w:val="center"/>
              <w:rPr>
                <w:rFonts w:hint="eastAsia" w:ascii="华文中宋" w:hAnsi="华文中宋" w:eastAsia="华文中宋" w:cs="华文中宋"/>
                <w:b/>
                <w:color w:val="auto"/>
                <w:sz w:val="24"/>
                <w:szCs w:val="24"/>
              </w:rPr>
            </w:pPr>
          </w:p>
        </w:tc>
        <w:tc>
          <w:tcPr>
            <w:tcW w:w="3438" w:type="dxa"/>
            <w:noWrap w:val="0"/>
            <w:vAlign w:val="center"/>
          </w:tcPr>
          <w:p w14:paraId="3A17E7C5">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02D77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871" w:type="dxa"/>
            <w:tcBorders>
              <w:top w:val="single" w:color="auto" w:sz="6" w:space="0"/>
              <w:bottom w:val="single" w:color="auto" w:sz="6" w:space="0"/>
            </w:tcBorders>
            <w:noWrap w:val="0"/>
            <w:vAlign w:val="center"/>
          </w:tcPr>
          <w:p w14:paraId="6149381A">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造价管理</w:t>
            </w:r>
          </w:p>
        </w:tc>
        <w:tc>
          <w:tcPr>
            <w:tcW w:w="1283" w:type="dxa"/>
            <w:noWrap w:val="0"/>
            <w:vAlign w:val="center"/>
          </w:tcPr>
          <w:p w14:paraId="6D8CE7C7">
            <w:pPr>
              <w:spacing w:line="440" w:lineRule="exact"/>
              <w:jc w:val="center"/>
              <w:rPr>
                <w:rFonts w:hint="eastAsia" w:ascii="华文中宋" w:hAnsi="华文中宋" w:eastAsia="华文中宋" w:cs="华文中宋"/>
                <w:b/>
                <w:color w:val="auto"/>
                <w:sz w:val="24"/>
                <w:szCs w:val="24"/>
              </w:rPr>
            </w:pPr>
          </w:p>
        </w:tc>
        <w:tc>
          <w:tcPr>
            <w:tcW w:w="1640" w:type="dxa"/>
            <w:noWrap w:val="0"/>
            <w:vAlign w:val="center"/>
          </w:tcPr>
          <w:p w14:paraId="73C18841">
            <w:pPr>
              <w:spacing w:line="320" w:lineRule="exact"/>
              <w:jc w:val="center"/>
              <w:rPr>
                <w:rFonts w:hint="eastAsia" w:ascii="华文中宋" w:hAnsi="华文中宋" w:eastAsia="华文中宋" w:cs="华文中宋"/>
                <w:b/>
                <w:color w:val="auto"/>
                <w:sz w:val="24"/>
                <w:szCs w:val="24"/>
              </w:rPr>
            </w:pPr>
          </w:p>
        </w:tc>
        <w:tc>
          <w:tcPr>
            <w:tcW w:w="1317" w:type="dxa"/>
            <w:noWrap w:val="0"/>
            <w:vAlign w:val="center"/>
          </w:tcPr>
          <w:p w14:paraId="446E3307">
            <w:pPr>
              <w:spacing w:line="440" w:lineRule="exact"/>
              <w:jc w:val="center"/>
              <w:rPr>
                <w:rFonts w:hint="eastAsia" w:ascii="华文中宋" w:hAnsi="华文中宋" w:eastAsia="华文中宋" w:cs="华文中宋"/>
                <w:b/>
                <w:color w:val="auto"/>
                <w:sz w:val="24"/>
                <w:szCs w:val="24"/>
              </w:rPr>
            </w:pPr>
          </w:p>
        </w:tc>
        <w:tc>
          <w:tcPr>
            <w:tcW w:w="3438" w:type="dxa"/>
            <w:noWrap w:val="0"/>
            <w:vAlign w:val="center"/>
          </w:tcPr>
          <w:p w14:paraId="108EC8D3">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1F56B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noWrap w:val="0"/>
            <w:vAlign w:val="center"/>
          </w:tcPr>
          <w:p w14:paraId="3F488D45">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质量管理</w:t>
            </w:r>
          </w:p>
        </w:tc>
        <w:tc>
          <w:tcPr>
            <w:tcW w:w="1283" w:type="dxa"/>
            <w:noWrap w:val="0"/>
            <w:vAlign w:val="center"/>
          </w:tcPr>
          <w:p w14:paraId="4B9069A7">
            <w:pPr>
              <w:spacing w:line="440" w:lineRule="exact"/>
              <w:jc w:val="center"/>
              <w:rPr>
                <w:rFonts w:hint="eastAsia" w:ascii="华文中宋" w:hAnsi="华文中宋" w:eastAsia="华文中宋" w:cs="华文中宋"/>
                <w:b/>
                <w:color w:val="auto"/>
                <w:sz w:val="24"/>
                <w:szCs w:val="24"/>
              </w:rPr>
            </w:pPr>
          </w:p>
        </w:tc>
        <w:tc>
          <w:tcPr>
            <w:tcW w:w="1640" w:type="dxa"/>
            <w:noWrap w:val="0"/>
            <w:vAlign w:val="center"/>
          </w:tcPr>
          <w:p w14:paraId="53E1CA98">
            <w:pPr>
              <w:spacing w:line="440" w:lineRule="exact"/>
              <w:jc w:val="center"/>
              <w:rPr>
                <w:rFonts w:hint="eastAsia" w:ascii="华文中宋" w:hAnsi="华文中宋" w:eastAsia="华文中宋" w:cs="华文中宋"/>
                <w:b/>
                <w:color w:val="auto"/>
                <w:sz w:val="24"/>
                <w:szCs w:val="24"/>
              </w:rPr>
            </w:pPr>
          </w:p>
        </w:tc>
        <w:tc>
          <w:tcPr>
            <w:tcW w:w="1317" w:type="dxa"/>
            <w:noWrap w:val="0"/>
            <w:vAlign w:val="center"/>
          </w:tcPr>
          <w:p w14:paraId="68D0A8B0">
            <w:pPr>
              <w:spacing w:line="440" w:lineRule="exact"/>
              <w:jc w:val="center"/>
              <w:rPr>
                <w:rFonts w:hint="eastAsia" w:ascii="华文中宋" w:hAnsi="华文中宋" w:eastAsia="华文中宋" w:cs="华文中宋"/>
                <w:b/>
                <w:color w:val="auto"/>
                <w:sz w:val="24"/>
                <w:szCs w:val="24"/>
              </w:rPr>
            </w:pPr>
          </w:p>
        </w:tc>
        <w:tc>
          <w:tcPr>
            <w:tcW w:w="3438" w:type="dxa"/>
            <w:noWrap w:val="0"/>
            <w:vAlign w:val="center"/>
          </w:tcPr>
          <w:p w14:paraId="7441C105">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6C399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noWrap w:val="0"/>
            <w:vAlign w:val="center"/>
          </w:tcPr>
          <w:p w14:paraId="6A35C12F">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安全管理</w:t>
            </w:r>
          </w:p>
        </w:tc>
        <w:tc>
          <w:tcPr>
            <w:tcW w:w="1283" w:type="dxa"/>
            <w:noWrap w:val="0"/>
            <w:vAlign w:val="center"/>
          </w:tcPr>
          <w:p w14:paraId="5AF0BC51">
            <w:pPr>
              <w:spacing w:line="440" w:lineRule="exact"/>
              <w:jc w:val="center"/>
              <w:rPr>
                <w:rFonts w:hint="eastAsia" w:ascii="华文中宋" w:hAnsi="华文中宋" w:eastAsia="华文中宋" w:cs="华文中宋"/>
                <w:b/>
                <w:color w:val="auto"/>
                <w:sz w:val="24"/>
                <w:szCs w:val="24"/>
              </w:rPr>
            </w:pPr>
          </w:p>
        </w:tc>
        <w:tc>
          <w:tcPr>
            <w:tcW w:w="1640" w:type="dxa"/>
            <w:noWrap w:val="0"/>
            <w:vAlign w:val="center"/>
          </w:tcPr>
          <w:p w14:paraId="62FD22AF">
            <w:pPr>
              <w:spacing w:line="440" w:lineRule="exact"/>
              <w:jc w:val="center"/>
              <w:rPr>
                <w:rFonts w:hint="eastAsia" w:ascii="华文中宋" w:hAnsi="华文中宋" w:eastAsia="华文中宋" w:cs="华文中宋"/>
                <w:b/>
                <w:color w:val="auto"/>
                <w:sz w:val="24"/>
                <w:szCs w:val="24"/>
              </w:rPr>
            </w:pPr>
          </w:p>
        </w:tc>
        <w:tc>
          <w:tcPr>
            <w:tcW w:w="1317" w:type="dxa"/>
            <w:noWrap w:val="0"/>
            <w:vAlign w:val="center"/>
          </w:tcPr>
          <w:p w14:paraId="2A3F3259">
            <w:pPr>
              <w:spacing w:line="320" w:lineRule="exact"/>
              <w:jc w:val="center"/>
              <w:rPr>
                <w:rFonts w:hint="eastAsia" w:ascii="华文中宋" w:hAnsi="华文中宋" w:eastAsia="华文中宋" w:cs="华文中宋"/>
                <w:b/>
                <w:color w:val="auto"/>
                <w:sz w:val="24"/>
                <w:szCs w:val="24"/>
              </w:rPr>
            </w:pPr>
          </w:p>
        </w:tc>
        <w:tc>
          <w:tcPr>
            <w:tcW w:w="3438" w:type="dxa"/>
            <w:noWrap w:val="0"/>
            <w:vAlign w:val="center"/>
          </w:tcPr>
          <w:p w14:paraId="3AC46E6F">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320E4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871" w:type="dxa"/>
            <w:vMerge w:val="restart"/>
            <w:tcBorders>
              <w:top w:val="single" w:color="auto" w:sz="6" w:space="0"/>
            </w:tcBorders>
            <w:noWrap w:val="0"/>
            <w:vAlign w:val="center"/>
          </w:tcPr>
          <w:p w14:paraId="50D91481">
            <w:pPr>
              <w:pStyle w:val="14"/>
              <w:keepNext/>
              <w:spacing w:line="440" w:lineRule="exact"/>
              <w:ind w:left="63" w:right="63"/>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其他人员</w:t>
            </w:r>
          </w:p>
        </w:tc>
        <w:tc>
          <w:tcPr>
            <w:tcW w:w="1283" w:type="dxa"/>
            <w:noWrap w:val="0"/>
            <w:vAlign w:val="center"/>
          </w:tcPr>
          <w:p w14:paraId="31E4C4DD">
            <w:pPr>
              <w:spacing w:line="440" w:lineRule="exact"/>
              <w:jc w:val="center"/>
              <w:rPr>
                <w:rFonts w:hint="eastAsia" w:ascii="华文中宋" w:hAnsi="华文中宋" w:eastAsia="华文中宋" w:cs="华文中宋"/>
                <w:b/>
                <w:color w:val="auto"/>
                <w:sz w:val="24"/>
                <w:szCs w:val="24"/>
                <w:highlight w:val="cyan"/>
              </w:rPr>
            </w:pPr>
          </w:p>
        </w:tc>
        <w:tc>
          <w:tcPr>
            <w:tcW w:w="1640" w:type="dxa"/>
            <w:noWrap w:val="0"/>
            <w:vAlign w:val="center"/>
          </w:tcPr>
          <w:p w14:paraId="2573644F">
            <w:pPr>
              <w:spacing w:line="440" w:lineRule="exact"/>
              <w:jc w:val="center"/>
              <w:rPr>
                <w:rFonts w:hint="eastAsia" w:ascii="华文中宋" w:hAnsi="华文中宋" w:eastAsia="华文中宋" w:cs="华文中宋"/>
                <w:b/>
                <w:color w:val="auto"/>
                <w:sz w:val="24"/>
                <w:szCs w:val="24"/>
              </w:rPr>
            </w:pPr>
          </w:p>
        </w:tc>
        <w:tc>
          <w:tcPr>
            <w:tcW w:w="1317" w:type="dxa"/>
            <w:noWrap w:val="0"/>
            <w:vAlign w:val="center"/>
          </w:tcPr>
          <w:p w14:paraId="7C38AD07">
            <w:pPr>
              <w:pStyle w:val="46"/>
              <w:widowControl/>
              <w:snapToGrid w:val="0"/>
              <w:spacing w:after="0" w:line="440" w:lineRule="exact"/>
              <w:ind w:left="63" w:right="63"/>
              <w:rPr>
                <w:rFonts w:hint="eastAsia" w:ascii="华文中宋" w:hAnsi="华文中宋" w:eastAsia="华文中宋" w:cs="华文中宋"/>
                <w:b/>
                <w:bCs/>
                <w:color w:val="auto"/>
                <w:kern w:val="2"/>
                <w:sz w:val="24"/>
                <w:szCs w:val="24"/>
              </w:rPr>
            </w:pPr>
          </w:p>
        </w:tc>
        <w:tc>
          <w:tcPr>
            <w:tcW w:w="3438" w:type="dxa"/>
            <w:noWrap w:val="0"/>
            <w:vAlign w:val="center"/>
          </w:tcPr>
          <w:p w14:paraId="7887BE77">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3FD60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8" w:hRule="exact"/>
          <w:jc w:val="center"/>
        </w:trPr>
        <w:tc>
          <w:tcPr>
            <w:tcW w:w="1871" w:type="dxa"/>
            <w:vMerge w:val="continue"/>
            <w:noWrap w:val="0"/>
            <w:vAlign w:val="center"/>
          </w:tcPr>
          <w:p w14:paraId="07AD0B87">
            <w:pPr>
              <w:pStyle w:val="14"/>
              <w:keepNext/>
              <w:spacing w:line="440" w:lineRule="exact"/>
              <w:ind w:left="63" w:right="63"/>
              <w:rPr>
                <w:rFonts w:hint="eastAsia" w:ascii="华文中宋" w:hAnsi="华文中宋" w:eastAsia="华文中宋" w:cs="华文中宋"/>
                <w:color w:val="auto"/>
                <w:kern w:val="2"/>
                <w:sz w:val="24"/>
                <w:szCs w:val="24"/>
              </w:rPr>
            </w:pPr>
          </w:p>
        </w:tc>
        <w:tc>
          <w:tcPr>
            <w:tcW w:w="1283" w:type="dxa"/>
            <w:noWrap w:val="0"/>
            <w:vAlign w:val="center"/>
          </w:tcPr>
          <w:p w14:paraId="211CACAA">
            <w:pPr>
              <w:spacing w:line="440" w:lineRule="exact"/>
              <w:jc w:val="center"/>
              <w:rPr>
                <w:rFonts w:hint="eastAsia" w:ascii="华文中宋" w:hAnsi="华文中宋" w:eastAsia="华文中宋" w:cs="华文中宋"/>
                <w:b/>
                <w:color w:val="auto"/>
                <w:sz w:val="24"/>
                <w:szCs w:val="24"/>
                <w:highlight w:val="cyan"/>
              </w:rPr>
            </w:pPr>
          </w:p>
        </w:tc>
        <w:tc>
          <w:tcPr>
            <w:tcW w:w="1640" w:type="dxa"/>
            <w:noWrap w:val="0"/>
            <w:vAlign w:val="center"/>
          </w:tcPr>
          <w:p w14:paraId="3247AD8B">
            <w:pPr>
              <w:spacing w:line="440" w:lineRule="exact"/>
              <w:jc w:val="center"/>
              <w:rPr>
                <w:rFonts w:hint="eastAsia" w:ascii="华文中宋" w:hAnsi="华文中宋" w:eastAsia="华文中宋" w:cs="华文中宋"/>
                <w:b/>
                <w:color w:val="auto"/>
                <w:sz w:val="24"/>
                <w:szCs w:val="24"/>
              </w:rPr>
            </w:pPr>
          </w:p>
        </w:tc>
        <w:tc>
          <w:tcPr>
            <w:tcW w:w="1317" w:type="dxa"/>
            <w:noWrap w:val="0"/>
            <w:vAlign w:val="center"/>
          </w:tcPr>
          <w:p w14:paraId="02B78156">
            <w:pPr>
              <w:pStyle w:val="46"/>
              <w:widowControl/>
              <w:snapToGrid w:val="0"/>
              <w:spacing w:after="0" w:line="440" w:lineRule="exact"/>
              <w:ind w:left="63" w:right="63"/>
              <w:rPr>
                <w:rFonts w:hint="eastAsia" w:ascii="华文中宋" w:hAnsi="华文中宋" w:eastAsia="华文中宋" w:cs="华文中宋"/>
                <w:b/>
                <w:bCs/>
                <w:color w:val="auto"/>
                <w:kern w:val="2"/>
                <w:sz w:val="24"/>
                <w:szCs w:val="24"/>
              </w:rPr>
            </w:pPr>
          </w:p>
        </w:tc>
        <w:tc>
          <w:tcPr>
            <w:tcW w:w="3438" w:type="dxa"/>
            <w:noWrap w:val="0"/>
            <w:vAlign w:val="center"/>
          </w:tcPr>
          <w:p w14:paraId="1AE27911">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6B810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noWrap w:val="0"/>
            <w:vAlign w:val="center"/>
          </w:tcPr>
          <w:p w14:paraId="446ED59A">
            <w:pPr>
              <w:pStyle w:val="14"/>
              <w:keepNext/>
              <w:spacing w:line="440" w:lineRule="exact"/>
              <w:ind w:left="63" w:right="63"/>
              <w:rPr>
                <w:rFonts w:hint="eastAsia" w:ascii="华文中宋" w:hAnsi="华文中宋" w:eastAsia="华文中宋" w:cs="华文中宋"/>
                <w:color w:val="auto"/>
                <w:kern w:val="2"/>
                <w:sz w:val="24"/>
                <w:szCs w:val="24"/>
              </w:rPr>
            </w:pPr>
          </w:p>
        </w:tc>
        <w:tc>
          <w:tcPr>
            <w:tcW w:w="1283" w:type="dxa"/>
            <w:noWrap w:val="0"/>
            <w:vAlign w:val="center"/>
          </w:tcPr>
          <w:p w14:paraId="076528F4">
            <w:pPr>
              <w:spacing w:line="440" w:lineRule="exact"/>
              <w:jc w:val="center"/>
              <w:rPr>
                <w:rFonts w:hint="eastAsia" w:ascii="华文中宋" w:hAnsi="华文中宋" w:eastAsia="华文中宋" w:cs="华文中宋"/>
                <w:b/>
                <w:color w:val="auto"/>
                <w:sz w:val="24"/>
                <w:szCs w:val="24"/>
                <w:highlight w:val="cyan"/>
              </w:rPr>
            </w:pPr>
          </w:p>
        </w:tc>
        <w:tc>
          <w:tcPr>
            <w:tcW w:w="1640" w:type="dxa"/>
            <w:noWrap w:val="0"/>
            <w:vAlign w:val="center"/>
          </w:tcPr>
          <w:p w14:paraId="768C1B54">
            <w:pPr>
              <w:spacing w:line="440" w:lineRule="exact"/>
              <w:jc w:val="center"/>
              <w:rPr>
                <w:rFonts w:hint="eastAsia" w:ascii="华文中宋" w:hAnsi="华文中宋" w:eastAsia="华文中宋" w:cs="华文中宋"/>
                <w:b/>
                <w:color w:val="auto"/>
                <w:sz w:val="24"/>
                <w:szCs w:val="24"/>
              </w:rPr>
            </w:pPr>
          </w:p>
        </w:tc>
        <w:tc>
          <w:tcPr>
            <w:tcW w:w="1317" w:type="dxa"/>
            <w:noWrap w:val="0"/>
            <w:vAlign w:val="center"/>
          </w:tcPr>
          <w:p w14:paraId="5B69C424">
            <w:pPr>
              <w:pStyle w:val="46"/>
              <w:widowControl/>
              <w:snapToGrid w:val="0"/>
              <w:spacing w:after="0" w:line="440" w:lineRule="exact"/>
              <w:ind w:left="63" w:right="63"/>
              <w:rPr>
                <w:rFonts w:hint="eastAsia" w:ascii="华文中宋" w:hAnsi="华文中宋" w:eastAsia="华文中宋" w:cs="华文中宋"/>
                <w:b/>
                <w:bCs/>
                <w:color w:val="auto"/>
                <w:kern w:val="2"/>
                <w:sz w:val="24"/>
                <w:szCs w:val="24"/>
              </w:rPr>
            </w:pPr>
          </w:p>
        </w:tc>
        <w:tc>
          <w:tcPr>
            <w:tcW w:w="3438" w:type="dxa"/>
            <w:noWrap w:val="0"/>
            <w:vAlign w:val="center"/>
          </w:tcPr>
          <w:p w14:paraId="068111CD">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6B33E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noWrap w:val="0"/>
            <w:vAlign w:val="center"/>
          </w:tcPr>
          <w:p w14:paraId="036903E0">
            <w:pPr>
              <w:pStyle w:val="14"/>
              <w:keepNext/>
              <w:spacing w:line="440" w:lineRule="exact"/>
              <w:ind w:left="63" w:right="63"/>
              <w:rPr>
                <w:rFonts w:hint="eastAsia" w:ascii="华文中宋" w:hAnsi="华文中宋" w:eastAsia="华文中宋" w:cs="华文中宋"/>
                <w:color w:val="auto"/>
                <w:kern w:val="2"/>
                <w:sz w:val="24"/>
                <w:szCs w:val="24"/>
              </w:rPr>
            </w:pPr>
          </w:p>
        </w:tc>
        <w:tc>
          <w:tcPr>
            <w:tcW w:w="1283" w:type="dxa"/>
            <w:noWrap w:val="0"/>
            <w:vAlign w:val="center"/>
          </w:tcPr>
          <w:p w14:paraId="5064B72A">
            <w:pPr>
              <w:spacing w:line="440" w:lineRule="exact"/>
              <w:jc w:val="center"/>
              <w:rPr>
                <w:rFonts w:hint="eastAsia" w:ascii="华文中宋" w:hAnsi="华文中宋" w:eastAsia="华文中宋" w:cs="华文中宋"/>
                <w:b/>
                <w:color w:val="auto"/>
                <w:sz w:val="24"/>
                <w:szCs w:val="24"/>
                <w:highlight w:val="cyan"/>
              </w:rPr>
            </w:pPr>
          </w:p>
        </w:tc>
        <w:tc>
          <w:tcPr>
            <w:tcW w:w="1640" w:type="dxa"/>
            <w:noWrap w:val="0"/>
            <w:vAlign w:val="center"/>
          </w:tcPr>
          <w:p w14:paraId="16B15A9E">
            <w:pPr>
              <w:spacing w:line="440" w:lineRule="exact"/>
              <w:jc w:val="center"/>
              <w:rPr>
                <w:rFonts w:hint="eastAsia" w:ascii="华文中宋" w:hAnsi="华文中宋" w:eastAsia="华文中宋" w:cs="华文中宋"/>
                <w:b/>
                <w:color w:val="auto"/>
                <w:sz w:val="24"/>
                <w:szCs w:val="24"/>
                <w:highlight w:val="cyan"/>
              </w:rPr>
            </w:pPr>
          </w:p>
        </w:tc>
        <w:tc>
          <w:tcPr>
            <w:tcW w:w="1317" w:type="dxa"/>
            <w:noWrap w:val="0"/>
            <w:vAlign w:val="center"/>
          </w:tcPr>
          <w:p w14:paraId="5CEAB41A">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c>
          <w:tcPr>
            <w:tcW w:w="3438" w:type="dxa"/>
            <w:noWrap w:val="0"/>
            <w:vAlign w:val="center"/>
          </w:tcPr>
          <w:p w14:paraId="33DB5C86">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r>
      <w:tr w14:paraId="3E56D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tcBorders>
              <w:bottom w:val="single" w:color="auto" w:sz="12" w:space="0"/>
            </w:tcBorders>
            <w:noWrap w:val="0"/>
            <w:vAlign w:val="center"/>
          </w:tcPr>
          <w:p w14:paraId="24AF2115">
            <w:pPr>
              <w:pStyle w:val="14"/>
              <w:keepNext/>
              <w:spacing w:line="440" w:lineRule="exact"/>
              <w:ind w:left="63" w:right="63"/>
              <w:rPr>
                <w:rFonts w:hint="eastAsia" w:ascii="华文中宋" w:hAnsi="华文中宋" w:eastAsia="华文中宋" w:cs="华文中宋"/>
                <w:color w:val="auto"/>
                <w:kern w:val="2"/>
                <w:sz w:val="24"/>
                <w:szCs w:val="24"/>
              </w:rPr>
            </w:pPr>
          </w:p>
        </w:tc>
        <w:tc>
          <w:tcPr>
            <w:tcW w:w="1283" w:type="dxa"/>
            <w:tcBorders>
              <w:bottom w:val="single" w:color="auto" w:sz="12" w:space="0"/>
            </w:tcBorders>
            <w:noWrap w:val="0"/>
            <w:vAlign w:val="center"/>
          </w:tcPr>
          <w:p w14:paraId="37AAC191">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c>
          <w:tcPr>
            <w:tcW w:w="1640" w:type="dxa"/>
            <w:tcBorders>
              <w:bottom w:val="single" w:color="auto" w:sz="12" w:space="0"/>
            </w:tcBorders>
            <w:noWrap w:val="0"/>
            <w:vAlign w:val="center"/>
          </w:tcPr>
          <w:p w14:paraId="49DF645F">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c>
          <w:tcPr>
            <w:tcW w:w="1317" w:type="dxa"/>
            <w:tcBorders>
              <w:bottom w:val="single" w:color="auto" w:sz="12" w:space="0"/>
            </w:tcBorders>
            <w:noWrap w:val="0"/>
            <w:vAlign w:val="center"/>
          </w:tcPr>
          <w:p w14:paraId="792DF108">
            <w:pPr>
              <w:pStyle w:val="14"/>
              <w:keepNext/>
              <w:spacing w:line="440" w:lineRule="exact"/>
              <w:ind w:left="63" w:right="63"/>
              <w:rPr>
                <w:rFonts w:hint="eastAsia" w:ascii="华文中宋" w:hAnsi="华文中宋" w:eastAsia="华文中宋" w:cs="华文中宋"/>
                <w:color w:val="auto"/>
                <w:kern w:val="2"/>
                <w:sz w:val="24"/>
                <w:szCs w:val="24"/>
                <w:highlight w:val="cyan"/>
              </w:rPr>
            </w:pPr>
          </w:p>
        </w:tc>
        <w:tc>
          <w:tcPr>
            <w:tcW w:w="3438" w:type="dxa"/>
            <w:tcBorders>
              <w:bottom w:val="single" w:color="auto" w:sz="12" w:space="0"/>
            </w:tcBorders>
            <w:noWrap w:val="0"/>
            <w:vAlign w:val="center"/>
          </w:tcPr>
          <w:p w14:paraId="6D8088D4">
            <w:pPr>
              <w:pStyle w:val="14"/>
              <w:keepNext/>
              <w:spacing w:line="440" w:lineRule="exact"/>
              <w:ind w:left="63" w:right="63"/>
              <w:rPr>
                <w:rFonts w:hint="eastAsia" w:ascii="华文中宋" w:hAnsi="华文中宋" w:eastAsia="华文中宋" w:cs="华文中宋"/>
                <w:color w:val="auto"/>
                <w:kern w:val="2"/>
                <w:sz w:val="24"/>
                <w:szCs w:val="24"/>
              </w:rPr>
            </w:pPr>
          </w:p>
        </w:tc>
      </w:tr>
    </w:tbl>
    <w:p w14:paraId="146DBFA1">
      <w:pPr>
        <w:spacing w:line="440" w:lineRule="exact"/>
        <w:ind w:left="-489" w:leftChars="-233" w:firstLine="297" w:firstLineChars="9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30"/>
          <w:szCs w:val="30"/>
        </w:rPr>
        <w:br w:type="page"/>
      </w:r>
      <w:r>
        <w:rPr>
          <w:rFonts w:hint="eastAsia" w:ascii="华文中宋" w:hAnsi="华文中宋" w:eastAsia="华文中宋" w:cs="华文中宋"/>
          <w:color w:val="auto"/>
          <w:sz w:val="24"/>
          <w:szCs w:val="24"/>
        </w:rPr>
        <w:t>附</w:t>
      </w:r>
      <w:bookmarkStart w:id="1133" w:name="_Toc296503229"/>
      <w:bookmarkStart w:id="1134" w:name="_Toc296891057"/>
      <w:bookmarkStart w:id="1135" w:name="_Toc296891269"/>
      <w:bookmarkStart w:id="1136" w:name="_Toc296346730"/>
      <w:bookmarkStart w:id="1137" w:name="_Toc296347228"/>
      <w:bookmarkStart w:id="1138" w:name="_Toc296944568"/>
      <w:r>
        <w:rPr>
          <w:rFonts w:hint="eastAsia" w:ascii="华文中宋" w:hAnsi="华文中宋" w:eastAsia="华文中宋" w:cs="华文中宋"/>
          <w:color w:val="auto"/>
          <w:sz w:val="24"/>
          <w:szCs w:val="24"/>
        </w:rPr>
        <w:t>件7：</w:t>
      </w:r>
    </w:p>
    <w:bookmarkEnd w:id="1133"/>
    <w:bookmarkEnd w:id="1134"/>
    <w:bookmarkEnd w:id="1135"/>
    <w:bookmarkEnd w:id="1136"/>
    <w:bookmarkEnd w:id="1137"/>
    <w:bookmarkEnd w:id="1138"/>
    <w:p w14:paraId="6B8F1A79">
      <w:pPr>
        <w:spacing w:beforeLines="50" w:afterLines="50" w:line="440" w:lineRule="exact"/>
        <w:jc w:val="center"/>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分包人主要施工管理人员表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ED49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F58179C">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名    称</w:t>
            </w:r>
          </w:p>
        </w:tc>
        <w:tc>
          <w:tcPr>
            <w:tcW w:w="1418" w:type="dxa"/>
            <w:tcBorders>
              <w:top w:val="single" w:color="auto" w:sz="12" w:space="0"/>
              <w:bottom w:val="double" w:color="auto" w:sz="6" w:space="0"/>
            </w:tcBorders>
            <w:noWrap w:val="0"/>
            <w:vAlign w:val="center"/>
          </w:tcPr>
          <w:p w14:paraId="63B9DF21">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姓名</w:t>
            </w:r>
          </w:p>
        </w:tc>
        <w:tc>
          <w:tcPr>
            <w:tcW w:w="1134" w:type="dxa"/>
            <w:tcBorders>
              <w:top w:val="single" w:color="auto" w:sz="12" w:space="0"/>
              <w:bottom w:val="double" w:color="auto" w:sz="6" w:space="0"/>
            </w:tcBorders>
            <w:noWrap w:val="0"/>
            <w:vAlign w:val="center"/>
          </w:tcPr>
          <w:p w14:paraId="22955FAE">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职务</w:t>
            </w:r>
          </w:p>
        </w:tc>
        <w:tc>
          <w:tcPr>
            <w:tcW w:w="1134" w:type="dxa"/>
            <w:tcBorders>
              <w:top w:val="single" w:color="auto" w:sz="12" w:space="0"/>
              <w:bottom w:val="double" w:color="auto" w:sz="6" w:space="0"/>
            </w:tcBorders>
            <w:noWrap w:val="0"/>
            <w:vAlign w:val="center"/>
          </w:tcPr>
          <w:p w14:paraId="156F4F3F">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职称</w:t>
            </w:r>
          </w:p>
        </w:tc>
        <w:tc>
          <w:tcPr>
            <w:tcW w:w="4252" w:type="dxa"/>
            <w:tcBorders>
              <w:top w:val="single" w:color="auto" w:sz="12" w:space="0"/>
              <w:bottom w:val="double" w:color="auto" w:sz="6" w:space="0"/>
            </w:tcBorders>
            <w:noWrap w:val="0"/>
            <w:vAlign w:val="center"/>
          </w:tcPr>
          <w:p w14:paraId="78692CD1">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主要资历、经验及承担过的项目</w:t>
            </w:r>
          </w:p>
        </w:tc>
      </w:tr>
      <w:tr w14:paraId="68B65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66E4EF9">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一、总部人员</w:t>
            </w:r>
          </w:p>
        </w:tc>
      </w:tr>
      <w:tr w14:paraId="258B3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ABB782">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项目主管</w:t>
            </w:r>
          </w:p>
        </w:tc>
        <w:tc>
          <w:tcPr>
            <w:tcW w:w="1418" w:type="dxa"/>
            <w:tcBorders>
              <w:top w:val="nil"/>
            </w:tcBorders>
            <w:noWrap w:val="0"/>
            <w:vAlign w:val="center"/>
          </w:tcPr>
          <w:p w14:paraId="225CAF36">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tcBorders>
              <w:top w:val="nil"/>
            </w:tcBorders>
            <w:noWrap w:val="0"/>
            <w:vAlign w:val="center"/>
          </w:tcPr>
          <w:p w14:paraId="2F0CC0E6">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tcBorders>
              <w:top w:val="nil"/>
            </w:tcBorders>
            <w:noWrap w:val="0"/>
            <w:vAlign w:val="center"/>
          </w:tcPr>
          <w:p w14:paraId="4C9AC88C">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tcBorders>
              <w:top w:val="nil"/>
            </w:tcBorders>
            <w:noWrap w:val="0"/>
            <w:vAlign w:val="center"/>
          </w:tcPr>
          <w:p w14:paraId="23A4F034">
            <w:pPr>
              <w:pStyle w:val="14"/>
              <w:keepNext/>
              <w:spacing w:line="440" w:lineRule="exact"/>
              <w:ind w:left="63" w:right="63"/>
              <w:rPr>
                <w:rFonts w:hint="eastAsia" w:ascii="华文中宋" w:hAnsi="华文中宋" w:eastAsia="华文中宋" w:cs="华文中宋"/>
                <w:color w:val="auto"/>
                <w:kern w:val="2"/>
                <w:sz w:val="21"/>
                <w:szCs w:val="21"/>
              </w:rPr>
            </w:pPr>
          </w:p>
        </w:tc>
      </w:tr>
      <w:tr w14:paraId="6403E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B27649A">
            <w:pPr>
              <w:pStyle w:val="14"/>
              <w:keepNext/>
              <w:spacing w:line="440" w:lineRule="exact"/>
              <w:ind w:left="63" w:right="63"/>
              <w:rPr>
                <w:rFonts w:hint="eastAsia" w:ascii="华文中宋" w:hAnsi="华文中宋" w:eastAsia="华文中宋" w:cs="华文中宋"/>
                <w:color w:val="auto"/>
                <w:kern w:val="2"/>
                <w:sz w:val="21"/>
                <w:szCs w:val="21"/>
              </w:rPr>
            </w:pPr>
          </w:p>
        </w:tc>
        <w:tc>
          <w:tcPr>
            <w:tcW w:w="1418" w:type="dxa"/>
            <w:noWrap w:val="0"/>
            <w:vAlign w:val="center"/>
          </w:tcPr>
          <w:p w14:paraId="51BAB60B">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00D2D0FA">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0F56FAEF">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236ECA4A">
            <w:pPr>
              <w:pStyle w:val="14"/>
              <w:keepNext/>
              <w:spacing w:line="440" w:lineRule="exact"/>
              <w:ind w:left="63" w:right="63"/>
              <w:rPr>
                <w:rFonts w:hint="eastAsia" w:ascii="华文中宋" w:hAnsi="华文中宋" w:eastAsia="华文中宋" w:cs="华文中宋"/>
                <w:color w:val="auto"/>
                <w:kern w:val="2"/>
                <w:sz w:val="21"/>
                <w:szCs w:val="21"/>
              </w:rPr>
            </w:pPr>
          </w:p>
        </w:tc>
      </w:tr>
      <w:tr w14:paraId="40BA1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A3022A9">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其他人员</w:t>
            </w:r>
          </w:p>
        </w:tc>
        <w:tc>
          <w:tcPr>
            <w:tcW w:w="1418" w:type="dxa"/>
            <w:noWrap w:val="0"/>
            <w:vAlign w:val="center"/>
          </w:tcPr>
          <w:p w14:paraId="7DB2D62A">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4627E0B4">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077B24A6">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7E42BAD4">
            <w:pPr>
              <w:pStyle w:val="14"/>
              <w:keepNext/>
              <w:spacing w:line="440" w:lineRule="exact"/>
              <w:ind w:left="63" w:right="63"/>
              <w:rPr>
                <w:rFonts w:hint="eastAsia" w:ascii="华文中宋" w:hAnsi="华文中宋" w:eastAsia="华文中宋" w:cs="华文中宋"/>
                <w:color w:val="auto"/>
                <w:kern w:val="2"/>
                <w:sz w:val="21"/>
                <w:szCs w:val="21"/>
              </w:rPr>
            </w:pPr>
          </w:p>
        </w:tc>
      </w:tr>
      <w:tr w14:paraId="18D9A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91E5049">
            <w:pPr>
              <w:pStyle w:val="14"/>
              <w:keepNext/>
              <w:spacing w:line="440" w:lineRule="exact"/>
              <w:ind w:left="63" w:right="63"/>
              <w:rPr>
                <w:rFonts w:hint="eastAsia" w:ascii="华文中宋" w:hAnsi="华文中宋" w:eastAsia="华文中宋" w:cs="华文中宋"/>
                <w:color w:val="auto"/>
                <w:kern w:val="2"/>
                <w:sz w:val="21"/>
                <w:szCs w:val="21"/>
              </w:rPr>
            </w:pPr>
          </w:p>
        </w:tc>
        <w:tc>
          <w:tcPr>
            <w:tcW w:w="1418" w:type="dxa"/>
            <w:noWrap w:val="0"/>
            <w:vAlign w:val="center"/>
          </w:tcPr>
          <w:p w14:paraId="3EE70D32">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6102ED83">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3E51A025">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065A7C7D">
            <w:pPr>
              <w:pStyle w:val="14"/>
              <w:keepNext/>
              <w:spacing w:line="440" w:lineRule="exact"/>
              <w:ind w:left="63" w:right="63"/>
              <w:rPr>
                <w:rFonts w:hint="eastAsia" w:ascii="华文中宋" w:hAnsi="华文中宋" w:eastAsia="华文中宋" w:cs="华文中宋"/>
                <w:color w:val="auto"/>
                <w:kern w:val="2"/>
                <w:sz w:val="21"/>
                <w:szCs w:val="21"/>
              </w:rPr>
            </w:pPr>
          </w:p>
        </w:tc>
      </w:tr>
      <w:tr w14:paraId="2375F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FFC6998">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二、现场人员</w:t>
            </w:r>
          </w:p>
        </w:tc>
      </w:tr>
      <w:tr w14:paraId="71109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30B450">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项目经理</w:t>
            </w:r>
          </w:p>
        </w:tc>
        <w:tc>
          <w:tcPr>
            <w:tcW w:w="1418" w:type="dxa"/>
            <w:noWrap w:val="0"/>
            <w:vAlign w:val="center"/>
          </w:tcPr>
          <w:p w14:paraId="0C99C3D4">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0F342EF8">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6FC00304">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08B132AC">
            <w:pPr>
              <w:pStyle w:val="14"/>
              <w:keepNext/>
              <w:spacing w:line="440" w:lineRule="exact"/>
              <w:ind w:left="63" w:right="63"/>
              <w:rPr>
                <w:rFonts w:hint="eastAsia" w:ascii="华文中宋" w:hAnsi="华文中宋" w:eastAsia="华文中宋" w:cs="华文中宋"/>
                <w:color w:val="auto"/>
                <w:kern w:val="2"/>
                <w:sz w:val="21"/>
                <w:szCs w:val="21"/>
              </w:rPr>
            </w:pPr>
          </w:p>
        </w:tc>
      </w:tr>
      <w:tr w14:paraId="60986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D885EE">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项目副经理</w:t>
            </w:r>
          </w:p>
        </w:tc>
        <w:tc>
          <w:tcPr>
            <w:tcW w:w="1418" w:type="dxa"/>
            <w:noWrap w:val="0"/>
            <w:vAlign w:val="center"/>
          </w:tcPr>
          <w:p w14:paraId="1B4F7E3B">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5A6F793C">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72BBD17B">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4B200A4D">
            <w:pPr>
              <w:pStyle w:val="14"/>
              <w:keepNext/>
              <w:spacing w:line="440" w:lineRule="exact"/>
              <w:ind w:left="63" w:right="63"/>
              <w:rPr>
                <w:rFonts w:hint="eastAsia" w:ascii="华文中宋" w:hAnsi="华文中宋" w:eastAsia="华文中宋" w:cs="华文中宋"/>
                <w:color w:val="auto"/>
                <w:kern w:val="2"/>
                <w:sz w:val="21"/>
                <w:szCs w:val="21"/>
              </w:rPr>
            </w:pPr>
          </w:p>
        </w:tc>
      </w:tr>
      <w:tr w14:paraId="700A4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55981E">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技术负责人</w:t>
            </w:r>
          </w:p>
        </w:tc>
        <w:tc>
          <w:tcPr>
            <w:tcW w:w="1418" w:type="dxa"/>
            <w:noWrap w:val="0"/>
            <w:vAlign w:val="center"/>
          </w:tcPr>
          <w:p w14:paraId="73A0815D">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730ED5E7">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7CB5C56D">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5B04310F">
            <w:pPr>
              <w:pStyle w:val="14"/>
              <w:keepNext/>
              <w:spacing w:line="440" w:lineRule="exact"/>
              <w:ind w:left="63" w:right="63"/>
              <w:rPr>
                <w:rFonts w:hint="eastAsia" w:ascii="华文中宋" w:hAnsi="华文中宋" w:eastAsia="华文中宋" w:cs="华文中宋"/>
                <w:color w:val="auto"/>
                <w:kern w:val="2"/>
                <w:sz w:val="21"/>
                <w:szCs w:val="21"/>
              </w:rPr>
            </w:pPr>
          </w:p>
        </w:tc>
      </w:tr>
      <w:tr w14:paraId="764F5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D2DE1F">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造价管理</w:t>
            </w:r>
          </w:p>
        </w:tc>
        <w:tc>
          <w:tcPr>
            <w:tcW w:w="1418" w:type="dxa"/>
            <w:noWrap w:val="0"/>
            <w:vAlign w:val="center"/>
          </w:tcPr>
          <w:p w14:paraId="1968D9C5">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4F9749C7">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72FF5A69">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51B91630">
            <w:pPr>
              <w:pStyle w:val="14"/>
              <w:keepNext/>
              <w:spacing w:line="440" w:lineRule="exact"/>
              <w:ind w:left="63" w:right="63"/>
              <w:rPr>
                <w:rFonts w:hint="eastAsia" w:ascii="华文中宋" w:hAnsi="华文中宋" w:eastAsia="华文中宋" w:cs="华文中宋"/>
                <w:color w:val="auto"/>
                <w:kern w:val="2"/>
                <w:sz w:val="21"/>
                <w:szCs w:val="21"/>
              </w:rPr>
            </w:pPr>
          </w:p>
        </w:tc>
      </w:tr>
      <w:tr w14:paraId="17DC3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3B65B4">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质量管理</w:t>
            </w:r>
          </w:p>
        </w:tc>
        <w:tc>
          <w:tcPr>
            <w:tcW w:w="1418" w:type="dxa"/>
            <w:noWrap w:val="0"/>
            <w:vAlign w:val="center"/>
          </w:tcPr>
          <w:p w14:paraId="0BB3128A">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58ABF430">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53B6B229">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3471720C">
            <w:pPr>
              <w:pStyle w:val="14"/>
              <w:keepNext/>
              <w:spacing w:line="440" w:lineRule="exact"/>
              <w:ind w:left="63" w:right="63"/>
              <w:rPr>
                <w:rFonts w:hint="eastAsia" w:ascii="华文中宋" w:hAnsi="华文中宋" w:eastAsia="华文中宋" w:cs="华文中宋"/>
                <w:color w:val="auto"/>
                <w:kern w:val="2"/>
                <w:sz w:val="21"/>
                <w:szCs w:val="21"/>
              </w:rPr>
            </w:pPr>
          </w:p>
        </w:tc>
      </w:tr>
      <w:tr w14:paraId="4D3D8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81AEF4C">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材料管理</w:t>
            </w:r>
          </w:p>
        </w:tc>
        <w:tc>
          <w:tcPr>
            <w:tcW w:w="1418" w:type="dxa"/>
            <w:noWrap w:val="0"/>
            <w:vAlign w:val="center"/>
          </w:tcPr>
          <w:p w14:paraId="4475D26F">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74F6EEE9">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629DDDA1">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2D0115C7">
            <w:pPr>
              <w:pStyle w:val="14"/>
              <w:keepNext/>
              <w:spacing w:line="440" w:lineRule="exact"/>
              <w:ind w:left="63" w:right="63"/>
              <w:rPr>
                <w:rFonts w:hint="eastAsia" w:ascii="华文中宋" w:hAnsi="华文中宋" w:eastAsia="华文中宋" w:cs="华文中宋"/>
                <w:color w:val="auto"/>
                <w:kern w:val="2"/>
                <w:sz w:val="21"/>
                <w:szCs w:val="21"/>
              </w:rPr>
            </w:pPr>
          </w:p>
        </w:tc>
      </w:tr>
      <w:tr w14:paraId="413E1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E7FB19">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计划管理</w:t>
            </w:r>
          </w:p>
        </w:tc>
        <w:tc>
          <w:tcPr>
            <w:tcW w:w="1418" w:type="dxa"/>
            <w:noWrap w:val="0"/>
            <w:vAlign w:val="center"/>
          </w:tcPr>
          <w:p w14:paraId="714FB706">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2E297308">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0B65D610">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5DB0622D">
            <w:pPr>
              <w:pStyle w:val="14"/>
              <w:keepNext/>
              <w:spacing w:line="440" w:lineRule="exact"/>
              <w:ind w:left="63" w:right="63"/>
              <w:rPr>
                <w:rFonts w:hint="eastAsia" w:ascii="华文中宋" w:hAnsi="华文中宋" w:eastAsia="华文中宋" w:cs="华文中宋"/>
                <w:color w:val="auto"/>
                <w:kern w:val="2"/>
                <w:sz w:val="21"/>
                <w:szCs w:val="21"/>
              </w:rPr>
            </w:pPr>
          </w:p>
        </w:tc>
      </w:tr>
      <w:tr w14:paraId="6F5E3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B34502">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安全管理</w:t>
            </w:r>
          </w:p>
        </w:tc>
        <w:tc>
          <w:tcPr>
            <w:tcW w:w="1418" w:type="dxa"/>
            <w:noWrap w:val="0"/>
            <w:vAlign w:val="center"/>
          </w:tcPr>
          <w:p w14:paraId="72C625B9">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6B783EE4">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6B354E1D">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7504EADC">
            <w:pPr>
              <w:pStyle w:val="14"/>
              <w:keepNext/>
              <w:spacing w:line="440" w:lineRule="exact"/>
              <w:ind w:left="63" w:right="63"/>
              <w:rPr>
                <w:rFonts w:hint="eastAsia" w:ascii="华文中宋" w:hAnsi="华文中宋" w:eastAsia="华文中宋" w:cs="华文中宋"/>
                <w:color w:val="auto"/>
                <w:kern w:val="2"/>
                <w:sz w:val="21"/>
                <w:szCs w:val="21"/>
              </w:rPr>
            </w:pPr>
          </w:p>
        </w:tc>
      </w:tr>
      <w:tr w14:paraId="43FB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FDF4E45">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其他人员</w:t>
            </w:r>
          </w:p>
        </w:tc>
        <w:tc>
          <w:tcPr>
            <w:tcW w:w="1418" w:type="dxa"/>
            <w:noWrap w:val="0"/>
            <w:vAlign w:val="center"/>
          </w:tcPr>
          <w:p w14:paraId="4713AC8C">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32374C67">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68042D93">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124A4558">
            <w:pPr>
              <w:pStyle w:val="14"/>
              <w:keepNext/>
              <w:spacing w:line="440" w:lineRule="exact"/>
              <w:ind w:left="63" w:right="63"/>
              <w:rPr>
                <w:rFonts w:hint="eastAsia" w:ascii="华文中宋" w:hAnsi="华文中宋" w:eastAsia="华文中宋" w:cs="华文中宋"/>
                <w:color w:val="auto"/>
                <w:kern w:val="2"/>
                <w:sz w:val="21"/>
                <w:szCs w:val="21"/>
              </w:rPr>
            </w:pPr>
          </w:p>
        </w:tc>
      </w:tr>
      <w:tr w14:paraId="3B835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E7EACF8">
            <w:pPr>
              <w:pStyle w:val="14"/>
              <w:keepNext/>
              <w:spacing w:line="440" w:lineRule="exact"/>
              <w:ind w:left="63" w:right="63"/>
              <w:rPr>
                <w:rFonts w:hint="eastAsia" w:ascii="华文中宋" w:hAnsi="华文中宋" w:eastAsia="华文中宋" w:cs="华文中宋"/>
                <w:color w:val="auto"/>
                <w:kern w:val="2"/>
                <w:sz w:val="21"/>
                <w:szCs w:val="21"/>
              </w:rPr>
            </w:pPr>
          </w:p>
        </w:tc>
        <w:tc>
          <w:tcPr>
            <w:tcW w:w="1418" w:type="dxa"/>
            <w:tcBorders>
              <w:bottom w:val="nil"/>
            </w:tcBorders>
            <w:noWrap w:val="0"/>
            <w:vAlign w:val="center"/>
          </w:tcPr>
          <w:p w14:paraId="4E6C047A">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tcBorders>
              <w:bottom w:val="nil"/>
            </w:tcBorders>
            <w:noWrap w:val="0"/>
            <w:vAlign w:val="center"/>
          </w:tcPr>
          <w:p w14:paraId="25657246">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tcBorders>
              <w:bottom w:val="nil"/>
            </w:tcBorders>
            <w:noWrap w:val="0"/>
            <w:vAlign w:val="center"/>
          </w:tcPr>
          <w:p w14:paraId="773CB9DA">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tcBorders>
              <w:bottom w:val="nil"/>
            </w:tcBorders>
            <w:noWrap w:val="0"/>
            <w:vAlign w:val="center"/>
          </w:tcPr>
          <w:p w14:paraId="4F9D2D19">
            <w:pPr>
              <w:pStyle w:val="14"/>
              <w:keepNext/>
              <w:spacing w:line="440" w:lineRule="exact"/>
              <w:ind w:left="63" w:right="63"/>
              <w:rPr>
                <w:rFonts w:hint="eastAsia" w:ascii="华文中宋" w:hAnsi="华文中宋" w:eastAsia="华文中宋" w:cs="华文中宋"/>
                <w:color w:val="auto"/>
                <w:kern w:val="2"/>
                <w:sz w:val="21"/>
                <w:szCs w:val="21"/>
              </w:rPr>
            </w:pPr>
          </w:p>
        </w:tc>
      </w:tr>
      <w:tr w14:paraId="72069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C0695C8">
            <w:pPr>
              <w:pStyle w:val="14"/>
              <w:keepNext/>
              <w:spacing w:line="440" w:lineRule="exact"/>
              <w:ind w:left="63" w:right="63"/>
              <w:rPr>
                <w:rFonts w:hint="eastAsia" w:ascii="华文中宋" w:hAnsi="华文中宋" w:eastAsia="华文中宋" w:cs="华文中宋"/>
                <w:color w:val="auto"/>
                <w:kern w:val="2"/>
                <w:sz w:val="21"/>
                <w:szCs w:val="21"/>
              </w:rPr>
            </w:pPr>
          </w:p>
        </w:tc>
        <w:tc>
          <w:tcPr>
            <w:tcW w:w="1418" w:type="dxa"/>
            <w:noWrap w:val="0"/>
            <w:vAlign w:val="center"/>
          </w:tcPr>
          <w:p w14:paraId="15EC35AC">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5A9E96AE">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5C69723E">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7C7DCBB8">
            <w:pPr>
              <w:pStyle w:val="14"/>
              <w:keepNext/>
              <w:spacing w:line="440" w:lineRule="exact"/>
              <w:ind w:left="63" w:right="63"/>
              <w:rPr>
                <w:rFonts w:hint="eastAsia" w:ascii="华文中宋" w:hAnsi="华文中宋" w:eastAsia="华文中宋" w:cs="华文中宋"/>
                <w:color w:val="auto"/>
                <w:kern w:val="2"/>
                <w:sz w:val="21"/>
                <w:szCs w:val="21"/>
              </w:rPr>
            </w:pPr>
          </w:p>
        </w:tc>
      </w:tr>
      <w:tr w14:paraId="0FCD2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C5E632A">
            <w:pPr>
              <w:pStyle w:val="14"/>
              <w:keepNext/>
              <w:spacing w:line="440" w:lineRule="exact"/>
              <w:ind w:left="63" w:right="63"/>
              <w:rPr>
                <w:rFonts w:hint="eastAsia" w:ascii="华文中宋" w:hAnsi="华文中宋" w:eastAsia="华文中宋" w:cs="华文中宋"/>
                <w:color w:val="auto"/>
                <w:kern w:val="2"/>
                <w:sz w:val="21"/>
                <w:szCs w:val="21"/>
              </w:rPr>
            </w:pPr>
          </w:p>
        </w:tc>
        <w:tc>
          <w:tcPr>
            <w:tcW w:w="1418" w:type="dxa"/>
            <w:noWrap w:val="0"/>
            <w:vAlign w:val="center"/>
          </w:tcPr>
          <w:p w14:paraId="03272FC9">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0B29AB79">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08341278">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7D0E7987">
            <w:pPr>
              <w:pStyle w:val="14"/>
              <w:keepNext/>
              <w:spacing w:line="440" w:lineRule="exact"/>
              <w:ind w:left="63" w:right="63"/>
              <w:rPr>
                <w:rFonts w:hint="eastAsia" w:ascii="华文中宋" w:hAnsi="华文中宋" w:eastAsia="华文中宋" w:cs="华文中宋"/>
                <w:color w:val="auto"/>
                <w:kern w:val="2"/>
                <w:sz w:val="21"/>
                <w:szCs w:val="21"/>
              </w:rPr>
            </w:pPr>
          </w:p>
        </w:tc>
      </w:tr>
      <w:tr w14:paraId="59BB4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2572632">
            <w:pPr>
              <w:pStyle w:val="14"/>
              <w:keepNext/>
              <w:spacing w:line="440" w:lineRule="exact"/>
              <w:ind w:left="63" w:right="63"/>
              <w:rPr>
                <w:rFonts w:hint="eastAsia" w:ascii="华文中宋" w:hAnsi="华文中宋" w:eastAsia="华文中宋" w:cs="华文中宋"/>
                <w:color w:val="auto"/>
                <w:kern w:val="2"/>
                <w:sz w:val="21"/>
                <w:szCs w:val="21"/>
              </w:rPr>
            </w:pPr>
          </w:p>
        </w:tc>
        <w:tc>
          <w:tcPr>
            <w:tcW w:w="1418" w:type="dxa"/>
            <w:noWrap w:val="0"/>
            <w:vAlign w:val="center"/>
          </w:tcPr>
          <w:p w14:paraId="0E617098">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77E62A86">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noWrap w:val="0"/>
            <w:vAlign w:val="center"/>
          </w:tcPr>
          <w:p w14:paraId="71B0F35F">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noWrap w:val="0"/>
            <w:vAlign w:val="center"/>
          </w:tcPr>
          <w:p w14:paraId="0B2A2C9D">
            <w:pPr>
              <w:pStyle w:val="14"/>
              <w:keepNext/>
              <w:spacing w:line="440" w:lineRule="exact"/>
              <w:ind w:left="63" w:right="63"/>
              <w:rPr>
                <w:rFonts w:hint="eastAsia" w:ascii="华文中宋" w:hAnsi="华文中宋" w:eastAsia="华文中宋" w:cs="华文中宋"/>
                <w:color w:val="auto"/>
                <w:kern w:val="2"/>
                <w:sz w:val="21"/>
                <w:szCs w:val="21"/>
              </w:rPr>
            </w:pPr>
          </w:p>
        </w:tc>
      </w:tr>
      <w:tr w14:paraId="1E808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84342BB">
            <w:pPr>
              <w:pStyle w:val="14"/>
              <w:keepNext/>
              <w:spacing w:line="440" w:lineRule="exact"/>
              <w:ind w:left="63" w:right="63"/>
              <w:rPr>
                <w:rFonts w:hint="eastAsia" w:ascii="华文中宋" w:hAnsi="华文中宋" w:eastAsia="华文中宋" w:cs="华文中宋"/>
                <w:color w:val="auto"/>
                <w:kern w:val="2"/>
                <w:sz w:val="21"/>
                <w:szCs w:val="21"/>
              </w:rPr>
            </w:pPr>
          </w:p>
        </w:tc>
        <w:tc>
          <w:tcPr>
            <w:tcW w:w="1418" w:type="dxa"/>
            <w:tcBorders>
              <w:bottom w:val="single" w:color="auto" w:sz="12" w:space="0"/>
            </w:tcBorders>
            <w:noWrap w:val="0"/>
            <w:vAlign w:val="center"/>
          </w:tcPr>
          <w:p w14:paraId="6A6DF8A0">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tcBorders>
              <w:bottom w:val="single" w:color="auto" w:sz="12" w:space="0"/>
            </w:tcBorders>
            <w:noWrap w:val="0"/>
            <w:vAlign w:val="center"/>
          </w:tcPr>
          <w:p w14:paraId="599E4460">
            <w:pPr>
              <w:pStyle w:val="14"/>
              <w:keepNext/>
              <w:spacing w:line="440" w:lineRule="exact"/>
              <w:ind w:left="63" w:right="63"/>
              <w:rPr>
                <w:rFonts w:hint="eastAsia" w:ascii="华文中宋" w:hAnsi="华文中宋" w:eastAsia="华文中宋" w:cs="华文中宋"/>
                <w:color w:val="auto"/>
                <w:kern w:val="2"/>
                <w:sz w:val="21"/>
                <w:szCs w:val="21"/>
              </w:rPr>
            </w:pPr>
          </w:p>
        </w:tc>
        <w:tc>
          <w:tcPr>
            <w:tcW w:w="1134" w:type="dxa"/>
            <w:tcBorders>
              <w:bottom w:val="single" w:color="auto" w:sz="12" w:space="0"/>
            </w:tcBorders>
            <w:noWrap w:val="0"/>
            <w:vAlign w:val="center"/>
          </w:tcPr>
          <w:p w14:paraId="45B2BBB9">
            <w:pPr>
              <w:pStyle w:val="14"/>
              <w:keepNext/>
              <w:spacing w:line="440" w:lineRule="exact"/>
              <w:ind w:left="63" w:right="63"/>
              <w:rPr>
                <w:rFonts w:hint="eastAsia" w:ascii="华文中宋" w:hAnsi="华文中宋" w:eastAsia="华文中宋" w:cs="华文中宋"/>
                <w:color w:val="auto"/>
                <w:kern w:val="2"/>
                <w:sz w:val="21"/>
                <w:szCs w:val="21"/>
              </w:rPr>
            </w:pPr>
          </w:p>
        </w:tc>
        <w:tc>
          <w:tcPr>
            <w:tcW w:w="4252" w:type="dxa"/>
            <w:tcBorders>
              <w:bottom w:val="single" w:color="auto" w:sz="12" w:space="0"/>
            </w:tcBorders>
            <w:noWrap w:val="0"/>
            <w:vAlign w:val="center"/>
          </w:tcPr>
          <w:p w14:paraId="21E0B546">
            <w:pPr>
              <w:pStyle w:val="14"/>
              <w:keepNext/>
              <w:spacing w:line="440" w:lineRule="exact"/>
              <w:ind w:left="63" w:right="63"/>
              <w:rPr>
                <w:rFonts w:hint="eastAsia" w:ascii="华文中宋" w:hAnsi="华文中宋" w:eastAsia="华文中宋" w:cs="华文中宋"/>
                <w:color w:val="auto"/>
                <w:kern w:val="2"/>
                <w:sz w:val="21"/>
                <w:szCs w:val="21"/>
              </w:rPr>
            </w:pPr>
          </w:p>
        </w:tc>
      </w:tr>
    </w:tbl>
    <w:p w14:paraId="760E1BD8">
      <w:pPr>
        <w:keepNext w:val="0"/>
        <w:keepLines w:val="0"/>
        <w:pageBreakBefore w:val="0"/>
        <w:widowControl w:val="0"/>
        <w:kinsoku/>
        <w:wordWrap/>
        <w:overflowPunct/>
        <w:topLinePunct w:val="0"/>
        <w:autoSpaceDE/>
        <w:autoSpaceDN/>
        <w:bidi w:val="0"/>
        <w:adjustRightInd/>
        <w:snapToGrid/>
        <w:spacing w:line="500" w:lineRule="exact"/>
        <w:ind w:left="-489" w:leftChars="-233" w:firstLine="450" w:firstLineChars="15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30"/>
          <w:szCs w:val="30"/>
        </w:rPr>
        <w:br w:type="page"/>
      </w:r>
      <w:bookmarkStart w:id="1139" w:name="_Toc267261701"/>
      <w:r>
        <w:rPr>
          <w:rFonts w:hint="eastAsia" w:ascii="华文中宋" w:hAnsi="华文中宋" w:eastAsia="华文中宋" w:cs="华文中宋"/>
          <w:color w:val="auto"/>
          <w:sz w:val="24"/>
          <w:szCs w:val="24"/>
        </w:rPr>
        <w:t>附</w:t>
      </w:r>
      <w:bookmarkStart w:id="1140" w:name="_Toc296347230"/>
      <w:bookmarkStart w:id="1141" w:name="_Toc296944570"/>
      <w:bookmarkStart w:id="1142" w:name="_Toc296503231"/>
      <w:bookmarkStart w:id="1143" w:name="_Toc296346732"/>
      <w:bookmarkStart w:id="1144" w:name="_Toc296891271"/>
      <w:bookmarkStart w:id="1145" w:name="_Toc296891059"/>
      <w:r>
        <w:rPr>
          <w:rFonts w:hint="eastAsia" w:ascii="华文中宋" w:hAnsi="华文中宋" w:eastAsia="华文中宋" w:cs="华文中宋"/>
          <w:color w:val="auto"/>
          <w:sz w:val="24"/>
          <w:szCs w:val="24"/>
        </w:rPr>
        <w:t>件8：</w:t>
      </w:r>
    </w:p>
    <w:bookmarkEnd w:id="1139"/>
    <w:bookmarkEnd w:id="1140"/>
    <w:bookmarkEnd w:id="1141"/>
    <w:bookmarkEnd w:id="1142"/>
    <w:bookmarkEnd w:id="1143"/>
    <w:bookmarkEnd w:id="1144"/>
    <w:bookmarkEnd w:id="1145"/>
    <w:p w14:paraId="0A149924">
      <w:pPr>
        <w:keepNext w:val="0"/>
        <w:keepLines w:val="0"/>
        <w:pageBreakBefore w:val="0"/>
        <w:widowControl w:val="0"/>
        <w:kinsoku/>
        <w:wordWrap/>
        <w:overflowPunct/>
        <w:topLinePunct w:val="0"/>
        <w:autoSpaceDE/>
        <w:autoSpaceDN/>
        <w:bidi w:val="0"/>
        <w:adjustRightInd/>
        <w:snapToGrid/>
        <w:spacing w:beforeLines="50" w:afterLines="50" w:line="500" w:lineRule="exact"/>
        <w:jc w:val="center"/>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履约担保</w:t>
      </w:r>
    </w:p>
    <w:p w14:paraId="642B95D4">
      <w:pPr>
        <w:keepNext w:val="0"/>
        <w:keepLines w:val="0"/>
        <w:pageBreakBefore w:val="0"/>
        <w:widowControl w:val="0"/>
        <w:kinsoku/>
        <w:wordWrap/>
        <w:overflowPunct/>
        <w:topLinePunct w:val="0"/>
        <w:autoSpaceDE/>
        <w:autoSpaceDN/>
        <w:bidi w:val="0"/>
        <w:adjustRightInd/>
        <w:snapToGrid/>
        <w:spacing w:beforeLines="100" w:line="50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rPr>
        <w:tab/>
      </w:r>
      <w:r>
        <w:rPr>
          <w:rFonts w:hint="eastAsia" w:ascii="华文中宋" w:hAnsi="华文中宋" w:eastAsia="华文中宋" w:cs="华文中宋"/>
          <w:color w:val="auto"/>
          <w:sz w:val="24"/>
          <w:szCs w:val="24"/>
        </w:rPr>
        <w:t>（发包人名称）：</w:t>
      </w:r>
    </w:p>
    <w:p w14:paraId="35242C2C">
      <w:pPr>
        <w:keepNext w:val="0"/>
        <w:keepLines w:val="0"/>
        <w:pageBreakBefore w:val="0"/>
        <w:widowControl w:val="0"/>
        <w:kinsoku/>
        <w:wordWrap/>
        <w:overflowPunct/>
        <w:topLinePunct w:val="0"/>
        <w:autoSpaceDE/>
        <w:autoSpaceDN/>
        <w:bidi w:val="0"/>
        <w:adjustRightInd/>
        <w:snapToGrid/>
        <w:spacing w:beforeLines="10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鉴于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（发包人名称，以下简称“发包人”）与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（承包人名称）（以下称“承包人”）于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日就</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（工程名称）施工及有关事项协商一致共同签订《建设工程施工合同》。我方愿意无条件地、不可撤销地就承包人履行与你方签订的合同，向你方提供连带责任担保。 </w:t>
      </w:r>
    </w:p>
    <w:p w14:paraId="258F2E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1.担保金额人民币（大写）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元（¥</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150D71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2.担保有效期自你方与承包人签订的合同生效之日起至你方签发或应签发工程接收证书之日止。</w:t>
      </w:r>
    </w:p>
    <w:p w14:paraId="3CE0C3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3.在本担保有效期内，因承包人违反合同约定的义务给你方造成经济损失时，我方在收到你方以书面形式提出的在担保金额内的赔偿要求后，在7天内无条件支付。</w:t>
      </w:r>
    </w:p>
    <w:p w14:paraId="22E834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4.你方和承包人按合同约定变更合同时，我方承担本担保规定的义务不变。</w:t>
      </w:r>
    </w:p>
    <w:p w14:paraId="64FA6F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5.因本保函发生的纠纷，可由双方协商解决，协商不成的，任何一方均可提请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仲裁委员会仲裁。</w:t>
      </w:r>
    </w:p>
    <w:p w14:paraId="46275E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6.本保函自我方法定代表人（或其授权代理人）签字并加盖公章之日起生效。</w:t>
      </w:r>
    </w:p>
    <w:p w14:paraId="67B389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color w:val="auto"/>
          <w:sz w:val="24"/>
          <w:szCs w:val="24"/>
        </w:rPr>
      </w:pPr>
    </w:p>
    <w:p w14:paraId="2441E3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担 保 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（盖单位章）</w:t>
      </w:r>
    </w:p>
    <w:p w14:paraId="49D06E22">
      <w:pPr>
        <w:keepNext w:val="0"/>
        <w:keepLines w:val="0"/>
        <w:pageBreakBefore w:val="0"/>
        <w:widowControl w:val="0"/>
        <w:kinsoku/>
        <w:wordWrap/>
        <w:overflowPunct/>
        <w:topLinePunct w:val="0"/>
        <w:autoSpaceDE/>
        <w:autoSpaceDN/>
        <w:bidi w:val="0"/>
        <w:adjustRightInd/>
        <w:snapToGrid/>
        <w:spacing w:beforeLines="8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法定代表人或其委托代理人：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（签字）</w:t>
      </w:r>
    </w:p>
    <w:p w14:paraId="0FEC90E0">
      <w:pPr>
        <w:keepNext w:val="0"/>
        <w:keepLines w:val="0"/>
        <w:pageBreakBefore w:val="0"/>
        <w:widowControl w:val="0"/>
        <w:kinsoku/>
        <w:wordWrap/>
        <w:overflowPunct/>
        <w:topLinePunct w:val="0"/>
        <w:autoSpaceDE/>
        <w:autoSpaceDN/>
        <w:bidi w:val="0"/>
        <w:adjustRightInd/>
        <w:snapToGrid/>
        <w:spacing w:beforeLines="8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    址：</w:t>
      </w:r>
      <w:r>
        <w:rPr>
          <w:rFonts w:hint="eastAsia" w:ascii="华文中宋" w:hAnsi="华文中宋" w:eastAsia="华文中宋" w:cs="华文中宋"/>
          <w:color w:val="auto"/>
          <w:sz w:val="24"/>
          <w:szCs w:val="24"/>
          <w:u w:val="single"/>
        </w:rPr>
        <w:t xml:space="preserve">                                      </w:t>
      </w:r>
    </w:p>
    <w:p w14:paraId="37B5F70A">
      <w:pPr>
        <w:keepNext w:val="0"/>
        <w:keepLines w:val="0"/>
        <w:pageBreakBefore w:val="0"/>
        <w:widowControl w:val="0"/>
        <w:kinsoku/>
        <w:wordWrap/>
        <w:overflowPunct/>
        <w:topLinePunct w:val="0"/>
        <w:autoSpaceDE/>
        <w:autoSpaceDN/>
        <w:bidi w:val="0"/>
        <w:adjustRightInd/>
        <w:snapToGrid/>
        <w:spacing w:beforeLines="8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邮政编码：</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电话：</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传真：</w:t>
      </w:r>
      <w:r>
        <w:rPr>
          <w:rFonts w:hint="eastAsia" w:ascii="华文中宋" w:hAnsi="华文中宋" w:eastAsia="华文中宋" w:cs="华文中宋"/>
          <w:color w:val="auto"/>
          <w:sz w:val="24"/>
          <w:szCs w:val="24"/>
          <w:u w:val="single"/>
        </w:rPr>
        <w:t xml:space="preserve">           </w:t>
      </w:r>
    </w:p>
    <w:p w14:paraId="3EF6E2D7">
      <w:pPr>
        <w:keepNext w:val="0"/>
        <w:keepLines w:val="0"/>
        <w:pageBreakBefore w:val="0"/>
        <w:widowControl w:val="0"/>
        <w:kinsoku/>
        <w:wordWrap/>
        <w:overflowPunct/>
        <w:topLinePunct w:val="0"/>
        <w:autoSpaceDE/>
        <w:autoSpaceDN/>
        <w:bidi w:val="0"/>
        <w:adjustRightInd/>
        <w:snapToGrid/>
        <w:spacing w:beforeLines="80" w:line="500" w:lineRule="exact"/>
        <w:ind w:left="1772" w:hanging="1519" w:hangingChars="633"/>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日</w:t>
      </w:r>
    </w:p>
    <w:p w14:paraId="6929BBD9">
      <w:pPr>
        <w:keepNext w:val="0"/>
        <w:keepLines w:val="0"/>
        <w:pageBreakBefore w:val="0"/>
        <w:widowControl w:val="0"/>
        <w:kinsoku/>
        <w:wordWrap/>
        <w:overflowPunct/>
        <w:topLinePunct w:val="0"/>
        <w:autoSpaceDE/>
        <w:autoSpaceDN/>
        <w:bidi w:val="0"/>
        <w:adjustRightInd/>
        <w:snapToGrid/>
        <w:spacing w:line="500" w:lineRule="exact"/>
        <w:ind w:left="-489" w:leftChars="-233" w:firstLine="360" w:firstLineChars="15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br w:type="page"/>
      </w:r>
      <w:r>
        <w:rPr>
          <w:rFonts w:hint="eastAsia" w:ascii="华文中宋" w:hAnsi="华文中宋" w:eastAsia="华文中宋" w:cs="华文中宋"/>
          <w:color w:val="auto"/>
          <w:sz w:val="24"/>
          <w:szCs w:val="24"/>
        </w:rPr>
        <w:t>附</w:t>
      </w:r>
      <w:bookmarkStart w:id="1146" w:name="_Toc296944571"/>
      <w:bookmarkStart w:id="1147" w:name="_Toc296891272"/>
      <w:bookmarkStart w:id="1148" w:name="_Toc296347231"/>
      <w:bookmarkStart w:id="1149" w:name="_Toc296503232"/>
      <w:bookmarkStart w:id="1150" w:name="_Toc296346733"/>
      <w:bookmarkStart w:id="1151" w:name="_Toc296891060"/>
      <w:bookmarkStart w:id="1152" w:name="_Toc267261702"/>
      <w:r>
        <w:rPr>
          <w:rFonts w:hint="eastAsia" w:ascii="华文中宋" w:hAnsi="华文中宋" w:eastAsia="华文中宋" w:cs="华文中宋"/>
          <w:color w:val="auto"/>
          <w:sz w:val="24"/>
          <w:szCs w:val="24"/>
        </w:rPr>
        <w:t>件9：</w:t>
      </w:r>
    </w:p>
    <w:bookmarkEnd w:id="1146"/>
    <w:bookmarkEnd w:id="1147"/>
    <w:bookmarkEnd w:id="1148"/>
    <w:bookmarkEnd w:id="1149"/>
    <w:bookmarkEnd w:id="1150"/>
    <w:bookmarkEnd w:id="1151"/>
    <w:bookmarkEnd w:id="1152"/>
    <w:p w14:paraId="66532593">
      <w:pPr>
        <w:keepNext w:val="0"/>
        <w:keepLines w:val="0"/>
        <w:pageBreakBefore w:val="0"/>
        <w:widowControl w:val="0"/>
        <w:kinsoku/>
        <w:wordWrap/>
        <w:overflowPunct/>
        <w:topLinePunct w:val="0"/>
        <w:autoSpaceDE/>
        <w:autoSpaceDN/>
        <w:bidi w:val="0"/>
        <w:adjustRightInd/>
        <w:snapToGrid/>
        <w:spacing w:beforeLines="50" w:afterLines="50" w:line="500" w:lineRule="exact"/>
        <w:jc w:val="center"/>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预付款担保</w:t>
      </w:r>
    </w:p>
    <w:p w14:paraId="46CB7811">
      <w:pPr>
        <w:keepNext w:val="0"/>
        <w:keepLines w:val="0"/>
        <w:pageBreakBefore w:val="0"/>
        <w:widowControl w:val="0"/>
        <w:kinsoku/>
        <w:wordWrap/>
        <w:overflowPunct/>
        <w:topLinePunct w:val="0"/>
        <w:autoSpaceDE/>
        <w:autoSpaceDN/>
        <w:bidi w:val="0"/>
        <w:adjustRightInd/>
        <w:snapToGrid/>
        <w:spacing w:beforeLines="100" w:line="50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u w:val="single"/>
        </w:rPr>
        <w:tab/>
      </w:r>
      <w:r>
        <w:rPr>
          <w:rFonts w:hint="eastAsia" w:ascii="华文中宋" w:hAnsi="华文中宋" w:eastAsia="华文中宋" w:cs="华文中宋"/>
          <w:color w:val="auto"/>
          <w:sz w:val="24"/>
          <w:szCs w:val="24"/>
          <w:u w:val="single"/>
        </w:rPr>
        <w:tab/>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（发包人名称）：</w:t>
      </w:r>
    </w:p>
    <w:p w14:paraId="210F6FD1">
      <w:pPr>
        <w:keepNext w:val="0"/>
        <w:keepLines w:val="0"/>
        <w:pageBreakBefore w:val="0"/>
        <w:widowControl w:val="0"/>
        <w:kinsoku/>
        <w:wordWrap/>
        <w:overflowPunct/>
        <w:topLinePunct w:val="0"/>
        <w:autoSpaceDE/>
        <w:autoSpaceDN/>
        <w:bidi w:val="0"/>
        <w:adjustRightInd/>
        <w:snapToGrid/>
        <w:spacing w:beforeLines="2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根据</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（承包人名称）（以下称“承包人”）与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（发包人名称）（以下简称“发包人”）于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日签订的</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05A7C2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1.担保金额人民币（大写）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元（¥</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3FDE28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2.担保有效期自预付款支付给承包人起生效，至你方签发的进度款支付证书说明已完全扣清止。</w:t>
      </w:r>
    </w:p>
    <w:p w14:paraId="337748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10129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4.你方和承包人按合同约定变更合同时，我方承担本保函规定的义务不变。</w:t>
      </w:r>
    </w:p>
    <w:p w14:paraId="778694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5.因本保函发生的纠纷，可由双方协商解决，协商不成的，任何一方均可提请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仲裁委员会仲裁。</w:t>
      </w:r>
    </w:p>
    <w:p w14:paraId="6945761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6.本保函自我方法定代表人（或其授权代理人）签字并加盖公章之日起生效。</w:t>
      </w:r>
    </w:p>
    <w:p w14:paraId="406A60B9">
      <w:pPr>
        <w:keepNext w:val="0"/>
        <w:keepLines w:val="0"/>
        <w:pageBreakBefore w:val="0"/>
        <w:widowControl w:val="0"/>
        <w:kinsoku/>
        <w:wordWrap/>
        <w:overflowPunct/>
        <w:topLinePunct w:val="0"/>
        <w:autoSpaceDE/>
        <w:autoSpaceDN/>
        <w:bidi w:val="0"/>
        <w:adjustRightInd/>
        <w:snapToGrid/>
        <w:spacing w:beforeLines="15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担保人：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（盖单位章）</w:t>
      </w:r>
    </w:p>
    <w:p w14:paraId="15F264EC">
      <w:pPr>
        <w:keepNext w:val="0"/>
        <w:keepLines w:val="0"/>
        <w:pageBreakBefore w:val="0"/>
        <w:widowControl w:val="0"/>
        <w:kinsoku/>
        <w:wordWrap/>
        <w:overflowPunct/>
        <w:topLinePunct w:val="0"/>
        <w:autoSpaceDE/>
        <w:autoSpaceDN/>
        <w:bidi w:val="0"/>
        <w:adjustRightInd/>
        <w:snapToGrid/>
        <w:spacing w:beforeLines="5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法定代表人或其委托代理人：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（签字）</w:t>
      </w:r>
    </w:p>
    <w:p w14:paraId="7B4FFD7F">
      <w:pPr>
        <w:keepNext w:val="0"/>
        <w:keepLines w:val="0"/>
        <w:pageBreakBefore w:val="0"/>
        <w:widowControl w:val="0"/>
        <w:kinsoku/>
        <w:wordWrap/>
        <w:overflowPunct/>
        <w:topLinePunct w:val="0"/>
        <w:autoSpaceDE/>
        <w:autoSpaceDN/>
        <w:bidi w:val="0"/>
        <w:adjustRightInd/>
        <w:snapToGrid/>
        <w:spacing w:beforeLines="5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    址：</w:t>
      </w:r>
      <w:r>
        <w:rPr>
          <w:rFonts w:hint="eastAsia" w:ascii="华文中宋" w:hAnsi="华文中宋" w:eastAsia="华文中宋" w:cs="华文中宋"/>
          <w:color w:val="auto"/>
          <w:sz w:val="24"/>
          <w:szCs w:val="24"/>
          <w:u w:val="single"/>
        </w:rPr>
        <w:t xml:space="preserve">                                      </w:t>
      </w:r>
    </w:p>
    <w:p w14:paraId="0DE869DE">
      <w:pPr>
        <w:keepNext w:val="0"/>
        <w:keepLines w:val="0"/>
        <w:pageBreakBefore w:val="0"/>
        <w:widowControl w:val="0"/>
        <w:kinsoku/>
        <w:wordWrap/>
        <w:overflowPunct/>
        <w:topLinePunct w:val="0"/>
        <w:autoSpaceDE/>
        <w:autoSpaceDN/>
        <w:bidi w:val="0"/>
        <w:adjustRightInd/>
        <w:snapToGrid/>
        <w:spacing w:beforeLines="5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邮政编码：</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电话：</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传真：</w:t>
      </w:r>
      <w:r>
        <w:rPr>
          <w:rFonts w:hint="eastAsia" w:ascii="华文中宋" w:hAnsi="华文中宋" w:eastAsia="华文中宋" w:cs="华文中宋"/>
          <w:color w:val="auto"/>
          <w:sz w:val="24"/>
          <w:szCs w:val="24"/>
          <w:u w:val="single"/>
        </w:rPr>
        <w:t xml:space="preserve">           </w:t>
      </w:r>
    </w:p>
    <w:p w14:paraId="52185A26">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日</w:t>
      </w:r>
    </w:p>
    <w:p w14:paraId="3D02BD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br w:type="page"/>
      </w:r>
      <w:r>
        <w:rPr>
          <w:rFonts w:hint="eastAsia" w:ascii="华文中宋" w:hAnsi="华文中宋" w:eastAsia="华文中宋" w:cs="华文中宋"/>
          <w:color w:val="auto"/>
          <w:sz w:val="24"/>
          <w:szCs w:val="24"/>
        </w:rPr>
        <w:t>附</w:t>
      </w:r>
      <w:bookmarkStart w:id="1153" w:name="_Toc296347232"/>
      <w:bookmarkStart w:id="1154" w:name="_Toc296891061"/>
      <w:bookmarkStart w:id="1155" w:name="_Toc296503233"/>
      <w:bookmarkStart w:id="1156" w:name="_Toc296944572"/>
      <w:bookmarkStart w:id="1157" w:name="_Toc296891273"/>
      <w:bookmarkStart w:id="1158" w:name="_Toc296346734"/>
      <w:r>
        <w:rPr>
          <w:rFonts w:hint="eastAsia" w:ascii="华文中宋" w:hAnsi="华文中宋" w:eastAsia="华文中宋" w:cs="华文中宋"/>
          <w:color w:val="auto"/>
          <w:sz w:val="24"/>
          <w:szCs w:val="24"/>
        </w:rPr>
        <w:t>件10:</w:t>
      </w:r>
    </w:p>
    <w:bookmarkEnd w:id="1153"/>
    <w:bookmarkEnd w:id="1154"/>
    <w:bookmarkEnd w:id="1155"/>
    <w:bookmarkEnd w:id="1156"/>
    <w:bookmarkEnd w:id="1157"/>
    <w:bookmarkEnd w:id="1158"/>
    <w:p w14:paraId="7327963A">
      <w:pPr>
        <w:keepNext w:val="0"/>
        <w:keepLines w:val="0"/>
        <w:pageBreakBefore w:val="0"/>
        <w:widowControl w:val="0"/>
        <w:kinsoku/>
        <w:wordWrap/>
        <w:overflowPunct/>
        <w:topLinePunct w:val="0"/>
        <w:autoSpaceDE/>
        <w:autoSpaceDN/>
        <w:bidi w:val="0"/>
        <w:adjustRightInd/>
        <w:snapToGrid/>
        <w:spacing w:beforeLines="50" w:afterLines="50" w:line="500" w:lineRule="exact"/>
        <w:jc w:val="center"/>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支付担保</w:t>
      </w:r>
    </w:p>
    <w:p w14:paraId="5C735D06">
      <w:pPr>
        <w:keepNext w:val="0"/>
        <w:keepLines w:val="0"/>
        <w:pageBreakBefore w:val="0"/>
        <w:widowControl w:val="0"/>
        <w:kinsoku/>
        <w:wordWrap/>
        <w:overflowPunct/>
        <w:topLinePunct w:val="0"/>
        <w:autoSpaceDE/>
        <w:autoSpaceDN/>
        <w:bidi w:val="0"/>
        <w:adjustRightInd/>
        <w:snapToGrid/>
        <w:spacing w:beforeLines="50" w:line="500" w:lineRule="exact"/>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（承包人）：</w:t>
      </w:r>
    </w:p>
    <w:p w14:paraId="7EA05BC3">
      <w:pPr>
        <w:keepNext w:val="0"/>
        <w:keepLines w:val="0"/>
        <w:pageBreakBefore w:val="0"/>
        <w:widowControl w:val="0"/>
        <w:kinsoku/>
        <w:wordWrap/>
        <w:overflowPunct/>
        <w:topLinePunct w:val="0"/>
        <w:autoSpaceDE/>
        <w:autoSpaceDN/>
        <w:bidi w:val="0"/>
        <w:adjustRightInd/>
        <w:snapToGrid/>
        <w:spacing w:beforeLines="100"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鉴于你方作为承包人已经与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（发包人名称）（以下称“发包人”）于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日签订了</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（工程名称）《建设工程施工合同》（以下称“主合同”），应发包人的申请，我方愿就发包人履行主合同约定的工程款支付义务以保证的方式向你方提供如下担保：</w:t>
      </w:r>
    </w:p>
    <w:p w14:paraId="7B379F0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华文中宋" w:hAnsi="华文中宋" w:eastAsia="华文中宋" w:cs="华文中宋"/>
          <w:color w:val="auto"/>
          <w:sz w:val="24"/>
          <w:szCs w:val="24"/>
        </w:rPr>
      </w:pPr>
      <w:bookmarkStart w:id="1159" w:name="_Toc375060656"/>
      <w:bookmarkStart w:id="1160" w:name="_Toc375060875"/>
      <w:bookmarkStart w:id="1161" w:name="_Toc22163"/>
      <w:bookmarkStart w:id="1162" w:name="_Toc9647"/>
      <w:r>
        <w:rPr>
          <w:rFonts w:hint="eastAsia" w:ascii="华文中宋" w:hAnsi="华文中宋" w:eastAsia="华文中宋" w:cs="华文中宋"/>
          <w:color w:val="auto"/>
          <w:sz w:val="24"/>
          <w:szCs w:val="24"/>
        </w:rPr>
        <w:t>一、保证的范围及保证金额</w:t>
      </w:r>
      <w:bookmarkEnd w:id="1159"/>
      <w:bookmarkEnd w:id="1160"/>
      <w:bookmarkEnd w:id="1161"/>
      <w:bookmarkEnd w:id="1162"/>
    </w:p>
    <w:p w14:paraId="6DC96CC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1.我方的保证范围是主合同约定的工程款。</w:t>
      </w:r>
    </w:p>
    <w:p w14:paraId="23629D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2.本保函所称主合同约定的工程款是指主合同约定的除工程质量保证金以外的合同价款。</w:t>
      </w:r>
    </w:p>
    <w:p w14:paraId="07B2935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3.我方保证的金额是主合同约定的工程款的</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%，数额最高不超过人民币元（大写：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14:paraId="1B82756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华文中宋" w:hAnsi="华文中宋" w:eastAsia="华文中宋" w:cs="华文中宋"/>
          <w:color w:val="auto"/>
          <w:sz w:val="24"/>
          <w:szCs w:val="24"/>
        </w:rPr>
      </w:pPr>
      <w:bookmarkStart w:id="1163" w:name="_Toc21399"/>
      <w:bookmarkStart w:id="1164" w:name="_Toc375060876"/>
      <w:bookmarkStart w:id="1165" w:name="_Toc375060657"/>
      <w:bookmarkStart w:id="1166" w:name="_Toc7549"/>
      <w:r>
        <w:rPr>
          <w:rFonts w:hint="eastAsia" w:ascii="华文中宋" w:hAnsi="华文中宋" w:eastAsia="华文中宋" w:cs="华文中宋"/>
          <w:color w:val="auto"/>
          <w:sz w:val="24"/>
          <w:szCs w:val="24"/>
        </w:rPr>
        <w:t>二、保证的方式及保证期间</w:t>
      </w:r>
      <w:bookmarkEnd w:id="1163"/>
      <w:bookmarkEnd w:id="1164"/>
      <w:bookmarkEnd w:id="1165"/>
      <w:bookmarkEnd w:id="1166"/>
    </w:p>
    <w:p w14:paraId="1E9E758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1.我方保证的方式为：连带责任保证。</w:t>
      </w:r>
    </w:p>
    <w:p w14:paraId="4093491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2.我方保证的期间为：自本合同生效之日起至主合同约定的工程款支付完毕之日后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日内。</w:t>
      </w:r>
    </w:p>
    <w:p w14:paraId="6571C7B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3.你方与发包人协议变更工程款支付日期的，经我方书面同意后，保证期间按照变更后的支付日期做相应调整。</w:t>
      </w:r>
    </w:p>
    <w:p w14:paraId="1BA998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华文中宋" w:hAnsi="华文中宋" w:eastAsia="华文中宋" w:cs="华文中宋"/>
          <w:color w:val="auto"/>
          <w:sz w:val="24"/>
          <w:szCs w:val="24"/>
        </w:rPr>
      </w:pPr>
      <w:bookmarkStart w:id="1167" w:name="_Toc6024"/>
      <w:bookmarkStart w:id="1168" w:name="_Toc16346"/>
      <w:bookmarkStart w:id="1169" w:name="_Toc375060658"/>
      <w:bookmarkStart w:id="1170" w:name="_Toc375060877"/>
      <w:r>
        <w:rPr>
          <w:rFonts w:hint="eastAsia" w:ascii="华文中宋" w:hAnsi="华文中宋" w:eastAsia="华文中宋" w:cs="华文中宋"/>
          <w:color w:val="auto"/>
          <w:sz w:val="24"/>
          <w:szCs w:val="24"/>
        </w:rPr>
        <w:t>三、承担保证责任的形式</w:t>
      </w:r>
      <w:bookmarkEnd w:id="1167"/>
      <w:bookmarkEnd w:id="1168"/>
      <w:bookmarkEnd w:id="1169"/>
      <w:bookmarkEnd w:id="1170"/>
    </w:p>
    <w:p w14:paraId="5DC6335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我方承担保证责任的形式是代为支付。发包人未按主合同约定向你方支付工程款的，由我方在保证金额内代为支付。</w:t>
      </w:r>
    </w:p>
    <w:p w14:paraId="4BD46B1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华文中宋" w:hAnsi="华文中宋" w:eastAsia="华文中宋" w:cs="华文中宋"/>
          <w:color w:val="auto"/>
          <w:sz w:val="24"/>
          <w:szCs w:val="24"/>
        </w:rPr>
      </w:pPr>
      <w:bookmarkStart w:id="1171" w:name="_Toc375060659"/>
      <w:bookmarkStart w:id="1172" w:name="_Toc10723"/>
      <w:bookmarkStart w:id="1173" w:name="_Toc375060878"/>
      <w:bookmarkStart w:id="1174" w:name="_Toc2087"/>
      <w:r>
        <w:rPr>
          <w:rFonts w:hint="eastAsia" w:ascii="华文中宋" w:hAnsi="华文中宋" w:eastAsia="华文中宋" w:cs="华文中宋"/>
          <w:color w:val="auto"/>
          <w:sz w:val="24"/>
          <w:szCs w:val="24"/>
        </w:rPr>
        <w:t>四、代偿的安排</w:t>
      </w:r>
      <w:bookmarkEnd w:id="1171"/>
      <w:bookmarkEnd w:id="1172"/>
      <w:bookmarkEnd w:id="1173"/>
      <w:bookmarkEnd w:id="1174"/>
    </w:p>
    <w:p w14:paraId="38CA0FB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1.你方要求我方承担保证责任的，应向我方发出书面索赔通知及发包人未支付主合同约定工程款的证明材料。索赔通知应写明要求索赔的金额，支付款项应到达的账号。</w:t>
      </w:r>
    </w:p>
    <w:p w14:paraId="5683489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2.在出现你方与发包人因工程质量发生争议，发包人拒绝向你方支付工程款的情形时，你方要求我方履行保证责任代为支付的，需提供符合相应条件要求的工程质量检测机构出具的质量说明材料。</w:t>
      </w:r>
    </w:p>
    <w:p w14:paraId="3819B220">
      <w:pPr>
        <w:keepNext w:val="0"/>
        <w:keepLines w:val="0"/>
        <w:pageBreakBefore w:val="0"/>
        <w:widowControl w:val="0"/>
        <w:kinsoku/>
        <w:wordWrap/>
        <w:overflowPunct/>
        <w:topLinePunct w:val="0"/>
        <w:autoSpaceDE/>
        <w:autoSpaceDN/>
        <w:bidi w:val="0"/>
        <w:adjustRightInd/>
        <w:snapToGrid/>
        <w:spacing w:line="500" w:lineRule="exact"/>
        <w:ind w:right="-151" w:rightChars="-72"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3.我方收到你方的书面索赔通知及相应的证明材料后７天内无条件支付。</w:t>
      </w:r>
    </w:p>
    <w:p w14:paraId="1E6100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华文中宋" w:hAnsi="华文中宋" w:eastAsia="华文中宋" w:cs="华文中宋"/>
          <w:color w:val="auto"/>
          <w:sz w:val="24"/>
          <w:szCs w:val="24"/>
        </w:rPr>
      </w:pPr>
      <w:bookmarkStart w:id="1175" w:name="_Toc20648"/>
      <w:bookmarkStart w:id="1176" w:name="_Toc375060660"/>
      <w:bookmarkStart w:id="1177" w:name="_Toc5403"/>
      <w:bookmarkStart w:id="1178" w:name="_Toc375060879"/>
      <w:r>
        <w:rPr>
          <w:rFonts w:hint="eastAsia" w:ascii="华文中宋" w:hAnsi="华文中宋" w:eastAsia="华文中宋" w:cs="华文中宋"/>
          <w:color w:val="auto"/>
          <w:sz w:val="24"/>
          <w:szCs w:val="24"/>
        </w:rPr>
        <w:t>五、保证责任的解除</w:t>
      </w:r>
      <w:bookmarkEnd w:id="1175"/>
      <w:bookmarkEnd w:id="1176"/>
      <w:bookmarkEnd w:id="1177"/>
      <w:bookmarkEnd w:id="1178"/>
    </w:p>
    <w:p w14:paraId="77474C4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1.在本保函承诺的保证期间内，你方未书面向我方主张保证责任的，自保证期间届满次日起，我方保证责任解除。</w:t>
      </w:r>
    </w:p>
    <w:p w14:paraId="5BD7EE1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2.发包人按主合同约定履行了工程款的全部支付义务的，自本保函承诺的保证期间届满次日起，我方保证责任解除。</w:t>
      </w:r>
    </w:p>
    <w:p w14:paraId="0359E9D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3.我方按照本保函向你方履行保证责任所支付金额达到本保函保证金额时，自我方向你方支付（支付款项从我方账户划出）之日起，保证责任即解除。</w:t>
      </w:r>
    </w:p>
    <w:p w14:paraId="310E21B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4.按照法律法规的规定或出现应解除我方保证责任的其他情形的，我方在本保函项下的保证责任亦解除。</w:t>
      </w:r>
    </w:p>
    <w:p w14:paraId="200BB55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5.我方解除保证责任后，你方应自我方保证责任解除之日起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个工作日内，将本保函原件返还我方。</w:t>
      </w:r>
    </w:p>
    <w:p w14:paraId="527C0D0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华文中宋" w:hAnsi="华文中宋" w:eastAsia="华文中宋" w:cs="华文中宋"/>
          <w:color w:val="auto"/>
          <w:sz w:val="24"/>
          <w:szCs w:val="24"/>
        </w:rPr>
      </w:pPr>
      <w:bookmarkStart w:id="1179" w:name="_Toc375060880"/>
      <w:bookmarkStart w:id="1180" w:name="_Toc30968"/>
      <w:bookmarkStart w:id="1181" w:name="_Toc16748"/>
      <w:bookmarkStart w:id="1182" w:name="_Toc375060661"/>
      <w:r>
        <w:rPr>
          <w:rFonts w:hint="eastAsia" w:ascii="华文中宋" w:hAnsi="华文中宋" w:eastAsia="华文中宋" w:cs="华文中宋"/>
          <w:color w:val="auto"/>
          <w:sz w:val="24"/>
          <w:szCs w:val="24"/>
        </w:rPr>
        <w:t>六、免责条款</w:t>
      </w:r>
      <w:bookmarkEnd w:id="1179"/>
      <w:bookmarkEnd w:id="1180"/>
      <w:bookmarkEnd w:id="1181"/>
      <w:bookmarkEnd w:id="1182"/>
    </w:p>
    <w:p w14:paraId="5778B73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1.因你方违约致使发包人不能履行义务的，我方不承担保证责任。</w:t>
      </w:r>
    </w:p>
    <w:p w14:paraId="6937742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2.依照法律法规的规定或你方与发包人的另行约定，免除发包人部分或全部义务的，我方亦免除其相应的保证责任。</w:t>
      </w:r>
    </w:p>
    <w:p w14:paraId="673946C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3.你方与发包人协议变更主合同的，如加重发包人责任致使我方保证责任加重的，需征得我方书面同意，否则我方不再承担因此而加重部分的保证责任，但主合同第10条〔变更〕约定的变更不受本款限制。</w:t>
      </w:r>
    </w:p>
    <w:p w14:paraId="1909089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4.因不可抗力造成发包人不能履行义务的，我方不承担保证责任。</w:t>
      </w:r>
    </w:p>
    <w:p w14:paraId="1617274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华文中宋" w:hAnsi="华文中宋" w:eastAsia="华文中宋" w:cs="华文中宋"/>
          <w:color w:val="auto"/>
          <w:sz w:val="24"/>
          <w:szCs w:val="24"/>
        </w:rPr>
      </w:pPr>
      <w:bookmarkStart w:id="1183" w:name="_Toc29882"/>
      <w:bookmarkStart w:id="1184" w:name="_Toc375060662"/>
      <w:bookmarkStart w:id="1185" w:name="_Toc18370"/>
      <w:bookmarkStart w:id="1186" w:name="_Toc375060881"/>
      <w:r>
        <w:rPr>
          <w:rFonts w:hint="eastAsia" w:ascii="华文中宋" w:hAnsi="华文中宋" w:eastAsia="华文中宋" w:cs="华文中宋"/>
          <w:color w:val="auto"/>
          <w:sz w:val="24"/>
          <w:szCs w:val="24"/>
        </w:rPr>
        <w:t>七、争议解决</w:t>
      </w:r>
      <w:bookmarkEnd w:id="1183"/>
      <w:bookmarkEnd w:id="1184"/>
      <w:bookmarkEnd w:id="1185"/>
      <w:bookmarkEnd w:id="1186"/>
    </w:p>
    <w:p w14:paraId="6AAB330E">
      <w:pPr>
        <w:keepNext w:val="0"/>
        <w:keepLines w:val="0"/>
        <w:pageBreakBefore w:val="0"/>
        <w:widowControl w:val="0"/>
        <w:kinsoku/>
        <w:wordWrap/>
        <w:overflowPunct/>
        <w:topLinePunct w:val="0"/>
        <w:autoSpaceDE/>
        <w:autoSpaceDN/>
        <w:bidi w:val="0"/>
        <w:adjustRightInd/>
        <w:snapToGrid/>
        <w:spacing w:after="120"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因本保函或本保函相关事项发生的纠纷，可由双方协商解决，协商不成的，按下列第</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种方式解决：</w:t>
      </w:r>
    </w:p>
    <w:p w14:paraId="13FA3E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（1）向</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仲裁委员会申请仲裁；</w:t>
      </w:r>
    </w:p>
    <w:p w14:paraId="4608D4B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（2）向</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人民法院起诉。</w:t>
      </w:r>
    </w:p>
    <w:p w14:paraId="6A12503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华文中宋" w:hAnsi="华文中宋" w:eastAsia="华文中宋" w:cs="华文中宋"/>
          <w:color w:val="auto"/>
          <w:sz w:val="24"/>
          <w:szCs w:val="24"/>
        </w:rPr>
      </w:pPr>
      <w:bookmarkStart w:id="1187" w:name="_Toc375060663"/>
      <w:bookmarkStart w:id="1188" w:name="_Toc27520"/>
      <w:bookmarkStart w:id="1189" w:name="_Toc23715"/>
      <w:bookmarkStart w:id="1190" w:name="_Toc375060882"/>
      <w:r>
        <w:rPr>
          <w:rFonts w:hint="eastAsia" w:ascii="华文中宋" w:hAnsi="华文中宋" w:eastAsia="华文中宋" w:cs="华文中宋"/>
          <w:color w:val="auto"/>
          <w:sz w:val="24"/>
          <w:szCs w:val="24"/>
        </w:rPr>
        <w:t>八、保函的生效</w:t>
      </w:r>
      <w:bookmarkEnd w:id="1187"/>
      <w:bookmarkEnd w:id="1188"/>
      <w:bookmarkEnd w:id="1189"/>
      <w:bookmarkEnd w:id="1190"/>
    </w:p>
    <w:p w14:paraId="683644C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本保函自我方法定代表人（或其授权代理人）签字并加盖公章之日起生效。</w:t>
      </w:r>
    </w:p>
    <w:p w14:paraId="2F72DE9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华文中宋" w:hAnsi="华文中宋" w:eastAsia="华文中宋" w:cs="华文中宋"/>
          <w:color w:val="auto"/>
          <w:sz w:val="24"/>
          <w:szCs w:val="24"/>
        </w:rPr>
      </w:pPr>
    </w:p>
    <w:p w14:paraId="2BF2941B">
      <w:pPr>
        <w:keepNext w:val="0"/>
        <w:keepLines w:val="0"/>
        <w:pageBreakBefore w:val="0"/>
        <w:widowControl w:val="0"/>
        <w:kinsoku/>
        <w:wordWrap/>
        <w:overflowPunct/>
        <w:topLinePunct w:val="0"/>
        <w:autoSpaceDE/>
        <w:autoSpaceDN/>
        <w:bidi w:val="0"/>
        <w:adjustRightInd/>
        <w:snapToGrid/>
        <w:spacing w:line="500" w:lineRule="exact"/>
        <w:ind w:right="600"/>
        <w:jc w:val="left"/>
        <w:textAlignment w:val="auto"/>
        <w:rPr>
          <w:rFonts w:hint="eastAsia" w:ascii="华文中宋" w:hAnsi="华文中宋" w:eastAsia="华文中宋" w:cs="华文中宋"/>
          <w:color w:val="auto"/>
          <w:sz w:val="24"/>
          <w:szCs w:val="24"/>
        </w:rPr>
      </w:pPr>
    </w:p>
    <w:p w14:paraId="37C186DE">
      <w:pPr>
        <w:keepNext w:val="0"/>
        <w:keepLines w:val="0"/>
        <w:pageBreakBefore w:val="0"/>
        <w:widowControl w:val="0"/>
        <w:kinsoku/>
        <w:wordWrap/>
        <w:overflowPunct/>
        <w:topLinePunct w:val="0"/>
        <w:autoSpaceDE/>
        <w:autoSpaceDN/>
        <w:bidi w:val="0"/>
        <w:adjustRightInd/>
        <w:snapToGrid/>
        <w:spacing w:beforeLines="50" w:line="500" w:lineRule="exact"/>
        <w:ind w:right="601"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担保人：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（盖章）</w:t>
      </w:r>
    </w:p>
    <w:p w14:paraId="4E585FF3">
      <w:pPr>
        <w:keepNext w:val="0"/>
        <w:keepLines w:val="0"/>
        <w:pageBreakBefore w:val="0"/>
        <w:widowControl w:val="0"/>
        <w:kinsoku/>
        <w:wordWrap/>
        <w:overflowPunct/>
        <w:topLinePunct w:val="0"/>
        <w:autoSpaceDE/>
        <w:autoSpaceDN/>
        <w:bidi w:val="0"/>
        <w:adjustRightInd/>
        <w:snapToGrid/>
        <w:spacing w:beforeLines="50" w:line="500" w:lineRule="exact"/>
        <w:ind w:right="601"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法定代表人或委托代理人：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（签字）</w:t>
      </w:r>
    </w:p>
    <w:p w14:paraId="2625CE4A">
      <w:pPr>
        <w:keepNext w:val="0"/>
        <w:keepLines w:val="0"/>
        <w:pageBreakBefore w:val="0"/>
        <w:widowControl w:val="0"/>
        <w:kinsoku/>
        <w:wordWrap/>
        <w:overflowPunct/>
        <w:topLinePunct w:val="0"/>
        <w:autoSpaceDE/>
        <w:autoSpaceDN/>
        <w:bidi w:val="0"/>
        <w:adjustRightInd/>
        <w:snapToGrid/>
        <w:spacing w:beforeLines="50" w:line="500" w:lineRule="exact"/>
        <w:ind w:right="601"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    址：</w:t>
      </w:r>
      <w:r>
        <w:rPr>
          <w:rFonts w:hint="eastAsia" w:ascii="华文中宋" w:hAnsi="华文中宋" w:eastAsia="华文中宋" w:cs="华文中宋"/>
          <w:color w:val="auto"/>
          <w:sz w:val="24"/>
          <w:szCs w:val="24"/>
          <w:u w:val="single"/>
        </w:rPr>
        <w:t xml:space="preserve">                                        </w:t>
      </w:r>
    </w:p>
    <w:p w14:paraId="29C2AFF3">
      <w:pPr>
        <w:keepNext w:val="0"/>
        <w:keepLines w:val="0"/>
        <w:pageBreakBefore w:val="0"/>
        <w:widowControl w:val="0"/>
        <w:kinsoku/>
        <w:wordWrap/>
        <w:overflowPunct/>
        <w:topLinePunct w:val="0"/>
        <w:autoSpaceDE/>
        <w:autoSpaceDN/>
        <w:bidi w:val="0"/>
        <w:adjustRightInd/>
        <w:snapToGrid/>
        <w:spacing w:beforeLines="50" w:line="500" w:lineRule="exact"/>
        <w:ind w:right="601"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邮政编码：</w:t>
      </w:r>
      <w:r>
        <w:rPr>
          <w:rFonts w:hint="eastAsia" w:ascii="华文中宋" w:hAnsi="华文中宋" w:eastAsia="华文中宋" w:cs="华文中宋"/>
          <w:color w:val="auto"/>
          <w:sz w:val="24"/>
          <w:szCs w:val="24"/>
          <w:u w:val="single"/>
        </w:rPr>
        <w:t xml:space="preserve">                                        </w:t>
      </w:r>
    </w:p>
    <w:p w14:paraId="344CE3E3">
      <w:pPr>
        <w:keepNext w:val="0"/>
        <w:keepLines w:val="0"/>
        <w:pageBreakBefore w:val="0"/>
        <w:widowControl w:val="0"/>
        <w:kinsoku/>
        <w:wordWrap/>
        <w:overflowPunct/>
        <w:topLinePunct w:val="0"/>
        <w:autoSpaceDE/>
        <w:autoSpaceDN/>
        <w:bidi w:val="0"/>
        <w:adjustRightInd/>
        <w:snapToGrid/>
        <w:spacing w:beforeLines="50" w:line="500" w:lineRule="exact"/>
        <w:ind w:right="601"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传    真：</w:t>
      </w:r>
      <w:r>
        <w:rPr>
          <w:rFonts w:hint="eastAsia" w:ascii="华文中宋" w:hAnsi="华文中宋" w:eastAsia="华文中宋" w:cs="华文中宋"/>
          <w:color w:val="auto"/>
          <w:sz w:val="24"/>
          <w:szCs w:val="24"/>
          <w:u w:val="single"/>
        </w:rPr>
        <w:t xml:space="preserve">                                        </w:t>
      </w:r>
    </w:p>
    <w:p w14:paraId="336942EC">
      <w:pPr>
        <w:keepNext w:val="0"/>
        <w:keepLines w:val="0"/>
        <w:pageBreakBefore w:val="0"/>
        <w:widowControl w:val="0"/>
        <w:kinsoku/>
        <w:wordWrap/>
        <w:overflowPunct/>
        <w:topLinePunct w:val="0"/>
        <w:autoSpaceDE/>
        <w:autoSpaceDN/>
        <w:bidi w:val="0"/>
        <w:adjustRightInd/>
        <w:snapToGrid/>
        <w:spacing w:line="500" w:lineRule="exact"/>
        <w:ind w:right="150" w:firstLine="480" w:firstLineChars="200"/>
        <w:jc w:val="left"/>
        <w:textAlignment w:val="auto"/>
        <w:rPr>
          <w:rFonts w:hint="eastAsia" w:ascii="华文中宋" w:hAnsi="华文中宋" w:eastAsia="华文中宋" w:cs="华文中宋"/>
          <w:color w:val="auto"/>
          <w:sz w:val="24"/>
          <w:szCs w:val="24"/>
          <w:u w:val="single"/>
        </w:rPr>
      </w:pPr>
    </w:p>
    <w:p w14:paraId="5C0CA0C6">
      <w:pPr>
        <w:keepNext w:val="0"/>
        <w:keepLines w:val="0"/>
        <w:pageBreakBefore w:val="0"/>
        <w:widowControl w:val="0"/>
        <w:kinsoku/>
        <w:wordWrap/>
        <w:overflowPunct/>
        <w:topLinePunct w:val="0"/>
        <w:autoSpaceDE/>
        <w:autoSpaceDN/>
        <w:bidi w:val="0"/>
        <w:adjustRightInd/>
        <w:snapToGrid/>
        <w:spacing w:line="500" w:lineRule="exact"/>
        <w:ind w:right="150" w:firstLine="480" w:firstLineChars="200"/>
        <w:jc w:val="lef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日</w:t>
      </w:r>
    </w:p>
    <w:p w14:paraId="072B588B">
      <w:pPr>
        <w:spacing w:line="440" w:lineRule="exact"/>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br w:type="page"/>
      </w:r>
      <w:r>
        <w:rPr>
          <w:rFonts w:hint="eastAsia" w:ascii="华文中宋" w:hAnsi="华文中宋" w:eastAsia="华文中宋" w:cs="华文中宋"/>
          <w:color w:val="auto"/>
          <w:sz w:val="24"/>
          <w:szCs w:val="24"/>
        </w:rPr>
        <w:t>附件11：</w:t>
      </w:r>
    </w:p>
    <w:p w14:paraId="00CB2A9F">
      <w:pPr>
        <w:spacing w:beforeLines="50" w:afterLines="50" w:line="440" w:lineRule="exact"/>
        <w:jc w:val="center"/>
        <w:outlineLvl w:val="0"/>
        <w:rPr>
          <w:rFonts w:hint="eastAsia" w:ascii="华文中宋" w:hAnsi="华文中宋" w:eastAsia="华文中宋" w:cs="华文中宋"/>
          <w:color w:val="auto"/>
          <w:sz w:val="24"/>
          <w:szCs w:val="24"/>
        </w:rPr>
      </w:pPr>
      <w:bookmarkStart w:id="1191" w:name="_Toc20725"/>
      <w:bookmarkStart w:id="1192" w:name="_Toc375060664"/>
      <w:bookmarkStart w:id="1193" w:name="_Toc375060883"/>
      <w:bookmarkStart w:id="1194" w:name="_Toc26826"/>
      <w:r>
        <w:rPr>
          <w:rFonts w:hint="eastAsia" w:ascii="华文中宋" w:hAnsi="华文中宋" w:eastAsia="华文中宋" w:cs="华文中宋"/>
          <w:color w:val="auto"/>
          <w:sz w:val="24"/>
          <w:szCs w:val="24"/>
        </w:rPr>
        <w:t>11-1：材料暂估价表</w:t>
      </w:r>
      <w:bookmarkEnd w:id="1191"/>
      <w:bookmarkEnd w:id="1192"/>
      <w:bookmarkEnd w:id="1193"/>
      <w:bookmarkEnd w:id="1194"/>
    </w:p>
    <w:tbl>
      <w:tblPr>
        <w:tblStyle w:val="29"/>
        <w:tblW w:w="96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6"/>
        <w:gridCol w:w="2744"/>
        <w:gridCol w:w="538"/>
        <w:gridCol w:w="1178"/>
        <w:gridCol w:w="1141"/>
        <w:gridCol w:w="1417"/>
        <w:gridCol w:w="2119"/>
      </w:tblGrid>
      <w:tr w14:paraId="33D94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6" w:type="dxa"/>
            <w:tcBorders>
              <w:top w:val="single" w:color="auto" w:sz="12" w:space="0"/>
              <w:bottom w:val="double" w:color="auto" w:sz="6" w:space="0"/>
            </w:tcBorders>
            <w:noWrap w:val="0"/>
            <w:vAlign w:val="center"/>
          </w:tcPr>
          <w:p w14:paraId="01283C9F">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序</w:t>
            </w:r>
          </w:p>
          <w:p w14:paraId="76855A2C">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号</w:t>
            </w:r>
          </w:p>
        </w:tc>
        <w:tc>
          <w:tcPr>
            <w:tcW w:w="2744" w:type="dxa"/>
            <w:tcBorders>
              <w:top w:val="single" w:color="auto" w:sz="12" w:space="0"/>
              <w:bottom w:val="double" w:color="auto" w:sz="6" w:space="0"/>
            </w:tcBorders>
            <w:noWrap w:val="0"/>
            <w:vAlign w:val="center"/>
          </w:tcPr>
          <w:p w14:paraId="117A5005">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名  称</w:t>
            </w:r>
          </w:p>
        </w:tc>
        <w:tc>
          <w:tcPr>
            <w:tcW w:w="538" w:type="dxa"/>
            <w:tcBorders>
              <w:top w:val="single" w:color="auto" w:sz="12" w:space="0"/>
              <w:bottom w:val="double" w:color="auto" w:sz="6" w:space="0"/>
            </w:tcBorders>
            <w:noWrap w:val="0"/>
            <w:vAlign w:val="center"/>
          </w:tcPr>
          <w:p w14:paraId="3585CED9">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单</w:t>
            </w:r>
          </w:p>
          <w:p w14:paraId="6C9F7BE9">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位</w:t>
            </w:r>
          </w:p>
        </w:tc>
        <w:tc>
          <w:tcPr>
            <w:tcW w:w="1178" w:type="dxa"/>
            <w:tcBorders>
              <w:top w:val="single" w:color="auto" w:sz="12" w:space="0"/>
              <w:bottom w:val="double" w:color="auto" w:sz="6" w:space="0"/>
            </w:tcBorders>
            <w:noWrap w:val="0"/>
            <w:vAlign w:val="center"/>
          </w:tcPr>
          <w:p w14:paraId="74DD36EB">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数量</w:t>
            </w:r>
          </w:p>
        </w:tc>
        <w:tc>
          <w:tcPr>
            <w:tcW w:w="1141" w:type="dxa"/>
            <w:tcBorders>
              <w:top w:val="single" w:color="auto" w:sz="12" w:space="0"/>
              <w:bottom w:val="double" w:color="auto" w:sz="6" w:space="0"/>
            </w:tcBorders>
            <w:noWrap w:val="0"/>
            <w:vAlign w:val="center"/>
          </w:tcPr>
          <w:p w14:paraId="6B01AB48">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单价</w:t>
            </w:r>
          </w:p>
          <w:p w14:paraId="665AC281">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（元）</w:t>
            </w:r>
          </w:p>
        </w:tc>
        <w:tc>
          <w:tcPr>
            <w:tcW w:w="1417" w:type="dxa"/>
            <w:tcBorders>
              <w:top w:val="single" w:color="auto" w:sz="12" w:space="0"/>
              <w:bottom w:val="double" w:color="auto" w:sz="6" w:space="0"/>
            </w:tcBorders>
            <w:noWrap w:val="0"/>
            <w:vAlign w:val="center"/>
          </w:tcPr>
          <w:p w14:paraId="23D19C30">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合价</w:t>
            </w:r>
          </w:p>
          <w:p w14:paraId="2C3C2B07">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（元）</w:t>
            </w:r>
          </w:p>
        </w:tc>
        <w:tc>
          <w:tcPr>
            <w:tcW w:w="2119" w:type="dxa"/>
            <w:tcBorders>
              <w:top w:val="single" w:color="auto" w:sz="12" w:space="0"/>
              <w:bottom w:val="double" w:color="auto" w:sz="6" w:space="0"/>
            </w:tcBorders>
            <w:noWrap w:val="0"/>
            <w:vAlign w:val="center"/>
          </w:tcPr>
          <w:p w14:paraId="0781B23D">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备 注</w:t>
            </w:r>
          </w:p>
        </w:tc>
      </w:tr>
      <w:tr w14:paraId="2DB64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tcBorders>
              <w:top w:val="double" w:color="auto" w:sz="6" w:space="0"/>
              <w:bottom w:val="single" w:color="auto" w:sz="6" w:space="0"/>
            </w:tcBorders>
            <w:noWrap w:val="0"/>
            <w:vAlign w:val="center"/>
          </w:tcPr>
          <w:p w14:paraId="7B100D89">
            <w:pPr>
              <w:spacing w:line="320" w:lineRule="exact"/>
              <w:jc w:val="center"/>
              <w:rPr>
                <w:rFonts w:hint="eastAsia" w:ascii="华文中宋" w:hAnsi="华文中宋" w:eastAsia="华文中宋" w:cs="华文中宋"/>
                <w:b/>
                <w:color w:val="auto"/>
                <w:sz w:val="24"/>
                <w:szCs w:val="24"/>
                <w:highlight w:val="cyan"/>
              </w:rPr>
            </w:pPr>
          </w:p>
        </w:tc>
        <w:tc>
          <w:tcPr>
            <w:tcW w:w="2744" w:type="dxa"/>
            <w:tcBorders>
              <w:top w:val="double" w:color="auto" w:sz="6" w:space="0"/>
              <w:bottom w:val="single" w:color="auto" w:sz="6" w:space="0"/>
            </w:tcBorders>
            <w:noWrap w:val="0"/>
            <w:vAlign w:val="center"/>
          </w:tcPr>
          <w:p w14:paraId="421061D8">
            <w:pPr>
              <w:spacing w:line="320" w:lineRule="exact"/>
              <w:jc w:val="center"/>
              <w:rPr>
                <w:rFonts w:hint="eastAsia" w:ascii="华文中宋" w:hAnsi="华文中宋" w:eastAsia="华文中宋" w:cs="华文中宋"/>
                <w:b/>
                <w:color w:val="auto"/>
                <w:sz w:val="24"/>
                <w:szCs w:val="24"/>
                <w:highlight w:val="cyan"/>
              </w:rPr>
            </w:pPr>
          </w:p>
        </w:tc>
        <w:tc>
          <w:tcPr>
            <w:tcW w:w="538" w:type="dxa"/>
            <w:tcBorders>
              <w:top w:val="double" w:color="auto" w:sz="6" w:space="0"/>
              <w:bottom w:val="single" w:color="auto" w:sz="6" w:space="0"/>
            </w:tcBorders>
            <w:noWrap w:val="0"/>
            <w:vAlign w:val="center"/>
          </w:tcPr>
          <w:p w14:paraId="206CCFB0">
            <w:pPr>
              <w:spacing w:line="320" w:lineRule="exact"/>
              <w:jc w:val="center"/>
              <w:rPr>
                <w:rFonts w:hint="eastAsia" w:ascii="华文中宋" w:hAnsi="华文中宋" w:eastAsia="华文中宋" w:cs="华文中宋"/>
                <w:b/>
                <w:color w:val="auto"/>
                <w:sz w:val="24"/>
                <w:szCs w:val="24"/>
                <w:highlight w:val="cyan"/>
              </w:rPr>
            </w:pPr>
          </w:p>
        </w:tc>
        <w:tc>
          <w:tcPr>
            <w:tcW w:w="1178" w:type="dxa"/>
            <w:tcBorders>
              <w:top w:val="double" w:color="auto" w:sz="6" w:space="0"/>
              <w:bottom w:val="single" w:color="auto" w:sz="6" w:space="0"/>
            </w:tcBorders>
            <w:noWrap w:val="0"/>
            <w:vAlign w:val="center"/>
          </w:tcPr>
          <w:p w14:paraId="3A20FF12">
            <w:pPr>
              <w:spacing w:line="320" w:lineRule="exact"/>
              <w:jc w:val="center"/>
              <w:rPr>
                <w:rFonts w:hint="eastAsia" w:ascii="华文中宋" w:hAnsi="华文中宋" w:eastAsia="华文中宋" w:cs="华文中宋"/>
                <w:b/>
                <w:color w:val="auto"/>
                <w:sz w:val="24"/>
                <w:szCs w:val="24"/>
                <w:highlight w:val="cyan"/>
              </w:rPr>
            </w:pPr>
          </w:p>
        </w:tc>
        <w:tc>
          <w:tcPr>
            <w:tcW w:w="1141" w:type="dxa"/>
            <w:tcBorders>
              <w:top w:val="double" w:color="auto" w:sz="6" w:space="0"/>
              <w:bottom w:val="single" w:color="auto" w:sz="6" w:space="0"/>
            </w:tcBorders>
            <w:noWrap w:val="0"/>
            <w:vAlign w:val="center"/>
          </w:tcPr>
          <w:p w14:paraId="713A32B1">
            <w:pPr>
              <w:spacing w:line="320" w:lineRule="exact"/>
              <w:jc w:val="center"/>
              <w:rPr>
                <w:rFonts w:hint="eastAsia" w:ascii="华文中宋" w:hAnsi="华文中宋" w:eastAsia="华文中宋" w:cs="华文中宋"/>
                <w:b/>
                <w:color w:val="auto"/>
                <w:sz w:val="24"/>
                <w:szCs w:val="24"/>
                <w:highlight w:val="cyan"/>
              </w:rPr>
            </w:pPr>
          </w:p>
        </w:tc>
        <w:tc>
          <w:tcPr>
            <w:tcW w:w="1417" w:type="dxa"/>
            <w:tcBorders>
              <w:top w:val="double" w:color="auto" w:sz="6" w:space="0"/>
              <w:bottom w:val="single" w:color="auto" w:sz="6" w:space="0"/>
            </w:tcBorders>
            <w:noWrap w:val="0"/>
            <w:vAlign w:val="center"/>
          </w:tcPr>
          <w:p w14:paraId="6DBC5DBD">
            <w:pPr>
              <w:spacing w:line="320" w:lineRule="exact"/>
              <w:jc w:val="center"/>
              <w:rPr>
                <w:rFonts w:hint="eastAsia" w:ascii="华文中宋" w:hAnsi="华文中宋" w:eastAsia="华文中宋" w:cs="华文中宋"/>
                <w:b/>
                <w:color w:val="auto"/>
                <w:sz w:val="24"/>
                <w:szCs w:val="24"/>
                <w:highlight w:val="cyan"/>
              </w:rPr>
            </w:pPr>
          </w:p>
        </w:tc>
        <w:tc>
          <w:tcPr>
            <w:tcW w:w="2119" w:type="dxa"/>
            <w:tcBorders>
              <w:top w:val="double" w:color="auto" w:sz="6" w:space="0"/>
              <w:bottom w:val="single" w:color="auto" w:sz="6" w:space="0"/>
            </w:tcBorders>
            <w:noWrap w:val="0"/>
            <w:vAlign w:val="center"/>
          </w:tcPr>
          <w:p w14:paraId="1B5BF9D4">
            <w:pPr>
              <w:spacing w:line="320" w:lineRule="exact"/>
              <w:ind w:left="63" w:leftChars="30" w:right="63"/>
              <w:jc w:val="center"/>
              <w:rPr>
                <w:rFonts w:hint="eastAsia" w:ascii="华文中宋" w:hAnsi="华文中宋" w:eastAsia="华文中宋" w:cs="华文中宋"/>
                <w:b/>
                <w:color w:val="auto"/>
                <w:sz w:val="24"/>
                <w:szCs w:val="24"/>
                <w:highlight w:val="cyan"/>
              </w:rPr>
            </w:pPr>
          </w:p>
        </w:tc>
      </w:tr>
      <w:tr w14:paraId="278A5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tcBorders>
              <w:top w:val="nil"/>
            </w:tcBorders>
            <w:noWrap w:val="0"/>
            <w:vAlign w:val="center"/>
          </w:tcPr>
          <w:p w14:paraId="366FC6E7">
            <w:pPr>
              <w:spacing w:line="320" w:lineRule="exact"/>
              <w:jc w:val="center"/>
              <w:rPr>
                <w:rFonts w:hint="eastAsia" w:ascii="华文中宋" w:hAnsi="华文中宋" w:eastAsia="华文中宋" w:cs="华文中宋"/>
                <w:b/>
                <w:color w:val="auto"/>
                <w:sz w:val="24"/>
                <w:szCs w:val="24"/>
                <w:highlight w:val="cyan"/>
              </w:rPr>
            </w:pPr>
          </w:p>
        </w:tc>
        <w:tc>
          <w:tcPr>
            <w:tcW w:w="2744" w:type="dxa"/>
            <w:tcBorders>
              <w:top w:val="nil"/>
            </w:tcBorders>
            <w:noWrap w:val="0"/>
            <w:vAlign w:val="center"/>
          </w:tcPr>
          <w:p w14:paraId="52A0D204">
            <w:pPr>
              <w:spacing w:line="320" w:lineRule="exact"/>
              <w:jc w:val="center"/>
              <w:rPr>
                <w:rFonts w:hint="eastAsia" w:ascii="华文中宋" w:hAnsi="华文中宋" w:eastAsia="华文中宋" w:cs="华文中宋"/>
                <w:b/>
                <w:color w:val="auto"/>
                <w:spacing w:val="-8"/>
                <w:sz w:val="24"/>
                <w:szCs w:val="24"/>
                <w:highlight w:val="cyan"/>
              </w:rPr>
            </w:pPr>
          </w:p>
        </w:tc>
        <w:tc>
          <w:tcPr>
            <w:tcW w:w="538" w:type="dxa"/>
            <w:tcBorders>
              <w:top w:val="nil"/>
            </w:tcBorders>
            <w:noWrap w:val="0"/>
            <w:vAlign w:val="center"/>
          </w:tcPr>
          <w:p w14:paraId="5415BF11">
            <w:pPr>
              <w:spacing w:line="320" w:lineRule="exact"/>
              <w:jc w:val="center"/>
              <w:rPr>
                <w:rFonts w:hint="eastAsia" w:ascii="华文中宋" w:hAnsi="华文中宋" w:eastAsia="华文中宋" w:cs="华文中宋"/>
                <w:b/>
                <w:color w:val="auto"/>
                <w:sz w:val="24"/>
                <w:szCs w:val="24"/>
                <w:highlight w:val="cyan"/>
              </w:rPr>
            </w:pPr>
          </w:p>
        </w:tc>
        <w:tc>
          <w:tcPr>
            <w:tcW w:w="1178" w:type="dxa"/>
            <w:tcBorders>
              <w:top w:val="nil"/>
            </w:tcBorders>
            <w:noWrap w:val="0"/>
            <w:vAlign w:val="center"/>
          </w:tcPr>
          <w:p w14:paraId="0E855CC2">
            <w:pPr>
              <w:spacing w:line="320" w:lineRule="exact"/>
              <w:jc w:val="center"/>
              <w:rPr>
                <w:rFonts w:hint="eastAsia" w:ascii="华文中宋" w:hAnsi="华文中宋" w:eastAsia="华文中宋" w:cs="华文中宋"/>
                <w:b/>
                <w:color w:val="auto"/>
                <w:sz w:val="24"/>
                <w:szCs w:val="24"/>
                <w:highlight w:val="cyan"/>
              </w:rPr>
            </w:pPr>
          </w:p>
        </w:tc>
        <w:tc>
          <w:tcPr>
            <w:tcW w:w="1141" w:type="dxa"/>
            <w:tcBorders>
              <w:top w:val="nil"/>
            </w:tcBorders>
            <w:noWrap w:val="0"/>
            <w:vAlign w:val="center"/>
          </w:tcPr>
          <w:p w14:paraId="5065A76D">
            <w:pPr>
              <w:spacing w:line="320" w:lineRule="exact"/>
              <w:jc w:val="center"/>
              <w:rPr>
                <w:rFonts w:hint="eastAsia" w:ascii="华文中宋" w:hAnsi="华文中宋" w:eastAsia="华文中宋" w:cs="华文中宋"/>
                <w:b/>
                <w:color w:val="auto"/>
                <w:sz w:val="24"/>
                <w:szCs w:val="24"/>
                <w:highlight w:val="cyan"/>
              </w:rPr>
            </w:pPr>
          </w:p>
        </w:tc>
        <w:tc>
          <w:tcPr>
            <w:tcW w:w="1417" w:type="dxa"/>
            <w:tcBorders>
              <w:top w:val="nil"/>
            </w:tcBorders>
            <w:noWrap w:val="0"/>
            <w:vAlign w:val="center"/>
          </w:tcPr>
          <w:p w14:paraId="5D445A42">
            <w:pPr>
              <w:spacing w:line="320" w:lineRule="exact"/>
              <w:jc w:val="center"/>
              <w:rPr>
                <w:rFonts w:hint="eastAsia" w:ascii="华文中宋" w:hAnsi="华文中宋" w:eastAsia="华文中宋" w:cs="华文中宋"/>
                <w:b/>
                <w:color w:val="auto"/>
                <w:sz w:val="24"/>
                <w:szCs w:val="24"/>
                <w:highlight w:val="cyan"/>
              </w:rPr>
            </w:pPr>
          </w:p>
        </w:tc>
        <w:tc>
          <w:tcPr>
            <w:tcW w:w="2119" w:type="dxa"/>
            <w:tcBorders>
              <w:top w:val="nil"/>
            </w:tcBorders>
            <w:noWrap w:val="0"/>
            <w:vAlign w:val="center"/>
          </w:tcPr>
          <w:p w14:paraId="6BB370A5">
            <w:pPr>
              <w:spacing w:line="320" w:lineRule="exact"/>
              <w:ind w:left="63" w:leftChars="30" w:right="63"/>
              <w:jc w:val="center"/>
              <w:rPr>
                <w:rFonts w:hint="eastAsia" w:ascii="华文中宋" w:hAnsi="华文中宋" w:eastAsia="华文中宋" w:cs="华文中宋"/>
                <w:b/>
                <w:color w:val="auto"/>
                <w:sz w:val="24"/>
                <w:szCs w:val="24"/>
                <w:highlight w:val="cyan"/>
              </w:rPr>
            </w:pPr>
          </w:p>
        </w:tc>
      </w:tr>
      <w:tr w14:paraId="1291B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noWrap w:val="0"/>
            <w:vAlign w:val="center"/>
          </w:tcPr>
          <w:p w14:paraId="1DFF846D">
            <w:pPr>
              <w:spacing w:line="320" w:lineRule="exact"/>
              <w:jc w:val="center"/>
              <w:rPr>
                <w:rFonts w:hint="eastAsia" w:ascii="华文中宋" w:hAnsi="华文中宋" w:eastAsia="华文中宋" w:cs="华文中宋"/>
                <w:b/>
                <w:color w:val="auto"/>
                <w:sz w:val="24"/>
                <w:szCs w:val="24"/>
                <w:highlight w:val="cyan"/>
              </w:rPr>
            </w:pPr>
          </w:p>
        </w:tc>
        <w:tc>
          <w:tcPr>
            <w:tcW w:w="2744" w:type="dxa"/>
            <w:noWrap w:val="0"/>
            <w:vAlign w:val="center"/>
          </w:tcPr>
          <w:p w14:paraId="5C694097">
            <w:pPr>
              <w:spacing w:line="320" w:lineRule="exact"/>
              <w:jc w:val="center"/>
              <w:rPr>
                <w:rFonts w:hint="eastAsia" w:ascii="华文中宋" w:hAnsi="华文中宋" w:eastAsia="华文中宋" w:cs="华文中宋"/>
                <w:b/>
                <w:color w:val="auto"/>
                <w:sz w:val="24"/>
                <w:szCs w:val="24"/>
                <w:highlight w:val="cyan"/>
              </w:rPr>
            </w:pPr>
          </w:p>
        </w:tc>
        <w:tc>
          <w:tcPr>
            <w:tcW w:w="538" w:type="dxa"/>
            <w:noWrap w:val="0"/>
            <w:vAlign w:val="center"/>
          </w:tcPr>
          <w:p w14:paraId="653B45C8">
            <w:pPr>
              <w:spacing w:line="320" w:lineRule="exact"/>
              <w:jc w:val="center"/>
              <w:rPr>
                <w:rFonts w:hint="eastAsia" w:ascii="华文中宋" w:hAnsi="华文中宋" w:eastAsia="华文中宋" w:cs="华文中宋"/>
                <w:b/>
                <w:color w:val="auto"/>
                <w:sz w:val="24"/>
                <w:szCs w:val="24"/>
                <w:highlight w:val="cyan"/>
              </w:rPr>
            </w:pPr>
          </w:p>
        </w:tc>
        <w:tc>
          <w:tcPr>
            <w:tcW w:w="1178" w:type="dxa"/>
            <w:noWrap w:val="0"/>
            <w:vAlign w:val="center"/>
          </w:tcPr>
          <w:p w14:paraId="03365326">
            <w:pPr>
              <w:spacing w:line="320" w:lineRule="exact"/>
              <w:jc w:val="center"/>
              <w:rPr>
                <w:rFonts w:hint="eastAsia" w:ascii="华文中宋" w:hAnsi="华文中宋" w:eastAsia="华文中宋" w:cs="华文中宋"/>
                <w:b/>
                <w:color w:val="auto"/>
                <w:sz w:val="24"/>
                <w:szCs w:val="24"/>
                <w:highlight w:val="cyan"/>
              </w:rPr>
            </w:pPr>
          </w:p>
        </w:tc>
        <w:tc>
          <w:tcPr>
            <w:tcW w:w="1141" w:type="dxa"/>
            <w:noWrap w:val="0"/>
            <w:vAlign w:val="center"/>
          </w:tcPr>
          <w:p w14:paraId="4CF1E2A8">
            <w:pPr>
              <w:spacing w:line="320" w:lineRule="exact"/>
              <w:jc w:val="center"/>
              <w:rPr>
                <w:rFonts w:hint="eastAsia" w:ascii="华文中宋" w:hAnsi="华文中宋" w:eastAsia="华文中宋" w:cs="华文中宋"/>
                <w:b/>
                <w:color w:val="auto"/>
                <w:sz w:val="24"/>
                <w:szCs w:val="24"/>
                <w:highlight w:val="cyan"/>
              </w:rPr>
            </w:pPr>
          </w:p>
        </w:tc>
        <w:tc>
          <w:tcPr>
            <w:tcW w:w="1417" w:type="dxa"/>
            <w:noWrap w:val="0"/>
            <w:vAlign w:val="center"/>
          </w:tcPr>
          <w:p w14:paraId="7FFF412B">
            <w:pPr>
              <w:spacing w:line="320" w:lineRule="exact"/>
              <w:jc w:val="center"/>
              <w:rPr>
                <w:rFonts w:hint="eastAsia" w:ascii="华文中宋" w:hAnsi="华文中宋" w:eastAsia="华文中宋" w:cs="华文中宋"/>
                <w:b/>
                <w:color w:val="auto"/>
                <w:sz w:val="24"/>
                <w:szCs w:val="24"/>
                <w:highlight w:val="cyan"/>
              </w:rPr>
            </w:pPr>
          </w:p>
        </w:tc>
        <w:tc>
          <w:tcPr>
            <w:tcW w:w="2119" w:type="dxa"/>
            <w:noWrap w:val="0"/>
            <w:vAlign w:val="center"/>
          </w:tcPr>
          <w:p w14:paraId="78D7453D">
            <w:pPr>
              <w:spacing w:line="340" w:lineRule="exact"/>
              <w:ind w:left="63" w:leftChars="30" w:right="62"/>
              <w:jc w:val="center"/>
              <w:rPr>
                <w:rFonts w:hint="eastAsia" w:ascii="华文中宋" w:hAnsi="华文中宋" w:eastAsia="华文中宋" w:cs="华文中宋"/>
                <w:b/>
                <w:color w:val="auto"/>
                <w:sz w:val="24"/>
                <w:szCs w:val="24"/>
                <w:highlight w:val="cyan"/>
              </w:rPr>
            </w:pPr>
          </w:p>
        </w:tc>
      </w:tr>
      <w:tr w14:paraId="6C7CB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noWrap w:val="0"/>
            <w:vAlign w:val="center"/>
          </w:tcPr>
          <w:p w14:paraId="25010C48">
            <w:pPr>
              <w:spacing w:line="320" w:lineRule="exact"/>
              <w:jc w:val="center"/>
              <w:rPr>
                <w:rFonts w:hint="eastAsia" w:ascii="华文中宋" w:hAnsi="华文中宋" w:eastAsia="华文中宋" w:cs="华文中宋"/>
                <w:b/>
                <w:color w:val="auto"/>
                <w:sz w:val="24"/>
                <w:szCs w:val="24"/>
              </w:rPr>
            </w:pPr>
          </w:p>
        </w:tc>
        <w:tc>
          <w:tcPr>
            <w:tcW w:w="2744" w:type="dxa"/>
            <w:noWrap w:val="0"/>
            <w:vAlign w:val="center"/>
          </w:tcPr>
          <w:p w14:paraId="18E05308">
            <w:pPr>
              <w:spacing w:line="320" w:lineRule="exact"/>
              <w:jc w:val="center"/>
              <w:rPr>
                <w:rFonts w:hint="eastAsia" w:ascii="华文中宋" w:hAnsi="华文中宋" w:eastAsia="华文中宋" w:cs="华文中宋"/>
                <w:b/>
                <w:color w:val="auto"/>
                <w:sz w:val="24"/>
                <w:szCs w:val="24"/>
              </w:rPr>
            </w:pPr>
          </w:p>
        </w:tc>
        <w:tc>
          <w:tcPr>
            <w:tcW w:w="538" w:type="dxa"/>
            <w:noWrap w:val="0"/>
            <w:vAlign w:val="center"/>
          </w:tcPr>
          <w:p w14:paraId="1382E3AE">
            <w:pPr>
              <w:spacing w:line="320" w:lineRule="exact"/>
              <w:jc w:val="center"/>
              <w:rPr>
                <w:rFonts w:hint="eastAsia" w:ascii="华文中宋" w:hAnsi="华文中宋" w:eastAsia="华文中宋" w:cs="华文中宋"/>
                <w:b/>
                <w:color w:val="auto"/>
                <w:sz w:val="24"/>
                <w:szCs w:val="24"/>
              </w:rPr>
            </w:pPr>
          </w:p>
        </w:tc>
        <w:tc>
          <w:tcPr>
            <w:tcW w:w="1178" w:type="dxa"/>
            <w:noWrap w:val="0"/>
            <w:vAlign w:val="center"/>
          </w:tcPr>
          <w:p w14:paraId="1AEEB55B">
            <w:pPr>
              <w:spacing w:line="320" w:lineRule="exact"/>
              <w:jc w:val="center"/>
              <w:rPr>
                <w:rFonts w:hint="eastAsia" w:ascii="华文中宋" w:hAnsi="华文中宋" w:eastAsia="华文中宋" w:cs="华文中宋"/>
                <w:b/>
                <w:color w:val="auto"/>
                <w:sz w:val="24"/>
                <w:szCs w:val="24"/>
              </w:rPr>
            </w:pPr>
          </w:p>
        </w:tc>
        <w:tc>
          <w:tcPr>
            <w:tcW w:w="1141" w:type="dxa"/>
            <w:noWrap w:val="0"/>
            <w:vAlign w:val="center"/>
          </w:tcPr>
          <w:p w14:paraId="7265837E">
            <w:pPr>
              <w:spacing w:line="320" w:lineRule="exact"/>
              <w:jc w:val="center"/>
              <w:rPr>
                <w:rFonts w:hint="eastAsia" w:ascii="华文中宋" w:hAnsi="华文中宋" w:eastAsia="华文中宋" w:cs="华文中宋"/>
                <w:b/>
                <w:color w:val="auto"/>
                <w:sz w:val="24"/>
                <w:szCs w:val="24"/>
              </w:rPr>
            </w:pPr>
          </w:p>
        </w:tc>
        <w:tc>
          <w:tcPr>
            <w:tcW w:w="1417" w:type="dxa"/>
            <w:noWrap w:val="0"/>
            <w:vAlign w:val="center"/>
          </w:tcPr>
          <w:p w14:paraId="7D84413B">
            <w:pPr>
              <w:spacing w:line="320" w:lineRule="exact"/>
              <w:jc w:val="center"/>
              <w:rPr>
                <w:rFonts w:hint="eastAsia" w:ascii="华文中宋" w:hAnsi="华文中宋" w:eastAsia="华文中宋" w:cs="华文中宋"/>
                <w:b/>
                <w:color w:val="auto"/>
                <w:sz w:val="24"/>
                <w:szCs w:val="24"/>
              </w:rPr>
            </w:pPr>
          </w:p>
        </w:tc>
        <w:tc>
          <w:tcPr>
            <w:tcW w:w="2119" w:type="dxa"/>
            <w:noWrap w:val="0"/>
            <w:vAlign w:val="center"/>
          </w:tcPr>
          <w:p w14:paraId="747CEB69">
            <w:pPr>
              <w:spacing w:line="320" w:lineRule="exact"/>
              <w:ind w:left="63" w:leftChars="30" w:right="63"/>
              <w:jc w:val="center"/>
              <w:rPr>
                <w:rFonts w:hint="eastAsia" w:ascii="华文中宋" w:hAnsi="华文中宋" w:eastAsia="华文中宋" w:cs="华文中宋"/>
                <w:b/>
                <w:color w:val="auto"/>
                <w:sz w:val="24"/>
                <w:szCs w:val="24"/>
              </w:rPr>
            </w:pPr>
          </w:p>
        </w:tc>
      </w:tr>
      <w:tr w14:paraId="23761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noWrap w:val="0"/>
            <w:vAlign w:val="center"/>
          </w:tcPr>
          <w:p w14:paraId="1E85F42D">
            <w:pPr>
              <w:spacing w:line="320" w:lineRule="exact"/>
              <w:jc w:val="center"/>
              <w:rPr>
                <w:rFonts w:hint="eastAsia" w:ascii="华文中宋" w:hAnsi="华文中宋" w:eastAsia="华文中宋" w:cs="华文中宋"/>
                <w:b/>
                <w:color w:val="auto"/>
                <w:sz w:val="24"/>
                <w:szCs w:val="24"/>
              </w:rPr>
            </w:pPr>
          </w:p>
        </w:tc>
        <w:tc>
          <w:tcPr>
            <w:tcW w:w="2744" w:type="dxa"/>
            <w:noWrap w:val="0"/>
            <w:vAlign w:val="center"/>
          </w:tcPr>
          <w:p w14:paraId="79173815">
            <w:pPr>
              <w:spacing w:line="320" w:lineRule="exact"/>
              <w:jc w:val="center"/>
              <w:rPr>
                <w:rFonts w:hint="eastAsia" w:ascii="华文中宋" w:hAnsi="华文中宋" w:eastAsia="华文中宋" w:cs="华文中宋"/>
                <w:b/>
                <w:color w:val="auto"/>
                <w:sz w:val="24"/>
                <w:szCs w:val="24"/>
              </w:rPr>
            </w:pPr>
          </w:p>
        </w:tc>
        <w:tc>
          <w:tcPr>
            <w:tcW w:w="538" w:type="dxa"/>
            <w:noWrap w:val="0"/>
            <w:vAlign w:val="center"/>
          </w:tcPr>
          <w:p w14:paraId="477C459F">
            <w:pPr>
              <w:spacing w:line="320" w:lineRule="exact"/>
              <w:jc w:val="center"/>
              <w:rPr>
                <w:rFonts w:hint="eastAsia" w:ascii="华文中宋" w:hAnsi="华文中宋" w:eastAsia="华文中宋" w:cs="华文中宋"/>
                <w:b/>
                <w:color w:val="auto"/>
                <w:sz w:val="24"/>
                <w:szCs w:val="24"/>
              </w:rPr>
            </w:pPr>
          </w:p>
        </w:tc>
        <w:tc>
          <w:tcPr>
            <w:tcW w:w="1178" w:type="dxa"/>
            <w:noWrap w:val="0"/>
            <w:vAlign w:val="center"/>
          </w:tcPr>
          <w:p w14:paraId="62E97079">
            <w:pPr>
              <w:spacing w:line="320" w:lineRule="exact"/>
              <w:jc w:val="center"/>
              <w:rPr>
                <w:rFonts w:hint="eastAsia" w:ascii="华文中宋" w:hAnsi="华文中宋" w:eastAsia="华文中宋" w:cs="华文中宋"/>
                <w:b/>
                <w:color w:val="auto"/>
                <w:sz w:val="24"/>
                <w:szCs w:val="24"/>
              </w:rPr>
            </w:pPr>
          </w:p>
        </w:tc>
        <w:tc>
          <w:tcPr>
            <w:tcW w:w="1141" w:type="dxa"/>
            <w:noWrap w:val="0"/>
            <w:vAlign w:val="center"/>
          </w:tcPr>
          <w:p w14:paraId="76620965">
            <w:pPr>
              <w:spacing w:line="320" w:lineRule="exact"/>
              <w:jc w:val="center"/>
              <w:rPr>
                <w:rFonts w:hint="eastAsia" w:ascii="华文中宋" w:hAnsi="华文中宋" w:eastAsia="华文中宋" w:cs="华文中宋"/>
                <w:b/>
                <w:color w:val="auto"/>
                <w:sz w:val="24"/>
                <w:szCs w:val="24"/>
              </w:rPr>
            </w:pPr>
          </w:p>
        </w:tc>
        <w:tc>
          <w:tcPr>
            <w:tcW w:w="1417" w:type="dxa"/>
            <w:noWrap w:val="0"/>
            <w:vAlign w:val="center"/>
          </w:tcPr>
          <w:p w14:paraId="11310CA2">
            <w:pPr>
              <w:spacing w:line="320" w:lineRule="exact"/>
              <w:jc w:val="center"/>
              <w:rPr>
                <w:rFonts w:hint="eastAsia" w:ascii="华文中宋" w:hAnsi="华文中宋" w:eastAsia="华文中宋" w:cs="华文中宋"/>
                <w:b/>
                <w:color w:val="auto"/>
                <w:sz w:val="24"/>
                <w:szCs w:val="24"/>
              </w:rPr>
            </w:pPr>
          </w:p>
        </w:tc>
        <w:tc>
          <w:tcPr>
            <w:tcW w:w="2119" w:type="dxa"/>
            <w:noWrap w:val="0"/>
            <w:vAlign w:val="center"/>
          </w:tcPr>
          <w:p w14:paraId="41B996C5">
            <w:pPr>
              <w:spacing w:line="320" w:lineRule="exact"/>
              <w:ind w:left="63" w:leftChars="30" w:right="63"/>
              <w:jc w:val="center"/>
              <w:rPr>
                <w:rFonts w:hint="eastAsia" w:ascii="华文中宋" w:hAnsi="华文中宋" w:eastAsia="华文中宋" w:cs="华文中宋"/>
                <w:b/>
                <w:color w:val="auto"/>
                <w:sz w:val="24"/>
                <w:szCs w:val="24"/>
              </w:rPr>
            </w:pPr>
          </w:p>
        </w:tc>
      </w:tr>
      <w:tr w14:paraId="67397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noWrap w:val="0"/>
            <w:vAlign w:val="center"/>
          </w:tcPr>
          <w:p w14:paraId="0042B32E">
            <w:pPr>
              <w:spacing w:line="320" w:lineRule="exact"/>
              <w:jc w:val="center"/>
              <w:rPr>
                <w:rFonts w:hint="eastAsia" w:ascii="华文中宋" w:hAnsi="华文中宋" w:eastAsia="华文中宋" w:cs="华文中宋"/>
                <w:b/>
                <w:color w:val="auto"/>
                <w:sz w:val="24"/>
                <w:szCs w:val="24"/>
              </w:rPr>
            </w:pPr>
          </w:p>
        </w:tc>
        <w:tc>
          <w:tcPr>
            <w:tcW w:w="2744" w:type="dxa"/>
            <w:noWrap w:val="0"/>
            <w:vAlign w:val="center"/>
          </w:tcPr>
          <w:p w14:paraId="3F8DBC8B">
            <w:pPr>
              <w:spacing w:line="320" w:lineRule="exact"/>
              <w:jc w:val="center"/>
              <w:rPr>
                <w:rFonts w:hint="eastAsia" w:ascii="华文中宋" w:hAnsi="华文中宋" w:eastAsia="华文中宋" w:cs="华文中宋"/>
                <w:b/>
                <w:color w:val="auto"/>
                <w:sz w:val="24"/>
                <w:szCs w:val="24"/>
              </w:rPr>
            </w:pPr>
          </w:p>
        </w:tc>
        <w:tc>
          <w:tcPr>
            <w:tcW w:w="538" w:type="dxa"/>
            <w:noWrap w:val="0"/>
            <w:vAlign w:val="center"/>
          </w:tcPr>
          <w:p w14:paraId="5EC70132">
            <w:pPr>
              <w:spacing w:line="320" w:lineRule="exact"/>
              <w:jc w:val="center"/>
              <w:rPr>
                <w:rFonts w:hint="eastAsia" w:ascii="华文中宋" w:hAnsi="华文中宋" w:eastAsia="华文中宋" w:cs="华文中宋"/>
                <w:b/>
                <w:color w:val="auto"/>
                <w:sz w:val="24"/>
                <w:szCs w:val="24"/>
              </w:rPr>
            </w:pPr>
          </w:p>
        </w:tc>
        <w:tc>
          <w:tcPr>
            <w:tcW w:w="1178" w:type="dxa"/>
            <w:noWrap w:val="0"/>
            <w:vAlign w:val="center"/>
          </w:tcPr>
          <w:p w14:paraId="74A03355">
            <w:pPr>
              <w:spacing w:line="320" w:lineRule="exact"/>
              <w:jc w:val="center"/>
              <w:rPr>
                <w:rFonts w:hint="eastAsia" w:ascii="华文中宋" w:hAnsi="华文中宋" w:eastAsia="华文中宋" w:cs="华文中宋"/>
                <w:b/>
                <w:color w:val="auto"/>
                <w:sz w:val="24"/>
                <w:szCs w:val="24"/>
              </w:rPr>
            </w:pPr>
          </w:p>
        </w:tc>
        <w:tc>
          <w:tcPr>
            <w:tcW w:w="1141" w:type="dxa"/>
            <w:noWrap w:val="0"/>
            <w:vAlign w:val="center"/>
          </w:tcPr>
          <w:p w14:paraId="5EE0E261">
            <w:pPr>
              <w:spacing w:line="320" w:lineRule="exact"/>
              <w:jc w:val="center"/>
              <w:rPr>
                <w:rFonts w:hint="eastAsia" w:ascii="华文中宋" w:hAnsi="华文中宋" w:eastAsia="华文中宋" w:cs="华文中宋"/>
                <w:b/>
                <w:color w:val="auto"/>
                <w:sz w:val="24"/>
                <w:szCs w:val="24"/>
              </w:rPr>
            </w:pPr>
          </w:p>
        </w:tc>
        <w:tc>
          <w:tcPr>
            <w:tcW w:w="1417" w:type="dxa"/>
            <w:noWrap w:val="0"/>
            <w:vAlign w:val="center"/>
          </w:tcPr>
          <w:p w14:paraId="04D1AD49">
            <w:pPr>
              <w:spacing w:line="320" w:lineRule="exact"/>
              <w:jc w:val="center"/>
              <w:rPr>
                <w:rFonts w:hint="eastAsia" w:ascii="华文中宋" w:hAnsi="华文中宋" w:eastAsia="华文中宋" w:cs="华文中宋"/>
                <w:b/>
                <w:color w:val="auto"/>
                <w:sz w:val="24"/>
                <w:szCs w:val="24"/>
              </w:rPr>
            </w:pPr>
          </w:p>
        </w:tc>
        <w:tc>
          <w:tcPr>
            <w:tcW w:w="2119" w:type="dxa"/>
            <w:noWrap w:val="0"/>
            <w:vAlign w:val="center"/>
          </w:tcPr>
          <w:p w14:paraId="7CDE1F12">
            <w:pPr>
              <w:spacing w:line="320" w:lineRule="exact"/>
              <w:ind w:left="63" w:leftChars="30" w:right="63"/>
              <w:jc w:val="center"/>
              <w:rPr>
                <w:rFonts w:hint="eastAsia" w:ascii="华文中宋" w:hAnsi="华文中宋" w:eastAsia="华文中宋" w:cs="华文中宋"/>
                <w:b/>
                <w:color w:val="auto"/>
                <w:sz w:val="24"/>
                <w:szCs w:val="24"/>
              </w:rPr>
            </w:pPr>
          </w:p>
        </w:tc>
      </w:tr>
      <w:tr w14:paraId="36B55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noWrap w:val="0"/>
            <w:vAlign w:val="center"/>
          </w:tcPr>
          <w:p w14:paraId="7E565E41">
            <w:pPr>
              <w:spacing w:line="320" w:lineRule="exact"/>
              <w:jc w:val="center"/>
              <w:rPr>
                <w:rFonts w:hint="eastAsia" w:ascii="华文中宋" w:hAnsi="华文中宋" w:eastAsia="华文中宋" w:cs="华文中宋"/>
                <w:b/>
                <w:color w:val="auto"/>
                <w:sz w:val="24"/>
                <w:szCs w:val="24"/>
              </w:rPr>
            </w:pPr>
          </w:p>
        </w:tc>
        <w:tc>
          <w:tcPr>
            <w:tcW w:w="2744" w:type="dxa"/>
            <w:noWrap w:val="0"/>
            <w:vAlign w:val="center"/>
          </w:tcPr>
          <w:p w14:paraId="00687EBF">
            <w:pPr>
              <w:spacing w:line="320" w:lineRule="exact"/>
              <w:jc w:val="center"/>
              <w:rPr>
                <w:rFonts w:hint="eastAsia" w:ascii="华文中宋" w:hAnsi="华文中宋" w:eastAsia="华文中宋" w:cs="华文中宋"/>
                <w:b/>
                <w:color w:val="auto"/>
                <w:sz w:val="24"/>
                <w:szCs w:val="24"/>
              </w:rPr>
            </w:pPr>
          </w:p>
        </w:tc>
        <w:tc>
          <w:tcPr>
            <w:tcW w:w="538" w:type="dxa"/>
            <w:noWrap w:val="0"/>
            <w:vAlign w:val="center"/>
          </w:tcPr>
          <w:p w14:paraId="482DC713">
            <w:pPr>
              <w:spacing w:line="320" w:lineRule="exact"/>
              <w:jc w:val="center"/>
              <w:rPr>
                <w:rFonts w:hint="eastAsia" w:ascii="华文中宋" w:hAnsi="华文中宋" w:eastAsia="华文中宋" w:cs="华文中宋"/>
                <w:b/>
                <w:color w:val="auto"/>
                <w:sz w:val="24"/>
                <w:szCs w:val="24"/>
              </w:rPr>
            </w:pPr>
          </w:p>
        </w:tc>
        <w:tc>
          <w:tcPr>
            <w:tcW w:w="1178" w:type="dxa"/>
            <w:noWrap w:val="0"/>
            <w:vAlign w:val="center"/>
          </w:tcPr>
          <w:p w14:paraId="67B409B3">
            <w:pPr>
              <w:spacing w:line="320" w:lineRule="exact"/>
              <w:jc w:val="center"/>
              <w:rPr>
                <w:rFonts w:hint="eastAsia" w:ascii="华文中宋" w:hAnsi="华文中宋" w:eastAsia="华文中宋" w:cs="华文中宋"/>
                <w:b/>
                <w:color w:val="auto"/>
                <w:sz w:val="24"/>
                <w:szCs w:val="24"/>
              </w:rPr>
            </w:pPr>
          </w:p>
        </w:tc>
        <w:tc>
          <w:tcPr>
            <w:tcW w:w="1141" w:type="dxa"/>
            <w:noWrap w:val="0"/>
            <w:vAlign w:val="center"/>
          </w:tcPr>
          <w:p w14:paraId="0228A12B">
            <w:pPr>
              <w:spacing w:line="320" w:lineRule="exact"/>
              <w:jc w:val="center"/>
              <w:rPr>
                <w:rFonts w:hint="eastAsia" w:ascii="华文中宋" w:hAnsi="华文中宋" w:eastAsia="华文中宋" w:cs="华文中宋"/>
                <w:b/>
                <w:color w:val="auto"/>
                <w:sz w:val="24"/>
                <w:szCs w:val="24"/>
              </w:rPr>
            </w:pPr>
          </w:p>
        </w:tc>
        <w:tc>
          <w:tcPr>
            <w:tcW w:w="1417" w:type="dxa"/>
            <w:noWrap w:val="0"/>
            <w:vAlign w:val="center"/>
          </w:tcPr>
          <w:p w14:paraId="76220812">
            <w:pPr>
              <w:spacing w:line="320" w:lineRule="exact"/>
              <w:jc w:val="center"/>
              <w:rPr>
                <w:rFonts w:hint="eastAsia" w:ascii="华文中宋" w:hAnsi="华文中宋" w:eastAsia="华文中宋" w:cs="华文中宋"/>
                <w:b/>
                <w:color w:val="auto"/>
                <w:sz w:val="24"/>
                <w:szCs w:val="24"/>
              </w:rPr>
            </w:pPr>
          </w:p>
        </w:tc>
        <w:tc>
          <w:tcPr>
            <w:tcW w:w="2119" w:type="dxa"/>
            <w:noWrap w:val="0"/>
            <w:vAlign w:val="center"/>
          </w:tcPr>
          <w:p w14:paraId="670B747D">
            <w:pPr>
              <w:spacing w:line="320" w:lineRule="exact"/>
              <w:ind w:left="63" w:leftChars="30" w:right="63"/>
              <w:jc w:val="center"/>
              <w:rPr>
                <w:rFonts w:hint="eastAsia" w:ascii="华文中宋" w:hAnsi="华文中宋" w:eastAsia="华文中宋" w:cs="华文中宋"/>
                <w:b/>
                <w:color w:val="auto"/>
                <w:sz w:val="24"/>
                <w:szCs w:val="24"/>
              </w:rPr>
            </w:pPr>
          </w:p>
        </w:tc>
      </w:tr>
    </w:tbl>
    <w:p w14:paraId="76EA5ADE">
      <w:pPr>
        <w:spacing w:beforeLines="50" w:afterLines="50" w:line="440" w:lineRule="exact"/>
        <w:jc w:val="center"/>
        <w:outlineLvl w:val="0"/>
        <w:rPr>
          <w:rFonts w:hint="eastAsia" w:ascii="华文中宋" w:hAnsi="华文中宋" w:eastAsia="华文中宋" w:cs="华文中宋"/>
          <w:color w:val="auto"/>
          <w:sz w:val="24"/>
          <w:szCs w:val="24"/>
        </w:rPr>
      </w:pPr>
      <w:bookmarkStart w:id="1195" w:name="_Toc30477"/>
      <w:bookmarkStart w:id="1196" w:name="_Toc20744"/>
      <w:r>
        <w:rPr>
          <w:rFonts w:hint="eastAsia" w:ascii="华文中宋" w:hAnsi="华文中宋" w:eastAsia="华文中宋" w:cs="华文中宋"/>
          <w:color w:val="auto"/>
          <w:sz w:val="24"/>
          <w:szCs w:val="24"/>
        </w:rPr>
        <w:t>11-2：工程设备暂估价表</w:t>
      </w:r>
      <w:bookmarkEnd w:id="1195"/>
      <w:bookmarkEnd w:id="1196"/>
    </w:p>
    <w:tbl>
      <w:tblPr>
        <w:tblStyle w:val="29"/>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32"/>
        <w:gridCol w:w="3020"/>
        <w:gridCol w:w="630"/>
        <w:gridCol w:w="826"/>
        <w:gridCol w:w="1133"/>
        <w:gridCol w:w="1442"/>
        <w:gridCol w:w="2098"/>
      </w:tblGrid>
      <w:tr w14:paraId="5913B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32" w:type="dxa"/>
            <w:tcBorders>
              <w:top w:val="single" w:color="auto" w:sz="12" w:space="0"/>
              <w:bottom w:val="double" w:color="auto" w:sz="6" w:space="0"/>
            </w:tcBorders>
            <w:noWrap w:val="0"/>
            <w:vAlign w:val="center"/>
          </w:tcPr>
          <w:p w14:paraId="6D99858F">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序</w:t>
            </w:r>
          </w:p>
          <w:p w14:paraId="31E402C8">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号</w:t>
            </w:r>
          </w:p>
        </w:tc>
        <w:tc>
          <w:tcPr>
            <w:tcW w:w="3020" w:type="dxa"/>
            <w:tcBorders>
              <w:top w:val="single" w:color="auto" w:sz="12" w:space="0"/>
              <w:bottom w:val="double" w:color="auto" w:sz="6" w:space="0"/>
            </w:tcBorders>
            <w:noWrap w:val="0"/>
            <w:vAlign w:val="center"/>
          </w:tcPr>
          <w:p w14:paraId="0AA30181">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名  称</w:t>
            </w:r>
          </w:p>
        </w:tc>
        <w:tc>
          <w:tcPr>
            <w:tcW w:w="630" w:type="dxa"/>
            <w:tcBorders>
              <w:top w:val="single" w:color="auto" w:sz="12" w:space="0"/>
              <w:bottom w:val="double" w:color="auto" w:sz="6" w:space="0"/>
            </w:tcBorders>
            <w:noWrap w:val="0"/>
            <w:vAlign w:val="center"/>
          </w:tcPr>
          <w:p w14:paraId="3926D872">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单</w:t>
            </w:r>
          </w:p>
          <w:p w14:paraId="762FD830">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位</w:t>
            </w:r>
          </w:p>
        </w:tc>
        <w:tc>
          <w:tcPr>
            <w:tcW w:w="826" w:type="dxa"/>
            <w:tcBorders>
              <w:top w:val="single" w:color="auto" w:sz="12" w:space="0"/>
              <w:bottom w:val="double" w:color="auto" w:sz="6" w:space="0"/>
            </w:tcBorders>
            <w:noWrap w:val="0"/>
            <w:vAlign w:val="center"/>
          </w:tcPr>
          <w:p w14:paraId="0FBC2AE3">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数量</w:t>
            </w:r>
          </w:p>
        </w:tc>
        <w:tc>
          <w:tcPr>
            <w:tcW w:w="1133" w:type="dxa"/>
            <w:tcBorders>
              <w:top w:val="single" w:color="auto" w:sz="12" w:space="0"/>
              <w:bottom w:val="double" w:color="auto" w:sz="6" w:space="0"/>
            </w:tcBorders>
            <w:noWrap w:val="0"/>
            <w:vAlign w:val="center"/>
          </w:tcPr>
          <w:p w14:paraId="7B348D88">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单价</w:t>
            </w:r>
          </w:p>
          <w:p w14:paraId="170BCEE7">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（元）</w:t>
            </w:r>
          </w:p>
        </w:tc>
        <w:tc>
          <w:tcPr>
            <w:tcW w:w="1442" w:type="dxa"/>
            <w:tcBorders>
              <w:top w:val="single" w:color="auto" w:sz="12" w:space="0"/>
              <w:bottom w:val="double" w:color="auto" w:sz="6" w:space="0"/>
            </w:tcBorders>
            <w:noWrap w:val="0"/>
            <w:vAlign w:val="center"/>
          </w:tcPr>
          <w:p w14:paraId="56B221C3">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合价</w:t>
            </w:r>
          </w:p>
          <w:p w14:paraId="3ECEFB06">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（元）</w:t>
            </w:r>
          </w:p>
        </w:tc>
        <w:tc>
          <w:tcPr>
            <w:tcW w:w="2098" w:type="dxa"/>
            <w:tcBorders>
              <w:top w:val="single" w:color="auto" w:sz="12" w:space="0"/>
              <w:bottom w:val="double" w:color="auto" w:sz="6" w:space="0"/>
            </w:tcBorders>
            <w:noWrap w:val="0"/>
            <w:vAlign w:val="center"/>
          </w:tcPr>
          <w:p w14:paraId="59C957DD">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备 注</w:t>
            </w:r>
          </w:p>
        </w:tc>
      </w:tr>
      <w:tr w14:paraId="265CF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double" w:color="auto" w:sz="6" w:space="0"/>
              <w:bottom w:val="single" w:color="auto" w:sz="6" w:space="0"/>
            </w:tcBorders>
            <w:noWrap w:val="0"/>
            <w:vAlign w:val="center"/>
          </w:tcPr>
          <w:p w14:paraId="46B2BC6B">
            <w:pPr>
              <w:spacing w:line="320" w:lineRule="exact"/>
              <w:jc w:val="center"/>
              <w:rPr>
                <w:rFonts w:hint="eastAsia" w:ascii="华文中宋" w:hAnsi="华文中宋" w:eastAsia="华文中宋" w:cs="华文中宋"/>
                <w:b/>
                <w:color w:val="auto"/>
                <w:sz w:val="24"/>
                <w:szCs w:val="24"/>
              </w:rPr>
            </w:pPr>
          </w:p>
        </w:tc>
        <w:tc>
          <w:tcPr>
            <w:tcW w:w="3020" w:type="dxa"/>
            <w:tcBorders>
              <w:top w:val="double" w:color="auto" w:sz="6" w:space="0"/>
              <w:bottom w:val="single" w:color="auto" w:sz="6" w:space="0"/>
            </w:tcBorders>
            <w:noWrap w:val="0"/>
            <w:vAlign w:val="center"/>
          </w:tcPr>
          <w:p w14:paraId="5A1C6A84">
            <w:pPr>
              <w:spacing w:line="320" w:lineRule="exact"/>
              <w:jc w:val="center"/>
              <w:rPr>
                <w:rFonts w:hint="eastAsia" w:ascii="华文中宋" w:hAnsi="华文中宋" w:eastAsia="华文中宋" w:cs="华文中宋"/>
                <w:b/>
                <w:color w:val="auto"/>
                <w:sz w:val="24"/>
                <w:szCs w:val="24"/>
              </w:rPr>
            </w:pPr>
          </w:p>
        </w:tc>
        <w:tc>
          <w:tcPr>
            <w:tcW w:w="630" w:type="dxa"/>
            <w:tcBorders>
              <w:top w:val="double" w:color="auto" w:sz="6" w:space="0"/>
              <w:bottom w:val="single" w:color="auto" w:sz="6" w:space="0"/>
            </w:tcBorders>
            <w:noWrap w:val="0"/>
            <w:vAlign w:val="center"/>
          </w:tcPr>
          <w:p w14:paraId="5EFB3994">
            <w:pPr>
              <w:spacing w:line="320" w:lineRule="exact"/>
              <w:jc w:val="center"/>
              <w:rPr>
                <w:rFonts w:hint="eastAsia" w:ascii="华文中宋" w:hAnsi="华文中宋" w:eastAsia="华文中宋" w:cs="华文中宋"/>
                <w:b/>
                <w:color w:val="auto"/>
                <w:sz w:val="24"/>
                <w:szCs w:val="24"/>
              </w:rPr>
            </w:pPr>
          </w:p>
        </w:tc>
        <w:tc>
          <w:tcPr>
            <w:tcW w:w="826" w:type="dxa"/>
            <w:tcBorders>
              <w:top w:val="double" w:color="auto" w:sz="6" w:space="0"/>
              <w:bottom w:val="single" w:color="auto" w:sz="6" w:space="0"/>
            </w:tcBorders>
            <w:noWrap w:val="0"/>
            <w:vAlign w:val="center"/>
          </w:tcPr>
          <w:p w14:paraId="135DCF54">
            <w:pPr>
              <w:spacing w:line="320" w:lineRule="exact"/>
              <w:jc w:val="center"/>
              <w:rPr>
                <w:rFonts w:hint="eastAsia" w:ascii="华文中宋" w:hAnsi="华文中宋" w:eastAsia="华文中宋" w:cs="华文中宋"/>
                <w:b/>
                <w:color w:val="auto"/>
                <w:sz w:val="24"/>
                <w:szCs w:val="24"/>
              </w:rPr>
            </w:pPr>
          </w:p>
        </w:tc>
        <w:tc>
          <w:tcPr>
            <w:tcW w:w="1133" w:type="dxa"/>
            <w:tcBorders>
              <w:top w:val="double" w:color="auto" w:sz="6" w:space="0"/>
              <w:bottom w:val="single" w:color="auto" w:sz="6" w:space="0"/>
            </w:tcBorders>
            <w:noWrap w:val="0"/>
            <w:vAlign w:val="center"/>
          </w:tcPr>
          <w:p w14:paraId="6A12C88C">
            <w:pPr>
              <w:spacing w:line="320" w:lineRule="exact"/>
              <w:jc w:val="center"/>
              <w:rPr>
                <w:rFonts w:hint="eastAsia" w:ascii="华文中宋" w:hAnsi="华文中宋" w:eastAsia="华文中宋" w:cs="华文中宋"/>
                <w:b/>
                <w:color w:val="auto"/>
                <w:sz w:val="24"/>
                <w:szCs w:val="24"/>
              </w:rPr>
            </w:pPr>
          </w:p>
        </w:tc>
        <w:tc>
          <w:tcPr>
            <w:tcW w:w="1442" w:type="dxa"/>
            <w:tcBorders>
              <w:top w:val="double" w:color="auto" w:sz="6" w:space="0"/>
              <w:bottom w:val="single" w:color="auto" w:sz="6" w:space="0"/>
            </w:tcBorders>
            <w:noWrap w:val="0"/>
            <w:vAlign w:val="center"/>
          </w:tcPr>
          <w:p w14:paraId="5FEC0FF2">
            <w:pPr>
              <w:spacing w:line="320" w:lineRule="exact"/>
              <w:jc w:val="center"/>
              <w:rPr>
                <w:rFonts w:hint="eastAsia" w:ascii="华文中宋" w:hAnsi="华文中宋" w:eastAsia="华文中宋" w:cs="华文中宋"/>
                <w:b/>
                <w:color w:val="auto"/>
                <w:sz w:val="24"/>
                <w:szCs w:val="24"/>
              </w:rPr>
            </w:pPr>
          </w:p>
        </w:tc>
        <w:tc>
          <w:tcPr>
            <w:tcW w:w="2098" w:type="dxa"/>
            <w:tcBorders>
              <w:top w:val="double" w:color="auto" w:sz="6" w:space="0"/>
              <w:bottom w:val="single" w:color="auto" w:sz="6" w:space="0"/>
            </w:tcBorders>
            <w:noWrap w:val="0"/>
            <w:vAlign w:val="center"/>
          </w:tcPr>
          <w:p w14:paraId="6EED08E0">
            <w:pPr>
              <w:spacing w:line="320" w:lineRule="exact"/>
              <w:ind w:right="-2"/>
              <w:jc w:val="center"/>
              <w:rPr>
                <w:rFonts w:hint="eastAsia" w:ascii="华文中宋" w:hAnsi="华文中宋" w:eastAsia="华文中宋" w:cs="华文中宋"/>
                <w:b/>
                <w:color w:val="auto"/>
                <w:sz w:val="24"/>
                <w:szCs w:val="24"/>
              </w:rPr>
            </w:pPr>
          </w:p>
        </w:tc>
      </w:tr>
      <w:tr w14:paraId="14658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nil"/>
            </w:tcBorders>
            <w:noWrap w:val="0"/>
            <w:vAlign w:val="center"/>
          </w:tcPr>
          <w:p w14:paraId="7B35E58E">
            <w:pPr>
              <w:spacing w:line="320" w:lineRule="exact"/>
              <w:jc w:val="center"/>
              <w:rPr>
                <w:rFonts w:hint="eastAsia" w:ascii="华文中宋" w:hAnsi="华文中宋" w:eastAsia="华文中宋" w:cs="华文中宋"/>
                <w:b/>
                <w:color w:val="auto"/>
                <w:sz w:val="24"/>
                <w:szCs w:val="24"/>
              </w:rPr>
            </w:pPr>
          </w:p>
        </w:tc>
        <w:tc>
          <w:tcPr>
            <w:tcW w:w="3020" w:type="dxa"/>
            <w:tcBorders>
              <w:top w:val="nil"/>
            </w:tcBorders>
            <w:noWrap w:val="0"/>
            <w:vAlign w:val="center"/>
          </w:tcPr>
          <w:p w14:paraId="0B30E6B2">
            <w:pPr>
              <w:spacing w:line="320" w:lineRule="exact"/>
              <w:jc w:val="center"/>
              <w:rPr>
                <w:rFonts w:hint="eastAsia" w:ascii="华文中宋" w:hAnsi="华文中宋" w:eastAsia="华文中宋" w:cs="华文中宋"/>
                <w:b/>
                <w:color w:val="auto"/>
                <w:sz w:val="24"/>
                <w:szCs w:val="24"/>
              </w:rPr>
            </w:pPr>
          </w:p>
        </w:tc>
        <w:tc>
          <w:tcPr>
            <w:tcW w:w="630" w:type="dxa"/>
            <w:tcBorders>
              <w:top w:val="nil"/>
            </w:tcBorders>
            <w:noWrap w:val="0"/>
            <w:vAlign w:val="center"/>
          </w:tcPr>
          <w:p w14:paraId="541957BA">
            <w:pPr>
              <w:spacing w:line="320" w:lineRule="exact"/>
              <w:jc w:val="center"/>
              <w:rPr>
                <w:rFonts w:hint="eastAsia" w:ascii="华文中宋" w:hAnsi="华文中宋" w:eastAsia="华文中宋" w:cs="华文中宋"/>
                <w:b/>
                <w:color w:val="auto"/>
                <w:sz w:val="24"/>
                <w:szCs w:val="24"/>
              </w:rPr>
            </w:pPr>
          </w:p>
        </w:tc>
        <w:tc>
          <w:tcPr>
            <w:tcW w:w="826" w:type="dxa"/>
            <w:tcBorders>
              <w:top w:val="nil"/>
            </w:tcBorders>
            <w:noWrap w:val="0"/>
            <w:vAlign w:val="center"/>
          </w:tcPr>
          <w:p w14:paraId="23003D43">
            <w:pPr>
              <w:spacing w:line="320" w:lineRule="exact"/>
              <w:jc w:val="center"/>
              <w:rPr>
                <w:rFonts w:hint="eastAsia" w:ascii="华文中宋" w:hAnsi="华文中宋" w:eastAsia="华文中宋" w:cs="华文中宋"/>
                <w:b/>
                <w:color w:val="auto"/>
                <w:sz w:val="24"/>
                <w:szCs w:val="24"/>
              </w:rPr>
            </w:pPr>
          </w:p>
        </w:tc>
        <w:tc>
          <w:tcPr>
            <w:tcW w:w="1133" w:type="dxa"/>
            <w:tcBorders>
              <w:top w:val="nil"/>
            </w:tcBorders>
            <w:noWrap w:val="0"/>
            <w:vAlign w:val="center"/>
          </w:tcPr>
          <w:p w14:paraId="74855C65">
            <w:pPr>
              <w:spacing w:line="320" w:lineRule="exact"/>
              <w:jc w:val="center"/>
              <w:rPr>
                <w:rFonts w:hint="eastAsia" w:ascii="华文中宋" w:hAnsi="华文中宋" w:eastAsia="华文中宋" w:cs="华文中宋"/>
                <w:b/>
                <w:color w:val="auto"/>
                <w:sz w:val="24"/>
                <w:szCs w:val="24"/>
              </w:rPr>
            </w:pPr>
          </w:p>
        </w:tc>
        <w:tc>
          <w:tcPr>
            <w:tcW w:w="1442" w:type="dxa"/>
            <w:tcBorders>
              <w:top w:val="nil"/>
            </w:tcBorders>
            <w:noWrap w:val="0"/>
            <w:vAlign w:val="center"/>
          </w:tcPr>
          <w:p w14:paraId="37B1A721">
            <w:pPr>
              <w:spacing w:line="320" w:lineRule="exact"/>
              <w:jc w:val="center"/>
              <w:rPr>
                <w:rFonts w:hint="eastAsia" w:ascii="华文中宋" w:hAnsi="华文中宋" w:eastAsia="华文中宋" w:cs="华文中宋"/>
                <w:b/>
                <w:color w:val="auto"/>
                <w:sz w:val="24"/>
                <w:szCs w:val="24"/>
              </w:rPr>
            </w:pPr>
          </w:p>
        </w:tc>
        <w:tc>
          <w:tcPr>
            <w:tcW w:w="2098" w:type="dxa"/>
            <w:tcBorders>
              <w:top w:val="nil"/>
            </w:tcBorders>
            <w:noWrap w:val="0"/>
            <w:vAlign w:val="center"/>
          </w:tcPr>
          <w:p w14:paraId="329179D6">
            <w:pPr>
              <w:spacing w:line="320" w:lineRule="exact"/>
              <w:ind w:right="-2"/>
              <w:jc w:val="center"/>
              <w:rPr>
                <w:rFonts w:hint="eastAsia" w:ascii="华文中宋" w:hAnsi="华文中宋" w:eastAsia="华文中宋" w:cs="华文中宋"/>
                <w:b/>
                <w:color w:val="auto"/>
                <w:sz w:val="24"/>
                <w:szCs w:val="24"/>
              </w:rPr>
            </w:pPr>
          </w:p>
        </w:tc>
      </w:tr>
      <w:tr w14:paraId="68CD6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nil"/>
            </w:tcBorders>
            <w:noWrap w:val="0"/>
            <w:vAlign w:val="center"/>
          </w:tcPr>
          <w:p w14:paraId="1A66C689">
            <w:pPr>
              <w:spacing w:line="320" w:lineRule="exact"/>
              <w:jc w:val="center"/>
              <w:rPr>
                <w:rFonts w:hint="eastAsia" w:ascii="华文中宋" w:hAnsi="华文中宋" w:eastAsia="华文中宋" w:cs="华文中宋"/>
                <w:b/>
                <w:color w:val="auto"/>
                <w:sz w:val="24"/>
                <w:szCs w:val="24"/>
              </w:rPr>
            </w:pPr>
          </w:p>
        </w:tc>
        <w:tc>
          <w:tcPr>
            <w:tcW w:w="3020" w:type="dxa"/>
            <w:tcBorders>
              <w:top w:val="nil"/>
            </w:tcBorders>
            <w:noWrap w:val="0"/>
            <w:vAlign w:val="center"/>
          </w:tcPr>
          <w:p w14:paraId="3B568243">
            <w:pPr>
              <w:spacing w:line="320" w:lineRule="exact"/>
              <w:jc w:val="center"/>
              <w:rPr>
                <w:rFonts w:hint="eastAsia" w:ascii="华文中宋" w:hAnsi="华文中宋" w:eastAsia="华文中宋" w:cs="华文中宋"/>
                <w:b/>
                <w:color w:val="auto"/>
                <w:sz w:val="24"/>
                <w:szCs w:val="24"/>
              </w:rPr>
            </w:pPr>
          </w:p>
        </w:tc>
        <w:tc>
          <w:tcPr>
            <w:tcW w:w="630" w:type="dxa"/>
            <w:tcBorders>
              <w:top w:val="nil"/>
            </w:tcBorders>
            <w:noWrap w:val="0"/>
            <w:vAlign w:val="center"/>
          </w:tcPr>
          <w:p w14:paraId="49E30C7B">
            <w:pPr>
              <w:spacing w:line="320" w:lineRule="exact"/>
              <w:jc w:val="center"/>
              <w:rPr>
                <w:rFonts w:hint="eastAsia" w:ascii="华文中宋" w:hAnsi="华文中宋" w:eastAsia="华文中宋" w:cs="华文中宋"/>
                <w:b/>
                <w:color w:val="auto"/>
                <w:sz w:val="24"/>
                <w:szCs w:val="24"/>
              </w:rPr>
            </w:pPr>
          </w:p>
        </w:tc>
        <w:tc>
          <w:tcPr>
            <w:tcW w:w="826" w:type="dxa"/>
            <w:tcBorders>
              <w:top w:val="nil"/>
            </w:tcBorders>
            <w:noWrap w:val="0"/>
            <w:vAlign w:val="center"/>
          </w:tcPr>
          <w:p w14:paraId="1388E046">
            <w:pPr>
              <w:spacing w:line="320" w:lineRule="exact"/>
              <w:jc w:val="center"/>
              <w:rPr>
                <w:rFonts w:hint="eastAsia" w:ascii="华文中宋" w:hAnsi="华文中宋" w:eastAsia="华文中宋" w:cs="华文中宋"/>
                <w:b/>
                <w:color w:val="auto"/>
                <w:sz w:val="24"/>
                <w:szCs w:val="24"/>
              </w:rPr>
            </w:pPr>
          </w:p>
        </w:tc>
        <w:tc>
          <w:tcPr>
            <w:tcW w:w="1133" w:type="dxa"/>
            <w:tcBorders>
              <w:top w:val="nil"/>
            </w:tcBorders>
            <w:noWrap w:val="0"/>
            <w:vAlign w:val="center"/>
          </w:tcPr>
          <w:p w14:paraId="7B2F88CC">
            <w:pPr>
              <w:spacing w:line="320" w:lineRule="exact"/>
              <w:jc w:val="center"/>
              <w:rPr>
                <w:rFonts w:hint="eastAsia" w:ascii="华文中宋" w:hAnsi="华文中宋" w:eastAsia="华文中宋" w:cs="华文中宋"/>
                <w:b/>
                <w:color w:val="auto"/>
                <w:sz w:val="24"/>
                <w:szCs w:val="24"/>
              </w:rPr>
            </w:pPr>
          </w:p>
        </w:tc>
        <w:tc>
          <w:tcPr>
            <w:tcW w:w="1442" w:type="dxa"/>
            <w:tcBorders>
              <w:top w:val="nil"/>
            </w:tcBorders>
            <w:noWrap w:val="0"/>
            <w:vAlign w:val="center"/>
          </w:tcPr>
          <w:p w14:paraId="496F9736">
            <w:pPr>
              <w:spacing w:line="320" w:lineRule="exact"/>
              <w:jc w:val="center"/>
              <w:rPr>
                <w:rFonts w:hint="eastAsia" w:ascii="华文中宋" w:hAnsi="华文中宋" w:eastAsia="华文中宋" w:cs="华文中宋"/>
                <w:b/>
                <w:color w:val="auto"/>
                <w:sz w:val="24"/>
                <w:szCs w:val="24"/>
              </w:rPr>
            </w:pPr>
          </w:p>
        </w:tc>
        <w:tc>
          <w:tcPr>
            <w:tcW w:w="2098" w:type="dxa"/>
            <w:tcBorders>
              <w:top w:val="nil"/>
            </w:tcBorders>
            <w:noWrap w:val="0"/>
            <w:vAlign w:val="center"/>
          </w:tcPr>
          <w:p w14:paraId="42640C9C">
            <w:pPr>
              <w:spacing w:line="320" w:lineRule="exact"/>
              <w:ind w:right="-2"/>
              <w:jc w:val="center"/>
              <w:rPr>
                <w:rFonts w:hint="eastAsia" w:ascii="华文中宋" w:hAnsi="华文中宋" w:eastAsia="华文中宋" w:cs="华文中宋"/>
                <w:b/>
                <w:color w:val="auto"/>
                <w:sz w:val="24"/>
                <w:szCs w:val="24"/>
              </w:rPr>
            </w:pPr>
          </w:p>
        </w:tc>
      </w:tr>
    </w:tbl>
    <w:p w14:paraId="2FB28A4D">
      <w:pPr>
        <w:spacing w:beforeLines="100" w:afterLines="50" w:line="440" w:lineRule="exact"/>
        <w:jc w:val="center"/>
        <w:outlineLvl w:val="0"/>
        <w:rPr>
          <w:rFonts w:hint="eastAsia" w:ascii="华文中宋" w:hAnsi="华文中宋" w:eastAsia="华文中宋" w:cs="华文中宋"/>
          <w:color w:val="auto"/>
          <w:sz w:val="24"/>
          <w:szCs w:val="24"/>
        </w:rPr>
      </w:pPr>
      <w:bookmarkStart w:id="1197" w:name="_Toc26574"/>
      <w:bookmarkStart w:id="1198" w:name="_Toc10541"/>
      <w:r>
        <w:rPr>
          <w:rFonts w:hint="eastAsia" w:ascii="华文中宋" w:hAnsi="华文中宋" w:eastAsia="华文中宋" w:cs="华文中宋"/>
          <w:color w:val="auto"/>
          <w:sz w:val="24"/>
          <w:szCs w:val="24"/>
        </w:rPr>
        <w:t>11-3：专业工程暂估价表</w:t>
      </w:r>
      <w:bookmarkEnd w:id="1197"/>
      <w:bookmarkEnd w:id="1198"/>
    </w:p>
    <w:tbl>
      <w:tblPr>
        <w:tblStyle w:val="29"/>
        <w:tblW w:w="96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4"/>
        <w:gridCol w:w="2814"/>
        <w:gridCol w:w="4107"/>
        <w:gridCol w:w="2019"/>
      </w:tblGrid>
      <w:tr w14:paraId="5334F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4" w:hRule="atLeast"/>
          <w:jc w:val="center"/>
        </w:trPr>
        <w:tc>
          <w:tcPr>
            <w:tcW w:w="734" w:type="dxa"/>
            <w:tcBorders>
              <w:top w:val="single" w:color="auto" w:sz="12" w:space="0"/>
              <w:bottom w:val="double" w:color="auto" w:sz="6" w:space="0"/>
            </w:tcBorders>
            <w:noWrap w:val="0"/>
            <w:vAlign w:val="center"/>
          </w:tcPr>
          <w:p w14:paraId="13413A2A">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序</w:t>
            </w:r>
          </w:p>
          <w:p w14:paraId="58F5B794">
            <w:pPr>
              <w:pStyle w:val="14"/>
              <w:keepNext/>
              <w:spacing w:line="32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号</w:t>
            </w:r>
          </w:p>
        </w:tc>
        <w:tc>
          <w:tcPr>
            <w:tcW w:w="2814" w:type="dxa"/>
            <w:tcBorders>
              <w:top w:val="single" w:color="auto" w:sz="12" w:space="0"/>
              <w:bottom w:val="double" w:color="auto" w:sz="6" w:space="0"/>
            </w:tcBorders>
            <w:noWrap w:val="0"/>
            <w:vAlign w:val="center"/>
          </w:tcPr>
          <w:p w14:paraId="5528C57C">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专业工程名称</w:t>
            </w:r>
          </w:p>
        </w:tc>
        <w:tc>
          <w:tcPr>
            <w:tcW w:w="4107" w:type="dxa"/>
            <w:tcBorders>
              <w:top w:val="single" w:color="auto" w:sz="12" w:space="0"/>
              <w:bottom w:val="double" w:color="auto" w:sz="6" w:space="0"/>
            </w:tcBorders>
            <w:noWrap w:val="0"/>
            <w:vAlign w:val="center"/>
          </w:tcPr>
          <w:p w14:paraId="7B193B9A">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工程内容</w:t>
            </w:r>
          </w:p>
        </w:tc>
        <w:tc>
          <w:tcPr>
            <w:tcW w:w="2019" w:type="dxa"/>
            <w:tcBorders>
              <w:top w:val="single" w:color="auto" w:sz="12" w:space="0"/>
              <w:bottom w:val="double" w:color="auto" w:sz="6" w:space="0"/>
            </w:tcBorders>
            <w:noWrap w:val="0"/>
            <w:vAlign w:val="center"/>
          </w:tcPr>
          <w:p w14:paraId="608EC064">
            <w:pPr>
              <w:pStyle w:val="14"/>
              <w:keepNext/>
              <w:spacing w:line="440" w:lineRule="exact"/>
              <w:ind w:left="63" w:right="63"/>
              <w:rPr>
                <w:rFonts w:hint="eastAsia" w:ascii="华文中宋" w:hAnsi="华文中宋" w:eastAsia="华文中宋" w:cs="华文中宋"/>
                <w:color w:val="auto"/>
                <w:kern w:val="2"/>
                <w:sz w:val="21"/>
                <w:szCs w:val="21"/>
              </w:rPr>
            </w:pPr>
            <w:r>
              <w:rPr>
                <w:rFonts w:hint="eastAsia" w:ascii="华文中宋" w:hAnsi="华文中宋" w:eastAsia="华文中宋" w:cs="华文中宋"/>
                <w:color w:val="auto"/>
                <w:kern w:val="2"/>
                <w:sz w:val="21"/>
                <w:szCs w:val="21"/>
              </w:rPr>
              <w:t>金额（元）</w:t>
            </w:r>
          </w:p>
        </w:tc>
      </w:tr>
      <w:tr w14:paraId="6EFC8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734" w:type="dxa"/>
            <w:tcBorders>
              <w:top w:val="double" w:color="auto" w:sz="6" w:space="0"/>
              <w:bottom w:val="single" w:color="auto" w:sz="6" w:space="0"/>
            </w:tcBorders>
            <w:noWrap w:val="0"/>
            <w:vAlign w:val="center"/>
          </w:tcPr>
          <w:p w14:paraId="4452BF87">
            <w:pPr>
              <w:pStyle w:val="14"/>
              <w:keepNext/>
              <w:spacing w:line="440" w:lineRule="exact"/>
              <w:ind w:left="63" w:right="63"/>
              <w:rPr>
                <w:rFonts w:hint="eastAsia" w:ascii="华文中宋" w:hAnsi="华文中宋" w:eastAsia="华文中宋" w:cs="华文中宋"/>
                <w:color w:val="auto"/>
                <w:kern w:val="2"/>
                <w:sz w:val="24"/>
                <w:szCs w:val="24"/>
              </w:rPr>
            </w:pPr>
          </w:p>
        </w:tc>
        <w:tc>
          <w:tcPr>
            <w:tcW w:w="2814" w:type="dxa"/>
            <w:tcBorders>
              <w:top w:val="double" w:color="auto" w:sz="6" w:space="0"/>
              <w:bottom w:val="single" w:color="auto" w:sz="6" w:space="0"/>
            </w:tcBorders>
            <w:noWrap w:val="0"/>
            <w:vAlign w:val="center"/>
          </w:tcPr>
          <w:p w14:paraId="0F30B451">
            <w:pPr>
              <w:pStyle w:val="14"/>
              <w:keepNext/>
              <w:spacing w:line="440" w:lineRule="exact"/>
              <w:ind w:left="63" w:right="63"/>
              <w:rPr>
                <w:rFonts w:hint="eastAsia" w:ascii="华文中宋" w:hAnsi="华文中宋" w:eastAsia="华文中宋" w:cs="华文中宋"/>
                <w:color w:val="auto"/>
                <w:kern w:val="2"/>
                <w:sz w:val="24"/>
                <w:szCs w:val="24"/>
              </w:rPr>
            </w:pPr>
          </w:p>
        </w:tc>
        <w:tc>
          <w:tcPr>
            <w:tcW w:w="4107" w:type="dxa"/>
            <w:tcBorders>
              <w:top w:val="double" w:color="auto" w:sz="6" w:space="0"/>
              <w:bottom w:val="single" w:color="auto" w:sz="6" w:space="0"/>
            </w:tcBorders>
            <w:noWrap w:val="0"/>
            <w:vAlign w:val="center"/>
          </w:tcPr>
          <w:p w14:paraId="57071EF9">
            <w:pPr>
              <w:pStyle w:val="14"/>
              <w:keepNext/>
              <w:spacing w:line="440" w:lineRule="exact"/>
              <w:ind w:left="63" w:right="63"/>
              <w:rPr>
                <w:rFonts w:hint="eastAsia" w:ascii="华文中宋" w:hAnsi="华文中宋" w:eastAsia="华文中宋" w:cs="华文中宋"/>
                <w:color w:val="auto"/>
                <w:kern w:val="2"/>
                <w:sz w:val="24"/>
                <w:szCs w:val="24"/>
              </w:rPr>
            </w:pPr>
          </w:p>
        </w:tc>
        <w:tc>
          <w:tcPr>
            <w:tcW w:w="2019" w:type="dxa"/>
            <w:tcBorders>
              <w:top w:val="double" w:color="auto" w:sz="6" w:space="0"/>
              <w:bottom w:val="single" w:color="auto" w:sz="6" w:space="0"/>
            </w:tcBorders>
            <w:noWrap w:val="0"/>
            <w:vAlign w:val="center"/>
          </w:tcPr>
          <w:p w14:paraId="02168350">
            <w:pPr>
              <w:pStyle w:val="14"/>
              <w:keepNext/>
              <w:spacing w:line="440" w:lineRule="exact"/>
              <w:ind w:left="63" w:right="63"/>
              <w:rPr>
                <w:rFonts w:hint="eastAsia" w:ascii="华文中宋" w:hAnsi="华文中宋" w:eastAsia="华文中宋" w:cs="华文中宋"/>
                <w:color w:val="auto"/>
                <w:kern w:val="2"/>
                <w:sz w:val="24"/>
                <w:szCs w:val="24"/>
              </w:rPr>
            </w:pPr>
          </w:p>
        </w:tc>
      </w:tr>
      <w:tr w14:paraId="69C8B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9674" w:type="dxa"/>
            <w:gridSpan w:val="4"/>
            <w:noWrap w:val="0"/>
            <w:vAlign w:val="top"/>
          </w:tcPr>
          <w:p w14:paraId="45A2E13C">
            <w:pPr>
              <w:pStyle w:val="14"/>
              <w:keepNext/>
              <w:spacing w:line="440" w:lineRule="exact"/>
              <w:ind w:left="63" w:right="63" w:firstLine="240" w:firstLineChars="100"/>
              <w:jc w:val="both"/>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小计：</w:t>
            </w:r>
          </w:p>
        </w:tc>
      </w:tr>
    </w:tbl>
    <w:p w14:paraId="550E904D">
      <w:pPr>
        <w:keepNext w:val="0"/>
        <w:keepLines w:val="0"/>
        <w:pageBreakBefore w:val="0"/>
        <w:widowControl w:val="0"/>
        <w:tabs>
          <w:tab w:val="left" w:pos="4874"/>
        </w:tabs>
        <w:kinsoku/>
        <w:wordWrap/>
        <w:overflowPunct/>
        <w:topLinePunct w:val="0"/>
        <w:autoSpaceDE/>
        <w:autoSpaceDN/>
        <w:bidi w:val="0"/>
        <w:adjustRightInd w:val="0"/>
        <w:snapToGrid w:val="0"/>
        <w:spacing w:line="360" w:lineRule="auto"/>
        <w:jc w:val="left"/>
        <w:textAlignment w:val="auto"/>
        <w:outlineLvl w:val="9"/>
        <w:rPr>
          <w:rFonts w:hint="eastAsia" w:ascii="华文中宋" w:hAnsi="华文中宋" w:eastAsia="华文中宋" w:cs="华文中宋"/>
          <w:color w:val="auto"/>
          <w:kern w:val="0"/>
          <w:sz w:val="24"/>
          <w:szCs w:val="24"/>
        </w:rPr>
      </w:pPr>
    </w:p>
    <w:p w14:paraId="1FAE00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华文中宋" w:hAnsi="华文中宋" w:eastAsia="华文中宋" w:cs="华文中宋"/>
          <w:b/>
          <w:bCs/>
          <w:color w:val="auto"/>
          <w:spacing w:val="0"/>
          <w:kern w:val="44"/>
          <w:sz w:val="44"/>
          <w:szCs w:val="44"/>
          <w:lang w:val="en-US" w:eastAsia="zh-CN" w:bidi="ar-SA"/>
        </w:rPr>
      </w:pPr>
      <w:r>
        <w:rPr>
          <w:rFonts w:hint="eastAsia" w:ascii="华文中宋" w:hAnsi="华文中宋" w:eastAsia="华文中宋" w:cs="华文中宋"/>
          <w:color w:val="auto"/>
          <w:kern w:val="0"/>
          <w:szCs w:val="21"/>
        </w:rPr>
        <w:br w:type="page"/>
      </w:r>
      <w:bookmarkStart w:id="1199" w:name="_Toc44690696"/>
      <w:bookmarkStart w:id="1200" w:name="_Toc26593"/>
      <w:bookmarkStart w:id="1201" w:name="_Toc489536690"/>
      <w:bookmarkStart w:id="1202" w:name="_Toc44690622"/>
      <w:bookmarkStart w:id="1203" w:name="_Toc24098"/>
      <w:r>
        <w:rPr>
          <w:rFonts w:hint="eastAsia" w:ascii="华文中宋" w:hAnsi="华文中宋" w:eastAsia="华文中宋" w:cs="华文中宋"/>
          <w:b/>
          <w:bCs/>
          <w:color w:val="auto"/>
          <w:spacing w:val="0"/>
          <w:kern w:val="44"/>
          <w:sz w:val="44"/>
          <w:szCs w:val="44"/>
          <w:lang w:val="en-US" w:eastAsia="zh-CN" w:bidi="ar-SA"/>
        </w:rPr>
        <w:t>第八部分 响应文件内容要求及格式</w:t>
      </w:r>
      <w:bookmarkEnd w:id="1199"/>
      <w:bookmarkEnd w:id="1200"/>
      <w:bookmarkEnd w:id="1201"/>
      <w:bookmarkEnd w:id="1202"/>
      <w:bookmarkEnd w:id="1203"/>
    </w:p>
    <w:p w14:paraId="0193973E">
      <w:pPr>
        <w:spacing w:line="480" w:lineRule="exact"/>
        <w:outlineLvl w:val="9"/>
        <w:rPr>
          <w:rFonts w:hint="eastAsia" w:ascii="华文中宋" w:hAnsi="华文中宋" w:eastAsia="华文中宋" w:cs="华文中宋"/>
          <w:b/>
          <w:color w:val="auto"/>
          <w:sz w:val="28"/>
          <w:szCs w:val="28"/>
        </w:rPr>
      </w:pPr>
    </w:p>
    <w:p w14:paraId="051A7F7F">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磋商供应商提交响应文件须知</w:t>
      </w:r>
    </w:p>
    <w:p w14:paraId="3869C964">
      <w:pPr>
        <w:spacing w:line="360" w:lineRule="auto"/>
        <w:ind w:firstLine="434"/>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1、磋商供应商按照本部分的顺序编排响应文件（资格证明文件、商务技术文件），编排中涉及格式资料的，应按照本部分提供的内容和格式（所有表格的格式可扩展）填写提交。</w:t>
      </w:r>
    </w:p>
    <w:p w14:paraId="6472A118">
      <w:pPr>
        <w:spacing w:line="360" w:lineRule="auto"/>
        <w:ind w:firstLine="434"/>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2、全部声明和问题的回答及所附材料必须是真实的、准确的和完整的。</w:t>
      </w:r>
    </w:p>
    <w:p w14:paraId="61B88A5C">
      <w:pPr>
        <w:pStyle w:val="41"/>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3、按磋商文件要求“格式”提供的材料，如有调整，内容及签署必须完整、有效，且没有本文件不可接受的条件。</w:t>
      </w:r>
    </w:p>
    <w:p w14:paraId="5DB34B4E">
      <w:pPr>
        <w:wordWrap w:val="0"/>
        <w:snapToGrid w:val="0"/>
        <w:spacing w:line="360" w:lineRule="auto"/>
        <w:jc w:val="left"/>
        <w:outlineLvl w:val="9"/>
        <w:rPr>
          <w:rFonts w:hint="eastAsia" w:ascii="华文中宋" w:hAnsi="华文中宋" w:eastAsia="华文中宋" w:cs="华文中宋"/>
          <w:color w:val="auto"/>
        </w:rPr>
      </w:pPr>
    </w:p>
    <w:p w14:paraId="1E5D2261">
      <w:pPr>
        <w:wordWrap w:val="0"/>
        <w:snapToGrid w:val="0"/>
        <w:spacing w:line="360" w:lineRule="auto"/>
        <w:jc w:val="left"/>
        <w:outlineLvl w:val="9"/>
        <w:rPr>
          <w:rFonts w:hint="eastAsia" w:ascii="华文中宋" w:hAnsi="华文中宋" w:eastAsia="华文中宋" w:cs="华文中宋"/>
          <w:color w:val="auto"/>
        </w:rPr>
      </w:pPr>
    </w:p>
    <w:p w14:paraId="3080F15F">
      <w:pPr>
        <w:wordWrap w:val="0"/>
        <w:snapToGrid w:val="0"/>
        <w:spacing w:line="360" w:lineRule="auto"/>
        <w:jc w:val="left"/>
        <w:outlineLvl w:val="9"/>
        <w:rPr>
          <w:rFonts w:hint="eastAsia" w:ascii="华文中宋" w:hAnsi="华文中宋" w:eastAsia="华文中宋" w:cs="华文中宋"/>
          <w:color w:val="auto"/>
        </w:rPr>
      </w:pPr>
    </w:p>
    <w:p w14:paraId="5C507104">
      <w:pPr>
        <w:wordWrap w:val="0"/>
        <w:snapToGrid w:val="0"/>
        <w:spacing w:line="360" w:lineRule="auto"/>
        <w:jc w:val="left"/>
        <w:outlineLvl w:val="9"/>
        <w:rPr>
          <w:rFonts w:hint="eastAsia" w:ascii="华文中宋" w:hAnsi="华文中宋" w:eastAsia="华文中宋" w:cs="华文中宋"/>
          <w:color w:val="auto"/>
        </w:rPr>
      </w:pPr>
    </w:p>
    <w:p w14:paraId="1BEE9AE9">
      <w:pPr>
        <w:wordWrap w:val="0"/>
        <w:snapToGrid w:val="0"/>
        <w:spacing w:line="360" w:lineRule="auto"/>
        <w:jc w:val="left"/>
        <w:outlineLvl w:val="9"/>
        <w:rPr>
          <w:rFonts w:hint="eastAsia" w:ascii="华文中宋" w:hAnsi="华文中宋" w:eastAsia="华文中宋" w:cs="华文中宋"/>
          <w:color w:val="auto"/>
        </w:rPr>
      </w:pPr>
    </w:p>
    <w:p w14:paraId="16B35ADE">
      <w:pPr>
        <w:wordWrap w:val="0"/>
        <w:snapToGrid w:val="0"/>
        <w:spacing w:line="360" w:lineRule="auto"/>
        <w:jc w:val="left"/>
        <w:outlineLvl w:val="9"/>
        <w:rPr>
          <w:rFonts w:hint="eastAsia" w:ascii="华文中宋" w:hAnsi="华文中宋" w:eastAsia="华文中宋" w:cs="华文中宋"/>
          <w:color w:val="auto"/>
        </w:rPr>
      </w:pPr>
    </w:p>
    <w:p w14:paraId="62CA14C4">
      <w:pPr>
        <w:wordWrap w:val="0"/>
        <w:snapToGrid w:val="0"/>
        <w:spacing w:line="360" w:lineRule="auto"/>
        <w:jc w:val="left"/>
        <w:outlineLvl w:val="9"/>
        <w:rPr>
          <w:rFonts w:hint="eastAsia" w:ascii="华文中宋" w:hAnsi="华文中宋" w:eastAsia="华文中宋" w:cs="华文中宋"/>
          <w:color w:val="auto"/>
        </w:rPr>
      </w:pPr>
    </w:p>
    <w:p w14:paraId="2CA25ACA">
      <w:pPr>
        <w:wordWrap w:val="0"/>
        <w:snapToGrid w:val="0"/>
        <w:spacing w:line="360" w:lineRule="auto"/>
        <w:jc w:val="left"/>
        <w:outlineLvl w:val="9"/>
        <w:rPr>
          <w:rFonts w:hint="eastAsia" w:ascii="华文中宋" w:hAnsi="华文中宋" w:eastAsia="华文中宋" w:cs="华文中宋"/>
          <w:color w:val="auto"/>
        </w:rPr>
      </w:pPr>
    </w:p>
    <w:p w14:paraId="0EDA68E8">
      <w:pPr>
        <w:wordWrap w:val="0"/>
        <w:snapToGrid w:val="0"/>
        <w:spacing w:line="360" w:lineRule="auto"/>
        <w:jc w:val="left"/>
        <w:outlineLvl w:val="9"/>
        <w:rPr>
          <w:rFonts w:hint="eastAsia" w:ascii="华文中宋" w:hAnsi="华文中宋" w:eastAsia="华文中宋" w:cs="华文中宋"/>
          <w:color w:val="auto"/>
        </w:rPr>
      </w:pPr>
    </w:p>
    <w:p w14:paraId="3709E795">
      <w:pPr>
        <w:wordWrap w:val="0"/>
        <w:snapToGrid w:val="0"/>
        <w:spacing w:line="360" w:lineRule="auto"/>
        <w:jc w:val="left"/>
        <w:outlineLvl w:val="9"/>
        <w:rPr>
          <w:rFonts w:hint="eastAsia" w:ascii="华文中宋" w:hAnsi="华文中宋" w:eastAsia="华文中宋" w:cs="华文中宋"/>
          <w:color w:val="auto"/>
        </w:rPr>
      </w:pPr>
    </w:p>
    <w:p w14:paraId="0DAE9F09">
      <w:pPr>
        <w:wordWrap w:val="0"/>
        <w:snapToGrid w:val="0"/>
        <w:spacing w:line="360" w:lineRule="auto"/>
        <w:jc w:val="left"/>
        <w:outlineLvl w:val="9"/>
        <w:rPr>
          <w:rFonts w:hint="eastAsia" w:ascii="华文中宋" w:hAnsi="华文中宋" w:eastAsia="华文中宋" w:cs="华文中宋"/>
          <w:color w:val="auto"/>
        </w:rPr>
      </w:pPr>
    </w:p>
    <w:p w14:paraId="0B9ECCFD">
      <w:pPr>
        <w:wordWrap w:val="0"/>
        <w:snapToGrid w:val="0"/>
        <w:spacing w:line="360" w:lineRule="auto"/>
        <w:jc w:val="left"/>
        <w:outlineLvl w:val="9"/>
        <w:rPr>
          <w:rFonts w:hint="eastAsia" w:ascii="华文中宋" w:hAnsi="华文中宋" w:eastAsia="华文中宋" w:cs="华文中宋"/>
          <w:color w:val="auto"/>
        </w:rPr>
      </w:pPr>
    </w:p>
    <w:p w14:paraId="203D827F">
      <w:pPr>
        <w:wordWrap w:val="0"/>
        <w:snapToGrid w:val="0"/>
        <w:spacing w:line="360" w:lineRule="auto"/>
        <w:jc w:val="left"/>
        <w:outlineLvl w:val="9"/>
        <w:rPr>
          <w:rFonts w:hint="eastAsia" w:ascii="华文中宋" w:hAnsi="华文中宋" w:eastAsia="华文中宋" w:cs="华文中宋"/>
          <w:color w:val="auto"/>
        </w:rPr>
      </w:pPr>
    </w:p>
    <w:p w14:paraId="3A0C3182">
      <w:pPr>
        <w:wordWrap w:val="0"/>
        <w:snapToGrid w:val="0"/>
        <w:spacing w:line="360" w:lineRule="auto"/>
        <w:jc w:val="left"/>
        <w:outlineLvl w:val="9"/>
        <w:rPr>
          <w:rFonts w:hint="eastAsia" w:ascii="华文中宋" w:hAnsi="华文中宋" w:eastAsia="华文中宋" w:cs="华文中宋"/>
          <w:color w:val="auto"/>
        </w:rPr>
      </w:pPr>
    </w:p>
    <w:p w14:paraId="5A8CC210">
      <w:pPr>
        <w:pStyle w:val="3"/>
        <w:rPr>
          <w:rFonts w:hint="eastAsia" w:ascii="华文中宋" w:hAnsi="华文中宋" w:eastAsia="华文中宋" w:cs="华文中宋"/>
          <w:color w:val="auto"/>
        </w:rPr>
      </w:pPr>
    </w:p>
    <w:p w14:paraId="07AD9140">
      <w:pPr>
        <w:outlineLvl w:val="9"/>
        <w:rPr>
          <w:rFonts w:hint="eastAsia" w:ascii="华文中宋" w:hAnsi="华文中宋" w:eastAsia="华文中宋" w:cs="华文中宋"/>
          <w:color w:val="auto"/>
        </w:rPr>
      </w:pPr>
    </w:p>
    <w:p w14:paraId="23D1CF33">
      <w:pPr>
        <w:wordWrap w:val="0"/>
        <w:snapToGrid w:val="0"/>
        <w:spacing w:line="360" w:lineRule="auto"/>
        <w:jc w:val="left"/>
        <w:outlineLvl w:val="9"/>
        <w:rPr>
          <w:rFonts w:hint="eastAsia" w:ascii="华文中宋" w:hAnsi="华文中宋" w:eastAsia="华文中宋" w:cs="华文中宋"/>
          <w:color w:val="auto"/>
        </w:rPr>
      </w:pPr>
    </w:p>
    <w:p w14:paraId="397581F5">
      <w:pPr>
        <w:wordWrap w:val="0"/>
        <w:snapToGrid w:val="0"/>
        <w:spacing w:line="360" w:lineRule="auto"/>
        <w:jc w:val="left"/>
        <w:outlineLvl w:val="9"/>
        <w:rPr>
          <w:rFonts w:hint="eastAsia" w:ascii="华文中宋" w:hAnsi="华文中宋" w:eastAsia="华文中宋" w:cs="华文中宋"/>
          <w:color w:val="auto"/>
        </w:rPr>
      </w:pPr>
    </w:p>
    <w:p w14:paraId="6B413E02">
      <w:pPr>
        <w:outlineLvl w:val="9"/>
        <w:rPr>
          <w:rFonts w:hint="eastAsia" w:ascii="华文中宋" w:hAnsi="华文中宋" w:eastAsia="华文中宋" w:cs="华文中宋"/>
          <w:b/>
          <w:color w:val="auto"/>
          <w:sz w:val="28"/>
          <w:szCs w:val="28"/>
        </w:rPr>
      </w:pPr>
      <w:bookmarkStart w:id="1204" w:name="_Toc7481_WPSOffice_Level1"/>
      <w:r>
        <w:rPr>
          <w:rFonts w:hint="eastAsia" w:ascii="华文中宋" w:hAnsi="华文中宋" w:eastAsia="华文中宋" w:cs="华文中宋"/>
          <w:b/>
          <w:color w:val="auto"/>
          <w:spacing w:val="20"/>
          <w:sz w:val="28"/>
          <w:szCs w:val="28"/>
        </w:rPr>
        <w:t>（一）响应文件</w:t>
      </w:r>
      <w:r>
        <w:rPr>
          <w:rFonts w:hint="eastAsia" w:ascii="华文中宋" w:hAnsi="华文中宋" w:eastAsia="华文中宋" w:cs="华文中宋"/>
          <w:b/>
          <w:color w:val="auto"/>
          <w:sz w:val="28"/>
          <w:szCs w:val="28"/>
        </w:rPr>
        <w:t>封面及目录格式</w:t>
      </w:r>
      <w:bookmarkEnd w:id="1204"/>
    </w:p>
    <w:p w14:paraId="083FBF60">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44FFA61F">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140B2651">
      <w:pPr>
        <w:jc w:val="both"/>
        <w:outlineLvl w:val="9"/>
        <w:rPr>
          <w:rFonts w:hint="eastAsia" w:ascii="华文中宋" w:hAnsi="华文中宋" w:eastAsia="华文中宋" w:cs="华文中宋"/>
          <w:b/>
          <w:color w:val="auto"/>
          <w:spacing w:val="60"/>
          <w:sz w:val="84"/>
          <w:szCs w:val="84"/>
        </w:rPr>
      </w:pPr>
      <w:bookmarkStart w:id="1205" w:name="_Toc16293_WPSOffice_Level2"/>
    </w:p>
    <w:p w14:paraId="32B7C897">
      <w:pPr>
        <w:jc w:val="center"/>
        <w:outlineLvl w:val="9"/>
        <w:rPr>
          <w:rFonts w:hint="eastAsia" w:ascii="华文中宋" w:hAnsi="华文中宋" w:eastAsia="华文中宋" w:cs="华文中宋"/>
          <w:b/>
          <w:color w:val="auto"/>
          <w:spacing w:val="60"/>
          <w:sz w:val="84"/>
          <w:szCs w:val="84"/>
        </w:rPr>
      </w:pPr>
    </w:p>
    <w:p w14:paraId="635703C5">
      <w:pPr>
        <w:jc w:val="center"/>
        <w:outlineLvl w:val="9"/>
        <w:rPr>
          <w:rFonts w:hint="eastAsia" w:ascii="华文中宋" w:hAnsi="华文中宋" w:eastAsia="华文中宋" w:cs="华文中宋"/>
          <w:b/>
          <w:color w:val="auto"/>
          <w:spacing w:val="60"/>
          <w:sz w:val="84"/>
          <w:szCs w:val="84"/>
        </w:rPr>
      </w:pPr>
      <w:r>
        <w:rPr>
          <w:rFonts w:hint="eastAsia" w:ascii="华文中宋" w:hAnsi="华文中宋" w:eastAsia="华文中宋" w:cs="华文中宋"/>
          <w:b/>
          <w:color w:val="auto"/>
          <w:spacing w:val="60"/>
          <w:sz w:val="84"/>
          <w:szCs w:val="84"/>
        </w:rPr>
        <w:t>响 应 文 件</w:t>
      </w:r>
      <w:bookmarkEnd w:id="1205"/>
    </w:p>
    <w:p w14:paraId="3D19878B">
      <w:pPr>
        <w:ind w:firstLine="841" w:firstLineChars="150"/>
        <w:jc w:val="center"/>
        <w:outlineLvl w:val="9"/>
        <w:rPr>
          <w:rFonts w:hint="eastAsia" w:ascii="华文中宋" w:hAnsi="华文中宋" w:eastAsia="华文中宋" w:cs="华文中宋"/>
          <w:b/>
          <w:color w:val="auto"/>
          <w:spacing w:val="20"/>
          <w:sz w:val="52"/>
          <w:szCs w:val="52"/>
        </w:rPr>
      </w:pPr>
      <w:r>
        <w:rPr>
          <w:rFonts w:hint="eastAsia" w:ascii="华文中宋" w:hAnsi="华文中宋" w:eastAsia="华文中宋" w:cs="华文中宋"/>
          <w:b/>
          <w:color w:val="auto"/>
          <w:spacing w:val="20"/>
          <w:sz w:val="52"/>
          <w:szCs w:val="52"/>
        </w:rPr>
        <w:t>（资格证明文件）</w:t>
      </w:r>
    </w:p>
    <w:p w14:paraId="07EC97AA">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4DA17FB0">
      <w:pPr>
        <w:ind w:firstLine="901" w:firstLineChars="250"/>
        <w:outlineLvl w:val="9"/>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项目名称:</w:t>
      </w:r>
    </w:p>
    <w:p w14:paraId="4C054D62">
      <w:pPr>
        <w:ind w:firstLine="901" w:firstLineChars="250"/>
        <w:outlineLvl w:val="9"/>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项目编号：</w:t>
      </w:r>
    </w:p>
    <w:p w14:paraId="4F11FAD5">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297EB1DD">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0D78D9BB">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3A88B52C">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12BF69EB">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46FAD65C">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5006F0FE">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29CCFC73">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30E3B8B0">
      <w:pPr>
        <w:pStyle w:val="19"/>
        <w:snapToGrid w:val="0"/>
        <w:spacing w:line="276" w:lineRule="auto"/>
        <w:ind w:firstLine="525" w:firstLineChars="250"/>
        <w:outlineLvl w:val="9"/>
        <w:rPr>
          <w:rFonts w:hint="eastAsia" w:ascii="华文中宋" w:hAnsi="华文中宋" w:eastAsia="华文中宋" w:cs="华文中宋"/>
          <w:color w:val="auto"/>
          <w:kern w:val="0"/>
        </w:rPr>
      </w:pPr>
    </w:p>
    <w:p w14:paraId="1A280EB5">
      <w:pPr>
        <w:spacing w:line="360" w:lineRule="auto"/>
        <w:ind w:firstLine="721" w:firstLineChars="200"/>
        <w:jc w:val="both"/>
        <w:outlineLvl w:val="9"/>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磋商供应商单位名称：（电子签章）</w:t>
      </w:r>
    </w:p>
    <w:p w14:paraId="5F15AB2E">
      <w:pPr>
        <w:spacing w:line="360" w:lineRule="auto"/>
        <w:ind w:firstLine="721" w:firstLineChars="200"/>
        <w:jc w:val="both"/>
        <w:outlineLvl w:val="9"/>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法定代表人（负责人）：（法定代表人电子签章）</w:t>
      </w:r>
    </w:p>
    <w:p w14:paraId="5D916913">
      <w:pPr>
        <w:jc w:val="center"/>
        <w:outlineLvl w:val="9"/>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 xml:space="preserve">   年  月   日</w:t>
      </w:r>
    </w:p>
    <w:p w14:paraId="1CF98792">
      <w:pPr>
        <w:pStyle w:val="41"/>
        <w:snapToGrid w:val="0"/>
        <w:spacing w:line="480" w:lineRule="exact"/>
        <w:ind w:firstLine="721" w:firstLineChars="200"/>
        <w:jc w:val="center"/>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pacing w:val="20"/>
          <w:sz w:val="32"/>
          <w:szCs w:val="32"/>
        </w:rPr>
        <w:br w:type="page"/>
      </w:r>
      <w:r>
        <w:rPr>
          <w:rFonts w:hint="eastAsia" w:ascii="华文中宋" w:hAnsi="华文中宋" w:eastAsia="华文中宋" w:cs="华文中宋"/>
          <w:b/>
          <w:color w:val="auto"/>
          <w:sz w:val="28"/>
          <w:szCs w:val="28"/>
        </w:rPr>
        <w:t>资  格  证  明  文  件</w:t>
      </w:r>
    </w:p>
    <w:p w14:paraId="31D33EF1">
      <w:pPr>
        <w:spacing w:line="360" w:lineRule="auto"/>
        <w:jc w:val="center"/>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目    录</w:t>
      </w:r>
    </w:p>
    <w:p w14:paraId="51369352">
      <w:pPr>
        <w:spacing w:line="360" w:lineRule="auto"/>
        <w:ind w:firstLine="434"/>
        <w:outlineLvl w:val="9"/>
        <w:rPr>
          <w:rFonts w:hint="eastAsia" w:ascii="华文中宋" w:hAnsi="华文中宋" w:eastAsia="华文中宋" w:cs="华文中宋"/>
          <w:color w:val="auto"/>
          <w:sz w:val="28"/>
          <w:szCs w:val="28"/>
          <w:highlight w:val="none"/>
        </w:rPr>
      </w:pPr>
      <w:bookmarkStart w:id="1206" w:name="_Toc12339_WPSOffice_Level2"/>
      <w:r>
        <w:rPr>
          <w:rFonts w:hint="eastAsia" w:ascii="华文中宋" w:hAnsi="华文中宋" w:eastAsia="华文中宋" w:cs="华文中宋"/>
          <w:color w:val="auto"/>
          <w:sz w:val="28"/>
          <w:szCs w:val="28"/>
          <w:highlight w:val="none"/>
        </w:rPr>
        <w:t>1、磋商供应商代表证明</w:t>
      </w:r>
    </w:p>
    <w:p w14:paraId="2E3001C9">
      <w:pPr>
        <w:spacing w:line="360" w:lineRule="auto"/>
        <w:ind w:firstLine="434"/>
        <w:outlineLvl w:val="9"/>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2、响应函</w:t>
      </w:r>
    </w:p>
    <w:p w14:paraId="6CDCBB25">
      <w:pPr>
        <w:spacing w:line="360" w:lineRule="auto"/>
        <w:ind w:firstLine="434"/>
        <w:outlineLvl w:val="9"/>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3、具有独立承担民事责任的能力</w:t>
      </w:r>
    </w:p>
    <w:p w14:paraId="1CFC0696">
      <w:pPr>
        <w:spacing w:line="360" w:lineRule="auto"/>
        <w:ind w:firstLine="434"/>
        <w:outlineLvl w:val="9"/>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4、具有良好的商业信誉和健全的财务会计制度</w:t>
      </w:r>
    </w:p>
    <w:p w14:paraId="6E381611">
      <w:pPr>
        <w:spacing w:line="360" w:lineRule="auto"/>
        <w:ind w:firstLine="434"/>
        <w:outlineLvl w:val="9"/>
        <w:rPr>
          <w:rFonts w:hint="eastAsia"/>
          <w:color w:val="auto"/>
          <w:lang w:val="en-US" w:eastAsia="zh-CN"/>
        </w:rPr>
      </w:pPr>
      <w:r>
        <w:rPr>
          <w:rFonts w:hint="eastAsia" w:ascii="华文中宋" w:hAnsi="华文中宋" w:eastAsia="华文中宋" w:cs="华文中宋"/>
          <w:color w:val="auto"/>
          <w:sz w:val="28"/>
          <w:szCs w:val="28"/>
          <w:highlight w:val="none"/>
          <w:lang w:val="en-US" w:eastAsia="zh-CN"/>
        </w:rPr>
        <w:t>5、具有履行合同所必需的设备和专业技术能力</w:t>
      </w:r>
    </w:p>
    <w:p w14:paraId="1DF8E38E">
      <w:pPr>
        <w:spacing w:line="360" w:lineRule="auto"/>
        <w:ind w:firstLine="434"/>
        <w:outlineLvl w:val="9"/>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6、有依法缴纳税收和社会保障资金的良好记录</w:t>
      </w:r>
    </w:p>
    <w:p w14:paraId="3F078EFB">
      <w:pPr>
        <w:spacing w:line="360" w:lineRule="auto"/>
        <w:ind w:firstLine="434"/>
        <w:outlineLvl w:val="9"/>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7、参加政府采购活动前三年内，在经营活动中没有重大违法记录</w:t>
      </w:r>
    </w:p>
    <w:p w14:paraId="71189834">
      <w:pPr>
        <w:spacing w:line="360" w:lineRule="auto"/>
        <w:ind w:firstLine="434"/>
        <w:outlineLvl w:val="9"/>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8</w:t>
      </w:r>
      <w:r>
        <w:rPr>
          <w:rFonts w:hint="eastAsia" w:ascii="华文中宋" w:hAnsi="华文中宋" w:eastAsia="华文中宋" w:cs="华文中宋"/>
          <w:color w:val="auto"/>
          <w:sz w:val="28"/>
          <w:szCs w:val="28"/>
          <w:highlight w:val="none"/>
        </w:rPr>
        <w:t>、本项目要求的其他特定资格条件</w:t>
      </w:r>
    </w:p>
    <w:p w14:paraId="5243BBDB">
      <w:pPr>
        <w:spacing w:line="360" w:lineRule="auto"/>
        <w:ind w:firstLine="434"/>
        <w:outlineLvl w:val="9"/>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9</w:t>
      </w:r>
      <w:r>
        <w:rPr>
          <w:rFonts w:hint="eastAsia" w:ascii="华文中宋" w:hAnsi="华文中宋" w:eastAsia="华文中宋" w:cs="华文中宋"/>
          <w:color w:val="auto"/>
          <w:sz w:val="28"/>
          <w:szCs w:val="28"/>
          <w:highlight w:val="none"/>
        </w:rPr>
        <w:t>、响应保证金的交纳证明复印件及基本存款账户开户许可证扫描件</w:t>
      </w:r>
    </w:p>
    <w:p w14:paraId="1CCEF928">
      <w:pPr>
        <w:spacing w:line="360" w:lineRule="auto"/>
        <w:ind w:firstLine="434"/>
        <w:outlineLvl w:val="9"/>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sz w:val="28"/>
          <w:szCs w:val="28"/>
          <w:highlight w:val="none"/>
          <w:lang w:val="en-US" w:eastAsia="zh-CN"/>
        </w:rPr>
        <w:t>10、政府采购政策的响应内容</w:t>
      </w:r>
    </w:p>
    <w:bookmarkEnd w:id="1206"/>
    <w:p w14:paraId="3C181CB1">
      <w:pPr>
        <w:spacing w:line="360" w:lineRule="auto"/>
        <w:ind w:firstLine="434"/>
        <w:outlineLvl w:val="9"/>
        <w:rPr>
          <w:rFonts w:hint="eastAsia" w:ascii="华文中宋" w:hAnsi="华文中宋" w:eastAsia="华文中宋" w:cs="华文中宋"/>
          <w:color w:val="auto"/>
          <w:sz w:val="28"/>
          <w:szCs w:val="28"/>
        </w:rPr>
      </w:pPr>
    </w:p>
    <w:p w14:paraId="1BF0D6C6">
      <w:pPr>
        <w:spacing w:line="480" w:lineRule="exact"/>
        <w:ind w:firstLine="434"/>
        <w:outlineLvl w:val="9"/>
        <w:rPr>
          <w:rFonts w:hint="eastAsia" w:ascii="华文中宋" w:hAnsi="华文中宋" w:eastAsia="华文中宋" w:cs="华文中宋"/>
          <w:color w:val="auto"/>
          <w:sz w:val="24"/>
          <w:szCs w:val="24"/>
        </w:rPr>
      </w:pPr>
    </w:p>
    <w:p w14:paraId="3B2CA693">
      <w:pPr>
        <w:spacing w:line="480" w:lineRule="exact"/>
        <w:ind w:firstLine="434"/>
        <w:outlineLvl w:val="9"/>
        <w:rPr>
          <w:rFonts w:hint="eastAsia" w:ascii="华文中宋" w:hAnsi="华文中宋" w:eastAsia="华文中宋" w:cs="华文中宋"/>
          <w:color w:val="auto"/>
          <w:sz w:val="24"/>
          <w:szCs w:val="24"/>
        </w:rPr>
      </w:pPr>
    </w:p>
    <w:p w14:paraId="0FD8C66F">
      <w:pPr>
        <w:spacing w:line="480" w:lineRule="exact"/>
        <w:ind w:firstLine="434"/>
        <w:outlineLvl w:val="9"/>
        <w:rPr>
          <w:rFonts w:hint="eastAsia" w:ascii="华文中宋" w:hAnsi="华文中宋" w:eastAsia="华文中宋" w:cs="华文中宋"/>
          <w:color w:val="auto"/>
          <w:sz w:val="24"/>
          <w:szCs w:val="24"/>
        </w:rPr>
      </w:pPr>
    </w:p>
    <w:p w14:paraId="4C40BDA9">
      <w:pPr>
        <w:spacing w:line="340" w:lineRule="exact"/>
        <w:outlineLvl w:val="9"/>
        <w:rPr>
          <w:rFonts w:hint="eastAsia" w:ascii="华文中宋" w:hAnsi="华文中宋" w:eastAsia="华文中宋" w:cs="华文中宋"/>
          <w:color w:val="auto"/>
        </w:rPr>
      </w:pPr>
    </w:p>
    <w:p w14:paraId="2759621C">
      <w:pPr>
        <w:widowControl/>
        <w:spacing w:line="340" w:lineRule="exact"/>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rPr>
        <w:br w:type="page"/>
      </w:r>
      <w:r>
        <w:rPr>
          <w:rFonts w:hint="eastAsia" w:ascii="华文中宋" w:hAnsi="华文中宋" w:eastAsia="华文中宋" w:cs="华文中宋"/>
          <w:b/>
          <w:color w:val="auto"/>
          <w:sz w:val="28"/>
          <w:szCs w:val="28"/>
        </w:rPr>
        <w:t xml:space="preserve">（一）磋商供应商代表证明  </w:t>
      </w:r>
    </w:p>
    <w:p w14:paraId="4922960A">
      <w:pPr>
        <w:snapToGrid w:val="0"/>
        <w:spacing w:line="360" w:lineRule="auto"/>
        <w:jc w:val="left"/>
        <w:outlineLvl w:val="9"/>
        <w:rPr>
          <w:rFonts w:hint="eastAsia" w:ascii="华文中宋" w:hAnsi="华文中宋" w:eastAsia="华文中宋" w:cs="华文中宋"/>
          <w:b/>
          <w:bCs/>
          <w:color w:val="auto"/>
          <w:spacing w:val="20"/>
          <w:sz w:val="28"/>
          <w:szCs w:val="28"/>
        </w:rPr>
      </w:pPr>
    </w:p>
    <w:p w14:paraId="24C188F9">
      <w:pPr>
        <w:snapToGrid w:val="0"/>
        <w:spacing w:line="360" w:lineRule="auto"/>
        <w:jc w:val="left"/>
        <w:outlineLvl w:val="9"/>
        <w:rPr>
          <w:rFonts w:hint="eastAsia" w:ascii="华文中宋" w:hAnsi="华文中宋" w:eastAsia="华文中宋" w:cs="华文中宋"/>
          <w:bCs/>
          <w:color w:val="auto"/>
          <w:spacing w:val="6"/>
          <w:sz w:val="28"/>
          <w:szCs w:val="28"/>
        </w:rPr>
      </w:pPr>
      <w:r>
        <w:rPr>
          <w:rFonts w:hint="eastAsia" w:ascii="华文中宋" w:hAnsi="华文中宋" w:eastAsia="华文中宋" w:cs="华文中宋"/>
          <w:b/>
          <w:bCs/>
          <w:color w:val="auto"/>
          <w:spacing w:val="20"/>
          <w:sz w:val="28"/>
          <w:szCs w:val="28"/>
        </w:rPr>
        <w:t>法定代表人（负责人）身份证明书</w:t>
      </w:r>
      <w:r>
        <w:rPr>
          <w:rFonts w:hint="eastAsia" w:ascii="华文中宋" w:hAnsi="华文中宋" w:eastAsia="华文中宋" w:cs="华文中宋"/>
          <w:b/>
          <w:color w:val="auto"/>
          <w:sz w:val="28"/>
          <w:szCs w:val="28"/>
        </w:rPr>
        <w:t>格式</w:t>
      </w:r>
    </w:p>
    <w:p w14:paraId="55B93961">
      <w:pPr>
        <w:snapToGrid w:val="0"/>
        <w:spacing w:line="360" w:lineRule="auto"/>
        <w:ind w:left="584" w:hanging="641" w:hangingChars="200"/>
        <w:jc w:val="center"/>
        <w:outlineLvl w:val="9"/>
        <w:rPr>
          <w:rFonts w:hint="eastAsia" w:ascii="华文中宋" w:hAnsi="华文中宋" w:eastAsia="华文中宋" w:cs="华文中宋"/>
          <w:b/>
          <w:bCs/>
          <w:color w:val="auto"/>
          <w:spacing w:val="20"/>
          <w:sz w:val="28"/>
          <w:szCs w:val="28"/>
        </w:rPr>
      </w:pPr>
    </w:p>
    <w:p w14:paraId="6817289B">
      <w:pPr>
        <w:snapToGrid w:val="0"/>
        <w:spacing w:line="360" w:lineRule="auto"/>
        <w:ind w:left="584" w:hanging="641" w:hangingChars="200"/>
        <w:jc w:val="center"/>
        <w:outlineLvl w:val="9"/>
        <w:rPr>
          <w:rFonts w:hint="eastAsia" w:ascii="华文中宋" w:hAnsi="华文中宋" w:eastAsia="华文中宋" w:cs="华文中宋"/>
          <w:bCs/>
          <w:color w:val="auto"/>
          <w:spacing w:val="6"/>
          <w:sz w:val="28"/>
          <w:szCs w:val="28"/>
        </w:rPr>
      </w:pPr>
      <w:r>
        <w:rPr>
          <w:rFonts w:hint="eastAsia" w:ascii="华文中宋" w:hAnsi="华文中宋" w:eastAsia="华文中宋" w:cs="华文中宋"/>
          <w:b/>
          <w:bCs/>
          <w:color w:val="auto"/>
          <w:spacing w:val="20"/>
          <w:sz w:val="28"/>
          <w:szCs w:val="28"/>
        </w:rPr>
        <w:t>法定代表人（负责人）身份证明书</w:t>
      </w:r>
    </w:p>
    <w:p w14:paraId="23B2B166">
      <w:pPr>
        <w:spacing w:line="360" w:lineRule="auto"/>
        <w:outlineLvl w:val="9"/>
        <w:rPr>
          <w:rFonts w:hint="eastAsia" w:ascii="华文中宋" w:hAnsi="华文中宋" w:eastAsia="华文中宋" w:cs="华文中宋"/>
          <w:color w:val="auto"/>
          <w:spacing w:val="6"/>
          <w:sz w:val="28"/>
          <w:szCs w:val="28"/>
          <w:u w:val="single"/>
        </w:rPr>
      </w:pPr>
      <w:r>
        <w:rPr>
          <w:rFonts w:hint="eastAsia" w:ascii="华文中宋" w:hAnsi="华文中宋" w:eastAsia="华文中宋" w:cs="华文中宋"/>
          <w:color w:val="auto"/>
          <w:spacing w:val="6"/>
          <w:sz w:val="28"/>
          <w:szCs w:val="28"/>
        </w:rPr>
        <w:t>单位名称：</w:t>
      </w:r>
      <w:r>
        <w:rPr>
          <w:rFonts w:hint="eastAsia" w:ascii="华文中宋" w:hAnsi="华文中宋" w:eastAsia="华文中宋" w:cs="华文中宋"/>
          <w:color w:val="auto"/>
          <w:spacing w:val="6"/>
          <w:sz w:val="28"/>
          <w:szCs w:val="28"/>
          <w:u w:val="single"/>
        </w:rPr>
        <w:t xml:space="preserve">                                       </w:t>
      </w:r>
    </w:p>
    <w:p w14:paraId="0FF9B1AB">
      <w:pPr>
        <w:spacing w:line="360" w:lineRule="auto"/>
        <w:outlineLvl w:val="9"/>
        <w:rPr>
          <w:rFonts w:hint="eastAsia" w:ascii="华文中宋" w:hAnsi="华文中宋" w:eastAsia="华文中宋" w:cs="华文中宋"/>
          <w:color w:val="auto"/>
          <w:spacing w:val="6"/>
          <w:sz w:val="28"/>
          <w:szCs w:val="28"/>
          <w:u w:val="single"/>
        </w:rPr>
      </w:pPr>
      <w:r>
        <w:rPr>
          <w:rFonts w:hint="eastAsia" w:ascii="华文中宋" w:hAnsi="华文中宋" w:eastAsia="华文中宋" w:cs="华文中宋"/>
          <w:color w:val="auto"/>
          <w:spacing w:val="6"/>
          <w:sz w:val="28"/>
          <w:szCs w:val="28"/>
        </w:rPr>
        <w:t>单位性质：</w:t>
      </w:r>
      <w:r>
        <w:rPr>
          <w:rFonts w:hint="eastAsia" w:ascii="华文中宋" w:hAnsi="华文中宋" w:eastAsia="华文中宋" w:cs="华文中宋"/>
          <w:color w:val="auto"/>
          <w:spacing w:val="6"/>
          <w:sz w:val="28"/>
          <w:szCs w:val="28"/>
          <w:u w:val="single"/>
        </w:rPr>
        <w:t xml:space="preserve">                                       </w:t>
      </w:r>
    </w:p>
    <w:p w14:paraId="3F89FB4D">
      <w:pPr>
        <w:spacing w:line="360" w:lineRule="auto"/>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地    址：</w:t>
      </w:r>
      <w:r>
        <w:rPr>
          <w:rFonts w:hint="eastAsia" w:ascii="华文中宋" w:hAnsi="华文中宋" w:eastAsia="华文中宋" w:cs="华文中宋"/>
          <w:color w:val="auto"/>
          <w:spacing w:val="6"/>
          <w:sz w:val="28"/>
          <w:szCs w:val="28"/>
          <w:u w:val="single"/>
        </w:rPr>
        <w:t xml:space="preserve">                                       </w:t>
      </w:r>
      <w:r>
        <w:rPr>
          <w:rFonts w:hint="eastAsia" w:ascii="华文中宋" w:hAnsi="华文中宋" w:eastAsia="华文中宋" w:cs="华文中宋"/>
          <w:color w:val="auto"/>
          <w:spacing w:val="6"/>
          <w:sz w:val="28"/>
          <w:szCs w:val="28"/>
        </w:rPr>
        <w:t xml:space="preserve">  </w:t>
      </w:r>
    </w:p>
    <w:p w14:paraId="547324EB">
      <w:pPr>
        <w:spacing w:line="360" w:lineRule="auto"/>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成立时间：    年    月    日</w:t>
      </w:r>
    </w:p>
    <w:p w14:paraId="0CFF86C6">
      <w:pPr>
        <w:spacing w:line="360" w:lineRule="auto"/>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经营期限：</w:t>
      </w:r>
    </w:p>
    <w:p w14:paraId="183B8835">
      <w:pPr>
        <w:spacing w:line="360" w:lineRule="auto"/>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 xml:space="preserve">姓    名：                 性  别：         </w:t>
      </w:r>
    </w:p>
    <w:p w14:paraId="7487D7D9">
      <w:pPr>
        <w:spacing w:line="360" w:lineRule="auto"/>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 xml:space="preserve">身份证号：                 职  务： </w:t>
      </w:r>
    </w:p>
    <w:p w14:paraId="5C0C5CF5">
      <w:pPr>
        <w:spacing w:line="360" w:lineRule="auto"/>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 xml:space="preserve">系 </w:t>
      </w:r>
      <w:r>
        <w:rPr>
          <w:rFonts w:hint="eastAsia" w:ascii="华文中宋" w:hAnsi="华文中宋" w:eastAsia="华文中宋" w:cs="华文中宋"/>
          <w:color w:val="auto"/>
          <w:spacing w:val="6"/>
          <w:sz w:val="28"/>
          <w:szCs w:val="28"/>
          <w:u w:val="single"/>
        </w:rPr>
        <w:t xml:space="preserve">      （磋商供应商名称）          </w:t>
      </w:r>
      <w:r>
        <w:rPr>
          <w:rFonts w:hint="eastAsia" w:ascii="华文中宋" w:hAnsi="华文中宋" w:eastAsia="华文中宋" w:cs="华文中宋"/>
          <w:color w:val="auto"/>
          <w:spacing w:val="6"/>
          <w:sz w:val="28"/>
          <w:szCs w:val="28"/>
        </w:rPr>
        <w:t xml:space="preserve">的法定代表人（负责人）。 </w:t>
      </w:r>
    </w:p>
    <w:p w14:paraId="4C4EE916">
      <w:pPr>
        <w:spacing w:line="360" w:lineRule="auto"/>
        <w:ind w:firstLine="584" w:firstLineChars="200"/>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特此证明。</w:t>
      </w:r>
    </w:p>
    <w:p w14:paraId="7F30F7CE">
      <w:pPr>
        <w:spacing w:line="360" w:lineRule="auto"/>
        <w:outlineLvl w:val="9"/>
        <w:rPr>
          <w:rFonts w:hint="eastAsia" w:ascii="华文中宋" w:hAnsi="华文中宋" w:eastAsia="华文中宋" w:cs="华文中宋"/>
          <w:color w:val="auto"/>
          <w:spacing w:val="20"/>
          <w:sz w:val="28"/>
          <w:szCs w:val="28"/>
        </w:rPr>
      </w:pPr>
      <w:r>
        <w:rPr>
          <w:rFonts w:hint="eastAsia" w:ascii="华文中宋" w:hAnsi="华文中宋" w:eastAsia="华文中宋" w:cs="华文中宋"/>
          <w:color w:val="auto"/>
          <w:spacing w:val="6"/>
          <w:sz w:val="28"/>
          <w:szCs w:val="28"/>
        </w:rPr>
        <w:t xml:space="preserve">                      磋商供应商</w:t>
      </w:r>
      <w:r>
        <w:rPr>
          <w:rFonts w:hint="eastAsia" w:ascii="华文中宋" w:hAnsi="华文中宋" w:eastAsia="华文中宋" w:cs="华文中宋"/>
          <w:color w:val="auto"/>
          <w:spacing w:val="20"/>
          <w:sz w:val="28"/>
          <w:szCs w:val="28"/>
        </w:rPr>
        <w:t>：</w:t>
      </w:r>
      <w:r>
        <w:rPr>
          <w:rFonts w:hint="eastAsia" w:ascii="华文中宋" w:hAnsi="华文中宋" w:eastAsia="华文中宋" w:cs="华文中宋"/>
          <w:color w:val="auto"/>
          <w:spacing w:val="20"/>
          <w:sz w:val="28"/>
          <w:szCs w:val="28"/>
          <w:u w:val="single"/>
        </w:rPr>
        <w:t xml:space="preserve">            </w:t>
      </w:r>
      <w:r>
        <w:rPr>
          <w:rFonts w:hint="eastAsia" w:ascii="华文中宋" w:hAnsi="华文中宋" w:eastAsia="华文中宋" w:cs="华文中宋"/>
          <w:color w:val="auto"/>
          <w:spacing w:val="20"/>
          <w:sz w:val="28"/>
          <w:szCs w:val="28"/>
        </w:rPr>
        <w:t>(电子签章)</w:t>
      </w:r>
    </w:p>
    <w:p w14:paraId="1B4E1543">
      <w:pPr>
        <w:tabs>
          <w:tab w:val="left" w:pos="4490"/>
        </w:tabs>
        <w:snapToGrid w:val="0"/>
        <w:spacing w:line="360" w:lineRule="auto"/>
        <w:outlineLvl w:val="9"/>
        <w:rPr>
          <w:rFonts w:hint="eastAsia" w:ascii="华文中宋" w:hAnsi="华文中宋" w:eastAsia="华文中宋" w:cs="华文中宋"/>
          <w:color w:val="auto"/>
          <w:spacing w:val="20"/>
          <w:sz w:val="28"/>
          <w:szCs w:val="28"/>
        </w:rPr>
      </w:pPr>
      <w:r>
        <w:rPr>
          <w:rFonts w:hint="eastAsia" w:ascii="华文中宋" w:hAnsi="华文中宋" w:eastAsia="华文中宋" w:cs="华文中宋"/>
          <w:color w:val="auto"/>
          <w:spacing w:val="20"/>
          <w:sz w:val="28"/>
          <w:szCs w:val="28"/>
        </w:rPr>
        <w:tab/>
      </w:r>
      <w:r>
        <w:rPr>
          <w:rFonts w:hint="eastAsia" w:ascii="华文中宋" w:hAnsi="华文中宋" w:eastAsia="华文中宋" w:cs="华文中宋"/>
          <w:color w:val="auto"/>
          <w:spacing w:val="20"/>
          <w:sz w:val="28"/>
          <w:szCs w:val="28"/>
        </w:rPr>
        <w:t>年   月   日</w:t>
      </w:r>
    </w:p>
    <w:p w14:paraId="2093048F">
      <w:pPr>
        <w:pStyle w:val="2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附法定代表人有效的身份证正反两面扫描件</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79"/>
      </w:tblGrid>
      <w:tr w14:paraId="5BFB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noWrap w:val="0"/>
            <w:vAlign w:val="top"/>
          </w:tcPr>
          <w:p w14:paraId="56E43851">
            <w:pPr>
              <w:outlineLvl w:val="9"/>
              <w:rPr>
                <w:rFonts w:hint="eastAsia" w:ascii="华文中宋" w:hAnsi="华文中宋" w:eastAsia="华文中宋" w:cs="华文中宋"/>
                <w:b/>
                <w:color w:val="auto"/>
                <w:szCs w:val="21"/>
              </w:rPr>
            </w:pPr>
          </w:p>
        </w:tc>
        <w:tc>
          <w:tcPr>
            <w:tcW w:w="2499" w:type="pct"/>
            <w:noWrap w:val="0"/>
            <w:vAlign w:val="top"/>
          </w:tcPr>
          <w:p w14:paraId="25F48AC3">
            <w:pPr>
              <w:outlineLvl w:val="9"/>
              <w:rPr>
                <w:rFonts w:hint="eastAsia" w:ascii="华文中宋" w:hAnsi="华文中宋" w:eastAsia="华文中宋" w:cs="华文中宋"/>
                <w:b/>
                <w:color w:val="auto"/>
                <w:szCs w:val="21"/>
              </w:rPr>
            </w:pPr>
          </w:p>
        </w:tc>
      </w:tr>
    </w:tbl>
    <w:p w14:paraId="23B008F0">
      <w:pPr>
        <w:snapToGrid w:val="0"/>
        <w:spacing w:line="360" w:lineRule="auto"/>
        <w:outlineLvl w:val="9"/>
        <w:rPr>
          <w:rFonts w:hint="eastAsia" w:ascii="华文中宋" w:hAnsi="华文中宋" w:eastAsia="华文中宋" w:cs="华文中宋"/>
          <w:b/>
          <w:bCs/>
          <w:color w:val="auto"/>
          <w:sz w:val="24"/>
          <w:szCs w:val="24"/>
        </w:rPr>
      </w:pPr>
    </w:p>
    <w:p w14:paraId="7D9A17E1">
      <w:pPr>
        <w:snapToGrid w:val="0"/>
        <w:spacing w:line="360" w:lineRule="auto"/>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 xml:space="preserve">法定代表人（负责人）授权委托书 </w:t>
      </w:r>
      <w:r>
        <w:rPr>
          <w:rFonts w:hint="eastAsia" w:ascii="华文中宋" w:hAnsi="华文中宋" w:eastAsia="华文中宋" w:cs="华文中宋"/>
          <w:b/>
          <w:color w:val="auto"/>
          <w:sz w:val="28"/>
          <w:szCs w:val="28"/>
        </w:rPr>
        <w:t>格式</w:t>
      </w:r>
      <w:r>
        <w:rPr>
          <w:rFonts w:hint="eastAsia" w:ascii="华文中宋" w:hAnsi="华文中宋" w:eastAsia="华文中宋" w:cs="华文中宋"/>
          <w:b/>
          <w:bCs/>
          <w:color w:val="auto"/>
          <w:sz w:val="28"/>
          <w:szCs w:val="28"/>
        </w:rPr>
        <w:t xml:space="preserve"> </w:t>
      </w:r>
    </w:p>
    <w:p w14:paraId="6DC1DADE">
      <w:pPr>
        <w:snapToGrid w:val="0"/>
        <w:spacing w:line="360" w:lineRule="auto"/>
        <w:ind w:left="504" w:hanging="561" w:hangingChars="200"/>
        <w:jc w:val="center"/>
        <w:outlineLvl w:val="9"/>
        <w:rPr>
          <w:rFonts w:hint="eastAsia" w:ascii="华文中宋" w:hAnsi="华文中宋" w:eastAsia="华文中宋" w:cs="华文中宋"/>
          <w:b/>
          <w:bCs/>
          <w:color w:val="auto"/>
          <w:sz w:val="28"/>
          <w:szCs w:val="28"/>
        </w:rPr>
      </w:pPr>
    </w:p>
    <w:p w14:paraId="4280A02D">
      <w:pPr>
        <w:snapToGrid w:val="0"/>
        <w:spacing w:line="360" w:lineRule="auto"/>
        <w:ind w:left="504" w:hanging="561" w:hangingChars="200"/>
        <w:jc w:val="center"/>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 xml:space="preserve">法定代表人（负责人）授权委托书   </w:t>
      </w:r>
    </w:p>
    <w:p w14:paraId="23F936F0">
      <w:pPr>
        <w:snapToGrid w:val="0"/>
        <w:spacing w:line="360" w:lineRule="auto"/>
        <w:ind w:firstLine="560" w:firstLineChars="200"/>
        <w:outlineLvl w:val="9"/>
        <w:rPr>
          <w:rFonts w:hint="eastAsia" w:ascii="华文中宋" w:hAnsi="华文中宋" w:eastAsia="华文中宋" w:cs="华文中宋"/>
          <w:color w:val="auto"/>
          <w:sz w:val="28"/>
          <w:szCs w:val="28"/>
        </w:rPr>
      </w:pPr>
    </w:p>
    <w:p w14:paraId="4F4560FE">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本授权委托书声明：注册于</w:t>
      </w:r>
      <w:r>
        <w:rPr>
          <w:rFonts w:hint="eastAsia" w:ascii="华文中宋" w:hAnsi="华文中宋" w:eastAsia="华文中宋" w:cs="华文中宋"/>
          <w:color w:val="auto"/>
          <w:sz w:val="28"/>
          <w:szCs w:val="28"/>
          <w:u w:val="single"/>
        </w:rPr>
        <w:t xml:space="preserve">             （磋商供应商住址）</w:t>
      </w:r>
      <w:r>
        <w:rPr>
          <w:rFonts w:hint="eastAsia" w:ascii="华文中宋" w:hAnsi="华文中宋" w:eastAsia="华文中宋" w:cs="华文中宋"/>
          <w:color w:val="auto"/>
          <w:sz w:val="28"/>
          <w:szCs w:val="28"/>
        </w:rPr>
        <w:t xml:space="preserve">的 </w:t>
      </w:r>
      <w:r>
        <w:rPr>
          <w:rFonts w:hint="eastAsia" w:ascii="华文中宋" w:hAnsi="华文中宋" w:eastAsia="华文中宋" w:cs="华文中宋"/>
          <w:color w:val="auto"/>
          <w:sz w:val="28"/>
          <w:szCs w:val="28"/>
          <w:u w:val="single"/>
        </w:rPr>
        <w:t xml:space="preserve">              （磋商供应商名称）</w:t>
      </w:r>
      <w:r>
        <w:rPr>
          <w:rFonts w:hint="eastAsia" w:ascii="华文中宋" w:hAnsi="华文中宋" w:eastAsia="华文中宋" w:cs="华文中宋"/>
          <w:color w:val="auto"/>
          <w:sz w:val="28"/>
          <w:szCs w:val="28"/>
        </w:rPr>
        <w:t>法定代表人</w:t>
      </w:r>
      <w:r>
        <w:rPr>
          <w:rFonts w:hint="eastAsia" w:ascii="华文中宋" w:hAnsi="华文中宋" w:eastAsia="华文中宋" w:cs="华文中宋"/>
          <w:color w:val="auto"/>
          <w:sz w:val="28"/>
          <w:szCs w:val="28"/>
          <w:u w:val="single"/>
        </w:rPr>
        <w:t xml:space="preserve">            （法定代表人姓名、职务、身份证号）</w:t>
      </w:r>
      <w:r>
        <w:rPr>
          <w:rFonts w:hint="eastAsia" w:ascii="华文中宋" w:hAnsi="华文中宋" w:eastAsia="华文中宋" w:cs="华文中宋"/>
          <w:color w:val="auto"/>
          <w:sz w:val="28"/>
          <w:szCs w:val="28"/>
        </w:rPr>
        <w:t>代表本公司授权</w:t>
      </w:r>
      <w:r>
        <w:rPr>
          <w:rFonts w:hint="eastAsia" w:ascii="华文中宋" w:hAnsi="华文中宋" w:eastAsia="华文中宋" w:cs="华文中宋"/>
          <w:color w:val="auto"/>
          <w:sz w:val="28"/>
          <w:szCs w:val="28"/>
          <w:u w:val="single"/>
        </w:rPr>
        <w:t xml:space="preserve">          （磋商供应商代表姓名、职务、身份证号）</w:t>
      </w:r>
      <w:r>
        <w:rPr>
          <w:rFonts w:hint="eastAsia" w:ascii="华文中宋" w:hAnsi="华文中宋" w:eastAsia="华文中宋" w:cs="华文中宋"/>
          <w:color w:val="auto"/>
          <w:sz w:val="28"/>
          <w:szCs w:val="28"/>
        </w:rPr>
        <w:t>为本公司的合法代理人，就贵方组织的</w:t>
      </w:r>
      <w:r>
        <w:rPr>
          <w:rFonts w:hint="eastAsia" w:ascii="华文中宋" w:hAnsi="华文中宋" w:eastAsia="华文中宋" w:cs="华文中宋"/>
          <w:b/>
          <w:color w:val="auto"/>
          <w:sz w:val="28"/>
          <w:szCs w:val="28"/>
          <w:u w:val="single"/>
        </w:rPr>
        <w:t xml:space="preserve">                  </w:t>
      </w:r>
      <w:r>
        <w:rPr>
          <w:rFonts w:hint="eastAsia" w:ascii="华文中宋" w:hAnsi="华文中宋" w:eastAsia="华文中宋" w:cs="华文中宋"/>
          <w:color w:val="auto"/>
          <w:sz w:val="28"/>
          <w:szCs w:val="28"/>
        </w:rPr>
        <w:t>项目，项目编号：</w:t>
      </w:r>
      <w:r>
        <w:rPr>
          <w:rFonts w:hint="eastAsia" w:ascii="华文中宋" w:hAnsi="华文中宋" w:eastAsia="华文中宋" w:cs="华文中宋"/>
          <w:b/>
          <w:color w:val="auto"/>
          <w:sz w:val="28"/>
          <w:szCs w:val="28"/>
          <w:u w:val="single"/>
        </w:rPr>
        <w:t xml:space="preserve">                </w:t>
      </w:r>
      <w:r>
        <w:rPr>
          <w:rFonts w:hint="eastAsia" w:ascii="华文中宋" w:hAnsi="华文中宋" w:eastAsia="华文中宋" w:cs="华文中宋"/>
          <w:color w:val="auto"/>
          <w:sz w:val="28"/>
          <w:szCs w:val="28"/>
        </w:rPr>
        <w:t>，以本公司名义处理一切与之有关的事务。</w:t>
      </w:r>
    </w:p>
    <w:p w14:paraId="05AB914E">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本授权书于    年  月  日生效，特此声明。</w:t>
      </w:r>
    </w:p>
    <w:p w14:paraId="066D8B83">
      <w:pPr>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                  磋商供应商：</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w:t>
      </w:r>
      <w:r>
        <w:rPr>
          <w:rFonts w:hint="eastAsia" w:ascii="华文中宋" w:hAnsi="华文中宋" w:eastAsia="华文中宋" w:cs="华文中宋"/>
          <w:color w:val="auto"/>
          <w:spacing w:val="20"/>
          <w:sz w:val="28"/>
          <w:szCs w:val="28"/>
        </w:rPr>
        <w:t>电子签章</w:t>
      </w:r>
      <w:r>
        <w:rPr>
          <w:rFonts w:hint="eastAsia" w:ascii="华文中宋" w:hAnsi="华文中宋" w:eastAsia="华文中宋" w:cs="华文中宋"/>
          <w:color w:val="auto"/>
          <w:sz w:val="28"/>
          <w:szCs w:val="28"/>
        </w:rPr>
        <w:t>）</w:t>
      </w:r>
    </w:p>
    <w:p w14:paraId="6A290299">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               法定代表人（负责人）：</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w:t>
      </w:r>
      <w:r>
        <w:rPr>
          <w:rFonts w:hint="eastAsia" w:ascii="华文中宋" w:hAnsi="华文中宋" w:eastAsia="华文中宋" w:cs="华文中宋"/>
          <w:color w:val="auto"/>
          <w:spacing w:val="20"/>
          <w:sz w:val="28"/>
          <w:szCs w:val="28"/>
        </w:rPr>
        <w:t>法定代表人电子</w:t>
      </w:r>
      <w:r>
        <w:rPr>
          <w:rFonts w:hint="eastAsia" w:ascii="华文中宋" w:hAnsi="华文中宋" w:eastAsia="华文中宋" w:cs="华文中宋"/>
          <w:color w:val="auto"/>
          <w:sz w:val="28"/>
          <w:szCs w:val="28"/>
        </w:rPr>
        <w:t xml:space="preserve">签章）                         </w:t>
      </w:r>
    </w:p>
    <w:p w14:paraId="2EB745A2">
      <w:pPr>
        <w:snapToGrid w:val="0"/>
        <w:spacing w:line="360" w:lineRule="auto"/>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color w:val="auto"/>
          <w:sz w:val="28"/>
          <w:szCs w:val="28"/>
        </w:rPr>
        <w:t xml:space="preserve">                                                 年  月  日</w:t>
      </w:r>
    </w:p>
    <w:p w14:paraId="602708F6">
      <w:pPr>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b/>
          <w:color w:val="auto"/>
          <w:sz w:val="28"/>
          <w:szCs w:val="28"/>
        </w:rPr>
        <w:t>附磋商供应商代表有效的身份证正反两面扫描件</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2B01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noWrap w:val="0"/>
            <w:vAlign w:val="top"/>
          </w:tcPr>
          <w:p w14:paraId="5B68D28B">
            <w:pPr>
              <w:outlineLvl w:val="9"/>
              <w:rPr>
                <w:rFonts w:hint="eastAsia" w:ascii="华文中宋" w:hAnsi="华文中宋" w:eastAsia="华文中宋" w:cs="华文中宋"/>
                <w:b/>
                <w:color w:val="auto"/>
                <w:szCs w:val="21"/>
              </w:rPr>
            </w:pPr>
          </w:p>
        </w:tc>
        <w:tc>
          <w:tcPr>
            <w:tcW w:w="2500" w:type="pct"/>
            <w:noWrap w:val="0"/>
            <w:vAlign w:val="top"/>
          </w:tcPr>
          <w:p w14:paraId="214F1A6D">
            <w:pPr>
              <w:outlineLvl w:val="9"/>
              <w:rPr>
                <w:rFonts w:hint="eastAsia" w:ascii="华文中宋" w:hAnsi="华文中宋" w:eastAsia="华文中宋" w:cs="华文中宋"/>
                <w:b/>
                <w:color w:val="auto"/>
                <w:szCs w:val="21"/>
              </w:rPr>
            </w:pPr>
          </w:p>
        </w:tc>
      </w:tr>
    </w:tbl>
    <w:p w14:paraId="430F20A4">
      <w:pPr>
        <w:spacing w:line="360" w:lineRule="exact"/>
        <w:ind w:left="315" w:leftChars="150"/>
        <w:jc w:val="left"/>
        <w:outlineLvl w:val="9"/>
        <w:rPr>
          <w:rFonts w:hint="eastAsia" w:ascii="华文中宋" w:hAnsi="华文中宋" w:eastAsia="华文中宋" w:cs="华文中宋"/>
          <w:color w:val="auto"/>
          <w:szCs w:val="21"/>
        </w:rPr>
      </w:pPr>
    </w:p>
    <w:p w14:paraId="2F110C41">
      <w:pPr>
        <w:spacing w:line="360" w:lineRule="exact"/>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Cs w:val="21"/>
        </w:rPr>
        <w:br w:type="page"/>
      </w:r>
      <w:r>
        <w:rPr>
          <w:rFonts w:hint="eastAsia" w:ascii="华文中宋" w:hAnsi="华文中宋" w:eastAsia="华文中宋" w:cs="华文中宋"/>
          <w:b/>
          <w:color w:val="auto"/>
          <w:sz w:val="28"/>
          <w:szCs w:val="28"/>
        </w:rPr>
        <w:t>（二）响应函格式</w:t>
      </w:r>
    </w:p>
    <w:p w14:paraId="13F31277">
      <w:pPr>
        <w:spacing w:line="360" w:lineRule="auto"/>
        <w:jc w:val="center"/>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响   应  函</w:t>
      </w:r>
    </w:p>
    <w:p w14:paraId="45313105">
      <w:pPr>
        <w:tabs>
          <w:tab w:val="left" w:pos="4860"/>
        </w:tabs>
        <w:spacing w:line="360" w:lineRule="auto"/>
        <w:outlineLvl w:val="9"/>
        <w:rPr>
          <w:rFonts w:hint="eastAsia" w:ascii="华文中宋" w:hAnsi="华文中宋" w:eastAsia="华文中宋" w:cs="华文中宋"/>
          <w:b/>
          <w:bCs/>
          <w:color w:val="auto"/>
          <w:sz w:val="28"/>
          <w:szCs w:val="28"/>
        </w:rPr>
      </w:pPr>
    </w:p>
    <w:p w14:paraId="0C66A8B5">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u w:val="single"/>
        </w:rPr>
        <w:t xml:space="preserve">                      (磋商供应商全称)</w:t>
      </w:r>
      <w:r>
        <w:rPr>
          <w:rFonts w:hint="eastAsia" w:ascii="华文中宋" w:hAnsi="华文中宋" w:eastAsia="华文中宋" w:cs="华文中宋"/>
          <w:color w:val="auto"/>
          <w:sz w:val="28"/>
          <w:szCs w:val="28"/>
        </w:rPr>
        <w:t>授权</w:t>
      </w:r>
      <w:r>
        <w:rPr>
          <w:rFonts w:hint="eastAsia" w:ascii="华文中宋" w:hAnsi="华文中宋" w:eastAsia="华文中宋" w:cs="华文中宋"/>
          <w:color w:val="auto"/>
          <w:sz w:val="28"/>
          <w:szCs w:val="28"/>
          <w:u w:val="single"/>
        </w:rPr>
        <w:t xml:space="preserve">          (磋商供应商代表姓名)            </w:t>
      </w:r>
      <w:r>
        <w:rPr>
          <w:rFonts w:hint="eastAsia" w:ascii="华文中宋" w:hAnsi="华文中宋" w:eastAsia="华文中宋" w:cs="华文中宋"/>
          <w:color w:val="auto"/>
          <w:sz w:val="28"/>
          <w:szCs w:val="28"/>
        </w:rPr>
        <w:t xml:space="preserve">(职务、职称)为我方代表，参加贵方组织的 </w:t>
      </w:r>
      <w:r>
        <w:rPr>
          <w:rFonts w:hint="eastAsia" w:ascii="华文中宋" w:hAnsi="华文中宋" w:eastAsia="华文中宋" w:cs="华文中宋"/>
          <w:color w:val="auto"/>
          <w:sz w:val="28"/>
          <w:szCs w:val="28"/>
          <w:u w:val="single"/>
        </w:rPr>
        <w:t xml:space="preserve">                   (项目名称、项目编号)</w:t>
      </w:r>
      <w:r>
        <w:rPr>
          <w:rFonts w:hint="eastAsia" w:ascii="华文中宋" w:hAnsi="华文中宋" w:eastAsia="华文中宋" w:cs="华文中宋"/>
          <w:color w:val="auto"/>
          <w:sz w:val="28"/>
          <w:szCs w:val="28"/>
        </w:rPr>
        <w:t>性磋商的有关活动，并对此项目进行报价。为此：</w:t>
      </w:r>
    </w:p>
    <w:p w14:paraId="7F2EE166">
      <w:pPr>
        <w:pStyle w:val="41"/>
        <w:tabs>
          <w:tab w:val="left" w:pos="1711"/>
        </w:tabs>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1、我方已仔细研究了本项目磋商文件的全部内容，愿意以以下报价，按照磋商文件要求及合同约定完成项目。</w:t>
      </w:r>
    </w:p>
    <w:p w14:paraId="004B0980">
      <w:pPr>
        <w:pStyle w:val="41"/>
        <w:tabs>
          <w:tab w:val="left" w:pos="1711"/>
        </w:tabs>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人民币（大写）</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 xml:space="preserve">元（￥ </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元）</w:t>
      </w:r>
    </w:p>
    <w:p w14:paraId="66B24735">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2、我方同意在本项目磋商文件中规定的响应文件有效期</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u w:val="single"/>
          <w:lang w:val="en-US" w:eastAsia="zh-CN"/>
        </w:rPr>
        <w:t xml:space="preserve">   </w:t>
      </w:r>
      <w:r>
        <w:rPr>
          <w:rFonts w:hint="eastAsia" w:ascii="华文中宋" w:hAnsi="华文中宋" w:eastAsia="华文中宋" w:cs="华文中宋"/>
          <w:color w:val="auto"/>
          <w:sz w:val="28"/>
          <w:szCs w:val="28"/>
        </w:rPr>
        <w:t>个日历天内（自</w:t>
      </w:r>
      <w:r>
        <w:rPr>
          <w:rFonts w:hint="eastAsia" w:ascii="华文中宋" w:hAnsi="华文中宋" w:eastAsia="华文中宋" w:cs="华文中宋"/>
          <w:color w:val="auto"/>
          <w:sz w:val="28"/>
          <w:szCs w:val="28"/>
          <w:lang w:val="en-US" w:eastAsia="zh-CN"/>
        </w:rPr>
        <w:t>递交</w:t>
      </w:r>
      <w:r>
        <w:rPr>
          <w:rFonts w:hint="eastAsia" w:ascii="华文中宋" w:hAnsi="华文中宋" w:eastAsia="华文中宋" w:cs="华文中宋"/>
          <w:color w:val="auto"/>
          <w:sz w:val="28"/>
          <w:szCs w:val="28"/>
        </w:rPr>
        <w:t>响应文件</w:t>
      </w:r>
      <w:r>
        <w:rPr>
          <w:rFonts w:hint="eastAsia" w:ascii="华文中宋" w:hAnsi="华文中宋" w:eastAsia="华文中宋" w:cs="华文中宋"/>
          <w:color w:val="auto"/>
          <w:sz w:val="28"/>
          <w:szCs w:val="28"/>
          <w:lang w:val="en-US" w:eastAsia="zh-CN"/>
        </w:rPr>
        <w:t>截止</w:t>
      </w:r>
      <w:r>
        <w:rPr>
          <w:rFonts w:hint="eastAsia" w:ascii="华文中宋" w:hAnsi="华文中宋" w:eastAsia="华文中宋" w:cs="华文中宋"/>
          <w:color w:val="auto"/>
          <w:sz w:val="28"/>
          <w:szCs w:val="28"/>
        </w:rPr>
        <w:t>之日起计算）遵守本磋商文件中的承诺且在此期限期满之前均具有约束力。如果成交，响应文件有效期延长至合同履约完毕。</w:t>
      </w:r>
    </w:p>
    <w:p w14:paraId="15DEB14D">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3、我方承诺已经具备《中华人民共和国政府采购法》中规定的参加政府采购活动的供应商应当具备的全部条件和本磋商文件规定的特定资质要求。</w:t>
      </w:r>
    </w:p>
    <w:p w14:paraId="0339C03E">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4、提供磋商须知规定的全部响应文件（电子响应文件和纸质版响应文件）。</w:t>
      </w:r>
    </w:p>
    <w:p w14:paraId="045AE849">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5、按磋商文件要求提供和交付的货物和服务的报价详见报价一览表。</w:t>
      </w:r>
    </w:p>
    <w:p w14:paraId="2DD3EF75">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6、我方承诺：完全理解磋商报价超过磋商文件公布的预算金额或最高限价时，报价将拒绝。</w:t>
      </w:r>
    </w:p>
    <w:p w14:paraId="4F9CCA9A">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7、保证忠实地执行双方所签订的合同，并承担合同规定的责任和义务。</w:t>
      </w:r>
    </w:p>
    <w:p w14:paraId="04FA85EE">
      <w:pPr>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8、承诺完全满足和响应磋商文件中的各项商务和技术要求，若有偏差，已在响应文件商务条款偏离表中予以明确特别说明。</w:t>
      </w:r>
    </w:p>
    <w:p w14:paraId="032C8121">
      <w:pPr>
        <w:pStyle w:val="41"/>
        <w:snapToGrid w:val="0"/>
        <w:spacing w:line="360" w:lineRule="auto"/>
        <w:ind w:firstLine="548" w:firstLineChars="196"/>
        <w:textAlignment w:val="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9、保证遵守磋商文件的规定。</w:t>
      </w:r>
    </w:p>
    <w:p w14:paraId="1B80F827">
      <w:pPr>
        <w:pStyle w:val="41"/>
        <w:snapToGrid w:val="0"/>
        <w:spacing w:line="360" w:lineRule="auto"/>
        <w:ind w:firstLine="548" w:firstLineChars="196"/>
        <w:textAlignment w:val="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10、我方承诺对磋商小组依法从符合相应资格条件的磋商供应商中，确定</w:t>
      </w:r>
      <w:r>
        <w:rPr>
          <w:rFonts w:hint="eastAsia" w:ascii="华文中宋" w:hAnsi="华文中宋" w:eastAsia="华文中宋" w:cs="华文中宋"/>
          <w:bCs/>
          <w:color w:val="auto"/>
          <w:sz w:val="28"/>
          <w:szCs w:val="28"/>
        </w:rPr>
        <w:t>参加磋商的磋商供应商</w:t>
      </w:r>
      <w:r>
        <w:rPr>
          <w:rFonts w:hint="eastAsia" w:ascii="华文中宋" w:hAnsi="华文中宋" w:eastAsia="华文中宋" w:cs="华文中宋"/>
          <w:color w:val="auto"/>
          <w:sz w:val="28"/>
          <w:szCs w:val="28"/>
        </w:rPr>
        <w:t>没有任何异议。</w:t>
      </w:r>
    </w:p>
    <w:p w14:paraId="77E350CF">
      <w:pPr>
        <w:pStyle w:val="41"/>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11、对贵方在本次磋商公告刊登的媒体上发布的公告或与本项目有关的通知，我方会及时查看获取。若因线路故障等其他原因导致通知延迟获取或无法获取，责任由我方自负。</w:t>
      </w:r>
    </w:p>
    <w:p w14:paraId="5EB62920">
      <w:pPr>
        <w:pStyle w:val="41"/>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12、我方愿意向贵方提供任何与本项磋商有关的数据、情况和技术资料。若贵方需要，我方愿意提供我方做出的一切承诺的证明材料。</w:t>
      </w:r>
    </w:p>
    <w:p w14:paraId="68ADF046">
      <w:pPr>
        <w:pStyle w:val="41"/>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13、我方已详细审核全部响应文件，包括响应文件修改书（如有的话）、参考资料及有关附件，确认无误。</w:t>
      </w:r>
    </w:p>
    <w:p w14:paraId="3B47B0C4">
      <w:pPr>
        <w:pStyle w:val="41"/>
        <w:snapToGrid w:val="0"/>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14、我方承诺：采购人若需追加采购本项目磋商文件所列货物及相关服务的，在不改变合同其他实质性条款的前提下，按相同或更优惠的折扣率保证供货。</w:t>
      </w:r>
    </w:p>
    <w:p w14:paraId="6C32C366">
      <w:pPr>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所有有关本次磋商的一切往来联系方式为：</w:t>
      </w:r>
    </w:p>
    <w:p w14:paraId="5181FF47">
      <w:pPr>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地址：</w:t>
      </w:r>
      <w:r>
        <w:rPr>
          <w:rFonts w:hint="eastAsia" w:ascii="华文中宋" w:hAnsi="华文中宋" w:eastAsia="华文中宋" w:cs="华文中宋"/>
          <w:color w:val="auto"/>
          <w:sz w:val="28"/>
          <w:szCs w:val="28"/>
        </w:rPr>
        <w:tab/>
      </w:r>
      <w:r>
        <w:rPr>
          <w:rFonts w:hint="eastAsia" w:ascii="华文中宋" w:hAnsi="华文中宋" w:eastAsia="华文中宋" w:cs="华文中宋"/>
          <w:color w:val="auto"/>
          <w:sz w:val="28"/>
          <w:szCs w:val="28"/>
        </w:rPr>
        <w:t xml:space="preserve">                            邮编：</w:t>
      </w:r>
      <w:r>
        <w:rPr>
          <w:rFonts w:hint="eastAsia" w:ascii="华文中宋" w:hAnsi="华文中宋" w:eastAsia="华文中宋" w:cs="华文中宋"/>
          <w:color w:val="auto"/>
          <w:sz w:val="28"/>
          <w:szCs w:val="28"/>
        </w:rPr>
        <w:tab/>
      </w:r>
    </w:p>
    <w:p w14:paraId="0125174D">
      <w:pPr>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电话：</w:t>
      </w:r>
      <w:r>
        <w:rPr>
          <w:rFonts w:hint="eastAsia" w:ascii="华文中宋" w:hAnsi="华文中宋" w:eastAsia="华文中宋" w:cs="华文中宋"/>
          <w:color w:val="auto"/>
          <w:sz w:val="28"/>
          <w:szCs w:val="28"/>
        </w:rPr>
        <w:tab/>
      </w:r>
      <w:r>
        <w:rPr>
          <w:rFonts w:hint="eastAsia" w:ascii="华文中宋" w:hAnsi="华文中宋" w:eastAsia="华文中宋" w:cs="华文中宋"/>
          <w:color w:val="auto"/>
          <w:sz w:val="28"/>
          <w:szCs w:val="28"/>
        </w:rPr>
        <w:t xml:space="preserve">                            传真：</w:t>
      </w:r>
    </w:p>
    <w:p w14:paraId="25AEF0DC">
      <w:pPr>
        <w:tabs>
          <w:tab w:val="left" w:pos="480"/>
        </w:tabs>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磋商供应商代表姓名：</w:t>
      </w:r>
    </w:p>
    <w:p w14:paraId="71722C51">
      <w:pPr>
        <w:tabs>
          <w:tab w:val="left" w:pos="480"/>
        </w:tabs>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磋商供应商代表联系电话：      （办公）           （手机）</w:t>
      </w:r>
    </w:p>
    <w:p w14:paraId="03E8CC84">
      <w:pPr>
        <w:tabs>
          <w:tab w:val="left" w:pos="480"/>
        </w:tabs>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E-mail：</w:t>
      </w:r>
    </w:p>
    <w:p w14:paraId="5A3F29F1">
      <w:pPr>
        <w:snapToGrid w:val="0"/>
        <w:spacing w:line="360" w:lineRule="auto"/>
        <w:ind w:firstLine="2660" w:firstLineChars="95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磋商供应商：</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（电子签章）</w:t>
      </w:r>
    </w:p>
    <w:p w14:paraId="464BDD08">
      <w:pPr>
        <w:snapToGrid w:val="0"/>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                                               年  月  日</w:t>
      </w:r>
    </w:p>
    <w:p w14:paraId="7126D1A0">
      <w:pPr>
        <w:spacing w:line="360" w:lineRule="auto"/>
        <w:jc w:val="left"/>
        <w:outlineLvl w:val="9"/>
        <w:rPr>
          <w:rFonts w:hint="eastAsia" w:ascii="华文中宋" w:hAnsi="华文中宋" w:eastAsia="华文中宋" w:cs="华文中宋"/>
          <w:color w:val="auto"/>
          <w:sz w:val="24"/>
          <w:szCs w:val="24"/>
        </w:rPr>
      </w:pPr>
    </w:p>
    <w:p w14:paraId="6634F1E4">
      <w:pPr>
        <w:spacing w:line="360" w:lineRule="auto"/>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4"/>
          <w:szCs w:val="24"/>
        </w:rPr>
        <w:br w:type="page"/>
      </w:r>
      <w:r>
        <w:rPr>
          <w:rFonts w:hint="eastAsia" w:ascii="华文中宋" w:hAnsi="华文中宋" w:eastAsia="华文中宋" w:cs="华文中宋"/>
          <w:b/>
          <w:color w:val="auto"/>
          <w:sz w:val="28"/>
          <w:szCs w:val="28"/>
          <w:lang w:eastAsia="zh-CN"/>
        </w:rPr>
        <w:t>（</w:t>
      </w:r>
      <w:r>
        <w:rPr>
          <w:rFonts w:hint="eastAsia" w:ascii="华文中宋" w:hAnsi="华文中宋" w:eastAsia="华文中宋" w:cs="华文中宋"/>
          <w:b/>
          <w:color w:val="auto"/>
          <w:sz w:val="28"/>
          <w:szCs w:val="28"/>
          <w:lang w:val="en-US" w:eastAsia="zh-CN"/>
        </w:rPr>
        <w:t>三</w:t>
      </w:r>
      <w:r>
        <w:rPr>
          <w:rFonts w:hint="eastAsia" w:ascii="华文中宋" w:hAnsi="华文中宋" w:eastAsia="华文中宋" w:cs="华文中宋"/>
          <w:b/>
          <w:color w:val="auto"/>
          <w:sz w:val="28"/>
          <w:szCs w:val="28"/>
          <w:lang w:eastAsia="zh-CN"/>
        </w:rPr>
        <w:t>）</w:t>
      </w:r>
      <w:r>
        <w:rPr>
          <w:rFonts w:hint="eastAsia" w:ascii="华文中宋" w:hAnsi="华文中宋" w:eastAsia="华文中宋" w:cs="华文中宋"/>
          <w:b/>
          <w:color w:val="auto"/>
          <w:sz w:val="28"/>
          <w:szCs w:val="28"/>
        </w:rPr>
        <w:t>具有独立承担民事责任的能力的承诺函</w:t>
      </w:r>
    </w:p>
    <w:p w14:paraId="20952462">
      <w:pPr>
        <w:ind w:firstLine="480"/>
        <w:outlineLvl w:val="9"/>
        <w:rPr>
          <w:rFonts w:hint="eastAsia" w:ascii="华文中宋" w:hAnsi="华文中宋" w:eastAsia="华文中宋" w:cs="华文中宋"/>
          <w:color w:val="auto"/>
          <w:sz w:val="28"/>
          <w:szCs w:val="28"/>
          <w:u w:val="single"/>
        </w:rPr>
      </w:pPr>
    </w:p>
    <w:p w14:paraId="1E10793E">
      <w:pPr>
        <w:ind w:firstLine="480"/>
        <w:outlineLvl w:val="9"/>
        <w:rPr>
          <w:rFonts w:hint="eastAsia" w:ascii="华文中宋" w:hAnsi="华文中宋" w:eastAsia="华文中宋" w:cs="华文中宋"/>
          <w:color w:val="auto"/>
          <w:sz w:val="28"/>
          <w:szCs w:val="28"/>
          <w:u w:val="single"/>
        </w:rPr>
      </w:pPr>
      <w:r>
        <w:rPr>
          <w:rFonts w:hint="eastAsia" w:ascii="华文中宋" w:hAnsi="华文中宋" w:eastAsia="华文中宋" w:cs="华文中宋"/>
          <w:color w:val="auto"/>
          <w:sz w:val="28"/>
          <w:szCs w:val="28"/>
          <w:u w:val="single"/>
        </w:rPr>
        <w:t xml:space="preserve">  采购</w:t>
      </w:r>
      <w:r>
        <w:rPr>
          <w:rFonts w:hint="eastAsia" w:ascii="华文中宋" w:hAnsi="华文中宋" w:eastAsia="华文中宋" w:cs="华文中宋"/>
          <w:color w:val="auto"/>
          <w:sz w:val="28"/>
          <w:szCs w:val="28"/>
          <w:u w:val="single"/>
          <w:lang w:val="en-US" w:eastAsia="zh-CN"/>
        </w:rPr>
        <w:t>人</w:t>
      </w:r>
      <w:r>
        <w:rPr>
          <w:rFonts w:hint="eastAsia" w:ascii="华文中宋" w:hAnsi="华文中宋" w:eastAsia="华文中宋" w:cs="华文中宋"/>
          <w:color w:val="auto"/>
          <w:sz w:val="28"/>
          <w:szCs w:val="28"/>
          <w:u w:val="single"/>
        </w:rPr>
        <w:t>名称  ：</w:t>
      </w:r>
    </w:p>
    <w:p w14:paraId="1B74E810">
      <w:pPr>
        <w:widowControl/>
        <w:snapToGrid w:val="0"/>
        <w:spacing w:line="360" w:lineRule="auto"/>
        <w:ind w:firstLine="480"/>
        <w:outlineLvl w:val="9"/>
        <w:rPr>
          <w:rFonts w:hint="eastAsia" w:ascii="华文中宋" w:hAnsi="华文中宋" w:eastAsia="华文中宋" w:cs="华文中宋"/>
          <w:color w:val="auto"/>
          <w:sz w:val="28"/>
          <w:szCs w:val="28"/>
        </w:rPr>
      </w:pPr>
    </w:p>
    <w:p w14:paraId="062FD44B">
      <w:pPr>
        <w:widowControl/>
        <w:snapToGrid w:val="0"/>
        <w:spacing w:line="360" w:lineRule="auto"/>
        <w:ind w:firstLine="48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本供应商现参与贵公司组织的</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项目（项目编号：</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kern w:val="0"/>
          <w:sz w:val="28"/>
          <w:szCs w:val="28"/>
          <w:u w:val="single"/>
        </w:rPr>
        <w:t xml:space="preserve">  </w:t>
      </w:r>
      <w:r>
        <w:rPr>
          <w:rFonts w:hint="eastAsia" w:ascii="华文中宋" w:hAnsi="华文中宋" w:eastAsia="华文中宋" w:cs="华文中宋"/>
          <w:color w:val="auto"/>
          <w:sz w:val="28"/>
          <w:szCs w:val="28"/>
        </w:rPr>
        <w:t>）的采购活动。依据采购文件（招标、谈判、磋商）相关规定，现郑重承诺：我方具有有效的营业执照或事业单位法人证书或自然人身份证明或其他非企业组织证明文件，能独立承担民事责任的能力。</w:t>
      </w:r>
    </w:p>
    <w:p w14:paraId="22DD9D43">
      <w:pPr>
        <w:widowControl/>
        <w:snapToGrid w:val="0"/>
        <w:spacing w:line="360" w:lineRule="auto"/>
        <w:ind w:firstLine="48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基本信息如下：</w:t>
      </w:r>
    </w:p>
    <w:p w14:paraId="526DF474">
      <w:pPr>
        <w:widowControl/>
        <w:snapToGrid w:val="0"/>
        <w:spacing w:line="360" w:lineRule="auto"/>
        <w:ind w:firstLine="48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名称为：</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，统一社会信用代码为：</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；法定代表人（负责人）为：</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 xml:space="preserve"> ；营业期限为:</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；基本开户银行为：</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；账号为：</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w:t>
      </w:r>
    </w:p>
    <w:p w14:paraId="1AFE951A">
      <w:pPr>
        <w:widowControl/>
        <w:snapToGrid w:val="0"/>
        <w:spacing w:line="360" w:lineRule="auto"/>
        <w:ind w:firstLine="48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以上承诺信息如有虚假或隐瞒，我方愿意承担一切后果，并不再寻求任何旨在减轻或免除法律责任的辩解。 </w:t>
      </w:r>
    </w:p>
    <w:p w14:paraId="4698B7C7">
      <w:pPr>
        <w:widowControl/>
        <w:snapToGrid w:val="0"/>
        <w:spacing w:line="360" w:lineRule="auto"/>
        <w:ind w:firstLine="48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特此承诺。</w:t>
      </w:r>
    </w:p>
    <w:p w14:paraId="1297BB32">
      <w:pPr>
        <w:widowControl/>
        <w:snapToGrid w:val="0"/>
        <w:spacing w:line="360" w:lineRule="auto"/>
        <w:ind w:firstLine="48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后附：有效的营业执照，或事业单位法人证书，或自然人身份证明，或其他非企业组织证明独立承担民事责任能力的文件；（扫描件）</w:t>
      </w:r>
    </w:p>
    <w:p w14:paraId="7560FA03">
      <w:pPr>
        <w:widowControl/>
        <w:snapToGrid w:val="0"/>
        <w:spacing w:line="360" w:lineRule="auto"/>
        <w:ind w:firstLine="480"/>
        <w:outlineLvl w:val="9"/>
        <w:rPr>
          <w:rFonts w:hint="eastAsia" w:ascii="华文中宋" w:hAnsi="华文中宋" w:eastAsia="华文中宋" w:cs="华文中宋"/>
          <w:color w:val="auto"/>
          <w:sz w:val="28"/>
          <w:szCs w:val="28"/>
        </w:rPr>
      </w:pPr>
    </w:p>
    <w:p w14:paraId="46A6EF89">
      <w:pPr>
        <w:snapToGrid w:val="0"/>
        <w:spacing w:line="480" w:lineRule="exact"/>
        <w:ind w:firstLine="3640" w:firstLineChars="13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磋商供应商名称：</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（电子签章）</w:t>
      </w:r>
    </w:p>
    <w:p w14:paraId="0BAB1048">
      <w:pPr>
        <w:spacing w:line="480" w:lineRule="exact"/>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8"/>
          <w:szCs w:val="28"/>
        </w:rPr>
        <w:t xml:space="preserve">                     </w:t>
      </w:r>
      <w:r>
        <w:rPr>
          <w:rFonts w:hint="eastAsia" w:ascii="华文中宋" w:hAnsi="华文中宋" w:eastAsia="华文中宋" w:cs="华文中宋"/>
          <w:color w:val="auto"/>
          <w:sz w:val="28"/>
          <w:szCs w:val="28"/>
          <w:lang w:val="en-US" w:eastAsia="zh-CN"/>
        </w:rPr>
        <w:t xml:space="preserve"> </w:t>
      </w:r>
      <w:r>
        <w:rPr>
          <w:rFonts w:hint="eastAsia" w:ascii="华文中宋" w:hAnsi="华文中宋" w:eastAsia="华文中宋" w:cs="华文中宋"/>
          <w:color w:val="auto"/>
          <w:sz w:val="28"/>
          <w:szCs w:val="28"/>
        </w:rPr>
        <w:t xml:space="preserve"> 日      期：</w:t>
      </w:r>
    </w:p>
    <w:p w14:paraId="3CFCB6C1">
      <w:pPr>
        <w:spacing w:line="360" w:lineRule="auto"/>
        <w:outlineLvl w:val="9"/>
        <w:rPr>
          <w:rFonts w:hint="eastAsia" w:ascii="华文中宋" w:hAnsi="华文中宋" w:eastAsia="华文中宋" w:cs="华文中宋"/>
          <w:b/>
          <w:color w:val="auto"/>
          <w:kern w:val="0"/>
          <w:sz w:val="28"/>
          <w:szCs w:val="28"/>
          <w:lang w:val="en-US" w:eastAsia="zh-CN"/>
        </w:rPr>
      </w:pPr>
      <w:r>
        <w:rPr>
          <w:rFonts w:hint="eastAsia" w:ascii="华文中宋" w:hAnsi="华文中宋" w:eastAsia="华文中宋" w:cs="华文中宋"/>
          <w:b/>
          <w:color w:val="auto"/>
          <w:sz w:val="24"/>
          <w:szCs w:val="24"/>
        </w:rPr>
        <w:br w:type="page"/>
      </w:r>
      <w:r>
        <w:rPr>
          <w:rFonts w:hint="eastAsia" w:ascii="华文中宋" w:hAnsi="华文中宋" w:eastAsia="华文中宋" w:cs="华文中宋"/>
          <w:b/>
          <w:color w:val="auto"/>
          <w:sz w:val="28"/>
          <w:szCs w:val="28"/>
        </w:rPr>
        <w:t>（</w:t>
      </w:r>
      <w:r>
        <w:rPr>
          <w:rFonts w:hint="eastAsia" w:ascii="华文中宋" w:hAnsi="华文中宋" w:eastAsia="华文中宋" w:cs="华文中宋"/>
          <w:b/>
          <w:color w:val="auto"/>
          <w:kern w:val="0"/>
          <w:sz w:val="28"/>
          <w:szCs w:val="28"/>
        </w:rPr>
        <w:t>四）具有</w:t>
      </w:r>
      <w:r>
        <w:rPr>
          <w:rFonts w:hint="eastAsia" w:ascii="华文中宋" w:hAnsi="华文中宋" w:eastAsia="华文中宋" w:cs="华文中宋"/>
          <w:b/>
          <w:color w:val="auto"/>
          <w:kern w:val="0"/>
          <w:sz w:val="28"/>
          <w:szCs w:val="28"/>
          <w:lang w:val="en-US" w:eastAsia="zh-CN"/>
        </w:rPr>
        <w:t>良好的商业信誉和</w:t>
      </w:r>
      <w:r>
        <w:rPr>
          <w:rFonts w:hint="eastAsia" w:ascii="华文中宋" w:hAnsi="华文中宋" w:eastAsia="华文中宋" w:cs="华文中宋"/>
          <w:b/>
          <w:color w:val="auto"/>
          <w:kern w:val="0"/>
          <w:sz w:val="28"/>
          <w:szCs w:val="28"/>
        </w:rPr>
        <w:t>健全的财务会计制度</w:t>
      </w:r>
      <w:r>
        <w:rPr>
          <w:rFonts w:hint="eastAsia" w:ascii="华文中宋" w:hAnsi="华文中宋" w:eastAsia="华文中宋" w:cs="华文中宋"/>
          <w:b/>
          <w:color w:val="auto"/>
          <w:kern w:val="0"/>
          <w:sz w:val="28"/>
          <w:szCs w:val="28"/>
          <w:lang w:val="en-US" w:eastAsia="zh-CN"/>
        </w:rPr>
        <w:t>的承诺函</w:t>
      </w:r>
    </w:p>
    <w:p w14:paraId="210C5CFF">
      <w:pPr>
        <w:outlineLvl w:val="9"/>
        <w:rPr>
          <w:rFonts w:hint="eastAsia" w:ascii="华文中宋" w:hAnsi="华文中宋" w:eastAsia="华文中宋" w:cs="华文中宋"/>
          <w:color w:val="auto"/>
          <w:spacing w:val="0"/>
          <w:sz w:val="24"/>
          <w:szCs w:val="24"/>
          <w:u w:val="single"/>
        </w:rPr>
      </w:pPr>
    </w:p>
    <w:p w14:paraId="5229052C">
      <w:pPr>
        <w:ind w:firstLine="480"/>
        <w:outlineLvl w:val="9"/>
        <w:rPr>
          <w:rFonts w:hint="eastAsia" w:ascii="华文中宋" w:hAnsi="华文中宋" w:eastAsia="华文中宋" w:cs="华文中宋"/>
          <w:color w:val="auto"/>
          <w:spacing w:val="0"/>
          <w:sz w:val="28"/>
          <w:szCs w:val="28"/>
          <w:u w:val="single"/>
        </w:rPr>
      </w:pPr>
      <w:r>
        <w:rPr>
          <w:rFonts w:hint="eastAsia" w:ascii="华文中宋" w:hAnsi="华文中宋" w:eastAsia="华文中宋" w:cs="华文中宋"/>
          <w:color w:val="auto"/>
          <w:spacing w:val="0"/>
          <w:sz w:val="24"/>
          <w:szCs w:val="24"/>
          <w:u w:val="single"/>
        </w:rPr>
        <w:t xml:space="preserve"> </w:t>
      </w:r>
      <w:r>
        <w:rPr>
          <w:rFonts w:hint="eastAsia" w:ascii="华文中宋" w:hAnsi="华文中宋" w:eastAsia="华文中宋" w:cs="华文中宋"/>
          <w:color w:val="auto"/>
          <w:spacing w:val="0"/>
          <w:sz w:val="28"/>
          <w:szCs w:val="28"/>
          <w:u w:val="single"/>
        </w:rPr>
        <w:t xml:space="preserve"> 采购</w:t>
      </w:r>
      <w:r>
        <w:rPr>
          <w:rFonts w:hint="eastAsia" w:ascii="华文中宋" w:hAnsi="华文中宋" w:eastAsia="华文中宋" w:cs="华文中宋"/>
          <w:color w:val="auto"/>
          <w:spacing w:val="0"/>
          <w:sz w:val="28"/>
          <w:szCs w:val="28"/>
          <w:u w:val="single"/>
          <w:lang w:val="en-US" w:eastAsia="zh-CN"/>
        </w:rPr>
        <w:t>人</w:t>
      </w:r>
      <w:r>
        <w:rPr>
          <w:rFonts w:hint="eastAsia" w:ascii="华文中宋" w:hAnsi="华文中宋" w:eastAsia="华文中宋" w:cs="华文中宋"/>
          <w:color w:val="auto"/>
          <w:spacing w:val="0"/>
          <w:sz w:val="28"/>
          <w:szCs w:val="28"/>
          <w:u w:val="single"/>
        </w:rPr>
        <w:t>名称  ：</w:t>
      </w:r>
    </w:p>
    <w:p w14:paraId="3A6402A8">
      <w:pPr>
        <w:widowControl/>
        <w:snapToGrid w:val="0"/>
        <w:spacing w:line="360" w:lineRule="auto"/>
        <w:ind w:firstLine="480"/>
        <w:outlineLvl w:val="9"/>
        <w:rPr>
          <w:rFonts w:hint="eastAsia" w:ascii="华文中宋" w:hAnsi="华文中宋" w:eastAsia="华文中宋" w:cs="华文中宋"/>
          <w:color w:val="auto"/>
          <w:spacing w:val="0"/>
          <w:sz w:val="28"/>
          <w:szCs w:val="28"/>
        </w:rPr>
      </w:pPr>
    </w:p>
    <w:p w14:paraId="554A0A04">
      <w:pPr>
        <w:widowControl/>
        <w:snapToGrid w:val="0"/>
        <w:spacing w:line="360" w:lineRule="auto"/>
        <w:ind w:firstLine="480"/>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本供应商现参与贵公司组织的</w:t>
      </w:r>
      <w:r>
        <w:rPr>
          <w:rFonts w:hint="eastAsia" w:ascii="华文中宋" w:hAnsi="华文中宋" w:eastAsia="华文中宋" w:cs="华文中宋"/>
          <w:color w:val="auto"/>
          <w:spacing w:val="0"/>
          <w:sz w:val="28"/>
          <w:szCs w:val="28"/>
          <w:u w:val="single"/>
        </w:rPr>
        <w:t xml:space="preserve">           </w:t>
      </w:r>
      <w:r>
        <w:rPr>
          <w:rFonts w:hint="eastAsia" w:ascii="华文中宋" w:hAnsi="华文中宋" w:eastAsia="华文中宋" w:cs="华文中宋"/>
          <w:color w:val="auto"/>
          <w:spacing w:val="0"/>
          <w:sz w:val="28"/>
          <w:szCs w:val="28"/>
        </w:rPr>
        <w:t>项目（项目编号：</w:t>
      </w:r>
      <w:r>
        <w:rPr>
          <w:rFonts w:hint="eastAsia" w:ascii="华文中宋" w:hAnsi="华文中宋" w:eastAsia="华文中宋" w:cs="华文中宋"/>
          <w:color w:val="auto"/>
          <w:spacing w:val="0"/>
          <w:sz w:val="28"/>
          <w:szCs w:val="28"/>
          <w:u w:val="single"/>
        </w:rPr>
        <w:t xml:space="preserve">      </w:t>
      </w:r>
      <w:r>
        <w:rPr>
          <w:rFonts w:hint="eastAsia" w:ascii="华文中宋" w:hAnsi="华文中宋" w:eastAsia="华文中宋" w:cs="华文中宋"/>
          <w:color w:val="auto"/>
          <w:spacing w:val="0"/>
          <w:kern w:val="0"/>
          <w:sz w:val="28"/>
          <w:szCs w:val="28"/>
          <w:u w:val="single"/>
        </w:rPr>
        <w:t xml:space="preserve"> </w:t>
      </w:r>
      <w:r>
        <w:rPr>
          <w:rFonts w:hint="eastAsia" w:ascii="华文中宋" w:hAnsi="华文中宋" w:eastAsia="华文中宋" w:cs="华文中宋"/>
          <w:color w:val="auto"/>
          <w:spacing w:val="0"/>
          <w:sz w:val="28"/>
          <w:szCs w:val="28"/>
          <w:u w:val="single"/>
        </w:rPr>
        <w:t xml:space="preserve"> </w:t>
      </w:r>
      <w:r>
        <w:rPr>
          <w:rFonts w:hint="eastAsia" w:ascii="华文中宋" w:hAnsi="华文中宋" w:eastAsia="华文中宋" w:cs="华文中宋"/>
          <w:color w:val="auto"/>
          <w:spacing w:val="0"/>
          <w:sz w:val="28"/>
          <w:szCs w:val="28"/>
        </w:rPr>
        <w:t>）的采购活动。依据采购文件（招标、谈判、磋商）相关规定，现郑重承诺：我方具有良好的商业信誉和健全的财务会计制度。</w:t>
      </w:r>
    </w:p>
    <w:p w14:paraId="38C70DF0">
      <w:pPr>
        <w:widowControl/>
        <w:snapToGrid w:val="0"/>
        <w:spacing w:line="360" w:lineRule="auto"/>
        <w:ind w:firstLine="480"/>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 xml:space="preserve">以上承诺信息如有虚假或隐瞒，我方愿意承担一切后果，并不再寻求任何旨在减轻或免除法律责任的辩解。 </w:t>
      </w:r>
    </w:p>
    <w:p w14:paraId="6CCE78CD">
      <w:pPr>
        <w:widowControl/>
        <w:snapToGrid w:val="0"/>
        <w:spacing w:line="360" w:lineRule="auto"/>
        <w:ind w:firstLine="480"/>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特此承诺。</w:t>
      </w:r>
    </w:p>
    <w:p w14:paraId="4C75748C">
      <w:pPr>
        <w:widowControl/>
        <w:snapToGrid w:val="0"/>
        <w:spacing w:line="360" w:lineRule="auto"/>
        <w:ind w:firstLine="480"/>
        <w:outlineLvl w:val="9"/>
        <w:rPr>
          <w:rFonts w:hint="eastAsia" w:ascii="华文中宋" w:hAnsi="华文中宋" w:eastAsia="华文中宋" w:cs="华文中宋"/>
          <w:color w:val="auto"/>
          <w:spacing w:val="0"/>
          <w:sz w:val="24"/>
          <w:szCs w:val="24"/>
        </w:rPr>
      </w:pPr>
    </w:p>
    <w:p w14:paraId="5A459F06">
      <w:pPr>
        <w:snapToGrid w:val="0"/>
        <w:spacing w:line="480" w:lineRule="exact"/>
        <w:outlineLvl w:val="9"/>
        <w:rPr>
          <w:rFonts w:hint="eastAsia" w:ascii="华文中宋" w:hAnsi="华文中宋" w:eastAsia="华文中宋" w:cs="华文中宋"/>
          <w:color w:val="auto"/>
          <w:spacing w:val="0"/>
          <w:sz w:val="24"/>
          <w:szCs w:val="24"/>
        </w:rPr>
      </w:pPr>
    </w:p>
    <w:p w14:paraId="42A2C9BC">
      <w:pPr>
        <w:snapToGrid w:val="0"/>
        <w:spacing w:line="480" w:lineRule="exact"/>
        <w:outlineLvl w:val="9"/>
        <w:rPr>
          <w:rFonts w:hint="eastAsia" w:ascii="华文中宋" w:hAnsi="华文中宋" w:eastAsia="华文中宋" w:cs="华文中宋"/>
          <w:color w:val="auto"/>
          <w:sz w:val="28"/>
          <w:szCs w:val="28"/>
        </w:rPr>
      </w:pPr>
    </w:p>
    <w:p w14:paraId="51B48FAA">
      <w:pPr>
        <w:snapToGrid w:val="0"/>
        <w:spacing w:line="480" w:lineRule="exact"/>
        <w:ind w:firstLine="3640" w:firstLineChars="1300"/>
        <w:outlineLvl w:val="9"/>
        <w:rPr>
          <w:rFonts w:hint="eastAsia" w:ascii="华文中宋" w:hAnsi="华文中宋" w:eastAsia="华文中宋" w:cs="华文中宋"/>
          <w:color w:val="auto"/>
          <w:sz w:val="28"/>
          <w:szCs w:val="28"/>
        </w:rPr>
      </w:pPr>
    </w:p>
    <w:p w14:paraId="1DB66BB4">
      <w:pPr>
        <w:snapToGrid w:val="0"/>
        <w:spacing w:line="480" w:lineRule="exact"/>
        <w:ind w:firstLine="3640" w:firstLineChars="13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磋商供应商名称：</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（电子签章）</w:t>
      </w:r>
    </w:p>
    <w:p w14:paraId="4616F07C">
      <w:pPr>
        <w:spacing w:line="480" w:lineRule="exact"/>
        <w:ind w:firstLine="48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                      </w:t>
      </w:r>
      <w:r>
        <w:rPr>
          <w:rFonts w:hint="eastAsia" w:ascii="华文中宋" w:hAnsi="华文中宋" w:eastAsia="华文中宋" w:cs="华文中宋"/>
          <w:color w:val="auto"/>
          <w:sz w:val="28"/>
          <w:szCs w:val="28"/>
          <w:lang w:val="en-US" w:eastAsia="zh-CN"/>
        </w:rPr>
        <w:t xml:space="preserve"> </w:t>
      </w:r>
      <w:r>
        <w:rPr>
          <w:rFonts w:hint="eastAsia" w:ascii="华文中宋" w:hAnsi="华文中宋" w:eastAsia="华文中宋" w:cs="华文中宋"/>
          <w:color w:val="auto"/>
          <w:sz w:val="28"/>
          <w:szCs w:val="28"/>
        </w:rPr>
        <w:t>日      期：</w:t>
      </w:r>
    </w:p>
    <w:p w14:paraId="2D6180B6">
      <w:pPr>
        <w:spacing w:line="360" w:lineRule="auto"/>
        <w:ind w:firstLine="560" w:firstLineChars="200"/>
        <w:outlineLvl w:val="9"/>
        <w:rPr>
          <w:rFonts w:hint="eastAsia" w:ascii="华文中宋" w:hAnsi="华文中宋" w:eastAsia="华文中宋" w:cs="华文中宋"/>
          <w:color w:val="auto"/>
          <w:sz w:val="28"/>
          <w:szCs w:val="28"/>
        </w:rPr>
      </w:pPr>
    </w:p>
    <w:p w14:paraId="2143F49E">
      <w:pPr>
        <w:spacing w:line="360" w:lineRule="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b/>
          <w:bCs/>
          <w:color w:val="auto"/>
          <w:sz w:val="28"/>
          <w:szCs w:val="28"/>
        </w:rPr>
        <w:br w:type="page"/>
      </w:r>
      <w:r>
        <w:rPr>
          <w:rFonts w:hint="eastAsia" w:ascii="华文中宋" w:hAnsi="华文中宋" w:eastAsia="华文中宋" w:cs="华文中宋"/>
          <w:b/>
          <w:color w:val="auto"/>
          <w:sz w:val="28"/>
          <w:szCs w:val="28"/>
        </w:rPr>
        <w:t>（</w:t>
      </w:r>
      <w:r>
        <w:rPr>
          <w:rFonts w:hint="eastAsia" w:ascii="华文中宋" w:hAnsi="华文中宋" w:eastAsia="华文中宋" w:cs="华文中宋"/>
          <w:b/>
          <w:color w:val="auto"/>
          <w:sz w:val="28"/>
          <w:szCs w:val="28"/>
          <w:lang w:val="en-US" w:eastAsia="zh-CN"/>
        </w:rPr>
        <w:t>五</w:t>
      </w:r>
      <w:r>
        <w:rPr>
          <w:rFonts w:hint="eastAsia" w:ascii="华文中宋" w:hAnsi="华文中宋" w:eastAsia="华文中宋" w:cs="华文中宋"/>
          <w:b/>
          <w:color w:val="auto"/>
          <w:sz w:val="28"/>
          <w:szCs w:val="28"/>
        </w:rPr>
        <w:t>）具有履行合同所必需的设备和专业技术能力</w:t>
      </w:r>
      <w:r>
        <w:rPr>
          <w:rFonts w:hint="eastAsia" w:ascii="华文中宋" w:hAnsi="华文中宋" w:eastAsia="华文中宋" w:cs="华文中宋"/>
          <w:b/>
          <w:color w:val="auto"/>
          <w:sz w:val="28"/>
          <w:szCs w:val="28"/>
          <w:lang w:val="en-US" w:eastAsia="zh-CN"/>
        </w:rPr>
        <w:t>的承诺函</w:t>
      </w:r>
    </w:p>
    <w:p w14:paraId="05957122">
      <w:pPr>
        <w:spacing w:line="360" w:lineRule="auto"/>
        <w:outlineLvl w:val="9"/>
        <w:rPr>
          <w:rFonts w:hint="eastAsia" w:ascii="华文中宋" w:hAnsi="华文中宋" w:eastAsia="华文中宋" w:cs="华文中宋"/>
          <w:color w:val="auto"/>
          <w:sz w:val="28"/>
          <w:szCs w:val="28"/>
          <w:u w:val="single"/>
        </w:rPr>
      </w:pPr>
    </w:p>
    <w:p w14:paraId="323F22DE">
      <w:pPr>
        <w:outlineLvl w:val="9"/>
        <w:rPr>
          <w:rFonts w:hint="eastAsia" w:ascii="华文中宋" w:hAnsi="华文中宋" w:eastAsia="华文中宋" w:cs="华文中宋"/>
          <w:color w:val="auto"/>
          <w:spacing w:val="0"/>
          <w:sz w:val="28"/>
          <w:szCs w:val="28"/>
          <w:u w:val="single"/>
        </w:rPr>
      </w:pPr>
      <w:r>
        <w:rPr>
          <w:rFonts w:hint="eastAsia" w:ascii="华文中宋" w:hAnsi="华文中宋" w:eastAsia="华文中宋" w:cs="华文中宋"/>
          <w:color w:val="auto"/>
          <w:spacing w:val="0"/>
          <w:sz w:val="28"/>
          <w:szCs w:val="28"/>
          <w:u w:val="single"/>
        </w:rPr>
        <w:t xml:space="preserve">  采购</w:t>
      </w:r>
      <w:r>
        <w:rPr>
          <w:rFonts w:hint="eastAsia" w:ascii="华文中宋" w:hAnsi="华文中宋" w:eastAsia="华文中宋" w:cs="华文中宋"/>
          <w:color w:val="auto"/>
          <w:spacing w:val="0"/>
          <w:sz w:val="28"/>
          <w:szCs w:val="28"/>
          <w:u w:val="single"/>
          <w:lang w:val="en-US" w:eastAsia="zh-CN"/>
        </w:rPr>
        <w:t>人</w:t>
      </w:r>
      <w:r>
        <w:rPr>
          <w:rFonts w:hint="eastAsia" w:ascii="华文中宋" w:hAnsi="华文中宋" w:eastAsia="华文中宋" w:cs="华文中宋"/>
          <w:color w:val="auto"/>
          <w:spacing w:val="0"/>
          <w:sz w:val="28"/>
          <w:szCs w:val="28"/>
          <w:u w:val="single"/>
        </w:rPr>
        <w:t>名称  ：</w:t>
      </w:r>
    </w:p>
    <w:p w14:paraId="1C1B8882">
      <w:pPr>
        <w:snapToGrid w:val="0"/>
        <w:spacing w:line="360" w:lineRule="auto"/>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 xml:space="preserve">   </w:t>
      </w:r>
    </w:p>
    <w:p w14:paraId="3D322BB3">
      <w:pPr>
        <w:snapToGrid w:val="0"/>
        <w:spacing w:line="360" w:lineRule="auto"/>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 xml:space="preserve"> </w:t>
      </w:r>
      <w:r>
        <w:rPr>
          <w:rFonts w:hint="eastAsia" w:ascii="华文中宋" w:hAnsi="华文中宋" w:eastAsia="华文中宋" w:cs="华文中宋"/>
          <w:color w:val="auto"/>
          <w:spacing w:val="0"/>
          <w:sz w:val="28"/>
          <w:szCs w:val="28"/>
          <w:lang w:val="en-US" w:eastAsia="zh-CN"/>
        </w:rPr>
        <w:t xml:space="preserve">   </w:t>
      </w:r>
      <w:r>
        <w:rPr>
          <w:rFonts w:hint="eastAsia" w:ascii="华文中宋" w:hAnsi="华文中宋" w:eastAsia="华文中宋" w:cs="华文中宋"/>
          <w:color w:val="auto"/>
          <w:spacing w:val="0"/>
          <w:sz w:val="28"/>
          <w:szCs w:val="28"/>
        </w:rPr>
        <w:t xml:space="preserve"> 本磋商供应商现参与</w:t>
      </w:r>
      <w:r>
        <w:rPr>
          <w:rFonts w:hint="eastAsia" w:ascii="华文中宋" w:hAnsi="华文中宋" w:eastAsia="华文中宋" w:cs="华文中宋"/>
          <w:color w:val="auto"/>
          <w:spacing w:val="0"/>
          <w:sz w:val="28"/>
          <w:szCs w:val="28"/>
          <w:u w:val="single"/>
        </w:rPr>
        <w:t xml:space="preserve">                 </w:t>
      </w:r>
      <w:r>
        <w:rPr>
          <w:rFonts w:hint="eastAsia" w:ascii="华文中宋" w:hAnsi="华文中宋" w:eastAsia="华文中宋" w:cs="华文中宋"/>
          <w:color w:val="auto"/>
          <w:spacing w:val="0"/>
          <w:sz w:val="28"/>
          <w:szCs w:val="28"/>
        </w:rPr>
        <w:t>项目（项目编号：</w:t>
      </w:r>
      <w:r>
        <w:rPr>
          <w:rFonts w:hint="eastAsia" w:ascii="华文中宋" w:hAnsi="华文中宋" w:eastAsia="华文中宋" w:cs="华文中宋"/>
          <w:color w:val="auto"/>
          <w:spacing w:val="0"/>
          <w:sz w:val="28"/>
          <w:szCs w:val="28"/>
          <w:u w:val="single"/>
        </w:rPr>
        <w:t xml:space="preserve">            </w:t>
      </w:r>
      <w:r>
        <w:rPr>
          <w:rFonts w:hint="eastAsia" w:ascii="华文中宋" w:hAnsi="华文中宋" w:eastAsia="华文中宋" w:cs="华文中宋"/>
          <w:color w:val="auto"/>
          <w:spacing w:val="0"/>
          <w:sz w:val="28"/>
          <w:szCs w:val="28"/>
        </w:rPr>
        <w:t>）的采购活动，依据采购文件（招标、谈判、磋商）相关规定，现郑重承诺：</w:t>
      </w:r>
      <w:r>
        <w:rPr>
          <w:rFonts w:hint="eastAsia" w:ascii="华文中宋" w:hAnsi="华文中宋" w:eastAsia="华文中宋" w:cs="华文中宋"/>
          <w:color w:val="auto"/>
          <w:spacing w:val="0"/>
          <w:sz w:val="28"/>
          <w:szCs w:val="28"/>
          <w:lang w:val="en-US" w:eastAsia="zh-CN"/>
        </w:rPr>
        <w:t>我方</w:t>
      </w:r>
      <w:r>
        <w:rPr>
          <w:rFonts w:hint="eastAsia" w:ascii="华文中宋" w:hAnsi="华文中宋" w:eastAsia="华文中宋" w:cs="华文中宋"/>
          <w:color w:val="auto"/>
          <w:spacing w:val="0"/>
          <w:sz w:val="28"/>
          <w:szCs w:val="28"/>
        </w:rPr>
        <w:t>具</w:t>
      </w:r>
      <w:r>
        <w:rPr>
          <w:rFonts w:hint="eastAsia" w:ascii="华文中宋" w:hAnsi="华文中宋" w:eastAsia="华文中宋" w:cs="华文中宋"/>
          <w:color w:val="auto"/>
          <w:spacing w:val="0"/>
          <w:sz w:val="28"/>
          <w:szCs w:val="28"/>
          <w:lang w:val="en-US" w:eastAsia="zh-CN"/>
        </w:rPr>
        <w:t>有</w:t>
      </w:r>
      <w:r>
        <w:rPr>
          <w:rFonts w:hint="eastAsia" w:ascii="华文中宋" w:hAnsi="华文中宋" w:eastAsia="华文中宋" w:cs="华文中宋"/>
          <w:color w:val="auto"/>
          <w:spacing w:val="0"/>
          <w:sz w:val="28"/>
          <w:szCs w:val="28"/>
        </w:rPr>
        <w:t>履行合同所必需的</w:t>
      </w:r>
      <w:r>
        <w:rPr>
          <w:rFonts w:hint="eastAsia" w:ascii="华文中宋" w:hAnsi="华文中宋" w:eastAsia="华文中宋" w:cs="华文中宋"/>
          <w:color w:val="auto"/>
          <w:spacing w:val="0"/>
          <w:sz w:val="28"/>
          <w:szCs w:val="28"/>
          <w:lang w:val="en-US" w:eastAsia="zh-CN"/>
        </w:rPr>
        <w:t>设备和</w:t>
      </w:r>
      <w:r>
        <w:rPr>
          <w:rFonts w:hint="eastAsia" w:ascii="华文中宋" w:hAnsi="华文中宋" w:eastAsia="华文中宋" w:cs="华文中宋"/>
          <w:color w:val="auto"/>
          <w:spacing w:val="0"/>
          <w:sz w:val="28"/>
          <w:szCs w:val="28"/>
        </w:rPr>
        <w:t>专业技术能力。</w:t>
      </w:r>
    </w:p>
    <w:p w14:paraId="2A5E8B0A">
      <w:pPr>
        <w:widowControl/>
        <w:snapToGrid w:val="0"/>
        <w:spacing w:line="360" w:lineRule="auto"/>
        <w:ind w:firstLine="560" w:firstLineChars="200"/>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 xml:space="preserve">以上承诺信息如有虚假或隐瞒，我方愿意承担一切后果，并不再寻求任何旨在减轻或免除法律责任的辩解。 </w:t>
      </w:r>
    </w:p>
    <w:p w14:paraId="24431BD3">
      <w:pPr>
        <w:widowControl/>
        <w:snapToGrid w:val="0"/>
        <w:spacing w:line="360" w:lineRule="auto"/>
        <w:ind w:firstLine="480"/>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特此承诺。</w:t>
      </w:r>
    </w:p>
    <w:p w14:paraId="630EA2D6">
      <w:pPr>
        <w:snapToGrid w:val="0"/>
        <w:spacing w:line="360" w:lineRule="auto"/>
        <w:outlineLvl w:val="9"/>
        <w:rPr>
          <w:rFonts w:hint="eastAsia" w:ascii="华文中宋" w:hAnsi="华文中宋" w:eastAsia="华文中宋" w:cs="华文中宋"/>
          <w:color w:val="auto"/>
          <w:spacing w:val="0"/>
          <w:sz w:val="24"/>
          <w:szCs w:val="24"/>
        </w:rPr>
      </w:pPr>
    </w:p>
    <w:p w14:paraId="4DFA3CF7">
      <w:pPr>
        <w:snapToGrid w:val="0"/>
        <w:spacing w:line="360" w:lineRule="auto"/>
        <w:jc w:val="right"/>
        <w:outlineLvl w:val="9"/>
        <w:rPr>
          <w:rFonts w:hint="eastAsia" w:ascii="华文中宋" w:hAnsi="华文中宋" w:eastAsia="华文中宋" w:cs="华文中宋"/>
          <w:color w:val="auto"/>
          <w:sz w:val="28"/>
          <w:szCs w:val="28"/>
        </w:rPr>
      </w:pPr>
    </w:p>
    <w:p w14:paraId="37AFFFDE">
      <w:pPr>
        <w:snapToGrid w:val="0"/>
        <w:spacing w:line="360" w:lineRule="auto"/>
        <w:jc w:val="righ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磋商供应商：</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 xml:space="preserve">（电子签章）  </w:t>
      </w:r>
    </w:p>
    <w:p w14:paraId="2E0C1D0B">
      <w:pPr>
        <w:spacing w:line="360" w:lineRule="auto"/>
        <w:outlineLvl w:val="9"/>
        <w:rPr>
          <w:rFonts w:hint="eastAsia" w:ascii="华文中宋" w:hAnsi="华文中宋" w:eastAsia="华文中宋" w:cs="华文中宋"/>
          <w:b/>
          <w:color w:val="auto"/>
          <w:sz w:val="28"/>
          <w:szCs w:val="28"/>
          <w:lang w:val="en-US" w:eastAsia="zh-CN"/>
        </w:rPr>
      </w:pPr>
      <w:r>
        <w:rPr>
          <w:rFonts w:hint="eastAsia" w:ascii="华文中宋" w:hAnsi="华文中宋" w:eastAsia="华文中宋" w:cs="华文中宋"/>
          <w:color w:val="auto"/>
          <w:sz w:val="28"/>
          <w:szCs w:val="28"/>
        </w:rPr>
        <w:t xml:space="preserve">                                 </w:t>
      </w:r>
      <w:r>
        <w:rPr>
          <w:rFonts w:hint="eastAsia" w:ascii="华文中宋" w:hAnsi="华文中宋" w:eastAsia="华文中宋" w:cs="华文中宋"/>
          <w:color w:val="auto"/>
          <w:sz w:val="28"/>
          <w:szCs w:val="28"/>
          <w:lang w:val="en-US" w:eastAsia="zh-CN"/>
        </w:rPr>
        <w:t>日     期：</w:t>
      </w:r>
    </w:p>
    <w:p w14:paraId="3D51CF1B">
      <w:pPr>
        <w:spacing w:line="360" w:lineRule="auto"/>
        <w:ind w:firstLine="561" w:firstLineChars="200"/>
        <w:outlineLvl w:val="9"/>
        <w:rPr>
          <w:rFonts w:hint="default" w:ascii="华文中宋" w:hAnsi="华文中宋" w:eastAsia="华文中宋" w:cs="华文中宋"/>
          <w:b/>
          <w:bCs/>
          <w:color w:val="auto"/>
          <w:sz w:val="28"/>
          <w:szCs w:val="28"/>
          <w:lang w:val="en-US" w:eastAsia="zh-CN"/>
        </w:rPr>
      </w:pPr>
      <w:r>
        <w:rPr>
          <w:rFonts w:hint="eastAsia" w:ascii="华文中宋" w:hAnsi="华文中宋" w:eastAsia="华文中宋" w:cs="华文中宋"/>
          <w:b/>
          <w:color w:val="auto"/>
          <w:sz w:val="28"/>
          <w:szCs w:val="28"/>
        </w:rPr>
        <w:br w:type="page"/>
      </w:r>
      <w:r>
        <w:rPr>
          <w:rFonts w:hint="eastAsia" w:ascii="华文中宋" w:hAnsi="华文中宋" w:eastAsia="华文中宋" w:cs="华文中宋"/>
          <w:b/>
          <w:bCs/>
          <w:color w:val="auto"/>
          <w:sz w:val="28"/>
          <w:szCs w:val="28"/>
        </w:rPr>
        <w:t>（</w:t>
      </w:r>
      <w:r>
        <w:rPr>
          <w:rFonts w:hint="eastAsia" w:ascii="华文中宋" w:hAnsi="华文中宋" w:eastAsia="华文中宋" w:cs="华文中宋"/>
          <w:b/>
          <w:bCs/>
          <w:color w:val="auto"/>
          <w:sz w:val="28"/>
          <w:szCs w:val="28"/>
          <w:lang w:val="en-US" w:eastAsia="zh-CN"/>
        </w:rPr>
        <w:t>六</w:t>
      </w:r>
      <w:r>
        <w:rPr>
          <w:rFonts w:hint="eastAsia" w:ascii="华文中宋" w:hAnsi="华文中宋" w:eastAsia="华文中宋" w:cs="华文中宋"/>
          <w:b/>
          <w:bCs/>
          <w:color w:val="auto"/>
          <w:sz w:val="28"/>
          <w:szCs w:val="28"/>
        </w:rPr>
        <w:t>）有依法缴纳税收</w:t>
      </w:r>
      <w:r>
        <w:rPr>
          <w:rFonts w:hint="eastAsia" w:ascii="华文中宋" w:hAnsi="华文中宋" w:eastAsia="华文中宋" w:cs="华文中宋"/>
          <w:b/>
          <w:bCs/>
          <w:color w:val="auto"/>
          <w:sz w:val="28"/>
          <w:szCs w:val="28"/>
          <w:lang w:val="en-US" w:eastAsia="zh-CN"/>
        </w:rPr>
        <w:t>和社会保障资金</w:t>
      </w:r>
      <w:r>
        <w:rPr>
          <w:rFonts w:hint="eastAsia" w:ascii="华文中宋" w:hAnsi="华文中宋" w:eastAsia="华文中宋" w:cs="华文中宋"/>
          <w:b/>
          <w:bCs/>
          <w:color w:val="auto"/>
          <w:sz w:val="28"/>
          <w:szCs w:val="28"/>
        </w:rPr>
        <w:t>的良好记录</w:t>
      </w:r>
      <w:r>
        <w:rPr>
          <w:rFonts w:hint="eastAsia" w:ascii="华文中宋" w:hAnsi="华文中宋" w:eastAsia="华文中宋" w:cs="华文中宋"/>
          <w:b/>
          <w:bCs/>
          <w:color w:val="auto"/>
          <w:sz w:val="28"/>
          <w:szCs w:val="28"/>
          <w:lang w:val="en-US" w:eastAsia="zh-CN"/>
        </w:rPr>
        <w:t>的承诺函</w:t>
      </w:r>
    </w:p>
    <w:p w14:paraId="626A23DD">
      <w:pPr>
        <w:ind w:firstLine="480"/>
        <w:outlineLvl w:val="9"/>
        <w:rPr>
          <w:rFonts w:hint="eastAsia" w:ascii="华文中宋" w:hAnsi="华文中宋" w:eastAsia="华文中宋" w:cs="华文中宋"/>
          <w:color w:val="auto"/>
          <w:sz w:val="28"/>
          <w:szCs w:val="28"/>
          <w:u w:val="single"/>
        </w:rPr>
      </w:pPr>
    </w:p>
    <w:p w14:paraId="2E171AEC">
      <w:pPr>
        <w:ind w:firstLine="480"/>
        <w:outlineLvl w:val="9"/>
        <w:rPr>
          <w:rFonts w:hint="eastAsia" w:ascii="华文中宋" w:hAnsi="华文中宋" w:eastAsia="华文中宋" w:cs="华文中宋"/>
          <w:color w:val="auto"/>
          <w:spacing w:val="0"/>
          <w:sz w:val="24"/>
          <w:szCs w:val="24"/>
          <w:u w:val="single"/>
        </w:rPr>
      </w:pPr>
    </w:p>
    <w:p w14:paraId="55E0CD2C">
      <w:pPr>
        <w:outlineLvl w:val="9"/>
        <w:rPr>
          <w:rFonts w:hint="eastAsia" w:ascii="华文中宋" w:hAnsi="华文中宋" w:eastAsia="华文中宋" w:cs="华文中宋"/>
          <w:color w:val="auto"/>
          <w:spacing w:val="0"/>
          <w:sz w:val="28"/>
          <w:szCs w:val="28"/>
          <w:u w:val="single"/>
        </w:rPr>
      </w:pPr>
      <w:r>
        <w:rPr>
          <w:rFonts w:hint="eastAsia" w:ascii="华文中宋" w:hAnsi="华文中宋" w:eastAsia="华文中宋" w:cs="华文中宋"/>
          <w:color w:val="auto"/>
          <w:spacing w:val="0"/>
          <w:sz w:val="28"/>
          <w:szCs w:val="28"/>
          <w:u w:val="single"/>
        </w:rPr>
        <w:t xml:space="preserve"> 采购</w:t>
      </w:r>
      <w:r>
        <w:rPr>
          <w:rFonts w:hint="eastAsia" w:ascii="华文中宋" w:hAnsi="华文中宋" w:eastAsia="华文中宋" w:cs="华文中宋"/>
          <w:color w:val="auto"/>
          <w:spacing w:val="0"/>
          <w:sz w:val="28"/>
          <w:szCs w:val="28"/>
          <w:u w:val="single"/>
          <w:lang w:val="en-US" w:eastAsia="zh-CN"/>
        </w:rPr>
        <w:t>人</w:t>
      </w:r>
      <w:r>
        <w:rPr>
          <w:rFonts w:hint="eastAsia" w:ascii="华文中宋" w:hAnsi="华文中宋" w:eastAsia="华文中宋" w:cs="华文中宋"/>
          <w:color w:val="auto"/>
          <w:spacing w:val="0"/>
          <w:sz w:val="28"/>
          <w:szCs w:val="28"/>
          <w:u w:val="single"/>
        </w:rPr>
        <w:t>名称 ：</w:t>
      </w:r>
    </w:p>
    <w:p w14:paraId="43C4A332">
      <w:pPr>
        <w:widowControl/>
        <w:snapToGrid w:val="0"/>
        <w:spacing w:line="360" w:lineRule="auto"/>
        <w:ind w:firstLine="480"/>
        <w:outlineLvl w:val="9"/>
        <w:rPr>
          <w:rFonts w:hint="eastAsia" w:ascii="华文中宋" w:hAnsi="华文中宋" w:eastAsia="华文中宋" w:cs="华文中宋"/>
          <w:color w:val="auto"/>
          <w:spacing w:val="0"/>
          <w:sz w:val="28"/>
          <w:szCs w:val="28"/>
        </w:rPr>
      </w:pPr>
    </w:p>
    <w:p w14:paraId="53AFD313">
      <w:pPr>
        <w:widowControl/>
        <w:snapToGrid w:val="0"/>
        <w:spacing w:line="360" w:lineRule="auto"/>
        <w:ind w:firstLine="480"/>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本供应商现参与贵公司组织的</w:t>
      </w:r>
      <w:r>
        <w:rPr>
          <w:rFonts w:hint="eastAsia" w:ascii="华文中宋" w:hAnsi="华文中宋" w:eastAsia="华文中宋" w:cs="华文中宋"/>
          <w:color w:val="auto"/>
          <w:spacing w:val="0"/>
          <w:sz w:val="28"/>
          <w:szCs w:val="28"/>
          <w:u w:val="single"/>
        </w:rPr>
        <w:t xml:space="preserve">                           </w:t>
      </w:r>
      <w:r>
        <w:rPr>
          <w:rFonts w:hint="eastAsia" w:ascii="华文中宋" w:hAnsi="华文中宋" w:eastAsia="华文中宋" w:cs="华文中宋"/>
          <w:color w:val="auto"/>
          <w:spacing w:val="0"/>
          <w:sz w:val="28"/>
          <w:szCs w:val="28"/>
        </w:rPr>
        <w:t>项目（项目编号：</w:t>
      </w:r>
      <w:r>
        <w:rPr>
          <w:rFonts w:hint="eastAsia" w:ascii="华文中宋" w:hAnsi="华文中宋" w:eastAsia="华文中宋" w:cs="华文中宋"/>
          <w:color w:val="auto"/>
          <w:spacing w:val="0"/>
          <w:sz w:val="28"/>
          <w:szCs w:val="28"/>
          <w:u w:val="single"/>
        </w:rPr>
        <w:t xml:space="preserve">                    </w:t>
      </w:r>
      <w:r>
        <w:rPr>
          <w:rFonts w:hint="eastAsia" w:ascii="华文中宋" w:hAnsi="华文中宋" w:eastAsia="华文中宋" w:cs="华文中宋"/>
          <w:color w:val="auto"/>
          <w:spacing w:val="0"/>
          <w:sz w:val="28"/>
          <w:szCs w:val="28"/>
        </w:rPr>
        <w:t>）的采购活动。依据采购文件（招标、谈判、磋商）相关规定，现郑重承诺：我方具有依法缴纳税收</w:t>
      </w:r>
      <w:r>
        <w:rPr>
          <w:rFonts w:hint="eastAsia" w:ascii="华文中宋" w:hAnsi="华文中宋" w:eastAsia="华文中宋" w:cs="华文中宋"/>
          <w:color w:val="auto"/>
          <w:spacing w:val="0"/>
          <w:sz w:val="28"/>
          <w:szCs w:val="28"/>
          <w:lang w:val="en-US" w:eastAsia="zh-CN"/>
        </w:rPr>
        <w:t>和社会保障资金</w:t>
      </w:r>
      <w:r>
        <w:rPr>
          <w:rFonts w:hint="eastAsia" w:ascii="华文中宋" w:hAnsi="华文中宋" w:eastAsia="华文中宋" w:cs="华文中宋"/>
          <w:color w:val="auto"/>
          <w:spacing w:val="0"/>
          <w:sz w:val="28"/>
          <w:szCs w:val="28"/>
        </w:rPr>
        <w:t>的良好记录。</w:t>
      </w:r>
    </w:p>
    <w:p w14:paraId="04943FF8">
      <w:pPr>
        <w:widowControl/>
        <w:snapToGrid w:val="0"/>
        <w:spacing w:line="360" w:lineRule="auto"/>
        <w:ind w:firstLine="480"/>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 xml:space="preserve">以上承诺信息如有虚假或隐瞒，我方愿意承担一切后果，并不再寻求任何旨在减轻或免除法律责任的辩解。 </w:t>
      </w:r>
    </w:p>
    <w:p w14:paraId="2942C239">
      <w:pPr>
        <w:widowControl/>
        <w:snapToGrid w:val="0"/>
        <w:spacing w:line="360" w:lineRule="auto"/>
        <w:ind w:firstLine="480"/>
        <w:outlineLvl w:val="9"/>
        <w:rPr>
          <w:rFonts w:hint="eastAsia" w:ascii="华文中宋" w:hAnsi="华文中宋" w:eastAsia="华文中宋" w:cs="华文中宋"/>
          <w:color w:val="auto"/>
          <w:spacing w:val="0"/>
          <w:sz w:val="28"/>
          <w:szCs w:val="28"/>
        </w:rPr>
      </w:pPr>
      <w:r>
        <w:rPr>
          <w:rFonts w:hint="eastAsia" w:ascii="华文中宋" w:hAnsi="华文中宋" w:eastAsia="华文中宋" w:cs="华文中宋"/>
          <w:color w:val="auto"/>
          <w:spacing w:val="0"/>
          <w:sz w:val="28"/>
          <w:szCs w:val="28"/>
        </w:rPr>
        <w:t>特此承诺。</w:t>
      </w:r>
    </w:p>
    <w:p w14:paraId="29DDC65F">
      <w:pPr>
        <w:outlineLvl w:val="9"/>
        <w:rPr>
          <w:rFonts w:hint="eastAsia" w:ascii="华文中宋" w:hAnsi="华文中宋" w:eastAsia="华文中宋" w:cs="华文中宋"/>
          <w:color w:val="auto"/>
          <w:sz w:val="28"/>
          <w:szCs w:val="28"/>
        </w:rPr>
      </w:pPr>
    </w:p>
    <w:p w14:paraId="648D71CE">
      <w:pPr>
        <w:pStyle w:val="14"/>
        <w:rPr>
          <w:rFonts w:hint="eastAsia"/>
          <w:color w:val="auto"/>
        </w:rPr>
      </w:pPr>
    </w:p>
    <w:p w14:paraId="2339DA57">
      <w:pPr>
        <w:snapToGrid w:val="0"/>
        <w:spacing w:line="480" w:lineRule="exact"/>
        <w:ind w:firstLine="3640" w:firstLineChars="13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磋商供应商名称：</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（电子签章）</w:t>
      </w:r>
    </w:p>
    <w:p w14:paraId="13BAA69C">
      <w:pPr>
        <w:spacing w:line="480" w:lineRule="exact"/>
        <w:ind w:firstLine="48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                      日      期：</w:t>
      </w:r>
    </w:p>
    <w:p w14:paraId="0FC477EB">
      <w:pPr>
        <w:ind w:firstLine="561" w:firstLineChars="200"/>
        <w:outlineLvl w:val="9"/>
        <w:rPr>
          <w:rFonts w:hint="eastAsia" w:ascii="华文中宋" w:hAnsi="华文中宋" w:eastAsia="华文中宋" w:cs="华文中宋"/>
          <w:b/>
          <w:color w:val="auto"/>
          <w:spacing w:val="20"/>
          <w:sz w:val="28"/>
          <w:szCs w:val="28"/>
        </w:rPr>
      </w:pPr>
      <w:r>
        <w:rPr>
          <w:rFonts w:hint="eastAsia" w:ascii="华文中宋" w:hAnsi="华文中宋" w:eastAsia="华文中宋" w:cs="华文中宋"/>
          <w:b/>
          <w:color w:val="auto"/>
          <w:sz w:val="28"/>
          <w:szCs w:val="28"/>
        </w:rPr>
        <w:br w:type="page"/>
      </w:r>
      <w:r>
        <w:rPr>
          <w:rFonts w:hint="eastAsia" w:ascii="华文中宋" w:hAnsi="华文中宋" w:eastAsia="华文中宋" w:cs="华文中宋"/>
          <w:b/>
          <w:color w:val="auto"/>
          <w:sz w:val="28"/>
          <w:szCs w:val="28"/>
        </w:rPr>
        <w:t>（</w:t>
      </w:r>
      <w:r>
        <w:rPr>
          <w:rFonts w:hint="eastAsia" w:ascii="华文中宋" w:hAnsi="华文中宋" w:eastAsia="华文中宋" w:cs="华文中宋"/>
          <w:b/>
          <w:color w:val="auto"/>
          <w:sz w:val="28"/>
          <w:szCs w:val="28"/>
          <w:lang w:val="en-US" w:eastAsia="zh-CN"/>
        </w:rPr>
        <w:t>七</w:t>
      </w:r>
      <w:r>
        <w:rPr>
          <w:rFonts w:hint="eastAsia" w:ascii="华文中宋" w:hAnsi="华文中宋" w:eastAsia="华文中宋" w:cs="华文中宋"/>
          <w:b/>
          <w:color w:val="auto"/>
          <w:sz w:val="28"/>
          <w:szCs w:val="28"/>
        </w:rPr>
        <w:t>）参加政府采购活动前三年，在经营活动中没有重大违法记录格式</w:t>
      </w:r>
    </w:p>
    <w:p w14:paraId="5C2E8D36">
      <w:pPr>
        <w:spacing w:line="360" w:lineRule="auto"/>
        <w:jc w:val="center"/>
        <w:outlineLvl w:val="9"/>
        <w:rPr>
          <w:rFonts w:hint="eastAsia" w:ascii="华文中宋" w:hAnsi="华文中宋" w:eastAsia="华文中宋" w:cs="华文中宋"/>
          <w:b/>
          <w:color w:val="auto"/>
          <w:spacing w:val="20"/>
          <w:sz w:val="28"/>
          <w:szCs w:val="28"/>
        </w:rPr>
      </w:pPr>
    </w:p>
    <w:p w14:paraId="589685AF">
      <w:pPr>
        <w:spacing w:line="360" w:lineRule="auto"/>
        <w:jc w:val="center"/>
        <w:rPr>
          <w:rFonts w:hint="eastAsia" w:ascii="华文中宋" w:hAnsi="华文中宋" w:eastAsia="华文中宋" w:cs="华文中宋"/>
          <w:color w:val="auto"/>
          <w:kern w:val="0"/>
          <w:sz w:val="28"/>
          <w:szCs w:val="28"/>
        </w:rPr>
      </w:pPr>
      <w:r>
        <w:rPr>
          <w:rFonts w:hint="eastAsia" w:ascii="华文中宋" w:hAnsi="华文中宋" w:eastAsia="华文中宋" w:cs="华文中宋"/>
          <w:b/>
          <w:color w:val="auto"/>
          <w:sz w:val="28"/>
          <w:szCs w:val="28"/>
        </w:rPr>
        <w:t>参加政府采购活动前三年，在经营活动中没有重大违法记录</w:t>
      </w:r>
      <w:r>
        <w:rPr>
          <w:rFonts w:hint="eastAsia" w:ascii="华文中宋" w:hAnsi="华文中宋" w:eastAsia="华文中宋" w:cs="华文中宋"/>
          <w:b/>
          <w:color w:val="auto"/>
          <w:sz w:val="28"/>
          <w:szCs w:val="28"/>
          <w:lang w:val="en-US" w:eastAsia="zh-CN"/>
        </w:rPr>
        <w:t>的承诺函</w:t>
      </w:r>
    </w:p>
    <w:p w14:paraId="7F487673">
      <w:pPr>
        <w:pStyle w:val="26"/>
        <w:widowControl w:val="0"/>
        <w:adjustRightInd w:val="0"/>
        <w:snapToGrid w:val="0"/>
        <w:spacing w:before="0" w:beforeAutospacing="0" w:after="0" w:afterAutospacing="0" w:line="360" w:lineRule="auto"/>
        <w:jc w:val="both"/>
        <w:outlineLvl w:val="9"/>
        <w:rPr>
          <w:rFonts w:hint="eastAsia" w:ascii="华文中宋" w:hAnsi="华文中宋" w:eastAsia="华文中宋" w:cs="华文中宋"/>
          <w:color w:val="auto"/>
          <w:sz w:val="28"/>
          <w:szCs w:val="28"/>
        </w:rPr>
      </w:pPr>
    </w:p>
    <w:p w14:paraId="3D3145DC">
      <w:pPr>
        <w:pStyle w:val="26"/>
        <w:widowControl w:val="0"/>
        <w:adjustRightInd w:val="0"/>
        <w:snapToGrid w:val="0"/>
        <w:spacing w:before="0" w:beforeAutospacing="0" w:after="0" w:afterAutospacing="0" w:line="360" w:lineRule="auto"/>
        <w:ind w:firstLine="560" w:firstLineChars="200"/>
        <w:jc w:val="both"/>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本磋商供应商现参与项目</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（项目编号：</w:t>
      </w:r>
      <w:r>
        <w:rPr>
          <w:rFonts w:hint="eastAsia" w:ascii="华文中宋" w:hAnsi="华文中宋" w:eastAsia="华文中宋" w:cs="华文中宋"/>
          <w:color w:val="auto"/>
          <w:sz w:val="28"/>
          <w:szCs w:val="28"/>
          <w:u w:val="single"/>
        </w:rPr>
        <w:t xml:space="preserve">           </w:t>
      </w:r>
      <w:r>
        <w:rPr>
          <w:rFonts w:hint="eastAsia" w:ascii="华文中宋" w:hAnsi="华文中宋" w:eastAsia="华文中宋" w:cs="华文中宋"/>
          <w:color w:val="auto"/>
          <w:sz w:val="28"/>
          <w:szCs w:val="28"/>
        </w:rPr>
        <w:t>）的采购活动，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0519F2C4">
      <w:pPr>
        <w:pStyle w:val="26"/>
        <w:widowControl w:val="0"/>
        <w:adjustRightInd w:val="0"/>
        <w:snapToGrid w:val="0"/>
        <w:spacing w:before="0" w:beforeAutospacing="0" w:after="0" w:afterAutospacing="0" w:line="360" w:lineRule="auto"/>
        <w:ind w:firstLine="560" w:firstLineChars="200"/>
        <w:jc w:val="both"/>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如上述声明不真实，愿意按照政府采购有关法律法规的规定接受处罚。</w:t>
      </w:r>
    </w:p>
    <w:p w14:paraId="5F478591">
      <w:pPr>
        <w:pStyle w:val="26"/>
        <w:widowControl w:val="0"/>
        <w:adjustRightInd w:val="0"/>
        <w:snapToGrid w:val="0"/>
        <w:spacing w:before="0" w:beforeAutospacing="0" w:after="0" w:afterAutospacing="0" w:line="360" w:lineRule="auto"/>
        <w:ind w:firstLine="560" w:firstLineChars="200"/>
        <w:jc w:val="both"/>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特此声明</w:t>
      </w:r>
    </w:p>
    <w:p w14:paraId="4D20A0F3">
      <w:pPr>
        <w:spacing w:line="360" w:lineRule="auto"/>
        <w:ind w:left="378" w:hanging="420" w:hangingChars="150"/>
        <w:jc w:val="righ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  磋商供应商：（</w:t>
      </w:r>
      <w:r>
        <w:rPr>
          <w:rFonts w:hint="eastAsia" w:ascii="华文中宋" w:hAnsi="华文中宋" w:eastAsia="华文中宋" w:cs="华文中宋"/>
          <w:color w:val="auto"/>
          <w:spacing w:val="20"/>
          <w:sz w:val="28"/>
          <w:szCs w:val="28"/>
        </w:rPr>
        <w:t>电子签章</w:t>
      </w:r>
      <w:r>
        <w:rPr>
          <w:rFonts w:hint="eastAsia" w:ascii="华文中宋" w:hAnsi="华文中宋" w:eastAsia="华文中宋" w:cs="华文中宋"/>
          <w:color w:val="auto"/>
          <w:sz w:val="28"/>
          <w:szCs w:val="28"/>
        </w:rPr>
        <w:t xml:space="preserve">）                                           </w:t>
      </w:r>
    </w:p>
    <w:p w14:paraId="67385370">
      <w:pPr>
        <w:spacing w:line="360" w:lineRule="auto"/>
        <w:ind w:left="378" w:hanging="420" w:hangingChars="150"/>
        <w:jc w:val="righ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年  月  日</w:t>
      </w:r>
    </w:p>
    <w:p w14:paraId="594B758C">
      <w:pPr>
        <w:spacing w:line="360" w:lineRule="auto"/>
        <w:ind w:firstLine="561" w:firstLineChars="200"/>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br w:type="page"/>
      </w:r>
      <w:r>
        <w:rPr>
          <w:rFonts w:hint="eastAsia" w:ascii="华文中宋" w:hAnsi="华文中宋" w:eastAsia="华文中宋" w:cs="华文中宋"/>
          <w:b/>
          <w:color w:val="auto"/>
          <w:sz w:val="28"/>
          <w:szCs w:val="28"/>
        </w:rPr>
        <w:t>（</w:t>
      </w:r>
      <w:r>
        <w:rPr>
          <w:rFonts w:hint="eastAsia" w:ascii="华文中宋" w:hAnsi="华文中宋" w:eastAsia="华文中宋" w:cs="华文中宋"/>
          <w:b/>
          <w:color w:val="auto"/>
          <w:sz w:val="28"/>
          <w:szCs w:val="28"/>
          <w:lang w:val="en-US" w:eastAsia="zh-CN"/>
        </w:rPr>
        <w:t>八</w:t>
      </w:r>
      <w:r>
        <w:rPr>
          <w:rFonts w:hint="eastAsia" w:ascii="华文中宋" w:hAnsi="华文中宋" w:eastAsia="华文中宋" w:cs="华文中宋"/>
          <w:b/>
          <w:color w:val="auto"/>
          <w:sz w:val="28"/>
          <w:szCs w:val="28"/>
        </w:rPr>
        <w:t>）本项目其他特定资格条件</w:t>
      </w:r>
    </w:p>
    <w:p w14:paraId="1D5BE370">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8"/>
          <w:szCs w:val="28"/>
        </w:rPr>
        <w:t>按照本文件第二部分中序号14“资格证明文件”中第</w:t>
      </w:r>
      <w:r>
        <w:rPr>
          <w:rFonts w:hint="eastAsia" w:ascii="华文中宋" w:hAnsi="华文中宋" w:eastAsia="华文中宋" w:cs="华文中宋"/>
          <w:color w:val="auto"/>
          <w:sz w:val="28"/>
          <w:szCs w:val="28"/>
          <w:lang w:val="en-US" w:eastAsia="zh-CN"/>
        </w:rPr>
        <w:t>8</w:t>
      </w:r>
      <w:r>
        <w:rPr>
          <w:rFonts w:hint="eastAsia" w:ascii="华文中宋" w:hAnsi="华文中宋" w:eastAsia="华文中宋" w:cs="华文中宋"/>
          <w:color w:val="auto"/>
          <w:sz w:val="28"/>
          <w:szCs w:val="28"/>
        </w:rPr>
        <w:t>条的规定提交相关证明文件扫描件；</w:t>
      </w:r>
    </w:p>
    <w:p w14:paraId="363C4193">
      <w:pPr>
        <w:spacing w:line="360" w:lineRule="auto"/>
        <w:ind w:firstLine="480" w:firstLineChars="200"/>
        <w:outlineLvl w:val="9"/>
        <w:rPr>
          <w:rFonts w:hint="eastAsia" w:ascii="华文中宋" w:hAnsi="华文中宋" w:eastAsia="华文中宋" w:cs="华文中宋"/>
          <w:b/>
          <w:color w:val="auto"/>
          <w:sz w:val="24"/>
          <w:szCs w:val="24"/>
        </w:rPr>
      </w:pPr>
    </w:p>
    <w:p w14:paraId="140F83F6">
      <w:pPr>
        <w:spacing w:line="360" w:lineRule="auto"/>
        <w:ind w:firstLine="480" w:firstLineChars="200"/>
        <w:outlineLvl w:val="9"/>
        <w:rPr>
          <w:rFonts w:hint="eastAsia" w:ascii="华文中宋" w:hAnsi="华文中宋" w:eastAsia="华文中宋" w:cs="华文中宋"/>
          <w:b/>
          <w:color w:val="auto"/>
          <w:sz w:val="24"/>
          <w:szCs w:val="24"/>
        </w:rPr>
      </w:pPr>
    </w:p>
    <w:p w14:paraId="5DA3A840">
      <w:pPr>
        <w:spacing w:line="360" w:lineRule="auto"/>
        <w:ind w:firstLine="480" w:firstLineChars="200"/>
        <w:outlineLvl w:val="9"/>
        <w:rPr>
          <w:rFonts w:hint="eastAsia" w:ascii="华文中宋" w:hAnsi="华文中宋" w:eastAsia="华文中宋" w:cs="华文中宋"/>
          <w:b/>
          <w:color w:val="auto"/>
          <w:sz w:val="24"/>
          <w:szCs w:val="24"/>
        </w:rPr>
      </w:pPr>
    </w:p>
    <w:p w14:paraId="6BAD71C4">
      <w:pPr>
        <w:spacing w:line="360" w:lineRule="auto"/>
        <w:ind w:firstLine="480" w:firstLineChars="200"/>
        <w:outlineLvl w:val="9"/>
        <w:rPr>
          <w:rFonts w:hint="eastAsia" w:ascii="华文中宋" w:hAnsi="华文中宋" w:eastAsia="华文中宋" w:cs="华文中宋"/>
          <w:b/>
          <w:color w:val="auto"/>
          <w:sz w:val="24"/>
          <w:szCs w:val="24"/>
        </w:rPr>
      </w:pPr>
    </w:p>
    <w:p w14:paraId="49E8ABCF">
      <w:pPr>
        <w:spacing w:line="360" w:lineRule="auto"/>
        <w:ind w:firstLine="480" w:firstLineChars="200"/>
        <w:outlineLvl w:val="9"/>
        <w:rPr>
          <w:rFonts w:hint="eastAsia" w:ascii="华文中宋" w:hAnsi="华文中宋" w:eastAsia="华文中宋" w:cs="华文中宋"/>
          <w:b/>
          <w:color w:val="auto"/>
          <w:sz w:val="24"/>
          <w:szCs w:val="24"/>
        </w:rPr>
      </w:pPr>
    </w:p>
    <w:p w14:paraId="59D01A25">
      <w:pPr>
        <w:spacing w:line="360" w:lineRule="auto"/>
        <w:ind w:firstLine="480" w:firstLineChars="200"/>
        <w:outlineLvl w:val="9"/>
        <w:rPr>
          <w:rFonts w:hint="eastAsia" w:ascii="华文中宋" w:hAnsi="华文中宋" w:eastAsia="华文中宋" w:cs="华文中宋"/>
          <w:b/>
          <w:color w:val="auto"/>
          <w:sz w:val="24"/>
          <w:szCs w:val="24"/>
        </w:rPr>
      </w:pPr>
    </w:p>
    <w:p w14:paraId="100A3434">
      <w:pPr>
        <w:spacing w:line="360" w:lineRule="auto"/>
        <w:ind w:firstLine="480" w:firstLineChars="200"/>
        <w:outlineLvl w:val="9"/>
        <w:rPr>
          <w:rFonts w:hint="eastAsia" w:ascii="华文中宋" w:hAnsi="华文中宋" w:eastAsia="华文中宋" w:cs="华文中宋"/>
          <w:b/>
          <w:color w:val="auto"/>
          <w:sz w:val="24"/>
          <w:szCs w:val="24"/>
        </w:rPr>
      </w:pPr>
    </w:p>
    <w:p w14:paraId="11DA31D5">
      <w:pPr>
        <w:spacing w:line="360" w:lineRule="auto"/>
        <w:ind w:firstLine="480" w:firstLineChars="200"/>
        <w:outlineLvl w:val="9"/>
        <w:rPr>
          <w:rFonts w:hint="eastAsia" w:ascii="华文中宋" w:hAnsi="华文中宋" w:eastAsia="华文中宋" w:cs="华文中宋"/>
          <w:b/>
          <w:color w:val="auto"/>
          <w:sz w:val="24"/>
          <w:szCs w:val="24"/>
        </w:rPr>
      </w:pPr>
    </w:p>
    <w:p w14:paraId="2E9A078C">
      <w:pPr>
        <w:spacing w:line="360" w:lineRule="auto"/>
        <w:ind w:firstLine="480" w:firstLineChars="200"/>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4"/>
          <w:szCs w:val="24"/>
        </w:rPr>
        <w:t>（</w:t>
      </w:r>
      <w:r>
        <w:rPr>
          <w:rFonts w:hint="eastAsia" w:ascii="华文中宋" w:hAnsi="华文中宋" w:eastAsia="华文中宋" w:cs="华文中宋"/>
          <w:b/>
          <w:color w:val="auto"/>
          <w:sz w:val="28"/>
          <w:szCs w:val="28"/>
          <w:lang w:val="en-US" w:eastAsia="zh-CN"/>
        </w:rPr>
        <w:t>九</w:t>
      </w:r>
      <w:r>
        <w:rPr>
          <w:rFonts w:hint="eastAsia" w:ascii="华文中宋" w:hAnsi="华文中宋" w:eastAsia="华文中宋" w:cs="华文中宋"/>
          <w:b/>
          <w:color w:val="auto"/>
          <w:sz w:val="28"/>
          <w:szCs w:val="28"/>
        </w:rPr>
        <w:t>）磋商保证金的交纳情况及开户许可证</w:t>
      </w:r>
    </w:p>
    <w:p w14:paraId="6722D42C">
      <w:pPr>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提供响应保证金交纳证明</w:t>
      </w:r>
      <w:r>
        <w:rPr>
          <w:rFonts w:hint="eastAsia" w:ascii="华文中宋" w:hAnsi="华文中宋" w:eastAsia="华文中宋" w:cs="华文中宋"/>
          <w:color w:val="auto"/>
          <w:sz w:val="28"/>
          <w:szCs w:val="28"/>
          <w:lang w:val="en-US" w:eastAsia="zh-CN"/>
        </w:rPr>
        <w:t>扫描件</w:t>
      </w:r>
      <w:r>
        <w:rPr>
          <w:rFonts w:hint="eastAsia" w:ascii="华文中宋" w:hAnsi="华文中宋" w:eastAsia="华文中宋" w:cs="华文中宋"/>
          <w:color w:val="auto"/>
          <w:sz w:val="28"/>
          <w:szCs w:val="28"/>
        </w:rPr>
        <w:t>；</w:t>
      </w:r>
    </w:p>
    <w:p w14:paraId="2AA1808D">
      <w:pPr>
        <w:spacing w:line="360" w:lineRule="auto"/>
        <w:ind w:firstLine="560" w:firstLine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提供</w:t>
      </w:r>
      <w:r>
        <w:rPr>
          <w:rFonts w:hint="eastAsia" w:ascii="华文中宋" w:hAnsi="华文中宋" w:eastAsia="华文中宋" w:cs="华文中宋"/>
          <w:color w:val="auto"/>
          <w:sz w:val="28"/>
          <w:szCs w:val="28"/>
          <w:lang w:eastAsia="zh-CN"/>
        </w:rPr>
        <w:t>供应商</w:t>
      </w:r>
      <w:r>
        <w:rPr>
          <w:rFonts w:hint="eastAsia" w:ascii="华文中宋" w:hAnsi="华文中宋" w:eastAsia="华文中宋" w:cs="华文中宋"/>
          <w:color w:val="auto"/>
          <w:sz w:val="28"/>
          <w:szCs w:val="28"/>
        </w:rPr>
        <w:t>基本存款账户开户许可证</w:t>
      </w:r>
      <w:r>
        <w:rPr>
          <w:rFonts w:hint="eastAsia" w:ascii="华文中宋" w:hAnsi="华文中宋" w:eastAsia="华文中宋" w:cs="华文中宋"/>
          <w:color w:val="auto"/>
          <w:sz w:val="28"/>
          <w:szCs w:val="28"/>
          <w:lang w:val="en-US" w:eastAsia="zh-CN"/>
        </w:rPr>
        <w:t>或基本存款账户信息</w:t>
      </w:r>
      <w:r>
        <w:rPr>
          <w:rFonts w:hint="eastAsia" w:ascii="华文中宋" w:hAnsi="华文中宋" w:eastAsia="华文中宋" w:cs="华文中宋"/>
          <w:color w:val="auto"/>
          <w:sz w:val="28"/>
          <w:szCs w:val="28"/>
        </w:rPr>
        <w:t>扫描件。</w:t>
      </w:r>
    </w:p>
    <w:p w14:paraId="0FBA7B15">
      <w:pPr>
        <w:spacing w:line="360" w:lineRule="auto"/>
        <w:ind w:firstLine="561" w:firstLineChars="200"/>
        <w:jc w:val="left"/>
        <w:outlineLvl w:val="9"/>
        <w:rPr>
          <w:rFonts w:hint="eastAsia" w:ascii="华文中宋" w:hAnsi="华文中宋" w:eastAsia="华文中宋" w:cs="华文中宋"/>
          <w:b/>
          <w:color w:val="auto"/>
          <w:sz w:val="28"/>
          <w:szCs w:val="28"/>
        </w:rPr>
      </w:pPr>
    </w:p>
    <w:p w14:paraId="43575F2C">
      <w:pPr>
        <w:spacing w:line="600" w:lineRule="exact"/>
        <w:outlineLvl w:val="9"/>
        <w:rPr>
          <w:rFonts w:hint="eastAsia" w:ascii="华文中宋" w:hAnsi="华文中宋" w:eastAsia="华文中宋" w:cs="华文中宋"/>
          <w:color w:val="auto"/>
          <w:sz w:val="28"/>
          <w:szCs w:val="28"/>
        </w:rPr>
      </w:pPr>
    </w:p>
    <w:p w14:paraId="75BB93D8">
      <w:pPr>
        <w:widowControl/>
        <w:jc w:val="left"/>
        <w:outlineLvl w:val="9"/>
        <w:rPr>
          <w:rFonts w:hint="eastAsia" w:ascii="华文中宋" w:hAnsi="华文中宋" w:eastAsia="华文中宋" w:cs="华文中宋"/>
          <w:b/>
          <w:color w:val="auto"/>
          <w:szCs w:val="21"/>
        </w:rPr>
      </w:pPr>
    </w:p>
    <w:p w14:paraId="1EF5C73C">
      <w:pPr>
        <w:outlineLvl w:val="9"/>
        <w:rPr>
          <w:rFonts w:hint="eastAsia" w:ascii="华文中宋" w:hAnsi="华文中宋" w:eastAsia="华文中宋" w:cs="华文中宋"/>
          <w:b/>
          <w:color w:val="auto"/>
          <w:spacing w:val="20"/>
          <w:sz w:val="24"/>
        </w:rPr>
      </w:pPr>
      <w:bookmarkStart w:id="1207" w:name="_Toc10049_WPSOffice_Level1"/>
    </w:p>
    <w:p w14:paraId="05647D39">
      <w:pPr>
        <w:spacing w:line="360" w:lineRule="auto"/>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br w:type="page"/>
      </w:r>
      <w:r>
        <w:rPr>
          <w:rFonts w:hint="eastAsia" w:ascii="华文中宋" w:hAnsi="华文中宋" w:eastAsia="华文中宋" w:cs="华文中宋"/>
          <w:b/>
          <w:color w:val="auto"/>
          <w:sz w:val="28"/>
          <w:szCs w:val="28"/>
        </w:rPr>
        <w:t>（</w:t>
      </w:r>
      <w:r>
        <w:rPr>
          <w:rFonts w:hint="eastAsia" w:ascii="华文中宋" w:hAnsi="华文中宋" w:eastAsia="华文中宋" w:cs="华文中宋"/>
          <w:b/>
          <w:color w:val="auto"/>
          <w:sz w:val="28"/>
          <w:szCs w:val="28"/>
          <w:lang w:val="en-US" w:eastAsia="zh-CN"/>
        </w:rPr>
        <w:t>十</w:t>
      </w:r>
      <w:r>
        <w:rPr>
          <w:rFonts w:hint="eastAsia" w:ascii="华文中宋" w:hAnsi="华文中宋" w:eastAsia="华文中宋" w:cs="华文中宋"/>
          <w:b/>
          <w:color w:val="auto"/>
          <w:sz w:val="28"/>
          <w:szCs w:val="28"/>
        </w:rPr>
        <w:t>）政府采购政策的响应内容</w:t>
      </w:r>
    </w:p>
    <w:p w14:paraId="58C11212">
      <w:pPr>
        <w:jc w:val="center"/>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中小企业声明函（工程）</w:t>
      </w:r>
    </w:p>
    <w:p w14:paraId="106D5D29">
      <w:pPr>
        <w:ind w:firstLine="42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本公司（联合体）郑重声明，根据《政府采购促进中小企业发展管理办法》 (财库（2020) 46号）的规定，本公司（联合体）参加</w:t>
      </w:r>
      <w:r>
        <w:rPr>
          <w:rFonts w:hint="eastAsia" w:ascii="华文中宋" w:hAnsi="华文中宋" w:eastAsia="华文中宋" w:cs="华文中宋"/>
          <w:color w:val="auto"/>
          <w:sz w:val="28"/>
          <w:szCs w:val="28"/>
          <w:u w:val="single"/>
        </w:rPr>
        <w:t>（单位名称）</w:t>
      </w:r>
      <w:r>
        <w:rPr>
          <w:rFonts w:hint="eastAsia" w:ascii="华文中宋" w:hAnsi="华文中宋" w:eastAsia="华文中宋" w:cs="华文中宋"/>
          <w:color w:val="auto"/>
          <w:sz w:val="28"/>
          <w:szCs w:val="28"/>
        </w:rPr>
        <w:t>的</w:t>
      </w:r>
      <w:r>
        <w:rPr>
          <w:rFonts w:hint="eastAsia" w:ascii="华文中宋" w:hAnsi="华文中宋" w:eastAsia="华文中宋" w:cs="华文中宋"/>
          <w:color w:val="auto"/>
          <w:sz w:val="28"/>
          <w:szCs w:val="28"/>
          <w:u w:val="single"/>
        </w:rPr>
        <w:t>（项目名称）</w:t>
      </w:r>
      <w:r>
        <w:rPr>
          <w:rFonts w:hint="eastAsia" w:ascii="华文中宋" w:hAnsi="华文中宋" w:eastAsia="华文中宋" w:cs="华文中宋"/>
          <w:color w:val="auto"/>
          <w:sz w:val="28"/>
          <w:szCs w:val="28"/>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华文中宋" w:hAnsi="华文中宋" w:eastAsia="华文中宋" w:cs="华文中宋"/>
          <w:color w:val="auto"/>
          <w:sz w:val="28"/>
          <w:szCs w:val="28"/>
        </w:rPr>
        <w:tab/>
      </w:r>
    </w:p>
    <w:p w14:paraId="4421B695">
      <w:pPr>
        <w:keepNext w:val="0"/>
        <w:keepLines w:val="0"/>
        <w:pageBreakBefore w:val="0"/>
        <w:widowControl w:val="0"/>
        <w:kinsoku/>
        <w:wordWrap w:val="0"/>
        <w:overflowPunct/>
        <w:topLinePunct/>
        <w:autoSpaceDE/>
        <w:autoSpaceDN/>
        <w:bidi w:val="0"/>
        <w:adjustRightInd/>
        <w:snapToGrid/>
        <w:ind w:firstLine="420"/>
        <w:textAlignment w:val="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1. </w:t>
      </w:r>
      <w:r>
        <w:rPr>
          <w:rFonts w:hint="eastAsia" w:ascii="华文中宋" w:hAnsi="华文中宋" w:eastAsia="华文中宋" w:cs="华文中宋"/>
          <w:color w:val="auto"/>
          <w:sz w:val="28"/>
          <w:szCs w:val="28"/>
          <w:u w:val="single"/>
        </w:rPr>
        <w:t>(标的名称）</w:t>
      </w:r>
      <w:r>
        <w:rPr>
          <w:rFonts w:hint="eastAsia" w:ascii="华文中宋" w:hAnsi="华文中宋" w:eastAsia="华文中宋" w:cs="华文中宋"/>
          <w:color w:val="auto"/>
          <w:sz w:val="28"/>
          <w:szCs w:val="28"/>
        </w:rPr>
        <w:t>，属于</w:t>
      </w:r>
      <w:r>
        <w:rPr>
          <w:rFonts w:hint="eastAsia" w:ascii="华文中宋" w:hAnsi="华文中宋" w:eastAsia="华文中宋" w:cs="华文中宋"/>
          <w:color w:val="auto"/>
          <w:sz w:val="28"/>
          <w:szCs w:val="28"/>
          <w:u w:val="single"/>
        </w:rPr>
        <w:t>（采购文件中明确的所属行业）</w:t>
      </w:r>
      <w:r>
        <w:rPr>
          <w:rFonts w:hint="eastAsia" w:ascii="华文中宋" w:hAnsi="华文中宋" w:eastAsia="华文中宋" w:cs="华文中宋"/>
          <w:color w:val="auto"/>
          <w:sz w:val="28"/>
          <w:szCs w:val="28"/>
        </w:rPr>
        <w:t>；承建（承接）企业为</w:t>
      </w:r>
      <w:r>
        <w:rPr>
          <w:rFonts w:hint="eastAsia" w:ascii="华文中宋" w:hAnsi="华文中宋" w:eastAsia="华文中宋" w:cs="华文中宋"/>
          <w:color w:val="auto"/>
          <w:sz w:val="28"/>
          <w:szCs w:val="28"/>
          <w:u w:val="single"/>
        </w:rPr>
        <w:t>（企业名称）</w:t>
      </w:r>
      <w:r>
        <w:rPr>
          <w:rFonts w:hint="eastAsia" w:ascii="华文中宋" w:hAnsi="华文中宋" w:eastAsia="华文中宋" w:cs="华文中宋"/>
          <w:color w:val="auto"/>
          <w:sz w:val="28"/>
          <w:szCs w:val="28"/>
        </w:rPr>
        <w:t>， 从业人员</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z w:val="28"/>
          <w:szCs w:val="28"/>
        </w:rPr>
        <w:t>人，营业收入为</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z w:val="28"/>
          <w:szCs w:val="28"/>
        </w:rPr>
        <w:t>万元，资产总额为</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z w:val="28"/>
          <w:szCs w:val="28"/>
        </w:rPr>
        <w:t>万元，属于</w:t>
      </w:r>
      <w:r>
        <w:rPr>
          <w:rFonts w:hint="eastAsia" w:ascii="华文中宋" w:hAnsi="华文中宋" w:eastAsia="华文中宋" w:cs="华文中宋"/>
          <w:color w:val="auto"/>
          <w:sz w:val="28"/>
          <w:szCs w:val="28"/>
          <w:u w:val="single"/>
        </w:rPr>
        <w:t>（中型企业、小型企业、微型企业）</w:t>
      </w:r>
      <w:r>
        <w:rPr>
          <w:rFonts w:hint="eastAsia" w:ascii="华文中宋" w:hAnsi="华文中宋" w:eastAsia="华文中宋" w:cs="华文中宋"/>
          <w:color w:val="auto"/>
          <w:sz w:val="28"/>
          <w:szCs w:val="28"/>
        </w:rPr>
        <w:t>；</w:t>
      </w:r>
    </w:p>
    <w:p w14:paraId="2C32470B">
      <w:pPr>
        <w:keepNext w:val="0"/>
        <w:keepLines w:val="0"/>
        <w:pageBreakBefore w:val="0"/>
        <w:widowControl w:val="0"/>
        <w:kinsoku/>
        <w:wordWrap w:val="0"/>
        <w:overflowPunct/>
        <w:topLinePunct/>
        <w:autoSpaceDE/>
        <w:autoSpaceDN/>
        <w:bidi w:val="0"/>
        <w:adjustRightInd/>
        <w:snapToGrid/>
        <w:ind w:firstLine="420"/>
        <w:textAlignment w:val="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2. </w:t>
      </w:r>
      <w:r>
        <w:rPr>
          <w:rFonts w:hint="eastAsia" w:ascii="华文中宋" w:hAnsi="华文中宋" w:eastAsia="华文中宋" w:cs="华文中宋"/>
          <w:color w:val="auto"/>
          <w:sz w:val="28"/>
          <w:szCs w:val="28"/>
          <w:u w:val="single"/>
        </w:rPr>
        <w:t>(标的名称）</w:t>
      </w:r>
      <w:r>
        <w:rPr>
          <w:rFonts w:hint="eastAsia" w:ascii="华文中宋" w:hAnsi="华文中宋" w:eastAsia="华文中宋" w:cs="华文中宋"/>
          <w:color w:val="auto"/>
          <w:sz w:val="28"/>
          <w:szCs w:val="28"/>
        </w:rPr>
        <w:t>，属于</w:t>
      </w:r>
      <w:r>
        <w:rPr>
          <w:rFonts w:hint="eastAsia" w:ascii="华文中宋" w:hAnsi="华文中宋" w:eastAsia="华文中宋" w:cs="华文中宋"/>
          <w:color w:val="auto"/>
          <w:sz w:val="28"/>
          <w:szCs w:val="28"/>
          <w:u w:val="single"/>
        </w:rPr>
        <w:t>（采购文件中明确的所属行业）</w:t>
      </w:r>
      <w:r>
        <w:rPr>
          <w:rFonts w:hint="eastAsia" w:ascii="华文中宋" w:hAnsi="华文中宋" w:eastAsia="华文中宋" w:cs="华文中宋"/>
          <w:color w:val="auto"/>
          <w:sz w:val="28"/>
          <w:szCs w:val="28"/>
        </w:rPr>
        <w:t>；承建（承接）企业为</w:t>
      </w:r>
      <w:r>
        <w:rPr>
          <w:rFonts w:hint="eastAsia" w:ascii="华文中宋" w:hAnsi="华文中宋" w:eastAsia="华文中宋" w:cs="华文中宋"/>
          <w:color w:val="auto"/>
          <w:sz w:val="28"/>
          <w:szCs w:val="28"/>
          <w:u w:val="single"/>
        </w:rPr>
        <w:t>（企业名称）</w:t>
      </w:r>
      <w:r>
        <w:rPr>
          <w:rFonts w:hint="eastAsia" w:ascii="华文中宋" w:hAnsi="华文中宋" w:eastAsia="华文中宋" w:cs="华文中宋"/>
          <w:color w:val="auto"/>
          <w:sz w:val="28"/>
          <w:szCs w:val="28"/>
        </w:rPr>
        <w:t>， 从业人员</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z w:val="28"/>
          <w:szCs w:val="28"/>
        </w:rPr>
        <w:t>人，营业收入为</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z w:val="28"/>
          <w:szCs w:val="28"/>
        </w:rPr>
        <w:t>万元，资产总额为</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z w:val="28"/>
          <w:szCs w:val="28"/>
        </w:rPr>
        <w:t>万元，属于</w:t>
      </w:r>
      <w:r>
        <w:rPr>
          <w:rFonts w:hint="eastAsia" w:ascii="华文中宋" w:hAnsi="华文中宋" w:eastAsia="华文中宋" w:cs="华文中宋"/>
          <w:color w:val="auto"/>
          <w:sz w:val="28"/>
          <w:szCs w:val="28"/>
          <w:u w:val="single"/>
        </w:rPr>
        <w:t>（中型企业、小型企业、微型企业）</w:t>
      </w:r>
      <w:r>
        <w:rPr>
          <w:rFonts w:hint="eastAsia" w:ascii="华文中宋" w:hAnsi="华文中宋" w:eastAsia="华文中宋" w:cs="华文中宋"/>
          <w:color w:val="auto"/>
          <w:sz w:val="28"/>
          <w:szCs w:val="28"/>
        </w:rPr>
        <w:t>；</w:t>
      </w:r>
    </w:p>
    <w:p w14:paraId="136C527D">
      <w:pPr>
        <w:ind w:firstLine="42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 . . . .</w:t>
      </w:r>
    </w:p>
    <w:p w14:paraId="3473F3C0">
      <w:pPr>
        <w:ind w:firstLine="42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以上企业，不属于大企业的分支机构，不存在控股股东为大企业的情形，也不存在与大企业的负责人为同一人的情形。</w:t>
      </w:r>
    </w:p>
    <w:p w14:paraId="404CB1DB">
      <w:pPr>
        <w:ind w:firstLine="42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本企业对上述声明内容的真实性负责。如有虚假，将依法承担相应责任。</w:t>
      </w:r>
    </w:p>
    <w:p w14:paraId="0CB2EFAA">
      <w:pPr>
        <w:pStyle w:val="26"/>
        <w:widowControl w:val="0"/>
        <w:adjustRightInd w:val="0"/>
        <w:snapToGrid w:val="0"/>
        <w:spacing w:before="0" w:beforeAutospacing="0" w:after="0" w:afterAutospacing="0" w:line="360" w:lineRule="auto"/>
        <w:jc w:val="both"/>
        <w:outlineLvl w:val="9"/>
        <w:rPr>
          <w:rFonts w:hint="eastAsia" w:ascii="华文中宋" w:hAnsi="华文中宋" w:eastAsia="华文中宋" w:cs="华文中宋"/>
          <w:color w:val="auto"/>
          <w:kern w:val="2"/>
          <w:sz w:val="28"/>
          <w:szCs w:val="28"/>
        </w:rPr>
      </w:pPr>
      <w:r>
        <w:rPr>
          <w:rFonts w:hint="eastAsia" w:ascii="华文中宋" w:hAnsi="华文中宋" w:eastAsia="华文中宋" w:cs="华文中宋"/>
          <w:color w:val="auto"/>
          <w:kern w:val="2"/>
          <w:sz w:val="28"/>
          <w:szCs w:val="28"/>
        </w:rPr>
        <w:t xml:space="preserve">                                            </w:t>
      </w:r>
    </w:p>
    <w:p w14:paraId="096A66AC">
      <w:pPr>
        <w:pStyle w:val="26"/>
        <w:widowControl w:val="0"/>
        <w:adjustRightInd w:val="0"/>
        <w:snapToGrid w:val="0"/>
        <w:spacing w:before="0" w:beforeAutospacing="0" w:after="0" w:afterAutospacing="0" w:line="360" w:lineRule="auto"/>
        <w:jc w:val="both"/>
        <w:outlineLvl w:val="9"/>
        <w:rPr>
          <w:rFonts w:hint="eastAsia" w:ascii="华文中宋" w:hAnsi="华文中宋" w:eastAsia="华文中宋" w:cs="华文中宋"/>
          <w:color w:val="auto"/>
          <w:kern w:val="2"/>
          <w:sz w:val="28"/>
          <w:szCs w:val="28"/>
        </w:rPr>
      </w:pPr>
      <w:r>
        <w:rPr>
          <w:rFonts w:hint="eastAsia" w:ascii="华文中宋" w:hAnsi="华文中宋" w:eastAsia="华文中宋" w:cs="华文中宋"/>
          <w:color w:val="auto"/>
          <w:kern w:val="2"/>
          <w:sz w:val="28"/>
          <w:szCs w:val="28"/>
        </w:rPr>
        <w:t>　　　　　　　　　　　　企业名称：</w:t>
      </w:r>
      <w:r>
        <w:rPr>
          <w:rFonts w:hint="eastAsia" w:ascii="华文中宋" w:hAnsi="华文中宋" w:eastAsia="华文中宋" w:cs="华文中宋"/>
          <w:color w:val="auto"/>
          <w:kern w:val="2"/>
          <w:sz w:val="28"/>
          <w:szCs w:val="28"/>
          <w:u w:val="single"/>
        </w:rPr>
        <w:t xml:space="preserve">         </w:t>
      </w:r>
      <w:r>
        <w:rPr>
          <w:rFonts w:hint="eastAsia" w:ascii="华文中宋" w:hAnsi="华文中宋" w:eastAsia="华文中宋" w:cs="华文中宋"/>
          <w:color w:val="auto"/>
          <w:kern w:val="2"/>
          <w:sz w:val="28"/>
          <w:szCs w:val="28"/>
        </w:rPr>
        <w:t>（电子签章）</w:t>
      </w:r>
    </w:p>
    <w:p w14:paraId="56F85D91">
      <w:pPr>
        <w:pStyle w:val="41"/>
        <w:snapToGrid w:val="0"/>
        <w:spacing w:line="360" w:lineRule="auto"/>
        <w:ind w:left="2520" w:right="960" w:firstLine="840" w:firstLineChars="300"/>
        <w:outlineLvl w:val="9"/>
        <w:rPr>
          <w:rFonts w:hint="eastAsia" w:ascii="华文中宋" w:hAnsi="华文中宋" w:eastAsia="华文中宋" w:cs="华文中宋"/>
          <w:color w:val="auto"/>
          <w:sz w:val="28"/>
          <w:szCs w:val="28"/>
          <w:u w:val="single"/>
        </w:rPr>
      </w:pPr>
      <w:r>
        <w:rPr>
          <w:rFonts w:hint="eastAsia" w:ascii="华文中宋" w:hAnsi="华文中宋" w:eastAsia="华文中宋" w:cs="华文中宋"/>
          <w:color w:val="auto"/>
          <w:kern w:val="2"/>
          <w:sz w:val="28"/>
          <w:szCs w:val="28"/>
        </w:rPr>
        <w:t>日 期：</w:t>
      </w:r>
    </w:p>
    <w:p w14:paraId="5BEF33DF">
      <w:pPr>
        <w:spacing w:line="360" w:lineRule="auto"/>
        <w:jc w:val="left"/>
        <w:outlineLvl w:val="9"/>
        <w:rPr>
          <w:rFonts w:hint="eastAsia" w:ascii="华文中宋" w:hAnsi="华文中宋" w:eastAsia="华文中宋" w:cs="华文中宋"/>
          <w:b/>
          <w:color w:val="auto"/>
          <w:spacing w:val="6"/>
          <w:sz w:val="28"/>
          <w:szCs w:val="28"/>
        </w:rPr>
      </w:pPr>
    </w:p>
    <w:p w14:paraId="6AA7F91E">
      <w:pPr>
        <w:spacing w:line="360" w:lineRule="auto"/>
        <w:ind w:firstLine="585" w:firstLineChars="200"/>
        <w:jc w:val="left"/>
        <w:outlineLvl w:val="9"/>
        <w:rPr>
          <w:rFonts w:hint="eastAsia" w:ascii="华文中宋" w:hAnsi="华文中宋" w:eastAsia="华文中宋" w:cs="华文中宋"/>
          <w:b/>
          <w:color w:val="auto"/>
          <w:spacing w:val="6"/>
          <w:sz w:val="28"/>
          <w:szCs w:val="28"/>
        </w:rPr>
      </w:pPr>
    </w:p>
    <w:p w14:paraId="43DED7C5">
      <w:pPr>
        <w:spacing w:line="360" w:lineRule="auto"/>
        <w:ind w:firstLine="585" w:firstLineChars="200"/>
        <w:jc w:val="left"/>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pacing w:val="6"/>
          <w:sz w:val="28"/>
          <w:szCs w:val="28"/>
        </w:rPr>
        <w:t>残疾人福利性单位声明函</w:t>
      </w:r>
      <w:r>
        <w:rPr>
          <w:rFonts w:hint="eastAsia" w:ascii="华文中宋" w:hAnsi="华文中宋" w:eastAsia="华文中宋" w:cs="华文中宋"/>
          <w:b/>
          <w:color w:val="auto"/>
          <w:sz w:val="28"/>
          <w:szCs w:val="28"/>
        </w:rPr>
        <w:t>格式</w:t>
      </w:r>
    </w:p>
    <w:p w14:paraId="2DBA4147">
      <w:pPr>
        <w:pStyle w:val="27"/>
        <w:rPr>
          <w:rFonts w:hint="eastAsia"/>
          <w:color w:val="auto"/>
        </w:rPr>
      </w:pPr>
    </w:p>
    <w:p w14:paraId="216CEF9B">
      <w:pPr>
        <w:spacing w:line="360" w:lineRule="auto"/>
        <w:jc w:val="center"/>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pacing w:val="6"/>
          <w:sz w:val="28"/>
          <w:szCs w:val="28"/>
        </w:rPr>
        <w:t>残疾人福利性单位声明函</w:t>
      </w:r>
    </w:p>
    <w:p w14:paraId="0164832F">
      <w:pPr>
        <w:spacing w:line="360" w:lineRule="auto"/>
        <w:ind w:firstLine="560" w:firstLineChars="200"/>
        <w:jc w:val="center"/>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（不属于残疾人福利性企业的无需填写）</w:t>
      </w:r>
    </w:p>
    <w:p w14:paraId="5E191DD7">
      <w:pPr>
        <w:pStyle w:val="27"/>
        <w:rPr>
          <w:rFonts w:hint="eastAsia"/>
          <w:color w:val="auto"/>
        </w:rPr>
      </w:pPr>
    </w:p>
    <w:p w14:paraId="3BB637D7">
      <w:pPr>
        <w:spacing w:line="360" w:lineRule="auto"/>
        <w:ind w:firstLine="560" w:firstLineChars="200"/>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z w:val="28"/>
          <w:szCs w:val="28"/>
        </w:rPr>
        <w:t>本单位郑重声明，根据《财政部 民政部 中国残疾人联合会关于促进残疾人就业政府采购政策的通知》（财库〔2017〕 141号）的规定，本单位为符合条件的残疾人</w:t>
      </w:r>
      <w:r>
        <w:rPr>
          <w:rFonts w:hint="eastAsia" w:ascii="华文中宋" w:hAnsi="华文中宋" w:eastAsia="华文中宋" w:cs="华文中宋"/>
          <w:color w:val="auto"/>
          <w:spacing w:val="6"/>
          <w:sz w:val="28"/>
          <w:szCs w:val="28"/>
        </w:rPr>
        <w:t>福利性单位，且本单位参加</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pacing w:val="6"/>
          <w:sz w:val="28"/>
          <w:szCs w:val="28"/>
        </w:rPr>
        <w:t>单位的</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pacing w:val="6"/>
          <w:sz w:val="28"/>
          <w:szCs w:val="28"/>
        </w:rPr>
        <w:t>项目（项目编号：</w:t>
      </w:r>
      <w:r>
        <w:rPr>
          <w:rFonts w:hint="eastAsia" w:ascii="华文中宋" w:hAnsi="华文中宋" w:eastAsia="华文中宋" w:cs="华文中宋"/>
          <w:color w:val="auto"/>
          <w:spacing w:val="6"/>
          <w:sz w:val="28"/>
          <w:szCs w:val="28"/>
          <w:u w:val="single"/>
          <w:lang w:val="en-US" w:eastAsia="zh-CN"/>
        </w:rPr>
        <w:t xml:space="preserve">      </w:t>
      </w:r>
      <w:r>
        <w:rPr>
          <w:rFonts w:hint="eastAsia" w:ascii="华文中宋" w:hAnsi="华文中宋" w:eastAsia="华文中宋" w:cs="华文中宋"/>
          <w:color w:val="auto"/>
          <w:spacing w:val="6"/>
          <w:sz w:val="28"/>
          <w:szCs w:val="28"/>
        </w:rPr>
        <w:t>）采购活动提供本单位制造的货物（由本单位承担工程/提供服务），或者提供其他残疾人福利性单位制造的货物（不包括使用非残疾人福利性单位注册商标的货物）。</w:t>
      </w:r>
    </w:p>
    <w:p w14:paraId="4AEC146A">
      <w:pPr>
        <w:spacing w:line="360" w:lineRule="auto"/>
        <w:ind w:firstLine="584" w:firstLineChars="200"/>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本单位对上述声明的真实性负责。如有虚假，将依法承担相应责任。</w:t>
      </w:r>
    </w:p>
    <w:p w14:paraId="540B6364">
      <w:pPr>
        <w:tabs>
          <w:tab w:val="left" w:pos="4860"/>
        </w:tabs>
        <w:spacing w:line="360" w:lineRule="auto"/>
        <w:ind w:right="1560" w:firstLine="584" w:firstLineChars="200"/>
        <w:jc w:val="right"/>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 xml:space="preserve">                         单位名称（</w:t>
      </w:r>
      <w:r>
        <w:rPr>
          <w:rFonts w:hint="eastAsia" w:ascii="华文中宋" w:hAnsi="华文中宋" w:eastAsia="华文中宋" w:cs="华文中宋"/>
          <w:color w:val="auto"/>
          <w:sz w:val="28"/>
          <w:szCs w:val="28"/>
        </w:rPr>
        <w:t>电子签章</w:t>
      </w:r>
      <w:r>
        <w:rPr>
          <w:rFonts w:hint="eastAsia" w:ascii="华文中宋" w:hAnsi="华文中宋" w:eastAsia="华文中宋" w:cs="华文中宋"/>
          <w:color w:val="auto"/>
          <w:spacing w:val="6"/>
          <w:sz w:val="28"/>
          <w:szCs w:val="28"/>
        </w:rPr>
        <w:t>）：</w:t>
      </w:r>
    </w:p>
    <w:p w14:paraId="23A0EACB">
      <w:pPr>
        <w:tabs>
          <w:tab w:val="left" w:pos="4860"/>
        </w:tabs>
        <w:spacing w:line="360" w:lineRule="auto"/>
        <w:ind w:right="1560" w:firstLine="584" w:firstLineChars="200"/>
        <w:jc w:val="right"/>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color w:val="auto"/>
          <w:spacing w:val="6"/>
          <w:sz w:val="28"/>
          <w:szCs w:val="28"/>
        </w:rPr>
        <w:t xml:space="preserve">                    日  期：</w:t>
      </w:r>
    </w:p>
    <w:p w14:paraId="36240005">
      <w:pPr>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2EDB3436">
      <w:pPr>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    （2）残疾人福利性单位证明材料：残疾人福利性单位声明函，如提供其他残疾人福利性单位制造的货物，还须同时提供该企业的残疾人福利性单位声明函。</w:t>
      </w:r>
    </w:p>
    <w:p w14:paraId="21D122E6">
      <w:pPr>
        <w:pStyle w:val="27"/>
        <w:rPr>
          <w:rFonts w:hint="eastAsia"/>
          <w:color w:val="auto"/>
        </w:rPr>
      </w:pPr>
    </w:p>
    <w:p w14:paraId="1BE65777">
      <w:pPr>
        <w:outlineLvl w:val="9"/>
        <w:rPr>
          <w:rFonts w:hint="eastAsia" w:ascii="华文中宋" w:hAnsi="华文中宋" w:eastAsia="华文中宋" w:cs="华文中宋"/>
          <w:b/>
          <w:color w:val="auto"/>
          <w:sz w:val="24"/>
          <w:szCs w:val="24"/>
          <w:lang w:bidi="ar"/>
        </w:rPr>
      </w:pPr>
    </w:p>
    <w:p w14:paraId="6D505472">
      <w:pPr>
        <w:spacing w:line="360" w:lineRule="auto"/>
        <w:jc w:val="center"/>
        <w:outlineLvl w:val="9"/>
        <w:rPr>
          <w:rFonts w:hint="eastAsia" w:ascii="华文中宋" w:hAnsi="华文中宋" w:eastAsia="华文中宋" w:cs="华文中宋"/>
          <w:b/>
          <w:color w:val="auto"/>
          <w:spacing w:val="6"/>
          <w:sz w:val="28"/>
          <w:szCs w:val="28"/>
        </w:rPr>
      </w:pPr>
    </w:p>
    <w:p w14:paraId="46655C5B">
      <w:pPr>
        <w:spacing w:line="360" w:lineRule="auto"/>
        <w:jc w:val="center"/>
        <w:outlineLvl w:val="9"/>
        <w:rPr>
          <w:rFonts w:hint="eastAsia" w:ascii="华文中宋" w:hAnsi="华文中宋" w:eastAsia="华文中宋" w:cs="华文中宋"/>
          <w:b/>
          <w:color w:val="auto"/>
          <w:spacing w:val="6"/>
          <w:sz w:val="28"/>
          <w:szCs w:val="28"/>
        </w:rPr>
      </w:pPr>
      <w:r>
        <w:rPr>
          <w:rFonts w:hint="eastAsia" w:ascii="华文中宋" w:hAnsi="华文中宋" w:eastAsia="华文中宋" w:cs="华文中宋"/>
          <w:b/>
          <w:color w:val="auto"/>
          <w:spacing w:val="6"/>
          <w:sz w:val="28"/>
          <w:szCs w:val="28"/>
        </w:rPr>
        <w:t>监狱企业证明文件</w:t>
      </w:r>
    </w:p>
    <w:p w14:paraId="17960541">
      <w:pPr>
        <w:spacing w:line="360" w:lineRule="auto"/>
        <w:jc w:val="center"/>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lang w:eastAsia="zh-CN"/>
        </w:rPr>
        <w:t>（</w:t>
      </w:r>
      <w:r>
        <w:rPr>
          <w:rFonts w:hint="eastAsia" w:ascii="华文中宋" w:hAnsi="华文中宋" w:eastAsia="华文中宋" w:cs="华文中宋"/>
          <w:color w:val="auto"/>
          <w:spacing w:val="6"/>
          <w:sz w:val="28"/>
          <w:szCs w:val="28"/>
        </w:rPr>
        <w:t>不属于监狱企业的无需填写）</w:t>
      </w:r>
    </w:p>
    <w:p w14:paraId="32508444">
      <w:pPr>
        <w:spacing w:line="360" w:lineRule="auto"/>
        <w:ind w:firstLine="584" w:firstLineChars="200"/>
        <w:outlineLvl w:val="9"/>
        <w:rPr>
          <w:rFonts w:hint="eastAsia" w:ascii="华文中宋" w:hAnsi="华文中宋" w:eastAsia="华文中宋" w:cs="华文中宋"/>
          <w:color w:val="auto"/>
          <w:spacing w:val="6"/>
          <w:sz w:val="28"/>
          <w:szCs w:val="28"/>
        </w:rPr>
      </w:pPr>
    </w:p>
    <w:p w14:paraId="78572312">
      <w:pPr>
        <w:spacing w:line="360" w:lineRule="auto"/>
        <w:ind w:firstLine="584" w:firstLineChars="200"/>
        <w:outlineLvl w:val="9"/>
        <w:rPr>
          <w:rFonts w:hint="eastAsia" w:ascii="华文中宋" w:hAnsi="华文中宋" w:eastAsia="华文中宋" w:cs="华文中宋"/>
          <w:color w:val="auto"/>
          <w:spacing w:val="6"/>
          <w:sz w:val="28"/>
          <w:szCs w:val="28"/>
        </w:rPr>
      </w:pPr>
    </w:p>
    <w:p w14:paraId="516F2F77">
      <w:pPr>
        <w:spacing w:line="360" w:lineRule="auto"/>
        <w:ind w:firstLine="584" w:firstLineChars="200"/>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备注:（1）根据《关于政府采购支持监狱企业发展有关问题的通知》（财库[2014]68号）的规定，符合规定要求的供应商视同为小型和微型企业。</w:t>
      </w:r>
    </w:p>
    <w:p w14:paraId="2FA4691D">
      <w:pPr>
        <w:spacing w:line="360" w:lineRule="auto"/>
        <w:ind w:firstLine="584" w:firstLineChars="200"/>
        <w:outlineLvl w:val="9"/>
        <w:rPr>
          <w:rFonts w:hint="eastAsia" w:ascii="华文中宋" w:hAnsi="华文中宋" w:eastAsia="华文中宋" w:cs="华文中宋"/>
          <w:color w:val="auto"/>
          <w:spacing w:val="6"/>
          <w:sz w:val="28"/>
          <w:szCs w:val="28"/>
        </w:rPr>
      </w:pPr>
      <w:r>
        <w:rPr>
          <w:rFonts w:hint="eastAsia" w:ascii="华文中宋" w:hAnsi="华文中宋" w:eastAsia="华文中宋" w:cs="华文中宋"/>
          <w:color w:val="auto"/>
          <w:spacing w:val="6"/>
          <w:sz w:val="28"/>
          <w:szCs w:val="28"/>
        </w:rPr>
        <w:t>（2）监狱企业证明文件：省级或以上监狱管理局、戒毒管理局（含新疆生产建设兵团）出具的属于监狱企业的证明文件，如提供其他监狱企业制造的货物，还须同时提供该企业为监狱企业的证明文件。提供相关证明材料复印件。</w:t>
      </w:r>
    </w:p>
    <w:p w14:paraId="5243BE45">
      <w:pPr>
        <w:spacing w:line="360" w:lineRule="auto"/>
        <w:ind w:firstLine="584" w:firstLineChars="200"/>
        <w:outlineLvl w:val="9"/>
        <w:rPr>
          <w:rFonts w:hint="eastAsia" w:ascii="华文中宋" w:hAnsi="华文中宋" w:eastAsia="华文中宋" w:cs="华文中宋"/>
          <w:color w:val="auto"/>
          <w:spacing w:val="6"/>
          <w:sz w:val="28"/>
          <w:szCs w:val="28"/>
        </w:rPr>
      </w:pPr>
    </w:p>
    <w:p w14:paraId="373C8091">
      <w:pPr>
        <w:spacing w:line="360" w:lineRule="auto"/>
        <w:ind w:firstLine="584" w:firstLineChars="200"/>
        <w:outlineLvl w:val="9"/>
        <w:rPr>
          <w:rFonts w:hint="eastAsia" w:ascii="华文中宋" w:hAnsi="华文中宋" w:eastAsia="华文中宋" w:cs="华文中宋"/>
          <w:color w:val="auto"/>
          <w:spacing w:val="6"/>
          <w:sz w:val="28"/>
          <w:szCs w:val="28"/>
        </w:rPr>
      </w:pPr>
    </w:p>
    <w:p w14:paraId="02C7E8C7">
      <w:pPr>
        <w:outlineLvl w:val="9"/>
        <w:rPr>
          <w:rFonts w:hint="eastAsia" w:ascii="华文中宋" w:hAnsi="华文中宋" w:eastAsia="华文中宋" w:cs="华文中宋"/>
          <w:b/>
          <w:color w:val="auto"/>
          <w:sz w:val="24"/>
          <w:szCs w:val="24"/>
          <w:lang w:bidi="ar"/>
        </w:rPr>
      </w:pPr>
    </w:p>
    <w:p w14:paraId="2A1BBBEB">
      <w:pPr>
        <w:outlineLvl w:val="9"/>
        <w:rPr>
          <w:rFonts w:hint="eastAsia" w:ascii="华文中宋" w:hAnsi="华文中宋" w:eastAsia="华文中宋" w:cs="华文中宋"/>
          <w:b/>
          <w:color w:val="auto"/>
          <w:sz w:val="24"/>
          <w:szCs w:val="24"/>
          <w:lang w:bidi="ar"/>
        </w:rPr>
      </w:pPr>
    </w:p>
    <w:p w14:paraId="374323CD">
      <w:pPr>
        <w:outlineLvl w:val="9"/>
        <w:rPr>
          <w:rFonts w:hint="eastAsia" w:ascii="华文中宋" w:hAnsi="华文中宋" w:eastAsia="华文中宋" w:cs="华文中宋"/>
          <w:b/>
          <w:color w:val="auto"/>
          <w:sz w:val="24"/>
          <w:szCs w:val="24"/>
          <w:lang w:bidi="ar"/>
        </w:rPr>
      </w:pPr>
    </w:p>
    <w:p w14:paraId="0E6432E1">
      <w:pPr>
        <w:outlineLvl w:val="9"/>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szCs w:val="24"/>
          <w:lang w:bidi="ar"/>
        </w:rPr>
        <w:br w:type="page"/>
      </w:r>
      <w:r>
        <w:rPr>
          <w:rFonts w:hint="eastAsia" w:ascii="华文中宋" w:hAnsi="华文中宋" w:eastAsia="华文中宋" w:cs="华文中宋"/>
          <w:b/>
          <w:color w:val="auto"/>
          <w:spacing w:val="20"/>
          <w:sz w:val="28"/>
          <w:szCs w:val="24"/>
        </w:rPr>
        <w:t>响应文件</w:t>
      </w:r>
      <w:r>
        <w:rPr>
          <w:rFonts w:hint="eastAsia" w:ascii="华文中宋" w:hAnsi="华文中宋" w:eastAsia="华文中宋" w:cs="华文中宋"/>
          <w:b/>
          <w:color w:val="auto"/>
          <w:sz w:val="28"/>
          <w:szCs w:val="24"/>
        </w:rPr>
        <w:t>封面及目录格式</w:t>
      </w:r>
      <w:bookmarkEnd w:id="1207"/>
    </w:p>
    <w:p w14:paraId="3644A705">
      <w:pPr>
        <w:jc w:val="right"/>
        <w:outlineLvl w:val="9"/>
        <w:rPr>
          <w:rFonts w:hint="eastAsia" w:ascii="华文中宋" w:hAnsi="华文中宋" w:eastAsia="华文中宋" w:cs="华文中宋"/>
          <w:color w:val="auto"/>
          <w:szCs w:val="21"/>
        </w:rPr>
      </w:pPr>
    </w:p>
    <w:p w14:paraId="4B3BDF29">
      <w:pPr>
        <w:jc w:val="center"/>
        <w:outlineLvl w:val="9"/>
        <w:rPr>
          <w:rFonts w:hint="eastAsia" w:ascii="华文中宋" w:hAnsi="华文中宋" w:eastAsia="华文中宋" w:cs="华文中宋"/>
          <w:color w:val="auto"/>
          <w:szCs w:val="21"/>
        </w:rPr>
      </w:pPr>
    </w:p>
    <w:p w14:paraId="6FBB5114">
      <w:pPr>
        <w:jc w:val="center"/>
        <w:outlineLvl w:val="9"/>
        <w:rPr>
          <w:rFonts w:hint="eastAsia" w:ascii="华文中宋" w:hAnsi="华文中宋" w:eastAsia="华文中宋" w:cs="华文中宋"/>
          <w:b/>
          <w:color w:val="auto"/>
          <w:spacing w:val="60"/>
          <w:sz w:val="84"/>
          <w:szCs w:val="84"/>
        </w:rPr>
      </w:pPr>
    </w:p>
    <w:p w14:paraId="0C0E49BA">
      <w:pPr>
        <w:pStyle w:val="3"/>
        <w:rPr>
          <w:rFonts w:hint="eastAsia" w:ascii="华文中宋" w:hAnsi="华文中宋" w:eastAsia="华文中宋" w:cs="华文中宋"/>
          <w:color w:val="auto"/>
        </w:rPr>
      </w:pPr>
    </w:p>
    <w:p w14:paraId="12070303">
      <w:pPr>
        <w:jc w:val="center"/>
        <w:outlineLvl w:val="9"/>
        <w:rPr>
          <w:rFonts w:hint="eastAsia" w:ascii="华文中宋" w:hAnsi="华文中宋" w:eastAsia="华文中宋" w:cs="华文中宋"/>
          <w:b/>
          <w:color w:val="auto"/>
          <w:spacing w:val="60"/>
          <w:sz w:val="84"/>
          <w:szCs w:val="84"/>
        </w:rPr>
      </w:pPr>
      <w:bookmarkStart w:id="1208" w:name="_Toc2095_WPSOffice_Level2"/>
      <w:r>
        <w:rPr>
          <w:rFonts w:hint="eastAsia" w:ascii="华文中宋" w:hAnsi="华文中宋" w:eastAsia="华文中宋" w:cs="华文中宋"/>
          <w:b/>
          <w:color w:val="auto"/>
          <w:spacing w:val="60"/>
          <w:sz w:val="84"/>
          <w:szCs w:val="84"/>
        </w:rPr>
        <w:t>响 应 文 件</w:t>
      </w:r>
      <w:bookmarkEnd w:id="1208"/>
    </w:p>
    <w:p w14:paraId="04A20E15">
      <w:pPr>
        <w:ind w:firstLine="841" w:firstLineChars="150"/>
        <w:jc w:val="center"/>
        <w:outlineLvl w:val="9"/>
        <w:rPr>
          <w:rFonts w:hint="eastAsia" w:ascii="华文中宋" w:hAnsi="华文中宋" w:eastAsia="华文中宋" w:cs="华文中宋"/>
          <w:b/>
          <w:color w:val="auto"/>
          <w:spacing w:val="20"/>
          <w:sz w:val="52"/>
          <w:szCs w:val="52"/>
        </w:rPr>
      </w:pPr>
      <w:r>
        <w:rPr>
          <w:rFonts w:hint="eastAsia" w:ascii="华文中宋" w:hAnsi="华文中宋" w:eastAsia="华文中宋" w:cs="华文中宋"/>
          <w:b/>
          <w:color w:val="auto"/>
          <w:spacing w:val="20"/>
          <w:sz w:val="52"/>
          <w:szCs w:val="52"/>
        </w:rPr>
        <w:t>（商务技术文件）</w:t>
      </w:r>
    </w:p>
    <w:p w14:paraId="5292AD4C">
      <w:pPr>
        <w:ind w:firstLine="540" w:firstLineChars="150"/>
        <w:outlineLvl w:val="9"/>
        <w:rPr>
          <w:rFonts w:hint="eastAsia" w:ascii="华文中宋" w:hAnsi="华文中宋" w:eastAsia="华文中宋" w:cs="华文中宋"/>
          <w:b/>
          <w:color w:val="auto"/>
          <w:spacing w:val="20"/>
          <w:sz w:val="32"/>
          <w:szCs w:val="32"/>
        </w:rPr>
      </w:pPr>
    </w:p>
    <w:p w14:paraId="1A62AB74">
      <w:pPr>
        <w:ind w:left="420" w:firstLine="420"/>
        <w:outlineLvl w:val="9"/>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项目名称:</w:t>
      </w:r>
    </w:p>
    <w:p w14:paraId="2CB19181">
      <w:pPr>
        <w:spacing w:line="276" w:lineRule="auto"/>
        <w:ind w:left="420" w:firstLine="420"/>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pacing w:val="20"/>
          <w:sz w:val="32"/>
          <w:szCs w:val="32"/>
        </w:rPr>
        <w:t>项目编号：</w:t>
      </w:r>
    </w:p>
    <w:p w14:paraId="30E8501B">
      <w:pPr>
        <w:spacing w:line="276" w:lineRule="auto"/>
        <w:outlineLvl w:val="9"/>
        <w:rPr>
          <w:rFonts w:hint="eastAsia" w:ascii="华文中宋" w:hAnsi="华文中宋" w:eastAsia="华文中宋" w:cs="华文中宋"/>
          <w:b/>
          <w:color w:val="auto"/>
          <w:szCs w:val="21"/>
        </w:rPr>
      </w:pPr>
    </w:p>
    <w:p w14:paraId="4EBF59EA">
      <w:pPr>
        <w:spacing w:line="276" w:lineRule="auto"/>
        <w:outlineLvl w:val="9"/>
        <w:rPr>
          <w:rFonts w:hint="eastAsia" w:ascii="华文中宋" w:hAnsi="华文中宋" w:eastAsia="华文中宋" w:cs="华文中宋"/>
          <w:b/>
          <w:color w:val="auto"/>
          <w:szCs w:val="21"/>
        </w:rPr>
      </w:pPr>
    </w:p>
    <w:p w14:paraId="6BD6B4B7">
      <w:pPr>
        <w:spacing w:line="276" w:lineRule="auto"/>
        <w:outlineLvl w:val="9"/>
        <w:rPr>
          <w:rFonts w:hint="eastAsia" w:ascii="华文中宋" w:hAnsi="华文中宋" w:eastAsia="华文中宋" w:cs="华文中宋"/>
          <w:b/>
          <w:color w:val="auto"/>
          <w:szCs w:val="21"/>
        </w:rPr>
      </w:pPr>
    </w:p>
    <w:p w14:paraId="1362C003">
      <w:pPr>
        <w:spacing w:line="276" w:lineRule="auto"/>
        <w:outlineLvl w:val="9"/>
        <w:rPr>
          <w:rFonts w:hint="eastAsia" w:ascii="华文中宋" w:hAnsi="华文中宋" w:eastAsia="华文中宋" w:cs="华文中宋"/>
          <w:b/>
          <w:color w:val="auto"/>
          <w:szCs w:val="21"/>
        </w:rPr>
      </w:pPr>
    </w:p>
    <w:p w14:paraId="0D7D244E">
      <w:pPr>
        <w:spacing w:line="276" w:lineRule="auto"/>
        <w:outlineLvl w:val="9"/>
        <w:rPr>
          <w:rFonts w:hint="eastAsia" w:ascii="华文中宋" w:hAnsi="华文中宋" w:eastAsia="华文中宋" w:cs="华文中宋"/>
          <w:b/>
          <w:color w:val="auto"/>
          <w:szCs w:val="21"/>
        </w:rPr>
      </w:pPr>
    </w:p>
    <w:p w14:paraId="29B248D5">
      <w:pPr>
        <w:spacing w:line="276" w:lineRule="auto"/>
        <w:outlineLvl w:val="9"/>
        <w:rPr>
          <w:rFonts w:hint="eastAsia" w:ascii="华文中宋" w:hAnsi="华文中宋" w:eastAsia="华文中宋" w:cs="华文中宋"/>
          <w:b/>
          <w:color w:val="auto"/>
          <w:szCs w:val="21"/>
        </w:rPr>
      </w:pPr>
    </w:p>
    <w:p w14:paraId="5D4A2490">
      <w:pPr>
        <w:spacing w:line="276" w:lineRule="auto"/>
        <w:outlineLvl w:val="9"/>
        <w:rPr>
          <w:rFonts w:hint="eastAsia" w:ascii="华文中宋" w:hAnsi="华文中宋" w:eastAsia="华文中宋" w:cs="华文中宋"/>
          <w:b/>
          <w:color w:val="auto"/>
          <w:szCs w:val="21"/>
        </w:rPr>
      </w:pPr>
    </w:p>
    <w:p w14:paraId="7176ECAB">
      <w:pPr>
        <w:jc w:val="center"/>
        <w:outlineLvl w:val="9"/>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磋商供应商单位名称：（电子签章）</w:t>
      </w:r>
    </w:p>
    <w:p w14:paraId="607E4D5C">
      <w:pPr>
        <w:jc w:val="center"/>
        <w:outlineLvl w:val="9"/>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 xml:space="preserve">    年  月   日</w:t>
      </w:r>
    </w:p>
    <w:p w14:paraId="62DC5326">
      <w:pPr>
        <w:spacing w:line="480" w:lineRule="auto"/>
        <w:jc w:val="center"/>
        <w:outlineLvl w:val="9"/>
        <w:rPr>
          <w:rFonts w:hint="eastAsia" w:ascii="华文中宋" w:hAnsi="华文中宋" w:eastAsia="华文中宋" w:cs="华文中宋"/>
          <w:b/>
          <w:color w:val="auto"/>
          <w:spacing w:val="20"/>
          <w:sz w:val="28"/>
          <w:szCs w:val="28"/>
        </w:rPr>
      </w:pPr>
      <w:bookmarkStart w:id="1209" w:name="_Toc40954063"/>
      <w:r>
        <w:rPr>
          <w:rFonts w:hint="eastAsia" w:ascii="华文中宋" w:hAnsi="华文中宋" w:eastAsia="华文中宋" w:cs="华文中宋"/>
          <w:b/>
          <w:color w:val="auto"/>
          <w:spacing w:val="20"/>
          <w:sz w:val="32"/>
          <w:szCs w:val="32"/>
        </w:rPr>
        <w:br w:type="page"/>
      </w:r>
      <w:r>
        <w:rPr>
          <w:rFonts w:hint="eastAsia" w:ascii="华文中宋" w:hAnsi="华文中宋" w:eastAsia="华文中宋" w:cs="华文中宋"/>
          <w:b/>
          <w:color w:val="auto"/>
          <w:spacing w:val="20"/>
          <w:sz w:val="28"/>
          <w:szCs w:val="28"/>
        </w:rPr>
        <w:t>商务技术文件</w:t>
      </w:r>
    </w:p>
    <w:p w14:paraId="4ACD77B5">
      <w:pPr>
        <w:spacing w:line="480" w:lineRule="auto"/>
        <w:jc w:val="center"/>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目    录</w:t>
      </w:r>
    </w:p>
    <w:p w14:paraId="710825D2">
      <w:pPr>
        <w:pStyle w:val="20"/>
        <w:outlineLvl w:val="9"/>
        <w:rPr>
          <w:rFonts w:hint="eastAsia" w:ascii="华文中宋" w:hAnsi="华文中宋" w:eastAsia="华文中宋" w:cs="华文中宋"/>
          <w:color w:val="auto"/>
          <w:sz w:val="28"/>
          <w:szCs w:val="28"/>
        </w:rPr>
      </w:pPr>
    </w:p>
    <w:p w14:paraId="5F6E64C8">
      <w:pPr>
        <w:pStyle w:val="19"/>
        <w:snapToGrid w:val="0"/>
        <w:spacing w:line="360" w:lineRule="auto"/>
        <w:ind w:firstLine="561" w:firstLineChars="200"/>
        <w:outlineLvl w:val="9"/>
        <w:rPr>
          <w:rFonts w:hint="eastAsia" w:ascii="华文中宋" w:hAnsi="华文中宋" w:eastAsia="华文中宋" w:cs="华文中宋"/>
          <w:b/>
          <w:bCs/>
          <w:color w:val="auto"/>
          <w:kern w:val="0"/>
          <w:sz w:val="28"/>
          <w:szCs w:val="28"/>
        </w:rPr>
      </w:pPr>
      <w:r>
        <w:rPr>
          <w:rFonts w:hint="eastAsia" w:ascii="华文中宋" w:hAnsi="华文中宋" w:eastAsia="华文中宋" w:cs="华文中宋"/>
          <w:b/>
          <w:bCs/>
          <w:color w:val="auto"/>
          <w:kern w:val="0"/>
          <w:sz w:val="28"/>
          <w:szCs w:val="28"/>
          <w:lang w:eastAsia="zh-CN"/>
        </w:rPr>
        <w:t>符合性</w:t>
      </w:r>
      <w:r>
        <w:rPr>
          <w:rFonts w:hint="eastAsia" w:ascii="华文中宋" w:hAnsi="华文中宋" w:eastAsia="华文中宋" w:cs="华文中宋"/>
          <w:b/>
          <w:bCs/>
          <w:color w:val="auto"/>
          <w:kern w:val="0"/>
          <w:sz w:val="28"/>
          <w:szCs w:val="28"/>
        </w:rPr>
        <w:t>审查部分：</w:t>
      </w:r>
    </w:p>
    <w:p w14:paraId="7F80E0E6">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1、对总报价</w:t>
      </w:r>
      <w:r>
        <w:rPr>
          <w:rFonts w:hint="eastAsia" w:ascii="华文中宋" w:hAnsi="华文中宋" w:eastAsia="华文中宋" w:cs="华文中宋"/>
          <w:bCs/>
          <w:snapToGrid w:val="0"/>
          <w:color w:val="auto"/>
          <w:kern w:val="0"/>
          <w:sz w:val="28"/>
          <w:szCs w:val="28"/>
        </w:rPr>
        <w:t>、</w:t>
      </w:r>
      <w:r>
        <w:rPr>
          <w:rFonts w:hint="eastAsia" w:ascii="华文中宋" w:hAnsi="华文中宋" w:eastAsia="华文中宋" w:cs="华文中宋"/>
          <w:color w:val="auto"/>
          <w:kern w:val="0"/>
          <w:sz w:val="28"/>
          <w:szCs w:val="28"/>
        </w:rPr>
        <w:t>工期、工程质量、响应有效期要求的响应内容</w:t>
      </w:r>
    </w:p>
    <w:p w14:paraId="0F6878B7">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2、对技术标准和要求的响应内容</w:t>
      </w:r>
    </w:p>
    <w:p w14:paraId="43F7B1DA">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3、对节能产品、环境标志产品承诺要求及政府采购政策的响应内容</w:t>
      </w:r>
    </w:p>
    <w:p w14:paraId="0A52C3FE">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4、已标价工程量清单</w:t>
      </w:r>
    </w:p>
    <w:p w14:paraId="1DCC2ABC">
      <w:pPr>
        <w:pStyle w:val="19"/>
        <w:snapToGrid w:val="0"/>
        <w:spacing w:line="360" w:lineRule="auto"/>
        <w:ind w:firstLine="561" w:firstLineChars="200"/>
        <w:outlineLvl w:val="9"/>
        <w:rPr>
          <w:rFonts w:hint="eastAsia" w:ascii="华文中宋" w:hAnsi="华文中宋" w:eastAsia="华文中宋" w:cs="华文中宋"/>
          <w:b/>
          <w:bCs/>
          <w:color w:val="auto"/>
          <w:kern w:val="0"/>
          <w:sz w:val="28"/>
          <w:szCs w:val="28"/>
        </w:rPr>
      </w:pPr>
      <w:r>
        <w:rPr>
          <w:rFonts w:hint="eastAsia" w:ascii="华文中宋" w:hAnsi="华文中宋" w:eastAsia="华文中宋" w:cs="华文中宋"/>
          <w:b/>
          <w:bCs/>
          <w:color w:val="auto"/>
          <w:kern w:val="0"/>
          <w:sz w:val="28"/>
          <w:szCs w:val="28"/>
        </w:rPr>
        <w:t>综合评分部分：</w:t>
      </w:r>
    </w:p>
    <w:p w14:paraId="45B81C54">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1、施工组织设计</w:t>
      </w:r>
    </w:p>
    <w:p w14:paraId="0DA53F8C">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2、磋商供应商及项目经理资信</w:t>
      </w:r>
    </w:p>
    <w:p w14:paraId="4A73C386">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3、拟分包计划表</w:t>
      </w:r>
    </w:p>
    <w:p w14:paraId="2256A524">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4、其他资料</w:t>
      </w:r>
    </w:p>
    <w:p w14:paraId="4E3D96FC">
      <w:pPr>
        <w:pStyle w:val="19"/>
        <w:snapToGrid w:val="0"/>
        <w:spacing w:line="360" w:lineRule="auto"/>
        <w:ind w:firstLine="560" w:firstLineChars="200"/>
        <w:outlineLvl w:val="9"/>
        <w:rPr>
          <w:rFonts w:hint="eastAsia" w:ascii="华文中宋" w:hAnsi="华文中宋" w:eastAsia="华文中宋" w:cs="华文中宋"/>
          <w:color w:val="auto"/>
          <w:kern w:val="0"/>
          <w:sz w:val="28"/>
          <w:szCs w:val="28"/>
        </w:rPr>
      </w:pPr>
    </w:p>
    <w:p w14:paraId="550AE7FC">
      <w:pPr>
        <w:spacing w:line="360" w:lineRule="auto"/>
        <w:outlineLvl w:val="9"/>
        <w:rPr>
          <w:rFonts w:hint="eastAsia" w:ascii="华文中宋" w:hAnsi="华文中宋" w:eastAsia="华文中宋" w:cs="华文中宋"/>
          <w:b/>
          <w:color w:val="auto"/>
          <w:sz w:val="28"/>
          <w:szCs w:val="28"/>
          <w:lang w:bidi="ar"/>
        </w:rPr>
      </w:pPr>
      <w:r>
        <w:rPr>
          <w:rFonts w:hint="eastAsia" w:ascii="华文中宋" w:hAnsi="华文中宋" w:eastAsia="华文中宋" w:cs="华文中宋"/>
          <w:b/>
          <w:color w:val="auto"/>
          <w:sz w:val="24"/>
          <w:szCs w:val="24"/>
          <w:lang w:bidi="ar"/>
        </w:rPr>
        <w:br w:type="page"/>
      </w:r>
      <w:r>
        <w:rPr>
          <w:rFonts w:hint="eastAsia" w:ascii="华文中宋" w:hAnsi="华文中宋" w:eastAsia="华文中宋" w:cs="华文中宋"/>
          <w:b/>
          <w:color w:val="auto"/>
          <w:sz w:val="24"/>
          <w:szCs w:val="24"/>
          <w:lang w:bidi="ar"/>
        </w:rPr>
        <w:t>商</w:t>
      </w:r>
      <w:r>
        <w:rPr>
          <w:rFonts w:hint="eastAsia" w:ascii="华文中宋" w:hAnsi="华文中宋" w:eastAsia="华文中宋" w:cs="华文中宋"/>
          <w:b/>
          <w:color w:val="auto"/>
          <w:sz w:val="28"/>
          <w:szCs w:val="28"/>
          <w:lang w:bidi="ar"/>
        </w:rPr>
        <w:t>务技术文件（</w:t>
      </w:r>
      <w:r>
        <w:rPr>
          <w:rFonts w:hint="eastAsia" w:ascii="华文中宋" w:hAnsi="华文中宋" w:eastAsia="华文中宋" w:cs="华文中宋"/>
          <w:b/>
          <w:color w:val="auto"/>
          <w:sz w:val="28"/>
          <w:szCs w:val="28"/>
          <w:lang w:eastAsia="zh-CN" w:bidi="ar"/>
        </w:rPr>
        <w:t>符合性</w:t>
      </w:r>
      <w:r>
        <w:rPr>
          <w:rFonts w:hint="eastAsia" w:ascii="华文中宋" w:hAnsi="华文中宋" w:eastAsia="华文中宋" w:cs="华文中宋"/>
          <w:b/>
          <w:color w:val="auto"/>
          <w:sz w:val="28"/>
          <w:szCs w:val="28"/>
          <w:lang w:bidi="ar"/>
        </w:rPr>
        <w:t>审查部分）：</w:t>
      </w:r>
    </w:p>
    <w:p w14:paraId="60453EDE">
      <w:pPr>
        <w:spacing w:line="360" w:lineRule="auto"/>
        <w:ind w:firstLine="561" w:firstLineChars="200"/>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lang w:bidi="ar"/>
        </w:rPr>
        <w:t>（一）对总报价、工期、工程质量、响应有效期要求的响应内容；</w:t>
      </w:r>
    </w:p>
    <w:p w14:paraId="0003CB1B">
      <w:pPr>
        <w:spacing w:line="360" w:lineRule="auto"/>
        <w:ind w:firstLine="560" w:firstLineChars="200"/>
        <w:outlineLvl w:val="9"/>
        <w:rPr>
          <w:rFonts w:hint="eastAsia" w:ascii="华文中宋" w:hAnsi="华文中宋" w:eastAsia="华文中宋" w:cs="华文中宋"/>
          <w:color w:val="auto"/>
          <w:sz w:val="24"/>
          <w:szCs w:val="24"/>
          <w:lang w:bidi="ar"/>
        </w:rPr>
      </w:pPr>
      <w:r>
        <w:rPr>
          <w:rFonts w:hint="eastAsia" w:ascii="华文中宋" w:hAnsi="华文中宋" w:eastAsia="华文中宋" w:cs="华文中宋"/>
          <w:color w:val="auto"/>
          <w:sz w:val="28"/>
          <w:szCs w:val="28"/>
          <w:lang w:bidi="ar"/>
        </w:rPr>
        <w:t>根据本文件第二部分磋商供应商须知前附表中的内容进行响应</w:t>
      </w:r>
      <w:r>
        <w:rPr>
          <w:rFonts w:hint="eastAsia" w:ascii="华文中宋" w:hAnsi="华文中宋" w:eastAsia="华文中宋" w:cs="华文中宋"/>
          <w:color w:val="auto"/>
          <w:sz w:val="24"/>
          <w:szCs w:val="24"/>
          <w:lang w:bidi="ar"/>
        </w:rPr>
        <w:t>。</w:t>
      </w:r>
    </w:p>
    <w:tbl>
      <w:tblPr>
        <w:tblStyle w:val="29"/>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6170"/>
      </w:tblGrid>
      <w:tr w14:paraId="3E09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028" w:type="dxa"/>
            <w:noWrap w:val="0"/>
            <w:vAlign w:val="center"/>
          </w:tcPr>
          <w:p w14:paraId="7921D7E7">
            <w:pPr>
              <w:spacing w:line="560" w:lineRule="exact"/>
              <w:jc w:val="center"/>
              <w:outlineLvl w:val="9"/>
              <w:rPr>
                <w:rFonts w:hint="eastAsia" w:ascii="华文中宋" w:hAnsi="华文中宋" w:eastAsia="华文中宋" w:cs="华文中宋"/>
                <w:color w:val="auto"/>
                <w:sz w:val="24"/>
                <w:szCs w:val="24"/>
                <w:lang w:bidi="ar"/>
              </w:rPr>
            </w:pPr>
            <w:r>
              <w:rPr>
                <w:rFonts w:hint="eastAsia" w:ascii="华文中宋" w:hAnsi="华文中宋" w:eastAsia="华文中宋" w:cs="华文中宋"/>
                <w:color w:val="auto"/>
                <w:sz w:val="24"/>
                <w:szCs w:val="24"/>
                <w:lang w:bidi="ar"/>
              </w:rPr>
              <w:t>磋商供应商名称</w:t>
            </w:r>
          </w:p>
        </w:tc>
        <w:tc>
          <w:tcPr>
            <w:tcW w:w="6170" w:type="dxa"/>
            <w:noWrap w:val="0"/>
            <w:vAlign w:val="center"/>
          </w:tcPr>
          <w:p w14:paraId="463A6072">
            <w:pPr>
              <w:spacing w:line="560" w:lineRule="exact"/>
              <w:jc w:val="center"/>
              <w:outlineLvl w:val="9"/>
              <w:rPr>
                <w:rFonts w:hint="eastAsia" w:ascii="华文中宋" w:hAnsi="华文中宋" w:eastAsia="华文中宋" w:cs="华文中宋"/>
                <w:color w:val="auto"/>
                <w:sz w:val="28"/>
                <w:szCs w:val="28"/>
              </w:rPr>
            </w:pPr>
          </w:p>
        </w:tc>
      </w:tr>
      <w:tr w14:paraId="6EB1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028" w:type="dxa"/>
            <w:noWrap w:val="0"/>
            <w:vAlign w:val="center"/>
          </w:tcPr>
          <w:p w14:paraId="508C1413">
            <w:pPr>
              <w:spacing w:line="560" w:lineRule="exact"/>
              <w:jc w:val="center"/>
              <w:outlineLvl w:val="9"/>
              <w:rPr>
                <w:rFonts w:hint="eastAsia" w:ascii="华文中宋" w:hAnsi="华文中宋" w:eastAsia="华文中宋" w:cs="华文中宋"/>
                <w:color w:val="auto"/>
                <w:sz w:val="24"/>
                <w:szCs w:val="24"/>
                <w:lang w:bidi="ar"/>
              </w:rPr>
            </w:pPr>
            <w:r>
              <w:rPr>
                <w:rFonts w:hint="eastAsia" w:ascii="华文中宋" w:hAnsi="华文中宋" w:eastAsia="华文中宋" w:cs="华文中宋"/>
                <w:color w:val="auto"/>
                <w:sz w:val="24"/>
                <w:szCs w:val="24"/>
                <w:lang w:bidi="ar"/>
              </w:rPr>
              <w:t>总报价</w:t>
            </w:r>
          </w:p>
        </w:tc>
        <w:tc>
          <w:tcPr>
            <w:tcW w:w="6170" w:type="dxa"/>
            <w:noWrap w:val="0"/>
            <w:vAlign w:val="center"/>
          </w:tcPr>
          <w:p w14:paraId="430BD8EA">
            <w:pPr>
              <w:spacing w:line="560" w:lineRule="exact"/>
              <w:jc w:val="center"/>
              <w:outlineLvl w:val="9"/>
              <w:rPr>
                <w:rFonts w:hint="eastAsia" w:ascii="华文中宋" w:hAnsi="华文中宋" w:eastAsia="华文中宋" w:cs="华文中宋"/>
                <w:color w:val="auto"/>
                <w:sz w:val="28"/>
                <w:szCs w:val="28"/>
              </w:rPr>
            </w:pPr>
          </w:p>
        </w:tc>
      </w:tr>
      <w:tr w14:paraId="0C86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028" w:type="dxa"/>
            <w:noWrap w:val="0"/>
            <w:vAlign w:val="center"/>
          </w:tcPr>
          <w:p w14:paraId="026BA34C">
            <w:pPr>
              <w:spacing w:line="240" w:lineRule="auto"/>
              <w:jc w:val="center"/>
              <w:outlineLvl w:val="9"/>
              <w:rPr>
                <w:rFonts w:hint="eastAsia" w:ascii="华文中宋" w:hAnsi="华文中宋" w:eastAsia="华文中宋" w:cs="华文中宋"/>
                <w:color w:val="auto"/>
                <w:sz w:val="24"/>
                <w:szCs w:val="24"/>
                <w:highlight w:val="none"/>
                <w:lang w:val="en-US" w:eastAsia="zh-CN" w:bidi="ar"/>
              </w:rPr>
            </w:pPr>
            <w:r>
              <w:rPr>
                <w:rFonts w:hint="eastAsia" w:ascii="华文中宋" w:hAnsi="华文中宋" w:eastAsia="华文中宋" w:cs="华文中宋"/>
                <w:color w:val="auto"/>
                <w:sz w:val="24"/>
                <w:szCs w:val="24"/>
                <w:highlight w:val="none"/>
                <w:lang w:val="en-US" w:eastAsia="zh-CN" w:bidi="ar"/>
              </w:rPr>
              <w:t>合同履行期限</w:t>
            </w:r>
          </w:p>
          <w:p w14:paraId="0968C593">
            <w:pPr>
              <w:spacing w:line="240" w:lineRule="auto"/>
              <w:jc w:val="center"/>
              <w:outlineLvl w:val="9"/>
              <w:rPr>
                <w:rFonts w:hint="eastAsia" w:ascii="华文中宋" w:hAnsi="华文中宋" w:eastAsia="华文中宋" w:cs="华文中宋"/>
                <w:color w:val="auto"/>
                <w:sz w:val="24"/>
                <w:szCs w:val="24"/>
                <w:lang w:bidi="ar"/>
              </w:rPr>
            </w:pPr>
            <w:r>
              <w:rPr>
                <w:rFonts w:hint="eastAsia" w:ascii="华文中宋" w:hAnsi="华文中宋" w:eastAsia="华文中宋" w:cs="华文中宋"/>
                <w:color w:val="auto"/>
                <w:sz w:val="24"/>
                <w:szCs w:val="24"/>
                <w:highlight w:val="none"/>
                <w:lang w:val="en-US" w:eastAsia="zh-CN" w:bidi="ar"/>
              </w:rPr>
              <w:t>（</w:t>
            </w:r>
            <w:r>
              <w:rPr>
                <w:rFonts w:hint="eastAsia" w:ascii="华文中宋" w:hAnsi="华文中宋" w:eastAsia="华文中宋" w:cs="华文中宋"/>
                <w:color w:val="auto"/>
                <w:sz w:val="24"/>
                <w:szCs w:val="24"/>
                <w:highlight w:val="none"/>
                <w:lang w:bidi="ar"/>
              </w:rPr>
              <w:t>工期</w:t>
            </w:r>
            <w:r>
              <w:rPr>
                <w:rFonts w:hint="eastAsia" w:ascii="华文中宋" w:hAnsi="华文中宋" w:eastAsia="华文中宋" w:cs="华文中宋"/>
                <w:color w:val="auto"/>
                <w:sz w:val="24"/>
                <w:szCs w:val="24"/>
                <w:highlight w:val="none"/>
                <w:lang w:val="en-US" w:eastAsia="zh-CN" w:bidi="ar"/>
              </w:rPr>
              <w:t>）</w:t>
            </w:r>
          </w:p>
        </w:tc>
        <w:tc>
          <w:tcPr>
            <w:tcW w:w="6170" w:type="dxa"/>
            <w:noWrap w:val="0"/>
            <w:vAlign w:val="center"/>
          </w:tcPr>
          <w:p w14:paraId="49E9C713">
            <w:pPr>
              <w:spacing w:line="560" w:lineRule="exact"/>
              <w:outlineLvl w:val="9"/>
              <w:rPr>
                <w:rFonts w:hint="eastAsia" w:ascii="华文中宋" w:hAnsi="华文中宋" w:eastAsia="华文中宋" w:cs="华文中宋"/>
                <w:color w:val="auto"/>
                <w:sz w:val="28"/>
                <w:szCs w:val="28"/>
                <w:u w:val="single"/>
              </w:rPr>
            </w:pPr>
          </w:p>
        </w:tc>
      </w:tr>
      <w:tr w14:paraId="36F4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028" w:type="dxa"/>
            <w:noWrap w:val="0"/>
            <w:vAlign w:val="center"/>
          </w:tcPr>
          <w:p w14:paraId="3806B75D">
            <w:pPr>
              <w:spacing w:line="560" w:lineRule="exact"/>
              <w:jc w:val="center"/>
              <w:outlineLvl w:val="9"/>
              <w:rPr>
                <w:rFonts w:hint="default" w:ascii="华文中宋" w:hAnsi="华文中宋" w:eastAsia="华文中宋" w:cs="华文中宋"/>
                <w:color w:val="auto"/>
                <w:sz w:val="24"/>
                <w:szCs w:val="24"/>
                <w:lang w:val="en-US" w:eastAsia="zh-CN" w:bidi="ar"/>
              </w:rPr>
            </w:pPr>
            <w:r>
              <w:rPr>
                <w:rFonts w:hint="eastAsia" w:ascii="华文中宋" w:hAnsi="华文中宋" w:eastAsia="华文中宋" w:cs="华文中宋"/>
                <w:color w:val="auto"/>
                <w:sz w:val="24"/>
                <w:szCs w:val="24"/>
                <w:lang w:val="en-US" w:eastAsia="zh-CN" w:bidi="ar"/>
              </w:rPr>
              <w:t>工程质量</w:t>
            </w:r>
          </w:p>
        </w:tc>
        <w:tc>
          <w:tcPr>
            <w:tcW w:w="6170" w:type="dxa"/>
            <w:noWrap w:val="0"/>
            <w:vAlign w:val="center"/>
          </w:tcPr>
          <w:p w14:paraId="2B60D3BB">
            <w:pPr>
              <w:tabs>
                <w:tab w:val="left" w:pos="0"/>
              </w:tabs>
              <w:spacing w:before="156" w:beforeLines="50" w:line="560" w:lineRule="exact"/>
              <w:outlineLvl w:val="9"/>
              <w:rPr>
                <w:rFonts w:hint="eastAsia" w:ascii="华文中宋" w:hAnsi="华文中宋" w:eastAsia="华文中宋" w:cs="华文中宋"/>
                <w:color w:val="auto"/>
                <w:sz w:val="28"/>
                <w:szCs w:val="28"/>
                <w:u w:val="single"/>
                <w:lang w:val="zh-CN"/>
              </w:rPr>
            </w:pPr>
          </w:p>
        </w:tc>
      </w:tr>
      <w:tr w14:paraId="745F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028" w:type="dxa"/>
            <w:noWrap w:val="0"/>
            <w:vAlign w:val="center"/>
          </w:tcPr>
          <w:p w14:paraId="73009B2B">
            <w:pPr>
              <w:spacing w:line="560" w:lineRule="exact"/>
              <w:jc w:val="center"/>
              <w:outlineLvl w:val="9"/>
              <w:rPr>
                <w:rFonts w:hint="eastAsia" w:ascii="华文中宋" w:hAnsi="华文中宋" w:eastAsia="华文中宋" w:cs="华文中宋"/>
                <w:color w:val="auto"/>
                <w:sz w:val="24"/>
                <w:szCs w:val="24"/>
                <w:lang w:bidi="ar"/>
              </w:rPr>
            </w:pPr>
            <w:r>
              <w:rPr>
                <w:rFonts w:hint="eastAsia" w:ascii="华文中宋" w:hAnsi="华文中宋" w:eastAsia="华文中宋" w:cs="华文中宋"/>
                <w:color w:val="auto"/>
                <w:sz w:val="24"/>
                <w:szCs w:val="24"/>
                <w:lang w:bidi="ar"/>
              </w:rPr>
              <w:t>响应有效期</w:t>
            </w:r>
          </w:p>
        </w:tc>
        <w:tc>
          <w:tcPr>
            <w:tcW w:w="6170" w:type="dxa"/>
            <w:noWrap w:val="0"/>
            <w:vAlign w:val="center"/>
          </w:tcPr>
          <w:p w14:paraId="2118FF99">
            <w:pPr>
              <w:tabs>
                <w:tab w:val="left" w:pos="0"/>
              </w:tabs>
              <w:spacing w:line="560" w:lineRule="exact"/>
              <w:outlineLvl w:val="9"/>
              <w:rPr>
                <w:rFonts w:hint="eastAsia" w:ascii="华文中宋" w:hAnsi="华文中宋" w:eastAsia="华文中宋" w:cs="华文中宋"/>
                <w:color w:val="auto"/>
                <w:sz w:val="28"/>
                <w:szCs w:val="28"/>
              </w:rPr>
            </w:pPr>
          </w:p>
        </w:tc>
      </w:tr>
    </w:tbl>
    <w:p w14:paraId="3312AC55">
      <w:pPr>
        <w:spacing w:line="360" w:lineRule="auto"/>
        <w:jc w:val="righ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磋商供应商：（</w:t>
      </w:r>
      <w:r>
        <w:rPr>
          <w:rFonts w:hint="eastAsia" w:ascii="华文中宋" w:hAnsi="华文中宋" w:eastAsia="华文中宋" w:cs="华文中宋"/>
          <w:color w:val="auto"/>
          <w:spacing w:val="20"/>
          <w:sz w:val="28"/>
          <w:szCs w:val="28"/>
        </w:rPr>
        <w:t>电子签章</w:t>
      </w:r>
      <w:r>
        <w:rPr>
          <w:rFonts w:hint="eastAsia" w:ascii="华文中宋" w:hAnsi="华文中宋" w:eastAsia="华文中宋" w:cs="华文中宋"/>
          <w:color w:val="auto"/>
          <w:sz w:val="28"/>
          <w:szCs w:val="28"/>
        </w:rPr>
        <w:t>）</w:t>
      </w:r>
    </w:p>
    <w:p w14:paraId="3C2B7EB3">
      <w:pPr>
        <w:spacing w:line="360" w:lineRule="auto"/>
        <w:jc w:val="righ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年  月  日</w:t>
      </w:r>
    </w:p>
    <w:p w14:paraId="065C949A">
      <w:pPr>
        <w:spacing w:line="360" w:lineRule="auto"/>
        <w:ind w:firstLine="561" w:firstLineChars="200"/>
        <w:jc w:val="left"/>
        <w:outlineLvl w:val="9"/>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lang w:bidi="ar"/>
        </w:rPr>
        <w:t>（二）对技术标准和要求的响应内容；</w:t>
      </w:r>
    </w:p>
    <w:p w14:paraId="232180D6">
      <w:pPr>
        <w:spacing w:line="360" w:lineRule="auto"/>
        <w:ind w:firstLine="560" w:firstLineChars="200"/>
        <w:outlineLvl w:val="9"/>
        <w:rPr>
          <w:rFonts w:hint="eastAsia" w:ascii="华文中宋" w:hAnsi="华文中宋" w:eastAsia="华文中宋" w:cs="华文中宋"/>
          <w:b/>
          <w:color w:val="auto"/>
          <w:sz w:val="28"/>
          <w:szCs w:val="28"/>
          <w:lang w:bidi="ar"/>
        </w:rPr>
      </w:pPr>
      <w:r>
        <w:rPr>
          <w:rFonts w:hint="eastAsia" w:ascii="华文中宋" w:hAnsi="华文中宋" w:eastAsia="华文中宋" w:cs="华文中宋"/>
          <w:color w:val="auto"/>
          <w:sz w:val="28"/>
          <w:szCs w:val="28"/>
          <w:lang w:bidi="ar"/>
        </w:rPr>
        <w:t>根据本文件第五部分技术标准和要求的内容进行响应。</w:t>
      </w:r>
    </w:p>
    <w:p w14:paraId="67A09CCC">
      <w:pPr>
        <w:spacing w:line="360" w:lineRule="auto"/>
        <w:ind w:left="420" w:leftChars="200"/>
        <w:outlineLvl w:val="9"/>
        <w:rPr>
          <w:rFonts w:hint="eastAsia" w:ascii="华文中宋" w:hAnsi="华文中宋" w:eastAsia="华文中宋" w:cs="华文中宋"/>
          <w:color w:val="auto"/>
          <w:sz w:val="28"/>
          <w:szCs w:val="28"/>
        </w:rPr>
      </w:pPr>
      <w:r>
        <w:rPr>
          <w:rFonts w:hint="eastAsia" w:ascii="华文中宋" w:hAnsi="华文中宋" w:eastAsia="华文中宋" w:cs="华文中宋"/>
          <w:b/>
          <w:color w:val="auto"/>
          <w:sz w:val="28"/>
          <w:szCs w:val="28"/>
          <w:lang w:bidi="ar"/>
        </w:rPr>
        <w:t>（三）对节能产品、环境标志产品承诺要求的响应内容；</w:t>
      </w:r>
      <w:r>
        <w:rPr>
          <w:rFonts w:hint="eastAsia" w:ascii="华文中宋" w:hAnsi="华文中宋" w:eastAsia="华文中宋" w:cs="华文中宋"/>
          <w:b/>
          <w:color w:val="auto"/>
          <w:sz w:val="28"/>
          <w:szCs w:val="28"/>
        </w:rPr>
        <w:t xml:space="preserve">   </w:t>
      </w:r>
    </w:p>
    <w:p w14:paraId="2CB35527">
      <w:pPr>
        <w:wordWrap w:val="0"/>
        <w:snapToGrid w:val="0"/>
        <w:spacing w:line="360" w:lineRule="auto"/>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 xml:space="preserve">    1、工程内容中含《节能产品政府采购品目清单》中的产品，属于国家强制性采购的，必须符合要求，并单独做出承诺（格式投标人自拟）。</w:t>
      </w:r>
    </w:p>
    <w:p w14:paraId="5E02BA39">
      <w:pPr>
        <w:snapToGrid w:val="0"/>
        <w:spacing w:line="420" w:lineRule="exact"/>
        <w:outlineLvl w:val="9"/>
        <w:rPr>
          <w:rFonts w:hint="eastAsia" w:ascii="华文中宋" w:hAnsi="华文中宋" w:eastAsia="华文中宋" w:cs="华文中宋"/>
          <w:color w:val="auto"/>
        </w:rPr>
      </w:pPr>
      <w:r>
        <w:rPr>
          <w:rFonts w:hint="eastAsia" w:ascii="华文中宋" w:hAnsi="华文中宋" w:eastAsia="华文中宋" w:cs="华文中宋"/>
          <w:color w:val="auto"/>
          <w:sz w:val="28"/>
          <w:szCs w:val="28"/>
        </w:rPr>
        <w:t xml:space="preserve">    2、工程内容中含《环境标志产品政府采购品目清单》中的产品，要求优先选用，并单独做出承诺（格式投标人自拟）。</w:t>
      </w:r>
      <w:bookmarkEnd w:id="1209"/>
      <w:bookmarkStart w:id="1210" w:name="_Toc43363093"/>
      <w:bookmarkStart w:id="1211" w:name="_Toc40954064"/>
      <w:bookmarkStart w:id="1212" w:name="_Toc44690623"/>
      <w:bookmarkStart w:id="1213" w:name="_Toc44690697"/>
    </w:p>
    <w:p w14:paraId="6CE24643">
      <w:pPr>
        <w:spacing w:line="360" w:lineRule="auto"/>
        <w:ind w:left="420" w:leftChars="200"/>
        <w:outlineLvl w:val="9"/>
        <w:rPr>
          <w:rFonts w:hint="eastAsia" w:ascii="华文中宋" w:hAnsi="华文中宋" w:eastAsia="华文中宋" w:cs="华文中宋"/>
          <w:b/>
          <w:color w:val="auto"/>
          <w:sz w:val="28"/>
          <w:szCs w:val="28"/>
          <w:lang w:bidi="ar"/>
        </w:rPr>
      </w:pPr>
      <w:r>
        <w:rPr>
          <w:rFonts w:hint="eastAsia" w:ascii="华文中宋" w:hAnsi="华文中宋" w:eastAsia="华文中宋" w:cs="华文中宋"/>
          <w:b/>
          <w:color w:val="auto"/>
          <w:sz w:val="28"/>
          <w:szCs w:val="28"/>
          <w:lang w:bidi="ar"/>
        </w:rPr>
        <w:t>（四）已标价工程量清单</w:t>
      </w:r>
      <w:bookmarkEnd w:id="1210"/>
      <w:bookmarkEnd w:id="1211"/>
      <w:bookmarkEnd w:id="1212"/>
      <w:bookmarkEnd w:id="1213"/>
    </w:p>
    <w:p w14:paraId="2F9027C3">
      <w:pPr>
        <w:wordWrap w:val="0"/>
        <w:snapToGrid w:val="0"/>
        <w:spacing w:line="360" w:lineRule="auto"/>
        <w:ind w:firstLine="280" w:firstLineChars="10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说明：已标价工程量清单按第六部分 “工程量清单”中的相关清单表格式填写。构成合同文件的已标价工程量清单包括第六部分“工程量清单”有关工程量清单、磋商报价以及其他说明的内容。</w:t>
      </w:r>
    </w:p>
    <w:p w14:paraId="17ED2CC1">
      <w:pPr>
        <w:jc w:val="both"/>
        <w:outlineLvl w:val="9"/>
        <w:rPr>
          <w:rFonts w:hint="eastAsia" w:ascii="华文中宋" w:hAnsi="华文中宋" w:eastAsia="华文中宋" w:cs="华文中宋"/>
          <w:color w:val="auto"/>
          <w:sz w:val="28"/>
          <w:szCs w:val="28"/>
          <w:highlight w:val="yellow"/>
        </w:rPr>
      </w:pPr>
      <w:bookmarkStart w:id="1214" w:name="_Toc43363094"/>
      <w:bookmarkStart w:id="1215" w:name="_Toc44690624"/>
      <w:bookmarkStart w:id="1216" w:name="_Toc44690698"/>
      <w:bookmarkStart w:id="1217" w:name="_Toc40954065"/>
      <w:r>
        <w:rPr>
          <w:rFonts w:hint="eastAsia" w:ascii="华文中宋" w:hAnsi="华文中宋" w:eastAsia="华文中宋" w:cs="华文中宋"/>
          <w:b/>
          <w:color w:val="auto"/>
          <w:sz w:val="28"/>
          <w:szCs w:val="28"/>
          <w:lang w:bidi="ar"/>
        </w:rPr>
        <w:br w:type="page"/>
      </w:r>
      <w:r>
        <w:rPr>
          <w:rFonts w:hint="eastAsia" w:ascii="华文中宋" w:hAnsi="华文中宋" w:eastAsia="华文中宋" w:cs="华文中宋"/>
          <w:b/>
          <w:bCs w:val="0"/>
          <w:color w:val="auto"/>
          <w:kern w:val="2"/>
          <w:sz w:val="28"/>
          <w:szCs w:val="28"/>
          <w:lang w:val="en-US" w:eastAsia="zh-CN" w:bidi="ar"/>
        </w:rPr>
        <w:t>商务技术文件（综合评分部分）：</w:t>
      </w:r>
    </w:p>
    <w:p w14:paraId="01F3C04E">
      <w:pPr>
        <w:jc w:val="both"/>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（一）施工组织设计</w:t>
      </w:r>
      <w:bookmarkEnd w:id="1214"/>
      <w:bookmarkEnd w:id="1215"/>
      <w:bookmarkEnd w:id="1216"/>
      <w:bookmarkEnd w:id="1217"/>
    </w:p>
    <w:p w14:paraId="4AFC0B2C">
      <w:pPr>
        <w:wordWrap w:val="0"/>
        <w:snapToGrid w:val="0"/>
        <w:spacing w:line="360" w:lineRule="auto"/>
        <w:ind w:firstLine="480"/>
        <w:jc w:val="left"/>
        <w:outlineLvl w:val="9"/>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1、施工组织方案</w:t>
      </w:r>
    </w:p>
    <w:p w14:paraId="2DB34A61">
      <w:pPr>
        <w:wordWrap w:val="0"/>
        <w:snapToGrid w:val="0"/>
        <w:spacing w:line="360" w:lineRule="auto"/>
        <w:ind w:firstLine="480"/>
        <w:jc w:val="left"/>
        <w:outlineLvl w:val="9"/>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2、施工进度计划方案</w:t>
      </w:r>
    </w:p>
    <w:p w14:paraId="73311A7F">
      <w:pPr>
        <w:wordWrap w:val="0"/>
        <w:snapToGrid w:val="0"/>
        <w:spacing w:line="360" w:lineRule="auto"/>
        <w:ind w:firstLine="480"/>
        <w:jc w:val="left"/>
        <w:outlineLvl w:val="9"/>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3、施工质量控制方案</w:t>
      </w:r>
    </w:p>
    <w:p w14:paraId="7FD2E908">
      <w:pPr>
        <w:wordWrap w:val="0"/>
        <w:snapToGrid w:val="0"/>
        <w:spacing w:line="360" w:lineRule="auto"/>
        <w:ind w:firstLine="480"/>
        <w:jc w:val="left"/>
        <w:outlineLvl w:val="9"/>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4、安全文明施工保障措施方案</w:t>
      </w:r>
    </w:p>
    <w:p w14:paraId="68D83714">
      <w:pPr>
        <w:wordWrap w:val="0"/>
        <w:snapToGrid w:val="0"/>
        <w:spacing w:line="360" w:lineRule="auto"/>
        <w:ind w:firstLine="480"/>
        <w:jc w:val="left"/>
        <w:outlineLvl w:val="9"/>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5、关键部位施工方案</w:t>
      </w:r>
    </w:p>
    <w:p w14:paraId="05BEA806">
      <w:pPr>
        <w:wordWrap w:val="0"/>
        <w:snapToGrid w:val="0"/>
        <w:spacing w:line="360" w:lineRule="auto"/>
        <w:ind w:firstLine="480"/>
        <w:jc w:val="left"/>
        <w:outlineLvl w:val="9"/>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6、材料供应及劳动力计划安排</w:t>
      </w:r>
    </w:p>
    <w:p w14:paraId="14CBEE6B">
      <w:pPr>
        <w:wordWrap w:val="0"/>
        <w:snapToGrid w:val="0"/>
        <w:spacing w:line="360" w:lineRule="auto"/>
        <w:ind w:firstLine="480"/>
        <w:jc w:val="left"/>
        <w:outlineLvl w:val="9"/>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7、环保、消防、降噪、文明措施</w:t>
      </w:r>
    </w:p>
    <w:p w14:paraId="73EE25D0">
      <w:pPr>
        <w:wordWrap w:val="0"/>
        <w:snapToGrid w:val="0"/>
        <w:spacing w:line="360" w:lineRule="auto"/>
        <w:ind w:firstLine="480"/>
        <w:jc w:val="left"/>
        <w:outlineLvl w:val="9"/>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8、机械设备配置</w:t>
      </w:r>
    </w:p>
    <w:p w14:paraId="58A1632E">
      <w:pPr>
        <w:wordWrap w:val="0"/>
        <w:snapToGrid w:val="0"/>
        <w:spacing w:line="360" w:lineRule="auto"/>
        <w:ind w:firstLine="48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附表一  拟投入本工程的主要施工设备表</w:t>
      </w:r>
    </w:p>
    <w:p w14:paraId="0E40437F">
      <w:pPr>
        <w:wordWrap w:val="0"/>
        <w:snapToGrid w:val="0"/>
        <w:spacing w:line="360" w:lineRule="auto"/>
        <w:ind w:firstLine="48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附表二  拟配备本工程的试验和检测仪器设备表</w:t>
      </w:r>
    </w:p>
    <w:p w14:paraId="0899032C">
      <w:pPr>
        <w:wordWrap w:val="0"/>
        <w:snapToGrid w:val="0"/>
        <w:spacing w:line="360" w:lineRule="auto"/>
        <w:ind w:firstLine="48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附表三  项目管理机构配备情况表</w:t>
      </w:r>
    </w:p>
    <w:p w14:paraId="2FC1998B">
      <w:pPr>
        <w:wordWrap w:val="0"/>
        <w:snapToGrid w:val="0"/>
        <w:spacing w:line="360" w:lineRule="auto"/>
        <w:ind w:firstLine="48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附表四  计划开、竣工日期和施工进度网络图</w:t>
      </w:r>
    </w:p>
    <w:p w14:paraId="45FF9375">
      <w:pPr>
        <w:wordWrap w:val="0"/>
        <w:snapToGrid w:val="0"/>
        <w:spacing w:line="360" w:lineRule="auto"/>
        <w:ind w:firstLine="48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附表五  施工总平面图</w:t>
      </w:r>
    </w:p>
    <w:p w14:paraId="254C8EC1">
      <w:pPr>
        <w:wordWrap w:val="0"/>
        <w:snapToGrid w:val="0"/>
        <w:spacing w:line="360" w:lineRule="auto"/>
        <w:ind w:firstLine="48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sz w:val="28"/>
          <w:szCs w:val="28"/>
        </w:rPr>
        <w:t>附表六  临时用地表</w:t>
      </w:r>
      <w:r>
        <w:rPr>
          <w:rFonts w:hint="eastAsia" w:ascii="华文中宋" w:hAnsi="华文中宋" w:eastAsia="华文中宋" w:cs="华文中宋"/>
          <w:color w:val="auto"/>
          <w:sz w:val="28"/>
          <w:szCs w:val="28"/>
        </w:rPr>
        <w:br w:type="page"/>
      </w:r>
    </w:p>
    <w:p w14:paraId="07B148E7">
      <w:pPr>
        <w:wordWrap w:val="0"/>
        <w:snapToGrid w:val="0"/>
        <w:spacing w:line="360" w:lineRule="auto"/>
        <w:jc w:val="left"/>
        <w:outlineLvl w:val="9"/>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rPr>
        <w:t>附表一：拟投入本工程的主要施工设备表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001"/>
        <w:gridCol w:w="1003"/>
        <w:gridCol w:w="618"/>
        <w:gridCol w:w="1003"/>
        <w:gridCol w:w="1003"/>
        <w:gridCol w:w="1038"/>
        <w:gridCol w:w="1003"/>
        <w:gridCol w:w="1385"/>
        <w:gridCol w:w="615"/>
      </w:tblGrid>
      <w:tr w14:paraId="00725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DEA9C6E">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序号</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0F11270">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设备名称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1112596">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型号规格</w:t>
            </w:r>
          </w:p>
        </w:tc>
        <w:tc>
          <w:tcPr>
            <w:tcW w:w="618" w:type="dxa"/>
            <w:tcBorders>
              <w:top w:val="single" w:color="auto" w:sz="4" w:space="0"/>
              <w:left w:val="single" w:color="auto" w:sz="4" w:space="0"/>
              <w:bottom w:val="single" w:color="auto" w:sz="4" w:space="0"/>
              <w:right w:val="single" w:color="auto" w:sz="4" w:space="0"/>
            </w:tcBorders>
            <w:noWrap w:val="0"/>
            <w:vAlign w:val="center"/>
          </w:tcPr>
          <w:p w14:paraId="52D79C60">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数量</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55F8B0E">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国别产地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EE76684">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制造年份</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D4C6577">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额定功率</w:t>
            </w:r>
          </w:p>
          <w:p w14:paraId="6213B375">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（KW）</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A0A711E">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生产能力</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4E83A0D">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用于施工部位</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6B27463">
            <w:pPr>
              <w:wordWrap w:val="0"/>
              <w:snapToGrid w:val="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备注</w:t>
            </w:r>
          </w:p>
        </w:tc>
      </w:tr>
      <w:tr w14:paraId="52D9E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9C8F438">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A4C070E">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EB5AE18">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AFB95D3">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64E38BB">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3AAFE61">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E8108C1">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4198084">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5873998">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737D45C">
            <w:pPr>
              <w:wordWrap w:val="0"/>
              <w:snapToGrid w:val="0"/>
              <w:spacing w:line="360" w:lineRule="auto"/>
              <w:jc w:val="center"/>
              <w:outlineLvl w:val="9"/>
              <w:rPr>
                <w:rFonts w:hint="eastAsia" w:ascii="华文中宋" w:hAnsi="华文中宋" w:eastAsia="华文中宋" w:cs="华文中宋"/>
                <w:color w:val="auto"/>
              </w:rPr>
            </w:pPr>
          </w:p>
        </w:tc>
      </w:tr>
      <w:tr w14:paraId="77FFA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318DF83">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D94EF4B">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A8259AB">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F96C2D1">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C4A862C">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75C214C">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39A0919">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C2E073C">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1B2AE79">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B4D6E76">
            <w:pPr>
              <w:wordWrap w:val="0"/>
              <w:snapToGrid w:val="0"/>
              <w:spacing w:line="360" w:lineRule="auto"/>
              <w:jc w:val="center"/>
              <w:outlineLvl w:val="9"/>
              <w:rPr>
                <w:rFonts w:hint="eastAsia" w:ascii="华文中宋" w:hAnsi="华文中宋" w:eastAsia="华文中宋" w:cs="华文中宋"/>
                <w:color w:val="auto"/>
              </w:rPr>
            </w:pPr>
          </w:p>
        </w:tc>
      </w:tr>
      <w:tr w14:paraId="7F99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6DD49E5">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5AE94CB">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00BF0D4">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74921F6">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61E0336">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357F9CE">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727D049">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37878E1">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2D028D3">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354EB00">
            <w:pPr>
              <w:wordWrap w:val="0"/>
              <w:snapToGrid w:val="0"/>
              <w:spacing w:line="360" w:lineRule="auto"/>
              <w:jc w:val="center"/>
              <w:outlineLvl w:val="9"/>
              <w:rPr>
                <w:rFonts w:hint="eastAsia" w:ascii="华文中宋" w:hAnsi="华文中宋" w:eastAsia="华文中宋" w:cs="华文中宋"/>
                <w:color w:val="auto"/>
              </w:rPr>
            </w:pPr>
          </w:p>
        </w:tc>
      </w:tr>
      <w:tr w14:paraId="5A578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892BDF1">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FC930AE">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7868D86">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73E3471">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204E48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8154465">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FC53AA2">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1CA7EC">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566BC50">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114E866">
            <w:pPr>
              <w:wordWrap w:val="0"/>
              <w:snapToGrid w:val="0"/>
              <w:spacing w:line="360" w:lineRule="auto"/>
              <w:jc w:val="center"/>
              <w:outlineLvl w:val="9"/>
              <w:rPr>
                <w:rFonts w:hint="eastAsia" w:ascii="华文中宋" w:hAnsi="华文中宋" w:eastAsia="华文中宋" w:cs="华文中宋"/>
                <w:color w:val="auto"/>
              </w:rPr>
            </w:pPr>
          </w:p>
        </w:tc>
      </w:tr>
      <w:tr w14:paraId="15EA1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E25D843">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74CD5AD">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BBD7907">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8CE261C">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86BD8E4">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5ECECFE">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4DA9BDA">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57CB289">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FAF26A8">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4779CC9">
            <w:pPr>
              <w:wordWrap w:val="0"/>
              <w:snapToGrid w:val="0"/>
              <w:spacing w:line="360" w:lineRule="auto"/>
              <w:jc w:val="center"/>
              <w:outlineLvl w:val="9"/>
              <w:rPr>
                <w:rFonts w:hint="eastAsia" w:ascii="华文中宋" w:hAnsi="华文中宋" w:eastAsia="华文中宋" w:cs="华文中宋"/>
                <w:color w:val="auto"/>
              </w:rPr>
            </w:pPr>
          </w:p>
        </w:tc>
      </w:tr>
      <w:tr w14:paraId="5ED51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92FA23A">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3ECD87A">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C4BFEF6">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27E7477">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291BF04">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FDB7E05">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7795035">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AE41AB8">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758F058">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4B21102">
            <w:pPr>
              <w:wordWrap w:val="0"/>
              <w:snapToGrid w:val="0"/>
              <w:spacing w:line="360" w:lineRule="auto"/>
              <w:jc w:val="center"/>
              <w:outlineLvl w:val="9"/>
              <w:rPr>
                <w:rFonts w:hint="eastAsia" w:ascii="华文中宋" w:hAnsi="华文中宋" w:eastAsia="华文中宋" w:cs="华文中宋"/>
                <w:color w:val="auto"/>
              </w:rPr>
            </w:pPr>
          </w:p>
        </w:tc>
      </w:tr>
      <w:tr w14:paraId="5945D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9C9141E">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6F538E8">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078526E">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C14A800">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0FA58F9">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0CE107B">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9F7FAD9">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D32109C">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9EDB0DD">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79B13DF">
            <w:pPr>
              <w:wordWrap w:val="0"/>
              <w:snapToGrid w:val="0"/>
              <w:spacing w:line="360" w:lineRule="auto"/>
              <w:jc w:val="center"/>
              <w:outlineLvl w:val="9"/>
              <w:rPr>
                <w:rFonts w:hint="eastAsia" w:ascii="华文中宋" w:hAnsi="华文中宋" w:eastAsia="华文中宋" w:cs="华文中宋"/>
                <w:color w:val="auto"/>
              </w:rPr>
            </w:pPr>
          </w:p>
        </w:tc>
      </w:tr>
      <w:tr w14:paraId="0F0CB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D36B54F">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CE3E5FE">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04306D7">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FD5E46B">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EB48E4">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EB2BF6B">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400C6F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54DC65A">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82A5865">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DB5C868">
            <w:pPr>
              <w:wordWrap w:val="0"/>
              <w:snapToGrid w:val="0"/>
              <w:spacing w:line="360" w:lineRule="auto"/>
              <w:jc w:val="center"/>
              <w:outlineLvl w:val="9"/>
              <w:rPr>
                <w:rFonts w:hint="eastAsia" w:ascii="华文中宋" w:hAnsi="华文中宋" w:eastAsia="华文中宋" w:cs="华文中宋"/>
                <w:color w:val="auto"/>
              </w:rPr>
            </w:pPr>
          </w:p>
        </w:tc>
      </w:tr>
      <w:tr w14:paraId="04661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1D37F22">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2F5F528">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A46FC33">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B53C4C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1AAEB0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1FF7901">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BD84619">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352A8F0">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0DB655B">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F72BF7">
            <w:pPr>
              <w:wordWrap w:val="0"/>
              <w:snapToGrid w:val="0"/>
              <w:spacing w:line="360" w:lineRule="auto"/>
              <w:jc w:val="center"/>
              <w:outlineLvl w:val="9"/>
              <w:rPr>
                <w:rFonts w:hint="eastAsia" w:ascii="华文中宋" w:hAnsi="华文中宋" w:eastAsia="华文中宋" w:cs="华文中宋"/>
                <w:color w:val="auto"/>
              </w:rPr>
            </w:pPr>
          </w:p>
        </w:tc>
      </w:tr>
      <w:tr w14:paraId="2822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C1D8F14">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B3FA6E3">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64AA521">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E7A597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51490EE">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F885985">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0B76E18">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BDEF0C1">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C51B246">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78541BB">
            <w:pPr>
              <w:wordWrap w:val="0"/>
              <w:snapToGrid w:val="0"/>
              <w:spacing w:line="360" w:lineRule="auto"/>
              <w:jc w:val="center"/>
              <w:outlineLvl w:val="9"/>
              <w:rPr>
                <w:rFonts w:hint="eastAsia" w:ascii="华文中宋" w:hAnsi="华文中宋" w:eastAsia="华文中宋" w:cs="华文中宋"/>
                <w:color w:val="auto"/>
              </w:rPr>
            </w:pPr>
          </w:p>
        </w:tc>
      </w:tr>
      <w:tr w14:paraId="78AC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1FDB83C">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3CEACD2">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EA1EDA9">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921208D">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CF10CAD">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BBCCB69">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122A71A">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A7176F5">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D66A58D">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906356C">
            <w:pPr>
              <w:wordWrap w:val="0"/>
              <w:snapToGrid w:val="0"/>
              <w:spacing w:line="360" w:lineRule="auto"/>
              <w:jc w:val="center"/>
              <w:outlineLvl w:val="9"/>
              <w:rPr>
                <w:rFonts w:hint="eastAsia" w:ascii="华文中宋" w:hAnsi="华文中宋" w:eastAsia="华文中宋" w:cs="华文中宋"/>
                <w:color w:val="auto"/>
              </w:rPr>
            </w:pPr>
          </w:p>
        </w:tc>
      </w:tr>
      <w:tr w14:paraId="2D00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DB700EE">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16E7452">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0F7EBC7">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1F327E4">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6758FB">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4DD881C">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F6A22DC">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BD2F6E2">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2AE8132">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EA56BEE">
            <w:pPr>
              <w:wordWrap w:val="0"/>
              <w:snapToGrid w:val="0"/>
              <w:spacing w:line="360" w:lineRule="auto"/>
              <w:jc w:val="center"/>
              <w:outlineLvl w:val="9"/>
              <w:rPr>
                <w:rFonts w:hint="eastAsia" w:ascii="华文中宋" w:hAnsi="华文中宋" w:eastAsia="华文中宋" w:cs="华文中宋"/>
                <w:color w:val="auto"/>
              </w:rPr>
            </w:pPr>
          </w:p>
        </w:tc>
      </w:tr>
      <w:tr w14:paraId="1D5D7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79A9AF7">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FF98DAD">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56AD253">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F4A8903">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40AB1C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6E3D6E">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11B42C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9F524C1">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63475DB">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88B2FA3">
            <w:pPr>
              <w:wordWrap w:val="0"/>
              <w:snapToGrid w:val="0"/>
              <w:spacing w:line="360" w:lineRule="auto"/>
              <w:jc w:val="center"/>
              <w:outlineLvl w:val="9"/>
              <w:rPr>
                <w:rFonts w:hint="eastAsia" w:ascii="华文中宋" w:hAnsi="华文中宋" w:eastAsia="华文中宋" w:cs="华文中宋"/>
                <w:color w:val="auto"/>
              </w:rPr>
            </w:pPr>
          </w:p>
        </w:tc>
      </w:tr>
      <w:tr w14:paraId="69BD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E375E28">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8FB29E5">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D238009">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2DE3264">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8B77CFB">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7E116B">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2194F5D">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13421AB">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033B7AB">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4BF2691">
            <w:pPr>
              <w:wordWrap w:val="0"/>
              <w:snapToGrid w:val="0"/>
              <w:spacing w:line="360" w:lineRule="auto"/>
              <w:jc w:val="center"/>
              <w:outlineLvl w:val="9"/>
              <w:rPr>
                <w:rFonts w:hint="eastAsia" w:ascii="华文中宋" w:hAnsi="华文中宋" w:eastAsia="华文中宋" w:cs="华文中宋"/>
                <w:color w:val="auto"/>
              </w:rPr>
            </w:pPr>
          </w:p>
        </w:tc>
      </w:tr>
      <w:tr w14:paraId="2AF6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620CCC5">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9DC7FC7">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20DF6B1">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A172F2A">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0597251">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98DDCE7">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FA463A6">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0539C07">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81A88A4">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F0BC782">
            <w:pPr>
              <w:wordWrap w:val="0"/>
              <w:snapToGrid w:val="0"/>
              <w:spacing w:line="360" w:lineRule="auto"/>
              <w:jc w:val="center"/>
              <w:outlineLvl w:val="9"/>
              <w:rPr>
                <w:rFonts w:hint="eastAsia" w:ascii="华文中宋" w:hAnsi="华文中宋" w:eastAsia="华文中宋" w:cs="华文中宋"/>
                <w:color w:val="auto"/>
              </w:rPr>
            </w:pPr>
          </w:p>
        </w:tc>
      </w:tr>
      <w:tr w14:paraId="35BBE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4BEB2B8">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B9F120E">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916D103">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D04E6AD">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906A0CB">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988BE85">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9976702">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5858A30">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65CA477">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DA24F4E">
            <w:pPr>
              <w:wordWrap w:val="0"/>
              <w:snapToGrid w:val="0"/>
              <w:spacing w:line="360" w:lineRule="auto"/>
              <w:jc w:val="center"/>
              <w:outlineLvl w:val="9"/>
              <w:rPr>
                <w:rFonts w:hint="eastAsia" w:ascii="华文中宋" w:hAnsi="华文中宋" w:eastAsia="华文中宋" w:cs="华文中宋"/>
                <w:color w:val="auto"/>
              </w:rPr>
            </w:pPr>
          </w:p>
        </w:tc>
      </w:tr>
      <w:tr w14:paraId="604E0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A27ED9B">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B4BB45D">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55C9896">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B1A7FB8">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DDF86D9">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6EB33E9">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DFAF37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32F26B3">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1A43EA4">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2B2A6AE">
            <w:pPr>
              <w:wordWrap w:val="0"/>
              <w:snapToGrid w:val="0"/>
              <w:spacing w:line="360" w:lineRule="auto"/>
              <w:jc w:val="center"/>
              <w:outlineLvl w:val="9"/>
              <w:rPr>
                <w:rFonts w:hint="eastAsia" w:ascii="华文中宋" w:hAnsi="华文中宋" w:eastAsia="华文中宋" w:cs="华文中宋"/>
                <w:color w:val="auto"/>
              </w:rPr>
            </w:pPr>
          </w:p>
        </w:tc>
      </w:tr>
      <w:tr w14:paraId="430E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31E3A39">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56D592F">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C30D409">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B3B7B61">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D0CEAC5">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7A091D1">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41F09C8">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C09E50B">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3CBDFB7">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B7436A6">
            <w:pPr>
              <w:wordWrap w:val="0"/>
              <w:snapToGrid w:val="0"/>
              <w:spacing w:line="360" w:lineRule="auto"/>
              <w:jc w:val="center"/>
              <w:outlineLvl w:val="9"/>
              <w:rPr>
                <w:rFonts w:hint="eastAsia" w:ascii="华文中宋" w:hAnsi="华文中宋" w:eastAsia="华文中宋" w:cs="华文中宋"/>
                <w:color w:val="auto"/>
              </w:rPr>
            </w:pPr>
          </w:p>
        </w:tc>
      </w:tr>
      <w:tr w14:paraId="74C37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34BDDFF">
            <w:pPr>
              <w:wordWrap w:val="0"/>
              <w:snapToGrid w:val="0"/>
              <w:spacing w:line="360" w:lineRule="auto"/>
              <w:jc w:val="center"/>
              <w:outlineLvl w:val="9"/>
              <w:rPr>
                <w:rFonts w:hint="eastAsia" w:ascii="华文中宋" w:hAnsi="华文中宋" w:eastAsia="华文中宋" w:cs="华文中宋"/>
                <w:color w:val="auto"/>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27694A0">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FDBC63D">
            <w:pPr>
              <w:wordWrap w:val="0"/>
              <w:snapToGrid w:val="0"/>
              <w:spacing w:line="360" w:lineRule="auto"/>
              <w:jc w:val="center"/>
              <w:outlineLvl w:val="9"/>
              <w:rPr>
                <w:rFonts w:hint="eastAsia" w:ascii="华文中宋" w:hAnsi="华文中宋" w:eastAsia="华文中宋" w:cs="华文中宋"/>
                <w:color w:val="auto"/>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CFDEE38">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8673F84">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80B026A">
            <w:pPr>
              <w:wordWrap w:val="0"/>
              <w:snapToGrid w:val="0"/>
              <w:spacing w:line="360" w:lineRule="auto"/>
              <w:jc w:val="center"/>
              <w:outlineLvl w:val="9"/>
              <w:rPr>
                <w:rFonts w:hint="eastAsia" w:ascii="华文中宋" w:hAnsi="华文中宋" w:eastAsia="华文中宋" w:cs="华文中宋"/>
                <w:color w:val="auto"/>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9C53ACE">
            <w:pPr>
              <w:wordWrap w:val="0"/>
              <w:snapToGrid w:val="0"/>
              <w:spacing w:line="360" w:lineRule="auto"/>
              <w:jc w:val="center"/>
              <w:outlineLvl w:val="9"/>
              <w:rPr>
                <w:rFonts w:hint="eastAsia" w:ascii="华文中宋" w:hAnsi="华文中宋" w:eastAsia="华文中宋" w:cs="华文中宋"/>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E6DE208">
            <w:pPr>
              <w:wordWrap w:val="0"/>
              <w:snapToGrid w:val="0"/>
              <w:spacing w:line="360" w:lineRule="auto"/>
              <w:jc w:val="center"/>
              <w:outlineLvl w:val="9"/>
              <w:rPr>
                <w:rFonts w:hint="eastAsia" w:ascii="华文中宋" w:hAnsi="华文中宋" w:eastAsia="华文中宋" w:cs="华文中宋"/>
                <w:color w:val="auto"/>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12CCF59">
            <w:pPr>
              <w:wordWrap w:val="0"/>
              <w:snapToGrid w:val="0"/>
              <w:spacing w:line="360" w:lineRule="auto"/>
              <w:jc w:val="center"/>
              <w:outlineLvl w:val="9"/>
              <w:rPr>
                <w:rFonts w:hint="eastAsia" w:ascii="华文中宋" w:hAnsi="华文中宋" w:eastAsia="华文中宋" w:cs="华文中宋"/>
                <w:color w:val="auto"/>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BA261E3">
            <w:pPr>
              <w:wordWrap w:val="0"/>
              <w:snapToGrid w:val="0"/>
              <w:spacing w:line="360" w:lineRule="auto"/>
              <w:jc w:val="center"/>
              <w:outlineLvl w:val="9"/>
              <w:rPr>
                <w:rFonts w:hint="eastAsia" w:ascii="华文中宋" w:hAnsi="华文中宋" w:eastAsia="华文中宋" w:cs="华文中宋"/>
                <w:color w:val="auto"/>
              </w:rPr>
            </w:pPr>
          </w:p>
        </w:tc>
      </w:tr>
    </w:tbl>
    <w:p w14:paraId="7F3C2365">
      <w:pPr>
        <w:wordWrap w:val="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br w:type="page"/>
      </w:r>
    </w:p>
    <w:p w14:paraId="025701E9">
      <w:pPr>
        <w:wordWrap w:val="0"/>
        <w:snapToGrid w:val="0"/>
        <w:spacing w:line="360" w:lineRule="auto"/>
        <w:jc w:val="left"/>
        <w:outlineLvl w:val="9"/>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rPr>
        <w:t>附表二：拟配备本工程的试验和检测仪器设备表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4"/>
        <w:gridCol w:w="1131"/>
        <w:gridCol w:w="682"/>
        <w:gridCol w:w="1131"/>
        <w:gridCol w:w="1131"/>
        <w:gridCol w:w="1582"/>
        <w:gridCol w:w="682"/>
        <w:gridCol w:w="682"/>
      </w:tblGrid>
      <w:tr w14:paraId="4B39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21ECADF">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序号</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1DF0883">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仪器设备名称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6481F75">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型号规格</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76E8EEA7">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数量</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344CE30">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国别产地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22EDD30">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制造年份</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7383D6B">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已使用台时数</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E2490AA">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用途</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341372A">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备注</w:t>
            </w:r>
          </w:p>
        </w:tc>
      </w:tr>
      <w:tr w14:paraId="64A24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7DBED5D">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35A1FC9">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F450AB3">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0CD21D3">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7D7EACC">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880CF9A">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8BC9502">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7CCA1C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32BD47B">
            <w:pPr>
              <w:wordWrap w:val="0"/>
              <w:snapToGrid w:val="0"/>
              <w:spacing w:line="360" w:lineRule="auto"/>
              <w:jc w:val="center"/>
              <w:outlineLvl w:val="9"/>
              <w:rPr>
                <w:rFonts w:hint="eastAsia" w:ascii="华文中宋" w:hAnsi="华文中宋" w:eastAsia="华文中宋" w:cs="华文中宋"/>
                <w:color w:val="auto"/>
              </w:rPr>
            </w:pPr>
          </w:p>
        </w:tc>
      </w:tr>
      <w:tr w14:paraId="6534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7F89697D">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5C149D2">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3D8CA4">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49FA84C">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3BBC5C4">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F322E1">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C0604D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8ED04F0">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270D006">
            <w:pPr>
              <w:wordWrap w:val="0"/>
              <w:snapToGrid w:val="0"/>
              <w:spacing w:line="360" w:lineRule="auto"/>
              <w:jc w:val="center"/>
              <w:outlineLvl w:val="9"/>
              <w:rPr>
                <w:rFonts w:hint="eastAsia" w:ascii="华文中宋" w:hAnsi="华文中宋" w:eastAsia="华文中宋" w:cs="华文中宋"/>
                <w:color w:val="auto"/>
              </w:rPr>
            </w:pPr>
          </w:p>
        </w:tc>
      </w:tr>
      <w:tr w14:paraId="642CB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3C4AEF6">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B3C2769">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CD6C3D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68B5325">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CEE87E">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AF0C0EB">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E3BE904">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DD4270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1A6FD86">
            <w:pPr>
              <w:wordWrap w:val="0"/>
              <w:snapToGrid w:val="0"/>
              <w:spacing w:line="360" w:lineRule="auto"/>
              <w:jc w:val="center"/>
              <w:outlineLvl w:val="9"/>
              <w:rPr>
                <w:rFonts w:hint="eastAsia" w:ascii="华文中宋" w:hAnsi="华文中宋" w:eastAsia="华文中宋" w:cs="华文中宋"/>
                <w:color w:val="auto"/>
              </w:rPr>
            </w:pPr>
          </w:p>
        </w:tc>
      </w:tr>
      <w:tr w14:paraId="48FCC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3BDD012">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3053F8D">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AC45817">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A6A0E7E">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02AFB72">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0948595">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12D6741">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7609D9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105DDEB">
            <w:pPr>
              <w:wordWrap w:val="0"/>
              <w:snapToGrid w:val="0"/>
              <w:spacing w:line="360" w:lineRule="auto"/>
              <w:jc w:val="center"/>
              <w:outlineLvl w:val="9"/>
              <w:rPr>
                <w:rFonts w:hint="eastAsia" w:ascii="华文中宋" w:hAnsi="华文中宋" w:eastAsia="华文中宋" w:cs="华文中宋"/>
                <w:color w:val="auto"/>
              </w:rPr>
            </w:pPr>
          </w:p>
        </w:tc>
      </w:tr>
      <w:tr w14:paraId="780EF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25DBF60">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A3D33A6">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0A46A7C">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A859366">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87F25D8">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9FF63F8">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1C04F8B">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1510D5D">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4344953">
            <w:pPr>
              <w:wordWrap w:val="0"/>
              <w:snapToGrid w:val="0"/>
              <w:spacing w:line="360" w:lineRule="auto"/>
              <w:jc w:val="center"/>
              <w:outlineLvl w:val="9"/>
              <w:rPr>
                <w:rFonts w:hint="eastAsia" w:ascii="华文中宋" w:hAnsi="华文中宋" w:eastAsia="华文中宋" w:cs="华文中宋"/>
                <w:color w:val="auto"/>
              </w:rPr>
            </w:pPr>
          </w:p>
        </w:tc>
      </w:tr>
      <w:tr w14:paraId="4BC4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814507B">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D4A8B7A">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0FE37D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27EC017">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0961E1A">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A8A315B">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AF1E379">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65F4FFF">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1BA2653">
            <w:pPr>
              <w:wordWrap w:val="0"/>
              <w:snapToGrid w:val="0"/>
              <w:spacing w:line="360" w:lineRule="auto"/>
              <w:jc w:val="center"/>
              <w:outlineLvl w:val="9"/>
              <w:rPr>
                <w:rFonts w:hint="eastAsia" w:ascii="华文中宋" w:hAnsi="华文中宋" w:eastAsia="华文中宋" w:cs="华文中宋"/>
                <w:color w:val="auto"/>
              </w:rPr>
            </w:pPr>
          </w:p>
        </w:tc>
      </w:tr>
      <w:tr w14:paraId="014EE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68F8288">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ABD50C6">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B8DFCB8">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03DDACD">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DFA970">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B469FF4">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B175AAF">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B6C2A81">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2FC5273">
            <w:pPr>
              <w:wordWrap w:val="0"/>
              <w:snapToGrid w:val="0"/>
              <w:spacing w:line="360" w:lineRule="auto"/>
              <w:jc w:val="center"/>
              <w:outlineLvl w:val="9"/>
              <w:rPr>
                <w:rFonts w:hint="eastAsia" w:ascii="华文中宋" w:hAnsi="华文中宋" w:eastAsia="华文中宋" w:cs="华文中宋"/>
                <w:color w:val="auto"/>
              </w:rPr>
            </w:pPr>
          </w:p>
        </w:tc>
      </w:tr>
      <w:tr w14:paraId="4808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963AB19">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59FB6A5">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F68EBE">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03844C9">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D65E717">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5B079B7">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56CDED0">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0911722">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E2B0342">
            <w:pPr>
              <w:wordWrap w:val="0"/>
              <w:snapToGrid w:val="0"/>
              <w:spacing w:line="360" w:lineRule="auto"/>
              <w:jc w:val="center"/>
              <w:outlineLvl w:val="9"/>
              <w:rPr>
                <w:rFonts w:hint="eastAsia" w:ascii="华文中宋" w:hAnsi="华文中宋" w:eastAsia="华文中宋" w:cs="华文中宋"/>
                <w:color w:val="auto"/>
              </w:rPr>
            </w:pPr>
          </w:p>
        </w:tc>
      </w:tr>
      <w:tr w14:paraId="133CD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B8BD0A1">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C597F88">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FA64263">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B1036C2">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478ECC4">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5D43382">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F49B74B">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9881E12">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B166B05">
            <w:pPr>
              <w:wordWrap w:val="0"/>
              <w:snapToGrid w:val="0"/>
              <w:spacing w:line="360" w:lineRule="auto"/>
              <w:jc w:val="center"/>
              <w:outlineLvl w:val="9"/>
              <w:rPr>
                <w:rFonts w:hint="eastAsia" w:ascii="华文中宋" w:hAnsi="华文中宋" w:eastAsia="华文中宋" w:cs="华文中宋"/>
                <w:color w:val="auto"/>
              </w:rPr>
            </w:pPr>
          </w:p>
        </w:tc>
      </w:tr>
      <w:tr w14:paraId="24E94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A8E98D3">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A0DD767">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6C25551">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543E64C">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077E75E">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E34401E">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405B8B">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CCBD6A7">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88B8CE2">
            <w:pPr>
              <w:wordWrap w:val="0"/>
              <w:snapToGrid w:val="0"/>
              <w:spacing w:line="360" w:lineRule="auto"/>
              <w:jc w:val="center"/>
              <w:outlineLvl w:val="9"/>
              <w:rPr>
                <w:rFonts w:hint="eastAsia" w:ascii="华文中宋" w:hAnsi="华文中宋" w:eastAsia="华文中宋" w:cs="华文中宋"/>
                <w:color w:val="auto"/>
              </w:rPr>
            </w:pPr>
          </w:p>
        </w:tc>
      </w:tr>
      <w:tr w14:paraId="2CB8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3756332">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0CC132D">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B8689CB">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08DC0C1">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25DB723">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B39FFDA">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3E8FEFB">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D248E68">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13CB9D0">
            <w:pPr>
              <w:wordWrap w:val="0"/>
              <w:snapToGrid w:val="0"/>
              <w:spacing w:line="360" w:lineRule="auto"/>
              <w:jc w:val="center"/>
              <w:outlineLvl w:val="9"/>
              <w:rPr>
                <w:rFonts w:hint="eastAsia" w:ascii="华文中宋" w:hAnsi="华文中宋" w:eastAsia="华文中宋" w:cs="华文中宋"/>
                <w:color w:val="auto"/>
              </w:rPr>
            </w:pPr>
          </w:p>
        </w:tc>
      </w:tr>
      <w:tr w14:paraId="477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F29EC87">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4292EFE">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B55BE1E">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02A09BB">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8DD46C8">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16148EA">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7FA5224">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1C0AFA4">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4B667DC">
            <w:pPr>
              <w:wordWrap w:val="0"/>
              <w:snapToGrid w:val="0"/>
              <w:spacing w:line="360" w:lineRule="auto"/>
              <w:jc w:val="center"/>
              <w:outlineLvl w:val="9"/>
              <w:rPr>
                <w:rFonts w:hint="eastAsia" w:ascii="华文中宋" w:hAnsi="华文中宋" w:eastAsia="华文中宋" w:cs="华文中宋"/>
                <w:color w:val="auto"/>
              </w:rPr>
            </w:pPr>
          </w:p>
        </w:tc>
      </w:tr>
      <w:tr w14:paraId="47383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5A3D650">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B3A7E82">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0C0CC87">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93776E6">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19FDE58">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B05C824">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C472B4A">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A4CBC63">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AAE222D">
            <w:pPr>
              <w:wordWrap w:val="0"/>
              <w:snapToGrid w:val="0"/>
              <w:spacing w:line="360" w:lineRule="auto"/>
              <w:jc w:val="center"/>
              <w:outlineLvl w:val="9"/>
              <w:rPr>
                <w:rFonts w:hint="eastAsia" w:ascii="华文中宋" w:hAnsi="华文中宋" w:eastAsia="华文中宋" w:cs="华文中宋"/>
                <w:color w:val="auto"/>
              </w:rPr>
            </w:pPr>
          </w:p>
        </w:tc>
      </w:tr>
      <w:tr w14:paraId="6CD67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DA5EF6E">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8E5A814">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8234A3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C0CFE43">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80DB617">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D5F02CB">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1CC5E5B">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FA5A9E8">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9B13ED9">
            <w:pPr>
              <w:wordWrap w:val="0"/>
              <w:snapToGrid w:val="0"/>
              <w:spacing w:line="360" w:lineRule="auto"/>
              <w:jc w:val="center"/>
              <w:outlineLvl w:val="9"/>
              <w:rPr>
                <w:rFonts w:hint="eastAsia" w:ascii="华文中宋" w:hAnsi="华文中宋" w:eastAsia="华文中宋" w:cs="华文中宋"/>
                <w:color w:val="auto"/>
              </w:rPr>
            </w:pPr>
          </w:p>
        </w:tc>
      </w:tr>
      <w:tr w14:paraId="21E0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21EC0084">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AB2DA3C">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8AF929D">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023EDEE">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DBAF8C9">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8318C6B">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3BD3FF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4F03A49">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9C1FFC3">
            <w:pPr>
              <w:wordWrap w:val="0"/>
              <w:snapToGrid w:val="0"/>
              <w:spacing w:line="360" w:lineRule="auto"/>
              <w:jc w:val="center"/>
              <w:outlineLvl w:val="9"/>
              <w:rPr>
                <w:rFonts w:hint="eastAsia" w:ascii="华文中宋" w:hAnsi="华文中宋" w:eastAsia="华文中宋" w:cs="华文中宋"/>
                <w:color w:val="auto"/>
              </w:rPr>
            </w:pPr>
          </w:p>
        </w:tc>
      </w:tr>
      <w:tr w14:paraId="6124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72D96FB8">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4DB4313">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6C9637C">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90E8A0A">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44D5946">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D42391">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A72EB3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983194B">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A542A28">
            <w:pPr>
              <w:wordWrap w:val="0"/>
              <w:snapToGrid w:val="0"/>
              <w:spacing w:line="360" w:lineRule="auto"/>
              <w:jc w:val="center"/>
              <w:outlineLvl w:val="9"/>
              <w:rPr>
                <w:rFonts w:hint="eastAsia" w:ascii="华文中宋" w:hAnsi="华文中宋" w:eastAsia="华文中宋" w:cs="华文中宋"/>
                <w:color w:val="auto"/>
              </w:rPr>
            </w:pPr>
          </w:p>
        </w:tc>
      </w:tr>
      <w:tr w14:paraId="5BEC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23FAB96">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C40E8CE">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45D0FDE">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7C5C6A4">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FD5FFA0">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C260B30">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199C802">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A7ED4B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5E433D1">
            <w:pPr>
              <w:wordWrap w:val="0"/>
              <w:snapToGrid w:val="0"/>
              <w:spacing w:line="360" w:lineRule="auto"/>
              <w:jc w:val="center"/>
              <w:outlineLvl w:val="9"/>
              <w:rPr>
                <w:rFonts w:hint="eastAsia" w:ascii="华文中宋" w:hAnsi="华文中宋" w:eastAsia="华文中宋" w:cs="华文中宋"/>
                <w:color w:val="auto"/>
              </w:rPr>
            </w:pPr>
          </w:p>
        </w:tc>
      </w:tr>
      <w:tr w14:paraId="0C22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1C24466">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A5936C8">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0278FD">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7B20B11">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04BFA14">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71456C">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90490E1">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73D700A">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24DB34F">
            <w:pPr>
              <w:wordWrap w:val="0"/>
              <w:snapToGrid w:val="0"/>
              <w:spacing w:line="360" w:lineRule="auto"/>
              <w:jc w:val="center"/>
              <w:outlineLvl w:val="9"/>
              <w:rPr>
                <w:rFonts w:hint="eastAsia" w:ascii="华文中宋" w:hAnsi="华文中宋" w:eastAsia="华文中宋" w:cs="华文中宋"/>
                <w:color w:val="auto"/>
              </w:rPr>
            </w:pPr>
          </w:p>
        </w:tc>
      </w:tr>
      <w:tr w14:paraId="75457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990F7EA">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BAECED6">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AACFFAF">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70A543F">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F1FF901">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39D7C08">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2FA834E">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B319CBD">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389EC2A">
            <w:pPr>
              <w:wordWrap w:val="0"/>
              <w:snapToGrid w:val="0"/>
              <w:spacing w:line="360" w:lineRule="auto"/>
              <w:jc w:val="center"/>
              <w:outlineLvl w:val="9"/>
              <w:rPr>
                <w:rFonts w:hint="eastAsia" w:ascii="华文中宋" w:hAnsi="华文中宋" w:eastAsia="华文中宋" w:cs="华文中宋"/>
                <w:color w:val="auto"/>
              </w:rPr>
            </w:pPr>
          </w:p>
        </w:tc>
      </w:tr>
      <w:tr w14:paraId="5F8A6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75DD683F">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B343DB9">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8544A5F">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F4F509F">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0CB2512">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70FEB68">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F8DCFEB">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3CE2DE9">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F2B2CEE">
            <w:pPr>
              <w:wordWrap w:val="0"/>
              <w:snapToGrid w:val="0"/>
              <w:spacing w:line="360" w:lineRule="auto"/>
              <w:jc w:val="center"/>
              <w:outlineLvl w:val="9"/>
              <w:rPr>
                <w:rFonts w:hint="eastAsia" w:ascii="华文中宋" w:hAnsi="华文中宋" w:eastAsia="华文中宋" w:cs="华文中宋"/>
                <w:color w:val="auto"/>
              </w:rPr>
            </w:pPr>
          </w:p>
        </w:tc>
      </w:tr>
      <w:tr w14:paraId="53EE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2C2D2E5">
            <w:pPr>
              <w:wordWrap w:val="0"/>
              <w:snapToGrid w:val="0"/>
              <w:spacing w:line="360" w:lineRule="auto"/>
              <w:jc w:val="center"/>
              <w:outlineLvl w:val="9"/>
              <w:rPr>
                <w:rFonts w:hint="eastAsia" w:ascii="华文中宋" w:hAnsi="华文中宋" w:eastAsia="华文中宋" w:cs="华文中宋"/>
                <w:color w:val="auto"/>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917CA50">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EC53B66">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BC1CBB1">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BB7FA19">
            <w:pPr>
              <w:wordWrap w:val="0"/>
              <w:snapToGrid w:val="0"/>
              <w:spacing w:line="360" w:lineRule="auto"/>
              <w:jc w:val="center"/>
              <w:outlineLvl w:val="9"/>
              <w:rPr>
                <w:rFonts w:hint="eastAsia" w:ascii="华文中宋" w:hAnsi="华文中宋" w:eastAsia="华文中宋" w:cs="华文中宋"/>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8AC40EC">
            <w:pPr>
              <w:wordWrap w:val="0"/>
              <w:snapToGrid w:val="0"/>
              <w:spacing w:line="360" w:lineRule="auto"/>
              <w:jc w:val="center"/>
              <w:outlineLvl w:val="9"/>
              <w:rPr>
                <w:rFonts w:hint="eastAsia" w:ascii="华文中宋" w:hAnsi="华文中宋" w:eastAsia="华文中宋" w:cs="华文中宋"/>
                <w:color w:val="auto"/>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41DDD19">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2251B75">
            <w:pPr>
              <w:wordWrap w:val="0"/>
              <w:snapToGrid w:val="0"/>
              <w:spacing w:line="360" w:lineRule="auto"/>
              <w:jc w:val="center"/>
              <w:outlineLvl w:val="9"/>
              <w:rPr>
                <w:rFonts w:hint="eastAsia" w:ascii="华文中宋" w:hAnsi="华文中宋" w:eastAsia="华文中宋" w:cs="华文中宋"/>
                <w:color w:val="auto"/>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B8B331D">
            <w:pPr>
              <w:wordWrap w:val="0"/>
              <w:snapToGrid w:val="0"/>
              <w:spacing w:line="360" w:lineRule="auto"/>
              <w:jc w:val="center"/>
              <w:outlineLvl w:val="9"/>
              <w:rPr>
                <w:rFonts w:hint="eastAsia" w:ascii="华文中宋" w:hAnsi="华文中宋" w:eastAsia="华文中宋" w:cs="华文中宋"/>
                <w:color w:val="auto"/>
              </w:rPr>
            </w:pPr>
          </w:p>
        </w:tc>
      </w:tr>
    </w:tbl>
    <w:p w14:paraId="36580A80">
      <w:pPr>
        <w:wordWrap w:val="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br w:type="page"/>
      </w:r>
    </w:p>
    <w:p w14:paraId="0BDD8F36">
      <w:pPr>
        <w:wordWrap w:val="0"/>
        <w:snapToGrid w:val="0"/>
        <w:spacing w:before="156" w:after="312" w:line="360" w:lineRule="auto"/>
        <w:jc w:val="left"/>
        <w:outlineLvl w:val="9"/>
        <w:rPr>
          <w:rFonts w:hint="eastAsia" w:ascii="华文中宋" w:hAnsi="华文中宋" w:eastAsia="华文中宋" w:cs="华文中宋"/>
          <w:color w:val="auto"/>
          <w:sz w:val="32"/>
          <w:szCs w:val="32"/>
        </w:rPr>
      </w:pPr>
      <w:r>
        <w:rPr>
          <w:rFonts w:hint="eastAsia" w:ascii="华文中宋" w:hAnsi="华文中宋" w:eastAsia="华文中宋" w:cs="华文中宋"/>
          <w:color w:val="auto"/>
          <w:sz w:val="28"/>
          <w:szCs w:val="32"/>
        </w:rPr>
        <w:t>附表三：项目管理机构配备情况表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691"/>
        <w:gridCol w:w="691"/>
        <w:gridCol w:w="1166"/>
        <w:gridCol w:w="691"/>
        <w:gridCol w:w="691"/>
        <w:gridCol w:w="691"/>
        <w:gridCol w:w="1404"/>
        <w:gridCol w:w="929"/>
        <w:gridCol w:w="1642"/>
      </w:tblGrid>
      <w:tr w14:paraId="6FAF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9" w:hRule="atLeast"/>
          <w:jc w:val="center"/>
        </w:trPr>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0808B534">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职务</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78144516">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姓名</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5E5083B0">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职称</w:t>
            </w:r>
          </w:p>
        </w:tc>
        <w:tc>
          <w:tcPr>
            <w:tcW w:w="4643" w:type="dxa"/>
            <w:gridSpan w:val="5"/>
            <w:tcBorders>
              <w:top w:val="single" w:color="auto" w:sz="4" w:space="0"/>
              <w:left w:val="single" w:color="auto" w:sz="4" w:space="0"/>
              <w:bottom w:val="single" w:color="auto" w:sz="4" w:space="0"/>
              <w:right w:val="single" w:color="auto" w:sz="4" w:space="0"/>
            </w:tcBorders>
            <w:noWrap w:val="0"/>
            <w:vAlign w:val="center"/>
          </w:tcPr>
          <w:p w14:paraId="4740554A">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执业或职业资格证明</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14:paraId="56FE93BC">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已承担在建工程情况</w:t>
            </w:r>
          </w:p>
        </w:tc>
      </w:tr>
      <w:tr w14:paraId="0A200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9" w:hRule="atLeast"/>
          <w:jc w:val="center"/>
        </w:trPr>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508928C3">
            <w:pPr>
              <w:spacing w:line="240" w:lineRule="auto"/>
              <w:jc w:val="center"/>
              <w:outlineLvl w:val="9"/>
              <w:rPr>
                <w:rFonts w:hint="eastAsia" w:ascii="华文中宋" w:hAnsi="华文中宋" w:eastAsia="华文中宋" w:cs="华文中宋"/>
                <w:color w:val="auto"/>
                <w:sz w:val="21"/>
                <w:szCs w:val="21"/>
              </w:rPr>
            </w:pPr>
          </w:p>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70604B92">
            <w:pPr>
              <w:spacing w:line="240" w:lineRule="auto"/>
              <w:jc w:val="center"/>
              <w:outlineLvl w:val="9"/>
              <w:rPr>
                <w:rFonts w:hint="eastAsia" w:ascii="华文中宋" w:hAnsi="华文中宋" w:eastAsia="华文中宋" w:cs="华文中宋"/>
                <w:color w:val="auto"/>
                <w:sz w:val="21"/>
                <w:szCs w:val="21"/>
              </w:rPr>
            </w:pPr>
          </w:p>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33863B62">
            <w:pPr>
              <w:spacing w:line="240" w:lineRule="auto"/>
              <w:jc w:val="center"/>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4C1CDB1">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证书名称</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617185D">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级别</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AECD363">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证号</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C99C593">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专业</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8311C99">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原服务单位</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5B0C881">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项目数</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C2374B4">
            <w:pPr>
              <w:wordWrap w:val="0"/>
              <w:snapToGrid w:val="0"/>
              <w:spacing w:line="240" w:lineRule="auto"/>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主要项目名称</w:t>
            </w:r>
          </w:p>
        </w:tc>
      </w:tr>
      <w:tr w14:paraId="5A07D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AF6B68C">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13AB0B2">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69742E1">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EDBBC94">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EDE130B">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DA8CEFA">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E4EA2FD">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BCD284A">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2382E38C">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D436AB0">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01C19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6009034">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09DCD88">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614CF75">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8AD08E8">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05DC7DB">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A62D899">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5C0C532">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D0A26E8">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11FD557E">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E724A89">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5AE57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6FFF271">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9227839">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6C6E4D2">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9C863F3">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34326E7">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531E40C">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30F7DEA">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A6AA3E2">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79FE36F9">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74269DE">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4F0CC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5321515">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F5C24F9">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1DA2F57">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25713B2">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4A27725">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84A9DD">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1B24D61">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62B68FA">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7F08E0A">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D8AEC9E">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5421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D061C8A">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D5193D7">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E080898">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1205875">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676613F">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05CF92B">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EE9FDBA">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65BE779">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3D6AA84">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862DE04">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112E8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EFFC43E">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C49AB97">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6B7EE5C">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45A14E9">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C498F3E">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FE96DD1">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EC234F0">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5536788">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3BFF683">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0C35071">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0337E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6E70FAB">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C556D48">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1652EF3">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745781F">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2CA1C45">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9B7407A">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A1DE78">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DA69543">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3E836FB">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AA41111">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3BB55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A5918BB">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4EE3532">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6BDD910">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E5AC1BF">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FF56188">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BA7D011">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70BDB08">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6A3DB9E">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6B0D96B0">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6E1C489">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002F5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0CF1EE0">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E47EDBC">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6C4CD2C">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71BE301">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6482FE0">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9FF2110">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1464502">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C55FD93">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22DCAF3E">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64125FA">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705E0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77AAEEC">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D32DA89">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C6FC989">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6F4BF12">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EB89981">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B7DF726">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F104354">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F3EF904">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7656F37C">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5BEEFF0">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3DC88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E670C41">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9E93A5E">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9DE8491">
            <w:pPr>
              <w:wordWrap w:val="0"/>
              <w:snapToGrid w:val="0"/>
              <w:spacing w:line="360" w:lineRule="auto"/>
              <w:outlineLvl w:val="9"/>
              <w:rPr>
                <w:rFonts w:hint="eastAsia" w:ascii="华文中宋" w:hAnsi="华文中宋" w:eastAsia="华文中宋" w:cs="华文中宋"/>
                <w:color w:val="auto"/>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0E18E95">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8B507D6">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27610FA">
            <w:pPr>
              <w:wordWrap w:val="0"/>
              <w:snapToGrid w:val="0"/>
              <w:spacing w:line="360" w:lineRule="auto"/>
              <w:outlineLvl w:val="9"/>
              <w:rPr>
                <w:rFonts w:hint="eastAsia" w:ascii="华文中宋" w:hAnsi="华文中宋" w:eastAsia="华文中宋" w:cs="华文中宋"/>
                <w:color w:val="auto"/>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97F8792">
            <w:pPr>
              <w:wordWrap w:val="0"/>
              <w:snapToGrid w:val="0"/>
              <w:spacing w:line="360" w:lineRule="auto"/>
              <w:outlineLvl w:val="9"/>
              <w:rPr>
                <w:rFonts w:hint="eastAsia" w:ascii="华文中宋" w:hAnsi="华文中宋" w:eastAsia="华文中宋" w:cs="华文中宋"/>
                <w:color w:val="auto"/>
                <w:sz w:val="21"/>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B0704B6">
            <w:pPr>
              <w:wordWrap w:val="0"/>
              <w:snapToGrid w:val="0"/>
              <w:spacing w:line="360" w:lineRule="auto"/>
              <w:outlineLvl w:val="9"/>
              <w:rPr>
                <w:rFonts w:hint="eastAsia" w:ascii="华文中宋" w:hAnsi="华文中宋" w:eastAsia="华文中宋" w:cs="华文中宋"/>
                <w:color w:val="auto"/>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618BE785">
            <w:pPr>
              <w:wordWrap w:val="0"/>
              <w:snapToGrid w:val="0"/>
              <w:spacing w:line="360" w:lineRule="auto"/>
              <w:outlineLvl w:val="9"/>
              <w:rPr>
                <w:rFonts w:hint="eastAsia" w:ascii="华文中宋" w:hAnsi="华文中宋" w:eastAsia="华文中宋" w:cs="华文中宋"/>
                <w:color w:val="auto"/>
                <w:sz w:val="21"/>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C12AF46">
            <w:pPr>
              <w:wordWrap w:val="0"/>
              <w:snapToGrid w:val="0"/>
              <w:spacing w:line="360" w:lineRule="auto"/>
              <w:jc w:val="left"/>
              <w:outlineLvl w:val="9"/>
              <w:rPr>
                <w:rFonts w:hint="eastAsia" w:ascii="华文中宋" w:hAnsi="华文中宋" w:eastAsia="华文中宋" w:cs="华文中宋"/>
                <w:color w:val="auto"/>
                <w:sz w:val="21"/>
                <w:szCs w:val="21"/>
              </w:rPr>
            </w:pPr>
          </w:p>
        </w:tc>
      </w:tr>
      <w:tr w14:paraId="2472B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7E7B8E18">
            <w:pPr>
              <w:wordWrap w:val="0"/>
              <w:snapToGrid w:val="0"/>
              <w:spacing w:line="360" w:lineRule="auto"/>
              <w:ind w:firstLine="360"/>
              <w:jc w:val="center"/>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本表后附相关人员证件及其他证明文件</w:t>
            </w:r>
          </w:p>
        </w:tc>
      </w:tr>
    </w:tbl>
    <w:p w14:paraId="7E20F0C8">
      <w:pPr>
        <w:wordWrap w:val="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br w:type="page"/>
      </w:r>
    </w:p>
    <w:p w14:paraId="05AB415C">
      <w:pPr>
        <w:wordWrap w:val="0"/>
        <w:snapToGrid w:val="0"/>
        <w:spacing w:line="360" w:lineRule="auto"/>
        <w:jc w:val="left"/>
        <w:outlineLvl w:val="9"/>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rPr>
        <w:t>附表四：计划开、竣工日期和施工进度网络图</w:t>
      </w:r>
    </w:p>
    <w:p w14:paraId="222CCB93">
      <w:pPr>
        <w:wordWrap w:val="0"/>
        <w:snapToGrid w:val="0"/>
        <w:spacing w:line="360" w:lineRule="auto"/>
        <w:ind w:firstLine="480"/>
        <w:jc w:val="left"/>
        <w:outlineLvl w:val="9"/>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rPr>
        <w:t>1．磋商供应商应递交施工进度网络图或施工进度表，说明按磋商文件要求的计划工期进行施工的各个关键日期。</w:t>
      </w:r>
    </w:p>
    <w:p w14:paraId="1677BDCA">
      <w:pPr>
        <w:wordWrap w:val="0"/>
        <w:snapToGrid w:val="0"/>
        <w:spacing w:line="360" w:lineRule="auto"/>
        <w:ind w:firstLine="480"/>
        <w:jc w:val="left"/>
        <w:outlineLvl w:val="9"/>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rPr>
        <w:t>2．施工进度表可采用网络图和（或）横道图表示。</w:t>
      </w:r>
    </w:p>
    <w:p w14:paraId="619F48FE">
      <w:pPr>
        <w:wordWrap w:val="0"/>
        <w:snapToGrid w:val="0"/>
        <w:spacing w:line="360" w:lineRule="auto"/>
        <w:jc w:val="left"/>
        <w:outlineLvl w:val="9"/>
        <w:rPr>
          <w:rFonts w:hint="eastAsia" w:ascii="华文中宋" w:hAnsi="华文中宋" w:eastAsia="华文中宋" w:cs="华文中宋"/>
          <w:color w:val="auto"/>
          <w:sz w:val="28"/>
          <w:szCs w:val="32"/>
        </w:rPr>
      </w:pPr>
    </w:p>
    <w:p w14:paraId="6B596E5D">
      <w:pPr>
        <w:wordWrap w:val="0"/>
        <w:snapToGrid w:val="0"/>
        <w:spacing w:line="360" w:lineRule="auto"/>
        <w:jc w:val="left"/>
        <w:outlineLvl w:val="9"/>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rPr>
        <w:t>附表五：施工总平面图</w:t>
      </w:r>
    </w:p>
    <w:p w14:paraId="03E5ABBE">
      <w:pPr>
        <w:wordWrap w:val="0"/>
        <w:snapToGrid w:val="0"/>
        <w:spacing w:line="360" w:lineRule="auto"/>
        <w:ind w:firstLine="480"/>
        <w:jc w:val="left"/>
        <w:outlineLvl w:val="9"/>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rPr>
        <w:t>磋商供应商应递交一份施工总平面图，绘出现场临时设施布置图表并附文字说明，说明临时设施、加工车间、现场办公、设备及仓储、供电、供水、卫生、生活、道路、消防等设施的情况和布置。</w:t>
      </w:r>
    </w:p>
    <w:p w14:paraId="614FF875">
      <w:pPr>
        <w:wordWrap w:val="0"/>
        <w:snapToGrid w:val="0"/>
        <w:spacing w:line="360" w:lineRule="auto"/>
        <w:jc w:val="left"/>
        <w:outlineLvl w:val="9"/>
        <w:rPr>
          <w:rFonts w:hint="eastAsia" w:ascii="华文中宋" w:hAnsi="华文中宋" w:eastAsia="华文中宋" w:cs="华文中宋"/>
          <w:color w:val="auto"/>
          <w:sz w:val="28"/>
          <w:szCs w:val="32"/>
        </w:rPr>
      </w:pPr>
    </w:p>
    <w:p w14:paraId="201D8503">
      <w:pPr>
        <w:wordWrap w:val="0"/>
        <w:snapToGrid w:val="0"/>
        <w:spacing w:line="360" w:lineRule="auto"/>
        <w:jc w:val="left"/>
        <w:outlineLvl w:val="9"/>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rPr>
        <w:t>附表六：临时用地表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2271"/>
        <w:gridCol w:w="2269"/>
        <w:gridCol w:w="2268"/>
      </w:tblGrid>
      <w:tr w14:paraId="5118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CD70146">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用  途</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81DFBB5">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面积（平方米）</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64BF00E">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位  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11AAB3">
            <w:pPr>
              <w:wordWrap w:val="0"/>
              <w:snapToGrid w:val="0"/>
              <w:spacing w:line="24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需用时间</w:t>
            </w:r>
          </w:p>
        </w:tc>
      </w:tr>
      <w:tr w14:paraId="5990F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569F1F0">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9A3DFF9">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CDDB859">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E20CF2">
            <w:pPr>
              <w:wordWrap w:val="0"/>
              <w:snapToGrid w:val="0"/>
              <w:spacing w:line="360" w:lineRule="auto"/>
              <w:outlineLvl w:val="9"/>
              <w:rPr>
                <w:rFonts w:hint="eastAsia" w:ascii="华文中宋" w:hAnsi="华文中宋" w:eastAsia="华文中宋" w:cs="华文中宋"/>
                <w:color w:val="auto"/>
                <w:sz w:val="24"/>
                <w:szCs w:val="24"/>
              </w:rPr>
            </w:pPr>
          </w:p>
        </w:tc>
      </w:tr>
      <w:tr w14:paraId="7E030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280F02C">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FC6BD2D">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C26B07A">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F40D0F">
            <w:pPr>
              <w:wordWrap w:val="0"/>
              <w:snapToGrid w:val="0"/>
              <w:spacing w:line="360" w:lineRule="auto"/>
              <w:outlineLvl w:val="9"/>
              <w:rPr>
                <w:rFonts w:hint="eastAsia" w:ascii="华文中宋" w:hAnsi="华文中宋" w:eastAsia="华文中宋" w:cs="华文中宋"/>
                <w:color w:val="auto"/>
                <w:sz w:val="24"/>
                <w:szCs w:val="24"/>
              </w:rPr>
            </w:pPr>
          </w:p>
        </w:tc>
      </w:tr>
      <w:tr w14:paraId="1B05C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1D04877">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9269AE4">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3703880">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350B25">
            <w:pPr>
              <w:wordWrap w:val="0"/>
              <w:snapToGrid w:val="0"/>
              <w:spacing w:line="360" w:lineRule="auto"/>
              <w:outlineLvl w:val="9"/>
              <w:rPr>
                <w:rFonts w:hint="eastAsia" w:ascii="华文中宋" w:hAnsi="华文中宋" w:eastAsia="华文中宋" w:cs="华文中宋"/>
                <w:color w:val="auto"/>
                <w:sz w:val="24"/>
                <w:szCs w:val="24"/>
              </w:rPr>
            </w:pPr>
          </w:p>
        </w:tc>
      </w:tr>
      <w:tr w14:paraId="76E4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FACEEBB">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340040D">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6F3FCC8">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472269">
            <w:pPr>
              <w:wordWrap w:val="0"/>
              <w:snapToGrid w:val="0"/>
              <w:spacing w:line="360" w:lineRule="auto"/>
              <w:outlineLvl w:val="9"/>
              <w:rPr>
                <w:rFonts w:hint="eastAsia" w:ascii="华文中宋" w:hAnsi="华文中宋" w:eastAsia="华文中宋" w:cs="华文中宋"/>
                <w:color w:val="auto"/>
                <w:sz w:val="24"/>
                <w:szCs w:val="24"/>
              </w:rPr>
            </w:pPr>
          </w:p>
        </w:tc>
      </w:tr>
      <w:tr w14:paraId="38569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2208439">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5604EFA">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838AAC7">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3E85F0">
            <w:pPr>
              <w:wordWrap w:val="0"/>
              <w:snapToGrid w:val="0"/>
              <w:spacing w:line="360" w:lineRule="auto"/>
              <w:outlineLvl w:val="9"/>
              <w:rPr>
                <w:rFonts w:hint="eastAsia" w:ascii="华文中宋" w:hAnsi="华文中宋" w:eastAsia="华文中宋" w:cs="华文中宋"/>
                <w:color w:val="auto"/>
                <w:sz w:val="24"/>
                <w:szCs w:val="24"/>
              </w:rPr>
            </w:pPr>
          </w:p>
        </w:tc>
      </w:tr>
      <w:tr w14:paraId="5D1EC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CDE89E3">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50495FD">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8C43581">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912827C">
            <w:pPr>
              <w:wordWrap w:val="0"/>
              <w:snapToGrid w:val="0"/>
              <w:spacing w:line="360" w:lineRule="auto"/>
              <w:outlineLvl w:val="9"/>
              <w:rPr>
                <w:rFonts w:hint="eastAsia" w:ascii="华文中宋" w:hAnsi="华文中宋" w:eastAsia="华文中宋" w:cs="华文中宋"/>
                <w:color w:val="auto"/>
                <w:sz w:val="24"/>
                <w:szCs w:val="24"/>
              </w:rPr>
            </w:pPr>
          </w:p>
        </w:tc>
      </w:tr>
      <w:tr w14:paraId="347FB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FEAB90C">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CF03F6B">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08ADA50">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5EF1DC">
            <w:pPr>
              <w:wordWrap w:val="0"/>
              <w:snapToGrid w:val="0"/>
              <w:spacing w:line="360" w:lineRule="auto"/>
              <w:outlineLvl w:val="9"/>
              <w:rPr>
                <w:rFonts w:hint="eastAsia" w:ascii="华文中宋" w:hAnsi="华文中宋" w:eastAsia="华文中宋" w:cs="华文中宋"/>
                <w:color w:val="auto"/>
                <w:sz w:val="24"/>
                <w:szCs w:val="24"/>
              </w:rPr>
            </w:pPr>
          </w:p>
        </w:tc>
      </w:tr>
      <w:tr w14:paraId="5F362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E47C1F6">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A6E8C2E">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6B4A781">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3933641">
            <w:pPr>
              <w:wordWrap w:val="0"/>
              <w:snapToGrid w:val="0"/>
              <w:spacing w:line="360" w:lineRule="auto"/>
              <w:outlineLvl w:val="9"/>
              <w:rPr>
                <w:rFonts w:hint="eastAsia" w:ascii="华文中宋" w:hAnsi="华文中宋" w:eastAsia="华文中宋" w:cs="华文中宋"/>
                <w:color w:val="auto"/>
                <w:sz w:val="24"/>
                <w:szCs w:val="24"/>
              </w:rPr>
            </w:pPr>
          </w:p>
        </w:tc>
      </w:tr>
      <w:tr w14:paraId="38E5C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4FA6322">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32B13EC">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0EF23BC">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E5C344">
            <w:pPr>
              <w:wordWrap w:val="0"/>
              <w:snapToGrid w:val="0"/>
              <w:spacing w:line="360" w:lineRule="auto"/>
              <w:outlineLvl w:val="9"/>
              <w:rPr>
                <w:rFonts w:hint="eastAsia" w:ascii="华文中宋" w:hAnsi="华文中宋" w:eastAsia="华文中宋" w:cs="华文中宋"/>
                <w:color w:val="auto"/>
                <w:sz w:val="24"/>
                <w:szCs w:val="24"/>
              </w:rPr>
            </w:pPr>
          </w:p>
        </w:tc>
      </w:tr>
      <w:tr w14:paraId="01968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C6FF73D">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215A9FF">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F1982A9">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84B4AF">
            <w:pPr>
              <w:wordWrap w:val="0"/>
              <w:snapToGrid w:val="0"/>
              <w:spacing w:line="360" w:lineRule="auto"/>
              <w:outlineLvl w:val="9"/>
              <w:rPr>
                <w:rFonts w:hint="eastAsia" w:ascii="华文中宋" w:hAnsi="华文中宋" w:eastAsia="华文中宋" w:cs="华文中宋"/>
                <w:color w:val="auto"/>
                <w:sz w:val="24"/>
                <w:szCs w:val="24"/>
              </w:rPr>
            </w:pPr>
          </w:p>
        </w:tc>
      </w:tr>
      <w:tr w14:paraId="058C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C262135">
            <w:pPr>
              <w:wordWrap w:val="0"/>
              <w:snapToGrid w:val="0"/>
              <w:spacing w:line="360" w:lineRule="auto"/>
              <w:outlineLvl w:val="9"/>
              <w:rPr>
                <w:rFonts w:hint="eastAsia" w:ascii="华文中宋" w:hAnsi="华文中宋" w:eastAsia="华文中宋" w:cs="华文中宋"/>
                <w:color w:val="auto"/>
                <w:sz w:val="24"/>
                <w:szCs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3E8A2BD">
            <w:pPr>
              <w:wordWrap w:val="0"/>
              <w:snapToGrid w:val="0"/>
              <w:spacing w:line="360" w:lineRule="auto"/>
              <w:outlineLvl w:val="9"/>
              <w:rPr>
                <w:rFonts w:hint="eastAsia" w:ascii="华文中宋" w:hAnsi="华文中宋" w:eastAsia="华文中宋" w:cs="华文中宋"/>
                <w:color w:val="auto"/>
                <w:sz w:val="24"/>
                <w:szCs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ADB74B5">
            <w:pPr>
              <w:wordWrap w:val="0"/>
              <w:snapToGrid w:val="0"/>
              <w:spacing w:line="360" w:lineRule="auto"/>
              <w:outlineLvl w:val="9"/>
              <w:rPr>
                <w:rFonts w:hint="eastAsia" w:ascii="华文中宋" w:hAnsi="华文中宋" w:eastAsia="华文中宋" w:cs="华文中宋"/>
                <w:color w:val="auto"/>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90D47B">
            <w:pPr>
              <w:wordWrap w:val="0"/>
              <w:snapToGrid w:val="0"/>
              <w:spacing w:line="360" w:lineRule="auto"/>
              <w:outlineLvl w:val="9"/>
              <w:rPr>
                <w:rFonts w:hint="eastAsia" w:ascii="华文中宋" w:hAnsi="华文中宋" w:eastAsia="华文中宋" w:cs="华文中宋"/>
                <w:color w:val="auto"/>
                <w:sz w:val="24"/>
                <w:szCs w:val="24"/>
              </w:rPr>
            </w:pPr>
          </w:p>
        </w:tc>
      </w:tr>
    </w:tbl>
    <w:p w14:paraId="727199E2">
      <w:pPr>
        <w:spacing w:line="360" w:lineRule="auto"/>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rPr>
        <w:br w:type="page"/>
      </w:r>
      <w:r>
        <w:rPr>
          <w:rFonts w:hint="eastAsia" w:ascii="华文中宋" w:hAnsi="华文中宋" w:eastAsia="华文中宋" w:cs="华文中宋"/>
          <w:b/>
          <w:color w:val="auto"/>
          <w:sz w:val="24"/>
          <w:szCs w:val="24"/>
        </w:rPr>
        <w:t xml:space="preserve"> </w:t>
      </w:r>
      <w:bookmarkStart w:id="1218" w:name="_Toc43363095"/>
      <w:bookmarkStart w:id="1219" w:name="_Toc40954066"/>
      <w:bookmarkStart w:id="1220" w:name="_Toc44690625"/>
      <w:bookmarkStart w:id="1221" w:name="_Toc44690699"/>
      <w:r>
        <w:rPr>
          <w:rFonts w:hint="eastAsia" w:ascii="华文中宋" w:hAnsi="华文中宋" w:eastAsia="华文中宋" w:cs="华文中宋"/>
          <w:b/>
          <w:bCs/>
          <w:color w:val="auto"/>
          <w:sz w:val="28"/>
          <w:szCs w:val="28"/>
        </w:rPr>
        <w:t>（二）磋商供应商及项目经理资信</w:t>
      </w:r>
      <w:bookmarkEnd w:id="1218"/>
      <w:bookmarkEnd w:id="1219"/>
      <w:bookmarkEnd w:id="1220"/>
      <w:bookmarkEnd w:id="1221"/>
    </w:p>
    <w:p w14:paraId="36252F1D">
      <w:pPr>
        <w:wordWrap w:val="0"/>
        <w:snapToGrid w:val="0"/>
        <w:spacing w:line="360" w:lineRule="auto"/>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1.磋商供应商近年完成的部分同类型工程情况表</w:t>
      </w:r>
    </w:p>
    <w:p w14:paraId="2F6326E5">
      <w:pPr>
        <w:wordWrap w:val="0"/>
        <w:snapToGrid w:val="0"/>
        <w:spacing w:line="360" w:lineRule="auto"/>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2.项目经理近年完成的同类型工程情况表</w:t>
      </w:r>
    </w:p>
    <w:p w14:paraId="51703622">
      <w:pPr>
        <w:wordWrap w:val="0"/>
        <w:snapToGrid w:val="0"/>
        <w:spacing w:line="360" w:lineRule="auto"/>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3.磋商供应商正在施工的和新承接的部分项目情况表</w:t>
      </w:r>
    </w:p>
    <w:p w14:paraId="599C1837">
      <w:pPr>
        <w:wordWrap w:val="0"/>
        <w:snapToGrid w:val="0"/>
        <w:spacing w:line="360" w:lineRule="auto"/>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4.其他材料</w:t>
      </w:r>
    </w:p>
    <w:p w14:paraId="52B56649">
      <w:pPr>
        <w:wordWrap w:val="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br w:type="page"/>
      </w:r>
    </w:p>
    <w:p w14:paraId="3783F2A2">
      <w:pPr>
        <w:wordWrap w:val="0"/>
        <w:snapToGrid w:val="0"/>
        <w:spacing w:before="156" w:after="312" w:line="360" w:lineRule="auto"/>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1.磋商供应商</w:t>
      </w:r>
      <w:r>
        <w:rPr>
          <w:rFonts w:hint="eastAsia" w:ascii="华文中宋" w:hAnsi="华文中宋" w:eastAsia="华文中宋" w:cs="华文中宋"/>
          <w:color w:val="auto"/>
          <w:sz w:val="28"/>
          <w:szCs w:val="28"/>
          <w:lang w:eastAsia="zh-CN"/>
        </w:rPr>
        <w:t>近年</w:t>
      </w:r>
      <w:r>
        <w:rPr>
          <w:rFonts w:hint="eastAsia" w:ascii="华文中宋" w:hAnsi="华文中宋" w:eastAsia="华文中宋" w:cs="华文中宋"/>
          <w:color w:val="auto"/>
          <w:sz w:val="28"/>
          <w:szCs w:val="28"/>
        </w:rPr>
        <w:t>完成的同类型工程情况表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7B9E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4F1B3C6">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392B06D">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7C7F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9717673">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340AD1F">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5813D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17368DC">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6384199">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52646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19F9986">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74FC8C6">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6C37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D5E3A9E">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发包人联系人及电话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339E96D">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4EA87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1DB55B7">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B8A00D8">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6997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ABF8F63">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开工日期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58ACF45">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58811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E3566F4">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竣工日期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A5AF203">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194A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AD41CDE">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承担的工作</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283BEEA">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15C3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2D444B6">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工程质量</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5BAD6BD">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0BBE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54F9147">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项目经理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A999BF3">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03B1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B02673C">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技术负责人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07BE362">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443E8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E060419">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总监理工程师及电话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63192B2">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0028C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C86D0B5">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项目描述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1FE457F">
            <w:pPr>
              <w:wordWrap w:val="0"/>
              <w:snapToGrid w:val="0"/>
              <w:spacing w:line="360" w:lineRule="auto"/>
              <w:jc w:val="center"/>
              <w:outlineLvl w:val="9"/>
              <w:rPr>
                <w:rFonts w:hint="eastAsia" w:ascii="华文中宋" w:hAnsi="华文中宋" w:eastAsia="华文中宋" w:cs="华文中宋"/>
                <w:color w:val="auto"/>
                <w:sz w:val="24"/>
                <w:szCs w:val="24"/>
              </w:rPr>
            </w:pPr>
          </w:p>
        </w:tc>
      </w:tr>
      <w:tr w14:paraId="1A489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C246C65">
            <w:pPr>
              <w:wordWrap w:val="0"/>
              <w:snapToGrid w:val="0"/>
              <w:spacing w:line="360" w:lineRule="auto"/>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0BBD886">
            <w:pPr>
              <w:wordWrap w:val="0"/>
              <w:snapToGrid w:val="0"/>
              <w:spacing w:line="360" w:lineRule="auto"/>
              <w:jc w:val="center"/>
              <w:outlineLvl w:val="9"/>
              <w:rPr>
                <w:rFonts w:hint="eastAsia" w:ascii="华文中宋" w:hAnsi="华文中宋" w:eastAsia="华文中宋" w:cs="华文中宋"/>
                <w:color w:val="auto"/>
                <w:sz w:val="24"/>
                <w:szCs w:val="24"/>
              </w:rPr>
            </w:pPr>
          </w:p>
        </w:tc>
      </w:tr>
    </w:tbl>
    <w:p w14:paraId="7E1CD638">
      <w:pPr>
        <w:wordWrap w:val="0"/>
        <w:snapToGrid w:val="0"/>
        <w:spacing w:line="360" w:lineRule="auto"/>
        <w:ind w:firstLine="240" w:firstLineChars="100"/>
        <w:jc w:val="left"/>
        <w:outlineLvl w:val="9"/>
        <w:rPr>
          <w:rFonts w:hint="eastAsia" w:ascii="华文中宋" w:hAnsi="华文中宋" w:eastAsia="华文中宋" w:cs="华文中宋"/>
          <w:color w:val="auto"/>
          <w:sz w:val="24"/>
          <w:szCs w:val="28"/>
        </w:rPr>
      </w:pPr>
      <w:r>
        <w:rPr>
          <w:rFonts w:hint="eastAsia" w:ascii="华文中宋" w:hAnsi="华文中宋" w:eastAsia="华文中宋" w:cs="华文中宋"/>
          <w:color w:val="auto"/>
          <w:sz w:val="24"/>
          <w:szCs w:val="28"/>
        </w:rPr>
        <w:t>备注：每张表格只填写一个项目，并标明序号。</w:t>
      </w:r>
    </w:p>
    <w:p w14:paraId="3297EE24">
      <w:pPr>
        <w:wordWrap w:val="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br w:type="page"/>
      </w:r>
    </w:p>
    <w:p w14:paraId="24788D3E">
      <w:pPr>
        <w:wordWrap w:val="0"/>
        <w:snapToGrid w:val="0"/>
        <w:spacing w:before="156" w:after="312" w:line="360" w:lineRule="auto"/>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2.项目经理</w:t>
      </w:r>
      <w:r>
        <w:rPr>
          <w:rFonts w:hint="eastAsia" w:ascii="华文中宋" w:hAnsi="华文中宋" w:eastAsia="华文中宋" w:cs="华文中宋"/>
          <w:color w:val="auto"/>
          <w:sz w:val="28"/>
          <w:szCs w:val="28"/>
          <w:lang w:eastAsia="zh-CN"/>
        </w:rPr>
        <w:t>近年</w:t>
      </w:r>
      <w:r>
        <w:rPr>
          <w:rFonts w:hint="eastAsia" w:ascii="华文中宋" w:hAnsi="华文中宋" w:eastAsia="华文中宋" w:cs="华文中宋"/>
          <w:color w:val="auto"/>
          <w:sz w:val="28"/>
          <w:szCs w:val="28"/>
        </w:rPr>
        <w:t>完成的同类型工程情况表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4963D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3F7808A">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A770478">
            <w:pPr>
              <w:wordWrap w:val="0"/>
              <w:snapToGrid w:val="0"/>
              <w:spacing w:line="360" w:lineRule="auto"/>
              <w:jc w:val="center"/>
              <w:outlineLvl w:val="9"/>
              <w:rPr>
                <w:rFonts w:hint="eastAsia" w:ascii="华文中宋" w:hAnsi="华文中宋" w:eastAsia="华文中宋" w:cs="华文中宋"/>
                <w:color w:val="auto"/>
              </w:rPr>
            </w:pPr>
          </w:p>
        </w:tc>
      </w:tr>
      <w:tr w14:paraId="6115E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D6FCF4A">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78A4E3F">
            <w:pPr>
              <w:wordWrap w:val="0"/>
              <w:snapToGrid w:val="0"/>
              <w:spacing w:line="360" w:lineRule="auto"/>
              <w:jc w:val="center"/>
              <w:outlineLvl w:val="9"/>
              <w:rPr>
                <w:rFonts w:hint="eastAsia" w:ascii="华文中宋" w:hAnsi="华文中宋" w:eastAsia="华文中宋" w:cs="华文中宋"/>
                <w:color w:val="auto"/>
              </w:rPr>
            </w:pPr>
          </w:p>
        </w:tc>
      </w:tr>
      <w:tr w14:paraId="00693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73B29AF">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发包人名称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B68AA17">
            <w:pPr>
              <w:wordWrap w:val="0"/>
              <w:snapToGrid w:val="0"/>
              <w:spacing w:line="360" w:lineRule="auto"/>
              <w:jc w:val="center"/>
              <w:outlineLvl w:val="9"/>
              <w:rPr>
                <w:rFonts w:hint="eastAsia" w:ascii="华文中宋" w:hAnsi="华文中宋" w:eastAsia="华文中宋" w:cs="华文中宋"/>
                <w:color w:val="auto"/>
              </w:rPr>
            </w:pPr>
          </w:p>
        </w:tc>
      </w:tr>
      <w:tr w14:paraId="7A130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E97E19E">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发包人地址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E3DAF6F">
            <w:pPr>
              <w:wordWrap w:val="0"/>
              <w:snapToGrid w:val="0"/>
              <w:spacing w:line="360" w:lineRule="auto"/>
              <w:jc w:val="center"/>
              <w:outlineLvl w:val="9"/>
              <w:rPr>
                <w:rFonts w:hint="eastAsia" w:ascii="华文中宋" w:hAnsi="华文中宋" w:eastAsia="华文中宋" w:cs="华文中宋"/>
                <w:color w:val="auto"/>
              </w:rPr>
            </w:pPr>
          </w:p>
        </w:tc>
      </w:tr>
      <w:tr w14:paraId="01661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B62BE5A">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发包人联系人及电话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AEAF519">
            <w:pPr>
              <w:wordWrap w:val="0"/>
              <w:snapToGrid w:val="0"/>
              <w:spacing w:line="360" w:lineRule="auto"/>
              <w:jc w:val="center"/>
              <w:outlineLvl w:val="9"/>
              <w:rPr>
                <w:rFonts w:hint="eastAsia" w:ascii="华文中宋" w:hAnsi="华文中宋" w:eastAsia="华文中宋" w:cs="华文中宋"/>
                <w:color w:val="auto"/>
              </w:rPr>
            </w:pPr>
          </w:p>
        </w:tc>
      </w:tr>
      <w:tr w14:paraId="7D1D9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408001E">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3DED9A1">
            <w:pPr>
              <w:wordWrap w:val="0"/>
              <w:snapToGrid w:val="0"/>
              <w:spacing w:line="360" w:lineRule="auto"/>
              <w:jc w:val="center"/>
              <w:outlineLvl w:val="9"/>
              <w:rPr>
                <w:rFonts w:hint="eastAsia" w:ascii="华文中宋" w:hAnsi="华文中宋" w:eastAsia="华文中宋" w:cs="华文中宋"/>
                <w:color w:val="auto"/>
              </w:rPr>
            </w:pPr>
          </w:p>
        </w:tc>
      </w:tr>
      <w:tr w14:paraId="30CD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22C3FDB">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开工日期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BCB3B52">
            <w:pPr>
              <w:wordWrap w:val="0"/>
              <w:snapToGrid w:val="0"/>
              <w:spacing w:line="360" w:lineRule="auto"/>
              <w:jc w:val="center"/>
              <w:outlineLvl w:val="9"/>
              <w:rPr>
                <w:rFonts w:hint="eastAsia" w:ascii="华文中宋" w:hAnsi="华文中宋" w:eastAsia="华文中宋" w:cs="华文中宋"/>
                <w:color w:val="auto"/>
              </w:rPr>
            </w:pPr>
          </w:p>
        </w:tc>
      </w:tr>
      <w:tr w14:paraId="4F1C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9FA41CC">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竣工日期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B130CE8">
            <w:pPr>
              <w:wordWrap w:val="0"/>
              <w:snapToGrid w:val="0"/>
              <w:spacing w:line="360" w:lineRule="auto"/>
              <w:jc w:val="center"/>
              <w:outlineLvl w:val="9"/>
              <w:rPr>
                <w:rFonts w:hint="eastAsia" w:ascii="华文中宋" w:hAnsi="华文中宋" w:eastAsia="华文中宋" w:cs="华文中宋"/>
                <w:color w:val="auto"/>
              </w:rPr>
            </w:pPr>
          </w:p>
        </w:tc>
      </w:tr>
      <w:tr w14:paraId="1E9A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CFA0508">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承担的工作</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CC1BE8C">
            <w:pPr>
              <w:wordWrap w:val="0"/>
              <w:snapToGrid w:val="0"/>
              <w:spacing w:line="360" w:lineRule="auto"/>
              <w:jc w:val="center"/>
              <w:outlineLvl w:val="9"/>
              <w:rPr>
                <w:rFonts w:hint="eastAsia" w:ascii="华文中宋" w:hAnsi="华文中宋" w:eastAsia="华文中宋" w:cs="华文中宋"/>
                <w:color w:val="auto"/>
              </w:rPr>
            </w:pPr>
          </w:p>
        </w:tc>
      </w:tr>
      <w:tr w14:paraId="1C282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2FB2EBA">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工程质量</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63BBC98">
            <w:pPr>
              <w:wordWrap w:val="0"/>
              <w:snapToGrid w:val="0"/>
              <w:spacing w:line="360" w:lineRule="auto"/>
              <w:jc w:val="center"/>
              <w:outlineLvl w:val="9"/>
              <w:rPr>
                <w:rFonts w:hint="eastAsia" w:ascii="华文中宋" w:hAnsi="华文中宋" w:eastAsia="华文中宋" w:cs="华文中宋"/>
                <w:color w:val="auto"/>
              </w:rPr>
            </w:pPr>
          </w:p>
        </w:tc>
      </w:tr>
      <w:tr w14:paraId="78C5E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D0D18AD">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项目经理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C919025">
            <w:pPr>
              <w:wordWrap w:val="0"/>
              <w:snapToGrid w:val="0"/>
              <w:spacing w:line="360" w:lineRule="auto"/>
              <w:jc w:val="center"/>
              <w:outlineLvl w:val="9"/>
              <w:rPr>
                <w:rFonts w:hint="eastAsia" w:ascii="华文中宋" w:hAnsi="华文中宋" w:eastAsia="华文中宋" w:cs="华文中宋"/>
                <w:color w:val="auto"/>
              </w:rPr>
            </w:pPr>
          </w:p>
        </w:tc>
      </w:tr>
      <w:tr w14:paraId="067EC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B6914A7">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技术负责人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9BC1E68">
            <w:pPr>
              <w:wordWrap w:val="0"/>
              <w:snapToGrid w:val="0"/>
              <w:spacing w:line="360" w:lineRule="auto"/>
              <w:jc w:val="center"/>
              <w:outlineLvl w:val="9"/>
              <w:rPr>
                <w:rFonts w:hint="eastAsia" w:ascii="华文中宋" w:hAnsi="华文中宋" w:eastAsia="华文中宋" w:cs="华文中宋"/>
                <w:color w:val="auto"/>
              </w:rPr>
            </w:pPr>
          </w:p>
        </w:tc>
      </w:tr>
      <w:tr w14:paraId="0E65E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0926754">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总监理工程师及电话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7FCAF91">
            <w:pPr>
              <w:wordWrap w:val="0"/>
              <w:snapToGrid w:val="0"/>
              <w:spacing w:line="360" w:lineRule="auto"/>
              <w:jc w:val="center"/>
              <w:outlineLvl w:val="9"/>
              <w:rPr>
                <w:rFonts w:hint="eastAsia" w:ascii="华文中宋" w:hAnsi="华文中宋" w:eastAsia="华文中宋" w:cs="华文中宋"/>
                <w:color w:val="auto"/>
              </w:rPr>
            </w:pPr>
          </w:p>
        </w:tc>
      </w:tr>
      <w:tr w14:paraId="49C47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3414ECE">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项目描述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352E01E">
            <w:pPr>
              <w:wordWrap w:val="0"/>
              <w:snapToGrid w:val="0"/>
              <w:spacing w:line="360" w:lineRule="auto"/>
              <w:jc w:val="center"/>
              <w:outlineLvl w:val="9"/>
              <w:rPr>
                <w:rFonts w:hint="eastAsia" w:ascii="华文中宋" w:hAnsi="华文中宋" w:eastAsia="华文中宋" w:cs="华文中宋"/>
                <w:color w:val="auto"/>
              </w:rPr>
            </w:pPr>
          </w:p>
        </w:tc>
      </w:tr>
      <w:tr w14:paraId="6274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B55E931">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82CB122">
            <w:pPr>
              <w:wordWrap w:val="0"/>
              <w:snapToGrid w:val="0"/>
              <w:spacing w:line="360" w:lineRule="auto"/>
              <w:jc w:val="center"/>
              <w:outlineLvl w:val="9"/>
              <w:rPr>
                <w:rFonts w:hint="eastAsia" w:ascii="华文中宋" w:hAnsi="华文中宋" w:eastAsia="华文中宋" w:cs="华文中宋"/>
                <w:color w:val="auto"/>
              </w:rPr>
            </w:pPr>
          </w:p>
        </w:tc>
      </w:tr>
    </w:tbl>
    <w:p w14:paraId="74A0E6C9">
      <w:pPr>
        <w:wordWrap w:val="0"/>
        <w:snapToGrid w:val="0"/>
        <w:spacing w:before="156" w:after="312" w:line="360" w:lineRule="auto"/>
        <w:ind w:firstLine="240" w:firstLineChars="100"/>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备注：每张表格只填写一个项目，并标明序号。</w:t>
      </w:r>
    </w:p>
    <w:p w14:paraId="22CA2737">
      <w:pPr>
        <w:wordWrap w:val="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rPr>
        <w:br w:type="page"/>
      </w:r>
      <w:r>
        <w:rPr>
          <w:rFonts w:hint="eastAsia" w:ascii="华文中宋" w:hAnsi="华文中宋" w:eastAsia="华文中宋" w:cs="华文中宋"/>
          <w:color w:val="auto"/>
          <w:sz w:val="28"/>
          <w:szCs w:val="28"/>
        </w:rPr>
        <w:t>3.磋商供应商正在施工的和新承接的项目情况表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7"/>
        <w:gridCol w:w="6339"/>
      </w:tblGrid>
      <w:tr w14:paraId="3B34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7D45FCD7">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项目名称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5FAE49AD">
            <w:pPr>
              <w:wordWrap w:val="0"/>
              <w:snapToGrid w:val="0"/>
              <w:spacing w:line="360" w:lineRule="auto"/>
              <w:jc w:val="center"/>
              <w:outlineLvl w:val="9"/>
              <w:rPr>
                <w:rFonts w:hint="eastAsia" w:ascii="华文中宋" w:hAnsi="华文中宋" w:eastAsia="华文中宋" w:cs="华文中宋"/>
                <w:color w:val="auto"/>
              </w:rPr>
            </w:pPr>
          </w:p>
        </w:tc>
      </w:tr>
      <w:tr w14:paraId="7731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2510205">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项目所在地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936B7A4">
            <w:pPr>
              <w:wordWrap w:val="0"/>
              <w:snapToGrid w:val="0"/>
              <w:spacing w:line="360" w:lineRule="auto"/>
              <w:jc w:val="center"/>
              <w:outlineLvl w:val="9"/>
              <w:rPr>
                <w:rFonts w:hint="eastAsia" w:ascii="华文中宋" w:hAnsi="华文中宋" w:eastAsia="华文中宋" w:cs="华文中宋"/>
                <w:color w:val="auto"/>
              </w:rPr>
            </w:pPr>
          </w:p>
        </w:tc>
      </w:tr>
      <w:tr w14:paraId="4894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0F3220B2">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发包人名称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5E6B748">
            <w:pPr>
              <w:wordWrap w:val="0"/>
              <w:snapToGrid w:val="0"/>
              <w:spacing w:line="360" w:lineRule="auto"/>
              <w:jc w:val="center"/>
              <w:outlineLvl w:val="9"/>
              <w:rPr>
                <w:rFonts w:hint="eastAsia" w:ascii="华文中宋" w:hAnsi="华文中宋" w:eastAsia="华文中宋" w:cs="华文中宋"/>
                <w:color w:val="auto"/>
              </w:rPr>
            </w:pPr>
          </w:p>
        </w:tc>
      </w:tr>
      <w:tr w14:paraId="0D2FD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0F58D69B">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发包人地址</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0A8EB3BB">
            <w:pPr>
              <w:wordWrap w:val="0"/>
              <w:snapToGrid w:val="0"/>
              <w:spacing w:line="360" w:lineRule="auto"/>
              <w:jc w:val="center"/>
              <w:outlineLvl w:val="9"/>
              <w:rPr>
                <w:rFonts w:hint="eastAsia" w:ascii="华文中宋" w:hAnsi="华文中宋" w:eastAsia="华文中宋" w:cs="华文中宋"/>
                <w:color w:val="auto"/>
              </w:rPr>
            </w:pPr>
          </w:p>
        </w:tc>
      </w:tr>
      <w:tr w14:paraId="53D78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7F9154DC">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发包人电话</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31368A0">
            <w:pPr>
              <w:wordWrap w:val="0"/>
              <w:snapToGrid w:val="0"/>
              <w:spacing w:line="360" w:lineRule="auto"/>
              <w:jc w:val="center"/>
              <w:outlineLvl w:val="9"/>
              <w:rPr>
                <w:rFonts w:hint="eastAsia" w:ascii="华文中宋" w:hAnsi="华文中宋" w:eastAsia="华文中宋" w:cs="华文中宋"/>
                <w:color w:val="auto"/>
              </w:rPr>
            </w:pPr>
          </w:p>
        </w:tc>
      </w:tr>
      <w:tr w14:paraId="7785A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4A32D02D">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签约合同价</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6A4EA1C2">
            <w:pPr>
              <w:wordWrap w:val="0"/>
              <w:snapToGrid w:val="0"/>
              <w:spacing w:line="360" w:lineRule="auto"/>
              <w:jc w:val="center"/>
              <w:outlineLvl w:val="9"/>
              <w:rPr>
                <w:rFonts w:hint="eastAsia" w:ascii="华文中宋" w:hAnsi="华文中宋" w:eastAsia="华文中宋" w:cs="华文中宋"/>
                <w:color w:val="auto"/>
              </w:rPr>
            </w:pPr>
          </w:p>
        </w:tc>
      </w:tr>
      <w:tr w14:paraId="1F4E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7EB6A8DE">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开工日期</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5C9C2E3">
            <w:pPr>
              <w:wordWrap w:val="0"/>
              <w:snapToGrid w:val="0"/>
              <w:spacing w:line="360" w:lineRule="auto"/>
              <w:jc w:val="center"/>
              <w:outlineLvl w:val="9"/>
              <w:rPr>
                <w:rFonts w:hint="eastAsia" w:ascii="华文中宋" w:hAnsi="华文中宋" w:eastAsia="华文中宋" w:cs="华文中宋"/>
                <w:color w:val="auto"/>
              </w:rPr>
            </w:pPr>
          </w:p>
        </w:tc>
      </w:tr>
      <w:tr w14:paraId="589B9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5A7DED36">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计划竣工日期</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6A8B5B47">
            <w:pPr>
              <w:wordWrap w:val="0"/>
              <w:snapToGrid w:val="0"/>
              <w:spacing w:line="360" w:lineRule="auto"/>
              <w:jc w:val="center"/>
              <w:outlineLvl w:val="9"/>
              <w:rPr>
                <w:rFonts w:hint="eastAsia" w:ascii="华文中宋" w:hAnsi="华文中宋" w:eastAsia="华文中宋" w:cs="华文中宋"/>
                <w:color w:val="auto"/>
              </w:rPr>
            </w:pPr>
          </w:p>
        </w:tc>
      </w:tr>
      <w:tr w14:paraId="07A6C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74223D2E">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承担的工作</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49CE7E1B">
            <w:pPr>
              <w:wordWrap w:val="0"/>
              <w:snapToGrid w:val="0"/>
              <w:spacing w:line="360" w:lineRule="auto"/>
              <w:jc w:val="center"/>
              <w:outlineLvl w:val="9"/>
              <w:rPr>
                <w:rFonts w:hint="eastAsia" w:ascii="华文中宋" w:hAnsi="华文中宋" w:eastAsia="华文中宋" w:cs="华文中宋"/>
                <w:color w:val="auto"/>
              </w:rPr>
            </w:pPr>
          </w:p>
        </w:tc>
      </w:tr>
      <w:tr w14:paraId="306B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4886A188">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工程质量</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03DE249">
            <w:pPr>
              <w:wordWrap w:val="0"/>
              <w:snapToGrid w:val="0"/>
              <w:spacing w:line="360" w:lineRule="auto"/>
              <w:jc w:val="center"/>
              <w:outlineLvl w:val="9"/>
              <w:rPr>
                <w:rFonts w:hint="eastAsia" w:ascii="华文中宋" w:hAnsi="华文中宋" w:eastAsia="华文中宋" w:cs="华文中宋"/>
                <w:color w:val="auto"/>
              </w:rPr>
            </w:pPr>
          </w:p>
        </w:tc>
      </w:tr>
      <w:tr w14:paraId="4EEAC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59764EC7">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项目经理</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72964105">
            <w:pPr>
              <w:wordWrap w:val="0"/>
              <w:snapToGrid w:val="0"/>
              <w:spacing w:line="360" w:lineRule="auto"/>
              <w:jc w:val="center"/>
              <w:outlineLvl w:val="9"/>
              <w:rPr>
                <w:rFonts w:hint="eastAsia" w:ascii="华文中宋" w:hAnsi="华文中宋" w:eastAsia="华文中宋" w:cs="华文中宋"/>
                <w:color w:val="auto"/>
              </w:rPr>
            </w:pPr>
          </w:p>
        </w:tc>
      </w:tr>
      <w:tr w14:paraId="710BD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557461F3">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技术负责人</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4AF9E689">
            <w:pPr>
              <w:wordWrap w:val="0"/>
              <w:snapToGrid w:val="0"/>
              <w:spacing w:line="360" w:lineRule="auto"/>
              <w:jc w:val="center"/>
              <w:outlineLvl w:val="9"/>
              <w:rPr>
                <w:rFonts w:hint="eastAsia" w:ascii="华文中宋" w:hAnsi="华文中宋" w:eastAsia="华文中宋" w:cs="华文中宋"/>
                <w:color w:val="auto"/>
              </w:rPr>
            </w:pPr>
          </w:p>
        </w:tc>
      </w:tr>
      <w:tr w14:paraId="7CB4D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144B7F71">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总监理工程师及电话</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D4E40B6">
            <w:pPr>
              <w:wordWrap w:val="0"/>
              <w:snapToGrid w:val="0"/>
              <w:spacing w:line="360" w:lineRule="auto"/>
              <w:jc w:val="center"/>
              <w:outlineLvl w:val="9"/>
              <w:rPr>
                <w:rFonts w:hint="eastAsia" w:ascii="华文中宋" w:hAnsi="华文中宋" w:eastAsia="华文中宋" w:cs="华文中宋"/>
                <w:color w:val="auto"/>
              </w:rPr>
            </w:pPr>
          </w:p>
        </w:tc>
      </w:tr>
      <w:tr w14:paraId="08695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6E0A79F">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项目描述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4346F34F">
            <w:pPr>
              <w:wordWrap w:val="0"/>
              <w:snapToGrid w:val="0"/>
              <w:spacing w:line="360" w:lineRule="auto"/>
              <w:jc w:val="center"/>
              <w:outlineLvl w:val="9"/>
              <w:rPr>
                <w:rFonts w:hint="eastAsia" w:ascii="华文中宋" w:hAnsi="华文中宋" w:eastAsia="华文中宋" w:cs="华文中宋"/>
                <w:color w:val="auto"/>
              </w:rPr>
            </w:pPr>
          </w:p>
        </w:tc>
      </w:tr>
      <w:tr w14:paraId="1D9E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5F4DCD7">
            <w:pPr>
              <w:wordWrap w:val="0"/>
              <w:snapToGrid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备注</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9CC78E5">
            <w:pPr>
              <w:wordWrap w:val="0"/>
              <w:snapToGrid w:val="0"/>
              <w:spacing w:line="360" w:lineRule="auto"/>
              <w:jc w:val="center"/>
              <w:outlineLvl w:val="9"/>
              <w:rPr>
                <w:rFonts w:hint="eastAsia" w:ascii="华文中宋" w:hAnsi="华文中宋" w:eastAsia="华文中宋" w:cs="华文中宋"/>
                <w:color w:val="auto"/>
              </w:rPr>
            </w:pPr>
          </w:p>
        </w:tc>
      </w:tr>
    </w:tbl>
    <w:p w14:paraId="0BAB685A">
      <w:pPr>
        <w:wordWrap w:val="0"/>
        <w:snapToGrid w:val="0"/>
        <w:spacing w:line="360" w:lineRule="auto"/>
        <w:ind w:firstLine="240" w:firstLineChars="10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sz w:val="24"/>
          <w:szCs w:val="28"/>
        </w:rPr>
        <w:t>备注：每张表格只填写一个项目，并标明序号。</w:t>
      </w:r>
    </w:p>
    <w:p w14:paraId="1D000B6B">
      <w:pPr>
        <w:wordWrap w:val="0"/>
        <w:snapToGrid w:val="0"/>
        <w:spacing w:line="360" w:lineRule="auto"/>
        <w:ind w:firstLine="240" w:firstLineChars="100"/>
        <w:jc w:val="left"/>
        <w:outlineLvl w:val="9"/>
        <w:rPr>
          <w:rFonts w:hint="eastAsia" w:ascii="华文中宋" w:hAnsi="华文中宋" w:eastAsia="华文中宋" w:cs="华文中宋"/>
          <w:color w:val="auto"/>
          <w:sz w:val="24"/>
          <w:szCs w:val="28"/>
          <w:lang w:val="en-US" w:eastAsia="zh-CN"/>
        </w:rPr>
      </w:pPr>
    </w:p>
    <w:p w14:paraId="1D48D6B3">
      <w:pPr>
        <w:pStyle w:val="27"/>
        <w:rPr>
          <w:rFonts w:hint="eastAsia"/>
          <w:color w:val="auto"/>
          <w:lang w:val="en-US" w:eastAsia="zh-CN"/>
        </w:rPr>
      </w:pPr>
    </w:p>
    <w:p w14:paraId="1483279C">
      <w:pPr>
        <w:pStyle w:val="27"/>
        <w:rPr>
          <w:rFonts w:hint="eastAsia"/>
          <w:color w:val="auto"/>
          <w:lang w:val="en-US" w:eastAsia="zh-CN"/>
        </w:rPr>
      </w:pPr>
    </w:p>
    <w:p w14:paraId="53AA84B8">
      <w:pPr>
        <w:wordWrap w:val="0"/>
        <w:jc w:val="lef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lang w:val="en-US" w:eastAsia="zh-CN"/>
        </w:rPr>
        <w:t>4.</w:t>
      </w:r>
      <w:r>
        <w:rPr>
          <w:rFonts w:hint="eastAsia" w:ascii="华文中宋" w:hAnsi="华文中宋" w:eastAsia="华文中宋" w:cs="华文中宋"/>
          <w:color w:val="auto"/>
          <w:sz w:val="28"/>
          <w:szCs w:val="28"/>
        </w:rPr>
        <w:t>其他材料</w:t>
      </w:r>
    </w:p>
    <w:p w14:paraId="6FB255F8">
      <w:pPr>
        <w:spacing w:line="360" w:lineRule="auto"/>
        <w:jc w:val="left"/>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 xml:space="preserve"> </w:t>
      </w:r>
      <w:bookmarkStart w:id="1222" w:name="_Toc44690700"/>
      <w:bookmarkStart w:id="1223" w:name="_Toc43363096"/>
      <w:bookmarkStart w:id="1224" w:name="_Toc44690626"/>
      <w:bookmarkStart w:id="1225" w:name="_Toc40954067"/>
    </w:p>
    <w:p w14:paraId="6BB7A44B">
      <w:pPr>
        <w:spacing w:line="360" w:lineRule="auto"/>
        <w:jc w:val="left"/>
        <w:outlineLvl w:val="9"/>
        <w:rPr>
          <w:rFonts w:hint="eastAsia" w:ascii="华文中宋" w:hAnsi="华文中宋" w:eastAsia="华文中宋" w:cs="华文中宋"/>
          <w:b/>
          <w:bCs/>
          <w:color w:val="auto"/>
          <w:sz w:val="28"/>
          <w:szCs w:val="28"/>
        </w:rPr>
      </w:pPr>
    </w:p>
    <w:p w14:paraId="7972560E">
      <w:pPr>
        <w:spacing w:line="360" w:lineRule="auto"/>
        <w:jc w:val="left"/>
        <w:outlineLvl w:val="9"/>
        <w:rPr>
          <w:rFonts w:hint="eastAsia" w:ascii="华文中宋" w:hAnsi="华文中宋" w:eastAsia="华文中宋" w:cs="华文中宋"/>
          <w:b/>
          <w:bCs/>
          <w:color w:val="auto"/>
          <w:sz w:val="28"/>
          <w:szCs w:val="28"/>
        </w:rPr>
      </w:pPr>
    </w:p>
    <w:p w14:paraId="770C3422">
      <w:pPr>
        <w:spacing w:line="360" w:lineRule="auto"/>
        <w:jc w:val="left"/>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（三）拟分包计划表</w:t>
      </w:r>
      <w:bookmarkEnd w:id="1222"/>
      <w:bookmarkEnd w:id="1223"/>
      <w:bookmarkEnd w:id="1224"/>
      <w:bookmarkEnd w:id="1225"/>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3016"/>
        <w:gridCol w:w="1020"/>
        <w:gridCol w:w="706"/>
        <w:gridCol w:w="1081"/>
        <w:gridCol w:w="1081"/>
        <w:gridCol w:w="1081"/>
        <w:gridCol w:w="650"/>
      </w:tblGrid>
      <w:tr w14:paraId="4AEAC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2E2A57AB">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序号</w:t>
            </w: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1D10B8F7">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拟分包项目名称、范围及理由</w:t>
            </w:r>
          </w:p>
        </w:tc>
        <w:tc>
          <w:tcPr>
            <w:tcW w:w="4969" w:type="dxa"/>
            <w:gridSpan w:val="5"/>
            <w:tcBorders>
              <w:top w:val="single" w:color="auto" w:sz="4" w:space="0"/>
              <w:left w:val="single" w:color="auto" w:sz="4" w:space="0"/>
              <w:bottom w:val="single" w:color="auto" w:sz="4" w:space="0"/>
              <w:right w:val="single" w:color="auto" w:sz="4" w:space="0"/>
            </w:tcBorders>
            <w:noWrap w:val="0"/>
            <w:vAlign w:val="center"/>
          </w:tcPr>
          <w:p w14:paraId="2FCB058A">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拟选分包人</w:t>
            </w:r>
          </w:p>
        </w:tc>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711008FD">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备注</w:t>
            </w:r>
          </w:p>
        </w:tc>
      </w:tr>
      <w:tr w14:paraId="68D3E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439FDAA">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48066E9">
            <w:pPr>
              <w:spacing w:line="240" w:lineRule="auto"/>
              <w:outlineLvl w:val="9"/>
              <w:rPr>
                <w:rFonts w:hint="eastAsia" w:ascii="华文中宋" w:hAnsi="华文中宋" w:eastAsia="华文中宋" w:cs="华文中宋"/>
                <w:color w:val="auto"/>
              </w:rPr>
            </w:pP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3C695523">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拟选分包人名称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D6BCFB3">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注册地点</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26D26A7">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企业资质</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C02EFA5">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有关业绩</w:t>
            </w:r>
          </w:p>
        </w:tc>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30C55B36">
            <w:pPr>
              <w:spacing w:line="240" w:lineRule="auto"/>
              <w:outlineLvl w:val="9"/>
              <w:rPr>
                <w:rFonts w:hint="eastAsia" w:ascii="华文中宋" w:hAnsi="华文中宋" w:eastAsia="华文中宋" w:cs="华文中宋"/>
                <w:color w:val="auto"/>
              </w:rPr>
            </w:pPr>
          </w:p>
        </w:tc>
      </w:tr>
      <w:tr w14:paraId="613C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6579CF68">
            <w:pPr>
              <w:wordWrap w:val="0"/>
              <w:snapToGrid w:val="0"/>
              <w:spacing w:line="240" w:lineRule="auto"/>
              <w:jc w:val="center"/>
              <w:outlineLvl w:val="9"/>
              <w:rPr>
                <w:rFonts w:hint="eastAsia" w:ascii="华文中宋" w:hAnsi="华文中宋" w:eastAsia="华文中宋" w:cs="华文中宋"/>
                <w:color w:val="auto"/>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26AB158A">
            <w:pPr>
              <w:wordWrap w:val="0"/>
              <w:snapToGrid w:val="0"/>
              <w:spacing w:line="240" w:lineRule="auto"/>
              <w:jc w:val="center"/>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FF9C81E">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567BC6D">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B0866D7">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BE59A7E">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C1E0847">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78998F4E">
            <w:pPr>
              <w:wordWrap w:val="0"/>
              <w:snapToGrid w:val="0"/>
              <w:spacing w:line="240" w:lineRule="auto"/>
              <w:jc w:val="center"/>
              <w:outlineLvl w:val="9"/>
              <w:rPr>
                <w:rFonts w:hint="eastAsia" w:ascii="华文中宋" w:hAnsi="华文中宋" w:eastAsia="华文中宋" w:cs="华文中宋"/>
                <w:color w:val="auto"/>
              </w:rPr>
            </w:pPr>
          </w:p>
        </w:tc>
      </w:tr>
      <w:tr w14:paraId="7FD43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66C80ADA">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4803DB2D">
            <w:pPr>
              <w:spacing w:line="240" w:lineRule="auto"/>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D038775">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79BB57F">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3DAF587">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00DB533">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41F7B5F">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6AE0B3D">
            <w:pPr>
              <w:wordWrap w:val="0"/>
              <w:snapToGrid w:val="0"/>
              <w:spacing w:line="240" w:lineRule="auto"/>
              <w:jc w:val="center"/>
              <w:outlineLvl w:val="9"/>
              <w:rPr>
                <w:rFonts w:hint="eastAsia" w:ascii="华文中宋" w:hAnsi="华文中宋" w:eastAsia="华文中宋" w:cs="华文中宋"/>
                <w:color w:val="auto"/>
              </w:rPr>
            </w:pPr>
          </w:p>
        </w:tc>
      </w:tr>
      <w:tr w14:paraId="4DB6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478CF1BF">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7624A502">
            <w:pPr>
              <w:spacing w:line="240" w:lineRule="auto"/>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D8BC44E">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66959DD">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D4E8690">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FB714D6">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98C0763">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CDB17AE">
            <w:pPr>
              <w:wordWrap w:val="0"/>
              <w:snapToGrid w:val="0"/>
              <w:spacing w:line="240" w:lineRule="auto"/>
              <w:jc w:val="center"/>
              <w:outlineLvl w:val="9"/>
              <w:rPr>
                <w:rFonts w:hint="eastAsia" w:ascii="华文中宋" w:hAnsi="华文中宋" w:eastAsia="华文中宋" w:cs="华文中宋"/>
                <w:color w:val="auto"/>
              </w:rPr>
            </w:pPr>
          </w:p>
        </w:tc>
      </w:tr>
      <w:tr w14:paraId="3829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24848409">
            <w:pPr>
              <w:wordWrap w:val="0"/>
              <w:snapToGrid w:val="0"/>
              <w:spacing w:line="240" w:lineRule="auto"/>
              <w:jc w:val="center"/>
              <w:outlineLvl w:val="9"/>
              <w:rPr>
                <w:rFonts w:hint="eastAsia" w:ascii="华文中宋" w:hAnsi="华文中宋" w:eastAsia="华文中宋" w:cs="华文中宋"/>
                <w:color w:val="auto"/>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17619A65">
            <w:pPr>
              <w:wordWrap w:val="0"/>
              <w:snapToGrid w:val="0"/>
              <w:spacing w:line="240" w:lineRule="auto"/>
              <w:jc w:val="center"/>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630A92E">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665205A">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763D21E">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0ED31FA">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A3752C6">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2A4D7FB">
            <w:pPr>
              <w:wordWrap w:val="0"/>
              <w:snapToGrid w:val="0"/>
              <w:spacing w:line="240" w:lineRule="auto"/>
              <w:jc w:val="center"/>
              <w:outlineLvl w:val="9"/>
              <w:rPr>
                <w:rFonts w:hint="eastAsia" w:ascii="华文中宋" w:hAnsi="华文中宋" w:eastAsia="华文中宋" w:cs="华文中宋"/>
                <w:color w:val="auto"/>
              </w:rPr>
            </w:pPr>
          </w:p>
        </w:tc>
      </w:tr>
      <w:tr w14:paraId="37785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B597D0B">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134EC8BE">
            <w:pPr>
              <w:spacing w:line="240" w:lineRule="auto"/>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9784874">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CC4E288">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F0A0694">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04CE55C">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57C97EC">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65191948">
            <w:pPr>
              <w:wordWrap w:val="0"/>
              <w:snapToGrid w:val="0"/>
              <w:spacing w:line="240" w:lineRule="auto"/>
              <w:jc w:val="center"/>
              <w:outlineLvl w:val="9"/>
              <w:rPr>
                <w:rFonts w:hint="eastAsia" w:ascii="华文中宋" w:hAnsi="华文中宋" w:eastAsia="华文中宋" w:cs="华文中宋"/>
                <w:color w:val="auto"/>
              </w:rPr>
            </w:pPr>
          </w:p>
        </w:tc>
      </w:tr>
      <w:tr w14:paraId="68D4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639A304D">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1098D098">
            <w:pPr>
              <w:spacing w:line="240" w:lineRule="auto"/>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DAF79BA">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0599354">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847EA70">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6942608">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7352442">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6985EC59">
            <w:pPr>
              <w:wordWrap w:val="0"/>
              <w:snapToGrid w:val="0"/>
              <w:spacing w:line="240" w:lineRule="auto"/>
              <w:jc w:val="center"/>
              <w:outlineLvl w:val="9"/>
              <w:rPr>
                <w:rFonts w:hint="eastAsia" w:ascii="华文中宋" w:hAnsi="华文中宋" w:eastAsia="华文中宋" w:cs="华文中宋"/>
                <w:color w:val="auto"/>
              </w:rPr>
            </w:pPr>
          </w:p>
        </w:tc>
      </w:tr>
      <w:tr w14:paraId="4FDB0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234F2820">
            <w:pPr>
              <w:wordWrap w:val="0"/>
              <w:snapToGrid w:val="0"/>
              <w:spacing w:line="240" w:lineRule="auto"/>
              <w:jc w:val="center"/>
              <w:outlineLvl w:val="9"/>
              <w:rPr>
                <w:rFonts w:hint="eastAsia" w:ascii="华文中宋" w:hAnsi="华文中宋" w:eastAsia="华文中宋" w:cs="华文中宋"/>
                <w:color w:val="auto"/>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105D7DF3">
            <w:pPr>
              <w:wordWrap w:val="0"/>
              <w:snapToGrid w:val="0"/>
              <w:spacing w:line="240" w:lineRule="auto"/>
              <w:jc w:val="center"/>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1E91D17">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C5E4013">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E163916">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10B2389">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76DF740">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761089C">
            <w:pPr>
              <w:wordWrap w:val="0"/>
              <w:snapToGrid w:val="0"/>
              <w:spacing w:line="240" w:lineRule="auto"/>
              <w:jc w:val="center"/>
              <w:outlineLvl w:val="9"/>
              <w:rPr>
                <w:rFonts w:hint="eastAsia" w:ascii="华文中宋" w:hAnsi="华文中宋" w:eastAsia="华文中宋" w:cs="华文中宋"/>
                <w:color w:val="auto"/>
              </w:rPr>
            </w:pPr>
          </w:p>
        </w:tc>
      </w:tr>
      <w:tr w14:paraId="2AC7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465A07BD">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63528355">
            <w:pPr>
              <w:spacing w:line="240" w:lineRule="auto"/>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49F7E16">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75DA4D7">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53538CA">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3E9C956">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552C504">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431938B1">
            <w:pPr>
              <w:wordWrap w:val="0"/>
              <w:snapToGrid w:val="0"/>
              <w:spacing w:line="240" w:lineRule="auto"/>
              <w:jc w:val="center"/>
              <w:outlineLvl w:val="9"/>
              <w:rPr>
                <w:rFonts w:hint="eastAsia" w:ascii="华文中宋" w:hAnsi="华文中宋" w:eastAsia="华文中宋" w:cs="华文中宋"/>
                <w:color w:val="auto"/>
              </w:rPr>
            </w:pPr>
          </w:p>
        </w:tc>
      </w:tr>
      <w:tr w14:paraId="30A2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6A53487">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0B4F31C">
            <w:pPr>
              <w:spacing w:line="240" w:lineRule="auto"/>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1BED323">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CE9ADFA">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BA017D5">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ED3F758">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44434A2">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1EDF7DC">
            <w:pPr>
              <w:wordWrap w:val="0"/>
              <w:snapToGrid w:val="0"/>
              <w:spacing w:line="240" w:lineRule="auto"/>
              <w:jc w:val="center"/>
              <w:outlineLvl w:val="9"/>
              <w:rPr>
                <w:rFonts w:hint="eastAsia" w:ascii="华文中宋" w:hAnsi="华文中宋" w:eastAsia="华文中宋" w:cs="华文中宋"/>
                <w:color w:val="auto"/>
              </w:rPr>
            </w:pPr>
          </w:p>
        </w:tc>
      </w:tr>
      <w:tr w14:paraId="58504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7EA0F5BC">
            <w:pPr>
              <w:wordWrap w:val="0"/>
              <w:snapToGrid w:val="0"/>
              <w:spacing w:line="240" w:lineRule="auto"/>
              <w:jc w:val="center"/>
              <w:outlineLvl w:val="9"/>
              <w:rPr>
                <w:rFonts w:hint="eastAsia" w:ascii="华文中宋" w:hAnsi="华文中宋" w:eastAsia="华文中宋" w:cs="华文中宋"/>
                <w:color w:val="auto"/>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7C499E90">
            <w:pPr>
              <w:wordWrap w:val="0"/>
              <w:snapToGrid w:val="0"/>
              <w:spacing w:line="240" w:lineRule="auto"/>
              <w:jc w:val="center"/>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311BC60">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7880169">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9B3EEDA">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14BB6E3">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BB60E09">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724B4FF2">
            <w:pPr>
              <w:wordWrap w:val="0"/>
              <w:snapToGrid w:val="0"/>
              <w:spacing w:line="240" w:lineRule="auto"/>
              <w:jc w:val="center"/>
              <w:outlineLvl w:val="9"/>
              <w:rPr>
                <w:rFonts w:hint="eastAsia" w:ascii="华文中宋" w:hAnsi="华文中宋" w:eastAsia="华文中宋" w:cs="华文中宋"/>
                <w:color w:val="auto"/>
              </w:rPr>
            </w:pPr>
          </w:p>
        </w:tc>
      </w:tr>
      <w:tr w14:paraId="3BF34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B8258E7">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48E089F3">
            <w:pPr>
              <w:spacing w:line="240" w:lineRule="auto"/>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BBD5274">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9CB4B8C">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5F1D770">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4DB7B25">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CD5ADD4">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66896AF5">
            <w:pPr>
              <w:wordWrap w:val="0"/>
              <w:snapToGrid w:val="0"/>
              <w:spacing w:line="240" w:lineRule="auto"/>
              <w:jc w:val="center"/>
              <w:outlineLvl w:val="9"/>
              <w:rPr>
                <w:rFonts w:hint="eastAsia" w:ascii="华文中宋" w:hAnsi="华文中宋" w:eastAsia="华文中宋" w:cs="华文中宋"/>
                <w:color w:val="auto"/>
              </w:rPr>
            </w:pPr>
          </w:p>
        </w:tc>
      </w:tr>
      <w:tr w14:paraId="3C5A1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71455FC">
            <w:pPr>
              <w:spacing w:line="240" w:lineRule="auto"/>
              <w:outlineLvl w:val="9"/>
              <w:rPr>
                <w:rFonts w:hint="eastAsia" w:ascii="华文中宋" w:hAnsi="华文中宋" w:eastAsia="华文中宋" w:cs="华文中宋"/>
                <w:color w:val="auto"/>
              </w:rPr>
            </w:pPr>
          </w:p>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DDDA180">
            <w:pPr>
              <w:spacing w:line="240" w:lineRule="auto"/>
              <w:outlineLvl w:val="9"/>
              <w:rPr>
                <w:rFonts w:hint="eastAsia" w:ascii="华文中宋" w:hAnsi="华文中宋" w:eastAsia="华文中宋" w:cs="华文中宋"/>
                <w:color w:val="auto"/>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8A2B7B1">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6498369">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228C8B4">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AD9A327">
            <w:pPr>
              <w:wordWrap w:val="0"/>
              <w:snapToGrid w:val="0"/>
              <w:spacing w:line="240" w:lineRule="auto"/>
              <w:jc w:val="center"/>
              <w:outlineLvl w:val="9"/>
              <w:rPr>
                <w:rFonts w:hint="eastAsia" w:ascii="华文中宋" w:hAnsi="华文中宋" w:eastAsia="华文中宋" w:cs="华文中宋"/>
                <w:color w:val="auto"/>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D309AF0">
            <w:pPr>
              <w:wordWrap w:val="0"/>
              <w:snapToGrid w:val="0"/>
              <w:spacing w:line="240" w:lineRule="auto"/>
              <w:jc w:val="center"/>
              <w:outlineLvl w:val="9"/>
              <w:rPr>
                <w:rFonts w:hint="eastAsia" w:ascii="华文中宋" w:hAnsi="华文中宋" w:eastAsia="华文中宋" w:cs="华文中宋"/>
                <w:color w:val="auto"/>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069F8927">
            <w:pPr>
              <w:wordWrap w:val="0"/>
              <w:snapToGrid w:val="0"/>
              <w:spacing w:line="240" w:lineRule="auto"/>
              <w:jc w:val="center"/>
              <w:outlineLvl w:val="9"/>
              <w:rPr>
                <w:rFonts w:hint="eastAsia" w:ascii="华文中宋" w:hAnsi="华文中宋" w:eastAsia="华文中宋" w:cs="华文中宋"/>
                <w:color w:val="auto"/>
              </w:rPr>
            </w:pPr>
          </w:p>
        </w:tc>
      </w:tr>
    </w:tbl>
    <w:p w14:paraId="1306DB54">
      <w:pPr>
        <w:wordWrap w:val="0"/>
        <w:snapToGrid w:val="0"/>
        <w:spacing w:line="360" w:lineRule="auto"/>
        <w:ind w:firstLine="480" w:firstLineChars="200"/>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备注：本表所列分包仅限于承包人自行施工范围内的非主体、非关键工程。</w:t>
      </w:r>
    </w:p>
    <w:p w14:paraId="55634945">
      <w:pPr>
        <w:wordWrap w:val="0"/>
        <w:snapToGrid w:val="0"/>
        <w:spacing w:line="360" w:lineRule="auto"/>
        <w:jc w:val="right"/>
        <w:outlineLvl w:val="9"/>
        <w:rPr>
          <w:rFonts w:hint="eastAsia" w:ascii="华文中宋" w:hAnsi="华文中宋" w:eastAsia="华文中宋" w:cs="华文中宋"/>
          <w:color w:val="auto"/>
          <w:sz w:val="28"/>
          <w:szCs w:val="28"/>
        </w:rPr>
      </w:pPr>
    </w:p>
    <w:p w14:paraId="20CE6964">
      <w:pPr>
        <w:wordWrap w:val="0"/>
        <w:snapToGrid w:val="0"/>
        <w:spacing w:line="360" w:lineRule="auto"/>
        <w:jc w:val="right"/>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日    期：       年     月     日</w:t>
      </w:r>
    </w:p>
    <w:p w14:paraId="43D116D2">
      <w:pPr>
        <w:pStyle w:val="20"/>
        <w:outlineLvl w:val="9"/>
        <w:rPr>
          <w:rFonts w:hint="eastAsia" w:ascii="华文中宋" w:hAnsi="华文中宋" w:eastAsia="华文中宋" w:cs="华文中宋"/>
          <w:color w:val="auto"/>
        </w:rPr>
      </w:pPr>
    </w:p>
    <w:p w14:paraId="587773FA">
      <w:pPr>
        <w:spacing w:line="360" w:lineRule="auto"/>
        <w:jc w:val="left"/>
        <w:outlineLvl w:val="9"/>
        <w:rPr>
          <w:rFonts w:hint="eastAsia" w:ascii="华文中宋" w:hAnsi="华文中宋" w:eastAsia="华文中宋" w:cs="华文中宋"/>
          <w:b/>
          <w:bCs/>
          <w:color w:val="auto"/>
          <w:sz w:val="28"/>
          <w:szCs w:val="28"/>
        </w:rPr>
      </w:pPr>
    </w:p>
    <w:p w14:paraId="0D4B9716">
      <w:pPr>
        <w:spacing w:line="360" w:lineRule="auto"/>
        <w:jc w:val="left"/>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（四）其他资料</w:t>
      </w:r>
    </w:p>
    <w:p w14:paraId="09ECCEF4">
      <w:pPr>
        <w:spacing w:line="360" w:lineRule="auto"/>
        <w:ind w:left="105" w:firstLine="420" w:firstLineChars="200"/>
        <w:outlineLvl w:val="9"/>
        <w:rPr>
          <w:rFonts w:hint="eastAsia" w:ascii="华文中宋" w:hAnsi="华文中宋" w:eastAsia="华文中宋" w:cs="华文中宋"/>
          <w:color w:val="auto"/>
        </w:rPr>
      </w:pPr>
    </w:p>
    <w:p w14:paraId="6866AAD9">
      <w:pPr>
        <w:rPr>
          <w:color w:val="auto"/>
        </w:rPr>
      </w:pPr>
    </w:p>
    <w:sectPr>
      <w:footerReference r:id="rId14" w:type="first"/>
      <w:footerReference r:id="rId13" w:type="default"/>
      <w:pgSz w:w="11906" w:h="16838"/>
      <w:pgMar w:top="1440" w:right="1080" w:bottom="1440" w:left="1080" w:header="851"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C7E4">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FF6B">
    <w:pPr>
      <w:pStyle w:val="20"/>
      <w:framePr w:wrap="around" w:vAnchor="text" w:hAnchor="margin" w:xAlign="center" w:y="1"/>
      <w:jc w:val="center"/>
      <w:rPr>
        <w:rStyle w:val="33"/>
      </w:rPr>
    </w:pPr>
    <w:r>
      <w:fldChar w:fldCharType="begin"/>
    </w:r>
    <w:r>
      <w:rPr>
        <w:rStyle w:val="33"/>
      </w:rPr>
      <w:instrText xml:space="preserve">PAGE  </w:instrText>
    </w:r>
    <w:r>
      <w:fldChar w:fldCharType="end"/>
    </w:r>
  </w:p>
  <w:p w14:paraId="62711D3B">
    <w:pPr>
      <w:pStyle w:val="2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AD93">
    <w:pPr>
      <w:pStyle w:val="20"/>
      <w:framePr w:wrap="around" w:vAnchor="text" w:hAnchor="margin" w:xAlign="center" w:y="1"/>
      <w:jc w:val="center"/>
      <w:rPr>
        <w:rStyle w:val="33"/>
      </w:rPr>
    </w:pPr>
  </w:p>
  <w:p w14:paraId="20DED080">
    <w:pPr>
      <w:pStyle w:val="20"/>
      <w:framePr w:wrap="around" w:vAnchor="text" w:hAnchor="page" w:x="6439" w:y="332"/>
      <w:jc w:val="center"/>
      <w:rPr>
        <w:rStyle w:val="33"/>
      </w:rPr>
    </w:pPr>
  </w:p>
  <w:p w14:paraId="2ECEF472">
    <w:pPr>
      <w:pStyle w:val="20"/>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hGTfBucBAAC4AwAADgAAAAAAAAABACAAAAAoAQAAZHJzL2Uyb0RvYy54bWxQSwUGAAAAAAYABgBZ&#10;AQAAg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73EB">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EA8CBE">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1EA8CBE">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4774">
    <w:pPr>
      <w:pStyle w:val="20"/>
      <w:framePr w:wrap="around" w:vAnchor="text" w:hAnchor="margin" w:xAlign="center" w:y="1"/>
      <w:rPr>
        <w:rStyle w:val="33"/>
      </w:rPr>
    </w:pPr>
    <w:r>
      <w:fldChar w:fldCharType="begin"/>
    </w:r>
    <w:r>
      <w:rPr>
        <w:rStyle w:val="33"/>
      </w:rPr>
      <w:instrText xml:space="preserve">PAGE  </w:instrText>
    </w:r>
    <w:r>
      <w:fldChar w:fldCharType="end"/>
    </w:r>
  </w:p>
  <w:p w14:paraId="6E5048ED">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FF37A">
    <w:pP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8EB6C4">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8EB6C4">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4CBE">
    <w:pPr>
      <w:pStyle w:val="20"/>
      <w:widowControl w:val="0"/>
      <w:pBdr>
        <w:top w:val="single" w:color="auto" w:sz="4" w:space="1"/>
        <w:left w:val="none" w:color="auto" w:sz="0" w:space="4"/>
        <w:bottom w:val="none" w:color="auto" w:sz="0" w:space="1"/>
        <w:right w:val="none" w:color="auto" w:sz="0" w:space="4"/>
        <w:between w:val="none" w:color="auto" w:sz="0" w:space="0"/>
      </w:pBdr>
      <w:snapToGrid w:val="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C6DD0">
                          <w:pPr>
                            <w:pStyle w:val="20"/>
                          </w:pPr>
                          <w:r>
                            <w:fldChar w:fldCharType="begin"/>
                          </w:r>
                          <w:r>
                            <w:instrText xml:space="preserve"> PAGE  \* MERGEFORMAT </w:instrText>
                          </w:r>
                          <w:r>
                            <w:fldChar w:fldCharType="separate"/>
                          </w:r>
                          <w:r>
                            <w:t>145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C6DD0">
                    <w:pPr>
                      <w:pStyle w:val="20"/>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F1E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1AAD">
    <w:pPr>
      <w:pStyle w:val="9"/>
      <w:jc w:val="right"/>
    </w:pPr>
    <w:r>
      <w:rPr>
        <w:rFonts w:hint="eastAsia"/>
      </w:rPr>
      <w:t xml:space="preserve">                                              </w:t>
    </w:r>
    <w:r>
      <w:t xml:space="preserve">                                                                   </w:t>
    </w:r>
    <w:r>
      <w:rPr>
        <w:rFonts w:hint="eastAsia"/>
      </w:rPr>
      <w:t>项目编号：</w:t>
    </w:r>
    <w:bookmarkStart w:id="1226" w:name="PO_3000009629_PM001_1"/>
    <w:r>
      <w:rPr>
        <w:rFonts w:hint="eastAsia"/>
      </w:rPr>
      <w:t>1499002022BCS02741</w:t>
    </w:r>
    <w:bookmarkEnd w:id="122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9E5A">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6215">
    <w:pPr>
      <w:pStyle w:val="9"/>
      <w:widowControl w:val="0"/>
      <w:pBdr>
        <w:top w:val="none" w:color="auto" w:sz="0" w:space="1"/>
        <w:left w:val="none" w:color="auto" w:sz="0" w:space="4"/>
        <w:bottom w:val="single" w:color="auto" w:sz="4"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82B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E420E39"/>
    <w:multiLevelType w:val="singleLevel"/>
    <w:tmpl w:val="0E420E39"/>
    <w:lvl w:ilvl="0" w:tentative="0">
      <w:start w:val="1"/>
      <w:numFmt w:val="decimal"/>
      <w:suff w:val="space"/>
      <w:lvlText w:val="（%1）"/>
      <w:lvlJc w:val="left"/>
    </w:lvl>
  </w:abstractNum>
  <w:abstractNum w:abstractNumId="2">
    <w:nsid w:val="55B9ADB2"/>
    <w:multiLevelType w:val="singleLevel"/>
    <w:tmpl w:val="55B9ADB2"/>
    <w:lvl w:ilvl="0" w:tentative="0">
      <w:start w:val="1"/>
      <w:numFmt w:val="decimal"/>
      <w:suff w:val="space"/>
      <w:lvlText w:val="（%1）"/>
      <w:lvlJc w:val="left"/>
    </w:lvl>
  </w:abstractNum>
  <w:abstractNum w:abstractNumId="3">
    <w:nsid w:val="56BF79FF"/>
    <w:multiLevelType w:val="singleLevel"/>
    <w:tmpl w:val="56BF79FF"/>
    <w:lvl w:ilvl="0" w:tentative="0">
      <w:start w:val="1"/>
      <w:numFmt w:val="decimal"/>
      <w:pStyle w:val="24"/>
      <w:lvlText w:val="%1."/>
      <w:lvlJc w:val="left"/>
      <w:pPr>
        <w:tabs>
          <w:tab w:val="left" w:pos="2040"/>
        </w:tabs>
        <w:ind w:left="204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YTEyYjBlYjFlMzJiZDM3YWQ2ZWY0MmNkN2I4ZWMifQ=="/>
  </w:docVars>
  <w:rsids>
    <w:rsidRoot w:val="00172A27"/>
    <w:rsid w:val="03BC1818"/>
    <w:rsid w:val="04521E3C"/>
    <w:rsid w:val="04D22B68"/>
    <w:rsid w:val="05B51BC6"/>
    <w:rsid w:val="062956B3"/>
    <w:rsid w:val="07595247"/>
    <w:rsid w:val="076921EE"/>
    <w:rsid w:val="08E83E8B"/>
    <w:rsid w:val="09FA23C9"/>
    <w:rsid w:val="0ABF5E84"/>
    <w:rsid w:val="0BEF52D4"/>
    <w:rsid w:val="0C395F24"/>
    <w:rsid w:val="0C8F3D3A"/>
    <w:rsid w:val="0CE7442C"/>
    <w:rsid w:val="0D7E1BDD"/>
    <w:rsid w:val="0FDB1215"/>
    <w:rsid w:val="103F79AB"/>
    <w:rsid w:val="10501D5A"/>
    <w:rsid w:val="1078051B"/>
    <w:rsid w:val="10B23020"/>
    <w:rsid w:val="10F42D61"/>
    <w:rsid w:val="119D5D0E"/>
    <w:rsid w:val="123577CD"/>
    <w:rsid w:val="123C08BB"/>
    <w:rsid w:val="129844CF"/>
    <w:rsid w:val="164756E1"/>
    <w:rsid w:val="16704C38"/>
    <w:rsid w:val="17841325"/>
    <w:rsid w:val="1D8A0BBE"/>
    <w:rsid w:val="1DED0A84"/>
    <w:rsid w:val="1E0B5246"/>
    <w:rsid w:val="1E9D4401"/>
    <w:rsid w:val="1F587EE9"/>
    <w:rsid w:val="1FA544CB"/>
    <w:rsid w:val="20A42E4A"/>
    <w:rsid w:val="20C31E08"/>
    <w:rsid w:val="21331BE9"/>
    <w:rsid w:val="21C92A42"/>
    <w:rsid w:val="228D1AF3"/>
    <w:rsid w:val="231C1994"/>
    <w:rsid w:val="24B959FC"/>
    <w:rsid w:val="24F20C72"/>
    <w:rsid w:val="25053233"/>
    <w:rsid w:val="25A822CA"/>
    <w:rsid w:val="27481E56"/>
    <w:rsid w:val="28031463"/>
    <w:rsid w:val="283512EC"/>
    <w:rsid w:val="289F095F"/>
    <w:rsid w:val="29014721"/>
    <w:rsid w:val="292C0E92"/>
    <w:rsid w:val="29F1175A"/>
    <w:rsid w:val="2A026FCD"/>
    <w:rsid w:val="2A121318"/>
    <w:rsid w:val="2C8D1BA2"/>
    <w:rsid w:val="2CF17045"/>
    <w:rsid w:val="2E3229AD"/>
    <w:rsid w:val="2FCE785B"/>
    <w:rsid w:val="2FF454C7"/>
    <w:rsid w:val="30011740"/>
    <w:rsid w:val="3036000D"/>
    <w:rsid w:val="31434FCB"/>
    <w:rsid w:val="345642C1"/>
    <w:rsid w:val="351D5B33"/>
    <w:rsid w:val="358D0F0B"/>
    <w:rsid w:val="3593754A"/>
    <w:rsid w:val="35A34E08"/>
    <w:rsid w:val="371E2604"/>
    <w:rsid w:val="37A5560B"/>
    <w:rsid w:val="37B31E9A"/>
    <w:rsid w:val="37D810B0"/>
    <w:rsid w:val="38DD30F7"/>
    <w:rsid w:val="3A055B23"/>
    <w:rsid w:val="3D510971"/>
    <w:rsid w:val="3F336A06"/>
    <w:rsid w:val="404D19C2"/>
    <w:rsid w:val="40B27A77"/>
    <w:rsid w:val="40C06E60"/>
    <w:rsid w:val="40F059F6"/>
    <w:rsid w:val="41E27A8D"/>
    <w:rsid w:val="4251691E"/>
    <w:rsid w:val="42537038"/>
    <w:rsid w:val="426B53E4"/>
    <w:rsid w:val="42EE0B0F"/>
    <w:rsid w:val="43475F29"/>
    <w:rsid w:val="439E0617"/>
    <w:rsid w:val="46276812"/>
    <w:rsid w:val="480D1A37"/>
    <w:rsid w:val="497E2B46"/>
    <w:rsid w:val="4B532C30"/>
    <w:rsid w:val="4BA6642B"/>
    <w:rsid w:val="4CF8673C"/>
    <w:rsid w:val="4E4C3F93"/>
    <w:rsid w:val="4E5131E5"/>
    <w:rsid w:val="505962D0"/>
    <w:rsid w:val="50C743EE"/>
    <w:rsid w:val="50DA4582"/>
    <w:rsid w:val="51486238"/>
    <w:rsid w:val="515B7BB3"/>
    <w:rsid w:val="519D06ED"/>
    <w:rsid w:val="52537255"/>
    <w:rsid w:val="535D6D2B"/>
    <w:rsid w:val="53771545"/>
    <w:rsid w:val="5394095E"/>
    <w:rsid w:val="54EC07DD"/>
    <w:rsid w:val="55793DFA"/>
    <w:rsid w:val="56000C72"/>
    <w:rsid w:val="56243DC3"/>
    <w:rsid w:val="563024A6"/>
    <w:rsid w:val="566E1894"/>
    <w:rsid w:val="57A015F0"/>
    <w:rsid w:val="57A8089B"/>
    <w:rsid w:val="594352B9"/>
    <w:rsid w:val="59652D68"/>
    <w:rsid w:val="5A214959"/>
    <w:rsid w:val="5A7D47FA"/>
    <w:rsid w:val="5B793520"/>
    <w:rsid w:val="5CCF43DF"/>
    <w:rsid w:val="5D327B1E"/>
    <w:rsid w:val="5FE86BBA"/>
    <w:rsid w:val="62390540"/>
    <w:rsid w:val="62C3746A"/>
    <w:rsid w:val="634C651A"/>
    <w:rsid w:val="63EA5DC5"/>
    <w:rsid w:val="640614F6"/>
    <w:rsid w:val="6516661F"/>
    <w:rsid w:val="66611E57"/>
    <w:rsid w:val="68455FD3"/>
    <w:rsid w:val="68B15D31"/>
    <w:rsid w:val="6AEC387B"/>
    <w:rsid w:val="6B553090"/>
    <w:rsid w:val="6C356D13"/>
    <w:rsid w:val="6C922401"/>
    <w:rsid w:val="6D6265D5"/>
    <w:rsid w:val="6D714693"/>
    <w:rsid w:val="6F4E01EE"/>
    <w:rsid w:val="703B0F88"/>
    <w:rsid w:val="70AC59E2"/>
    <w:rsid w:val="713032AA"/>
    <w:rsid w:val="713C6162"/>
    <w:rsid w:val="71ED1E3D"/>
    <w:rsid w:val="72B62B48"/>
    <w:rsid w:val="73637E23"/>
    <w:rsid w:val="747B3614"/>
    <w:rsid w:val="749E293F"/>
    <w:rsid w:val="75B55338"/>
    <w:rsid w:val="75D4268A"/>
    <w:rsid w:val="76120396"/>
    <w:rsid w:val="76EB7432"/>
    <w:rsid w:val="77365610"/>
    <w:rsid w:val="79036918"/>
    <w:rsid w:val="7A624205"/>
    <w:rsid w:val="7BC86952"/>
    <w:rsid w:val="7BF546E1"/>
    <w:rsid w:val="7C234FC9"/>
    <w:rsid w:val="7C4D4DFA"/>
    <w:rsid w:val="7D237634"/>
    <w:rsid w:val="7F47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99"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qFormat/>
    <w:uiPriority w:val="9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qFormat/>
    <w:uiPriority w:val="9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next w:val="9"/>
    <w:qFormat/>
    <w:uiPriority w:val="0"/>
    <w:pPr>
      <w:autoSpaceDE/>
      <w:autoSpaceDN/>
      <w:adjustRightInd/>
      <w:ind w:firstLine="420" w:firstLineChars="200"/>
      <w:jc w:val="both"/>
    </w:pPr>
    <w:rPr>
      <w:rFonts w:ascii="仿宋_GB2312" w:eastAsia="仿宋_GB2312"/>
      <w:sz w:val="32"/>
    </w:rPr>
  </w:style>
  <w:style w:type="paragraph" w:styleId="9">
    <w:name w:val="header"/>
    <w:basedOn w:val="1"/>
    <w:next w:val="10"/>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text"/>
    <w:basedOn w:val="1"/>
    <w:next w:val="11"/>
    <w:qFormat/>
    <w:uiPriority w:val="99"/>
    <w:pPr>
      <w:jc w:val="left"/>
    </w:pPr>
    <w:rPr>
      <w:rFonts w:ascii="Times New Roman" w:hAnsi="Times New Roman"/>
      <w:szCs w:val="24"/>
    </w:rPr>
  </w:style>
  <w:style w:type="paragraph" w:styleId="11">
    <w:name w:val="Body Text 3"/>
    <w:basedOn w:val="1"/>
    <w:next w:val="12"/>
    <w:qFormat/>
    <w:uiPriority w:val="99"/>
    <w:pPr>
      <w:spacing w:after="120"/>
      <w:ind w:firstLine="3584"/>
    </w:pPr>
  </w:style>
  <w:style w:type="paragraph" w:styleId="12">
    <w:name w:val="Balloon Text"/>
    <w:basedOn w:val="1"/>
    <w:next w:val="1"/>
    <w:qFormat/>
    <w:uiPriority w:val="99"/>
    <w:rPr>
      <w:sz w:val="18"/>
      <w:szCs w:val="18"/>
    </w:rPr>
  </w:style>
  <w:style w:type="paragraph" w:styleId="13">
    <w:name w:val="Document Map"/>
    <w:basedOn w:val="1"/>
    <w:next w:val="14"/>
    <w:semiHidden/>
    <w:qFormat/>
    <w:uiPriority w:val="0"/>
    <w:pPr>
      <w:shd w:val="clear" w:color="auto" w:fill="000080"/>
    </w:pPr>
  </w:style>
  <w:style w:type="paragraph" w:styleId="14">
    <w:name w:val="Body Text"/>
    <w:basedOn w:val="1"/>
    <w:next w:val="1"/>
    <w:qFormat/>
    <w:uiPriority w:val="0"/>
    <w:pPr>
      <w:spacing w:after="120"/>
    </w:pPr>
    <w:rPr>
      <w:sz w:val="28"/>
      <w:szCs w:val="24"/>
    </w:rPr>
  </w:style>
  <w:style w:type="paragraph" w:styleId="15">
    <w:name w:val="Body Text Indent"/>
    <w:basedOn w:val="1"/>
    <w:next w:val="16"/>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6">
    <w:name w:val="envelope return"/>
    <w:basedOn w:val="1"/>
    <w:qFormat/>
    <w:uiPriority w:val="0"/>
    <w:pPr>
      <w:snapToGrid w:val="0"/>
    </w:pPr>
    <w:rPr>
      <w:rFonts w:ascii="Arial" w:hAnsi="Arial"/>
    </w:rPr>
  </w:style>
  <w:style w:type="paragraph" w:styleId="17">
    <w:name w:val="toc 5"/>
    <w:basedOn w:val="1"/>
    <w:next w:val="1"/>
    <w:qFormat/>
    <w:uiPriority w:val="99"/>
    <w:pPr>
      <w:widowControl/>
      <w:ind w:left="1700"/>
    </w:pPr>
    <w:rPr>
      <w:kern w:val="0"/>
      <w:szCs w:val="21"/>
    </w:rPr>
  </w:style>
  <w:style w:type="paragraph" w:styleId="18">
    <w:name w:val="toc 3"/>
    <w:basedOn w:val="1"/>
    <w:next w:val="1"/>
    <w:qFormat/>
    <w:uiPriority w:val="39"/>
    <w:pPr>
      <w:ind w:left="840" w:leftChars="400"/>
    </w:pPr>
  </w:style>
  <w:style w:type="paragraph" w:styleId="19">
    <w:name w:val="Plain Text"/>
    <w:basedOn w:val="1"/>
    <w:qFormat/>
    <w:uiPriority w:val="0"/>
    <w:rPr>
      <w:rFonts w:ascii="宋体" w:hAnsi="Courier New"/>
      <w:szCs w:val="21"/>
    </w:rPr>
  </w:style>
  <w:style w:type="paragraph" w:styleId="20">
    <w:name w:val="footer"/>
    <w:basedOn w:val="1"/>
    <w:next w:val="21"/>
    <w:qFormat/>
    <w:uiPriority w:val="99"/>
    <w:pPr>
      <w:tabs>
        <w:tab w:val="center" w:pos="4153"/>
        <w:tab w:val="right" w:pos="8306"/>
      </w:tabs>
      <w:snapToGrid w:val="0"/>
      <w:jc w:val="left"/>
    </w:pPr>
    <w:rPr>
      <w:sz w:val="18"/>
      <w:szCs w:val="18"/>
    </w:rPr>
  </w:style>
  <w:style w:type="paragraph" w:styleId="21">
    <w:name w:val="HTML Preformatted"/>
    <w:basedOn w:val="1"/>
    <w:qFormat/>
    <w:uiPriority w:val="0"/>
    <w:rPr>
      <w:rFonts w:ascii="Courier New" w:hAnsi="Courier New"/>
      <w:sz w:val="20"/>
    </w:rPr>
  </w:style>
  <w:style w:type="paragraph" w:styleId="22">
    <w:name w:val="toc 1"/>
    <w:basedOn w:val="1"/>
    <w:next w:val="1"/>
    <w:qFormat/>
    <w:uiPriority w:val="39"/>
  </w:style>
  <w:style w:type="paragraph" w:styleId="23">
    <w:name w:val="toc 4"/>
    <w:basedOn w:val="1"/>
    <w:next w:val="1"/>
    <w:qFormat/>
    <w:uiPriority w:val="99"/>
    <w:pPr>
      <w:widowControl/>
      <w:ind w:left="1275"/>
    </w:pPr>
    <w:rPr>
      <w:kern w:val="0"/>
      <w:szCs w:val="21"/>
    </w:rPr>
  </w:style>
  <w:style w:type="paragraph" w:styleId="24">
    <w:name w:val="List Number 5"/>
    <w:basedOn w:val="1"/>
    <w:qFormat/>
    <w:uiPriority w:val="0"/>
    <w:pPr>
      <w:numPr>
        <w:ilvl w:val="0"/>
        <w:numId w:val="1"/>
      </w:numPr>
    </w:pPr>
  </w:style>
  <w:style w:type="paragraph" w:styleId="25">
    <w:name w:val="toc 2"/>
    <w:basedOn w:val="1"/>
    <w:next w:val="1"/>
    <w:qFormat/>
    <w:uiPriority w:val="0"/>
    <w:pPr>
      <w:ind w:left="420" w:leftChars="200"/>
    </w:p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Body Text First Indent"/>
    <w:basedOn w:val="14"/>
    <w:next w:val="28"/>
    <w:qFormat/>
    <w:uiPriority w:val="0"/>
    <w:pPr>
      <w:ind w:firstLine="420" w:firstLineChars="100"/>
    </w:pPr>
  </w:style>
  <w:style w:type="paragraph" w:styleId="28">
    <w:name w:val="Body Text First Indent 2"/>
    <w:basedOn w:val="15"/>
    <w:next w:val="27"/>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cs="Times New Roman"/>
    </w:rPr>
  </w:style>
  <w:style w:type="character" w:styleId="34">
    <w:name w:val="Hyperlink"/>
    <w:qFormat/>
    <w:uiPriority w:val="99"/>
    <w:rPr>
      <w:rFonts w:cs="Times New Roman"/>
      <w:color w:val="0000FF"/>
      <w:u w:val="single"/>
    </w:rPr>
  </w:style>
  <w:style w:type="character" w:styleId="35">
    <w:name w:val="HTML Sample"/>
    <w:basedOn w:val="31"/>
    <w:qFormat/>
    <w:uiPriority w:val="0"/>
    <w:rPr>
      <w:rFonts w:ascii="Courier New" w:hAnsi="Courier New"/>
    </w:rPr>
  </w:style>
  <w:style w:type="paragraph" w:customStyle="1" w:styleId="36">
    <w:name w:val="Default"/>
    <w:next w:val="1"/>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customStyle="1" w:styleId="37">
    <w:name w:val="一级条标题"/>
    <w:basedOn w:val="38"/>
    <w:next w:val="39"/>
    <w:qFormat/>
    <w:uiPriority w:val="0"/>
    <w:pPr>
      <w:spacing w:line="240" w:lineRule="auto"/>
      <w:ind w:left="420"/>
      <w:outlineLvl w:val="2"/>
    </w:pPr>
  </w:style>
  <w:style w:type="paragraph" w:customStyle="1" w:styleId="38">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39">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40">
    <w:name w:val="Style1"/>
    <w:basedOn w:val="8"/>
    <w:qFormat/>
    <w:uiPriority w:val="0"/>
    <w:pPr>
      <w:tabs>
        <w:tab w:val="left" w:pos="-720"/>
      </w:tabs>
      <w:spacing w:after="120"/>
    </w:pPr>
    <w:rPr>
      <w:spacing w:val="-3"/>
      <w:sz w:val="24"/>
      <w:szCs w:val="20"/>
      <w:lang w:val="en-AU" w:eastAsia="en-US"/>
    </w:rPr>
  </w:style>
  <w:style w:type="paragraph" w:customStyle="1" w:styleId="41">
    <w:name w:val="样式1"/>
    <w:basedOn w:val="1"/>
    <w:qFormat/>
    <w:uiPriority w:val="0"/>
    <w:pPr>
      <w:adjustRightInd w:val="0"/>
      <w:textAlignment w:val="baseline"/>
    </w:pPr>
    <w:rPr>
      <w:rFonts w:ascii="宋体" w:hAnsi="宋体"/>
      <w:kern w:val="0"/>
      <w:szCs w:val="21"/>
    </w:rPr>
  </w:style>
  <w:style w:type="paragraph" w:styleId="42">
    <w:name w:val="List Paragraph"/>
    <w:basedOn w:val="1"/>
    <w:qFormat/>
    <w:uiPriority w:val="99"/>
    <w:pPr>
      <w:ind w:firstLine="420" w:firstLineChars="200"/>
    </w:pPr>
  </w:style>
  <w:style w:type="character" w:customStyle="1" w:styleId="43">
    <w:name w:val="标题 2 Char"/>
    <w:link w:val="3"/>
    <w:qFormat/>
    <w:locked/>
    <w:uiPriority w:val="99"/>
    <w:rPr>
      <w:rFonts w:ascii="Cambria" w:hAnsi="Cambria"/>
      <w:b/>
      <w:bCs/>
      <w:sz w:val="32"/>
      <w:szCs w:val="32"/>
    </w:rPr>
  </w:style>
  <w:style w:type="paragraph" w:customStyle="1" w:styleId="44">
    <w:name w:val="TOC 标题1"/>
    <w:basedOn w:val="2"/>
    <w:next w:val="1"/>
    <w:semiHidden/>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5">
    <w:name w:val="NormalCharacter"/>
    <w:qFormat/>
    <w:uiPriority w:val="0"/>
    <w:rPr>
      <w:kern w:val="2"/>
      <w:sz w:val="21"/>
      <w:szCs w:val="22"/>
      <w:lang w:val="en-US" w:eastAsia="zh-CN" w:bidi="ar-SA"/>
    </w:rPr>
  </w:style>
  <w:style w:type="paragraph" w:customStyle="1" w:styleId="46">
    <w:name w:val="BodyText"/>
    <w:basedOn w:val="1"/>
    <w:qFormat/>
    <w:uiPriority w:val="0"/>
    <w:pPr>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7">
    <w:name w:val="Table Text"/>
    <w:basedOn w:val="1"/>
    <w:unhideWhenUsed/>
    <w:qFormat/>
    <w:uiPriority w:val="0"/>
    <w:pPr>
      <w:spacing w:beforeLines="0" w:afterLines="0"/>
    </w:pPr>
    <w:rPr>
      <w:rFonts w:hint="eastAsia" w:ascii="楷体" w:hAnsi="楷体" w:eastAsia="楷体" w:cs="楷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wmf"/><Relationship Id="rId24" Type="http://schemas.openxmlformats.org/officeDocument/2006/relationships/oleObject" Target="embeddings/oleObject5.bin"/><Relationship Id="rId23" Type="http://schemas.openxmlformats.org/officeDocument/2006/relationships/image" Target="media/image4.wmf"/><Relationship Id="rId22" Type="http://schemas.openxmlformats.org/officeDocument/2006/relationships/oleObject" Target="embeddings/oleObject4.bin"/><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178</Pages>
  <Words>1160</Words>
  <Characters>1328</Characters>
  <Lines>1</Lines>
  <Paragraphs>1</Paragraphs>
  <TotalTime>0</TotalTime>
  <ScaleCrop>false</ScaleCrop>
  <LinksUpToDate>false</LinksUpToDate>
  <CharactersWithSpaces>1775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2024-06-17T02:58:00Z</dcterms:created>
  <dc:creator> 果果妈咪</dc:creator>
  <cp:lastModifiedBy>Administrator</cp:lastModifiedBy>
  <dcterms:modified xsi:type="dcterms:W3CDTF">2026-04-30T08:52:28Z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97C808B38E6047C5B61AA5ED4F4BCE03_13</vt:lpwstr>
  </property>
  <property fmtid="{D5CDD505-2E9C-101B-9397-08002B2CF9AE}" pid="4" name="KSOTemplateDocerSaveRecord">
    <vt:lpwstr>eyJoZGlkIjoiYWU4YTEyYjBlYjFlMzJiZDM3YWQ2ZWY0MmNkN2I4ZWMifQ==</vt:lpwstr>
  </property>
</Properties>
</file>